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30320" w14:textId="77777777" w:rsidR="00E621BE" w:rsidRDefault="008F0923" w:rsidP="00557780">
      <w:pPr>
        <w:suppressAutoHyphens/>
        <w:rPr>
          <w:rFonts w:ascii="Calibri" w:hAnsi="Calibri"/>
          <w:b/>
          <w:sz w:val="24"/>
          <w:szCs w:val="24"/>
        </w:rPr>
      </w:pPr>
      <w:r>
        <w:rPr>
          <w:sz w:val="24"/>
        </w:rPr>
        <w:t xml:space="preserve">   </w:t>
      </w:r>
      <w:r w:rsidR="00EC51AB">
        <w:rPr>
          <w:rFonts w:ascii="Calibri" w:hAnsi="Calibri"/>
          <w:b/>
          <w:sz w:val="24"/>
          <w:szCs w:val="24"/>
        </w:rPr>
        <w:t xml:space="preserve">Supporting Statement for Request of OMB Approval of the </w:t>
      </w:r>
      <w:r w:rsidR="00E621BE">
        <w:rPr>
          <w:rFonts w:ascii="Calibri" w:hAnsi="Calibri"/>
          <w:b/>
          <w:sz w:val="24"/>
          <w:szCs w:val="24"/>
        </w:rPr>
        <w:t>Extension of the Low Income Home Energy Assistance Program (LIHEAP) Annual Report on Households Assisted</w:t>
      </w:r>
    </w:p>
    <w:p w14:paraId="10F30321" w14:textId="77777777" w:rsidR="00DC1C23" w:rsidRPr="00D658C7" w:rsidRDefault="00E621BE" w:rsidP="00E621BE">
      <w:pPr>
        <w:tabs>
          <w:tab w:val="center" w:pos="4680"/>
        </w:tabs>
        <w:suppressAutoHyphens/>
        <w:jc w:val="center"/>
        <w:rPr>
          <w:rFonts w:ascii="Calibri" w:hAnsi="Calibri"/>
          <w:b/>
          <w:sz w:val="24"/>
          <w:szCs w:val="24"/>
        </w:rPr>
      </w:pPr>
      <w:r>
        <w:rPr>
          <w:rFonts w:ascii="Calibri" w:hAnsi="Calibri"/>
          <w:b/>
          <w:sz w:val="24"/>
          <w:szCs w:val="24"/>
        </w:rPr>
        <w:t>May, 2015</w:t>
      </w:r>
    </w:p>
    <w:p w14:paraId="10F30322" w14:textId="77777777" w:rsidR="00DC1C23" w:rsidRPr="00D658C7" w:rsidRDefault="00DC1C23">
      <w:pPr>
        <w:tabs>
          <w:tab w:val="left" w:pos="-720"/>
        </w:tabs>
        <w:suppressAutoHyphens/>
        <w:rPr>
          <w:rFonts w:ascii="Calibri" w:hAnsi="Calibri"/>
          <w:sz w:val="24"/>
          <w:szCs w:val="24"/>
        </w:rPr>
      </w:pPr>
    </w:p>
    <w:p w14:paraId="10F30323" w14:textId="77777777" w:rsidR="00DC1C23" w:rsidRPr="00D658C7" w:rsidRDefault="00DC1C23">
      <w:pPr>
        <w:tabs>
          <w:tab w:val="left" w:pos="-720"/>
        </w:tabs>
        <w:suppressAutoHyphens/>
        <w:rPr>
          <w:rFonts w:ascii="Calibri" w:hAnsi="Calibri"/>
          <w:b/>
          <w:sz w:val="24"/>
          <w:szCs w:val="24"/>
        </w:rPr>
      </w:pPr>
    </w:p>
    <w:p w14:paraId="10F30324" w14:textId="77777777" w:rsidR="002C3C4F" w:rsidRDefault="002C3C4F" w:rsidP="00882D62">
      <w:pPr>
        <w:widowControl/>
        <w:spacing w:before="100" w:beforeAutospacing="1" w:after="100" w:afterAutospacing="1"/>
        <w:rPr>
          <w:rFonts w:ascii="Calibri" w:hAnsi="Calibri"/>
          <w:b/>
          <w:bCs/>
          <w:snapToGrid/>
          <w:sz w:val="24"/>
          <w:szCs w:val="24"/>
        </w:rPr>
      </w:pPr>
      <w:r w:rsidRPr="00D658C7">
        <w:rPr>
          <w:rFonts w:ascii="Calibri" w:hAnsi="Calibri"/>
          <w:b/>
          <w:bCs/>
          <w:snapToGrid/>
          <w:sz w:val="24"/>
          <w:szCs w:val="24"/>
        </w:rPr>
        <w:t>A. Justification</w:t>
      </w:r>
    </w:p>
    <w:p w14:paraId="10F30325" w14:textId="77777777" w:rsidR="00EC51AB" w:rsidRPr="00EC51AB" w:rsidRDefault="00EC51AB" w:rsidP="00EC51AB">
      <w:pPr>
        <w:pStyle w:val="ListParagraph"/>
        <w:widowControl/>
        <w:numPr>
          <w:ilvl w:val="0"/>
          <w:numId w:val="14"/>
        </w:numPr>
        <w:spacing w:before="100" w:beforeAutospacing="1" w:after="100" w:afterAutospacing="1"/>
        <w:rPr>
          <w:rFonts w:ascii="Calibri" w:hAnsi="Calibri"/>
          <w:snapToGrid/>
          <w:sz w:val="24"/>
          <w:szCs w:val="24"/>
        </w:rPr>
      </w:pPr>
      <w:r w:rsidRPr="00EC51AB">
        <w:rPr>
          <w:rFonts w:ascii="Calibri" w:hAnsi="Calibri"/>
          <w:b/>
          <w:bCs/>
          <w:snapToGrid/>
          <w:sz w:val="24"/>
          <w:szCs w:val="24"/>
        </w:rPr>
        <w:t>Circumstances Making the Collection of Information Necessary</w:t>
      </w:r>
    </w:p>
    <w:p w14:paraId="10F30326" w14:textId="77777777" w:rsidR="008540BD" w:rsidRPr="00D658C7" w:rsidRDefault="008540BD" w:rsidP="008540BD">
      <w:pPr>
        <w:widowControl/>
        <w:spacing w:before="100" w:beforeAutospacing="1" w:after="100" w:afterAutospacing="1"/>
        <w:ind w:left="360"/>
        <w:rPr>
          <w:rFonts w:ascii="Calibri" w:hAnsi="Calibri"/>
          <w:snapToGrid/>
          <w:sz w:val="24"/>
          <w:szCs w:val="24"/>
        </w:rPr>
      </w:pPr>
      <w:r w:rsidRPr="00D658C7">
        <w:rPr>
          <w:rFonts w:ascii="Calibri" w:hAnsi="Calibri"/>
          <w:snapToGrid/>
          <w:sz w:val="24"/>
          <w:szCs w:val="24"/>
        </w:rPr>
        <w:t>The Low Income Home Energy Assistance Program (LIHEAP) block grant (42 U.S.C. 8621) was established under Title XXVI of the Omnibus Budget Reconciliation Act of 1981, Public Law 97-35.  The Office of Community Services (OCS) within the Department of Health and Human Services' Administration for Children and Families (ACF) administers LIHEAP at the Federal level.</w:t>
      </w:r>
    </w:p>
    <w:p w14:paraId="10F30327" w14:textId="77777777" w:rsidR="008540BD" w:rsidRPr="00D658C7" w:rsidRDefault="008540BD" w:rsidP="008540BD">
      <w:pPr>
        <w:widowControl/>
        <w:spacing w:before="100" w:beforeAutospacing="1" w:after="100" w:afterAutospacing="1"/>
        <w:ind w:left="360"/>
        <w:rPr>
          <w:rFonts w:ascii="Calibri" w:hAnsi="Calibri"/>
          <w:snapToGrid/>
          <w:sz w:val="24"/>
          <w:szCs w:val="24"/>
        </w:rPr>
      </w:pPr>
      <w:r w:rsidRPr="00D658C7">
        <w:rPr>
          <w:rFonts w:ascii="Calibri" w:hAnsi="Calibri"/>
          <w:snapToGrid/>
          <w:sz w:val="24"/>
          <w:szCs w:val="24"/>
        </w:rPr>
        <w:t>The LIHEAP statute requires the collection of data on the number of households assisted</w:t>
      </w:r>
      <w:r w:rsidR="00F95BF4">
        <w:rPr>
          <w:rFonts w:ascii="Calibri" w:hAnsi="Calibri"/>
          <w:snapToGrid/>
          <w:sz w:val="24"/>
          <w:szCs w:val="24"/>
        </w:rPr>
        <w:t>,</w:t>
      </w:r>
      <w:r w:rsidRPr="00D658C7">
        <w:rPr>
          <w:rFonts w:ascii="Calibri" w:hAnsi="Calibri"/>
          <w:snapToGrid/>
          <w:sz w:val="24"/>
          <w:szCs w:val="24"/>
        </w:rPr>
        <w:t xml:space="preserve"> their income levels,</w:t>
      </w:r>
      <w:r w:rsidR="00F95BF4">
        <w:rPr>
          <w:rFonts w:ascii="Calibri" w:hAnsi="Calibri"/>
          <w:snapToGrid/>
          <w:sz w:val="24"/>
          <w:szCs w:val="24"/>
        </w:rPr>
        <w:t xml:space="preserve"> and vulnerability group,</w:t>
      </w:r>
      <w:r w:rsidRPr="00D658C7">
        <w:rPr>
          <w:rFonts w:ascii="Calibri" w:hAnsi="Calibri"/>
          <w:snapToGrid/>
          <w:sz w:val="24"/>
          <w:szCs w:val="24"/>
        </w:rPr>
        <w:t xml:space="preserve"> by type of LIHEAP assistance, for inclusion in the Secretary’s annual LIHEAP Report to Congress.  Over the years, the LIHEAP statute, as amended, has expanded the household data requirements.  The data are collected through the LIHEAP Household Report which consists of the following:  (1) Long Forma</w:t>
      </w:r>
      <w:r w:rsidR="004541D2">
        <w:rPr>
          <w:rFonts w:ascii="Calibri" w:hAnsi="Calibri"/>
          <w:snapToGrid/>
          <w:sz w:val="24"/>
          <w:szCs w:val="24"/>
        </w:rPr>
        <w:t>t</w:t>
      </w:r>
      <w:r w:rsidRPr="00D658C7">
        <w:rPr>
          <w:rFonts w:ascii="Calibri" w:hAnsi="Calibri"/>
          <w:snapToGrid/>
          <w:sz w:val="24"/>
          <w:szCs w:val="24"/>
        </w:rPr>
        <w:t xml:space="preserve"> and (</w:t>
      </w:r>
      <w:r w:rsidR="004541D2">
        <w:rPr>
          <w:rFonts w:ascii="Calibri" w:hAnsi="Calibri"/>
          <w:snapToGrid/>
          <w:sz w:val="24"/>
          <w:szCs w:val="24"/>
        </w:rPr>
        <w:t>2</w:t>
      </w:r>
      <w:r w:rsidRPr="00D658C7">
        <w:rPr>
          <w:rFonts w:ascii="Calibri" w:hAnsi="Calibri"/>
          <w:snapToGrid/>
          <w:sz w:val="24"/>
          <w:szCs w:val="24"/>
        </w:rPr>
        <w:t>) Short Format.</w:t>
      </w:r>
    </w:p>
    <w:p w14:paraId="10F30328" w14:textId="77777777" w:rsidR="008540BD" w:rsidRPr="00D658C7" w:rsidRDefault="008540BD" w:rsidP="008540BD">
      <w:pPr>
        <w:widowControl/>
        <w:spacing w:before="100" w:beforeAutospacing="1" w:after="100" w:afterAutospacing="1"/>
        <w:ind w:left="360"/>
        <w:rPr>
          <w:rFonts w:ascii="Calibri" w:hAnsi="Calibri"/>
          <w:snapToGrid/>
          <w:sz w:val="24"/>
          <w:szCs w:val="24"/>
        </w:rPr>
      </w:pPr>
      <w:r w:rsidRPr="00D658C7">
        <w:rPr>
          <w:rFonts w:ascii="Calibri" w:hAnsi="Calibri"/>
          <w:snapToGrid/>
          <w:sz w:val="24"/>
          <w:szCs w:val="24"/>
        </w:rPr>
        <w:t>OCS requests that OMB approval of the LIHEAP Household Report be extended from FY 20</w:t>
      </w:r>
      <w:r w:rsidR="008F0923">
        <w:rPr>
          <w:rFonts w:ascii="Calibri" w:hAnsi="Calibri"/>
          <w:snapToGrid/>
          <w:sz w:val="24"/>
          <w:szCs w:val="24"/>
        </w:rPr>
        <w:t>16</w:t>
      </w:r>
      <w:r w:rsidR="008F0923" w:rsidRPr="00D658C7">
        <w:rPr>
          <w:rFonts w:ascii="Calibri" w:hAnsi="Calibri"/>
          <w:snapToGrid/>
          <w:sz w:val="24"/>
          <w:szCs w:val="24"/>
        </w:rPr>
        <w:t xml:space="preserve"> </w:t>
      </w:r>
      <w:r w:rsidRPr="00D658C7">
        <w:rPr>
          <w:rFonts w:ascii="Calibri" w:hAnsi="Calibri"/>
          <w:snapToGrid/>
          <w:sz w:val="24"/>
          <w:szCs w:val="24"/>
        </w:rPr>
        <w:t>through FY 20</w:t>
      </w:r>
      <w:r w:rsidR="008F0923">
        <w:rPr>
          <w:rFonts w:ascii="Calibri" w:hAnsi="Calibri"/>
          <w:snapToGrid/>
          <w:sz w:val="24"/>
          <w:szCs w:val="24"/>
        </w:rPr>
        <w:t>18</w:t>
      </w:r>
      <w:r w:rsidRPr="00D658C7">
        <w:rPr>
          <w:rFonts w:ascii="Calibri" w:hAnsi="Calibri"/>
          <w:snapToGrid/>
          <w:sz w:val="24"/>
          <w:szCs w:val="24"/>
        </w:rPr>
        <w:t xml:space="preserve"> to include an unduplicated count of the number of:         </w:t>
      </w:r>
    </w:p>
    <w:p w14:paraId="10F30329" w14:textId="77777777" w:rsidR="00062551" w:rsidRDefault="004E04D2" w:rsidP="004E04D2">
      <w:pPr>
        <w:widowControl/>
        <w:numPr>
          <w:ilvl w:val="0"/>
          <w:numId w:val="11"/>
        </w:numPr>
        <w:spacing w:before="100" w:beforeAutospacing="1" w:after="100" w:afterAutospacing="1"/>
        <w:rPr>
          <w:rFonts w:ascii="Calibri" w:hAnsi="Calibri"/>
          <w:snapToGrid/>
          <w:sz w:val="24"/>
          <w:szCs w:val="24"/>
        </w:rPr>
      </w:pPr>
      <w:r w:rsidRPr="00D658C7">
        <w:rPr>
          <w:rFonts w:ascii="Calibri" w:hAnsi="Calibri"/>
          <w:snapToGrid/>
          <w:sz w:val="24"/>
          <w:szCs w:val="24"/>
        </w:rPr>
        <w:t>Assisted and applicant households, by type of LIHEAP assistance</w:t>
      </w:r>
      <w:r w:rsidR="00062551">
        <w:rPr>
          <w:rFonts w:ascii="Calibri" w:hAnsi="Calibri"/>
          <w:snapToGrid/>
          <w:sz w:val="24"/>
          <w:szCs w:val="24"/>
        </w:rPr>
        <w:t>;</w:t>
      </w:r>
    </w:p>
    <w:p w14:paraId="10F3032A" w14:textId="77777777" w:rsidR="004E04D2" w:rsidRPr="00062551" w:rsidRDefault="004E04D2" w:rsidP="004E04D2">
      <w:pPr>
        <w:widowControl/>
        <w:numPr>
          <w:ilvl w:val="0"/>
          <w:numId w:val="11"/>
        </w:numPr>
        <w:spacing w:before="100" w:beforeAutospacing="1" w:after="100" w:afterAutospacing="1"/>
        <w:rPr>
          <w:rFonts w:ascii="Calibri" w:hAnsi="Calibri"/>
          <w:snapToGrid/>
          <w:sz w:val="24"/>
          <w:szCs w:val="24"/>
        </w:rPr>
      </w:pPr>
      <w:r w:rsidRPr="00062551">
        <w:rPr>
          <w:rFonts w:ascii="Calibri" w:hAnsi="Calibri"/>
          <w:snapToGrid/>
          <w:sz w:val="24"/>
          <w:szCs w:val="24"/>
        </w:rPr>
        <w:t>Assisted and applicant households, by type of LIHEAP assistance and poverty level;</w:t>
      </w:r>
    </w:p>
    <w:p w14:paraId="10F3032B" w14:textId="77777777" w:rsidR="00062551" w:rsidRPr="00062551" w:rsidRDefault="00062551" w:rsidP="00062551">
      <w:pPr>
        <w:widowControl/>
        <w:numPr>
          <w:ilvl w:val="0"/>
          <w:numId w:val="11"/>
        </w:numPr>
        <w:spacing w:before="100" w:beforeAutospacing="1" w:after="100" w:afterAutospacing="1"/>
        <w:rPr>
          <w:rFonts w:ascii="Calibri" w:hAnsi="Calibri"/>
          <w:snapToGrid/>
          <w:sz w:val="24"/>
          <w:szCs w:val="24"/>
        </w:rPr>
      </w:pPr>
      <w:r>
        <w:rPr>
          <w:rFonts w:ascii="Calibri" w:hAnsi="Calibri"/>
          <w:snapToGrid/>
          <w:sz w:val="24"/>
          <w:szCs w:val="24"/>
        </w:rPr>
        <w:t>Assisted households receiving nominal payments of $50 or less;</w:t>
      </w:r>
    </w:p>
    <w:p w14:paraId="10F3032C" w14:textId="77777777" w:rsidR="004E04D2" w:rsidRPr="00D658C7" w:rsidRDefault="004E04D2" w:rsidP="004E04D2">
      <w:pPr>
        <w:widowControl/>
        <w:numPr>
          <w:ilvl w:val="0"/>
          <w:numId w:val="11"/>
        </w:numPr>
        <w:spacing w:before="100" w:beforeAutospacing="1" w:after="100" w:afterAutospacing="1"/>
        <w:rPr>
          <w:rFonts w:ascii="Calibri" w:hAnsi="Calibri"/>
          <w:snapToGrid/>
          <w:sz w:val="24"/>
          <w:szCs w:val="24"/>
        </w:rPr>
      </w:pPr>
      <w:r w:rsidRPr="00062551">
        <w:rPr>
          <w:rFonts w:ascii="Calibri" w:hAnsi="Calibri"/>
          <w:snapToGrid/>
          <w:sz w:val="24"/>
          <w:szCs w:val="24"/>
        </w:rPr>
        <w:t>Assisted households receiving only utility payment assistance;</w:t>
      </w:r>
      <w:r w:rsidR="00C104C6" w:rsidRPr="00062551">
        <w:rPr>
          <w:rFonts w:ascii="Calibri" w:hAnsi="Calibri"/>
          <w:snapToGrid/>
          <w:sz w:val="24"/>
          <w:szCs w:val="24"/>
        </w:rPr>
        <w:t xml:space="preserve"> </w:t>
      </w:r>
      <w:r w:rsidR="00C104C6">
        <w:rPr>
          <w:rFonts w:ascii="Calibri" w:hAnsi="Calibri"/>
          <w:snapToGrid/>
          <w:sz w:val="24"/>
          <w:szCs w:val="24"/>
        </w:rPr>
        <w:t>this information will automatically be transferred to the grantee’s Performance Data Form.</w:t>
      </w:r>
    </w:p>
    <w:p w14:paraId="10F3032D" w14:textId="77777777" w:rsidR="004E04D2" w:rsidRPr="00D658C7" w:rsidRDefault="004E04D2" w:rsidP="004E04D2">
      <w:pPr>
        <w:widowControl/>
        <w:numPr>
          <w:ilvl w:val="0"/>
          <w:numId w:val="11"/>
        </w:numPr>
        <w:spacing w:before="100" w:beforeAutospacing="1" w:after="100" w:afterAutospacing="1"/>
        <w:rPr>
          <w:rFonts w:ascii="Calibri" w:hAnsi="Calibri"/>
          <w:snapToGrid/>
          <w:sz w:val="24"/>
          <w:szCs w:val="24"/>
        </w:rPr>
      </w:pPr>
      <w:r w:rsidRPr="00D658C7">
        <w:rPr>
          <w:rFonts w:ascii="Calibri" w:hAnsi="Calibri"/>
          <w:snapToGrid/>
          <w:sz w:val="24"/>
          <w:szCs w:val="24"/>
        </w:rPr>
        <w:t>Assisted households, regardless of the type(s) of LIHEAP assistance</w:t>
      </w:r>
      <w:r w:rsidR="00C104C6">
        <w:rPr>
          <w:rFonts w:ascii="Calibri" w:hAnsi="Calibri"/>
          <w:snapToGrid/>
          <w:sz w:val="24"/>
          <w:szCs w:val="24"/>
        </w:rPr>
        <w:t>, excluding households that only receive nominal payments of $50 or less</w:t>
      </w:r>
      <w:r w:rsidRPr="00D658C7">
        <w:rPr>
          <w:rFonts w:ascii="Calibri" w:hAnsi="Calibri"/>
          <w:snapToGrid/>
          <w:sz w:val="24"/>
          <w:szCs w:val="24"/>
        </w:rPr>
        <w:t xml:space="preserve">;  </w:t>
      </w:r>
    </w:p>
    <w:p w14:paraId="10F3032E" w14:textId="7C45E517" w:rsidR="004E04D2" w:rsidRPr="00D658C7" w:rsidRDefault="004E04D2" w:rsidP="004E04D2">
      <w:pPr>
        <w:widowControl/>
        <w:numPr>
          <w:ilvl w:val="0"/>
          <w:numId w:val="11"/>
        </w:numPr>
        <w:spacing w:before="100" w:beforeAutospacing="1" w:after="100" w:afterAutospacing="1"/>
        <w:rPr>
          <w:rFonts w:ascii="Calibri" w:hAnsi="Calibri"/>
          <w:snapToGrid/>
          <w:sz w:val="24"/>
          <w:szCs w:val="24"/>
        </w:rPr>
      </w:pPr>
      <w:r w:rsidRPr="00D658C7">
        <w:rPr>
          <w:rFonts w:ascii="Calibri" w:hAnsi="Calibri"/>
          <w:snapToGrid/>
          <w:sz w:val="24"/>
          <w:szCs w:val="24"/>
        </w:rPr>
        <w:t xml:space="preserve">Assisted households, by type of LIHEAP assistance, having at least one vulnerable </w:t>
      </w:r>
      <w:r w:rsidR="005F06EA" w:rsidRPr="003F3FB7">
        <w:rPr>
          <w:rFonts w:ascii="Calibri" w:hAnsi="Calibri"/>
          <w:snapToGrid/>
          <w:sz w:val="24"/>
          <w:szCs w:val="24"/>
        </w:rPr>
        <w:t>member</w:t>
      </w:r>
      <w:r w:rsidR="005F06EA" w:rsidRPr="005F06EA">
        <w:rPr>
          <w:rFonts w:ascii="Calibri" w:hAnsi="Calibri"/>
          <w:b/>
          <w:snapToGrid/>
          <w:sz w:val="24"/>
          <w:szCs w:val="24"/>
        </w:rPr>
        <w:t xml:space="preserve"> </w:t>
      </w:r>
      <w:r w:rsidR="003F3FB7">
        <w:rPr>
          <w:rFonts w:ascii="Calibri" w:hAnsi="Calibri"/>
          <w:b/>
          <w:snapToGrid/>
          <w:sz w:val="24"/>
          <w:szCs w:val="24"/>
        </w:rPr>
        <w:t xml:space="preserve">who is </w:t>
      </w:r>
      <w:r w:rsidR="003F3FB7" w:rsidRPr="003F3FB7">
        <w:rPr>
          <w:rFonts w:ascii="Calibri" w:hAnsi="Calibri"/>
          <w:snapToGrid/>
          <w:sz w:val="24"/>
          <w:szCs w:val="24"/>
        </w:rPr>
        <w:t xml:space="preserve">at least </w:t>
      </w:r>
      <w:r w:rsidR="00847B62" w:rsidRPr="00D658C7">
        <w:rPr>
          <w:rFonts w:ascii="Calibri" w:hAnsi="Calibri"/>
          <w:snapToGrid/>
          <w:sz w:val="24"/>
          <w:szCs w:val="24"/>
        </w:rPr>
        <w:t>60 years or older, disabled, or five years old or younger</w:t>
      </w:r>
      <w:r w:rsidRPr="00D658C7">
        <w:rPr>
          <w:rFonts w:ascii="Calibri" w:hAnsi="Calibri"/>
          <w:snapToGrid/>
          <w:sz w:val="24"/>
          <w:szCs w:val="24"/>
        </w:rPr>
        <w:t>;</w:t>
      </w:r>
    </w:p>
    <w:p w14:paraId="10F3032F" w14:textId="77777777" w:rsidR="004E04D2" w:rsidRPr="00D658C7" w:rsidRDefault="004E04D2" w:rsidP="004E04D2">
      <w:pPr>
        <w:widowControl/>
        <w:numPr>
          <w:ilvl w:val="0"/>
          <w:numId w:val="11"/>
        </w:numPr>
        <w:spacing w:before="100" w:beforeAutospacing="1" w:after="100" w:afterAutospacing="1"/>
        <w:rPr>
          <w:rFonts w:ascii="Calibri" w:hAnsi="Calibri"/>
          <w:snapToGrid/>
          <w:sz w:val="24"/>
          <w:szCs w:val="24"/>
        </w:rPr>
      </w:pPr>
      <w:r w:rsidRPr="00D658C7">
        <w:rPr>
          <w:rFonts w:ascii="Calibri" w:hAnsi="Calibri"/>
          <w:snapToGrid/>
          <w:sz w:val="24"/>
          <w:szCs w:val="24"/>
        </w:rPr>
        <w:t xml:space="preserve">Assisted households, by type of LIHEAP assistance, with </w:t>
      </w:r>
      <w:r w:rsidR="00C104C6">
        <w:rPr>
          <w:rFonts w:ascii="Calibri" w:hAnsi="Calibri"/>
          <w:snapToGrid/>
          <w:sz w:val="24"/>
          <w:szCs w:val="24"/>
        </w:rPr>
        <w:t xml:space="preserve">at </w:t>
      </w:r>
      <w:r w:rsidRPr="00D658C7">
        <w:rPr>
          <w:rFonts w:ascii="Calibri" w:hAnsi="Calibri"/>
          <w:snapToGrid/>
          <w:sz w:val="24"/>
          <w:szCs w:val="24"/>
        </w:rPr>
        <w:t>least one member age 2 years or under;</w:t>
      </w:r>
    </w:p>
    <w:p w14:paraId="10F30330" w14:textId="77777777" w:rsidR="004E04D2" w:rsidRPr="00D658C7" w:rsidRDefault="004E04D2" w:rsidP="004E04D2">
      <w:pPr>
        <w:widowControl/>
        <w:numPr>
          <w:ilvl w:val="0"/>
          <w:numId w:val="11"/>
        </w:numPr>
        <w:spacing w:before="100" w:beforeAutospacing="1" w:after="100" w:afterAutospacing="1"/>
        <w:rPr>
          <w:rFonts w:ascii="Calibri" w:hAnsi="Calibri"/>
          <w:snapToGrid/>
          <w:sz w:val="24"/>
          <w:szCs w:val="24"/>
        </w:rPr>
      </w:pPr>
      <w:r w:rsidRPr="00D658C7">
        <w:rPr>
          <w:rFonts w:ascii="Calibri" w:hAnsi="Calibri"/>
          <w:snapToGrid/>
          <w:sz w:val="24"/>
          <w:szCs w:val="24"/>
        </w:rPr>
        <w:t>Assisted households, by type of LIHEAP assistance, with at least one member ages 3 years through 5 years; and</w:t>
      </w:r>
    </w:p>
    <w:p w14:paraId="10F30331" w14:textId="77777777" w:rsidR="00134F64" w:rsidRDefault="004E04D2">
      <w:pPr>
        <w:widowControl/>
        <w:numPr>
          <w:ilvl w:val="0"/>
          <w:numId w:val="11"/>
        </w:numPr>
        <w:spacing w:before="100" w:beforeAutospacing="1" w:after="100" w:afterAutospacing="1"/>
        <w:rPr>
          <w:rFonts w:ascii="Calibri" w:hAnsi="Calibri"/>
          <w:snapToGrid/>
          <w:sz w:val="24"/>
          <w:szCs w:val="24"/>
        </w:rPr>
      </w:pPr>
      <w:r w:rsidRPr="00D658C7">
        <w:rPr>
          <w:rFonts w:ascii="Calibri" w:hAnsi="Calibri"/>
          <w:snapToGrid/>
          <w:sz w:val="24"/>
          <w:szCs w:val="24"/>
        </w:rPr>
        <w:t>Assisted households, regardless of the type(s) of LIHEAP assistance, having at least one member 60 years or older, disabled, or five years old or younger.</w:t>
      </w:r>
    </w:p>
    <w:p w14:paraId="10F30332" w14:textId="77777777" w:rsidR="002C3C4F" w:rsidRPr="00EC51AB" w:rsidRDefault="00790D2C"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P</w:t>
      </w:r>
      <w:r w:rsidR="002C3C4F" w:rsidRPr="00EC51AB">
        <w:rPr>
          <w:rFonts w:ascii="Calibri" w:hAnsi="Calibri"/>
          <w:b/>
          <w:snapToGrid/>
          <w:sz w:val="24"/>
          <w:szCs w:val="24"/>
        </w:rPr>
        <w:t xml:space="preserve">urpose and Use of the Information Collection </w:t>
      </w:r>
      <w:bookmarkStart w:id="0" w:name="_GoBack"/>
      <w:bookmarkEnd w:id="0"/>
    </w:p>
    <w:p w14:paraId="10F30333" w14:textId="77777777" w:rsidR="007E7BC3" w:rsidRPr="00D658C7" w:rsidRDefault="007E7BC3" w:rsidP="007E7BC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The statutory purpose and use of the information collection include the following:</w:t>
      </w:r>
    </w:p>
    <w:p w14:paraId="10F30334" w14:textId="77777777" w:rsidR="007E7BC3" w:rsidRPr="00D658C7" w:rsidRDefault="007E7BC3" w:rsidP="007E7BC3">
      <w:pPr>
        <w:widowControl/>
        <w:spacing w:before="100" w:beforeAutospacing="1" w:after="100" w:afterAutospacing="1"/>
        <w:ind w:left="720"/>
        <w:rPr>
          <w:rFonts w:ascii="Calibri" w:hAnsi="Calibri"/>
          <w:snapToGrid/>
          <w:sz w:val="24"/>
          <w:szCs w:val="24"/>
        </w:rPr>
      </w:pPr>
    </w:p>
    <w:p w14:paraId="10F30335" w14:textId="77777777" w:rsidR="007E7BC3" w:rsidRPr="00D658C7" w:rsidRDefault="007E7BC3" w:rsidP="00882D62">
      <w:pPr>
        <w:widowControl/>
        <w:spacing w:before="100" w:beforeAutospacing="1" w:after="100" w:afterAutospacing="1"/>
        <w:ind w:left="1440" w:hanging="720"/>
        <w:rPr>
          <w:rFonts w:ascii="Calibri" w:hAnsi="Calibri"/>
          <w:snapToGrid/>
          <w:sz w:val="24"/>
          <w:szCs w:val="24"/>
        </w:rPr>
      </w:pPr>
      <w:r w:rsidRPr="00D658C7">
        <w:rPr>
          <w:rFonts w:ascii="Calibri" w:hAnsi="Calibri"/>
          <w:snapToGrid/>
          <w:sz w:val="24"/>
          <w:szCs w:val="24"/>
        </w:rPr>
        <w:lastRenderedPageBreak/>
        <w:t>•</w:t>
      </w:r>
      <w:r w:rsidRPr="00D658C7">
        <w:rPr>
          <w:rFonts w:ascii="Calibri" w:hAnsi="Calibri"/>
          <w:snapToGrid/>
          <w:sz w:val="24"/>
          <w:szCs w:val="24"/>
        </w:rPr>
        <w:tab/>
        <w:t xml:space="preserve">LIHEAP grantees are required to report the </w:t>
      </w:r>
      <w:r w:rsidR="00CA2F79">
        <w:rPr>
          <w:rFonts w:ascii="Calibri" w:hAnsi="Calibri"/>
          <w:snapToGrid/>
          <w:sz w:val="24"/>
          <w:szCs w:val="24"/>
        </w:rPr>
        <w:t xml:space="preserve">estimated or final </w:t>
      </w:r>
      <w:r w:rsidRPr="00D658C7">
        <w:rPr>
          <w:rFonts w:ascii="Calibri" w:hAnsi="Calibri"/>
          <w:snapToGrid/>
          <w:sz w:val="24"/>
          <w:szCs w:val="24"/>
        </w:rPr>
        <w:t>data contained in the previously approved LIHEAP Household Report as part of their annual application for LIHEAP funds, as required by Section 2605(c)(1)(G) of the Act (42 U.S.C. 8624).</w:t>
      </w:r>
      <w:r w:rsidR="008F0923">
        <w:rPr>
          <w:rFonts w:ascii="Calibri" w:hAnsi="Calibri"/>
          <w:snapToGrid/>
          <w:sz w:val="24"/>
          <w:szCs w:val="24"/>
        </w:rPr>
        <w:t xml:space="preserve">  If reporting estimated data, the grantee is required to submit a final Household Report no later than December 15</w:t>
      </w:r>
      <w:r w:rsidR="008F0923" w:rsidRPr="008F0923">
        <w:rPr>
          <w:rFonts w:ascii="Calibri" w:hAnsi="Calibri"/>
          <w:snapToGrid/>
          <w:sz w:val="24"/>
          <w:szCs w:val="24"/>
          <w:vertAlign w:val="superscript"/>
        </w:rPr>
        <w:t>th</w:t>
      </w:r>
      <w:r w:rsidR="008F0923">
        <w:rPr>
          <w:rFonts w:ascii="Calibri" w:hAnsi="Calibri"/>
          <w:snapToGrid/>
          <w:sz w:val="24"/>
          <w:szCs w:val="24"/>
        </w:rPr>
        <w:t>.</w:t>
      </w:r>
      <w:r w:rsidRPr="00D658C7">
        <w:rPr>
          <w:rFonts w:ascii="Calibri" w:hAnsi="Calibri"/>
          <w:snapToGrid/>
          <w:sz w:val="24"/>
          <w:szCs w:val="24"/>
        </w:rPr>
        <w:t xml:space="preserve"> </w:t>
      </w:r>
    </w:p>
    <w:p w14:paraId="10F30336" w14:textId="77777777" w:rsidR="007E7BC3" w:rsidRPr="00D658C7" w:rsidRDefault="007E7BC3" w:rsidP="00882D62">
      <w:pPr>
        <w:widowControl/>
        <w:spacing w:before="100" w:beforeAutospacing="1" w:after="100" w:afterAutospacing="1"/>
        <w:ind w:left="1440" w:hanging="720"/>
        <w:rPr>
          <w:rFonts w:ascii="Calibri" w:hAnsi="Calibri"/>
          <w:snapToGrid/>
          <w:sz w:val="24"/>
          <w:szCs w:val="24"/>
        </w:rPr>
      </w:pPr>
      <w:r w:rsidRPr="00D658C7">
        <w:rPr>
          <w:rFonts w:ascii="Calibri" w:hAnsi="Calibri"/>
          <w:snapToGrid/>
          <w:sz w:val="24"/>
          <w:szCs w:val="24"/>
        </w:rPr>
        <w:t>•</w:t>
      </w:r>
      <w:r w:rsidRPr="00D658C7">
        <w:rPr>
          <w:rFonts w:ascii="Calibri" w:hAnsi="Calibri"/>
          <w:snapToGrid/>
          <w:sz w:val="24"/>
          <w:szCs w:val="24"/>
        </w:rPr>
        <w:tab/>
        <w:t xml:space="preserve">OCS prepares the data on assisted households for inclusion in the Department's annual LIHEAP Report to Congress, as required by Section 2610(a)(4) and (5) and section 2610(b) of the Act (42 U.S.C. 8629). The data are used for Congressional oversight and in response to Congressional and White House queries on case load statistics and demographic characteristics of LIHEAP households.  </w:t>
      </w:r>
    </w:p>
    <w:p w14:paraId="10F30337" w14:textId="77777777" w:rsidR="00790D2C" w:rsidRPr="00D658C7" w:rsidRDefault="007E7BC3" w:rsidP="00882D62">
      <w:pPr>
        <w:widowControl/>
        <w:spacing w:before="100" w:beforeAutospacing="1" w:after="100" w:afterAutospacing="1"/>
        <w:ind w:left="1440" w:hanging="720"/>
        <w:rPr>
          <w:rFonts w:ascii="Calibri" w:hAnsi="Calibri"/>
          <w:snapToGrid/>
          <w:sz w:val="24"/>
          <w:szCs w:val="24"/>
        </w:rPr>
      </w:pPr>
      <w:r w:rsidRPr="00D658C7">
        <w:rPr>
          <w:rFonts w:ascii="Calibri" w:hAnsi="Calibri"/>
          <w:snapToGrid/>
          <w:sz w:val="24"/>
          <w:szCs w:val="24"/>
        </w:rPr>
        <w:t>•</w:t>
      </w:r>
      <w:r w:rsidRPr="00D658C7">
        <w:rPr>
          <w:rFonts w:ascii="Calibri" w:hAnsi="Calibri"/>
          <w:snapToGrid/>
          <w:sz w:val="24"/>
          <w:szCs w:val="24"/>
        </w:rPr>
        <w:tab/>
        <w:t>Finally, the data on heating assisted households containing at least one member who is elderly or a young child are used in calculating LIHEAP recipiency targeting performance measures, under the Government Performance and Results Act (GPRA) of 1993 (31 U.S.C. 1101) and the President’s annual Congressional Justification.</w:t>
      </w:r>
    </w:p>
    <w:p w14:paraId="10F30338"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Use of Improved Information Technology and Burden Reduction </w:t>
      </w:r>
    </w:p>
    <w:p w14:paraId="10F30339" w14:textId="77777777" w:rsidR="009C2DE1" w:rsidRDefault="007E7BC3" w:rsidP="009C2DE1">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 xml:space="preserve">All </w:t>
      </w:r>
      <w:r w:rsidR="00375170" w:rsidRPr="00D658C7">
        <w:rPr>
          <w:rFonts w:ascii="Calibri" w:hAnsi="Calibri"/>
          <w:snapToGrid/>
          <w:sz w:val="24"/>
          <w:szCs w:val="24"/>
        </w:rPr>
        <w:t xml:space="preserve">grantees reports are </w:t>
      </w:r>
      <w:r w:rsidR="00375170" w:rsidRPr="00375170">
        <w:rPr>
          <w:rFonts w:ascii="Calibri" w:hAnsi="Calibri"/>
          <w:snapToGrid/>
          <w:sz w:val="24"/>
          <w:szCs w:val="24"/>
        </w:rPr>
        <w:t>submitted through the Administration of Children and Families’ On-Line Data Collection System (OLDC)</w:t>
      </w:r>
      <w:r w:rsidR="00375170">
        <w:rPr>
          <w:rFonts w:ascii="Calibri" w:hAnsi="Calibri"/>
          <w:snapToGrid/>
          <w:sz w:val="24"/>
          <w:szCs w:val="24"/>
        </w:rPr>
        <w:t>.</w:t>
      </w:r>
      <w:r w:rsidR="00254BA8">
        <w:rPr>
          <w:rFonts w:ascii="Calibri" w:hAnsi="Calibri"/>
          <w:snapToGrid/>
          <w:sz w:val="24"/>
          <w:szCs w:val="24"/>
        </w:rPr>
        <w:t xml:space="preserve">  Instructions for completing the form are built into the form itself, through hyperlinks.</w:t>
      </w:r>
    </w:p>
    <w:p w14:paraId="10F3033A"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Efforts to Identify Duplication and Use of Similar Information </w:t>
      </w:r>
    </w:p>
    <w:p w14:paraId="10F3033B" w14:textId="77777777" w:rsidR="009F5543" w:rsidRPr="00D658C7" w:rsidRDefault="007E7BC3" w:rsidP="00254BA8">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Household income levels and presence of elderly, disabled, or young children can be estimated at the national and regional levels for the households receiving heating assistance from two national household surveys–the Annual Social and Economic Supplement (ASEC) to the Current Population Survey (conducted by the U.S. Bureau of the Census) and the Residential Energy Consumption Survey (conducted by the U.S. Energy Information Administration)</w:t>
      </w:r>
      <w:r w:rsidR="00326E87">
        <w:rPr>
          <w:rFonts w:ascii="Calibri" w:hAnsi="Calibri"/>
          <w:snapToGrid/>
          <w:sz w:val="24"/>
          <w:szCs w:val="24"/>
        </w:rPr>
        <w:t>.</w:t>
      </w:r>
      <w:r w:rsidRPr="00D658C7">
        <w:rPr>
          <w:rFonts w:ascii="Calibri" w:hAnsi="Calibri"/>
          <w:snapToGrid/>
          <w:sz w:val="24"/>
          <w:szCs w:val="24"/>
        </w:rPr>
        <w:t xml:space="preserve">  However, national household surveys do not provide reliable State-level data </w:t>
      </w:r>
      <w:r w:rsidR="00F71760">
        <w:rPr>
          <w:rFonts w:ascii="Calibri" w:hAnsi="Calibri"/>
          <w:snapToGrid/>
          <w:sz w:val="24"/>
          <w:szCs w:val="24"/>
        </w:rPr>
        <w:t>o</w:t>
      </w:r>
      <w:r w:rsidR="008F0923">
        <w:rPr>
          <w:rFonts w:ascii="Calibri" w:hAnsi="Calibri"/>
          <w:snapToGrid/>
          <w:sz w:val="24"/>
          <w:szCs w:val="24"/>
        </w:rPr>
        <w:t>n</w:t>
      </w:r>
      <w:r w:rsidR="00F71760">
        <w:rPr>
          <w:rFonts w:ascii="Calibri" w:hAnsi="Calibri"/>
          <w:snapToGrid/>
          <w:sz w:val="24"/>
          <w:szCs w:val="24"/>
        </w:rPr>
        <w:t xml:space="preserve"> </w:t>
      </w:r>
      <w:r w:rsidR="00635301">
        <w:rPr>
          <w:rFonts w:ascii="Calibri" w:hAnsi="Calibri"/>
          <w:snapToGrid/>
          <w:sz w:val="24"/>
          <w:szCs w:val="24"/>
        </w:rPr>
        <w:t>any type of LIHEAP assistance</w:t>
      </w:r>
      <w:r w:rsidRPr="00D658C7">
        <w:rPr>
          <w:rFonts w:ascii="Calibri" w:hAnsi="Calibri"/>
          <w:snapToGrid/>
          <w:sz w:val="24"/>
          <w:szCs w:val="24"/>
        </w:rPr>
        <w:t>, or data in a timely manner to comply with LIHEAP statutory reporting requirements.  Also, these surveys underestimate the number of households receiving heating assistance due to underreporting and sampling error.  There is no other similar information collection that can be modified to provide the data.</w:t>
      </w:r>
    </w:p>
    <w:p w14:paraId="10F3033C" w14:textId="77777777" w:rsidR="00134F64" w:rsidRPr="00EC51AB" w:rsidRDefault="002C3C4F" w:rsidP="00EC51AB">
      <w:pPr>
        <w:pStyle w:val="ListParagraph"/>
        <w:widowControl/>
        <w:numPr>
          <w:ilvl w:val="0"/>
          <w:numId w:val="14"/>
        </w:numPr>
        <w:spacing w:before="100" w:beforeAutospacing="1" w:after="100" w:afterAutospacing="1"/>
        <w:rPr>
          <w:rFonts w:ascii="Calibri" w:hAnsi="Calibri"/>
          <w:snapToGrid/>
          <w:sz w:val="24"/>
          <w:szCs w:val="24"/>
        </w:rPr>
      </w:pPr>
      <w:r w:rsidRPr="00EC51AB">
        <w:rPr>
          <w:rFonts w:ascii="Calibri" w:hAnsi="Calibri"/>
          <w:b/>
          <w:snapToGrid/>
          <w:sz w:val="24"/>
          <w:szCs w:val="24"/>
        </w:rPr>
        <w:t xml:space="preserve">Impact on Small Businesses or Other Small Entities </w:t>
      </w:r>
    </w:p>
    <w:p w14:paraId="10F3033D" w14:textId="77777777" w:rsidR="00134F64" w:rsidRDefault="007E7BC3">
      <w:pPr>
        <w:ind w:firstLine="720"/>
        <w:rPr>
          <w:rFonts w:ascii="Calibri" w:hAnsi="Calibri"/>
          <w:snapToGrid/>
          <w:sz w:val="24"/>
          <w:szCs w:val="24"/>
        </w:rPr>
      </w:pPr>
      <w:r w:rsidRPr="00D658C7">
        <w:rPr>
          <w:rFonts w:ascii="Calibri" w:hAnsi="Calibri"/>
          <w:snapToGrid/>
          <w:sz w:val="24"/>
          <w:szCs w:val="24"/>
        </w:rPr>
        <w:t xml:space="preserve">No small business entities are involved in the data collection. </w:t>
      </w:r>
    </w:p>
    <w:p w14:paraId="10F3033E"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lastRenderedPageBreak/>
        <w:t xml:space="preserve">Consequences of Collecting the Information Less Frequently </w:t>
      </w:r>
    </w:p>
    <w:p w14:paraId="10F3033F" w14:textId="77777777" w:rsidR="007E7BC3" w:rsidRPr="00D658C7" w:rsidRDefault="007E7BC3" w:rsidP="007E7BC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 xml:space="preserve">The deadline for LIHEAP grantees to submit their block grant applications/plans for the following fiscal year is September 1st of the current fiscal year.  Part of the block grant application requires the annual fiscal year data that are reported in the LIHEAP Household Report.  Consequently, grantees would be unable to comply with statutory requirements in section 2605(c)(1)(D of the LIHEAP statute (42 U.S.C. 8624(c)(1)(G) and 8629(a)(4), (a)(5), (b), and (c)) if the data were collected less frequently. </w:t>
      </w:r>
    </w:p>
    <w:p w14:paraId="10F30340" w14:textId="77777777" w:rsidR="007E7BC3" w:rsidRPr="00D658C7" w:rsidRDefault="007E7BC3" w:rsidP="007E7BC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 xml:space="preserve">Without the grantees’ annual reporting of the LIHEAP household data, HHS would be unable to complete its annual LIHEAP Report to Congress, as required by section 2610(b) of the LIHEAP statute (42 U.S.C. 8629).  </w:t>
      </w:r>
    </w:p>
    <w:p w14:paraId="10F30341" w14:textId="77777777" w:rsidR="007E7BC3" w:rsidRPr="00D658C7" w:rsidRDefault="007E7BC3" w:rsidP="007E7BC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 xml:space="preserve">There would be no way for OCS to track annual LIHEAP performance output.  </w:t>
      </w:r>
    </w:p>
    <w:p w14:paraId="10F30342" w14:textId="77777777" w:rsidR="009F5543" w:rsidRPr="00D658C7" w:rsidRDefault="007E7BC3" w:rsidP="00254BA8">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 xml:space="preserve">Finally, OCS also would be unable to obtain data that are necessary in calculating LIHEAP recipiency targeting and </w:t>
      </w:r>
      <w:r w:rsidR="003309C6">
        <w:rPr>
          <w:rFonts w:ascii="Calibri" w:hAnsi="Calibri"/>
          <w:snapToGrid/>
          <w:sz w:val="24"/>
          <w:szCs w:val="24"/>
        </w:rPr>
        <w:t xml:space="preserve">future </w:t>
      </w:r>
      <w:r w:rsidR="00F567DD">
        <w:rPr>
          <w:rFonts w:ascii="Calibri" w:hAnsi="Calibri"/>
          <w:snapToGrid/>
          <w:sz w:val="24"/>
          <w:szCs w:val="24"/>
        </w:rPr>
        <w:t>outcome developmental</w:t>
      </w:r>
      <w:r w:rsidRPr="00D658C7">
        <w:rPr>
          <w:rFonts w:ascii="Calibri" w:hAnsi="Calibri"/>
          <w:snapToGrid/>
          <w:sz w:val="24"/>
          <w:szCs w:val="24"/>
        </w:rPr>
        <w:t xml:space="preserve"> performance measures that are included in the President’s annual Congressional Justification.</w:t>
      </w:r>
    </w:p>
    <w:p w14:paraId="10F30343"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Special Circumstances Relating to the Guidelines of 5 CFR 1320.5 </w:t>
      </w:r>
    </w:p>
    <w:p w14:paraId="10F30344" w14:textId="77777777" w:rsidR="00134F64" w:rsidRDefault="007E7BC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There are no special circumstances that require the collection to be conducted in a manner inconsistent with the guidelines in 5 CFR 1320.5.</w:t>
      </w:r>
    </w:p>
    <w:p w14:paraId="10F30345"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Comments in Response to the Federal Register Notice and Efforts to Consult Outside the Agency </w:t>
      </w:r>
    </w:p>
    <w:p w14:paraId="10F30346" w14:textId="77777777" w:rsidR="007E7BC3" w:rsidRPr="00D658C7" w:rsidRDefault="007E7BC3" w:rsidP="007D6669">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OCS sought comments on the renewal of OMB approval of the LIHEAP Household Report through the following actions:</w:t>
      </w:r>
    </w:p>
    <w:p w14:paraId="10F30347" w14:textId="77777777" w:rsidR="00134F64" w:rsidRDefault="007E7BC3">
      <w:pPr>
        <w:widowControl/>
        <w:spacing w:before="100" w:beforeAutospacing="1" w:after="100" w:afterAutospacing="1"/>
        <w:ind w:left="1440" w:hanging="720"/>
        <w:rPr>
          <w:rFonts w:ascii="Calibri" w:hAnsi="Calibri"/>
          <w:snapToGrid/>
          <w:sz w:val="24"/>
          <w:szCs w:val="24"/>
        </w:rPr>
      </w:pPr>
      <w:r w:rsidRPr="00D658C7">
        <w:rPr>
          <w:rFonts w:ascii="Calibri" w:hAnsi="Calibri"/>
          <w:snapToGrid/>
          <w:sz w:val="24"/>
          <w:szCs w:val="24"/>
        </w:rPr>
        <w:t>•</w:t>
      </w:r>
      <w:r w:rsidRPr="00D658C7">
        <w:rPr>
          <w:rFonts w:ascii="Calibri" w:hAnsi="Calibri"/>
          <w:snapToGrid/>
          <w:sz w:val="24"/>
          <w:szCs w:val="24"/>
        </w:rPr>
        <w:tab/>
        <w:t xml:space="preserve">On February </w:t>
      </w:r>
      <w:r w:rsidR="00A66763">
        <w:rPr>
          <w:rFonts w:ascii="Calibri" w:hAnsi="Calibri"/>
          <w:snapToGrid/>
          <w:sz w:val="24"/>
          <w:szCs w:val="24"/>
        </w:rPr>
        <w:t>27,</w:t>
      </w:r>
      <w:r w:rsidRPr="00D658C7">
        <w:rPr>
          <w:rFonts w:ascii="Calibri" w:hAnsi="Calibri"/>
          <w:snapToGrid/>
          <w:sz w:val="24"/>
          <w:szCs w:val="24"/>
        </w:rPr>
        <w:t xml:space="preserve"> 201</w:t>
      </w:r>
      <w:r w:rsidR="00A66763">
        <w:rPr>
          <w:rFonts w:ascii="Calibri" w:hAnsi="Calibri"/>
          <w:snapToGrid/>
          <w:sz w:val="24"/>
          <w:szCs w:val="24"/>
        </w:rPr>
        <w:t>5</w:t>
      </w:r>
      <w:r w:rsidRPr="00D658C7">
        <w:rPr>
          <w:rFonts w:ascii="Calibri" w:hAnsi="Calibri"/>
          <w:snapToGrid/>
          <w:sz w:val="24"/>
          <w:szCs w:val="24"/>
        </w:rPr>
        <w:t>, a notice was published in the Federal Register (</w:t>
      </w:r>
      <w:r w:rsidR="00A66763">
        <w:rPr>
          <w:rFonts w:ascii="Calibri" w:hAnsi="Calibri"/>
          <w:snapToGrid/>
          <w:sz w:val="24"/>
          <w:szCs w:val="24"/>
        </w:rPr>
        <w:t>79</w:t>
      </w:r>
      <w:r w:rsidRPr="00D658C7">
        <w:rPr>
          <w:rFonts w:ascii="Calibri" w:hAnsi="Calibri"/>
          <w:snapToGrid/>
          <w:sz w:val="24"/>
          <w:szCs w:val="24"/>
        </w:rPr>
        <w:t xml:space="preserve"> FR </w:t>
      </w:r>
      <w:r w:rsidR="00A66763">
        <w:rPr>
          <w:rFonts w:ascii="Calibri" w:hAnsi="Calibri"/>
          <w:snapToGrid/>
          <w:sz w:val="24"/>
          <w:szCs w:val="24"/>
        </w:rPr>
        <w:t>32550</w:t>
      </w:r>
      <w:r w:rsidRPr="00D658C7">
        <w:rPr>
          <w:rFonts w:ascii="Calibri" w:hAnsi="Calibri"/>
          <w:snapToGrid/>
          <w:sz w:val="24"/>
          <w:szCs w:val="24"/>
        </w:rPr>
        <w:t xml:space="preserve">) requesting comments about the LIHEAP Household Report. </w:t>
      </w:r>
    </w:p>
    <w:p w14:paraId="10F30348" w14:textId="77777777" w:rsidR="00134F64" w:rsidRDefault="007E7BC3">
      <w:pPr>
        <w:widowControl/>
        <w:spacing w:before="100" w:beforeAutospacing="1" w:after="100" w:afterAutospacing="1"/>
        <w:ind w:left="1440" w:hanging="720"/>
        <w:rPr>
          <w:rFonts w:ascii="Calibri" w:hAnsi="Calibri"/>
          <w:snapToGrid/>
          <w:sz w:val="24"/>
          <w:szCs w:val="24"/>
        </w:rPr>
      </w:pPr>
      <w:r w:rsidRPr="00D658C7">
        <w:rPr>
          <w:rFonts w:ascii="Calibri" w:hAnsi="Calibri"/>
          <w:snapToGrid/>
          <w:sz w:val="24"/>
          <w:szCs w:val="24"/>
        </w:rPr>
        <w:t>•</w:t>
      </w:r>
      <w:r w:rsidRPr="00D658C7">
        <w:rPr>
          <w:rFonts w:ascii="Calibri" w:hAnsi="Calibri"/>
          <w:snapToGrid/>
          <w:sz w:val="24"/>
          <w:szCs w:val="24"/>
        </w:rPr>
        <w:tab/>
      </w:r>
      <w:r w:rsidR="00254BA8">
        <w:rPr>
          <w:rFonts w:ascii="Calibri" w:hAnsi="Calibri"/>
          <w:snapToGrid/>
          <w:sz w:val="24"/>
          <w:szCs w:val="24"/>
        </w:rPr>
        <w:t>A notice was published on the OCS website announcing the publication of the Federal Register notice and soliciting comments.</w:t>
      </w:r>
    </w:p>
    <w:p w14:paraId="10F30349" w14:textId="77777777" w:rsidR="009C2DE1" w:rsidRPr="00D658C7" w:rsidRDefault="00062551" w:rsidP="00062551">
      <w:pPr>
        <w:widowControl/>
        <w:spacing w:before="100" w:beforeAutospacing="1" w:after="100" w:afterAutospacing="1"/>
        <w:ind w:left="720"/>
        <w:rPr>
          <w:rFonts w:ascii="Calibri" w:hAnsi="Calibri"/>
          <w:snapToGrid/>
          <w:sz w:val="24"/>
          <w:szCs w:val="24"/>
        </w:rPr>
      </w:pPr>
      <w:r>
        <w:rPr>
          <w:rFonts w:ascii="Calibri" w:hAnsi="Calibri"/>
          <w:snapToGrid/>
          <w:sz w:val="24"/>
          <w:szCs w:val="24"/>
        </w:rPr>
        <w:t xml:space="preserve">OCS received one comment from a community action agency in Louisiana requesting more information on the proposed data collection.  A response was sent via email to clarify specifically what type of information is being sought.  OCS has not yet heard back from the inquirer with further clarification. </w:t>
      </w:r>
    </w:p>
    <w:p w14:paraId="10F3034A" w14:textId="77777777" w:rsidR="00CB1A12" w:rsidRPr="00D658C7" w:rsidRDefault="00CB1A12" w:rsidP="009C2DE1">
      <w:pPr>
        <w:widowControl/>
        <w:spacing w:before="100" w:beforeAutospacing="1" w:after="100" w:afterAutospacing="1"/>
        <w:rPr>
          <w:rFonts w:ascii="Calibri" w:hAnsi="Calibri"/>
          <w:snapToGrid/>
          <w:sz w:val="24"/>
          <w:szCs w:val="24"/>
        </w:rPr>
      </w:pPr>
    </w:p>
    <w:p w14:paraId="10F3034B"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lastRenderedPageBreak/>
        <w:t xml:space="preserve">Explanation of Any Payment or Gift to Respondents </w:t>
      </w:r>
    </w:p>
    <w:p w14:paraId="10F3034C" w14:textId="77777777" w:rsidR="00CB1A12" w:rsidRPr="00D658C7" w:rsidRDefault="007E7BC3" w:rsidP="00CB1A12">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No payment or gifts to respondents are involved.</w:t>
      </w:r>
    </w:p>
    <w:p w14:paraId="10F3034D"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Assurance of Confidentiality Provided to Respondents </w:t>
      </w:r>
    </w:p>
    <w:p w14:paraId="10F3034E" w14:textId="77777777" w:rsidR="00A04EF3" w:rsidRPr="00D658C7" w:rsidRDefault="007E7BC3" w:rsidP="00A04EF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Confidentiality is not an issue as only aggregated household data are collected.</w:t>
      </w:r>
    </w:p>
    <w:p w14:paraId="10F3034F"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Justification for Sensitive Questions </w:t>
      </w:r>
    </w:p>
    <w:p w14:paraId="10F30350" w14:textId="77777777" w:rsidR="00CB1A12" w:rsidRPr="00D658C7" w:rsidRDefault="004743F6" w:rsidP="00CB1A12">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There are no questions of a sensitive nature that are commonly considered private.</w:t>
      </w:r>
    </w:p>
    <w:p w14:paraId="10F30351"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Estimates of Annualized Burden Hours and Costs </w:t>
      </w:r>
    </w:p>
    <w:p w14:paraId="10F30352" w14:textId="77777777" w:rsidR="004743F6" w:rsidRPr="00D658C7" w:rsidRDefault="004743F6" w:rsidP="004743F6">
      <w:pPr>
        <w:tabs>
          <w:tab w:val="left" w:pos="544"/>
          <w:tab w:val="left" w:pos="814"/>
        </w:tabs>
        <w:ind w:left="544"/>
        <w:rPr>
          <w:rFonts w:ascii="Calibri" w:hAnsi="Calibri"/>
          <w:sz w:val="24"/>
          <w:szCs w:val="24"/>
        </w:rPr>
      </w:pPr>
      <w:r w:rsidRPr="00D658C7">
        <w:rPr>
          <w:rFonts w:ascii="Calibri" w:hAnsi="Calibri"/>
          <w:sz w:val="24"/>
          <w:szCs w:val="24"/>
        </w:rPr>
        <w:t xml:space="preserve">Estimates of the hour burden of the collection of information are based on the number of LIHEAP grantees (50 States, the District of Columbia, 160 Indian Tribes/Tribal Organizations, and five Insular Areas) completing the information collection annually. </w:t>
      </w:r>
    </w:p>
    <w:p w14:paraId="10F30353" w14:textId="77777777" w:rsidR="004743F6" w:rsidRPr="00D658C7" w:rsidRDefault="004743F6" w:rsidP="004743F6">
      <w:pPr>
        <w:tabs>
          <w:tab w:val="left" w:pos="544"/>
          <w:tab w:val="left" w:pos="814"/>
        </w:tabs>
        <w:ind w:left="544"/>
        <w:rPr>
          <w:rFonts w:ascii="Calibri" w:hAnsi="Calibri" w:cs="Arial"/>
          <w:sz w:val="24"/>
          <w:szCs w:val="24"/>
        </w:rPr>
      </w:pPr>
    </w:p>
    <w:p w14:paraId="10F30354" w14:textId="77777777" w:rsidR="004743F6" w:rsidRPr="00D658C7" w:rsidRDefault="004541D2" w:rsidP="004743F6">
      <w:pPr>
        <w:tabs>
          <w:tab w:val="left" w:pos="544"/>
          <w:tab w:val="left" w:pos="814"/>
        </w:tabs>
        <w:ind w:left="544"/>
        <w:rPr>
          <w:rFonts w:ascii="Calibri" w:hAnsi="Calibri" w:cs="Arial"/>
          <w:sz w:val="24"/>
          <w:szCs w:val="24"/>
        </w:rPr>
      </w:pPr>
      <w:r>
        <w:rPr>
          <w:rFonts w:ascii="Calibri" w:hAnsi="Calibri" w:cs="Arial"/>
          <w:sz w:val="24"/>
          <w:szCs w:val="24"/>
        </w:rPr>
        <w:t>T</w:t>
      </w:r>
      <w:r w:rsidR="004743F6" w:rsidRPr="00D658C7">
        <w:rPr>
          <w:rFonts w:ascii="Calibri" w:hAnsi="Calibri" w:cs="Arial"/>
          <w:sz w:val="24"/>
          <w:szCs w:val="24"/>
        </w:rPr>
        <w:t>he response burden on respondents varies based on the following:</w:t>
      </w:r>
    </w:p>
    <w:p w14:paraId="10F30355" w14:textId="77777777" w:rsidR="004743F6" w:rsidRPr="00D658C7" w:rsidRDefault="004743F6" w:rsidP="004743F6">
      <w:pPr>
        <w:tabs>
          <w:tab w:val="left" w:pos="544"/>
          <w:tab w:val="left" w:pos="814"/>
        </w:tabs>
        <w:ind w:left="544"/>
        <w:rPr>
          <w:rFonts w:ascii="Calibri" w:hAnsi="Calibri" w:cs="Arial"/>
          <w:sz w:val="24"/>
          <w:szCs w:val="24"/>
        </w:rPr>
      </w:pPr>
    </w:p>
    <w:p w14:paraId="10F30356" w14:textId="2CD3FF80" w:rsidR="004743F6" w:rsidRPr="00D658C7" w:rsidRDefault="004743F6" w:rsidP="00254BA8">
      <w:pPr>
        <w:widowControl/>
        <w:numPr>
          <w:ilvl w:val="0"/>
          <w:numId w:val="8"/>
        </w:numPr>
        <w:tabs>
          <w:tab w:val="left" w:pos="-1440"/>
          <w:tab w:val="left" w:pos="-720"/>
          <w:tab w:val="left" w:pos="547"/>
          <w:tab w:val="left" w:pos="907"/>
        </w:tabs>
        <w:suppressAutoHyphens/>
        <w:rPr>
          <w:rFonts w:ascii="Calibri" w:hAnsi="Calibri" w:cs="Arial"/>
          <w:spacing w:val="-3"/>
          <w:sz w:val="24"/>
          <w:szCs w:val="24"/>
        </w:rPr>
      </w:pPr>
      <w:r w:rsidRPr="00D658C7">
        <w:rPr>
          <w:rFonts w:ascii="Calibri" w:hAnsi="Calibri" w:cs="Arial"/>
          <w:spacing w:val="-3"/>
          <w:sz w:val="24"/>
          <w:szCs w:val="24"/>
        </w:rPr>
        <w:t xml:space="preserve">The </w:t>
      </w:r>
      <w:r w:rsidRPr="00D658C7">
        <w:rPr>
          <w:rFonts w:ascii="Calibri" w:hAnsi="Calibri" w:cs="Arial"/>
          <w:i/>
          <w:spacing w:val="-3"/>
          <w:sz w:val="24"/>
          <w:szCs w:val="24"/>
        </w:rPr>
        <w:t>LIHEAP Household Report</w:t>
      </w:r>
      <w:r w:rsidRPr="00D658C7">
        <w:rPr>
          <w:rFonts w:ascii="Calibri" w:hAnsi="Calibri" w:cs="Arial"/>
          <w:spacing w:val="-3"/>
          <w:sz w:val="24"/>
          <w:szCs w:val="24"/>
        </w:rPr>
        <w:t xml:space="preserve"> </w:t>
      </w:r>
      <w:r w:rsidR="00254BA8">
        <w:rPr>
          <w:rFonts w:ascii="Calibri" w:hAnsi="Calibri" w:cs="Arial"/>
          <w:spacing w:val="-3"/>
          <w:sz w:val="24"/>
          <w:szCs w:val="24"/>
        </w:rPr>
        <w:t xml:space="preserve">– </w:t>
      </w:r>
      <w:r w:rsidR="005F06EA" w:rsidRPr="005F06EA">
        <w:rPr>
          <w:rFonts w:ascii="Calibri" w:hAnsi="Calibri" w:cs="Arial"/>
          <w:i/>
          <w:spacing w:val="-3"/>
          <w:sz w:val="24"/>
          <w:szCs w:val="24"/>
        </w:rPr>
        <w:t>Long Format</w:t>
      </w:r>
      <w:r w:rsidR="00254BA8">
        <w:rPr>
          <w:rFonts w:ascii="Calibri" w:hAnsi="Calibri" w:cs="Arial"/>
          <w:spacing w:val="-3"/>
          <w:sz w:val="24"/>
          <w:szCs w:val="24"/>
        </w:rPr>
        <w:t xml:space="preserve"> </w:t>
      </w:r>
      <w:r w:rsidRPr="00D658C7">
        <w:rPr>
          <w:rFonts w:ascii="Calibri" w:hAnsi="Calibri" w:cs="Arial"/>
          <w:spacing w:val="-3"/>
          <w:sz w:val="24"/>
          <w:szCs w:val="24"/>
        </w:rPr>
        <w:t>for the 50 States, the District of Columbia, and the Commonwealth of Puerto Rico</w:t>
      </w:r>
      <w:r w:rsidR="00254BA8">
        <w:rPr>
          <w:rFonts w:ascii="Calibri" w:hAnsi="Calibri" w:cs="Arial"/>
          <w:spacing w:val="-3"/>
          <w:sz w:val="24"/>
          <w:szCs w:val="24"/>
        </w:rPr>
        <w:t xml:space="preserve"> (average burden per respondent </w:t>
      </w:r>
      <w:r w:rsidR="003E76EE">
        <w:rPr>
          <w:rFonts w:ascii="Calibri" w:hAnsi="Calibri" w:cs="Arial"/>
          <w:spacing w:val="-3"/>
          <w:sz w:val="24"/>
          <w:szCs w:val="24"/>
        </w:rPr>
        <w:t>of</w:t>
      </w:r>
      <w:r w:rsidR="00254BA8">
        <w:rPr>
          <w:rFonts w:ascii="Calibri" w:hAnsi="Calibri" w:cs="Arial"/>
          <w:spacing w:val="-3"/>
          <w:sz w:val="24"/>
          <w:szCs w:val="24"/>
        </w:rPr>
        <w:t xml:space="preserve"> 3</w:t>
      </w:r>
      <w:r w:rsidR="004541D2">
        <w:rPr>
          <w:rFonts w:ascii="Calibri" w:hAnsi="Calibri" w:cs="Arial"/>
          <w:spacing w:val="-3"/>
          <w:sz w:val="24"/>
          <w:szCs w:val="24"/>
        </w:rPr>
        <w:t>9</w:t>
      </w:r>
      <w:r w:rsidR="00254BA8">
        <w:rPr>
          <w:rFonts w:ascii="Calibri" w:hAnsi="Calibri" w:cs="Arial"/>
          <w:spacing w:val="-3"/>
          <w:sz w:val="24"/>
          <w:szCs w:val="24"/>
        </w:rPr>
        <w:t xml:space="preserve"> hours).</w:t>
      </w:r>
      <w:r w:rsidRPr="00D658C7">
        <w:rPr>
          <w:rFonts w:ascii="Calibri" w:hAnsi="Calibri" w:cs="Arial"/>
          <w:spacing w:val="-3"/>
          <w:sz w:val="24"/>
          <w:szCs w:val="24"/>
        </w:rPr>
        <w:t xml:space="preserve"> </w:t>
      </w:r>
    </w:p>
    <w:p w14:paraId="10F30357" w14:textId="77777777" w:rsidR="004743F6" w:rsidRPr="00D658C7" w:rsidRDefault="004743F6" w:rsidP="004743F6">
      <w:pPr>
        <w:pStyle w:val="Level1"/>
        <w:numPr>
          <w:ilvl w:val="0"/>
          <w:numId w:val="5"/>
        </w:numPr>
        <w:tabs>
          <w:tab w:val="left" w:pos="544"/>
        </w:tabs>
        <w:rPr>
          <w:rFonts w:ascii="Calibri" w:hAnsi="Calibri" w:cs="Arial"/>
          <w:szCs w:val="24"/>
        </w:rPr>
      </w:pPr>
      <w:r w:rsidRPr="00D658C7">
        <w:rPr>
          <w:rFonts w:ascii="Calibri" w:hAnsi="Calibri" w:cs="Arial"/>
          <w:szCs w:val="24"/>
        </w:rPr>
        <w:t xml:space="preserve">The </w:t>
      </w:r>
      <w:r w:rsidRPr="00D658C7">
        <w:rPr>
          <w:rFonts w:ascii="Calibri" w:hAnsi="Calibri" w:cs="Arial"/>
          <w:i/>
          <w:szCs w:val="24"/>
        </w:rPr>
        <w:t>LIHEAP Household Report</w:t>
      </w:r>
      <w:r w:rsidR="00254BA8">
        <w:rPr>
          <w:rFonts w:ascii="Calibri" w:hAnsi="Calibri" w:cs="Arial"/>
          <w:i/>
          <w:szCs w:val="24"/>
        </w:rPr>
        <w:t xml:space="preserve"> – Short Format</w:t>
      </w:r>
      <w:r w:rsidRPr="00D658C7">
        <w:rPr>
          <w:rFonts w:ascii="Calibri" w:hAnsi="Calibri" w:cs="Arial"/>
          <w:szCs w:val="24"/>
        </w:rPr>
        <w:t xml:space="preserve"> for the 160 Indian Tribes/Tribal Organizations and 4 Insular Areas (average burden per respondent of 1 hour).</w:t>
      </w:r>
    </w:p>
    <w:p w14:paraId="10F30358" w14:textId="77777777" w:rsidR="004743F6" w:rsidRPr="00D658C7" w:rsidRDefault="004743F6" w:rsidP="004743F6">
      <w:pPr>
        <w:pStyle w:val="Level1"/>
        <w:tabs>
          <w:tab w:val="left" w:pos="544"/>
        </w:tabs>
        <w:rPr>
          <w:rFonts w:ascii="Calibri" w:hAnsi="Calibri" w:cs="Arial"/>
          <w:szCs w:val="24"/>
        </w:rPr>
      </w:pPr>
    </w:p>
    <w:p w14:paraId="10F30359" w14:textId="77777777" w:rsidR="004743F6" w:rsidRPr="00D658C7" w:rsidRDefault="004743F6" w:rsidP="004743F6">
      <w:pPr>
        <w:pStyle w:val="Level1"/>
        <w:tabs>
          <w:tab w:val="left" w:pos="544"/>
        </w:tabs>
        <w:ind w:left="544"/>
        <w:jc w:val="center"/>
        <w:outlineLvl w:val="0"/>
        <w:rPr>
          <w:rFonts w:ascii="Calibri" w:hAnsi="Calibri" w:cs="Arial"/>
          <w:szCs w:val="24"/>
        </w:rPr>
      </w:pPr>
      <w:r w:rsidRPr="00D658C7">
        <w:rPr>
          <w:rFonts w:ascii="Calibri" w:hAnsi="Calibri"/>
          <w:szCs w:val="24"/>
        </w:rPr>
        <w:t xml:space="preserve"> </w:t>
      </w:r>
      <w:r w:rsidRPr="00D658C7">
        <w:rPr>
          <w:rFonts w:ascii="Calibri" w:hAnsi="Calibri" w:cs="Arial"/>
          <w:szCs w:val="24"/>
        </w:rPr>
        <w:t xml:space="preserve">Annual Burden Estimates for </w:t>
      </w:r>
      <w:r w:rsidRPr="00D658C7">
        <w:rPr>
          <w:rFonts w:ascii="Calibri" w:hAnsi="Calibri" w:cs="Arial"/>
          <w:i/>
          <w:szCs w:val="24"/>
        </w:rPr>
        <w:t>LIHEAP Household Report</w:t>
      </w:r>
    </w:p>
    <w:p w14:paraId="10F3035A" w14:textId="77777777" w:rsidR="004743F6" w:rsidRPr="00D658C7" w:rsidRDefault="004743F6" w:rsidP="004743F6">
      <w:pPr>
        <w:tabs>
          <w:tab w:val="center" w:pos="4493"/>
        </w:tabs>
        <w:jc w:val="center"/>
        <w:rPr>
          <w:rFonts w:ascii="Calibri" w:hAnsi="Calibri"/>
          <w:sz w:val="24"/>
          <w:szCs w:val="24"/>
        </w:rPr>
      </w:pPr>
    </w:p>
    <w:tbl>
      <w:tblPr>
        <w:tblW w:w="8684" w:type="dxa"/>
        <w:tblInd w:w="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649"/>
        <w:gridCol w:w="1515"/>
        <w:gridCol w:w="2100"/>
        <w:gridCol w:w="2160"/>
        <w:gridCol w:w="1260"/>
      </w:tblGrid>
      <w:tr w:rsidR="004541D2" w:rsidRPr="00D658C7" w14:paraId="10F30361" w14:textId="77777777" w:rsidTr="004541D2">
        <w:trPr>
          <w:cantSplit/>
          <w:trHeight w:hRule="exact" w:val="1145"/>
          <w:tblHeader/>
        </w:trPr>
        <w:tc>
          <w:tcPr>
            <w:tcW w:w="1649" w:type="dxa"/>
          </w:tcPr>
          <w:p w14:paraId="10F3035B"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Instrument</w:t>
            </w:r>
          </w:p>
        </w:tc>
        <w:tc>
          <w:tcPr>
            <w:tcW w:w="1515" w:type="dxa"/>
          </w:tcPr>
          <w:p w14:paraId="10F3035C" w14:textId="77777777" w:rsidR="004743F6" w:rsidRPr="00D658C7" w:rsidRDefault="004743F6" w:rsidP="004541D2">
            <w:pPr>
              <w:tabs>
                <w:tab w:val="left" w:pos="544"/>
                <w:tab w:val="left" w:pos="814"/>
              </w:tabs>
              <w:spacing w:before="120"/>
              <w:jc w:val="center"/>
              <w:rPr>
                <w:rFonts w:ascii="Calibri" w:hAnsi="Calibri"/>
                <w:sz w:val="24"/>
                <w:szCs w:val="24"/>
              </w:rPr>
            </w:pPr>
            <w:r w:rsidRPr="00D658C7">
              <w:rPr>
                <w:rFonts w:ascii="Calibri" w:hAnsi="Calibri"/>
                <w:sz w:val="24"/>
                <w:szCs w:val="24"/>
              </w:rPr>
              <w:t>Number</w:t>
            </w:r>
            <w:r w:rsidR="004541D2">
              <w:rPr>
                <w:rFonts w:ascii="Calibri" w:hAnsi="Calibri"/>
                <w:sz w:val="24"/>
                <w:szCs w:val="24"/>
              </w:rPr>
              <w:t xml:space="preserve"> </w:t>
            </w:r>
            <w:r w:rsidRPr="00D658C7">
              <w:rPr>
                <w:rFonts w:ascii="Calibri" w:hAnsi="Calibri"/>
                <w:sz w:val="24"/>
                <w:szCs w:val="24"/>
              </w:rPr>
              <w:t>of</w:t>
            </w:r>
          </w:p>
          <w:p w14:paraId="10F3035D" w14:textId="77777777" w:rsidR="004743F6" w:rsidRPr="00D658C7" w:rsidRDefault="004743F6" w:rsidP="00D658C7">
            <w:pPr>
              <w:tabs>
                <w:tab w:val="left" w:pos="544"/>
                <w:tab w:val="left" w:pos="814"/>
              </w:tabs>
              <w:spacing w:after="8"/>
              <w:jc w:val="center"/>
              <w:rPr>
                <w:rFonts w:ascii="Calibri" w:hAnsi="Calibri"/>
                <w:sz w:val="24"/>
                <w:szCs w:val="24"/>
              </w:rPr>
            </w:pPr>
            <w:r w:rsidRPr="00D658C7">
              <w:rPr>
                <w:rFonts w:ascii="Calibri" w:hAnsi="Calibri"/>
                <w:sz w:val="24"/>
                <w:szCs w:val="24"/>
              </w:rPr>
              <w:t>Respondents</w:t>
            </w:r>
          </w:p>
        </w:tc>
        <w:tc>
          <w:tcPr>
            <w:tcW w:w="2100" w:type="dxa"/>
          </w:tcPr>
          <w:p w14:paraId="10F3035E"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Number of Responses</w:t>
            </w:r>
            <w:r w:rsidR="004541D2">
              <w:rPr>
                <w:rFonts w:ascii="Calibri" w:hAnsi="Calibri"/>
                <w:sz w:val="24"/>
                <w:szCs w:val="24"/>
              </w:rPr>
              <w:t xml:space="preserve"> </w:t>
            </w:r>
            <w:r w:rsidRPr="00D658C7">
              <w:rPr>
                <w:rFonts w:ascii="Calibri" w:hAnsi="Calibri"/>
                <w:sz w:val="24"/>
                <w:szCs w:val="24"/>
              </w:rPr>
              <w:t>Per Respondent</w:t>
            </w:r>
          </w:p>
        </w:tc>
        <w:tc>
          <w:tcPr>
            <w:tcW w:w="2160" w:type="dxa"/>
          </w:tcPr>
          <w:p w14:paraId="10F3035F"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Average Hour Burden Per</w:t>
            </w:r>
            <w:r w:rsidR="004541D2">
              <w:rPr>
                <w:rFonts w:ascii="Calibri" w:hAnsi="Calibri"/>
                <w:sz w:val="24"/>
                <w:szCs w:val="24"/>
              </w:rPr>
              <w:t xml:space="preserve"> </w:t>
            </w:r>
            <w:r w:rsidRPr="00D658C7">
              <w:rPr>
                <w:rFonts w:ascii="Calibri" w:hAnsi="Calibri"/>
                <w:sz w:val="24"/>
                <w:szCs w:val="24"/>
              </w:rPr>
              <w:t>Response</w:t>
            </w:r>
          </w:p>
        </w:tc>
        <w:tc>
          <w:tcPr>
            <w:tcW w:w="1260" w:type="dxa"/>
          </w:tcPr>
          <w:p w14:paraId="10F30360"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Total Burden Hours</w:t>
            </w:r>
          </w:p>
        </w:tc>
      </w:tr>
      <w:tr w:rsidR="004541D2" w:rsidRPr="00D658C7" w14:paraId="10F30367" w14:textId="77777777" w:rsidTr="004541D2">
        <w:trPr>
          <w:cantSplit/>
        </w:trPr>
        <w:tc>
          <w:tcPr>
            <w:tcW w:w="1649" w:type="dxa"/>
          </w:tcPr>
          <w:p w14:paraId="10F30362" w14:textId="77777777" w:rsidR="004743F6" w:rsidRPr="00D658C7" w:rsidRDefault="004743F6" w:rsidP="00254BA8">
            <w:pPr>
              <w:tabs>
                <w:tab w:val="left" w:pos="544"/>
                <w:tab w:val="left" w:pos="814"/>
              </w:tabs>
              <w:spacing w:before="120" w:after="8"/>
              <w:rPr>
                <w:rFonts w:ascii="Calibri" w:hAnsi="Calibri"/>
                <w:sz w:val="24"/>
                <w:szCs w:val="24"/>
              </w:rPr>
            </w:pPr>
            <w:r w:rsidRPr="00D658C7">
              <w:rPr>
                <w:rFonts w:ascii="Calibri" w:hAnsi="Calibri"/>
                <w:sz w:val="24"/>
                <w:szCs w:val="24"/>
              </w:rPr>
              <w:t xml:space="preserve">Long Format </w:t>
            </w:r>
          </w:p>
        </w:tc>
        <w:tc>
          <w:tcPr>
            <w:tcW w:w="1515" w:type="dxa"/>
          </w:tcPr>
          <w:p w14:paraId="10F30363"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52</w:t>
            </w:r>
          </w:p>
        </w:tc>
        <w:tc>
          <w:tcPr>
            <w:tcW w:w="2100" w:type="dxa"/>
          </w:tcPr>
          <w:p w14:paraId="10F30364"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1</w:t>
            </w:r>
          </w:p>
        </w:tc>
        <w:tc>
          <w:tcPr>
            <w:tcW w:w="2160" w:type="dxa"/>
          </w:tcPr>
          <w:p w14:paraId="10F30365" w14:textId="77777777" w:rsidR="004743F6" w:rsidRPr="00D658C7" w:rsidRDefault="00254BA8" w:rsidP="00D658C7">
            <w:pPr>
              <w:tabs>
                <w:tab w:val="left" w:pos="544"/>
                <w:tab w:val="left" w:pos="814"/>
              </w:tabs>
              <w:spacing w:before="120" w:after="8"/>
              <w:jc w:val="center"/>
              <w:rPr>
                <w:rFonts w:ascii="Calibri" w:hAnsi="Calibri"/>
                <w:sz w:val="24"/>
                <w:szCs w:val="24"/>
              </w:rPr>
            </w:pPr>
            <w:r>
              <w:rPr>
                <w:rFonts w:ascii="Calibri" w:hAnsi="Calibri"/>
                <w:sz w:val="24"/>
                <w:szCs w:val="24"/>
              </w:rPr>
              <w:t>3</w:t>
            </w:r>
            <w:r w:rsidR="004541D2">
              <w:rPr>
                <w:rFonts w:ascii="Calibri" w:hAnsi="Calibri"/>
                <w:sz w:val="24"/>
                <w:szCs w:val="24"/>
              </w:rPr>
              <w:t>9</w:t>
            </w:r>
          </w:p>
        </w:tc>
        <w:tc>
          <w:tcPr>
            <w:tcW w:w="1260" w:type="dxa"/>
          </w:tcPr>
          <w:p w14:paraId="10F30366" w14:textId="77777777" w:rsidR="004743F6" w:rsidRPr="00D658C7" w:rsidRDefault="004541D2" w:rsidP="00D658C7">
            <w:pPr>
              <w:tabs>
                <w:tab w:val="left" w:pos="544"/>
                <w:tab w:val="left" w:pos="814"/>
              </w:tabs>
              <w:spacing w:before="120" w:after="8"/>
              <w:jc w:val="center"/>
              <w:rPr>
                <w:rFonts w:ascii="Calibri" w:hAnsi="Calibri"/>
                <w:sz w:val="24"/>
                <w:szCs w:val="24"/>
              </w:rPr>
            </w:pPr>
            <w:r>
              <w:rPr>
                <w:rFonts w:ascii="Calibri" w:hAnsi="Calibri"/>
                <w:sz w:val="24"/>
                <w:szCs w:val="24"/>
              </w:rPr>
              <w:t>2,028</w:t>
            </w:r>
          </w:p>
        </w:tc>
      </w:tr>
      <w:tr w:rsidR="004541D2" w:rsidRPr="00D658C7" w14:paraId="10F3036D" w14:textId="77777777" w:rsidTr="004541D2">
        <w:trPr>
          <w:cantSplit/>
          <w:trHeight w:val="406"/>
        </w:trPr>
        <w:tc>
          <w:tcPr>
            <w:tcW w:w="1649" w:type="dxa"/>
          </w:tcPr>
          <w:p w14:paraId="10F30368" w14:textId="77777777" w:rsidR="004743F6" w:rsidRPr="00D658C7" w:rsidRDefault="004743F6" w:rsidP="00254BA8">
            <w:pPr>
              <w:tabs>
                <w:tab w:val="left" w:pos="544"/>
                <w:tab w:val="left" w:pos="814"/>
              </w:tabs>
              <w:spacing w:before="120" w:after="8"/>
              <w:rPr>
                <w:rFonts w:ascii="Calibri" w:hAnsi="Calibri"/>
                <w:sz w:val="24"/>
                <w:szCs w:val="24"/>
              </w:rPr>
            </w:pPr>
            <w:r w:rsidRPr="00D658C7">
              <w:rPr>
                <w:rFonts w:ascii="Calibri" w:hAnsi="Calibri"/>
                <w:sz w:val="24"/>
                <w:szCs w:val="24"/>
              </w:rPr>
              <w:t>Short Format</w:t>
            </w:r>
          </w:p>
        </w:tc>
        <w:tc>
          <w:tcPr>
            <w:tcW w:w="1515" w:type="dxa"/>
          </w:tcPr>
          <w:p w14:paraId="10F30369" w14:textId="77777777" w:rsidR="004743F6" w:rsidRPr="00D658C7" w:rsidRDefault="00254BA8" w:rsidP="00F14272">
            <w:pPr>
              <w:tabs>
                <w:tab w:val="left" w:pos="544"/>
                <w:tab w:val="left" w:pos="814"/>
              </w:tabs>
              <w:spacing w:before="120" w:after="8"/>
              <w:jc w:val="center"/>
              <w:rPr>
                <w:rFonts w:ascii="Calibri" w:hAnsi="Calibri"/>
                <w:sz w:val="24"/>
                <w:szCs w:val="24"/>
              </w:rPr>
            </w:pPr>
            <w:r>
              <w:rPr>
                <w:rFonts w:ascii="Calibri" w:hAnsi="Calibri"/>
                <w:sz w:val="24"/>
                <w:szCs w:val="24"/>
              </w:rPr>
              <w:t>164</w:t>
            </w:r>
          </w:p>
        </w:tc>
        <w:tc>
          <w:tcPr>
            <w:tcW w:w="2100" w:type="dxa"/>
          </w:tcPr>
          <w:p w14:paraId="10F3036A" w14:textId="77777777" w:rsidR="004743F6" w:rsidRPr="00D658C7" w:rsidRDefault="004743F6" w:rsidP="00D658C7">
            <w:pPr>
              <w:tabs>
                <w:tab w:val="left" w:pos="544"/>
                <w:tab w:val="left" w:pos="814"/>
              </w:tabs>
              <w:spacing w:before="120" w:after="8"/>
              <w:jc w:val="center"/>
              <w:rPr>
                <w:rFonts w:ascii="Calibri" w:hAnsi="Calibri"/>
                <w:sz w:val="24"/>
                <w:szCs w:val="24"/>
              </w:rPr>
            </w:pPr>
            <w:r w:rsidRPr="00D658C7">
              <w:rPr>
                <w:rFonts w:ascii="Calibri" w:hAnsi="Calibri"/>
                <w:sz w:val="24"/>
                <w:szCs w:val="24"/>
              </w:rPr>
              <w:t>1</w:t>
            </w:r>
          </w:p>
        </w:tc>
        <w:tc>
          <w:tcPr>
            <w:tcW w:w="2160" w:type="dxa"/>
          </w:tcPr>
          <w:p w14:paraId="10F3036B" w14:textId="77777777" w:rsidR="004743F6" w:rsidRPr="00D658C7" w:rsidRDefault="00254BA8" w:rsidP="00D658C7">
            <w:pPr>
              <w:tabs>
                <w:tab w:val="left" w:pos="544"/>
                <w:tab w:val="left" w:pos="814"/>
              </w:tabs>
              <w:spacing w:before="120" w:after="8"/>
              <w:jc w:val="center"/>
              <w:rPr>
                <w:rFonts w:ascii="Calibri" w:hAnsi="Calibri"/>
                <w:sz w:val="24"/>
                <w:szCs w:val="24"/>
              </w:rPr>
            </w:pPr>
            <w:r>
              <w:rPr>
                <w:rFonts w:ascii="Calibri" w:hAnsi="Calibri"/>
                <w:sz w:val="24"/>
                <w:szCs w:val="24"/>
              </w:rPr>
              <w:t>1</w:t>
            </w:r>
          </w:p>
        </w:tc>
        <w:tc>
          <w:tcPr>
            <w:tcW w:w="1260" w:type="dxa"/>
          </w:tcPr>
          <w:p w14:paraId="10F3036C" w14:textId="77777777" w:rsidR="004743F6" w:rsidRPr="00D658C7" w:rsidRDefault="00F14272" w:rsidP="00D658C7">
            <w:pPr>
              <w:tabs>
                <w:tab w:val="left" w:pos="544"/>
                <w:tab w:val="left" w:pos="814"/>
              </w:tabs>
              <w:spacing w:before="120" w:after="8"/>
              <w:jc w:val="center"/>
              <w:rPr>
                <w:rFonts w:ascii="Calibri" w:hAnsi="Calibri"/>
                <w:sz w:val="24"/>
                <w:szCs w:val="24"/>
              </w:rPr>
            </w:pPr>
            <w:r>
              <w:rPr>
                <w:rFonts w:ascii="Calibri" w:hAnsi="Calibri"/>
                <w:sz w:val="24"/>
                <w:szCs w:val="24"/>
              </w:rPr>
              <w:t>1</w:t>
            </w:r>
            <w:r w:rsidR="00254BA8">
              <w:rPr>
                <w:rFonts w:ascii="Calibri" w:hAnsi="Calibri"/>
                <w:sz w:val="24"/>
                <w:szCs w:val="24"/>
              </w:rPr>
              <w:t>64</w:t>
            </w:r>
          </w:p>
        </w:tc>
      </w:tr>
      <w:tr w:rsidR="00630AB6" w:rsidRPr="00D658C7" w14:paraId="10F30370" w14:textId="77777777" w:rsidTr="004541D2">
        <w:trPr>
          <w:cantSplit/>
          <w:trHeight w:val="406"/>
        </w:trPr>
        <w:tc>
          <w:tcPr>
            <w:tcW w:w="7424" w:type="dxa"/>
            <w:gridSpan w:val="4"/>
          </w:tcPr>
          <w:p w14:paraId="10F3036E" w14:textId="77777777" w:rsidR="00134F64" w:rsidRDefault="00630AB6">
            <w:pPr>
              <w:tabs>
                <w:tab w:val="left" w:pos="544"/>
                <w:tab w:val="left" w:pos="814"/>
              </w:tabs>
              <w:spacing w:before="120" w:after="8"/>
              <w:rPr>
                <w:rFonts w:ascii="Calibri" w:hAnsi="Calibri"/>
                <w:sz w:val="24"/>
                <w:szCs w:val="24"/>
              </w:rPr>
            </w:pPr>
            <w:r w:rsidRPr="00630AB6">
              <w:rPr>
                <w:rFonts w:ascii="Calibri" w:hAnsi="Calibri"/>
                <w:sz w:val="24"/>
                <w:szCs w:val="24"/>
              </w:rPr>
              <w:t>Total Annual Burden Hours</w:t>
            </w:r>
          </w:p>
        </w:tc>
        <w:tc>
          <w:tcPr>
            <w:tcW w:w="1260" w:type="dxa"/>
          </w:tcPr>
          <w:p w14:paraId="10F3036F" w14:textId="77777777" w:rsidR="00630AB6" w:rsidRDefault="00630AB6" w:rsidP="00630AB6">
            <w:pPr>
              <w:tabs>
                <w:tab w:val="left" w:pos="544"/>
                <w:tab w:val="left" w:pos="814"/>
              </w:tabs>
              <w:spacing w:before="120" w:after="8"/>
              <w:jc w:val="center"/>
              <w:rPr>
                <w:rFonts w:ascii="Calibri" w:hAnsi="Calibri"/>
                <w:sz w:val="24"/>
                <w:szCs w:val="24"/>
              </w:rPr>
            </w:pPr>
            <w:r w:rsidRPr="00D658C7">
              <w:rPr>
                <w:rFonts w:ascii="Calibri" w:hAnsi="Calibri"/>
                <w:sz w:val="24"/>
                <w:szCs w:val="24"/>
              </w:rPr>
              <w:t>2</w:t>
            </w:r>
            <w:r>
              <w:rPr>
                <w:rFonts w:ascii="Calibri" w:hAnsi="Calibri"/>
                <w:sz w:val="24"/>
                <w:szCs w:val="24"/>
              </w:rPr>
              <w:t>,1</w:t>
            </w:r>
            <w:r w:rsidR="004541D2">
              <w:rPr>
                <w:rFonts w:ascii="Calibri" w:hAnsi="Calibri"/>
                <w:sz w:val="24"/>
                <w:szCs w:val="24"/>
              </w:rPr>
              <w:t>92</w:t>
            </w:r>
          </w:p>
        </w:tc>
      </w:tr>
    </w:tbl>
    <w:p w14:paraId="10F30371" w14:textId="77777777" w:rsidR="00062551" w:rsidRDefault="00062551">
      <w:pPr>
        <w:pStyle w:val="Level1"/>
        <w:tabs>
          <w:tab w:val="left" w:pos="544"/>
        </w:tabs>
        <w:ind w:left="544"/>
        <w:rPr>
          <w:rFonts w:ascii="Calibri" w:hAnsi="Calibri"/>
          <w:szCs w:val="24"/>
        </w:rPr>
      </w:pPr>
    </w:p>
    <w:p w14:paraId="10F30372" w14:textId="77777777" w:rsidR="00134F64" w:rsidRDefault="004743F6">
      <w:pPr>
        <w:pStyle w:val="Level1"/>
        <w:tabs>
          <w:tab w:val="left" w:pos="544"/>
        </w:tabs>
        <w:ind w:left="544"/>
        <w:rPr>
          <w:rFonts w:ascii="Calibri" w:hAnsi="Calibri"/>
          <w:szCs w:val="24"/>
        </w:rPr>
      </w:pPr>
      <w:r w:rsidRPr="00D658C7">
        <w:rPr>
          <w:rFonts w:ascii="Calibri" w:hAnsi="Calibri"/>
          <w:szCs w:val="24"/>
        </w:rPr>
        <w:t xml:space="preserve">The variance in burden is due to the Department waiving most of the reporting requirements for small LIHEAP grantees, given the small grant amounts involved and the overall difficulty in obtaining reliable demographic data from small grantees.  In reducing the burden on small LIHEAP grantees, all Indian Tribes and Tribal Organizations and four Insular Areas will continue to be exempted from most of the reporting requirements.  These grantees report only on the number of households assisted by type of LIHEAP </w:t>
      </w:r>
      <w:r w:rsidRPr="00D658C7">
        <w:rPr>
          <w:rFonts w:ascii="Calibri" w:hAnsi="Calibri"/>
          <w:szCs w:val="24"/>
        </w:rPr>
        <w:lastRenderedPageBreak/>
        <w:t xml:space="preserve">assistance through the </w:t>
      </w:r>
      <w:r w:rsidRPr="00D658C7">
        <w:rPr>
          <w:rFonts w:ascii="Calibri" w:hAnsi="Calibri"/>
          <w:i/>
          <w:szCs w:val="24"/>
        </w:rPr>
        <w:t>LIHEAP Household Report</w:t>
      </w:r>
      <w:r w:rsidRPr="00D658C7">
        <w:rPr>
          <w:rFonts w:ascii="Calibri" w:hAnsi="Calibri" w:cs="Arial"/>
          <w:i/>
          <w:szCs w:val="24"/>
        </w:rPr>
        <w:t>–</w:t>
      </w:r>
      <w:r w:rsidRPr="00D658C7">
        <w:rPr>
          <w:rFonts w:ascii="Calibri" w:hAnsi="Calibri"/>
          <w:i/>
          <w:szCs w:val="24"/>
        </w:rPr>
        <w:t>Short Format</w:t>
      </w:r>
      <w:r w:rsidRPr="00D658C7">
        <w:rPr>
          <w:rFonts w:ascii="Calibri" w:hAnsi="Calibri"/>
          <w:szCs w:val="24"/>
        </w:rPr>
        <w:t>.</w:t>
      </w:r>
    </w:p>
    <w:p w14:paraId="10F30373" w14:textId="77777777" w:rsidR="00134F64" w:rsidRDefault="00134F64">
      <w:pPr>
        <w:pStyle w:val="Level1"/>
        <w:tabs>
          <w:tab w:val="left" w:pos="544"/>
        </w:tabs>
        <w:rPr>
          <w:rFonts w:ascii="Calibri" w:hAnsi="Calibri"/>
          <w:szCs w:val="24"/>
        </w:rPr>
      </w:pPr>
    </w:p>
    <w:p w14:paraId="10F30374" w14:textId="77777777" w:rsidR="00134F64" w:rsidRDefault="004743F6">
      <w:pPr>
        <w:tabs>
          <w:tab w:val="left" w:pos="544"/>
          <w:tab w:val="left" w:pos="814"/>
        </w:tabs>
        <w:ind w:left="540"/>
        <w:rPr>
          <w:rFonts w:ascii="Calibri" w:hAnsi="Calibri"/>
          <w:sz w:val="24"/>
          <w:szCs w:val="24"/>
        </w:rPr>
      </w:pPr>
      <w:r w:rsidRPr="00D658C7">
        <w:rPr>
          <w:rFonts w:ascii="Calibri" w:hAnsi="Calibri"/>
          <w:sz w:val="24"/>
          <w:szCs w:val="24"/>
        </w:rPr>
        <w:t xml:space="preserve">The annual costs for respondents for each format of the </w:t>
      </w:r>
      <w:r w:rsidRPr="00D658C7">
        <w:rPr>
          <w:rFonts w:ascii="Calibri" w:hAnsi="Calibri"/>
          <w:i/>
          <w:sz w:val="24"/>
          <w:szCs w:val="24"/>
        </w:rPr>
        <w:t xml:space="preserve">LIHEAP Household </w:t>
      </w:r>
      <w:r w:rsidRPr="00D658C7">
        <w:rPr>
          <w:rFonts w:ascii="Calibri" w:hAnsi="Calibri"/>
          <w:sz w:val="24"/>
          <w:szCs w:val="24"/>
        </w:rPr>
        <w:t>Report are estimated as follows:</w:t>
      </w:r>
    </w:p>
    <w:p w14:paraId="10F30375" w14:textId="77777777" w:rsidR="004743F6" w:rsidRPr="00D658C7" w:rsidRDefault="004743F6" w:rsidP="004743F6">
      <w:pPr>
        <w:tabs>
          <w:tab w:val="left" w:pos="544"/>
          <w:tab w:val="left" w:pos="814"/>
        </w:tabs>
        <w:ind w:left="540"/>
        <w:rPr>
          <w:rFonts w:ascii="Calibri" w:hAnsi="Calibri"/>
          <w:sz w:val="24"/>
          <w:szCs w:val="24"/>
        </w:rPr>
      </w:pPr>
    </w:p>
    <w:p w14:paraId="10F30376" w14:textId="77777777" w:rsidR="004743F6" w:rsidRPr="00D658C7" w:rsidRDefault="004743F6" w:rsidP="004743F6">
      <w:pPr>
        <w:numPr>
          <w:ilvl w:val="0"/>
          <w:numId w:val="7"/>
        </w:numPr>
        <w:tabs>
          <w:tab w:val="clear" w:pos="1260"/>
          <w:tab w:val="left" w:pos="544"/>
        </w:tabs>
        <w:ind w:left="900"/>
        <w:rPr>
          <w:rFonts w:ascii="Calibri" w:hAnsi="Calibri"/>
          <w:sz w:val="24"/>
          <w:szCs w:val="24"/>
        </w:rPr>
      </w:pPr>
      <w:r w:rsidRPr="00D658C7">
        <w:rPr>
          <w:rFonts w:ascii="Calibri" w:hAnsi="Calibri"/>
          <w:sz w:val="24"/>
          <w:szCs w:val="24"/>
        </w:rPr>
        <w:t xml:space="preserve">For the </w:t>
      </w:r>
      <w:r w:rsidRPr="00D658C7">
        <w:rPr>
          <w:rFonts w:ascii="Calibri" w:hAnsi="Calibri" w:cs="Arial"/>
          <w:i/>
          <w:spacing w:val="-3"/>
          <w:sz w:val="24"/>
          <w:szCs w:val="24"/>
        </w:rPr>
        <w:t>LIHEAP Household Report</w:t>
      </w:r>
      <w:r w:rsidRPr="00D658C7">
        <w:rPr>
          <w:rFonts w:ascii="Calibri" w:hAnsi="Calibri" w:cs="Arial"/>
          <w:spacing w:val="-3"/>
          <w:sz w:val="24"/>
          <w:szCs w:val="24"/>
        </w:rPr>
        <w:t>–</w:t>
      </w:r>
      <w:r w:rsidRPr="00D658C7">
        <w:rPr>
          <w:rFonts w:ascii="Calibri" w:hAnsi="Calibri" w:cs="Arial"/>
          <w:i/>
          <w:spacing w:val="-3"/>
          <w:sz w:val="24"/>
          <w:szCs w:val="24"/>
        </w:rPr>
        <w:t>Long Format</w:t>
      </w:r>
      <w:r w:rsidRPr="00D658C7">
        <w:rPr>
          <w:rFonts w:ascii="Calibri" w:hAnsi="Calibri"/>
          <w:sz w:val="24"/>
          <w:szCs w:val="24"/>
        </w:rPr>
        <w:t>, OCS estimates that the total annual respondent cost to be $</w:t>
      </w:r>
      <w:r w:rsidR="00254BA8">
        <w:rPr>
          <w:rFonts w:ascii="Calibri" w:hAnsi="Calibri"/>
          <w:sz w:val="24"/>
          <w:szCs w:val="24"/>
        </w:rPr>
        <w:t>6</w:t>
      </w:r>
      <w:r w:rsidR="004541D2">
        <w:rPr>
          <w:rFonts w:ascii="Calibri" w:hAnsi="Calibri"/>
          <w:sz w:val="24"/>
          <w:szCs w:val="24"/>
        </w:rPr>
        <w:t>5,520</w:t>
      </w:r>
      <w:r w:rsidRPr="00D658C7">
        <w:rPr>
          <w:rFonts w:ascii="Calibri" w:hAnsi="Calibri"/>
          <w:sz w:val="24"/>
          <w:szCs w:val="24"/>
        </w:rPr>
        <w:t>.</w:t>
      </w:r>
    </w:p>
    <w:p w14:paraId="10F30377" w14:textId="77777777" w:rsidR="004743F6" w:rsidRPr="00D658C7" w:rsidRDefault="004743F6" w:rsidP="004743F6">
      <w:pPr>
        <w:tabs>
          <w:tab w:val="left" w:pos="544"/>
          <w:tab w:val="left" w:pos="814"/>
        </w:tabs>
        <w:spacing w:before="120"/>
        <w:rPr>
          <w:rFonts w:ascii="Calibri" w:hAnsi="Calibri"/>
          <w:sz w:val="24"/>
          <w:szCs w:val="24"/>
        </w:rPr>
      </w:pPr>
    </w:p>
    <w:tbl>
      <w:tblPr>
        <w:tblW w:w="8712" w:type="dxa"/>
        <w:tblInd w:w="10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944"/>
        <w:gridCol w:w="1462"/>
        <w:gridCol w:w="1566"/>
        <w:gridCol w:w="1566"/>
        <w:gridCol w:w="2174"/>
      </w:tblGrid>
      <w:tr w:rsidR="004743F6" w:rsidRPr="00D658C7" w14:paraId="10F30383" w14:textId="77777777" w:rsidTr="000C750B">
        <w:trPr>
          <w:trHeight w:hRule="exact" w:val="1016"/>
        </w:trPr>
        <w:tc>
          <w:tcPr>
            <w:tcW w:w="1944" w:type="dxa"/>
            <w:tcBorders>
              <w:top w:val="single" w:sz="7" w:space="0" w:color="000000"/>
              <w:left w:val="single" w:sz="7" w:space="0" w:color="000000"/>
              <w:bottom w:val="single" w:sz="4" w:space="0" w:color="auto"/>
              <w:right w:val="single" w:sz="7" w:space="0" w:color="000000"/>
            </w:tcBorders>
            <w:vAlign w:val="center"/>
          </w:tcPr>
          <w:p w14:paraId="10F30378" w14:textId="77777777" w:rsidR="004743F6" w:rsidRPr="00D658C7" w:rsidRDefault="004743F6" w:rsidP="00D658C7">
            <w:pPr>
              <w:tabs>
                <w:tab w:val="left" w:pos="544"/>
                <w:tab w:val="left" w:pos="814"/>
              </w:tabs>
              <w:rPr>
                <w:rFonts w:ascii="Calibri" w:hAnsi="Calibri"/>
                <w:sz w:val="24"/>
                <w:szCs w:val="24"/>
              </w:rPr>
            </w:pPr>
            <w:r w:rsidRPr="00D658C7">
              <w:rPr>
                <w:rFonts w:ascii="Calibri" w:hAnsi="Calibri"/>
                <w:sz w:val="24"/>
                <w:szCs w:val="24"/>
              </w:rPr>
              <w:t>Staff</w:t>
            </w:r>
          </w:p>
          <w:p w14:paraId="10F30379" w14:textId="77777777" w:rsidR="004743F6" w:rsidRPr="00D658C7" w:rsidRDefault="004743F6" w:rsidP="00D658C7">
            <w:pPr>
              <w:tabs>
                <w:tab w:val="left" w:pos="544"/>
                <w:tab w:val="left" w:pos="814"/>
              </w:tabs>
              <w:rPr>
                <w:rFonts w:ascii="Calibri" w:hAnsi="Calibri"/>
                <w:sz w:val="24"/>
                <w:szCs w:val="24"/>
              </w:rPr>
            </w:pPr>
            <w:r w:rsidRPr="00D658C7">
              <w:rPr>
                <w:rFonts w:ascii="Calibri" w:hAnsi="Calibri"/>
                <w:sz w:val="24"/>
                <w:szCs w:val="24"/>
              </w:rPr>
              <w:tab/>
            </w:r>
          </w:p>
        </w:tc>
        <w:tc>
          <w:tcPr>
            <w:tcW w:w="1462" w:type="dxa"/>
            <w:tcBorders>
              <w:top w:val="single" w:sz="7" w:space="0" w:color="000000"/>
              <w:left w:val="single" w:sz="7" w:space="0" w:color="000000"/>
              <w:bottom w:val="single" w:sz="4" w:space="0" w:color="auto"/>
              <w:right w:val="single" w:sz="7" w:space="0" w:color="000000"/>
            </w:tcBorders>
            <w:vAlign w:val="center"/>
          </w:tcPr>
          <w:p w14:paraId="10F3037A"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Number</w:t>
            </w:r>
          </w:p>
          <w:p w14:paraId="10F3037B"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of respondents</w:t>
            </w:r>
          </w:p>
          <w:p w14:paraId="10F3037C" w14:textId="77777777" w:rsidR="004743F6" w:rsidRPr="00D658C7" w:rsidRDefault="004743F6" w:rsidP="00D658C7">
            <w:pPr>
              <w:tabs>
                <w:tab w:val="left" w:pos="544"/>
                <w:tab w:val="left" w:pos="814"/>
              </w:tabs>
              <w:jc w:val="center"/>
              <w:rPr>
                <w:rFonts w:ascii="Calibri" w:hAnsi="Calibri"/>
                <w:sz w:val="24"/>
                <w:szCs w:val="24"/>
              </w:rPr>
            </w:pPr>
          </w:p>
        </w:tc>
        <w:tc>
          <w:tcPr>
            <w:tcW w:w="1566" w:type="dxa"/>
            <w:tcBorders>
              <w:top w:val="single" w:sz="7" w:space="0" w:color="000000"/>
              <w:left w:val="single" w:sz="7" w:space="0" w:color="000000"/>
              <w:bottom w:val="single" w:sz="4" w:space="0" w:color="auto"/>
              <w:right w:val="single" w:sz="7" w:space="0" w:color="000000"/>
            </w:tcBorders>
          </w:tcPr>
          <w:p w14:paraId="10F3037D"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Average # hours per respondent</w:t>
            </w:r>
          </w:p>
        </w:tc>
        <w:tc>
          <w:tcPr>
            <w:tcW w:w="1566" w:type="dxa"/>
            <w:tcBorders>
              <w:top w:val="single" w:sz="7" w:space="0" w:color="000000"/>
              <w:left w:val="single" w:sz="7" w:space="0" w:color="000000"/>
              <w:bottom w:val="single" w:sz="4" w:space="0" w:color="auto"/>
              <w:right w:val="single" w:sz="7" w:space="0" w:color="000000"/>
            </w:tcBorders>
            <w:vAlign w:val="center"/>
          </w:tcPr>
          <w:p w14:paraId="10F3037E"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Average</w:t>
            </w:r>
          </w:p>
          <w:p w14:paraId="10F3037F"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 per</w:t>
            </w:r>
          </w:p>
          <w:p w14:paraId="10F30380"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hour</w:t>
            </w:r>
          </w:p>
        </w:tc>
        <w:tc>
          <w:tcPr>
            <w:tcW w:w="2174" w:type="dxa"/>
            <w:tcBorders>
              <w:top w:val="single" w:sz="7" w:space="0" w:color="000000"/>
              <w:left w:val="single" w:sz="7" w:space="0" w:color="000000"/>
              <w:bottom w:val="single" w:sz="4" w:space="0" w:color="auto"/>
              <w:right w:val="single" w:sz="7" w:space="0" w:color="000000"/>
            </w:tcBorders>
            <w:vAlign w:val="center"/>
          </w:tcPr>
          <w:p w14:paraId="10F30381"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Total</w:t>
            </w:r>
          </w:p>
          <w:p w14:paraId="10F30382"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cost</w:t>
            </w:r>
          </w:p>
        </w:tc>
      </w:tr>
      <w:tr w:rsidR="004743F6" w:rsidRPr="00D658C7" w14:paraId="10F30389" w14:textId="77777777" w:rsidTr="000C750B">
        <w:trPr>
          <w:cantSplit/>
        </w:trPr>
        <w:tc>
          <w:tcPr>
            <w:tcW w:w="1944" w:type="dxa"/>
            <w:tcBorders>
              <w:top w:val="single" w:sz="4" w:space="0" w:color="auto"/>
              <w:left w:val="single" w:sz="7" w:space="0" w:color="000000"/>
              <w:bottom w:val="single" w:sz="7" w:space="0" w:color="000000"/>
              <w:right w:val="single" w:sz="7" w:space="0" w:color="000000"/>
            </w:tcBorders>
            <w:vAlign w:val="center"/>
          </w:tcPr>
          <w:p w14:paraId="10F30384" w14:textId="77777777" w:rsidR="004743F6" w:rsidRPr="00D658C7" w:rsidRDefault="004743F6" w:rsidP="00D658C7">
            <w:pPr>
              <w:tabs>
                <w:tab w:val="left" w:pos="544"/>
                <w:tab w:val="left" w:pos="814"/>
              </w:tabs>
              <w:spacing w:before="120"/>
              <w:rPr>
                <w:rFonts w:ascii="Calibri" w:hAnsi="Calibri"/>
                <w:sz w:val="24"/>
                <w:szCs w:val="24"/>
              </w:rPr>
            </w:pPr>
            <w:r w:rsidRPr="00D658C7">
              <w:rPr>
                <w:rFonts w:ascii="Calibri" w:hAnsi="Calibri"/>
                <w:sz w:val="24"/>
                <w:szCs w:val="24"/>
              </w:rPr>
              <w:t>Reporting</w:t>
            </w:r>
          </w:p>
        </w:tc>
        <w:tc>
          <w:tcPr>
            <w:tcW w:w="1462" w:type="dxa"/>
            <w:tcBorders>
              <w:top w:val="single" w:sz="4" w:space="0" w:color="auto"/>
              <w:left w:val="single" w:sz="7" w:space="0" w:color="000000"/>
              <w:bottom w:val="single" w:sz="7" w:space="0" w:color="000000"/>
              <w:right w:val="single" w:sz="7" w:space="0" w:color="000000"/>
            </w:tcBorders>
            <w:vAlign w:val="center"/>
          </w:tcPr>
          <w:p w14:paraId="10F30385"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52</w:t>
            </w:r>
          </w:p>
        </w:tc>
        <w:tc>
          <w:tcPr>
            <w:tcW w:w="1566" w:type="dxa"/>
            <w:tcBorders>
              <w:top w:val="single" w:sz="4" w:space="0" w:color="auto"/>
              <w:left w:val="single" w:sz="7" w:space="0" w:color="000000"/>
              <w:bottom w:val="single" w:sz="7" w:space="0" w:color="000000"/>
              <w:right w:val="single" w:sz="7" w:space="0" w:color="000000"/>
            </w:tcBorders>
          </w:tcPr>
          <w:p w14:paraId="10F30386" w14:textId="77777777" w:rsidR="004743F6" w:rsidRPr="00D658C7" w:rsidRDefault="00254BA8" w:rsidP="00D658C7">
            <w:pPr>
              <w:tabs>
                <w:tab w:val="left" w:pos="544"/>
                <w:tab w:val="left" w:pos="814"/>
              </w:tabs>
              <w:spacing w:before="120"/>
              <w:jc w:val="center"/>
              <w:rPr>
                <w:rFonts w:ascii="Calibri" w:hAnsi="Calibri"/>
                <w:sz w:val="24"/>
                <w:szCs w:val="24"/>
              </w:rPr>
            </w:pPr>
            <w:r>
              <w:rPr>
                <w:rFonts w:ascii="Calibri" w:hAnsi="Calibri"/>
                <w:sz w:val="24"/>
                <w:szCs w:val="24"/>
              </w:rPr>
              <w:t>2</w:t>
            </w:r>
            <w:r w:rsidR="004541D2">
              <w:rPr>
                <w:rFonts w:ascii="Calibri" w:hAnsi="Calibri"/>
                <w:sz w:val="24"/>
                <w:szCs w:val="24"/>
              </w:rPr>
              <w:t>7</w:t>
            </w:r>
          </w:p>
        </w:tc>
        <w:tc>
          <w:tcPr>
            <w:tcW w:w="1566" w:type="dxa"/>
            <w:tcBorders>
              <w:top w:val="single" w:sz="4" w:space="0" w:color="auto"/>
              <w:left w:val="single" w:sz="7" w:space="0" w:color="000000"/>
              <w:bottom w:val="single" w:sz="7" w:space="0" w:color="000000"/>
              <w:right w:val="single" w:sz="7" w:space="0" w:color="000000"/>
            </w:tcBorders>
            <w:vAlign w:val="center"/>
          </w:tcPr>
          <w:p w14:paraId="10F30387"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 xml:space="preserve">$40 </w:t>
            </w:r>
          </w:p>
        </w:tc>
        <w:tc>
          <w:tcPr>
            <w:tcW w:w="2174" w:type="dxa"/>
            <w:tcBorders>
              <w:top w:val="single" w:sz="4" w:space="0" w:color="auto"/>
              <w:left w:val="single" w:sz="7" w:space="0" w:color="000000"/>
              <w:bottom w:val="single" w:sz="7" w:space="0" w:color="000000"/>
              <w:right w:val="single" w:sz="7" w:space="0" w:color="000000"/>
            </w:tcBorders>
            <w:vAlign w:val="center"/>
          </w:tcPr>
          <w:p w14:paraId="10F30388"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w:t>
            </w:r>
            <w:r w:rsidR="00254BA8">
              <w:rPr>
                <w:rFonts w:ascii="Calibri" w:hAnsi="Calibri"/>
                <w:sz w:val="24"/>
                <w:szCs w:val="24"/>
              </w:rPr>
              <w:t>5</w:t>
            </w:r>
            <w:r w:rsidR="004541D2">
              <w:rPr>
                <w:rFonts w:ascii="Calibri" w:hAnsi="Calibri"/>
                <w:sz w:val="24"/>
                <w:szCs w:val="24"/>
              </w:rPr>
              <w:t>6,160</w:t>
            </w:r>
          </w:p>
        </w:tc>
      </w:tr>
      <w:tr w:rsidR="004743F6" w:rsidRPr="00D658C7" w14:paraId="10F3038F" w14:textId="77777777" w:rsidTr="000C750B">
        <w:trPr>
          <w:cantSplit/>
        </w:trPr>
        <w:tc>
          <w:tcPr>
            <w:tcW w:w="1944" w:type="dxa"/>
            <w:tcBorders>
              <w:top w:val="single" w:sz="4" w:space="0" w:color="auto"/>
              <w:left w:val="single" w:sz="7" w:space="0" w:color="000000"/>
              <w:bottom w:val="single" w:sz="7" w:space="0" w:color="000000"/>
              <w:right w:val="single" w:sz="7" w:space="0" w:color="000000"/>
            </w:tcBorders>
            <w:vAlign w:val="center"/>
          </w:tcPr>
          <w:p w14:paraId="10F3038A" w14:textId="77777777" w:rsidR="004743F6" w:rsidRPr="00D658C7" w:rsidRDefault="004743F6" w:rsidP="00D658C7">
            <w:pPr>
              <w:tabs>
                <w:tab w:val="left" w:pos="544"/>
                <w:tab w:val="left" w:pos="814"/>
              </w:tabs>
              <w:spacing w:before="120"/>
              <w:rPr>
                <w:rFonts w:ascii="Calibri" w:hAnsi="Calibri"/>
                <w:sz w:val="24"/>
                <w:szCs w:val="24"/>
              </w:rPr>
            </w:pPr>
            <w:r w:rsidRPr="00D658C7">
              <w:rPr>
                <w:rFonts w:ascii="Calibri" w:hAnsi="Calibri"/>
                <w:sz w:val="24"/>
                <w:szCs w:val="24"/>
              </w:rPr>
              <w:t>Recordkeeping</w:t>
            </w:r>
          </w:p>
        </w:tc>
        <w:tc>
          <w:tcPr>
            <w:tcW w:w="1462" w:type="dxa"/>
            <w:tcBorders>
              <w:top w:val="single" w:sz="4" w:space="0" w:color="auto"/>
              <w:left w:val="single" w:sz="7" w:space="0" w:color="000000"/>
              <w:bottom w:val="single" w:sz="7" w:space="0" w:color="000000"/>
              <w:right w:val="single" w:sz="7" w:space="0" w:color="000000"/>
            </w:tcBorders>
            <w:vAlign w:val="center"/>
          </w:tcPr>
          <w:p w14:paraId="10F3038B"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52</w:t>
            </w:r>
          </w:p>
        </w:tc>
        <w:tc>
          <w:tcPr>
            <w:tcW w:w="1566" w:type="dxa"/>
            <w:tcBorders>
              <w:top w:val="single" w:sz="4" w:space="0" w:color="auto"/>
              <w:left w:val="single" w:sz="7" w:space="0" w:color="000000"/>
              <w:bottom w:val="single" w:sz="7" w:space="0" w:color="000000"/>
              <w:right w:val="single" w:sz="7" w:space="0" w:color="000000"/>
            </w:tcBorders>
          </w:tcPr>
          <w:p w14:paraId="10F3038C" w14:textId="77777777" w:rsidR="004743F6" w:rsidRPr="00D658C7" w:rsidRDefault="00254BA8" w:rsidP="00D658C7">
            <w:pPr>
              <w:tabs>
                <w:tab w:val="left" w:pos="544"/>
                <w:tab w:val="left" w:pos="814"/>
              </w:tabs>
              <w:spacing w:before="120"/>
              <w:jc w:val="center"/>
              <w:rPr>
                <w:rFonts w:ascii="Calibri" w:hAnsi="Calibri"/>
                <w:sz w:val="24"/>
                <w:szCs w:val="24"/>
              </w:rPr>
            </w:pPr>
            <w:r>
              <w:rPr>
                <w:rFonts w:ascii="Calibri" w:hAnsi="Calibri"/>
                <w:sz w:val="24"/>
                <w:szCs w:val="24"/>
              </w:rPr>
              <w:t>12</w:t>
            </w:r>
          </w:p>
        </w:tc>
        <w:tc>
          <w:tcPr>
            <w:tcW w:w="1566" w:type="dxa"/>
            <w:tcBorders>
              <w:top w:val="single" w:sz="4" w:space="0" w:color="auto"/>
              <w:left w:val="single" w:sz="7" w:space="0" w:color="000000"/>
              <w:bottom w:val="single" w:sz="7" w:space="0" w:color="000000"/>
              <w:right w:val="single" w:sz="7" w:space="0" w:color="000000"/>
            </w:tcBorders>
            <w:vAlign w:val="center"/>
          </w:tcPr>
          <w:p w14:paraId="10F3038D"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 xml:space="preserve">$15 </w:t>
            </w:r>
          </w:p>
        </w:tc>
        <w:tc>
          <w:tcPr>
            <w:tcW w:w="2174" w:type="dxa"/>
            <w:tcBorders>
              <w:top w:val="single" w:sz="4" w:space="0" w:color="auto"/>
              <w:left w:val="single" w:sz="7" w:space="0" w:color="000000"/>
              <w:bottom w:val="single" w:sz="7" w:space="0" w:color="000000"/>
              <w:right w:val="single" w:sz="7" w:space="0" w:color="000000"/>
            </w:tcBorders>
            <w:vAlign w:val="center"/>
          </w:tcPr>
          <w:p w14:paraId="10F3038E"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w:t>
            </w:r>
            <w:r w:rsidR="00254BA8">
              <w:rPr>
                <w:rFonts w:ascii="Calibri" w:hAnsi="Calibri"/>
                <w:sz w:val="24"/>
                <w:szCs w:val="24"/>
              </w:rPr>
              <w:t>9,360</w:t>
            </w:r>
          </w:p>
        </w:tc>
      </w:tr>
      <w:tr w:rsidR="000C750B" w:rsidRPr="00D658C7" w14:paraId="10F30392" w14:textId="77777777" w:rsidTr="00274161">
        <w:trPr>
          <w:cantSplit/>
          <w:trHeight w:val="361"/>
        </w:trPr>
        <w:tc>
          <w:tcPr>
            <w:tcW w:w="6538" w:type="dxa"/>
            <w:gridSpan w:val="4"/>
            <w:tcBorders>
              <w:top w:val="single" w:sz="7" w:space="0" w:color="000000"/>
              <w:left w:val="single" w:sz="7" w:space="0" w:color="000000"/>
              <w:bottom w:val="single" w:sz="7" w:space="0" w:color="000000"/>
              <w:right w:val="single" w:sz="7" w:space="0" w:color="000000"/>
            </w:tcBorders>
            <w:vAlign w:val="center"/>
          </w:tcPr>
          <w:p w14:paraId="10F30390" w14:textId="77777777" w:rsidR="00134F64" w:rsidRDefault="000C750B">
            <w:pPr>
              <w:tabs>
                <w:tab w:val="left" w:pos="544"/>
                <w:tab w:val="left" w:pos="814"/>
              </w:tabs>
              <w:spacing w:before="120"/>
              <w:rPr>
                <w:rFonts w:ascii="Calibri" w:eastAsiaTheme="majorEastAsia" w:hAnsi="Calibri" w:cstheme="majorBidi"/>
                <w:b/>
                <w:bCs/>
                <w:color w:val="4F81BD" w:themeColor="accent1"/>
                <w:sz w:val="24"/>
                <w:szCs w:val="24"/>
              </w:rPr>
            </w:pPr>
            <w:r w:rsidRPr="00D658C7">
              <w:rPr>
                <w:rFonts w:ascii="Calibri" w:hAnsi="Calibri"/>
                <w:sz w:val="24"/>
                <w:szCs w:val="24"/>
              </w:rPr>
              <w:t>Total</w:t>
            </w:r>
            <w:r w:rsidR="00630AB6">
              <w:rPr>
                <w:rFonts w:ascii="Calibri" w:hAnsi="Calibri"/>
                <w:sz w:val="24"/>
                <w:szCs w:val="24"/>
              </w:rPr>
              <w:t xml:space="preserve"> Cost</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91" w14:textId="77777777" w:rsidR="000C750B" w:rsidRPr="00D658C7" w:rsidRDefault="000C750B" w:rsidP="00D658C7">
            <w:pPr>
              <w:tabs>
                <w:tab w:val="left" w:pos="544"/>
                <w:tab w:val="left" w:pos="814"/>
              </w:tabs>
              <w:spacing w:before="120"/>
              <w:jc w:val="center"/>
              <w:rPr>
                <w:rFonts w:ascii="Calibri" w:hAnsi="Calibri"/>
                <w:sz w:val="24"/>
                <w:szCs w:val="24"/>
              </w:rPr>
            </w:pPr>
            <w:r w:rsidRPr="00D658C7">
              <w:rPr>
                <w:rFonts w:ascii="Calibri" w:hAnsi="Calibri"/>
                <w:sz w:val="24"/>
                <w:szCs w:val="24"/>
              </w:rPr>
              <w:t>$</w:t>
            </w:r>
            <w:r>
              <w:rPr>
                <w:rFonts w:ascii="Calibri" w:hAnsi="Calibri"/>
                <w:sz w:val="24"/>
                <w:szCs w:val="24"/>
              </w:rPr>
              <w:t>6</w:t>
            </w:r>
            <w:r w:rsidR="004541D2">
              <w:rPr>
                <w:rFonts w:ascii="Calibri" w:hAnsi="Calibri"/>
                <w:sz w:val="24"/>
                <w:szCs w:val="24"/>
              </w:rPr>
              <w:t>5,520</w:t>
            </w:r>
          </w:p>
        </w:tc>
      </w:tr>
    </w:tbl>
    <w:p w14:paraId="10F30393" w14:textId="77777777" w:rsidR="004743F6" w:rsidRPr="00D658C7" w:rsidRDefault="004743F6" w:rsidP="004743F6">
      <w:pPr>
        <w:tabs>
          <w:tab w:val="left" w:pos="544"/>
          <w:tab w:val="left" w:pos="814"/>
        </w:tabs>
        <w:rPr>
          <w:rFonts w:ascii="Calibri" w:hAnsi="Calibri"/>
          <w:sz w:val="24"/>
          <w:szCs w:val="24"/>
        </w:rPr>
      </w:pPr>
    </w:p>
    <w:p w14:paraId="10F30394" w14:textId="77777777" w:rsidR="004743F6" w:rsidRPr="00D658C7" w:rsidRDefault="004743F6" w:rsidP="004743F6">
      <w:pPr>
        <w:tabs>
          <w:tab w:val="left" w:pos="544"/>
        </w:tabs>
        <w:ind w:left="540"/>
        <w:rPr>
          <w:rFonts w:ascii="Calibri" w:hAnsi="Calibri"/>
          <w:sz w:val="24"/>
          <w:szCs w:val="24"/>
        </w:rPr>
      </w:pPr>
      <w:r w:rsidRPr="00D658C7">
        <w:rPr>
          <w:rFonts w:ascii="Calibri" w:hAnsi="Calibri"/>
          <w:sz w:val="24"/>
          <w:szCs w:val="24"/>
        </w:rPr>
        <w:tab/>
      </w:r>
      <w:r w:rsidRPr="00D658C7">
        <w:rPr>
          <w:rFonts w:ascii="Calibri" w:hAnsi="Calibri"/>
          <w:sz w:val="24"/>
          <w:szCs w:val="24"/>
        </w:rPr>
        <w:tab/>
      </w:r>
    </w:p>
    <w:p w14:paraId="10F30395" w14:textId="77777777" w:rsidR="004743F6" w:rsidRPr="00D658C7" w:rsidRDefault="004743F6" w:rsidP="004743F6">
      <w:pPr>
        <w:numPr>
          <w:ilvl w:val="0"/>
          <w:numId w:val="6"/>
        </w:numPr>
        <w:tabs>
          <w:tab w:val="left" w:pos="544"/>
          <w:tab w:val="left" w:pos="900"/>
        </w:tabs>
        <w:ind w:left="900"/>
        <w:rPr>
          <w:rFonts w:ascii="Calibri" w:hAnsi="Calibri"/>
          <w:sz w:val="24"/>
          <w:szCs w:val="24"/>
        </w:rPr>
      </w:pPr>
      <w:r w:rsidRPr="00D658C7">
        <w:rPr>
          <w:rFonts w:ascii="Calibri" w:hAnsi="Calibri"/>
          <w:sz w:val="24"/>
          <w:szCs w:val="24"/>
        </w:rPr>
        <w:t xml:space="preserve">For the </w:t>
      </w:r>
      <w:r w:rsidRPr="00D658C7">
        <w:rPr>
          <w:rFonts w:ascii="Calibri" w:hAnsi="Calibri" w:cs="Arial"/>
          <w:i/>
          <w:sz w:val="24"/>
          <w:szCs w:val="24"/>
        </w:rPr>
        <w:t>LIHEAP Household Report–Short Format</w:t>
      </w:r>
      <w:r w:rsidRPr="00D658C7">
        <w:rPr>
          <w:rFonts w:ascii="Calibri" w:hAnsi="Calibri"/>
          <w:sz w:val="24"/>
          <w:szCs w:val="24"/>
        </w:rPr>
        <w:t>, OCS estimates the total annual respondent cost to be $</w:t>
      </w:r>
      <w:r w:rsidR="00254BA8">
        <w:rPr>
          <w:rFonts w:ascii="Calibri" w:hAnsi="Calibri"/>
          <w:sz w:val="24"/>
          <w:szCs w:val="24"/>
        </w:rPr>
        <w:t>4,510</w:t>
      </w:r>
      <w:r w:rsidRPr="00D658C7">
        <w:rPr>
          <w:rFonts w:ascii="Calibri" w:hAnsi="Calibri"/>
          <w:sz w:val="24"/>
          <w:szCs w:val="24"/>
        </w:rPr>
        <w:t xml:space="preserve">. </w:t>
      </w:r>
    </w:p>
    <w:p w14:paraId="10F30396" w14:textId="77777777" w:rsidR="004743F6" w:rsidRPr="00D658C7" w:rsidRDefault="004743F6" w:rsidP="004743F6">
      <w:pPr>
        <w:tabs>
          <w:tab w:val="left" w:pos="544"/>
          <w:tab w:val="left" w:pos="814"/>
        </w:tabs>
        <w:spacing w:before="120"/>
        <w:rPr>
          <w:rFonts w:ascii="Calibri" w:hAnsi="Calibri"/>
          <w:sz w:val="24"/>
          <w:szCs w:val="24"/>
        </w:rPr>
      </w:pPr>
    </w:p>
    <w:tbl>
      <w:tblPr>
        <w:tblW w:w="8712" w:type="dxa"/>
        <w:tblInd w:w="10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944"/>
        <w:gridCol w:w="1462"/>
        <w:gridCol w:w="1566"/>
        <w:gridCol w:w="1566"/>
        <w:gridCol w:w="2174"/>
      </w:tblGrid>
      <w:tr w:rsidR="004743F6" w:rsidRPr="00D658C7" w14:paraId="10F303A1" w14:textId="77777777" w:rsidTr="000C750B">
        <w:trPr>
          <w:trHeight w:hRule="exact" w:val="926"/>
        </w:trPr>
        <w:tc>
          <w:tcPr>
            <w:tcW w:w="1944" w:type="dxa"/>
            <w:tcBorders>
              <w:top w:val="single" w:sz="7" w:space="0" w:color="000000"/>
              <w:left w:val="single" w:sz="7" w:space="0" w:color="000000"/>
              <w:bottom w:val="single" w:sz="7" w:space="0" w:color="000000"/>
              <w:right w:val="single" w:sz="7" w:space="0" w:color="000000"/>
            </w:tcBorders>
            <w:vAlign w:val="center"/>
          </w:tcPr>
          <w:p w14:paraId="10F30397" w14:textId="77777777" w:rsidR="004743F6" w:rsidRPr="00D658C7" w:rsidRDefault="004743F6" w:rsidP="00D658C7">
            <w:pPr>
              <w:tabs>
                <w:tab w:val="left" w:pos="544"/>
                <w:tab w:val="left" w:pos="814"/>
              </w:tabs>
              <w:rPr>
                <w:rFonts w:ascii="Calibri" w:hAnsi="Calibri"/>
                <w:sz w:val="24"/>
                <w:szCs w:val="24"/>
              </w:rPr>
            </w:pPr>
            <w:r w:rsidRPr="00D658C7">
              <w:rPr>
                <w:rFonts w:ascii="Calibri" w:hAnsi="Calibri"/>
                <w:sz w:val="24"/>
                <w:szCs w:val="24"/>
              </w:rPr>
              <w:t>Staff</w:t>
            </w:r>
          </w:p>
        </w:tc>
        <w:tc>
          <w:tcPr>
            <w:tcW w:w="1462" w:type="dxa"/>
            <w:tcBorders>
              <w:top w:val="single" w:sz="7" w:space="0" w:color="000000"/>
              <w:left w:val="single" w:sz="7" w:space="0" w:color="000000"/>
              <w:bottom w:val="single" w:sz="7" w:space="0" w:color="000000"/>
              <w:right w:val="single" w:sz="7" w:space="0" w:color="000000"/>
            </w:tcBorders>
            <w:vAlign w:val="center"/>
          </w:tcPr>
          <w:p w14:paraId="10F30398"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Number</w:t>
            </w:r>
          </w:p>
          <w:p w14:paraId="10F30399"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of respondents</w:t>
            </w:r>
          </w:p>
          <w:p w14:paraId="10F3039A" w14:textId="77777777" w:rsidR="004743F6" w:rsidRPr="00D658C7" w:rsidRDefault="004743F6" w:rsidP="00D658C7">
            <w:pPr>
              <w:tabs>
                <w:tab w:val="left" w:pos="544"/>
                <w:tab w:val="left" w:pos="814"/>
              </w:tabs>
              <w:jc w:val="center"/>
              <w:rPr>
                <w:rFonts w:ascii="Calibri" w:hAnsi="Calibri"/>
                <w:sz w:val="24"/>
                <w:szCs w:val="24"/>
              </w:rPr>
            </w:pPr>
          </w:p>
        </w:tc>
        <w:tc>
          <w:tcPr>
            <w:tcW w:w="1566" w:type="dxa"/>
            <w:tcBorders>
              <w:top w:val="single" w:sz="7" w:space="0" w:color="000000"/>
              <w:left w:val="single" w:sz="7" w:space="0" w:color="000000"/>
              <w:bottom w:val="single" w:sz="7" w:space="0" w:color="000000"/>
              <w:right w:val="single" w:sz="7" w:space="0" w:color="000000"/>
            </w:tcBorders>
          </w:tcPr>
          <w:p w14:paraId="10F3039B"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Average # hours per respondent</w:t>
            </w:r>
          </w:p>
        </w:tc>
        <w:tc>
          <w:tcPr>
            <w:tcW w:w="1566" w:type="dxa"/>
            <w:tcBorders>
              <w:top w:val="single" w:sz="7" w:space="0" w:color="000000"/>
              <w:left w:val="single" w:sz="7" w:space="0" w:color="000000"/>
              <w:bottom w:val="single" w:sz="7" w:space="0" w:color="000000"/>
              <w:right w:val="single" w:sz="7" w:space="0" w:color="000000"/>
            </w:tcBorders>
            <w:vAlign w:val="center"/>
          </w:tcPr>
          <w:p w14:paraId="10F3039C"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Average</w:t>
            </w:r>
          </w:p>
          <w:p w14:paraId="10F3039D"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 per</w:t>
            </w:r>
          </w:p>
          <w:p w14:paraId="10F3039E"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hour</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9F"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Total</w:t>
            </w:r>
          </w:p>
          <w:p w14:paraId="10F303A0" w14:textId="77777777" w:rsidR="004743F6" w:rsidRPr="00D658C7" w:rsidRDefault="004743F6" w:rsidP="00D658C7">
            <w:pPr>
              <w:tabs>
                <w:tab w:val="left" w:pos="544"/>
                <w:tab w:val="left" w:pos="814"/>
              </w:tabs>
              <w:jc w:val="center"/>
              <w:rPr>
                <w:rFonts w:ascii="Calibri" w:hAnsi="Calibri"/>
                <w:sz w:val="24"/>
                <w:szCs w:val="24"/>
              </w:rPr>
            </w:pPr>
            <w:r w:rsidRPr="00D658C7">
              <w:rPr>
                <w:rFonts w:ascii="Calibri" w:hAnsi="Calibri"/>
                <w:sz w:val="24"/>
                <w:szCs w:val="24"/>
              </w:rPr>
              <w:t>cost</w:t>
            </w:r>
          </w:p>
        </w:tc>
      </w:tr>
      <w:tr w:rsidR="004743F6" w:rsidRPr="00D658C7" w14:paraId="10F303A7" w14:textId="77777777" w:rsidTr="000C750B">
        <w:trPr>
          <w:cantSplit/>
        </w:trPr>
        <w:tc>
          <w:tcPr>
            <w:tcW w:w="1944" w:type="dxa"/>
            <w:tcBorders>
              <w:top w:val="single" w:sz="7" w:space="0" w:color="000000"/>
              <w:left w:val="single" w:sz="7" w:space="0" w:color="000000"/>
              <w:bottom w:val="single" w:sz="7" w:space="0" w:color="000000"/>
              <w:right w:val="single" w:sz="7" w:space="0" w:color="000000"/>
            </w:tcBorders>
            <w:vAlign w:val="center"/>
          </w:tcPr>
          <w:p w14:paraId="10F303A2" w14:textId="77777777" w:rsidR="004743F6" w:rsidRPr="00D658C7" w:rsidRDefault="004743F6" w:rsidP="00D658C7">
            <w:pPr>
              <w:tabs>
                <w:tab w:val="left" w:pos="544"/>
                <w:tab w:val="left" w:pos="814"/>
              </w:tabs>
              <w:spacing w:before="120"/>
              <w:rPr>
                <w:rFonts w:ascii="Calibri" w:hAnsi="Calibri"/>
                <w:sz w:val="24"/>
                <w:szCs w:val="24"/>
              </w:rPr>
            </w:pPr>
            <w:r w:rsidRPr="00D658C7">
              <w:rPr>
                <w:rFonts w:ascii="Calibri" w:hAnsi="Calibri"/>
                <w:sz w:val="24"/>
                <w:szCs w:val="24"/>
              </w:rPr>
              <w:t>Reporting</w:t>
            </w:r>
          </w:p>
        </w:tc>
        <w:tc>
          <w:tcPr>
            <w:tcW w:w="1462" w:type="dxa"/>
            <w:tcBorders>
              <w:top w:val="single" w:sz="7" w:space="0" w:color="000000"/>
              <w:left w:val="single" w:sz="7" w:space="0" w:color="000000"/>
              <w:bottom w:val="single" w:sz="7" w:space="0" w:color="000000"/>
              <w:right w:val="single" w:sz="7" w:space="0" w:color="000000"/>
            </w:tcBorders>
            <w:vAlign w:val="center"/>
          </w:tcPr>
          <w:p w14:paraId="10F303A3"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164</w:t>
            </w:r>
          </w:p>
        </w:tc>
        <w:tc>
          <w:tcPr>
            <w:tcW w:w="1566" w:type="dxa"/>
            <w:tcBorders>
              <w:top w:val="single" w:sz="7" w:space="0" w:color="000000"/>
              <w:left w:val="single" w:sz="7" w:space="0" w:color="000000"/>
              <w:bottom w:val="single" w:sz="7" w:space="0" w:color="000000"/>
              <w:right w:val="single" w:sz="7" w:space="0" w:color="000000"/>
            </w:tcBorders>
          </w:tcPr>
          <w:p w14:paraId="10F303A4"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0.5</w:t>
            </w:r>
          </w:p>
        </w:tc>
        <w:tc>
          <w:tcPr>
            <w:tcW w:w="1566" w:type="dxa"/>
            <w:tcBorders>
              <w:top w:val="single" w:sz="7" w:space="0" w:color="000000"/>
              <w:left w:val="single" w:sz="7" w:space="0" w:color="000000"/>
              <w:bottom w:val="single" w:sz="7" w:space="0" w:color="000000"/>
              <w:right w:val="single" w:sz="7" w:space="0" w:color="000000"/>
            </w:tcBorders>
            <w:vAlign w:val="center"/>
          </w:tcPr>
          <w:p w14:paraId="10F303A5"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$40</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A6"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w:t>
            </w:r>
            <w:r w:rsidR="00254BA8">
              <w:rPr>
                <w:rFonts w:ascii="Calibri" w:hAnsi="Calibri"/>
                <w:sz w:val="24"/>
                <w:szCs w:val="24"/>
              </w:rPr>
              <w:t>3,280</w:t>
            </w:r>
          </w:p>
        </w:tc>
      </w:tr>
      <w:tr w:rsidR="004743F6" w:rsidRPr="00D658C7" w14:paraId="10F303AD" w14:textId="77777777" w:rsidTr="000C750B">
        <w:trPr>
          <w:cantSplit/>
        </w:trPr>
        <w:tc>
          <w:tcPr>
            <w:tcW w:w="1944" w:type="dxa"/>
            <w:tcBorders>
              <w:top w:val="single" w:sz="7" w:space="0" w:color="000000"/>
              <w:left w:val="single" w:sz="7" w:space="0" w:color="000000"/>
              <w:bottom w:val="single" w:sz="7" w:space="0" w:color="000000"/>
              <w:right w:val="single" w:sz="7" w:space="0" w:color="000000"/>
            </w:tcBorders>
            <w:vAlign w:val="center"/>
          </w:tcPr>
          <w:p w14:paraId="10F303A8" w14:textId="77777777" w:rsidR="004743F6" w:rsidRPr="00D658C7" w:rsidRDefault="004743F6" w:rsidP="00D658C7">
            <w:pPr>
              <w:tabs>
                <w:tab w:val="left" w:pos="544"/>
                <w:tab w:val="left" w:pos="814"/>
              </w:tabs>
              <w:spacing w:before="120"/>
              <w:rPr>
                <w:rFonts w:ascii="Calibri" w:hAnsi="Calibri"/>
                <w:sz w:val="24"/>
                <w:szCs w:val="24"/>
              </w:rPr>
            </w:pPr>
            <w:r w:rsidRPr="00D658C7">
              <w:rPr>
                <w:rFonts w:ascii="Calibri" w:hAnsi="Calibri"/>
                <w:sz w:val="24"/>
                <w:szCs w:val="24"/>
              </w:rPr>
              <w:t>Recordkeeping</w:t>
            </w:r>
          </w:p>
        </w:tc>
        <w:tc>
          <w:tcPr>
            <w:tcW w:w="1462" w:type="dxa"/>
            <w:tcBorders>
              <w:top w:val="single" w:sz="7" w:space="0" w:color="000000"/>
              <w:left w:val="single" w:sz="7" w:space="0" w:color="000000"/>
              <w:bottom w:val="single" w:sz="7" w:space="0" w:color="000000"/>
              <w:right w:val="single" w:sz="7" w:space="0" w:color="000000"/>
            </w:tcBorders>
            <w:vAlign w:val="center"/>
          </w:tcPr>
          <w:p w14:paraId="10F303A9"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164</w:t>
            </w:r>
          </w:p>
        </w:tc>
        <w:tc>
          <w:tcPr>
            <w:tcW w:w="1566" w:type="dxa"/>
            <w:tcBorders>
              <w:top w:val="single" w:sz="7" w:space="0" w:color="000000"/>
              <w:left w:val="single" w:sz="7" w:space="0" w:color="000000"/>
              <w:bottom w:val="single" w:sz="7" w:space="0" w:color="000000"/>
              <w:right w:val="single" w:sz="7" w:space="0" w:color="000000"/>
            </w:tcBorders>
          </w:tcPr>
          <w:p w14:paraId="10F303AA"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0.5</w:t>
            </w:r>
          </w:p>
        </w:tc>
        <w:tc>
          <w:tcPr>
            <w:tcW w:w="1566" w:type="dxa"/>
            <w:tcBorders>
              <w:top w:val="single" w:sz="7" w:space="0" w:color="000000"/>
              <w:left w:val="single" w:sz="7" w:space="0" w:color="000000"/>
              <w:bottom w:val="single" w:sz="7" w:space="0" w:color="000000"/>
              <w:right w:val="single" w:sz="7" w:space="0" w:color="000000"/>
            </w:tcBorders>
            <w:vAlign w:val="center"/>
          </w:tcPr>
          <w:p w14:paraId="10F303AB"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$15</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AC" w14:textId="77777777" w:rsidR="004743F6" w:rsidRPr="00D658C7" w:rsidRDefault="004743F6" w:rsidP="00D658C7">
            <w:pPr>
              <w:tabs>
                <w:tab w:val="left" w:pos="544"/>
                <w:tab w:val="left" w:pos="814"/>
              </w:tabs>
              <w:spacing w:before="120"/>
              <w:jc w:val="center"/>
              <w:rPr>
                <w:rFonts w:ascii="Calibri" w:hAnsi="Calibri"/>
                <w:sz w:val="24"/>
                <w:szCs w:val="24"/>
              </w:rPr>
            </w:pPr>
            <w:r w:rsidRPr="00D658C7">
              <w:rPr>
                <w:rFonts w:ascii="Calibri" w:hAnsi="Calibri"/>
                <w:sz w:val="24"/>
                <w:szCs w:val="24"/>
              </w:rPr>
              <w:t>$</w:t>
            </w:r>
            <w:r w:rsidR="00254BA8">
              <w:rPr>
                <w:rFonts w:ascii="Calibri" w:hAnsi="Calibri"/>
                <w:sz w:val="24"/>
                <w:szCs w:val="24"/>
              </w:rPr>
              <w:t>1,230</w:t>
            </w:r>
          </w:p>
        </w:tc>
      </w:tr>
      <w:tr w:rsidR="000C750B" w:rsidRPr="00D658C7" w14:paraId="10F303B0" w14:textId="77777777" w:rsidTr="000C750B">
        <w:trPr>
          <w:cantSplit/>
        </w:trPr>
        <w:tc>
          <w:tcPr>
            <w:tcW w:w="6538" w:type="dxa"/>
            <w:gridSpan w:val="4"/>
            <w:tcBorders>
              <w:top w:val="single" w:sz="7" w:space="0" w:color="000000"/>
              <w:left w:val="single" w:sz="7" w:space="0" w:color="000000"/>
              <w:bottom w:val="single" w:sz="7" w:space="0" w:color="000000"/>
              <w:right w:val="single" w:sz="7" w:space="0" w:color="000000"/>
            </w:tcBorders>
            <w:vAlign w:val="center"/>
          </w:tcPr>
          <w:p w14:paraId="10F303AE" w14:textId="77777777" w:rsidR="00134F64" w:rsidRDefault="000C750B">
            <w:pPr>
              <w:tabs>
                <w:tab w:val="left" w:pos="544"/>
                <w:tab w:val="left" w:pos="814"/>
              </w:tabs>
              <w:spacing w:before="120"/>
              <w:rPr>
                <w:rFonts w:ascii="Calibri" w:hAnsi="Calibri"/>
                <w:sz w:val="24"/>
                <w:szCs w:val="24"/>
              </w:rPr>
            </w:pPr>
            <w:r w:rsidRPr="00D658C7">
              <w:rPr>
                <w:rFonts w:ascii="Calibri" w:hAnsi="Calibri"/>
                <w:sz w:val="24"/>
                <w:szCs w:val="24"/>
              </w:rPr>
              <w:t>Total</w:t>
            </w:r>
            <w:r w:rsidR="00630AB6">
              <w:rPr>
                <w:rFonts w:ascii="Calibri" w:hAnsi="Calibri"/>
                <w:sz w:val="24"/>
                <w:szCs w:val="24"/>
              </w:rPr>
              <w:t xml:space="preserve"> Cost</w:t>
            </w:r>
          </w:p>
        </w:tc>
        <w:tc>
          <w:tcPr>
            <w:tcW w:w="2174" w:type="dxa"/>
            <w:tcBorders>
              <w:top w:val="single" w:sz="7" w:space="0" w:color="000000"/>
              <w:left w:val="single" w:sz="7" w:space="0" w:color="000000"/>
              <w:bottom w:val="single" w:sz="7" w:space="0" w:color="000000"/>
              <w:right w:val="single" w:sz="7" w:space="0" w:color="000000"/>
            </w:tcBorders>
            <w:vAlign w:val="center"/>
          </w:tcPr>
          <w:p w14:paraId="10F303AF" w14:textId="77777777" w:rsidR="000C750B" w:rsidRPr="00D658C7" w:rsidRDefault="000C750B" w:rsidP="00D658C7">
            <w:pPr>
              <w:tabs>
                <w:tab w:val="left" w:pos="544"/>
                <w:tab w:val="left" w:pos="814"/>
              </w:tabs>
              <w:spacing w:before="120"/>
              <w:jc w:val="center"/>
              <w:rPr>
                <w:rFonts w:ascii="Calibri" w:hAnsi="Calibri"/>
                <w:sz w:val="24"/>
                <w:szCs w:val="24"/>
              </w:rPr>
            </w:pPr>
            <w:r w:rsidRPr="00D658C7">
              <w:rPr>
                <w:rFonts w:ascii="Calibri" w:hAnsi="Calibri"/>
                <w:sz w:val="24"/>
                <w:szCs w:val="24"/>
              </w:rPr>
              <w:t>$</w:t>
            </w:r>
            <w:r>
              <w:rPr>
                <w:rFonts w:ascii="Calibri" w:hAnsi="Calibri"/>
                <w:sz w:val="24"/>
                <w:szCs w:val="24"/>
              </w:rPr>
              <w:t>4,510</w:t>
            </w:r>
          </w:p>
        </w:tc>
      </w:tr>
    </w:tbl>
    <w:p w14:paraId="10F303B1"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Estimates of Other Total Annual Cost Burden to Respondents and Record Keepers </w:t>
      </w:r>
    </w:p>
    <w:p w14:paraId="10F303B2" w14:textId="77777777" w:rsidR="004602FE" w:rsidRPr="00D658C7" w:rsidRDefault="00AF2F26" w:rsidP="00254BA8">
      <w:pPr>
        <w:widowControl/>
        <w:spacing w:before="100" w:beforeAutospacing="1" w:after="100" w:afterAutospacing="1"/>
        <w:ind w:left="720"/>
        <w:rPr>
          <w:rFonts w:ascii="Calibri" w:hAnsi="Calibri"/>
          <w:snapToGrid/>
          <w:sz w:val="24"/>
          <w:szCs w:val="24"/>
        </w:rPr>
      </w:pPr>
      <w:r>
        <w:rPr>
          <w:rFonts w:ascii="Calibri" w:hAnsi="Calibri"/>
          <w:snapToGrid/>
          <w:sz w:val="24"/>
          <w:szCs w:val="24"/>
        </w:rPr>
        <w:t>Respondents will not incur any additional record keeping costs.</w:t>
      </w:r>
    </w:p>
    <w:p w14:paraId="10F303B3" w14:textId="77777777" w:rsidR="002C3C4F" w:rsidRPr="00EC51AB" w:rsidRDefault="004602FE"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A</w:t>
      </w:r>
      <w:r w:rsidR="002C3C4F" w:rsidRPr="00EC51AB">
        <w:rPr>
          <w:rFonts w:ascii="Calibri" w:hAnsi="Calibri"/>
          <w:b/>
          <w:snapToGrid/>
          <w:sz w:val="24"/>
          <w:szCs w:val="24"/>
        </w:rPr>
        <w:t xml:space="preserve">nnualized Cost to the Federal Government </w:t>
      </w:r>
    </w:p>
    <w:tbl>
      <w:tblPr>
        <w:tblW w:w="923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14"/>
        <w:gridCol w:w="1350"/>
        <w:gridCol w:w="1260"/>
        <w:gridCol w:w="1212"/>
      </w:tblGrid>
      <w:tr w:rsidR="004743F6" w:rsidRPr="00D658C7" w14:paraId="10F303B8" w14:textId="77777777" w:rsidTr="004541D2">
        <w:trPr>
          <w:cantSplit/>
          <w:trHeight w:val="399"/>
          <w:tblHeader/>
        </w:trPr>
        <w:tc>
          <w:tcPr>
            <w:tcW w:w="5414" w:type="dxa"/>
            <w:tcBorders>
              <w:top w:val="single" w:sz="7" w:space="0" w:color="000000"/>
              <w:left w:val="single" w:sz="7" w:space="0" w:color="000000"/>
              <w:bottom w:val="single" w:sz="7" w:space="0" w:color="000000"/>
              <w:right w:val="single" w:sz="7" w:space="0" w:color="000000"/>
            </w:tcBorders>
          </w:tcPr>
          <w:p w14:paraId="10F303B4" w14:textId="77777777" w:rsidR="004743F6" w:rsidRPr="00D658C7" w:rsidRDefault="004743F6" w:rsidP="00D658C7">
            <w:pPr>
              <w:tabs>
                <w:tab w:val="left" w:pos="544"/>
                <w:tab w:val="left" w:pos="814"/>
              </w:tabs>
              <w:spacing w:before="84" w:after="44"/>
              <w:jc w:val="center"/>
              <w:rPr>
                <w:rFonts w:ascii="Calibri" w:hAnsi="Calibri"/>
                <w:sz w:val="24"/>
                <w:szCs w:val="24"/>
              </w:rPr>
            </w:pPr>
            <w:r w:rsidRPr="00D658C7">
              <w:rPr>
                <w:rFonts w:ascii="Calibri" w:hAnsi="Calibri"/>
                <w:sz w:val="24"/>
                <w:szCs w:val="24"/>
              </w:rPr>
              <w:lastRenderedPageBreak/>
              <w:t>Cost Item</w:t>
            </w:r>
          </w:p>
        </w:tc>
        <w:tc>
          <w:tcPr>
            <w:tcW w:w="1350" w:type="dxa"/>
            <w:tcBorders>
              <w:top w:val="single" w:sz="7" w:space="0" w:color="000000"/>
              <w:left w:val="single" w:sz="7" w:space="0" w:color="000000"/>
              <w:bottom w:val="single" w:sz="7" w:space="0" w:color="000000"/>
              <w:right w:val="single" w:sz="7" w:space="0" w:color="000000"/>
            </w:tcBorders>
          </w:tcPr>
          <w:p w14:paraId="10F303B5" w14:textId="77777777" w:rsidR="004743F6" w:rsidRPr="00D658C7" w:rsidRDefault="003D4511" w:rsidP="00D658C7">
            <w:pPr>
              <w:tabs>
                <w:tab w:val="left" w:pos="544"/>
                <w:tab w:val="left" w:pos="814"/>
              </w:tabs>
              <w:spacing w:before="84" w:after="44"/>
              <w:jc w:val="center"/>
              <w:rPr>
                <w:rFonts w:ascii="Calibri" w:hAnsi="Calibri"/>
                <w:sz w:val="24"/>
                <w:szCs w:val="24"/>
              </w:rPr>
            </w:pPr>
            <w:r>
              <w:rPr>
                <w:rFonts w:ascii="Calibri" w:hAnsi="Calibri"/>
                <w:sz w:val="24"/>
                <w:szCs w:val="24"/>
              </w:rPr>
              <w:t>Hours</w:t>
            </w:r>
          </w:p>
        </w:tc>
        <w:tc>
          <w:tcPr>
            <w:tcW w:w="1260" w:type="dxa"/>
            <w:tcBorders>
              <w:top w:val="single" w:sz="7" w:space="0" w:color="000000"/>
              <w:left w:val="single" w:sz="7" w:space="0" w:color="000000"/>
              <w:bottom w:val="single" w:sz="7" w:space="0" w:color="000000"/>
              <w:right w:val="single" w:sz="7" w:space="0" w:color="000000"/>
            </w:tcBorders>
          </w:tcPr>
          <w:p w14:paraId="10F303B6" w14:textId="77777777" w:rsidR="004743F6" w:rsidRPr="00D658C7" w:rsidRDefault="003D4511" w:rsidP="00D658C7">
            <w:pPr>
              <w:tabs>
                <w:tab w:val="left" w:pos="544"/>
                <w:tab w:val="left" w:pos="814"/>
              </w:tabs>
              <w:spacing w:before="84" w:after="44"/>
              <w:jc w:val="center"/>
              <w:rPr>
                <w:rFonts w:ascii="Calibri" w:hAnsi="Calibri"/>
                <w:sz w:val="24"/>
                <w:szCs w:val="24"/>
              </w:rPr>
            </w:pPr>
            <w:r>
              <w:rPr>
                <w:rFonts w:ascii="Calibri" w:hAnsi="Calibri"/>
                <w:sz w:val="24"/>
                <w:szCs w:val="24"/>
              </w:rPr>
              <w:t>Salary (per hour)</w:t>
            </w:r>
          </w:p>
        </w:tc>
        <w:tc>
          <w:tcPr>
            <w:tcW w:w="1212" w:type="dxa"/>
            <w:tcBorders>
              <w:top w:val="single" w:sz="7" w:space="0" w:color="000000"/>
              <w:left w:val="single" w:sz="7" w:space="0" w:color="000000"/>
              <w:bottom w:val="single" w:sz="7" w:space="0" w:color="000000"/>
              <w:right w:val="single" w:sz="7" w:space="0" w:color="000000"/>
            </w:tcBorders>
          </w:tcPr>
          <w:p w14:paraId="10F303B7" w14:textId="77777777" w:rsidR="004743F6" w:rsidRPr="00D658C7" w:rsidRDefault="004743F6" w:rsidP="00D658C7">
            <w:pPr>
              <w:tabs>
                <w:tab w:val="left" w:pos="544"/>
                <w:tab w:val="left" w:pos="814"/>
              </w:tabs>
              <w:spacing w:before="84" w:after="44"/>
              <w:jc w:val="center"/>
              <w:rPr>
                <w:rFonts w:ascii="Calibri" w:hAnsi="Calibri"/>
                <w:sz w:val="24"/>
                <w:szCs w:val="24"/>
              </w:rPr>
            </w:pPr>
            <w:r w:rsidRPr="00D658C7">
              <w:rPr>
                <w:rFonts w:ascii="Calibri" w:hAnsi="Calibri"/>
                <w:sz w:val="24"/>
                <w:szCs w:val="24"/>
              </w:rPr>
              <w:t>Total</w:t>
            </w:r>
          </w:p>
        </w:tc>
      </w:tr>
      <w:tr w:rsidR="004743F6" w:rsidRPr="00D658C7" w14:paraId="10F303BF" w14:textId="77777777" w:rsidTr="004541D2">
        <w:trPr>
          <w:cantSplit/>
        </w:trPr>
        <w:tc>
          <w:tcPr>
            <w:tcW w:w="5414" w:type="dxa"/>
            <w:tcBorders>
              <w:top w:val="single" w:sz="7" w:space="0" w:color="000000"/>
              <w:left w:val="single" w:sz="7" w:space="0" w:color="000000"/>
              <w:bottom w:val="single" w:sz="7" w:space="0" w:color="000000"/>
              <w:right w:val="single" w:sz="7" w:space="0" w:color="000000"/>
            </w:tcBorders>
          </w:tcPr>
          <w:p w14:paraId="10F303B9" w14:textId="77777777" w:rsidR="004743F6" w:rsidRPr="00D658C7" w:rsidRDefault="004743F6" w:rsidP="00630AB6">
            <w:pPr>
              <w:tabs>
                <w:tab w:val="left" w:pos="544"/>
                <w:tab w:val="left" w:pos="814"/>
              </w:tabs>
              <w:spacing w:before="84" w:after="44"/>
              <w:rPr>
                <w:rFonts w:ascii="Calibri" w:hAnsi="Calibri"/>
                <w:sz w:val="24"/>
                <w:szCs w:val="24"/>
              </w:rPr>
            </w:pPr>
            <w:r w:rsidRPr="00D658C7">
              <w:rPr>
                <w:rFonts w:ascii="Calibri" w:hAnsi="Calibri"/>
                <w:sz w:val="24"/>
                <w:szCs w:val="24"/>
              </w:rPr>
              <w:t>GS-1</w:t>
            </w:r>
            <w:r w:rsidR="00630AB6">
              <w:rPr>
                <w:rFonts w:ascii="Calibri" w:hAnsi="Calibri"/>
                <w:sz w:val="24"/>
                <w:szCs w:val="24"/>
              </w:rPr>
              <w:t>3</w:t>
            </w:r>
            <w:r w:rsidRPr="00D658C7">
              <w:rPr>
                <w:rFonts w:ascii="Calibri" w:hAnsi="Calibri"/>
                <w:sz w:val="24"/>
                <w:szCs w:val="24"/>
              </w:rPr>
              <w:t xml:space="preserve">:  (a) update </w:t>
            </w:r>
            <w:r w:rsidRPr="00D658C7">
              <w:rPr>
                <w:rFonts w:ascii="Calibri" w:hAnsi="Calibri"/>
                <w:i/>
                <w:sz w:val="24"/>
                <w:szCs w:val="24"/>
              </w:rPr>
              <w:t>LIHEAP Household Report</w:t>
            </w:r>
            <w:r w:rsidRPr="00D658C7">
              <w:rPr>
                <w:rFonts w:ascii="Calibri" w:hAnsi="Calibri"/>
                <w:sz w:val="24"/>
                <w:szCs w:val="24"/>
              </w:rPr>
              <w:t xml:space="preserve"> and instructions to reflect the current Federal Fiscal Year (b) prepare an Action Transmittal reminding grantees of the reporting requirement, (c) </w:t>
            </w:r>
            <w:r w:rsidR="00630AB6" w:rsidRPr="00D658C7">
              <w:rPr>
                <w:rFonts w:ascii="Calibri" w:hAnsi="Calibri"/>
                <w:sz w:val="24"/>
                <w:szCs w:val="24"/>
              </w:rPr>
              <w:t>oversee the</w:t>
            </w:r>
            <w:r w:rsidR="00630AB6">
              <w:rPr>
                <w:rFonts w:ascii="Calibri" w:hAnsi="Calibri"/>
                <w:sz w:val="24"/>
                <w:szCs w:val="24"/>
              </w:rPr>
              <w:t xml:space="preserve"> work of the contractor.</w:t>
            </w:r>
          </w:p>
        </w:tc>
        <w:tc>
          <w:tcPr>
            <w:tcW w:w="1350" w:type="dxa"/>
            <w:tcBorders>
              <w:top w:val="single" w:sz="7" w:space="0" w:color="000000"/>
              <w:left w:val="single" w:sz="7" w:space="0" w:color="000000"/>
              <w:bottom w:val="single" w:sz="7" w:space="0" w:color="000000"/>
              <w:right w:val="single" w:sz="7" w:space="0" w:color="000000"/>
            </w:tcBorders>
          </w:tcPr>
          <w:p w14:paraId="10F303BA" w14:textId="77777777" w:rsidR="004743F6" w:rsidRPr="004541D2" w:rsidRDefault="003D4511" w:rsidP="00D658C7">
            <w:pPr>
              <w:tabs>
                <w:tab w:val="left" w:pos="544"/>
                <w:tab w:val="left" w:pos="814"/>
              </w:tabs>
              <w:spacing w:before="84" w:after="44"/>
              <w:jc w:val="center"/>
              <w:rPr>
                <w:rFonts w:ascii="Calibri" w:hAnsi="Calibri"/>
                <w:sz w:val="24"/>
                <w:szCs w:val="24"/>
              </w:rPr>
            </w:pPr>
            <w:r w:rsidRPr="004541D2">
              <w:rPr>
                <w:rFonts w:ascii="Calibri" w:hAnsi="Calibri"/>
                <w:sz w:val="24"/>
                <w:szCs w:val="24"/>
              </w:rPr>
              <w:t>353</w:t>
            </w:r>
          </w:p>
        </w:tc>
        <w:tc>
          <w:tcPr>
            <w:tcW w:w="1260" w:type="dxa"/>
            <w:tcBorders>
              <w:top w:val="single" w:sz="7" w:space="0" w:color="000000"/>
              <w:left w:val="single" w:sz="7" w:space="0" w:color="000000"/>
              <w:bottom w:val="single" w:sz="7" w:space="0" w:color="000000"/>
              <w:right w:val="single" w:sz="7" w:space="0" w:color="000000"/>
            </w:tcBorders>
          </w:tcPr>
          <w:p w14:paraId="10F303BB" w14:textId="77777777" w:rsidR="004743F6" w:rsidRPr="004541D2" w:rsidRDefault="003D4511" w:rsidP="00D658C7">
            <w:pPr>
              <w:tabs>
                <w:tab w:val="left" w:pos="544"/>
                <w:tab w:val="left" w:pos="814"/>
              </w:tabs>
              <w:spacing w:before="84" w:after="44"/>
              <w:jc w:val="center"/>
              <w:rPr>
                <w:rFonts w:ascii="Calibri" w:hAnsi="Calibri"/>
                <w:sz w:val="24"/>
                <w:szCs w:val="24"/>
              </w:rPr>
            </w:pPr>
            <w:r w:rsidRPr="004541D2">
              <w:rPr>
                <w:rFonts w:ascii="Calibri" w:hAnsi="Calibri"/>
                <w:sz w:val="24"/>
                <w:szCs w:val="24"/>
              </w:rPr>
              <w:t>$43.66</w:t>
            </w:r>
          </w:p>
          <w:p w14:paraId="10F303BC" w14:textId="77777777" w:rsidR="004743F6" w:rsidRPr="004541D2" w:rsidRDefault="004743F6" w:rsidP="00D658C7">
            <w:pPr>
              <w:tabs>
                <w:tab w:val="left" w:pos="544"/>
                <w:tab w:val="left" w:pos="814"/>
              </w:tabs>
              <w:spacing w:before="84" w:after="44"/>
              <w:jc w:val="center"/>
              <w:rPr>
                <w:rFonts w:ascii="Calibri" w:hAnsi="Calibri"/>
                <w:sz w:val="24"/>
                <w:szCs w:val="24"/>
              </w:rPr>
            </w:pPr>
          </w:p>
        </w:tc>
        <w:tc>
          <w:tcPr>
            <w:tcW w:w="1212" w:type="dxa"/>
            <w:tcBorders>
              <w:top w:val="single" w:sz="7" w:space="0" w:color="000000"/>
              <w:left w:val="single" w:sz="7" w:space="0" w:color="000000"/>
              <w:bottom w:val="single" w:sz="7" w:space="0" w:color="000000"/>
              <w:right w:val="single" w:sz="7" w:space="0" w:color="000000"/>
            </w:tcBorders>
          </w:tcPr>
          <w:p w14:paraId="10F303BD" w14:textId="77777777" w:rsidR="004743F6" w:rsidRPr="00D658C7" w:rsidRDefault="004743F6" w:rsidP="00D658C7">
            <w:pPr>
              <w:tabs>
                <w:tab w:val="left" w:pos="544"/>
                <w:tab w:val="left" w:pos="814"/>
              </w:tabs>
              <w:spacing w:before="84" w:after="44"/>
              <w:jc w:val="right"/>
              <w:rPr>
                <w:rFonts w:ascii="Calibri" w:hAnsi="Calibri"/>
                <w:sz w:val="24"/>
                <w:szCs w:val="24"/>
              </w:rPr>
            </w:pPr>
            <w:r w:rsidRPr="00D658C7">
              <w:rPr>
                <w:rFonts w:ascii="Calibri" w:hAnsi="Calibri"/>
                <w:sz w:val="24"/>
                <w:szCs w:val="24"/>
              </w:rPr>
              <w:t>$1</w:t>
            </w:r>
            <w:r w:rsidR="00630AB6">
              <w:rPr>
                <w:rFonts w:ascii="Calibri" w:hAnsi="Calibri"/>
                <w:sz w:val="24"/>
                <w:szCs w:val="24"/>
              </w:rPr>
              <w:t>5</w:t>
            </w:r>
            <w:r w:rsidRPr="00D658C7">
              <w:rPr>
                <w:rFonts w:ascii="Calibri" w:hAnsi="Calibri"/>
                <w:sz w:val="24"/>
                <w:szCs w:val="24"/>
              </w:rPr>
              <w:t>,</w:t>
            </w:r>
            <w:r w:rsidR="003D4511">
              <w:rPr>
                <w:rFonts w:ascii="Calibri" w:hAnsi="Calibri"/>
                <w:sz w:val="24"/>
                <w:szCs w:val="24"/>
              </w:rPr>
              <w:t>41</w:t>
            </w:r>
            <w:r w:rsidR="00630AB6">
              <w:rPr>
                <w:rFonts w:ascii="Calibri" w:hAnsi="Calibri"/>
                <w:sz w:val="24"/>
                <w:szCs w:val="24"/>
              </w:rPr>
              <w:t>2</w:t>
            </w:r>
          </w:p>
          <w:p w14:paraId="10F303BE" w14:textId="77777777" w:rsidR="004743F6" w:rsidRPr="00D658C7" w:rsidRDefault="004743F6" w:rsidP="00D658C7">
            <w:pPr>
              <w:tabs>
                <w:tab w:val="left" w:pos="544"/>
                <w:tab w:val="left" w:pos="814"/>
              </w:tabs>
              <w:spacing w:before="84" w:after="44"/>
              <w:jc w:val="right"/>
              <w:rPr>
                <w:rFonts w:ascii="Calibri" w:hAnsi="Calibri"/>
                <w:sz w:val="24"/>
                <w:szCs w:val="24"/>
              </w:rPr>
            </w:pPr>
          </w:p>
        </w:tc>
      </w:tr>
      <w:tr w:rsidR="004743F6" w:rsidRPr="00D658C7" w14:paraId="10F303C4" w14:textId="77777777" w:rsidTr="004541D2">
        <w:trPr>
          <w:cantSplit/>
        </w:trPr>
        <w:tc>
          <w:tcPr>
            <w:tcW w:w="5414" w:type="dxa"/>
            <w:tcBorders>
              <w:top w:val="single" w:sz="7" w:space="0" w:color="000000"/>
              <w:left w:val="single" w:sz="7" w:space="0" w:color="000000"/>
              <w:bottom w:val="single" w:sz="7" w:space="0" w:color="000000"/>
              <w:right w:val="single" w:sz="7" w:space="0" w:color="000000"/>
            </w:tcBorders>
          </w:tcPr>
          <w:p w14:paraId="10F303C0" w14:textId="77777777" w:rsidR="004743F6" w:rsidRPr="00D658C7" w:rsidRDefault="00630AB6" w:rsidP="00630AB6">
            <w:pPr>
              <w:tabs>
                <w:tab w:val="left" w:pos="544"/>
                <w:tab w:val="left" w:pos="814"/>
              </w:tabs>
              <w:spacing w:before="84" w:after="44"/>
              <w:rPr>
                <w:rFonts w:ascii="Calibri" w:hAnsi="Calibri"/>
                <w:sz w:val="24"/>
                <w:szCs w:val="24"/>
              </w:rPr>
            </w:pPr>
            <w:r>
              <w:rPr>
                <w:rFonts w:ascii="Calibri" w:hAnsi="Calibri"/>
                <w:sz w:val="24"/>
                <w:szCs w:val="24"/>
              </w:rPr>
              <w:t xml:space="preserve">Contractor Cost: </w:t>
            </w:r>
            <w:r w:rsidR="004743F6" w:rsidRPr="00D658C7">
              <w:rPr>
                <w:rFonts w:ascii="Calibri" w:hAnsi="Calibri"/>
                <w:sz w:val="24"/>
                <w:szCs w:val="24"/>
              </w:rPr>
              <w:t xml:space="preserve">  (a) oversee the collection effort and prepare statistical tables (b) prepare tables with footnotes</w:t>
            </w:r>
            <w:r>
              <w:rPr>
                <w:rFonts w:ascii="Calibri" w:hAnsi="Calibri"/>
                <w:sz w:val="24"/>
                <w:szCs w:val="24"/>
              </w:rPr>
              <w:t xml:space="preserve"> for final publication in the Report to Congress</w:t>
            </w:r>
            <w:r w:rsidR="004743F6" w:rsidRPr="00D658C7">
              <w:rPr>
                <w:rFonts w:ascii="Calibri" w:hAnsi="Calibri"/>
                <w:sz w:val="24"/>
                <w:szCs w:val="24"/>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10F303C1" w14:textId="77777777" w:rsidR="004743F6" w:rsidRPr="004541D2" w:rsidRDefault="003D4511" w:rsidP="00D658C7">
            <w:pPr>
              <w:tabs>
                <w:tab w:val="left" w:pos="-734"/>
                <w:tab w:val="left" w:pos="544"/>
                <w:tab w:val="left" w:pos="814"/>
              </w:tabs>
              <w:spacing w:before="84" w:after="44"/>
              <w:jc w:val="center"/>
              <w:rPr>
                <w:rFonts w:ascii="Calibri" w:hAnsi="Calibri"/>
                <w:sz w:val="24"/>
                <w:szCs w:val="24"/>
              </w:rPr>
            </w:pPr>
            <w:r w:rsidRPr="004541D2">
              <w:rPr>
                <w:rFonts w:ascii="Calibri" w:hAnsi="Calibri"/>
                <w:sz w:val="24"/>
                <w:szCs w:val="24"/>
              </w:rPr>
              <w:t>176</w:t>
            </w:r>
          </w:p>
        </w:tc>
        <w:tc>
          <w:tcPr>
            <w:tcW w:w="1260" w:type="dxa"/>
            <w:tcBorders>
              <w:top w:val="single" w:sz="7" w:space="0" w:color="000000"/>
              <w:left w:val="single" w:sz="7" w:space="0" w:color="000000"/>
              <w:bottom w:val="single" w:sz="7" w:space="0" w:color="000000"/>
              <w:right w:val="single" w:sz="7" w:space="0" w:color="000000"/>
            </w:tcBorders>
          </w:tcPr>
          <w:p w14:paraId="10F303C2" w14:textId="77777777" w:rsidR="004743F6" w:rsidRPr="004541D2" w:rsidRDefault="003D4511" w:rsidP="00D658C7">
            <w:pPr>
              <w:tabs>
                <w:tab w:val="left" w:pos="-734"/>
                <w:tab w:val="left" w:pos="544"/>
                <w:tab w:val="left" w:pos="814"/>
              </w:tabs>
              <w:spacing w:before="84" w:after="44"/>
              <w:jc w:val="center"/>
              <w:rPr>
                <w:rFonts w:ascii="Calibri" w:hAnsi="Calibri"/>
                <w:sz w:val="24"/>
                <w:szCs w:val="24"/>
              </w:rPr>
            </w:pPr>
            <w:r w:rsidRPr="004541D2">
              <w:rPr>
                <w:rFonts w:ascii="Calibri" w:hAnsi="Calibri"/>
                <w:sz w:val="24"/>
                <w:szCs w:val="24"/>
              </w:rPr>
              <w:t>$76.68</w:t>
            </w:r>
          </w:p>
        </w:tc>
        <w:tc>
          <w:tcPr>
            <w:tcW w:w="1212" w:type="dxa"/>
            <w:tcBorders>
              <w:top w:val="single" w:sz="7" w:space="0" w:color="000000"/>
              <w:left w:val="single" w:sz="7" w:space="0" w:color="000000"/>
              <w:bottom w:val="single" w:sz="7" w:space="0" w:color="000000"/>
              <w:right w:val="single" w:sz="7" w:space="0" w:color="000000"/>
            </w:tcBorders>
          </w:tcPr>
          <w:p w14:paraId="10F303C3" w14:textId="77777777" w:rsidR="004743F6" w:rsidRPr="00D658C7" w:rsidRDefault="003D4511" w:rsidP="00D658C7">
            <w:pPr>
              <w:tabs>
                <w:tab w:val="left" w:pos="-734"/>
                <w:tab w:val="left" w:pos="544"/>
                <w:tab w:val="left" w:pos="814"/>
              </w:tabs>
              <w:spacing w:before="84" w:after="44"/>
              <w:jc w:val="right"/>
              <w:rPr>
                <w:rFonts w:ascii="Calibri" w:hAnsi="Calibri"/>
                <w:sz w:val="24"/>
                <w:szCs w:val="24"/>
              </w:rPr>
            </w:pPr>
            <w:r>
              <w:rPr>
                <w:rFonts w:ascii="Calibri" w:hAnsi="Calibri"/>
                <w:sz w:val="24"/>
                <w:szCs w:val="24"/>
              </w:rPr>
              <w:t>$13,496</w:t>
            </w:r>
          </w:p>
        </w:tc>
      </w:tr>
      <w:tr w:rsidR="00630AB6" w:rsidRPr="00D658C7" w14:paraId="10F303C7" w14:textId="77777777" w:rsidTr="004541D2">
        <w:trPr>
          <w:cantSplit/>
          <w:trHeight w:val="228"/>
        </w:trPr>
        <w:tc>
          <w:tcPr>
            <w:tcW w:w="8024" w:type="dxa"/>
            <w:gridSpan w:val="3"/>
            <w:tcBorders>
              <w:top w:val="single" w:sz="7" w:space="0" w:color="000000"/>
              <w:left w:val="single" w:sz="7" w:space="0" w:color="000000"/>
              <w:bottom w:val="single" w:sz="7" w:space="0" w:color="000000"/>
              <w:right w:val="single" w:sz="7" w:space="0" w:color="000000"/>
            </w:tcBorders>
          </w:tcPr>
          <w:p w14:paraId="10F303C5" w14:textId="77777777" w:rsidR="00134F64" w:rsidRDefault="00630AB6">
            <w:pPr>
              <w:tabs>
                <w:tab w:val="left" w:pos="-734"/>
                <w:tab w:val="left" w:pos="544"/>
                <w:tab w:val="left" w:pos="814"/>
              </w:tabs>
              <w:spacing w:before="84" w:after="44"/>
              <w:jc w:val="right"/>
              <w:rPr>
                <w:rFonts w:ascii="Calibri" w:hAnsi="Calibri"/>
                <w:sz w:val="24"/>
                <w:szCs w:val="24"/>
              </w:rPr>
            </w:pPr>
            <w:r w:rsidRPr="00D658C7">
              <w:rPr>
                <w:rFonts w:ascii="Calibri" w:hAnsi="Calibri"/>
                <w:sz w:val="24"/>
                <w:szCs w:val="24"/>
              </w:rPr>
              <w:t>Total</w:t>
            </w:r>
          </w:p>
        </w:tc>
        <w:tc>
          <w:tcPr>
            <w:tcW w:w="1212" w:type="dxa"/>
            <w:tcBorders>
              <w:top w:val="single" w:sz="7" w:space="0" w:color="000000"/>
              <w:left w:val="single" w:sz="7" w:space="0" w:color="000000"/>
              <w:bottom w:val="single" w:sz="7" w:space="0" w:color="000000"/>
              <w:right w:val="single" w:sz="7" w:space="0" w:color="000000"/>
            </w:tcBorders>
          </w:tcPr>
          <w:p w14:paraId="10F303C6" w14:textId="77777777" w:rsidR="00630AB6" w:rsidRPr="00D658C7" w:rsidRDefault="003D4511" w:rsidP="00D658C7">
            <w:pPr>
              <w:tabs>
                <w:tab w:val="left" w:pos="-734"/>
                <w:tab w:val="left" w:pos="544"/>
                <w:tab w:val="left" w:pos="814"/>
              </w:tabs>
              <w:spacing w:before="84" w:after="44"/>
              <w:jc w:val="right"/>
              <w:rPr>
                <w:rFonts w:ascii="Calibri" w:hAnsi="Calibri"/>
                <w:sz w:val="24"/>
                <w:szCs w:val="24"/>
              </w:rPr>
            </w:pPr>
            <w:r>
              <w:rPr>
                <w:rFonts w:ascii="Calibri" w:hAnsi="Calibri"/>
                <w:sz w:val="24"/>
                <w:szCs w:val="24"/>
              </w:rPr>
              <w:t>$28,908</w:t>
            </w:r>
          </w:p>
        </w:tc>
      </w:tr>
    </w:tbl>
    <w:p w14:paraId="2DB12E34" w14:textId="36C09A83" w:rsidR="0094445F" w:rsidRPr="0094445F" w:rsidRDefault="002C3C4F" w:rsidP="0094445F">
      <w:pPr>
        <w:pStyle w:val="ListParagraph"/>
        <w:widowControl/>
        <w:numPr>
          <w:ilvl w:val="0"/>
          <w:numId w:val="14"/>
        </w:numPr>
        <w:spacing w:before="100" w:beforeAutospacing="1" w:after="100" w:afterAutospacing="1"/>
        <w:rPr>
          <w:rFonts w:ascii="Calibri" w:hAnsi="Calibri"/>
          <w:b/>
          <w:snapToGrid/>
          <w:sz w:val="24"/>
          <w:szCs w:val="24"/>
        </w:rPr>
      </w:pPr>
      <w:r w:rsidRPr="0094445F">
        <w:rPr>
          <w:rFonts w:ascii="Calibri" w:hAnsi="Calibri"/>
          <w:b/>
          <w:snapToGrid/>
          <w:sz w:val="24"/>
          <w:szCs w:val="24"/>
        </w:rPr>
        <w:t>Explanation for Program Changes or Adjustments</w:t>
      </w:r>
      <w:r w:rsidRPr="00EC51AB">
        <w:rPr>
          <w:rFonts w:ascii="Calibri" w:hAnsi="Calibri"/>
          <w:b/>
          <w:snapToGrid/>
          <w:sz w:val="24"/>
          <w:szCs w:val="24"/>
        </w:rPr>
        <w:t xml:space="preserve"> </w:t>
      </w:r>
    </w:p>
    <w:p w14:paraId="38F3D4E5" w14:textId="63E286A9" w:rsidR="0094445F" w:rsidRDefault="0094445F" w:rsidP="0094445F">
      <w:pPr>
        <w:widowControl/>
        <w:spacing w:before="100" w:beforeAutospacing="1" w:after="100" w:afterAutospacing="1"/>
        <w:rPr>
          <w:rFonts w:ascii="Calibri" w:hAnsi="Calibri"/>
          <w:snapToGrid/>
          <w:sz w:val="24"/>
          <w:szCs w:val="24"/>
        </w:rPr>
      </w:pPr>
      <w:r w:rsidRPr="0094445F">
        <w:rPr>
          <w:rFonts w:ascii="Calibri" w:hAnsi="Calibri"/>
          <w:snapToGrid/>
          <w:sz w:val="24"/>
          <w:szCs w:val="24"/>
        </w:rPr>
        <w:t xml:space="preserve">Under the amendments to the LIHEAP statute enacted in 1994 (Public Law 103-252), LIHEAP grant applications must include the </w:t>
      </w:r>
      <w:r w:rsidRPr="0094445F">
        <w:rPr>
          <w:rFonts w:ascii="Calibri" w:hAnsi="Calibri"/>
          <w:i/>
          <w:snapToGrid/>
          <w:sz w:val="24"/>
          <w:szCs w:val="24"/>
        </w:rPr>
        <w:t>LIHEAP Household Report</w:t>
      </w:r>
      <w:r w:rsidRPr="0094445F">
        <w:rPr>
          <w:rFonts w:ascii="Calibri" w:hAnsi="Calibri"/>
          <w:snapToGrid/>
          <w:sz w:val="24"/>
          <w:szCs w:val="24"/>
        </w:rPr>
        <w:t xml:space="preserve"> on both applicant households and LIHEAP assisted households for the previous Federal Fiscal Year.  The Department uses the reported data in the preparation of its annual </w:t>
      </w:r>
      <w:r w:rsidRPr="0094445F">
        <w:rPr>
          <w:rFonts w:ascii="Calibri" w:hAnsi="Calibri"/>
          <w:i/>
          <w:snapToGrid/>
          <w:sz w:val="24"/>
          <w:szCs w:val="24"/>
        </w:rPr>
        <w:t>LIHEAP Report to Congress</w:t>
      </w:r>
      <w:r w:rsidRPr="0094445F">
        <w:rPr>
          <w:rFonts w:ascii="Calibri" w:hAnsi="Calibri"/>
          <w:snapToGrid/>
          <w:sz w:val="24"/>
          <w:szCs w:val="24"/>
        </w:rPr>
        <w:t xml:space="preserve">.  The Department is requesting the continuation of the use of </w:t>
      </w:r>
      <w:r w:rsidRPr="0094445F">
        <w:rPr>
          <w:rFonts w:ascii="Calibri" w:hAnsi="Calibri"/>
          <w:i/>
          <w:snapToGrid/>
          <w:sz w:val="24"/>
          <w:szCs w:val="24"/>
        </w:rPr>
        <w:t>LIHEAP Household Report</w:t>
      </w:r>
      <w:r w:rsidRPr="0094445F">
        <w:rPr>
          <w:rFonts w:ascii="Calibri" w:hAnsi="Calibri"/>
          <w:snapToGrid/>
          <w:sz w:val="24"/>
          <w:szCs w:val="24"/>
        </w:rPr>
        <w:t>.  The Report does not represent a program change as it continues to use the LIHEAP Household Report-Long Format and the LIHEAP Household Report-Short Format.</w:t>
      </w:r>
    </w:p>
    <w:p w14:paraId="7062EC14" w14:textId="47C36E54" w:rsidR="00AE255C" w:rsidRDefault="00AE255C" w:rsidP="0094445F">
      <w:pPr>
        <w:widowControl/>
        <w:spacing w:before="100" w:beforeAutospacing="1" w:after="100" w:afterAutospacing="1"/>
        <w:rPr>
          <w:rFonts w:ascii="Calibri" w:hAnsi="Calibri"/>
          <w:snapToGrid/>
          <w:sz w:val="24"/>
          <w:szCs w:val="24"/>
        </w:rPr>
      </w:pPr>
      <w:r>
        <w:rPr>
          <w:rFonts w:ascii="Calibri" w:hAnsi="Calibri"/>
          <w:snapToGrid/>
          <w:sz w:val="24"/>
          <w:szCs w:val="24"/>
        </w:rPr>
        <w:t xml:space="preserve">The </w:t>
      </w:r>
      <w:r w:rsidRPr="00AE255C">
        <w:rPr>
          <w:rFonts w:ascii="Calibri" w:hAnsi="Calibri"/>
          <w:snapToGrid/>
          <w:sz w:val="24"/>
          <w:szCs w:val="24"/>
          <w:u w:val="single"/>
        </w:rPr>
        <w:t>LIHEAP Household Report-Long Format</w:t>
      </w:r>
      <w:r>
        <w:rPr>
          <w:rFonts w:ascii="Calibri" w:hAnsi="Calibri"/>
          <w:snapToGrid/>
          <w:sz w:val="24"/>
          <w:szCs w:val="24"/>
        </w:rPr>
        <w:t xml:space="preserve"> is used to report required data for LIHEAP assisted households and for LIHEAP applicant households.  The 50 States, the District of Columbia, and the Commonwealth of Puerto Rico must report the required data using this format.  This format has been designed to collect additional household data for use in the </w:t>
      </w:r>
      <w:r w:rsidRPr="00AE255C">
        <w:rPr>
          <w:rFonts w:ascii="Calibri" w:hAnsi="Calibri"/>
          <w:i/>
          <w:snapToGrid/>
          <w:sz w:val="24"/>
          <w:szCs w:val="24"/>
        </w:rPr>
        <w:t>LIHEAP Report to Congress</w:t>
      </w:r>
      <w:r>
        <w:rPr>
          <w:rFonts w:ascii="Calibri" w:hAnsi="Calibri"/>
          <w:snapToGrid/>
          <w:sz w:val="24"/>
          <w:szCs w:val="24"/>
        </w:rPr>
        <w:t>.</w:t>
      </w:r>
    </w:p>
    <w:p w14:paraId="2A6E2E0C" w14:textId="77777777" w:rsidR="00E43B47" w:rsidRPr="00E43B47" w:rsidRDefault="00E43B47" w:rsidP="00E43B47">
      <w:pPr>
        <w:widowControl/>
        <w:spacing w:before="100" w:beforeAutospacing="1" w:after="100" w:afterAutospacing="1"/>
        <w:rPr>
          <w:rFonts w:ascii="Calibri" w:hAnsi="Calibri"/>
          <w:snapToGrid/>
          <w:sz w:val="24"/>
          <w:szCs w:val="24"/>
        </w:rPr>
      </w:pPr>
      <w:r w:rsidRPr="00E43B47">
        <w:rPr>
          <w:rFonts w:ascii="Calibri" w:hAnsi="Calibri"/>
          <w:snapToGrid/>
          <w:sz w:val="24"/>
          <w:szCs w:val="24"/>
        </w:rPr>
        <w:t>This form, absent three small edits to the Long Form version in this proposal, had OMB clearance in prior years.  The prior clearance was for three IC’s; whereas, this proposal seeks clearance of just two IC’s.  We believe it was an administrative error that the prior clearance covered a third IC, as there has been no major program change related to this IC.  It appears that the third IC from the prior clearance was related to Applicant Data; however, that was not intended to be a separate IC.  The Long Form version of the Household Report previously had, and continues to have under this proposal, a section related to the number of applications for assistance that each state grantee received that federal fiscal year.  It is the same reporting entity (the state grantee) that has and provides the data related to the number of households assisted and the number of applicant households.  There is no need to collect data from applicants directly.</w:t>
      </w:r>
    </w:p>
    <w:p w14:paraId="6AA49A61" w14:textId="1526476A" w:rsidR="00AE255C" w:rsidRPr="0094445F" w:rsidRDefault="00AE255C" w:rsidP="0094445F">
      <w:pPr>
        <w:widowControl/>
        <w:spacing w:before="100" w:beforeAutospacing="1" w:after="100" w:afterAutospacing="1"/>
        <w:rPr>
          <w:rFonts w:ascii="Calibri" w:hAnsi="Calibri"/>
          <w:snapToGrid/>
          <w:sz w:val="24"/>
          <w:szCs w:val="24"/>
        </w:rPr>
      </w:pPr>
      <w:r>
        <w:rPr>
          <w:rFonts w:ascii="Calibri" w:hAnsi="Calibri"/>
          <w:snapToGrid/>
          <w:sz w:val="24"/>
          <w:szCs w:val="24"/>
        </w:rPr>
        <w:lastRenderedPageBreak/>
        <w:t xml:space="preserve">The </w:t>
      </w:r>
      <w:r w:rsidRPr="00AE255C">
        <w:rPr>
          <w:rFonts w:ascii="Calibri" w:hAnsi="Calibri"/>
          <w:snapToGrid/>
          <w:sz w:val="24"/>
          <w:szCs w:val="24"/>
          <w:u w:val="single"/>
        </w:rPr>
        <w:t>LIHEAP Household Report-Short Format</w:t>
      </w:r>
      <w:r>
        <w:rPr>
          <w:rFonts w:ascii="Calibri" w:hAnsi="Calibri"/>
          <w:snapToGrid/>
          <w:sz w:val="24"/>
          <w:szCs w:val="24"/>
        </w:rPr>
        <w:t xml:space="preserve"> is used to report required data for assisted households.  All direct-grant Indian Tribes/Tribal Organizations and Insular Areas (other than the Commonwealth of Puerto Rico) must report required data using this format.  This format has been designed to greatly decrease the information burden on these relatively small LIHEP grantees.</w:t>
      </w:r>
    </w:p>
    <w:p w14:paraId="10F303C9" w14:textId="77777777" w:rsidR="00134F64" w:rsidRDefault="004541D2">
      <w:pPr>
        <w:rPr>
          <w:rFonts w:ascii="Calibri" w:hAnsi="Calibri"/>
          <w:snapToGrid/>
          <w:sz w:val="24"/>
          <w:szCs w:val="24"/>
        </w:rPr>
      </w:pPr>
      <w:r>
        <w:rPr>
          <w:rFonts w:ascii="Calibri" w:hAnsi="Calibri"/>
          <w:snapToGrid/>
          <w:sz w:val="24"/>
          <w:szCs w:val="24"/>
        </w:rPr>
        <w:t>T</w:t>
      </w:r>
      <w:r w:rsidR="005F06EA" w:rsidRPr="005F06EA">
        <w:rPr>
          <w:rFonts w:ascii="Calibri" w:hAnsi="Calibri"/>
          <w:snapToGrid/>
          <w:sz w:val="24"/>
          <w:szCs w:val="24"/>
        </w:rPr>
        <w:t xml:space="preserve">he </w:t>
      </w:r>
      <w:r w:rsidR="005F06EA" w:rsidRPr="005F06EA">
        <w:rPr>
          <w:rFonts w:ascii="Calibri" w:hAnsi="Calibri"/>
          <w:i/>
          <w:snapToGrid/>
          <w:sz w:val="24"/>
          <w:szCs w:val="24"/>
        </w:rPr>
        <w:t xml:space="preserve">Household Report – Long Format </w:t>
      </w:r>
      <w:r w:rsidR="005F06EA" w:rsidRPr="005F06EA">
        <w:rPr>
          <w:rFonts w:ascii="Calibri" w:hAnsi="Calibri"/>
          <w:snapToGrid/>
          <w:sz w:val="24"/>
          <w:szCs w:val="24"/>
        </w:rPr>
        <w:t>is modified to include three additional fields:</w:t>
      </w:r>
    </w:p>
    <w:p w14:paraId="10F303CA" w14:textId="77777777" w:rsidR="00134F64" w:rsidRDefault="00AF2F26">
      <w:pPr>
        <w:pStyle w:val="ListParagraph"/>
        <w:numPr>
          <w:ilvl w:val="0"/>
          <w:numId w:val="6"/>
        </w:numPr>
        <w:rPr>
          <w:rFonts w:ascii="Calibri" w:hAnsi="Calibri"/>
          <w:snapToGrid/>
          <w:sz w:val="24"/>
          <w:szCs w:val="24"/>
        </w:rPr>
      </w:pPr>
      <w:r>
        <w:rPr>
          <w:rFonts w:ascii="Calibri" w:hAnsi="Calibri"/>
          <w:snapToGrid/>
          <w:sz w:val="24"/>
          <w:szCs w:val="24"/>
        </w:rPr>
        <w:t>Total number of households receiving nominal payments of $50 or less.  This field is being added in order to collect information on nominal payments being issued by some State grantees.  These households will not be included in the total count of households receiving any t</w:t>
      </w:r>
      <w:r w:rsidR="00773ABD">
        <w:rPr>
          <w:rFonts w:ascii="Calibri" w:hAnsi="Calibri"/>
          <w:snapToGrid/>
          <w:sz w:val="24"/>
          <w:szCs w:val="24"/>
        </w:rPr>
        <w:t>ype</w:t>
      </w:r>
      <w:r>
        <w:rPr>
          <w:rFonts w:ascii="Calibri" w:hAnsi="Calibri"/>
          <w:snapToGrid/>
          <w:sz w:val="24"/>
          <w:szCs w:val="24"/>
        </w:rPr>
        <w:t xml:space="preserve"> of LIHEAP assistance.</w:t>
      </w:r>
      <w:r w:rsidR="003346FC">
        <w:rPr>
          <w:rFonts w:ascii="Calibri" w:hAnsi="Calibri"/>
          <w:snapToGrid/>
          <w:sz w:val="24"/>
          <w:szCs w:val="24"/>
        </w:rPr>
        <w:t xml:space="preserve">  OCS data indicate 11 States currently </w:t>
      </w:r>
      <w:r w:rsidR="00215E6F">
        <w:rPr>
          <w:rFonts w:ascii="Calibri" w:hAnsi="Calibri"/>
          <w:snapToGrid/>
          <w:sz w:val="24"/>
          <w:szCs w:val="24"/>
        </w:rPr>
        <w:t xml:space="preserve">make </w:t>
      </w:r>
      <w:r w:rsidR="003346FC">
        <w:rPr>
          <w:rFonts w:ascii="Calibri" w:hAnsi="Calibri"/>
          <w:snapToGrid/>
          <w:sz w:val="24"/>
          <w:szCs w:val="24"/>
        </w:rPr>
        <w:t>such nominal payments.  The additional burden to these 11 States has been factored into the overall reporting and record keeping burden estimates addressed in question 11.</w:t>
      </w:r>
    </w:p>
    <w:p w14:paraId="10F303CB" w14:textId="77777777" w:rsidR="00134F64" w:rsidRDefault="00AF2F26">
      <w:pPr>
        <w:pStyle w:val="ListParagraph"/>
        <w:numPr>
          <w:ilvl w:val="0"/>
          <w:numId w:val="6"/>
        </w:numPr>
        <w:rPr>
          <w:rFonts w:ascii="Calibri" w:hAnsi="Calibri"/>
          <w:snapToGrid/>
          <w:sz w:val="24"/>
          <w:szCs w:val="24"/>
        </w:rPr>
      </w:pPr>
      <w:r>
        <w:rPr>
          <w:rFonts w:ascii="Calibri" w:hAnsi="Calibri"/>
          <w:snapToGrid/>
          <w:sz w:val="24"/>
          <w:szCs w:val="24"/>
        </w:rPr>
        <w:t xml:space="preserve">Total number of households receiving bill payment assistance.  This field is part of the data required for the Performance Data Form (OMB Control Number 0970-0449).  Because the information requested concerns household counts, the field is being added to the Household Report, for ease of reporting.  </w:t>
      </w:r>
      <w:r w:rsidR="003346FC">
        <w:rPr>
          <w:rFonts w:ascii="Calibri" w:hAnsi="Calibri"/>
          <w:snapToGrid/>
          <w:sz w:val="24"/>
          <w:szCs w:val="24"/>
        </w:rPr>
        <w:t xml:space="preserve">Burden associated with collecting, </w:t>
      </w:r>
      <w:r w:rsidR="00773ABD">
        <w:rPr>
          <w:rFonts w:ascii="Calibri" w:hAnsi="Calibri"/>
          <w:snapToGrid/>
          <w:sz w:val="24"/>
          <w:szCs w:val="24"/>
        </w:rPr>
        <w:t xml:space="preserve">editing, </w:t>
      </w:r>
      <w:r w:rsidR="003346FC">
        <w:rPr>
          <w:rFonts w:ascii="Calibri" w:hAnsi="Calibri"/>
          <w:snapToGrid/>
          <w:sz w:val="24"/>
          <w:szCs w:val="24"/>
        </w:rPr>
        <w:t xml:space="preserve">reporting, and analyzing data to complete this field is part of the estimates for the Performance Data Form.  </w:t>
      </w:r>
      <w:r>
        <w:rPr>
          <w:rFonts w:ascii="Calibri" w:hAnsi="Calibri"/>
          <w:snapToGrid/>
          <w:sz w:val="24"/>
          <w:szCs w:val="24"/>
        </w:rPr>
        <w:t xml:space="preserve">Data entered into the Household Report will automatically be transferred into the Performance Data Form through OLDC, without any additional burden to the respondents.  </w:t>
      </w:r>
    </w:p>
    <w:p w14:paraId="10F303CC" w14:textId="77777777" w:rsidR="00134F64" w:rsidRDefault="00AF2F26">
      <w:pPr>
        <w:pStyle w:val="ListParagraph"/>
        <w:numPr>
          <w:ilvl w:val="0"/>
          <w:numId w:val="6"/>
        </w:numPr>
        <w:rPr>
          <w:rFonts w:ascii="Calibri" w:hAnsi="Calibri"/>
          <w:snapToGrid/>
          <w:sz w:val="24"/>
          <w:szCs w:val="24"/>
        </w:rPr>
      </w:pPr>
      <w:r>
        <w:rPr>
          <w:rFonts w:ascii="Calibri" w:hAnsi="Calibri"/>
          <w:snapToGrid/>
          <w:sz w:val="24"/>
          <w:szCs w:val="24"/>
        </w:rPr>
        <w:t>The Winter/Year-round crisis fields are being separated into two fields, one for Winter Crisis and a second for year-round Crisis.  This is being done to create consistency in reporting between the Household Report – Long Format and the Perfor</w:t>
      </w:r>
      <w:r w:rsidR="002E15B2">
        <w:rPr>
          <w:rFonts w:ascii="Calibri" w:hAnsi="Calibri"/>
          <w:snapToGrid/>
          <w:sz w:val="24"/>
          <w:szCs w:val="24"/>
        </w:rPr>
        <w:t>m</w:t>
      </w:r>
      <w:r>
        <w:rPr>
          <w:rFonts w:ascii="Calibri" w:hAnsi="Calibri"/>
          <w:snapToGrid/>
          <w:sz w:val="24"/>
          <w:szCs w:val="24"/>
        </w:rPr>
        <w:t>ance Data Form – Section I – Grantee Survey.  This change will cause no additional burden to respondents because they either operate winter crisis or year-round crisis, and cannot operate both types of programs.  Thus, the change will be simply administrative, in order to better match data on households served with data on funds obligated for services.</w:t>
      </w:r>
    </w:p>
    <w:p w14:paraId="10F303CD" w14:textId="77777777" w:rsidR="00134F64" w:rsidRDefault="00134F64">
      <w:pPr>
        <w:rPr>
          <w:rFonts w:ascii="Calibri" w:hAnsi="Calibri"/>
          <w:snapToGrid/>
          <w:sz w:val="24"/>
          <w:szCs w:val="24"/>
        </w:rPr>
      </w:pPr>
    </w:p>
    <w:p w14:paraId="10F303CE" w14:textId="77777777" w:rsidR="00134F64" w:rsidRDefault="00134F64">
      <w:pPr>
        <w:rPr>
          <w:snapToGrid/>
        </w:rPr>
      </w:pPr>
    </w:p>
    <w:p w14:paraId="10F303CF"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Plans for Tabulation and Publication and Project Time Schedule </w:t>
      </w:r>
    </w:p>
    <w:p w14:paraId="10F303D0" w14:textId="77777777" w:rsidR="004743F6" w:rsidRPr="00D658C7" w:rsidRDefault="004743F6" w:rsidP="004743F6">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t>The results of the information collection are published in the Department's annual LIHEAP Report to Congress.  State-level data are prepared as tables in Part III of the LIHEAP Report to Congress.  The aggregation of State-level data also is reported in Part III of the LIHEAP Report to Congress.   Complex analytical techniques will not be used as national totals, percents, and percent distributions will be tabulated only.  Selected results of the information collection also are published as part of the Department’s annual Congressional Justification.</w:t>
      </w:r>
    </w:p>
    <w:p w14:paraId="10F303D1" w14:textId="77777777" w:rsidR="004743F6" w:rsidRPr="00D658C7" w:rsidRDefault="004743F6" w:rsidP="004743F6">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lastRenderedPageBreak/>
        <w:t>The LIHEAP Household Report needs to be available at least three months before the end of the fiscal year.  This would allow grantees time to submit their completed reports as part of their application for LIHEAP funds for the following fiscal year in accordance with 45 CFR 96.10.  This regulation establishes September 1st as the deadline for State, Tribal, and Insular Area grantees to submit their block grant applications/plans for the following fiscal year.   Using this date, the projected time schedule for the entire project, including beginning and ending dates of the collection of information, completion of report, publication dates and other actions is shown below, starting with data for FY 201</w:t>
      </w:r>
      <w:r w:rsidR="004541D2">
        <w:rPr>
          <w:rFonts w:ascii="Calibri" w:hAnsi="Calibri"/>
          <w:snapToGrid/>
          <w:sz w:val="24"/>
          <w:szCs w:val="24"/>
        </w:rPr>
        <w:t>5</w:t>
      </w:r>
      <w:r w:rsidRPr="00D658C7">
        <w:rPr>
          <w:rFonts w:ascii="Calibri" w:hAnsi="Calibri"/>
          <w:snapToGrid/>
          <w:sz w:val="24"/>
          <w:szCs w:val="24"/>
        </w:rPr>
        <w:t>.</w:t>
      </w:r>
    </w:p>
    <w:p w14:paraId="10F303D2" w14:textId="77777777" w:rsidR="004743F6" w:rsidRPr="00D658C7" w:rsidRDefault="004743F6" w:rsidP="004743F6">
      <w:pPr>
        <w:widowControl/>
        <w:spacing w:before="100" w:beforeAutospacing="1" w:after="100" w:afterAutospacing="1"/>
        <w:ind w:left="720"/>
        <w:rPr>
          <w:rFonts w:ascii="Calibri" w:hAnsi="Calibri"/>
          <w:snapToGrid/>
          <w:sz w:val="24"/>
          <w:szCs w:val="24"/>
        </w:rPr>
      </w:pPr>
    </w:p>
    <w:tbl>
      <w:tblPr>
        <w:tblW w:w="0" w:type="auto"/>
        <w:tblInd w:w="660" w:type="dxa"/>
        <w:tblLayout w:type="fixed"/>
        <w:tblCellMar>
          <w:left w:w="120" w:type="dxa"/>
          <w:right w:w="120" w:type="dxa"/>
        </w:tblCellMar>
        <w:tblLook w:val="0000" w:firstRow="0" w:lastRow="0" w:firstColumn="0" w:lastColumn="0" w:noHBand="0" w:noVBand="0"/>
      </w:tblPr>
      <w:tblGrid>
        <w:gridCol w:w="6120"/>
        <w:gridCol w:w="2700"/>
      </w:tblGrid>
      <w:tr w:rsidR="004743F6" w:rsidRPr="00D658C7" w14:paraId="10F303D5" w14:textId="77777777" w:rsidTr="004541D2">
        <w:trPr>
          <w:cantSplit/>
        </w:trPr>
        <w:tc>
          <w:tcPr>
            <w:tcW w:w="6120" w:type="dxa"/>
            <w:tcBorders>
              <w:top w:val="double" w:sz="7" w:space="0" w:color="000000"/>
              <w:left w:val="double" w:sz="7" w:space="0" w:color="000000"/>
              <w:bottom w:val="single" w:sz="7" w:space="0" w:color="000000"/>
              <w:right w:val="single" w:sz="7" w:space="0" w:color="000000"/>
            </w:tcBorders>
            <w:vAlign w:val="center"/>
          </w:tcPr>
          <w:p w14:paraId="10F303D3"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b/>
                <w:sz w:val="24"/>
                <w:szCs w:val="24"/>
              </w:rPr>
              <w:t>Activity</w:t>
            </w:r>
          </w:p>
        </w:tc>
        <w:tc>
          <w:tcPr>
            <w:tcW w:w="2700" w:type="dxa"/>
            <w:tcBorders>
              <w:top w:val="double" w:sz="7" w:space="0" w:color="000000"/>
              <w:left w:val="single" w:sz="7" w:space="0" w:color="000000"/>
              <w:bottom w:val="single" w:sz="7" w:space="0" w:color="000000"/>
              <w:right w:val="double" w:sz="7" w:space="0" w:color="000000"/>
            </w:tcBorders>
            <w:vAlign w:val="center"/>
          </w:tcPr>
          <w:p w14:paraId="10F303D4"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vertAlign w:val="superscript"/>
              </w:rPr>
            </w:pPr>
            <w:r w:rsidRPr="00D658C7">
              <w:rPr>
                <w:rFonts w:ascii="Calibri" w:hAnsi="Calibri"/>
                <w:b/>
                <w:sz w:val="24"/>
                <w:szCs w:val="24"/>
              </w:rPr>
              <w:t>Weeks following OMB approval</w:t>
            </w:r>
            <w:r w:rsidRPr="00D658C7">
              <w:rPr>
                <w:rFonts w:ascii="Calibri" w:hAnsi="Calibri"/>
                <w:sz w:val="24"/>
                <w:szCs w:val="24"/>
                <w:vertAlign w:val="superscript"/>
              </w:rPr>
              <w:t>*</w:t>
            </w:r>
          </w:p>
        </w:tc>
      </w:tr>
      <w:tr w:rsidR="004743F6" w:rsidRPr="00D658C7" w14:paraId="10F303D8" w14:textId="77777777" w:rsidTr="004541D2">
        <w:trPr>
          <w:cantSplit/>
        </w:trPr>
        <w:tc>
          <w:tcPr>
            <w:tcW w:w="6120" w:type="dxa"/>
            <w:tcBorders>
              <w:top w:val="single" w:sz="7" w:space="0" w:color="000000"/>
              <w:left w:val="double" w:sz="7" w:space="0" w:color="000000"/>
              <w:bottom w:val="single" w:sz="7" w:space="0" w:color="000000"/>
              <w:right w:val="single" w:sz="7" w:space="0" w:color="000000"/>
            </w:tcBorders>
          </w:tcPr>
          <w:p w14:paraId="10F303D6" w14:textId="77777777" w:rsidR="004743F6" w:rsidRPr="00D658C7" w:rsidRDefault="004743F6" w:rsidP="00D658C7">
            <w:pPr>
              <w:tabs>
                <w:tab w:val="left" w:pos="-734"/>
                <w:tab w:val="left" w:pos="544"/>
                <w:tab w:val="left" w:pos="814"/>
              </w:tabs>
              <w:spacing w:before="120" w:after="12"/>
              <w:rPr>
                <w:rFonts w:ascii="Calibri" w:hAnsi="Calibri"/>
                <w:sz w:val="24"/>
                <w:szCs w:val="24"/>
              </w:rPr>
            </w:pPr>
            <w:r w:rsidRPr="00D658C7">
              <w:rPr>
                <w:rFonts w:ascii="Calibri" w:hAnsi="Calibri"/>
                <w:i/>
                <w:sz w:val="24"/>
                <w:szCs w:val="24"/>
              </w:rPr>
              <w:t>LIHEAP Household Report</w:t>
            </w:r>
            <w:r w:rsidRPr="00D658C7">
              <w:rPr>
                <w:rFonts w:ascii="Calibri" w:hAnsi="Calibri"/>
                <w:sz w:val="24"/>
                <w:szCs w:val="24"/>
              </w:rPr>
              <w:t xml:space="preserve">s (household data can be estimated so as not to delay issuance of new grant awards) reviewed for completeness as part of the LIHEAP grant application process </w:t>
            </w:r>
          </w:p>
        </w:tc>
        <w:tc>
          <w:tcPr>
            <w:tcW w:w="2700" w:type="dxa"/>
            <w:tcBorders>
              <w:top w:val="single" w:sz="7" w:space="0" w:color="000000"/>
              <w:left w:val="single" w:sz="7" w:space="0" w:color="000000"/>
              <w:bottom w:val="single" w:sz="7" w:space="0" w:color="000000"/>
              <w:right w:val="double" w:sz="7" w:space="0" w:color="000000"/>
            </w:tcBorders>
          </w:tcPr>
          <w:p w14:paraId="10F303D7"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sz w:val="24"/>
                <w:szCs w:val="24"/>
              </w:rPr>
              <w:t>18</w:t>
            </w:r>
          </w:p>
        </w:tc>
      </w:tr>
      <w:tr w:rsidR="004743F6" w:rsidRPr="00D658C7" w14:paraId="10F303DB" w14:textId="77777777" w:rsidTr="004541D2">
        <w:trPr>
          <w:cantSplit/>
        </w:trPr>
        <w:tc>
          <w:tcPr>
            <w:tcW w:w="6120" w:type="dxa"/>
            <w:tcBorders>
              <w:top w:val="single" w:sz="7" w:space="0" w:color="000000"/>
              <w:left w:val="double" w:sz="7" w:space="0" w:color="000000"/>
              <w:bottom w:val="single" w:sz="7" w:space="0" w:color="000000"/>
              <w:right w:val="single" w:sz="7" w:space="0" w:color="000000"/>
            </w:tcBorders>
          </w:tcPr>
          <w:p w14:paraId="10F303D9" w14:textId="77777777" w:rsidR="004743F6" w:rsidRPr="00D658C7" w:rsidRDefault="004743F6" w:rsidP="00D658C7">
            <w:pPr>
              <w:tabs>
                <w:tab w:val="left" w:pos="-734"/>
                <w:tab w:val="left" w:pos="544"/>
                <w:tab w:val="left" w:pos="814"/>
              </w:tabs>
              <w:spacing w:before="120" w:after="12"/>
              <w:rPr>
                <w:rFonts w:ascii="Calibri" w:hAnsi="Calibri"/>
                <w:sz w:val="24"/>
                <w:szCs w:val="24"/>
              </w:rPr>
            </w:pPr>
            <w:r w:rsidRPr="00D658C7">
              <w:rPr>
                <w:rFonts w:ascii="Calibri" w:hAnsi="Calibri"/>
                <w:sz w:val="24"/>
                <w:szCs w:val="24"/>
              </w:rPr>
              <w:t>Final (non-estimated) household data inputted and edited</w:t>
            </w:r>
          </w:p>
        </w:tc>
        <w:tc>
          <w:tcPr>
            <w:tcW w:w="2700" w:type="dxa"/>
            <w:tcBorders>
              <w:top w:val="single" w:sz="7" w:space="0" w:color="000000"/>
              <w:left w:val="single" w:sz="7" w:space="0" w:color="000000"/>
              <w:bottom w:val="single" w:sz="7" w:space="0" w:color="000000"/>
              <w:right w:val="double" w:sz="7" w:space="0" w:color="000000"/>
            </w:tcBorders>
          </w:tcPr>
          <w:p w14:paraId="10F303DA"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sz w:val="24"/>
                <w:szCs w:val="24"/>
              </w:rPr>
              <w:t>83</w:t>
            </w:r>
          </w:p>
        </w:tc>
      </w:tr>
      <w:tr w:rsidR="004743F6" w:rsidRPr="00D658C7" w14:paraId="10F303DE" w14:textId="77777777" w:rsidTr="004541D2">
        <w:trPr>
          <w:cantSplit/>
        </w:trPr>
        <w:tc>
          <w:tcPr>
            <w:tcW w:w="6120" w:type="dxa"/>
            <w:tcBorders>
              <w:top w:val="single" w:sz="7" w:space="0" w:color="000000"/>
              <w:left w:val="double" w:sz="7" w:space="0" w:color="000000"/>
              <w:bottom w:val="single" w:sz="7" w:space="0" w:color="000000"/>
              <w:right w:val="single" w:sz="7" w:space="0" w:color="000000"/>
            </w:tcBorders>
          </w:tcPr>
          <w:p w14:paraId="10F303DC" w14:textId="77777777" w:rsidR="004743F6" w:rsidRPr="00D658C7" w:rsidRDefault="004743F6" w:rsidP="007E5C0A">
            <w:pPr>
              <w:tabs>
                <w:tab w:val="left" w:pos="-734"/>
                <w:tab w:val="left" w:pos="544"/>
                <w:tab w:val="left" w:pos="814"/>
              </w:tabs>
              <w:spacing w:before="120" w:after="12"/>
              <w:rPr>
                <w:rFonts w:ascii="Calibri" w:hAnsi="Calibri"/>
                <w:i/>
                <w:sz w:val="24"/>
                <w:szCs w:val="24"/>
              </w:rPr>
            </w:pPr>
            <w:r w:rsidRPr="00D658C7">
              <w:rPr>
                <w:rFonts w:ascii="Calibri" w:hAnsi="Calibri"/>
                <w:sz w:val="24"/>
                <w:szCs w:val="24"/>
              </w:rPr>
              <w:t xml:space="preserve">Final household data checked and edited for consistency with benefit data from </w:t>
            </w:r>
            <w:r w:rsidR="00B23963">
              <w:rPr>
                <w:rFonts w:ascii="Calibri" w:hAnsi="Calibri"/>
                <w:snapToGrid/>
                <w:sz w:val="24"/>
                <w:szCs w:val="24"/>
              </w:rPr>
              <w:t>Performance Data Form – Section I – Grantee Survey, previous fiscal year household reports, carryover and reallotment reports, and LIHEAP state plans.</w:t>
            </w:r>
          </w:p>
        </w:tc>
        <w:tc>
          <w:tcPr>
            <w:tcW w:w="2700" w:type="dxa"/>
            <w:tcBorders>
              <w:top w:val="single" w:sz="7" w:space="0" w:color="000000"/>
              <w:left w:val="single" w:sz="7" w:space="0" w:color="000000"/>
              <w:bottom w:val="single" w:sz="7" w:space="0" w:color="000000"/>
              <w:right w:val="double" w:sz="7" w:space="0" w:color="000000"/>
            </w:tcBorders>
          </w:tcPr>
          <w:p w14:paraId="10F303DD"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sz w:val="24"/>
                <w:szCs w:val="24"/>
              </w:rPr>
              <w:t>143</w:t>
            </w:r>
          </w:p>
        </w:tc>
      </w:tr>
      <w:tr w:rsidR="004743F6" w:rsidRPr="00D658C7" w14:paraId="10F303E1" w14:textId="77777777" w:rsidTr="004541D2">
        <w:trPr>
          <w:cantSplit/>
        </w:trPr>
        <w:tc>
          <w:tcPr>
            <w:tcW w:w="6120" w:type="dxa"/>
            <w:tcBorders>
              <w:top w:val="single" w:sz="7" w:space="0" w:color="000000"/>
              <w:left w:val="double" w:sz="7" w:space="0" w:color="000000"/>
              <w:bottom w:val="single" w:sz="7" w:space="0" w:color="000000"/>
              <w:right w:val="single" w:sz="7" w:space="0" w:color="000000"/>
            </w:tcBorders>
          </w:tcPr>
          <w:p w14:paraId="10F303DF" w14:textId="77777777" w:rsidR="004743F6" w:rsidRPr="00D658C7" w:rsidRDefault="004743F6" w:rsidP="00D658C7">
            <w:pPr>
              <w:tabs>
                <w:tab w:val="left" w:pos="-734"/>
                <w:tab w:val="left" w:pos="544"/>
                <w:tab w:val="left" w:pos="814"/>
              </w:tabs>
              <w:spacing w:before="120" w:after="12"/>
              <w:rPr>
                <w:rFonts w:ascii="Calibri" w:hAnsi="Calibri"/>
                <w:sz w:val="24"/>
                <w:szCs w:val="24"/>
              </w:rPr>
            </w:pPr>
            <w:r w:rsidRPr="00D658C7">
              <w:rPr>
                <w:rFonts w:ascii="Calibri" w:hAnsi="Calibri"/>
                <w:sz w:val="24"/>
                <w:szCs w:val="24"/>
              </w:rPr>
              <w:t>Draft of statistical tables for inclusion in annual LIHEAP Report to Congress – text and appendices</w:t>
            </w:r>
          </w:p>
        </w:tc>
        <w:tc>
          <w:tcPr>
            <w:tcW w:w="2700" w:type="dxa"/>
            <w:tcBorders>
              <w:top w:val="single" w:sz="7" w:space="0" w:color="000000"/>
              <w:left w:val="single" w:sz="7" w:space="0" w:color="000000"/>
              <w:bottom w:val="single" w:sz="7" w:space="0" w:color="000000"/>
              <w:right w:val="double" w:sz="7" w:space="0" w:color="000000"/>
            </w:tcBorders>
          </w:tcPr>
          <w:p w14:paraId="10F303E0"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sz w:val="24"/>
                <w:szCs w:val="24"/>
              </w:rPr>
              <w:t>173</w:t>
            </w:r>
          </w:p>
        </w:tc>
      </w:tr>
      <w:tr w:rsidR="004743F6" w:rsidRPr="00D658C7" w14:paraId="10F303E4" w14:textId="77777777" w:rsidTr="004541D2">
        <w:trPr>
          <w:cantSplit/>
        </w:trPr>
        <w:tc>
          <w:tcPr>
            <w:tcW w:w="6120" w:type="dxa"/>
            <w:tcBorders>
              <w:top w:val="single" w:sz="7" w:space="0" w:color="000000"/>
              <w:left w:val="double" w:sz="7" w:space="0" w:color="000000"/>
              <w:bottom w:val="single" w:sz="7" w:space="0" w:color="000000"/>
              <w:right w:val="single" w:sz="7" w:space="0" w:color="000000"/>
            </w:tcBorders>
          </w:tcPr>
          <w:p w14:paraId="10F303E2" w14:textId="77777777" w:rsidR="004743F6" w:rsidRPr="00D658C7" w:rsidRDefault="004743F6" w:rsidP="00D658C7">
            <w:pPr>
              <w:tabs>
                <w:tab w:val="left" w:pos="-734"/>
                <w:tab w:val="left" w:pos="544"/>
                <w:tab w:val="left" w:pos="814"/>
              </w:tabs>
              <w:spacing w:before="120" w:after="12"/>
              <w:rPr>
                <w:rFonts w:ascii="Calibri" w:hAnsi="Calibri"/>
                <w:sz w:val="24"/>
                <w:szCs w:val="24"/>
              </w:rPr>
            </w:pPr>
            <w:r w:rsidRPr="00D658C7">
              <w:rPr>
                <w:rFonts w:ascii="Calibri" w:hAnsi="Calibri"/>
                <w:sz w:val="24"/>
                <w:szCs w:val="24"/>
              </w:rPr>
              <w:t>Final statistical tables for inclusion in annual LIHEAP Report to Congress</w:t>
            </w:r>
          </w:p>
        </w:tc>
        <w:tc>
          <w:tcPr>
            <w:tcW w:w="2700" w:type="dxa"/>
            <w:tcBorders>
              <w:top w:val="single" w:sz="7" w:space="0" w:color="000000"/>
              <w:left w:val="single" w:sz="7" w:space="0" w:color="000000"/>
              <w:bottom w:val="single" w:sz="7" w:space="0" w:color="000000"/>
              <w:right w:val="double" w:sz="7" w:space="0" w:color="000000"/>
            </w:tcBorders>
          </w:tcPr>
          <w:p w14:paraId="10F303E3"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sz w:val="24"/>
                <w:szCs w:val="24"/>
              </w:rPr>
              <w:t>193</w:t>
            </w:r>
          </w:p>
        </w:tc>
      </w:tr>
      <w:tr w:rsidR="004743F6" w:rsidRPr="00D658C7" w14:paraId="10F303E7" w14:textId="77777777" w:rsidTr="004541D2">
        <w:trPr>
          <w:cantSplit/>
        </w:trPr>
        <w:tc>
          <w:tcPr>
            <w:tcW w:w="6120" w:type="dxa"/>
            <w:tcBorders>
              <w:top w:val="single" w:sz="7" w:space="0" w:color="000000"/>
              <w:left w:val="double" w:sz="7" w:space="0" w:color="000000"/>
              <w:bottom w:val="double" w:sz="7" w:space="0" w:color="000000"/>
              <w:right w:val="single" w:sz="7" w:space="0" w:color="000000"/>
            </w:tcBorders>
          </w:tcPr>
          <w:p w14:paraId="10F303E5" w14:textId="77777777" w:rsidR="004743F6" w:rsidRPr="00D658C7" w:rsidRDefault="004743F6" w:rsidP="00D658C7">
            <w:pPr>
              <w:tabs>
                <w:tab w:val="left" w:pos="-734"/>
                <w:tab w:val="left" w:pos="544"/>
                <w:tab w:val="left" w:pos="814"/>
              </w:tabs>
              <w:spacing w:before="120" w:after="12"/>
              <w:rPr>
                <w:rFonts w:ascii="Calibri" w:hAnsi="Calibri"/>
                <w:sz w:val="24"/>
                <w:szCs w:val="24"/>
              </w:rPr>
            </w:pPr>
            <w:r w:rsidRPr="00D658C7">
              <w:rPr>
                <w:rFonts w:ascii="Calibri" w:hAnsi="Calibri"/>
                <w:sz w:val="24"/>
                <w:szCs w:val="24"/>
              </w:rPr>
              <w:t>Publication of annual LIHEAP Report to Congress**</w:t>
            </w:r>
          </w:p>
        </w:tc>
        <w:tc>
          <w:tcPr>
            <w:tcW w:w="2700" w:type="dxa"/>
            <w:tcBorders>
              <w:top w:val="single" w:sz="7" w:space="0" w:color="000000"/>
              <w:left w:val="single" w:sz="7" w:space="0" w:color="000000"/>
              <w:bottom w:val="double" w:sz="7" w:space="0" w:color="000000"/>
              <w:right w:val="double" w:sz="7" w:space="0" w:color="000000"/>
            </w:tcBorders>
          </w:tcPr>
          <w:p w14:paraId="10F303E6" w14:textId="77777777" w:rsidR="004743F6" w:rsidRPr="00D658C7" w:rsidRDefault="004743F6" w:rsidP="00D658C7">
            <w:pPr>
              <w:tabs>
                <w:tab w:val="left" w:pos="-734"/>
                <w:tab w:val="left" w:pos="544"/>
                <w:tab w:val="left" w:pos="814"/>
              </w:tabs>
              <w:spacing w:before="120" w:after="12"/>
              <w:jc w:val="center"/>
              <w:rPr>
                <w:rFonts w:ascii="Calibri" w:hAnsi="Calibri"/>
                <w:sz w:val="24"/>
                <w:szCs w:val="24"/>
              </w:rPr>
            </w:pPr>
            <w:r w:rsidRPr="00D658C7">
              <w:rPr>
                <w:rFonts w:ascii="Calibri" w:hAnsi="Calibri"/>
                <w:sz w:val="24"/>
                <w:szCs w:val="24"/>
              </w:rPr>
              <w:t>--</w:t>
            </w:r>
          </w:p>
        </w:tc>
      </w:tr>
    </w:tbl>
    <w:p w14:paraId="10F303E8" w14:textId="77777777" w:rsidR="00134F64" w:rsidRDefault="004743F6">
      <w:pPr>
        <w:widowControl/>
        <w:spacing w:before="100" w:beforeAutospacing="1" w:after="100" w:afterAutospacing="1"/>
        <w:ind w:left="1440"/>
        <w:rPr>
          <w:rFonts w:ascii="Calibri" w:hAnsi="Calibri"/>
          <w:snapToGrid/>
          <w:sz w:val="24"/>
          <w:szCs w:val="24"/>
        </w:rPr>
      </w:pPr>
      <w:r w:rsidRPr="00D658C7">
        <w:rPr>
          <w:rFonts w:ascii="Calibri" w:hAnsi="Calibri"/>
          <w:snapToGrid/>
          <w:sz w:val="24"/>
          <w:szCs w:val="24"/>
        </w:rPr>
        <w:t>*The LIHEAP Household Report for FY 201</w:t>
      </w:r>
      <w:r w:rsidR="00D11765">
        <w:rPr>
          <w:rFonts w:ascii="Calibri" w:hAnsi="Calibri"/>
          <w:snapToGrid/>
          <w:sz w:val="24"/>
          <w:szCs w:val="24"/>
        </w:rPr>
        <w:t>5</w:t>
      </w:r>
      <w:r w:rsidRPr="00D658C7">
        <w:rPr>
          <w:rFonts w:ascii="Calibri" w:hAnsi="Calibri"/>
          <w:snapToGrid/>
          <w:sz w:val="24"/>
          <w:szCs w:val="24"/>
        </w:rPr>
        <w:t xml:space="preserve"> would be reviewed for completeness as part of OCS’ block grant application/plan review process for FY 201</w:t>
      </w:r>
      <w:r w:rsidR="00D11765">
        <w:rPr>
          <w:rFonts w:ascii="Calibri" w:hAnsi="Calibri"/>
          <w:snapToGrid/>
          <w:sz w:val="24"/>
          <w:szCs w:val="24"/>
        </w:rPr>
        <w:t>6</w:t>
      </w:r>
      <w:r w:rsidRPr="00D658C7">
        <w:rPr>
          <w:rFonts w:ascii="Calibri" w:hAnsi="Calibri"/>
          <w:snapToGrid/>
          <w:sz w:val="24"/>
          <w:szCs w:val="24"/>
        </w:rPr>
        <w:t xml:space="preserve"> LIHEAP funding.  </w:t>
      </w:r>
    </w:p>
    <w:p w14:paraId="10F303E9" w14:textId="77777777" w:rsidR="00134F64" w:rsidRDefault="004743F6">
      <w:pPr>
        <w:widowControl/>
        <w:spacing w:before="100" w:beforeAutospacing="1" w:after="100" w:afterAutospacing="1"/>
        <w:ind w:left="1440"/>
        <w:rPr>
          <w:rFonts w:ascii="Calibri" w:hAnsi="Calibri"/>
          <w:snapToGrid/>
          <w:sz w:val="24"/>
          <w:szCs w:val="24"/>
        </w:rPr>
      </w:pPr>
      <w:r w:rsidRPr="00D658C7">
        <w:rPr>
          <w:rFonts w:ascii="Calibri" w:hAnsi="Calibri"/>
          <w:snapToGrid/>
          <w:sz w:val="24"/>
          <w:szCs w:val="24"/>
        </w:rPr>
        <w:t>**Publication is dependent upon the Department’s clearance process of the annual LIHEAP Report to Congress.</w:t>
      </w:r>
    </w:p>
    <w:p w14:paraId="10F303EA"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 xml:space="preserve">Reason(s) Display of OMB Expiration Date is Inappropriate </w:t>
      </w:r>
    </w:p>
    <w:p w14:paraId="10F303EB" w14:textId="77777777" w:rsidR="00A04EF3" w:rsidRPr="00D658C7" w:rsidRDefault="004743F6" w:rsidP="00A04EF3">
      <w:pPr>
        <w:widowControl/>
        <w:spacing w:before="100" w:beforeAutospacing="1" w:after="100" w:afterAutospacing="1"/>
        <w:ind w:left="720"/>
        <w:rPr>
          <w:rFonts w:ascii="Calibri" w:hAnsi="Calibri"/>
          <w:snapToGrid/>
          <w:sz w:val="24"/>
          <w:szCs w:val="24"/>
        </w:rPr>
      </w:pPr>
      <w:r w:rsidRPr="00D658C7">
        <w:rPr>
          <w:rFonts w:ascii="Calibri" w:hAnsi="Calibri"/>
          <w:snapToGrid/>
          <w:sz w:val="24"/>
          <w:szCs w:val="24"/>
        </w:rPr>
        <w:lastRenderedPageBreak/>
        <w:t xml:space="preserve">The expiration date for OMB approval of the information collection will be displayed on the report forms and instructions.  </w:t>
      </w:r>
    </w:p>
    <w:p w14:paraId="10F303EC" w14:textId="77777777" w:rsidR="002C3C4F" w:rsidRPr="00EC51AB" w:rsidRDefault="002C3C4F" w:rsidP="00EC51AB">
      <w:pPr>
        <w:pStyle w:val="ListParagraph"/>
        <w:widowControl/>
        <w:numPr>
          <w:ilvl w:val="0"/>
          <w:numId w:val="14"/>
        </w:numPr>
        <w:spacing w:before="100" w:beforeAutospacing="1" w:after="100" w:afterAutospacing="1"/>
        <w:rPr>
          <w:rFonts w:ascii="Calibri" w:hAnsi="Calibri"/>
          <w:b/>
          <w:snapToGrid/>
          <w:sz w:val="24"/>
          <w:szCs w:val="24"/>
        </w:rPr>
      </w:pPr>
      <w:r w:rsidRPr="00EC51AB">
        <w:rPr>
          <w:rFonts w:ascii="Calibri" w:hAnsi="Calibri"/>
          <w:b/>
          <w:snapToGrid/>
          <w:sz w:val="24"/>
          <w:szCs w:val="24"/>
        </w:rPr>
        <w:t>Exceptions to Certification for Paperwork Reduction Act Submissions</w:t>
      </w:r>
    </w:p>
    <w:p w14:paraId="10F303ED" w14:textId="77777777" w:rsidR="007935D5" w:rsidRPr="00D658C7" w:rsidRDefault="004743F6" w:rsidP="002C3C4F">
      <w:pPr>
        <w:widowControl/>
        <w:spacing w:before="100" w:beforeAutospacing="1" w:after="100" w:afterAutospacing="1"/>
        <w:rPr>
          <w:rFonts w:ascii="Calibri" w:hAnsi="Calibri"/>
          <w:b/>
          <w:bCs/>
          <w:snapToGrid/>
          <w:sz w:val="24"/>
          <w:szCs w:val="24"/>
        </w:rPr>
      </w:pPr>
      <w:r w:rsidRPr="00D658C7">
        <w:rPr>
          <w:rFonts w:ascii="Calibri" w:hAnsi="Calibri"/>
          <w:bCs/>
          <w:snapToGrid/>
          <w:sz w:val="24"/>
          <w:szCs w:val="24"/>
        </w:rPr>
        <w:t>There are no exceptions indicated to the certifications required by 5 CFR 1320.9.</w:t>
      </w:r>
    </w:p>
    <w:p w14:paraId="10F303EE" w14:textId="77777777" w:rsidR="002C3C4F" w:rsidRPr="00D658C7" w:rsidRDefault="002C3C4F" w:rsidP="002C3C4F">
      <w:pPr>
        <w:widowControl/>
        <w:spacing w:before="100" w:beforeAutospacing="1" w:after="100" w:afterAutospacing="1"/>
        <w:rPr>
          <w:rFonts w:ascii="Calibri" w:hAnsi="Calibri"/>
          <w:snapToGrid/>
          <w:sz w:val="24"/>
          <w:szCs w:val="24"/>
        </w:rPr>
      </w:pPr>
      <w:r w:rsidRPr="00D658C7">
        <w:rPr>
          <w:rFonts w:ascii="Calibri" w:hAnsi="Calibri"/>
          <w:b/>
          <w:bCs/>
          <w:snapToGrid/>
          <w:sz w:val="24"/>
          <w:szCs w:val="24"/>
        </w:rPr>
        <w:t>B. Statistical Methods</w:t>
      </w:r>
      <w:r w:rsidRPr="00D658C7">
        <w:rPr>
          <w:rFonts w:ascii="Calibri" w:hAnsi="Calibri"/>
          <w:snapToGrid/>
          <w:sz w:val="24"/>
          <w:szCs w:val="24"/>
        </w:rPr>
        <w:t xml:space="preserve"> </w:t>
      </w:r>
      <w:r w:rsidRPr="00D658C7">
        <w:rPr>
          <w:rFonts w:ascii="Calibri" w:hAnsi="Calibri"/>
          <w:b/>
          <w:bCs/>
          <w:snapToGrid/>
          <w:sz w:val="24"/>
          <w:szCs w:val="24"/>
        </w:rPr>
        <w:t>(used for collection of information employing statistical methods)</w:t>
      </w:r>
    </w:p>
    <w:p w14:paraId="10F303EF" w14:textId="77777777" w:rsidR="007935D5" w:rsidRPr="00D658C7" w:rsidRDefault="004743F6" w:rsidP="003F3FB7">
      <w:pPr>
        <w:widowControl/>
        <w:spacing w:before="100" w:beforeAutospacing="1" w:after="100" w:afterAutospacing="1"/>
        <w:rPr>
          <w:rFonts w:ascii="Calibri" w:hAnsi="Calibri"/>
          <w:snapToGrid/>
          <w:sz w:val="24"/>
          <w:szCs w:val="24"/>
        </w:rPr>
      </w:pPr>
      <w:r w:rsidRPr="00D658C7">
        <w:rPr>
          <w:rFonts w:ascii="Calibri" w:hAnsi="Calibri"/>
          <w:sz w:val="24"/>
          <w:szCs w:val="24"/>
        </w:rPr>
        <w:t xml:space="preserve">The information collection does not employ statistical methods.  </w:t>
      </w:r>
    </w:p>
    <w:p w14:paraId="10F303F0" w14:textId="77777777" w:rsidR="002C3C4F" w:rsidRPr="00D658C7" w:rsidRDefault="002C3C4F" w:rsidP="002C3C4F">
      <w:pPr>
        <w:widowControl/>
        <w:numPr>
          <w:ilvl w:val="0"/>
          <w:numId w:val="4"/>
        </w:numPr>
        <w:spacing w:before="100" w:beforeAutospacing="1" w:after="100" w:afterAutospacing="1"/>
        <w:rPr>
          <w:rFonts w:ascii="Calibri" w:hAnsi="Calibri"/>
          <w:snapToGrid/>
          <w:sz w:val="24"/>
          <w:szCs w:val="24"/>
        </w:rPr>
      </w:pPr>
      <w:r w:rsidRPr="00D658C7">
        <w:rPr>
          <w:rFonts w:ascii="Calibri" w:hAnsi="Calibri"/>
          <w:snapToGrid/>
          <w:sz w:val="24"/>
          <w:szCs w:val="24"/>
        </w:rPr>
        <w:t xml:space="preserve">Respondent Universe and Sampling Methods </w:t>
      </w:r>
    </w:p>
    <w:p w14:paraId="10F303F1" w14:textId="77777777" w:rsidR="00FB7547" w:rsidRPr="00D658C7" w:rsidRDefault="00EC51AB" w:rsidP="00FB7547">
      <w:pPr>
        <w:widowControl/>
        <w:spacing w:before="100" w:beforeAutospacing="1" w:after="100" w:afterAutospacing="1"/>
        <w:ind w:left="720"/>
        <w:rPr>
          <w:rFonts w:ascii="Calibri" w:hAnsi="Calibri"/>
          <w:snapToGrid/>
          <w:sz w:val="24"/>
          <w:szCs w:val="24"/>
        </w:rPr>
      </w:pPr>
      <w:r>
        <w:rPr>
          <w:rFonts w:ascii="Calibri" w:hAnsi="Calibri"/>
          <w:snapToGrid/>
          <w:sz w:val="24"/>
          <w:szCs w:val="24"/>
        </w:rPr>
        <w:t>N/A</w:t>
      </w:r>
    </w:p>
    <w:p w14:paraId="10F303F2" w14:textId="77777777" w:rsidR="002C3C4F" w:rsidRPr="00D658C7" w:rsidRDefault="002C3C4F" w:rsidP="002C3C4F">
      <w:pPr>
        <w:widowControl/>
        <w:numPr>
          <w:ilvl w:val="0"/>
          <w:numId w:val="4"/>
        </w:numPr>
        <w:spacing w:before="100" w:beforeAutospacing="1" w:after="100" w:afterAutospacing="1"/>
        <w:rPr>
          <w:rFonts w:ascii="Calibri" w:hAnsi="Calibri"/>
          <w:snapToGrid/>
          <w:sz w:val="24"/>
          <w:szCs w:val="24"/>
        </w:rPr>
      </w:pPr>
      <w:r w:rsidRPr="00D658C7">
        <w:rPr>
          <w:rFonts w:ascii="Calibri" w:hAnsi="Calibri"/>
          <w:snapToGrid/>
          <w:sz w:val="24"/>
          <w:szCs w:val="24"/>
        </w:rPr>
        <w:t xml:space="preserve">Procedures for the Collection of Information </w:t>
      </w:r>
    </w:p>
    <w:p w14:paraId="10F303F3" w14:textId="77777777" w:rsidR="003B7A50" w:rsidRPr="00D658C7" w:rsidRDefault="00EC51AB" w:rsidP="00A04EF3">
      <w:pPr>
        <w:tabs>
          <w:tab w:val="left" w:pos="-720"/>
          <w:tab w:val="left" w:pos="0"/>
        </w:tabs>
        <w:suppressAutoHyphens/>
        <w:ind w:left="720"/>
        <w:rPr>
          <w:rFonts w:ascii="Calibri" w:hAnsi="Calibri"/>
          <w:sz w:val="24"/>
          <w:szCs w:val="24"/>
        </w:rPr>
      </w:pPr>
      <w:r>
        <w:rPr>
          <w:rFonts w:ascii="Calibri" w:hAnsi="Calibri"/>
          <w:sz w:val="24"/>
          <w:szCs w:val="24"/>
        </w:rPr>
        <w:t>N/A</w:t>
      </w:r>
    </w:p>
    <w:p w14:paraId="10F303F4" w14:textId="77777777" w:rsidR="003B7A50" w:rsidRPr="00D658C7" w:rsidRDefault="003B7A50" w:rsidP="00A04EF3">
      <w:pPr>
        <w:tabs>
          <w:tab w:val="left" w:pos="-720"/>
          <w:tab w:val="left" w:pos="0"/>
        </w:tabs>
        <w:suppressAutoHyphens/>
        <w:ind w:left="720"/>
        <w:rPr>
          <w:rFonts w:ascii="Calibri" w:hAnsi="Calibri"/>
          <w:sz w:val="24"/>
          <w:szCs w:val="24"/>
        </w:rPr>
      </w:pPr>
    </w:p>
    <w:p w14:paraId="10F303F5" w14:textId="77777777" w:rsidR="00707AFB" w:rsidRPr="00D658C7" w:rsidRDefault="00707AFB" w:rsidP="00707AFB">
      <w:pPr>
        <w:numPr>
          <w:ilvl w:val="0"/>
          <w:numId w:val="4"/>
        </w:numPr>
        <w:tabs>
          <w:tab w:val="left" w:pos="-720"/>
          <w:tab w:val="left" w:pos="0"/>
        </w:tabs>
        <w:suppressAutoHyphens/>
        <w:rPr>
          <w:rFonts w:ascii="Calibri" w:hAnsi="Calibri"/>
          <w:sz w:val="24"/>
          <w:szCs w:val="24"/>
        </w:rPr>
      </w:pPr>
      <w:r w:rsidRPr="00D658C7">
        <w:rPr>
          <w:rFonts w:ascii="Calibri" w:hAnsi="Calibri"/>
          <w:sz w:val="24"/>
          <w:szCs w:val="24"/>
        </w:rPr>
        <w:t>Methods to Maximize Response Rates and Deal with Nonresponse</w:t>
      </w:r>
      <w:r w:rsidRPr="00D658C7">
        <w:rPr>
          <w:rFonts w:ascii="Calibri" w:hAnsi="Calibri"/>
          <w:sz w:val="24"/>
          <w:szCs w:val="24"/>
        </w:rPr>
        <w:tab/>
      </w:r>
    </w:p>
    <w:p w14:paraId="10F303F6" w14:textId="77777777" w:rsidR="00707AFB" w:rsidRPr="00D658C7" w:rsidRDefault="00707AFB" w:rsidP="00707AFB">
      <w:pPr>
        <w:tabs>
          <w:tab w:val="left" w:pos="-720"/>
          <w:tab w:val="left" w:pos="0"/>
        </w:tabs>
        <w:suppressAutoHyphens/>
        <w:ind w:left="720"/>
        <w:rPr>
          <w:rFonts w:ascii="Calibri" w:hAnsi="Calibri"/>
          <w:sz w:val="24"/>
          <w:szCs w:val="24"/>
        </w:rPr>
      </w:pPr>
    </w:p>
    <w:p w14:paraId="10F303F7" w14:textId="77777777" w:rsidR="00707AFB" w:rsidRPr="00D658C7" w:rsidRDefault="00EC51AB" w:rsidP="00707AFB">
      <w:pPr>
        <w:tabs>
          <w:tab w:val="left" w:pos="-720"/>
          <w:tab w:val="left" w:pos="0"/>
        </w:tabs>
        <w:suppressAutoHyphens/>
        <w:ind w:left="720"/>
        <w:rPr>
          <w:rFonts w:ascii="Calibri" w:hAnsi="Calibri"/>
          <w:sz w:val="24"/>
          <w:szCs w:val="24"/>
        </w:rPr>
      </w:pPr>
      <w:r>
        <w:rPr>
          <w:rFonts w:ascii="Calibri" w:hAnsi="Calibri"/>
          <w:sz w:val="24"/>
          <w:szCs w:val="24"/>
        </w:rPr>
        <w:t>N/A</w:t>
      </w:r>
    </w:p>
    <w:p w14:paraId="10F303F8" w14:textId="77777777" w:rsidR="002C3C4F" w:rsidRPr="00D658C7" w:rsidRDefault="002C3C4F" w:rsidP="002C3C4F">
      <w:pPr>
        <w:widowControl/>
        <w:numPr>
          <w:ilvl w:val="0"/>
          <w:numId w:val="4"/>
        </w:numPr>
        <w:spacing w:before="100" w:beforeAutospacing="1" w:after="100" w:afterAutospacing="1"/>
        <w:rPr>
          <w:rFonts w:ascii="Calibri" w:hAnsi="Calibri"/>
          <w:snapToGrid/>
          <w:sz w:val="24"/>
          <w:szCs w:val="24"/>
        </w:rPr>
      </w:pPr>
      <w:r w:rsidRPr="00D658C7">
        <w:rPr>
          <w:rFonts w:ascii="Calibri" w:hAnsi="Calibri"/>
          <w:snapToGrid/>
          <w:sz w:val="24"/>
          <w:szCs w:val="24"/>
        </w:rPr>
        <w:t xml:space="preserve">Test of Procedures or Methods to be Undertaken </w:t>
      </w:r>
    </w:p>
    <w:p w14:paraId="10F303F9" w14:textId="77777777" w:rsidR="003B7A50" w:rsidRPr="00D658C7" w:rsidRDefault="00EC51AB" w:rsidP="00A04EF3">
      <w:pPr>
        <w:widowControl/>
        <w:spacing w:before="100" w:beforeAutospacing="1" w:after="100" w:afterAutospacing="1"/>
        <w:ind w:left="720"/>
        <w:rPr>
          <w:rFonts w:ascii="Calibri" w:hAnsi="Calibri"/>
          <w:snapToGrid/>
          <w:sz w:val="24"/>
          <w:szCs w:val="24"/>
        </w:rPr>
      </w:pPr>
      <w:r>
        <w:rPr>
          <w:rFonts w:ascii="Calibri" w:hAnsi="Calibri"/>
          <w:snapToGrid/>
          <w:sz w:val="24"/>
          <w:szCs w:val="24"/>
        </w:rPr>
        <w:t>N/A</w:t>
      </w:r>
    </w:p>
    <w:p w14:paraId="10F303FA" w14:textId="77777777" w:rsidR="002C3C4F" w:rsidRPr="00D658C7" w:rsidRDefault="002C3C4F" w:rsidP="00A918E4">
      <w:pPr>
        <w:widowControl/>
        <w:numPr>
          <w:ilvl w:val="0"/>
          <w:numId w:val="4"/>
        </w:numPr>
        <w:spacing w:before="100" w:beforeAutospacing="1" w:after="100" w:afterAutospacing="1"/>
        <w:rPr>
          <w:rFonts w:ascii="Calibri" w:hAnsi="Calibri"/>
          <w:snapToGrid/>
          <w:sz w:val="24"/>
          <w:szCs w:val="24"/>
        </w:rPr>
      </w:pPr>
      <w:r w:rsidRPr="00D658C7">
        <w:rPr>
          <w:rFonts w:ascii="Calibri" w:hAnsi="Calibri"/>
          <w:snapToGrid/>
          <w:sz w:val="24"/>
          <w:szCs w:val="24"/>
        </w:rPr>
        <w:t>Individuals Consulted on Statistical Aspects and Individuals Collecting and/or Analyzing Data</w:t>
      </w:r>
    </w:p>
    <w:p w14:paraId="10F303FB" w14:textId="77777777" w:rsidR="00EC698B" w:rsidRPr="00D658C7" w:rsidRDefault="00EC51AB" w:rsidP="00EC51AB">
      <w:pPr>
        <w:widowControl/>
        <w:spacing w:before="100" w:beforeAutospacing="1" w:after="100" w:afterAutospacing="1"/>
        <w:ind w:left="720"/>
        <w:rPr>
          <w:rFonts w:ascii="Calibri" w:hAnsi="Calibri"/>
          <w:snapToGrid/>
          <w:sz w:val="24"/>
          <w:szCs w:val="24"/>
        </w:rPr>
      </w:pPr>
      <w:r>
        <w:rPr>
          <w:rFonts w:ascii="Calibri" w:hAnsi="Calibri"/>
          <w:snapToGrid/>
          <w:sz w:val="24"/>
          <w:szCs w:val="24"/>
        </w:rPr>
        <w:t>N/A</w:t>
      </w:r>
    </w:p>
    <w:p w14:paraId="10F303FC" w14:textId="77777777" w:rsidR="00EC698B" w:rsidRPr="00D658C7" w:rsidRDefault="00EC698B" w:rsidP="00EC698B">
      <w:pPr>
        <w:widowControl/>
        <w:spacing w:before="100" w:beforeAutospacing="1" w:after="100" w:afterAutospacing="1"/>
        <w:rPr>
          <w:rFonts w:ascii="Calibri" w:hAnsi="Calibri"/>
          <w:snapToGrid/>
          <w:sz w:val="24"/>
          <w:szCs w:val="24"/>
        </w:rPr>
      </w:pPr>
    </w:p>
    <w:p w14:paraId="10F303FD" w14:textId="77777777" w:rsidR="00EC698B" w:rsidRPr="00D658C7" w:rsidRDefault="00EC698B" w:rsidP="00EC698B">
      <w:pPr>
        <w:widowControl/>
        <w:spacing w:before="100" w:beforeAutospacing="1" w:after="100" w:afterAutospacing="1"/>
        <w:rPr>
          <w:rFonts w:ascii="Calibri" w:hAnsi="Calibri"/>
          <w:snapToGrid/>
          <w:sz w:val="24"/>
          <w:szCs w:val="24"/>
        </w:rPr>
      </w:pPr>
    </w:p>
    <w:p w14:paraId="10F303FE" w14:textId="77777777" w:rsidR="00EC698B" w:rsidRPr="00D658C7" w:rsidRDefault="00EC698B" w:rsidP="00EC698B">
      <w:pPr>
        <w:widowControl/>
        <w:spacing w:before="100" w:beforeAutospacing="1" w:after="100" w:afterAutospacing="1"/>
        <w:rPr>
          <w:rFonts w:ascii="Calibri" w:hAnsi="Calibri"/>
          <w:snapToGrid/>
          <w:sz w:val="24"/>
          <w:szCs w:val="24"/>
        </w:rPr>
      </w:pPr>
    </w:p>
    <w:p w14:paraId="10F303FF" w14:textId="77777777" w:rsidR="00EC698B" w:rsidRPr="00D658C7" w:rsidRDefault="00EC698B" w:rsidP="00EC698B">
      <w:pPr>
        <w:widowControl/>
        <w:spacing w:before="100" w:beforeAutospacing="1" w:after="100" w:afterAutospacing="1"/>
        <w:rPr>
          <w:rFonts w:ascii="Calibri" w:hAnsi="Calibri"/>
          <w:snapToGrid/>
          <w:sz w:val="24"/>
          <w:szCs w:val="24"/>
        </w:rPr>
      </w:pPr>
    </w:p>
    <w:p w14:paraId="10F30400" w14:textId="77777777" w:rsidR="00EC698B" w:rsidRPr="00D658C7" w:rsidRDefault="00EC698B" w:rsidP="00EC698B">
      <w:pPr>
        <w:widowControl/>
        <w:spacing w:before="100" w:beforeAutospacing="1" w:after="100" w:afterAutospacing="1"/>
        <w:rPr>
          <w:rFonts w:ascii="Calibri" w:hAnsi="Calibri"/>
          <w:snapToGrid/>
          <w:sz w:val="24"/>
          <w:szCs w:val="24"/>
        </w:rPr>
      </w:pPr>
    </w:p>
    <w:sectPr w:rsidR="00EC698B" w:rsidRPr="00D658C7"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30403" w14:textId="77777777" w:rsidR="00BB3B05" w:rsidRDefault="00BB3B05">
      <w:pPr>
        <w:spacing w:line="20" w:lineRule="exact"/>
        <w:rPr>
          <w:sz w:val="24"/>
        </w:rPr>
      </w:pPr>
    </w:p>
  </w:endnote>
  <w:endnote w:type="continuationSeparator" w:id="0">
    <w:p w14:paraId="10F30404" w14:textId="77777777" w:rsidR="00BB3B05" w:rsidRDefault="00BB3B05">
      <w:r>
        <w:rPr>
          <w:sz w:val="24"/>
        </w:rPr>
        <w:t xml:space="preserve"> </w:t>
      </w:r>
    </w:p>
  </w:endnote>
  <w:endnote w:type="continuationNotice" w:id="1">
    <w:p w14:paraId="10F30405" w14:textId="77777777" w:rsidR="00BB3B05" w:rsidRDefault="00BB3B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30406" w14:textId="77777777" w:rsidR="00DC1C23" w:rsidRDefault="00DC1C23">
    <w:pPr>
      <w:spacing w:before="140" w:line="100" w:lineRule="exact"/>
      <w:rPr>
        <w:sz w:val="10"/>
      </w:rPr>
    </w:pPr>
  </w:p>
  <w:p w14:paraId="10F30407" w14:textId="77777777" w:rsidR="00DC1C23" w:rsidRDefault="00DC1C23">
    <w:pPr>
      <w:tabs>
        <w:tab w:val="left" w:pos="-720"/>
      </w:tabs>
      <w:suppressAutoHyphens/>
      <w:rPr>
        <w:sz w:val="24"/>
      </w:rPr>
    </w:pPr>
  </w:p>
  <w:p w14:paraId="10F30408" w14:textId="77777777" w:rsidR="00DC1C23" w:rsidRDefault="00EC51A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10F30409" wp14:editId="10F3040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F3040B" w14:textId="77777777" w:rsidR="00DC1C23" w:rsidRDefault="00DC1C23">
                          <w:pPr>
                            <w:tabs>
                              <w:tab w:val="center" w:pos="4650"/>
                            </w:tabs>
                            <w:suppressAutoHyphens/>
                            <w:jc w:val="both"/>
                            <w:rPr>
                              <w:sz w:val="24"/>
                            </w:rPr>
                          </w:pPr>
                          <w:r>
                            <w:rPr>
                              <w:sz w:val="24"/>
                            </w:rPr>
                            <w:tab/>
                          </w:r>
                          <w:r w:rsidR="005F06EA">
                            <w:rPr>
                              <w:sz w:val="24"/>
                            </w:rPr>
                            <w:fldChar w:fldCharType="begin"/>
                          </w:r>
                          <w:r>
                            <w:rPr>
                              <w:sz w:val="24"/>
                            </w:rPr>
                            <w:instrText>page \* arabic</w:instrText>
                          </w:r>
                          <w:r w:rsidR="005F06EA">
                            <w:rPr>
                              <w:sz w:val="24"/>
                            </w:rPr>
                            <w:fldChar w:fldCharType="separate"/>
                          </w:r>
                          <w:r w:rsidR="00847B62">
                            <w:rPr>
                              <w:noProof/>
                              <w:sz w:val="24"/>
                            </w:rPr>
                            <w:t>2</w:t>
                          </w:r>
                          <w:r w:rsidR="005F06EA">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040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0F3040B" w14:textId="77777777" w:rsidR="00DC1C23" w:rsidRDefault="00DC1C23">
                    <w:pPr>
                      <w:tabs>
                        <w:tab w:val="center" w:pos="4650"/>
                      </w:tabs>
                      <w:suppressAutoHyphens/>
                      <w:jc w:val="both"/>
                      <w:rPr>
                        <w:sz w:val="24"/>
                      </w:rPr>
                    </w:pPr>
                    <w:r>
                      <w:rPr>
                        <w:sz w:val="24"/>
                      </w:rPr>
                      <w:tab/>
                    </w:r>
                    <w:r w:rsidR="005F06EA">
                      <w:rPr>
                        <w:sz w:val="24"/>
                      </w:rPr>
                      <w:fldChar w:fldCharType="begin"/>
                    </w:r>
                    <w:r>
                      <w:rPr>
                        <w:sz w:val="24"/>
                      </w:rPr>
                      <w:instrText>page \* arabic</w:instrText>
                    </w:r>
                    <w:r w:rsidR="005F06EA">
                      <w:rPr>
                        <w:sz w:val="24"/>
                      </w:rPr>
                      <w:fldChar w:fldCharType="separate"/>
                    </w:r>
                    <w:r w:rsidR="00847B62">
                      <w:rPr>
                        <w:noProof/>
                        <w:sz w:val="24"/>
                      </w:rPr>
                      <w:t>2</w:t>
                    </w:r>
                    <w:r w:rsidR="005F06EA">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30401" w14:textId="77777777" w:rsidR="00BB3B05" w:rsidRDefault="00BB3B05">
      <w:r>
        <w:rPr>
          <w:sz w:val="24"/>
        </w:rPr>
        <w:separator/>
      </w:r>
    </w:p>
  </w:footnote>
  <w:footnote w:type="continuationSeparator" w:id="0">
    <w:p w14:paraId="10F30402" w14:textId="77777777" w:rsidR="00BB3B05" w:rsidRDefault="00BB3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6AF7"/>
    <w:multiLevelType w:val="hybridMultilevel"/>
    <w:tmpl w:val="0D3060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3E0325"/>
    <w:multiLevelType w:val="hybridMultilevel"/>
    <w:tmpl w:val="2C8C47D6"/>
    <w:lvl w:ilvl="0" w:tplc="673E1E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53CBA"/>
    <w:multiLevelType w:val="hybridMultilevel"/>
    <w:tmpl w:val="E7727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15BB8"/>
    <w:multiLevelType w:val="hybridMultilevel"/>
    <w:tmpl w:val="CFA4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13351"/>
    <w:multiLevelType w:val="hybridMultilevel"/>
    <w:tmpl w:val="A57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7" w15:restartNumberingAfterBreak="0">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A450786"/>
    <w:multiLevelType w:val="hybridMultilevel"/>
    <w:tmpl w:val="97866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9"/>
  </w:num>
  <w:num w:numId="2">
    <w:abstractNumId w:val="10"/>
  </w:num>
  <w:num w:numId="3">
    <w:abstractNumId w:val="11"/>
  </w:num>
  <w:num w:numId="4">
    <w:abstractNumId w:val="4"/>
  </w:num>
  <w:num w:numId="5">
    <w:abstractNumId w:val="6"/>
  </w:num>
  <w:num w:numId="6">
    <w:abstractNumId w:val="0"/>
  </w:num>
  <w:num w:numId="7">
    <w:abstractNumId w:val="12"/>
  </w:num>
  <w:num w:numId="8">
    <w:abstractNumId w:val="13"/>
  </w:num>
  <w:num w:numId="9">
    <w:abstractNumId w:val="7"/>
  </w:num>
  <w:num w:numId="10">
    <w:abstractNumId w:val="3"/>
  </w:num>
  <w:num w:numId="11">
    <w:abstractNumId w:val="5"/>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4559A"/>
    <w:rsid w:val="00062551"/>
    <w:rsid w:val="0009461C"/>
    <w:rsid w:val="000C750B"/>
    <w:rsid w:val="000F069F"/>
    <w:rsid w:val="00102200"/>
    <w:rsid w:val="001337B5"/>
    <w:rsid w:val="00134F64"/>
    <w:rsid w:val="0014145B"/>
    <w:rsid w:val="0014602D"/>
    <w:rsid w:val="00186385"/>
    <w:rsid w:val="001C483C"/>
    <w:rsid w:val="001D1651"/>
    <w:rsid w:val="001F40A0"/>
    <w:rsid w:val="00215E6F"/>
    <w:rsid w:val="00226C42"/>
    <w:rsid w:val="00234235"/>
    <w:rsid w:val="00254BA8"/>
    <w:rsid w:val="002565DE"/>
    <w:rsid w:val="0029589B"/>
    <w:rsid w:val="00296738"/>
    <w:rsid w:val="002C3C4F"/>
    <w:rsid w:val="002E10D1"/>
    <w:rsid w:val="002E15B2"/>
    <w:rsid w:val="00326E87"/>
    <w:rsid w:val="003309C6"/>
    <w:rsid w:val="003346FC"/>
    <w:rsid w:val="003405A4"/>
    <w:rsid w:val="003723AF"/>
    <w:rsid w:val="00375170"/>
    <w:rsid w:val="0038209B"/>
    <w:rsid w:val="003B7A50"/>
    <w:rsid w:val="003C1D6E"/>
    <w:rsid w:val="003C2DF2"/>
    <w:rsid w:val="003D4511"/>
    <w:rsid w:val="003E0482"/>
    <w:rsid w:val="003E6EA3"/>
    <w:rsid w:val="003E76EE"/>
    <w:rsid w:val="003F3FB7"/>
    <w:rsid w:val="004404C0"/>
    <w:rsid w:val="00443E69"/>
    <w:rsid w:val="004541D2"/>
    <w:rsid w:val="004602FE"/>
    <w:rsid w:val="00467954"/>
    <w:rsid w:val="004743F6"/>
    <w:rsid w:val="00476C1F"/>
    <w:rsid w:val="00480072"/>
    <w:rsid w:val="0049119A"/>
    <w:rsid w:val="004943E0"/>
    <w:rsid w:val="00495874"/>
    <w:rsid w:val="004E04D2"/>
    <w:rsid w:val="00522C18"/>
    <w:rsid w:val="00557780"/>
    <w:rsid w:val="005824BD"/>
    <w:rsid w:val="005B22D4"/>
    <w:rsid w:val="005C60F1"/>
    <w:rsid w:val="005D274E"/>
    <w:rsid w:val="005D61DB"/>
    <w:rsid w:val="005F06EA"/>
    <w:rsid w:val="005F0ED4"/>
    <w:rsid w:val="00603498"/>
    <w:rsid w:val="00630AB6"/>
    <w:rsid w:val="00635301"/>
    <w:rsid w:val="00640565"/>
    <w:rsid w:val="006737B1"/>
    <w:rsid w:val="006B1006"/>
    <w:rsid w:val="006B2726"/>
    <w:rsid w:val="006C3F91"/>
    <w:rsid w:val="006E6629"/>
    <w:rsid w:val="006F68BE"/>
    <w:rsid w:val="00707AFB"/>
    <w:rsid w:val="00755A05"/>
    <w:rsid w:val="00762C40"/>
    <w:rsid w:val="00773ABD"/>
    <w:rsid w:val="00786793"/>
    <w:rsid w:val="00790D2C"/>
    <w:rsid w:val="007935D5"/>
    <w:rsid w:val="007B11D5"/>
    <w:rsid w:val="007D6669"/>
    <w:rsid w:val="007E5C0A"/>
    <w:rsid w:val="007E7BC3"/>
    <w:rsid w:val="008355A6"/>
    <w:rsid w:val="00841BDF"/>
    <w:rsid w:val="00845298"/>
    <w:rsid w:val="00846E18"/>
    <w:rsid w:val="00847B62"/>
    <w:rsid w:val="008540BD"/>
    <w:rsid w:val="00882D62"/>
    <w:rsid w:val="008900A8"/>
    <w:rsid w:val="008955AC"/>
    <w:rsid w:val="008A19B9"/>
    <w:rsid w:val="008C60E1"/>
    <w:rsid w:val="008F0923"/>
    <w:rsid w:val="009113FF"/>
    <w:rsid w:val="00936A53"/>
    <w:rsid w:val="0094445F"/>
    <w:rsid w:val="009451B1"/>
    <w:rsid w:val="00945B72"/>
    <w:rsid w:val="0096498E"/>
    <w:rsid w:val="009C2DE1"/>
    <w:rsid w:val="009E7282"/>
    <w:rsid w:val="009F5543"/>
    <w:rsid w:val="00A04EF3"/>
    <w:rsid w:val="00A61AC0"/>
    <w:rsid w:val="00A66372"/>
    <w:rsid w:val="00A66763"/>
    <w:rsid w:val="00A77AC0"/>
    <w:rsid w:val="00A918E4"/>
    <w:rsid w:val="00AE255C"/>
    <w:rsid w:val="00AF2F26"/>
    <w:rsid w:val="00AF399C"/>
    <w:rsid w:val="00AF4347"/>
    <w:rsid w:val="00AF5FE7"/>
    <w:rsid w:val="00B23963"/>
    <w:rsid w:val="00BB3B05"/>
    <w:rsid w:val="00BD378C"/>
    <w:rsid w:val="00C104C6"/>
    <w:rsid w:val="00C13BA6"/>
    <w:rsid w:val="00C41C7A"/>
    <w:rsid w:val="00CA2F79"/>
    <w:rsid w:val="00CB1A12"/>
    <w:rsid w:val="00CE53AB"/>
    <w:rsid w:val="00CF625A"/>
    <w:rsid w:val="00D02EF1"/>
    <w:rsid w:val="00D11765"/>
    <w:rsid w:val="00D176EB"/>
    <w:rsid w:val="00D23483"/>
    <w:rsid w:val="00D310A4"/>
    <w:rsid w:val="00D658C7"/>
    <w:rsid w:val="00D67D80"/>
    <w:rsid w:val="00D76DC8"/>
    <w:rsid w:val="00D9648C"/>
    <w:rsid w:val="00DA7CC9"/>
    <w:rsid w:val="00DC1C23"/>
    <w:rsid w:val="00DF2967"/>
    <w:rsid w:val="00E43B47"/>
    <w:rsid w:val="00E621BE"/>
    <w:rsid w:val="00EC51AB"/>
    <w:rsid w:val="00EC698B"/>
    <w:rsid w:val="00ED782E"/>
    <w:rsid w:val="00EF1148"/>
    <w:rsid w:val="00EF4E12"/>
    <w:rsid w:val="00F009E5"/>
    <w:rsid w:val="00F10B17"/>
    <w:rsid w:val="00F14272"/>
    <w:rsid w:val="00F54BF2"/>
    <w:rsid w:val="00F567DD"/>
    <w:rsid w:val="00F655EC"/>
    <w:rsid w:val="00F71760"/>
    <w:rsid w:val="00F83116"/>
    <w:rsid w:val="00F95BF4"/>
    <w:rsid w:val="00FA5092"/>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F30320"/>
  <w15:docId w15:val="{9141E517-F9F8-4EA0-B314-B7D253B7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Level1">
    <w:name w:val="Level 1"/>
    <w:basedOn w:val="Normal"/>
    <w:rsid w:val="004743F6"/>
    <w:rPr>
      <w:rFonts w:ascii="Times New Roman" w:hAnsi="Times New Roman"/>
      <w:snapToGrid/>
      <w:sz w:val="24"/>
    </w:rPr>
  </w:style>
  <w:style w:type="paragraph" w:styleId="Header">
    <w:name w:val="header"/>
    <w:basedOn w:val="Normal"/>
    <w:link w:val="HeaderChar"/>
    <w:rsid w:val="007D6669"/>
    <w:pPr>
      <w:tabs>
        <w:tab w:val="center" w:pos="4680"/>
        <w:tab w:val="right" w:pos="9360"/>
      </w:tabs>
    </w:pPr>
  </w:style>
  <w:style w:type="character" w:customStyle="1" w:styleId="HeaderChar">
    <w:name w:val="Header Char"/>
    <w:link w:val="Header"/>
    <w:rsid w:val="007D6669"/>
    <w:rPr>
      <w:rFonts w:ascii="Courier New" w:hAnsi="Courier New"/>
      <w:snapToGrid w:val="0"/>
    </w:rPr>
  </w:style>
  <w:style w:type="paragraph" w:styleId="Footer">
    <w:name w:val="footer"/>
    <w:basedOn w:val="Normal"/>
    <w:link w:val="FooterChar"/>
    <w:rsid w:val="007D6669"/>
    <w:pPr>
      <w:tabs>
        <w:tab w:val="center" w:pos="4680"/>
        <w:tab w:val="right" w:pos="9360"/>
      </w:tabs>
    </w:pPr>
  </w:style>
  <w:style w:type="character" w:customStyle="1" w:styleId="FooterChar">
    <w:name w:val="Footer Char"/>
    <w:link w:val="Footer"/>
    <w:rsid w:val="007D6669"/>
    <w:rPr>
      <w:rFonts w:ascii="Courier New" w:hAnsi="Courier New"/>
      <w:snapToGrid w:val="0"/>
    </w:rPr>
  </w:style>
  <w:style w:type="paragraph" w:styleId="ListParagraph">
    <w:name w:val="List Paragraph"/>
    <w:basedOn w:val="Normal"/>
    <w:uiPriority w:val="34"/>
    <w:qFormat/>
    <w:rsid w:val="00AF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0970-0060</OMB_x0020_Control_x0020_Number>
    <FR_x0020_Title xmlns="e059a2d5-a4f8-4fd8-b836-4c9cf26100e7">Annual Report on Households Assisted by the Low Income Home Energy Assistance Program (LIHEAP)</FR_x0020_Title>
    <ACF_x0020_Tracking_x0020_No_x002e_ xmlns="e059a2d5-a4f8-4fd8-b836-4c9cf26100e7">OCS-0148</ACF_x0020_Tracking_x0020_No_x002e_>
    <Description0 xmlns="e059a2d5-a4f8-4fd8-b836-4c9cf26100e7">Supporting Statement</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24EAC479-2421-4E44-8D5A-551A8157F665}">
  <ds:schemaRef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05ACAA-62E2-413C-BD5B-418CC5A74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C5A24-77CB-4E57-8DA1-22C7B2E0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2663</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Annual Report on Households Assisted by the Low Income Home Energy Assistance Program (LIHEAP)</vt:lpstr>
    </vt:vector>
  </TitlesOfParts>
  <Company>DHHS</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on Households Assisted by the Low Income Home Energy Assistance Program (LIHEAP)</dc:title>
  <dc:creator>ACF</dc:creator>
  <cp:lastModifiedBy>Author</cp:lastModifiedBy>
  <cp:revision>2</cp:revision>
  <cp:lastPrinted>2015-05-07T20:43:00Z</cp:lastPrinted>
  <dcterms:created xsi:type="dcterms:W3CDTF">2015-10-16T14:05:00Z</dcterms:created>
  <dcterms:modified xsi:type="dcterms:W3CDTF">2015-10-16T14:05:00Z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