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F5F7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14:paraId="2B9ED69D"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079C1237" w14:textId="77777777" w:rsidR="008126AE" w:rsidRPr="007B61E0" w:rsidRDefault="0095304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color w:val="FF0000"/>
          <w:sz w:val="32"/>
          <w:szCs w:val="32"/>
        </w:rPr>
      </w:pPr>
      <w:r w:rsidRPr="00953042">
        <w:rPr>
          <w:b/>
          <w:bCs/>
          <w:sz w:val="32"/>
          <w:szCs w:val="32"/>
        </w:rPr>
        <w:t>Assessing Public Views of Waterfowl-Related Topics to Inform the North American Waterfowl Management Plan</w:t>
      </w:r>
    </w:p>
    <w:p w14:paraId="09738A6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30917F60" w14:textId="77777777"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953042">
        <w:rPr>
          <w:b/>
          <w:bCs/>
          <w:sz w:val="32"/>
          <w:szCs w:val="32"/>
        </w:rPr>
        <w:t>NEW</w:t>
      </w:r>
    </w:p>
    <w:p w14:paraId="58D061E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D498D56"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19C0024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7624E03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BAB08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38138310"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97CA10"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D2FAC1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E8E35E" w14:textId="77777777" w:rsidR="005C17DE" w:rsidRDefault="004E0390"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potential respondent universe includes all citizens of the United States </w:t>
      </w:r>
      <w:r w:rsidR="00405C0B">
        <w:rPr>
          <w:sz w:val="24"/>
          <w:szCs w:val="24"/>
        </w:rPr>
        <w:t xml:space="preserve">age </w:t>
      </w:r>
      <w:r>
        <w:rPr>
          <w:sz w:val="24"/>
          <w:szCs w:val="24"/>
        </w:rPr>
        <w:t xml:space="preserve">18 </w:t>
      </w:r>
      <w:r w:rsidR="00405C0B">
        <w:rPr>
          <w:sz w:val="24"/>
          <w:szCs w:val="24"/>
        </w:rPr>
        <w:t xml:space="preserve">and older </w:t>
      </w:r>
      <w:r>
        <w:rPr>
          <w:sz w:val="24"/>
          <w:szCs w:val="24"/>
        </w:rPr>
        <w:t>(</w:t>
      </w:r>
      <w:r w:rsidR="00405C0B">
        <w:rPr>
          <w:sz w:val="24"/>
          <w:szCs w:val="24"/>
        </w:rPr>
        <w:t>table 1</w:t>
      </w:r>
      <w:r>
        <w:rPr>
          <w:sz w:val="24"/>
          <w:szCs w:val="24"/>
        </w:rPr>
        <w:t xml:space="preserve">). </w:t>
      </w:r>
      <w:r w:rsidR="00405C0B">
        <w:rPr>
          <w:sz w:val="24"/>
          <w:szCs w:val="24"/>
        </w:rPr>
        <w:t>The sample will be selected to be rep</w:t>
      </w:r>
      <w:r w:rsidR="004E3B25">
        <w:rPr>
          <w:sz w:val="24"/>
          <w:szCs w:val="24"/>
        </w:rPr>
        <w:t xml:space="preserve">resentative of gender, age, </w:t>
      </w:r>
      <w:r w:rsidR="00405C0B">
        <w:rPr>
          <w:sz w:val="24"/>
          <w:szCs w:val="24"/>
        </w:rPr>
        <w:t>geographic distribution</w:t>
      </w:r>
      <w:r w:rsidR="004E3B25">
        <w:rPr>
          <w:sz w:val="24"/>
          <w:szCs w:val="24"/>
        </w:rPr>
        <w:t>, and urban/rural residence</w:t>
      </w:r>
      <w:r w:rsidR="00405C0B">
        <w:rPr>
          <w:sz w:val="24"/>
          <w:szCs w:val="24"/>
        </w:rPr>
        <w:t xml:space="preserve"> according to </w:t>
      </w:r>
      <w:r w:rsidR="004E3B25">
        <w:rPr>
          <w:sz w:val="24"/>
          <w:szCs w:val="24"/>
        </w:rPr>
        <w:t xml:space="preserve">2010 </w:t>
      </w:r>
      <w:r w:rsidR="00405C0B">
        <w:rPr>
          <w:sz w:val="24"/>
          <w:szCs w:val="24"/>
        </w:rPr>
        <w:t xml:space="preserve">Census data. </w:t>
      </w:r>
    </w:p>
    <w:p w14:paraId="696742CB" w14:textId="77777777" w:rsidR="00405C0B" w:rsidRDefault="00405C0B"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7A680C" w14:textId="77777777" w:rsidR="00405C0B" w:rsidRPr="00B75E98" w:rsidRDefault="00405C0B" w:rsidP="00405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r w:rsidRPr="00B75E98">
        <w:rPr>
          <w:rFonts w:ascii="Arial Narrow" w:hAnsi="Arial Narrow"/>
          <w:b/>
          <w:sz w:val="24"/>
          <w:szCs w:val="24"/>
        </w:rPr>
        <w:t xml:space="preserve">Table </w:t>
      </w:r>
      <w:r>
        <w:rPr>
          <w:rFonts w:ascii="Arial Narrow" w:hAnsi="Arial Narrow"/>
          <w:b/>
          <w:sz w:val="24"/>
          <w:szCs w:val="24"/>
        </w:rPr>
        <w:t>1</w:t>
      </w:r>
      <w:r w:rsidRPr="00B75E98">
        <w:rPr>
          <w:rFonts w:ascii="Arial Narrow" w:hAnsi="Arial Narrow"/>
          <w:b/>
          <w:sz w:val="24"/>
          <w:szCs w:val="24"/>
        </w:rPr>
        <w:t xml:space="preserve">. </w:t>
      </w:r>
      <w:r>
        <w:rPr>
          <w:rFonts w:ascii="Arial Narrow" w:hAnsi="Arial Narrow"/>
          <w:b/>
          <w:sz w:val="24"/>
          <w:szCs w:val="24"/>
        </w:rPr>
        <w:t>Potential respondent universe</w:t>
      </w:r>
    </w:p>
    <w:p w14:paraId="27F66954" w14:textId="77777777" w:rsidR="00405C0B" w:rsidRPr="00B75E98" w:rsidRDefault="00405C0B" w:rsidP="00405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Narrow" w:hAnsi="Arial Narrow"/>
          <w:b/>
          <w:sz w:val="24"/>
          <w:szCs w:val="24"/>
        </w:rPr>
      </w:pPr>
    </w:p>
    <w:tbl>
      <w:tblPr>
        <w:tblW w:w="5000" w:type="pct"/>
        <w:tblLook w:val="0000" w:firstRow="0" w:lastRow="0" w:firstColumn="0" w:lastColumn="0" w:noHBand="0" w:noVBand="0"/>
      </w:tblPr>
      <w:tblGrid>
        <w:gridCol w:w="6053"/>
        <w:gridCol w:w="3297"/>
      </w:tblGrid>
      <w:tr w:rsidR="00405C0B" w:rsidRPr="00B75E98" w14:paraId="05BDDD6C" w14:textId="77777777" w:rsidTr="00405C0B">
        <w:trPr>
          <w:trHeight w:val="314"/>
        </w:trPr>
        <w:tc>
          <w:tcPr>
            <w:tcW w:w="3237" w:type="pct"/>
            <w:tcBorders>
              <w:top w:val="single" w:sz="4" w:space="0" w:color="auto"/>
              <w:left w:val="single" w:sz="4" w:space="0" w:color="auto"/>
              <w:bottom w:val="single" w:sz="4" w:space="0" w:color="auto"/>
              <w:right w:val="single" w:sz="4" w:space="0" w:color="auto"/>
            </w:tcBorders>
            <w:shd w:val="clear" w:color="auto" w:fill="E0E0E0"/>
            <w:vAlign w:val="bottom"/>
          </w:tcPr>
          <w:p w14:paraId="3333949B" w14:textId="77777777" w:rsidR="00405C0B" w:rsidRPr="00B75E98" w:rsidRDefault="00405C0B" w:rsidP="00994E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Cs w:val="24"/>
              </w:rPr>
            </w:pPr>
            <w:r>
              <w:rPr>
                <w:rFonts w:ascii="Arial" w:hAnsi="Arial" w:cs="Arial"/>
                <w:b/>
                <w:bCs/>
                <w:szCs w:val="24"/>
              </w:rPr>
              <w:t>Population</w:t>
            </w:r>
          </w:p>
        </w:tc>
        <w:tc>
          <w:tcPr>
            <w:tcW w:w="1763" w:type="pct"/>
            <w:tcBorders>
              <w:top w:val="single" w:sz="4" w:space="0" w:color="auto"/>
              <w:left w:val="nil"/>
              <w:bottom w:val="single" w:sz="4" w:space="0" w:color="auto"/>
              <w:right w:val="single" w:sz="4" w:space="0" w:color="auto"/>
            </w:tcBorders>
            <w:shd w:val="clear" w:color="auto" w:fill="E0E0E0"/>
            <w:vAlign w:val="bottom"/>
          </w:tcPr>
          <w:p w14:paraId="5CD8D706" w14:textId="77777777" w:rsidR="00405C0B" w:rsidRPr="00B75E98" w:rsidRDefault="00405C0B" w:rsidP="00994E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bCs/>
                <w:szCs w:val="24"/>
              </w:rPr>
            </w:pPr>
            <w:r>
              <w:rPr>
                <w:rFonts w:ascii="Arial" w:hAnsi="Arial" w:cs="Arial"/>
                <w:b/>
                <w:bCs/>
                <w:szCs w:val="24"/>
              </w:rPr>
              <w:t>Number of People</w:t>
            </w:r>
          </w:p>
        </w:tc>
      </w:tr>
      <w:tr w:rsidR="00405C0B" w:rsidRPr="00B75E98" w14:paraId="70A7712F" w14:textId="77777777" w:rsidTr="00405C0B">
        <w:trPr>
          <w:trHeight w:val="458"/>
        </w:trPr>
        <w:tc>
          <w:tcPr>
            <w:tcW w:w="3237" w:type="pct"/>
            <w:tcBorders>
              <w:top w:val="single" w:sz="4" w:space="0" w:color="auto"/>
              <w:left w:val="single" w:sz="4" w:space="0" w:color="auto"/>
              <w:bottom w:val="single" w:sz="4" w:space="0" w:color="auto"/>
              <w:right w:val="single" w:sz="4" w:space="0" w:color="auto"/>
            </w:tcBorders>
            <w:vAlign w:val="center"/>
          </w:tcPr>
          <w:p w14:paraId="5FE41C59" w14:textId="77777777" w:rsidR="00405C0B" w:rsidRPr="00B75E98" w:rsidRDefault="00405C0B" w:rsidP="00994E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4"/>
              </w:rPr>
            </w:pPr>
            <w:r>
              <w:rPr>
                <w:rFonts w:ascii="Arial" w:hAnsi="Arial" w:cs="Arial"/>
                <w:szCs w:val="24"/>
              </w:rPr>
              <w:t>U.S. citizens 18 and older</w:t>
            </w:r>
          </w:p>
        </w:tc>
        <w:tc>
          <w:tcPr>
            <w:tcW w:w="1763" w:type="pct"/>
            <w:tcBorders>
              <w:top w:val="nil"/>
              <w:left w:val="nil"/>
              <w:bottom w:val="single" w:sz="4" w:space="0" w:color="auto"/>
              <w:right w:val="single" w:sz="4" w:space="0" w:color="auto"/>
            </w:tcBorders>
            <w:vAlign w:val="center"/>
          </w:tcPr>
          <w:p w14:paraId="4D20714D" w14:textId="77777777" w:rsidR="00405C0B" w:rsidRPr="00B75E98" w:rsidRDefault="00405C0B" w:rsidP="00994E7C">
            <w:pPr>
              <w:tabs>
                <w:tab w:val="left" w:pos="-1080"/>
                <w:tab w:val="left" w:pos="-720"/>
                <w:tab w:val="left" w:pos="0"/>
                <w:tab w:val="left" w:pos="259"/>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4"/>
              </w:rPr>
            </w:pPr>
            <w:r>
              <w:rPr>
                <w:rFonts w:ascii="Arial" w:hAnsi="Arial" w:cs="Arial"/>
                <w:szCs w:val="24"/>
              </w:rPr>
              <w:t>244.6 million</w:t>
            </w:r>
          </w:p>
        </w:tc>
      </w:tr>
      <w:tr w:rsidR="00405C0B" w:rsidRPr="00B75E98" w14:paraId="2585608D" w14:textId="77777777" w:rsidTr="00405C0B">
        <w:trPr>
          <w:trHeight w:val="467"/>
        </w:trPr>
        <w:tc>
          <w:tcPr>
            <w:tcW w:w="3237" w:type="pct"/>
            <w:tcBorders>
              <w:top w:val="single" w:sz="4" w:space="0" w:color="auto"/>
              <w:left w:val="single" w:sz="4" w:space="0" w:color="auto"/>
              <w:bottom w:val="single" w:sz="4" w:space="0" w:color="auto"/>
              <w:right w:val="single" w:sz="4" w:space="0" w:color="auto"/>
            </w:tcBorders>
            <w:vAlign w:val="center"/>
          </w:tcPr>
          <w:p w14:paraId="62AE0C96" w14:textId="77777777" w:rsidR="00405C0B" w:rsidRPr="00B75E98" w:rsidRDefault="00405C0B" w:rsidP="00405C0B">
            <w:pPr>
              <w:tabs>
                <w:tab w:val="left" w:pos="-1080"/>
                <w:tab w:val="left" w:pos="-720"/>
                <w:tab w:val="left" w:pos="427"/>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7"/>
              <w:rPr>
                <w:rFonts w:ascii="Arial" w:hAnsi="Arial" w:cs="Arial"/>
                <w:szCs w:val="24"/>
              </w:rPr>
            </w:pPr>
            <w:r>
              <w:rPr>
                <w:rFonts w:ascii="Arial" w:hAnsi="Arial" w:cs="Arial"/>
                <w:szCs w:val="24"/>
              </w:rPr>
              <w:t>Urban residents</w:t>
            </w:r>
          </w:p>
        </w:tc>
        <w:tc>
          <w:tcPr>
            <w:tcW w:w="1763" w:type="pct"/>
            <w:tcBorders>
              <w:top w:val="single" w:sz="4" w:space="0" w:color="auto"/>
              <w:left w:val="nil"/>
              <w:bottom w:val="single" w:sz="4" w:space="0" w:color="auto"/>
              <w:right w:val="single" w:sz="4" w:space="0" w:color="auto"/>
            </w:tcBorders>
            <w:vAlign w:val="center"/>
          </w:tcPr>
          <w:p w14:paraId="4A25C1B7" w14:textId="77777777" w:rsidR="00405C0B" w:rsidRPr="00B75E98" w:rsidRDefault="00405C0B" w:rsidP="00994E7C">
            <w:pPr>
              <w:tabs>
                <w:tab w:val="left" w:pos="-1080"/>
                <w:tab w:val="left" w:pos="-720"/>
                <w:tab w:val="left" w:pos="0"/>
                <w:tab w:val="left" w:pos="259"/>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4"/>
              </w:rPr>
            </w:pPr>
            <w:r>
              <w:rPr>
                <w:rFonts w:ascii="Arial" w:hAnsi="Arial" w:cs="Arial"/>
                <w:szCs w:val="24"/>
              </w:rPr>
              <w:t>197.4 million</w:t>
            </w:r>
          </w:p>
        </w:tc>
      </w:tr>
      <w:tr w:rsidR="00405C0B" w:rsidRPr="00B75E98" w14:paraId="01EEA4B4" w14:textId="77777777" w:rsidTr="00405C0B">
        <w:trPr>
          <w:trHeight w:val="467"/>
        </w:trPr>
        <w:tc>
          <w:tcPr>
            <w:tcW w:w="3237" w:type="pct"/>
            <w:tcBorders>
              <w:top w:val="single" w:sz="4" w:space="0" w:color="auto"/>
              <w:left w:val="single" w:sz="4" w:space="0" w:color="auto"/>
              <w:bottom w:val="single" w:sz="4" w:space="0" w:color="auto"/>
              <w:right w:val="single" w:sz="4" w:space="0" w:color="auto"/>
            </w:tcBorders>
            <w:vAlign w:val="center"/>
          </w:tcPr>
          <w:p w14:paraId="08D5B740" w14:textId="77777777" w:rsidR="00405C0B" w:rsidRPr="00B75E98" w:rsidRDefault="00405C0B" w:rsidP="00405C0B">
            <w:pPr>
              <w:tabs>
                <w:tab w:val="left" w:pos="-1080"/>
                <w:tab w:val="left" w:pos="-720"/>
                <w:tab w:val="left" w:pos="157"/>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7"/>
              <w:rPr>
                <w:rFonts w:ascii="Arial" w:hAnsi="Arial" w:cs="Arial"/>
                <w:szCs w:val="24"/>
              </w:rPr>
            </w:pPr>
            <w:r>
              <w:rPr>
                <w:rFonts w:ascii="Arial" w:hAnsi="Arial" w:cs="Arial"/>
                <w:szCs w:val="24"/>
              </w:rPr>
              <w:t>Rural residents</w:t>
            </w:r>
          </w:p>
        </w:tc>
        <w:tc>
          <w:tcPr>
            <w:tcW w:w="1763" w:type="pct"/>
            <w:tcBorders>
              <w:top w:val="single" w:sz="4" w:space="0" w:color="auto"/>
              <w:left w:val="nil"/>
              <w:bottom w:val="single" w:sz="4" w:space="0" w:color="auto"/>
              <w:right w:val="single" w:sz="4" w:space="0" w:color="auto"/>
            </w:tcBorders>
            <w:vAlign w:val="center"/>
          </w:tcPr>
          <w:p w14:paraId="09E3C44E" w14:textId="77777777" w:rsidR="00405C0B" w:rsidRPr="00B75E98" w:rsidRDefault="00405C0B" w:rsidP="00405C0B">
            <w:pPr>
              <w:tabs>
                <w:tab w:val="left" w:pos="-1080"/>
                <w:tab w:val="left" w:pos="-720"/>
                <w:tab w:val="left" w:pos="0"/>
                <w:tab w:val="left" w:pos="259"/>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4"/>
              </w:rPr>
            </w:pPr>
            <w:r>
              <w:rPr>
                <w:rFonts w:ascii="Arial" w:hAnsi="Arial" w:cs="Arial"/>
                <w:szCs w:val="24"/>
              </w:rPr>
              <w:t>47.2 million</w:t>
            </w:r>
          </w:p>
        </w:tc>
      </w:tr>
    </w:tbl>
    <w:p w14:paraId="3B3141FE" w14:textId="77777777" w:rsidR="00405C0B" w:rsidRPr="00B75E98" w:rsidRDefault="00405C0B" w:rsidP="00405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BBD7461" w14:textId="77777777" w:rsidR="00234A1C" w:rsidRDefault="004F254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estimating a response rate, </w:t>
      </w:r>
      <w:r w:rsidR="00D13531">
        <w:rPr>
          <w:sz w:val="24"/>
          <w:szCs w:val="24"/>
        </w:rPr>
        <w:t>we examined previous large-scale survey efforts</w:t>
      </w:r>
      <w:r w:rsidR="00234A1C">
        <w:rPr>
          <w:sz w:val="24"/>
          <w:szCs w:val="24"/>
        </w:rPr>
        <w:t xml:space="preserve"> focused on wildlife, nature, or the environment which follow</w:t>
      </w:r>
      <w:r w:rsidR="00D13531">
        <w:rPr>
          <w:sz w:val="24"/>
          <w:szCs w:val="24"/>
        </w:rPr>
        <w:t>ed</w:t>
      </w:r>
      <w:r w:rsidR="00234A1C">
        <w:rPr>
          <w:sz w:val="24"/>
          <w:szCs w:val="24"/>
        </w:rPr>
        <w:t xml:space="preserve"> </w:t>
      </w:r>
      <w:r w:rsidR="001C008C">
        <w:rPr>
          <w:sz w:val="24"/>
          <w:szCs w:val="24"/>
        </w:rPr>
        <w:t xml:space="preserve">a </w:t>
      </w:r>
      <w:r w:rsidR="00234A1C">
        <w:rPr>
          <w:sz w:val="24"/>
          <w:szCs w:val="24"/>
        </w:rPr>
        <w:t xml:space="preserve">similar procedure for survey administration </w:t>
      </w:r>
      <w:r>
        <w:rPr>
          <w:sz w:val="24"/>
          <w:szCs w:val="24"/>
        </w:rPr>
        <w:t>to that proposed for this survey</w:t>
      </w:r>
      <w:r w:rsidR="00234A1C">
        <w:rPr>
          <w:sz w:val="24"/>
          <w:szCs w:val="24"/>
        </w:rPr>
        <w:t xml:space="preserve">. </w:t>
      </w:r>
      <w:r w:rsidR="00623EF5">
        <w:rPr>
          <w:sz w:val="24"/>
          <w:szCs w:val="24"/>
        </w:rPr>
        <w:t xml:space="preserve">The most similar study </w:t>
      </w:r>
      <w:r w:rsidR="00D13531">
        <w:rPr>
          <w:sz w:val="24"/>
          <w:szCs w:val="24"/>
        </w:rPr>
        <w:t>was the 2012</w:t>
      </w:r>
      <w:r w:rsidR="002C1B3B">
        <w:rPr>
          <w:sz w:val="24"/>
          <w:szCs w:val="24"/>
        </w:rPr>
        <w:t xml:space="preserve"> Canadian Nature S</w:t>
      </w:r>
      <w:r w:rsidR="00D13531">
        <w:rPr>
          <w:sz w:val="24"/>
          <w:szCs w:val="24"/>
        </w:rPr>
        <w:t xml:space="preserve">urvey </w:t>
      </w:r>
      <w:r w:rsidR="002C1B3B">
        <w:rPr>
          <w:sz w:val="24"/>
          <w:szCs w:val="24"/>
        </w:rPr>
        <w:t xml:space="preserve">of the general public in Canada </w:t>
      </w:r>
      <w:r w:rsidR="00D13531">
        <w:rPr>
          <w:sz w:val="24"/>
          <w:szCs w:val="24"/>
        </w:rPr>
        <w:t xml:space="preserve">which obtained a response rate of 20%. In the U.S., </w:t>
      </w:r>
      <w:r w:rsidR="00623EF5">
        <w:rPr>
          <w:sz w:val="24"/>
          <w:szCs w:val="24"/>
        </w:rPr>
        <w:t xml:space="preserve">a </w:t>
      </w:r>
      <w:r w:rsidR="00E146C8">
        <w:rPr>
          <w:sz w:val="24"/>
          <w:szCs w:val="24"/>
        </w:rPr>
        <w:t xml:space="preserve">2004 </w:t>
      </w:r>
      <w:r w:rsidR="00623EF5">
        <w:rPr>
          <w:sz w:val="24"/>
          <w:szCs w:val="24"/>
        </w:rPr>
        <w:t>mail survey regarding wildlife value orientations conducted by</w:t>
      </w:r>
      <w:r w:rsidR="001C008C">
        <w:rPr>
          <w:sz w:val="24"/>
          <w:szCs w:val="24"/>
        </w:rPr>
        <w:t xml:space="preserve"> Colorado State University of the general</w:t>
      </w:r>
      <w:r w:rsidR="00623EF5">
        <w:rPr>
          <w:sz w:val="24"/>
          <w:szCs w:val="24"/>
        </w:rPr>
        <w:t xml:space="preserve"> public in 19 Western states </w:t>
      </w:r>
      <w:r w:rsidR="001C008C">
        <w:rPr>
          <w:sz w:val="24"/>
          <w:szCs w:val="24"/>
        </w:rPr>
        <w:t xml:space="preserve">achieved a 21% response rate. The survey </w:t>
      </w:r>
      <w:r w:rsidR="001C008C">
        <w:rPr>
          <w:sz w:val="24"/>
          <w:szCs w:val="24"/>
        </w:rPr>
        <w:lastRenderedPageBreak/>
        <w:t>administration procedure</w:t>
      </w:r>
      <w:r w:rsidR="00D13531">
        <w:rPr>
          <w:sz w:val="24"/>
          <w:szCs w:val="24"/>
        </w:rPr>
        <w:t>s</w:t>
      </w:r>
      <w:r w:rsidR="001C008C">
        <w:rPr>
          <w:sz w:val="24"/>
          <w:szCs w:val="24"/>
        </w:rPr>
        <w:t xml:space="preserve"> </w:t>
      </w:r>
      <w:r w:rsidR="00D13531">
        <w:rPr>
          <w:sz w:val="24"/>
          <w:szCs w:val="24"/>
        </w:rPr>
        <w:t xml:space="preserve">for both survey were </w:t>
      </w:r>
      <w:r w:rsidR="001C008C">
        <w:rPr>
          <w:sz w:val="24"/>
          <w:szCs w:val="24"/>
        </w:rPr>
        <w:t xml:space="preserve">modified Dillman </w:t>
      </w:r>
      <w:r w:rsidR="00D13531">
        <w:rPr>
          <w:sz w:val="24"/>
          <w:szCs w:val="24"/>
        </w:rPr>
        <w:t xml:space="preserve">(2007) </w:t>
      </w:r>
      <w:r w:rsidR="001C008C">
        <w:rPr>
          <w:sz w:val="24"/>
          <w:szCs w:val="24"/>
        </w:rPr>
        <w:t>method</w:t>
      </w:r>
      <w:r w:rsidR="00D13531">
        <w:rPr>
          <w:sz w:val="24"/>
          <w:szCs w:val="24"/>
        </w:rPr>
        <w:t xml:space="preserve">s and </w:t>
      </w:r>
      <w:r w:rsidR="001C008C">
        <w:rPr>
          <w:sz w:val="24"/>
          <w:szCs w:val="24"/>
        </w:rPr>
        <w:t xml:space="preserve">very similar to the procedure proposed for this collection. </w:t>
      </w:r>
      <w:r w:rsidR="00D13531">
        <w:rPr>
          <w:sz w:val="24"/>
          <w:szCs w:val="24"/>
        </w:rPr>
        <w:t>Based on these previous studies</w:t>
      </w:r>
      <w:r w:rsidR="001C008C">
        <w:rPr>
          <w:sz w:val="24"/>
          <w:szCs w:val="24"/>
        </w:rPr>
        <w:t xml:space="preserve">, we expect our response rate to be </w:t>
      </w:r>
      <w:r w:rsidR="00D13531">
        <w:rPr>
          <w:sz w:val="24"/>
          <w:szCs w:val="24"/>
        </w:rPr>
        <w:t>20</w:t>
      </w:r>
      <w:r w:rsidR="001C008C">
        <w:rPr>
          <w:sz w:val="24"/>
          <w:szCs w:val="24"/>
        </w:rPr>
        <w:t xml:space="preserve">%. </w:t>
      </w:r>
      <w:r w:rsidR="00E44727">
        <w:rPr>
          <w:sz w:val="24"/>
          <w:szCs w:val="24"/>
        </w:rPr>
        <w:t>With a starting sample size of 5,000, this will yield 1,0</w:t>
      </w:r>
      <w:r w:rsidR="00E146C8">
        <w:rPr>
          <w:sz w:val="24"/>
          <w:szCs w:val="24"/>
        </w:rPr>
        <w:t>00 responses</w:t>
      </w:r>
      <w:r w:rsidR="001C008C">
        <w:rPr>
          <w:sz w:val="24"/>
          <w:szCs w:val="24"/>
        </w:rPr>
        <w:t xml:space="preserve">. </w:t>
      </w:r>
    </w:p>
    <w:p w14:paraId="5E26AC8A"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B61B5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414410C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6B448E4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401296B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242D371D"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75A80955"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4A7AEBC1"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8B317EA" w14:textId="77777777" w:rsidR="005C17DE" w:rsidRDefault="00C63B46" w:rsidP="00C63B46">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bookmarkStart w:id="0" w:name="_GoBack"/>
      <w:bookmarkEnd w:id="0"/>
      <w:r>
        <w:rPr>
          <w:sz w:val="24"/>
          <w:szCs w:val="24"/>
        </w:rPr>
        <w:t>sample of names and mailing addresses will be purchased from Survey Sampling International. The specifications for the sample will be as follows. The sample will be representative of the U.S. population (as determined by Census data) for gender, age, geographic distribution</w:t>
      </w:r>
      <w:r w:rsidR="004206F5">
        <w:rPr>
          <w:sz w:val="24"/>
          <w:szCs w:val="24"/>
        </w:rPr>
        <w:t>, and urban/rural residence</w:t>
      </w:r>
      <w:r>
        <w:rPr>
          <w:sz w:val="24"/>
          <w:szCs w:val="24"/>
        </w:rPr>
        <w:t xml:space="preserve"> across the 50 states. For a populati</w:t>
      </w:r>
      <w:r w:rsidR="00234A1C">
        <w:rPr>
          <w:sz w:val="24"/>
          <w:szCs w:val="24"/>
        </w:rPr>
        <w:t>on of 244.6 million, the number of completed surveys required to generalize to the population</w:t>
      </w:r>
      <w:r w:rsidR="00234A1C" w:rsidRPr="00234A1C">
        <w:rPr>
          <w:sz w:val="24"/>
          <w:szCs w:val="24"/>
        </w:rPr>
        <w:t xml:space="preserve"> </w:t>
      </w:r>
      <w:r w:rsidR="00234A1C">
        <w:rPr>
          <w:sz w:val="24"/>
          <w:szCs w:val="24"/>
        </w:rPr>
        <w:t xml:space="preserve">with a confidence level of 95% and a confidence interval of 5% is 385. </w:t>
      </w:r>
      <w:r w:rsidR="004206F5">
        <w:rPr>
          <w:sz w:val="24"/>
          <w:szCs w:val="24"/>
        </w:rPr>
        <w:t>Certain g</w:t>
      </w:r>
      <w:r w:rsidR="00623EF5">
        <w:rPr>
          <w:sz w:val="24"/>
          <w:szCs w:val="24"/>
        </w:rPr>
        <w:t>roups within the sample will be compared, including different recreation groups (e.g., hunters, birders) and demo</w:t>
      </w:r>
      <w:r w:rsidR="005A0D1E">
        <w:rPr>
          <w:sz w:val="24"/>
          <w:szCs w:val="24"/>
        </w:rPr>
        <w:t>graphic groups (e.g., gender</w:t>
      </w:r>
      <w:r w:rsidR="00623EF5">
        <w:rPr>
          <w:sz w:val="24"/>
          <w:szCs w:val="24"/>
        </w:rPr>
        <w:t>). By beginning with a sample of 5,000 people, we ensure that we will receive the minimum number needed to compare various groups within the respondent pool.</w:t>
      </w:r>
      <w:r w:rsidR="00234A1C">
        <w:rPr>
          <w:sz w:val="24"/>
          <w:szCs w:val="24"/>
        </w:rPr>
        <w:t xml:space="preserve"> </w:t>
      </w:r>
    </w:p>
    <w:p w14:paraId="39A94CD1" w14:textId="77777777" w:rsidR="00623EF5" w:rsidRDefault="00623EF5" w:rsidP="00C63B46">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F4BB7A" w14:textId="77777777" w:rsidR="00623EF5" w:rsidRDefault="00623EF5" w:rsidP="00C63B46">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unusual problems with the sampling procedures for this collection and no periodic data collection will occur.</w:t>
      </w:r>
    </w:p>
    <w:p w14:paraId="7DC91115" w14:textId="77777777" w:rsidR="005C17DE" w:rsidRDefault="005C17DE" w:rsidP="00C63B46">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A143B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6AEE140"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042911" w14:textId="77777777" w:rsidR="00623EF5" w:rsidRDefault="00623EF5"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modified Dillman</w:t>
      </w:r>
      <w:r w:rsidRPr="00623EF5">
        <w:rPr>
          <w:sz w:val="24"/>
          <w:szCs w:val="24"/>
        </w:rPr>
        <w:t xml:space="preserve"> </w:t>
      </w:r>
      <w:r>
        <w:rPr>
          <w:sz w:val="24"/>
          <w:szCs w:val="24"/>
        </w:rPr>
        <w:t>(2007) method</w:t>
      </w:r>
      <w:r w:rsidR="006526E7">
        <w:rPr>
          <w:sz w:val="24"/>
          <w:szCs w:val="24"/>
        </w:rPr>
        <w:t xml:space="preserve"> that</w:t>
      </w:r>
      <w:r w:rsidR="004F2548">
        <w:rPr>
          <w:sz w:val="24"/>
          <w:szCs w:val="24"/>
        </w:rPr>
        <w:t xml:space="preserve"> has been shown to maximize response rates</w:t>
      </w:r>
      <w:r w:rsidR="004F2548" w:rsidRPr="00623EF5">
        <w:rPr>
          <w:sz w:val="24"/>
          <w:szCs w:val="24"/>
        </w:rPr>
        <w:t xml:space="preserve"> </w:t>
      </w:r>
      <w:r w:rsidRPr="00623EF5">
        <w:rPr>
          <w:sz w:val="24"/>
          <w:szCs w:val="24"/>
        </w:rPr>
        <w:t>will be followed.</w:t>
      </w:r>
      <w:r>
        <w:rPr>
          <w:sz w:val="24"/>
          <w:szCs w:val="24"/>
        </w:rPr>
        <w:t xml:space="preserve"> All potential respondents will receive multiple mailings and more than one opportunity to complete the survey. </w:t>
      </w:r>
      <w:r w:rsidR="004F2548">
        <w:rPr>
          <w:sz w:val="24"/>
          <w:szCs w:val="24"/>
        </w:rPr>
        <w:t xml:space="preserve">Once a respondent completes the survey, either on paper or online, or requests to no longer be sent mailings, they will be removed from the mailing list and sent no further mailings. </w:t>
      </w:r>
      <w:r>
        <w:rPr>
          <w:sz w:val="24"/>
          <w:szCs w:val="24"/>
        </w:rPr>
        <w:t>The sequence of mailings</w:t>
      </w:r>
      <w:r w:rsidR="006E0FC0">
        <w:rPr>
          <w:sz w:val="24"/>
          <w:szCs w:val="24"/>
        </w:rPr>
        <w:t>, conducted over a 6-week period,</w:t>
      </w:r>
      <w:r>
        <w:rPr>
          <w:sz w:val="24"/>
          <w:szCs w:val="24"/>
        </w:rPr>
        <w:t xml:space="preserve"> is as follows:</w:t>
      </w:r>
    </w:p>
    <w:p w14:paraId="30A862B2" w14:textId="77777777" w:rsidR="005C17DE" w:rsidRDefault="00623EF5" w:rsidP="00623EF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Initial postcard with a short description of the survey effort, a link to the online version of the survey, and a unique password for accessing the online survey.</w:t>
      </w:r>
    </w:p>
    <w:p w14:paraId="46DF0155" w14:textId="77777777" w:rsidR="00623EF5" w:rsidRDefault="00623EF5" w:rsidP="00623EF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First survey packet with a cover letter explaining the study</w:t>
      </w:r>
      <w:r w:rsidR="009A5621">
        <w:rPr>
          <w:sz w:val="24"/>
          <w:szCs w:val="24"/>
        </w:rPr>
        <w:t xml:space="preserve"> that also contains a link to the online version of the survey and a unique password for accessing the online survey</w:t>
      </w:r>
      <w:r>
        <w:rPr>
          <w:sz w:val="24"/>
          <w:szCs w:val="24"/>
        </w:rPr>
        <w:t>, a paper copy of the survey, and a business reply envelope in which to return the survey.</w:t>
      </w:r>
    </w:p>
    <w:p w14:paraId="7442FC55" w14:textId="77777777" w:rsidR="00623EF5" w:rsidRDefault="00623EF5" w:rsidP="00623EF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Reminder postcard with a short description of the survey effort, a link to the online version of the survey, and a unique password for accessing the online survey.</w:t>
      </w:r>
    </w:p>
    <w:p w14:paraId="48D73CA5" w14:textId="77777777" w:rsidR="00623EF5" w:rsidRDefault="00623EF5" w:rsidP="00623EF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Second survey packet with a cover letter explaining the study</w:t>
      </w:r>
      <w:r w:rsidR="009A5621">
        <w:rPr>
          <w:sz w:val="24"/>
          <w:szCs w:val="24"/>
        </w:rPr>
        <w:t xml:space="preserve"> that also contains a link to the online version of the survey and a unique password for accessing the online survey</w:t>
      </w:r>
      <w:r>
        <w:rPr>
          <w:sz w:val="24"/>
          <w:szCs w:val="24"/>
        </w:rPr>
        <w:t>, a paper copy of the survey, and a business reply envelope in which to return the survey.</w:t>
      </w:r>
    </w:p>
    <w:p w14:paraId="043E51D9" w14:textId="77777777" w:rsidR="00623EF5" w:rsidRPr="00623EF5" w:rsidRDefault="00623EF5" w:rsidP="00623EF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Non-response survey</w:t>
      </w:r>
      <w:r w:rsidR="004F2548">
        <w:rPr>
          <w:sz w:val="24"/>
          <w:szCs w:val="24"/>
        </w:rPr>
        <w:t xml:space="preserve"> with a short description of the survey effort and a small subset of questions from the main survey.</w:t>
      </w:r>
    </w:p>
    <w:p w14:paraId="65D6A561"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93793D" w14:textId="77777777" w:rsidR="004F2548" w:rsidRDefault="004F254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non-response survey will be sent to all potential respondents who do</w:t>
      </w:r>
      <w:r w:rsidR="006E0FC0">
        <w:rPr>
          <w:sz w:val="24"/>
          <w:szCs w:val="24"/>
        </w:rPr>
        <w:t xml:space="preserve"> not complete the main survey and do not</w:t>
      </w:r>
      <w:r>
        <w:rPr>
          <w:sz w:val="24"/>
          <w:szCs w:val="24"/>
        </w:rPr>
        <w:t xml:space="preserve"> request to be removed from the mailing list. The survey will allow us to determine if non-respondents are different from respondents. Beyond the non-response survey, the demographic data from the survey will also be compared to Census data. If the respondents to the survey are found to be significantly different from the population of U.S. adults age 18 and older, the data will be weighted to adjust for those differences. Additionally, the recreation participation data will be compared to the National Survey of Fishing, Hunting, and Wildlife-Associated Recreation and weighted if significant differences are found.</w:t>
      </w:r>
    </w:p>
    <w:p w14:paraId="129F14CC" w14:textId="77777777" w:rsidR="004F2548" w:rsidRDefault="004F254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ED7E7E"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611AA44D"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1E19FA" w14:textId="77777777" w:rsidR="001A4FF4" w:rsidRDefault="001A4FF4"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Extensive reviews were undertaken throughout the survey development process, including review by more than 25 members of the Human Dimensions Working Group for the North American Waterfowl Management Plan during a workshop</w:t>
      </w:r>
      <w:r w:rsidR="001978F5">
        <w:rPr>
          <w:sz w:val="24"/>
          <w:szCs w:val="24"/>
        </w:rPr>
        <w:t xml:space="preserve"> o</w:t>
      </w:r>
      <w:r>
        <w:rPr>
          <w:sz w:val="24"/>
          <w:szCs w:val="24"/>
        </w:rPr>
        <w:t>n September</w:t>
      </w:r>
      <w:r w:rsidR="001978F5">
        <w:rPr>
          <w:sz w:val="24"/>
          <w:szCs w:val="24"/>
        </w:rPr>
        <w:t xml:space="preserve"> 8-10,</w:t>
      </w:r>
      <w:r>
        <w:rPr>
          <w:sz w:val="24"/>
          <w:szCs w:val="24"/>
        </w:rPr>
        <w:t xml:space="preserve"> 2015. </w:t>
      </w:r>
      <w:r w:rsidRPr="001A4FF4">
        <w:rPr>
          <w:sz w:val="24"/>
          <w:szCs w:val="24"/>
        </w:rPr>
        <w:t xml:space="preserve">The </w:t>
      </w:r>
      <w:r>
        <w:rPr>
          <w:sz w:val="24"/>
          <w:szCs w:val="24"/>
        </w:rPr>
        <w:t>workshop</w:t>
      </w:r>
      <w:r w:rsidRPr="001A4FF4">
        <w:rPr>
          <w:sz w:val="24"/>
          <w:szCs w:val="24"/>
        </w:rPr>
        <w:t xml:space="preserve"> </w:t>
      </w:r>
      <w:r>
        <w:rPr>
          <w:sz w:val="24"/>
          <w:szCs w:val="24"/>
        </w:rPr>
        <w:t>participants</w:t>
      </w:r>
      <w:r w:rsidRPr="001A4FF4">
        <w:rPr>
          <w:sz w:val="24"/>
          <w:szCs w:val="24"/>
        </w:rPr>
        <w:t xml:space="preserve"> help</w:t>
      </w:r>
      <w:r>
        <w:rPr>
          <w:sz w:val="24"/>
          <w:szCs w:val="24"/>
        </w:rPr>
        <w:t>ed</w:t>
      </w:r>
      <w:r w:rsidRPr="001A4FF4">
        <w:rPr>
          <w:sz w:val="24"/>
          <w:szCs w:val="24"/>
        </w:rPr>
        <w:t xml:space="preserve"> refine</w:t>
      </w:r>
      <w:r>
        <w:rPr>
          <w:sz w:val="24"/>
          <w:szCs w:val="24"/>
        </w:rPr>
        <w:t xml:space="preserve"> questions</w:t>
      </w:r>
      <w:r w:rsidRPr="001A4FF4">
        <w:rPr>
          <w:sz w:val="24"/>
          <w:szCs w:val="24"/>
        </w:rPr>
        <w:t xml:space="preserve"> and improve the utility of the instrument</w:t>
      </w:r>
      <w:r>
        <w:rPr>
          <w:sz w:val="24"/>
          <w:szCs w:val="24"/>
        </w:rPr>
        <w:t>, including</w:t>
      </w:r>
      <w:r w:rsidRPr="001A4FF4">
        <w:rPr>
          <w:rFonts w:ascii="Arial" w:hAnsi="Arial" w:cs="Arial"/>
          <w:sz w:val="22"/>
          <w:szCs w:val="22"/>
        </w:rPr>
        <w:t xml:space="preserve"> </w:t>
      </w:r>
      <w:r>
        <w:rPr>
          <w:sz w:val="24"/>
          <w:szCs w:val="24"/>
        </w:rPr>
        <w:t>providing</w:t>
      </w:r>
      <w:r w:rsidRPr="001A4FF4">
        <w:rPr>
          <w:sz w:val="24"/>
          <w:szCs w:val="24"/>
        </w:rPr>
        <w:t xml:space="preserve"> comments concerning the overall structure, sequence and clarity of questions. </w:t>
      </w:r>
      <w:r>
        <w:rPr>
          <w:sz w:val="24"/>
          <w:szCs w:val="24"/>
        </w:rPr>
        <w:t>Further review was also provided by some of those members (s</w:t>
      </w:r>
      <w:r w:rsidRPr="001A4FF4">
        <w:rPr>
          <w:sz w:val="24"/>
          <w:szCs w:val="24"/>
        </w:rPr>
        <w:t xml:space="preserve">ee </w:t>
      </w:r>
      <w:r>
        <w:rPr>
          <w:sz w:val="24"/>
          <w:szCs w:val="24"/>
        </w:rPr>
        <w:t xml:space="preserve">Part A, </w:t>
      </w:r>
      <w:r w:rsidRPr="001A4FF4">
        <w:rPr>
          <w:sz w:val="24"/>
          <w:szCs w:val="24"/>
        </w:rPr>
        <w:t>Que</w:t>
      </w:r>
      <w:r>
        <w:rPr>
          <w:sz w:val="24"/>
          <w:szCs w:val="24"/>
        </w:rPr>
        <w:t>stion 8, for more details)</w:t>
      </w:r>
      <w:r w:rsidRPr="001A4FF4">
        <w:rPr>
          <w:sz w:val="24"/>
          <w:szCs w:val="24"/>
        </w:rPr>
        <w:t>.</w:t>
      </w:r>
    </w:p>
    <w:p w14:paraId="5BD77D43"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ED4D53" w14:textId="77777777"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4EBC6F20"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DFFEFC6" w14:textId="77777777" w:rsidR="00D124CB" w:rsidRDefault="00D124CB"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Statistical consultants:</w:t>
      </w:r>
    </w:p>
    <w:p w14:paraId="4E9E4DE7" w14:textId="77777777" w:rsidR="00D124CB" w:rsidRDefault="00D124CB"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A1F81FE" w14:textId="77777777" w:rsidR="00D124CB" w:rsidRDefault="001978F5"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Dr. </w:t>
      </w:r>
      <w:r w:rsidR="00D124CB">
        <w:rPr>
          <w:sz w:val="24"/>
          <w:szCs w:val="24"/>
        </w:rPr>
        <w:t>David Fulton</w:t>
      </w:r>
    </w:p>
    <w:p w14:paraId="15CAB668" w14:textId="77777777" w:rsidR="001C64EE" w:rsidRDefault="001C64EE" w:rsidP="001C6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University of Minnesota</w:t>
      </w:r>
    </w:p>
    <w:p w14:paraId="1CC4720D" w14:textId="77777777" w:rsidR="001978F5" w:rsidRDefault="001978F5"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Minnesota Cooperative Fish and Wildlife Research Unit</w:t>
      </w:r>
    </w:p>
    <w:p w14:paraId="37580E07" w14:textId="77777777" w:rsidR="00E518E8" w:rsidRDefault="00E518E8" w:rsidP="00E518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200 Hudson Hall, </w:t>
      </w:r>
      <w:r w:rsidR="001978F5">
        <w:rPr>
          <w:sz w:val="24"/>
          <w:szCs w:val="24"/>
        </w:rPr>
        <w:t>1980 Folwell Ave.</w:t>
      </w:r>
    </w:p>
    <w:p w14:paraId="481EE9F3" w14:textId="77777777" w:rsidR="001978F5" w:rsidRDefault="001978F5"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St. Paul, MN, 55108</w:t>
      </w:r>
    </w:p>
    <w:p w14:paraId="6501ED16" w14:textId="77777777" w:rsidR="001978F5" w:rsidRDefault="001978F5"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Phone: (612) 625-5256</w:t>
      </w:r>
    </w:p>
    <w:p w14:paraId="15F14EB8" w14:textId="77777777" w:rsidR="00D124CB" w:rsidRDefault="00D124CB"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565A7A2" w14:textId="77777777" w:rsidR="00D124CB" w:rsidRDefault="001978F5"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Dr. Michael Kilgore</w:t>
      </w:r>
    </w:p>
    <w:p w14:paraId="07DCD3F0" w14:textId="77777777" w:rsidR="001C64EE" w:rsidRDefault="001C64EE" w:rsidP="001C6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University of Minnesota</w:t>
      </w:r>
    </w:p>
    <w:p w14:paraId="3DBB48BF" w14:textId="77777777" w:rsidR="001C64EE" w:rsidRDefault="001C64EE"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Department of Forest Resources</w:t>
      </w:r>
    </w:p>
    <w:p w14:paraId="54E2A7D2" w14:textId="77777777" w:rsidR="001978F5" w:rsidRDefault="00E518E8" w:rsidP="00E518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301k Green Hall, </w:t>
      </w:r>
      <w:r w:rsidR="001978F5">
        <w:rPr>
          <w:sz w:val="24"/>
          <w:szCs w:val="24"/>
        </w:rPr>
        <w:t>1530 Cleveland Ave. N.</w:t>
      </w:r>
    </w:p>
    <w:p w14:paraId="164CF45D" w14:textId="77777777" w:rsidR="001978F5" w:rsidRDefault="001978F5"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St. Paul, MN, 55108</w:t>
      </w:r>
    </w:p>
    <w:p w14:paraId="21475BCB" w14:textId="77777777" w:rsidR="001978F5" w:rsidRPr="00D124CB" w:rsidRDefault="001978F5"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Phone: (612) 624-6298</w:t>
      </w:r>
    </w:p>
    <w:p w14:paraId="49994393" w14:textId="77777777" w:rsidR="00E518E8" w:rsidRDefault="00E518E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7C24D86"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F2548">
        <w:rPr>
          <w:b/>
          <w:sz w:val="24"/>
          <w:szCs w:val="24"/>
        </w:rPr>
        <w:lastRenderedPageBreak/>
        <w:t>Collection and analysis agency:</w:t>
      </w:r>
    </w:p>
    <w:p w14:paraId="1424CF78"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337F480" w14:textId="77777777" w:rsidR="004F2548" w:rsidRPr="004F2548" w:rsidRDefault="00B54291"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Social and Economic </w:t>
      </w:r>
      <w:r w:rsidR="004F2548" w:rsidRPr="004F2548">
        <w:rPr>
          <w:sz w:val="24"/>
          <w:szCs w:val="24"/>
        </w:rPr>
        <w:t>Analysis Branch</w:t>
      </w:r>
    </w:p>
    <w:p w14:paraId="74ABBE65"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Fort Collins Science Center</w:t>
      </w:r>
    </w:p>
    <w:p w14:paraId="7BB4181B"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U.S. Geological Survey</w:t>
      </w:r>
    </w:p>
    <w:p w14:paraId="470DC7E8"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2150 Centre Ave, Building C</w:t>
      </w:r>
    </w:p>
    <w:p w14:paraId="76BAF21C" w14:textId="77777777" w:rsidR="004F2548" w:rsidRPr="004F2548" w:rsidRDefault="004F2548"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Fort Collins, CO</w:t>
      </w:r>
      <w:r w:rsidR="001978F5">
        <w:rPr>
          <w:sz w:val="24"/>
          <w:szCs w:val="24"/>
        </w:rPr>
        <w:t>, 80526</w:t>
      </w:r>
    </w:p>
    <w:p w14:paraId="7CE70C69" w14:textId="77777777" w:rsidR="004F2548" w:rsidRPr="004F2548" w:rsidRDefault="009570E6" w:rsidP="004F25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Phone: 970-226-9</w:t>
      </w:r>
      <w:r w:rsidR="004F2548" w:rsidRPr="004F2548">
        <w:rPr>
          <w:sz w:val="24"/>
          <w:szCs w:val="24"/>
        </w:rPr>
        <w:t>13</w:t>
      </w:r>
      <w:r>
        <w:rPr>
          <w:sz w:val="24"/>
          <w:szCs w:val="24"/>
        </w:rPr>
        <w:t>3</w:t>
      </w:r>
    </w:p>
    <w:p w14:paraId="46D41C3E" w14:textId="77777777"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24C595A" w14:textId="77777777" w:rsidR="005C17DE" w:rsidRDefault="005C17D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0CC1F0" w14:textId="77777777" w:rsidR="005C17DE" w:rsidRDefault="005C17DE" w:rsidP="005D74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5C17DE" w:rsidSect="00EB3B4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6BF03" w14:textId="77777777" w:rsidR="00AF4437" w:rsidRDefault="00AF4437" w:rsidP="00320B2A">
      <w:r>
        <w:separator/>
      </w:r>
    </w:p>
  </w:endnote>
  <w:endnote w:type="continuationSeparator" w:id="0">
    <w:p w14:paraId="780FB619" w14:textId="77777777" w:rsidR="00AF4437" w:rsidRDefault="00AF4437"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F20C6" w14:textId="77777777" w:rsidR="00320B2A" w:rsidRDefault="00320B2A"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78FB5C" w14:textId="77777777" w:rsidR="00320B2A" w:rsidRDefault="00320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0"/>
        <w:szCs w:val="20"/>
      </w:rPr>
      <w:id w:val="168131372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0327FB" w:rsidRPr="004513E4" w14:paraId="7CF23CAD" w14:textId="77777777" w:rsidTr="004513E4">
          <w:tc>
            <w:tcPr>
              <w:tcW w:w="6750" w:type="dxa"/>
            </w:tcPr>
            <w:p w14:paraId="2D228770" w14:textId="77777777" w:rsidR="000327FB" w:rsidRPr="004513E4" w:rsidRDefault="00161B57" w:rsidP="004513E4">
              <w:pPr>
                <w:pStyle w:val="Footer"/>
              </w:pPr>
              <w:fldSimple w:instr=" FILENAME   \* MERGEFORMAT ">
                <w:r w:rsidR="007B61E0">
                  <w:rPr>
                    <w:noProof/>
                  </w:rPr>
                  <w:t>1028- Template SS-B 2015.docx</w:t>
                </w:r>
              </w:fldSimple>
            </w:p>
          </w:tc>
          <w:tc>
            <w:tcPr>
              <w:tcW w:w="2600" w:type="dxa"/>
            </w:tcPr>
            <w:p w14:paraId="20B28DAF" w14:textId="77777777" w:rsidR="000327FB" w:rsidRPr="004513E4" w:rsidRDefault="000327FB"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F141E8">
                <w:rPr>
                  <w:rFonts w:cs="Arial"/>
                  <w:noProof/>
                </w:rPr>
                <w:t>4</w:t>
              </w:r>
              <w:r w:rsidRPr="004513E4">
                <w:rPr>
                  <w:rFonts w:cs="Arial"/>
                </w:rPr>
                <w:fldChar w:fldCharType="end"/>
              </w:r>
            </w:p>
          </w:tc>
        </w:tr>
      </w:tbl>
      <w:p w14:paraId="740EAB56" w14:textId="77777777" w:rsidR="000327FB" w:rsidRPr="004513E4" w:rsidRDefault="000327FB">
        <w:pPr>
          <w:pStyle w:val="Footer"/>
        </w:pPr>
      </w:p>
      <w:p w14:paraId="71CFF10F" w14:textId="77777777" w:rsidR="00320B2A" w:rsidRPr="001272A9" w:rsidRDefault="00AF4437"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DDD95" w14:textId="77777777" w:rsidR="00AF4437" w:rsidRDefault="00AF4437" w:rsidP="00320B2A">
      <w:r>
        <w:separator/>
      </w:r>
    </w:p>
  </w:footnote>
  <w:footnote w:type="continuationSeparator" w:id="0">
    <w:p w14:paraId="1DC54DD0" w14:textId="77777777" w:rsidR="00AF4437" w:rsidRDefault="00AF4437"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FDB71A0"/>
    <w:multiLevelType w:val="hybridMultilevel"/>
    <w:tmpl w:val="CDD85A6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AE"/>
    <w:rsid w:val="000327FB"/>
    <w:rsid w:val="000C30DF"/>
    <w:rsid w:val="001272A9"/>
    <w:rsid w:val="00161B57"/>
    <w:rsid w:val="001978F5"/>
    <w:rsid w:val="001A4FF4"/>
    <w:rsid w:val="001C008C"/>
    <w:rsid w:val="001C64EE"/>
    <w:rsid w:val="00234025"/>
    <w:rsid w:val="00234A1C"/>
    <w:rsid w:val="00260880"/>
    <w:rsid w:val="002C1B3B"/>
    <w:rsid w:val="00320B2A"/>
    <w:rsid w:val="003F7C7E"/>
    <w:rsid w:val="00405C0B"/>
    <w:rsid w:val="004206F5"/>
    <w:rsid w:val="004E0390"/>
    <w:rsid w:val="004E3B25"/>
    <w:rsid w:val="004F2548"/>
    <w:rsid w:val="005A0D1E"/>
    <w:rsid w:val="005C17DE"/>
    <w:rsid w:val="005D74C4"/>
    <w:rsid w:val="00623EF5"/>
    <w:rsid w:val="00634173"/>
    <w:rsid w:val="006421AD"/>
    <w:rsid w:val="006526E7"/>
    <w:rsid w:val="006C709E"/>
    <w:rsid w:val="006E0FC0"/>
    <w:rsid w:val="00712445"/>
    <w:rsid w:val="007A2699"/>
    <w:rsid w:val="007B61E0"/>
    <w:rsid w:val="007F1E2E"/>
    <w:rsid w:val="008126AE"/>
    <w:rsid w:val="00834E09"/>
    <w:rsid w:val="008454F4"/>
    <w:rsid w:val="00855F42"/>
    <w:rsid w:val="008A2B23"/>
    <w:rsid w:val="0095122F"/>
    <w:rsid w:val="00953042"/>
    <w:rsid w:val="009570E6"/>
    <w:rsid w:val="009A5621"/>
    <w:rsid w:val="009B60A3"/>
    <w:rsid w:val="00A76BEF"/>
    <w:rsid w:val="00AF4437"/>
    <w:rsid w:val="00B170EA"/>
    <w:rsid w:val="00B31CAC"/>
    <w:rsid w:val="00B54291"/>
    <w:rsid w:val="00B83CDB"/>
    <w:rsid w:val="00BA376C"/>
    <w:rsid w:val="00BF49CD"/>
    <w:rsid w:val="00C07772"/>
    <w:rsid w:val="00C13EDD"/>
    <w:rsid w:val="00C63B46"/>
    <w:rsid w:val="00C92210"/>
    <w:rsid w:val="00CA7051"/>
    <w:rsid w:val="00D124CB"/>
    <w:rsid w:val="00D13531"/>
    <w:rsid w:val="00D81063"/>
    <w:rsid w:val="00DD29FE"/>
    <w:rsid w:val="00E146C8"/>
    <w:rsid w:val="00E15DA3"/>
    <w:rsid w:val="00E4449E"/>
    <w:rsid w:val="00E44727"/>
    <w:rsid w:val="00E518E8"/>
    <w:rsid w:val="00EA23E6"/>
    <w:rsid w:val="00EB3B45"/>
    <w:rsid w:val="00ED7DD6"/>
    <w:rsid w:val="00F141E8"/>
    <w:rsid w:val="00F87FAB"/>
    <w:rsid w:val="00FD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B841"/>
  <w14:defaultImageDpi w14:val="300"/>
  <w15:chartTrackingRefBased/>
  <w15:docId w15:val="{FDBA391F-2911-4004-B6C2-CC381EE2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EF5"/>
    <w:pPr>
      <w:ind w:left="720"/>
      <w:contextualSpacing/>
    </w:pPr>
  </w:style>
  <w:style w:type="paragraph" w:styleId="BalloonText">
    <w:name w:val="Balloon Text"/>
    <w:basedOn w:val="Normal"/>
    <w:link w:val="BalloonTextChar"/>
    <w:uiPriority w:val="99"/>
    <w:semiHidden/>
    <w:unhideWhenUsed/>
    <w:rsid w:val="00161B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B5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61B57"/>
    <w:rPr>
      <w:sz w:val="16"/>
      <w:szCs w:val="16"/>
    </w:rPr>
  </w:style>
  <w:style w:type="paragraph" w:styleId="CommentText">
    <w:name w:val="annotation text"/>
    <w:basedOn w:val="Normal"/>
    <w:link w:val="CommentTextChar"/>
    <w:uiPriority w:val="99"/>
    <w:semiHidden/>
    <w:unhideWhenUsed/>
    <w:rsid w:val="00161B57"/>
  </w:style>
  <w:style w:type="character" w:customStyle="1" w:styleId="CommentTextChar">
    <w:name w:val="Comment Text Char"/>
    <w:basedOn w:val="DefaultParagraphFont"/>
    <w:link w:val="CommentText"/>
    <w:uiPriority w:val="99"/>
    <w:semiHidden/>
    <w:rsid w:val="00161B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B57"/>
    <w:rPr>
      <w:b/>
      <w:bCs/>
    </w:rPr>
  </w:style>
  <w:style w:type="character" w:customStyle="1" w:styleId="CommentSubjectChar">
    <w:name w:val="Comment Subject Char"/>
    <w:basedOn w:val="CommentTextChar"/>
    <w:link w:val="CommentSubject"/>
    <w:uiPriority w:val="99"/>
    <w:semiHidden/>
    <w:rsid w:val="00161B5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53"/>
    <w:rsid w:val="00484FFD"/>
    <w:rsid w:val="00930F25"/>
    <w:rsid w:val="00A94E53"/>
    <w:rsid w:val="00B05985"/>
    <w:rsid w:val="00B2254E"/>
    <w:rsid w:val="00C91204"/>
    <w:rsid w:val="00DB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B94F-9B6B-4637-99DA-558352AE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8178</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Sayer, James W.</cp:lastModifiedBy>
  <cp:revision>2</cp:revision>
  <dcterms:created xsi:type="dcterms:W3CDTF">2016-05-31T21:39:00Z</dcterms:created>
  <dcterms:modified xsi:type="dcterms:W3CDTF">2016-05-31T21:39:00Z</dcterms:modified>
</cp:coreProperties>
</file>