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45" w:rsidRDefault="00F14F78"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sidR="00027C45">
        <w:rPr>
          <w:sz w:val="24"/>
          <w:szCs w:val="24"/>
          <w:lang w:val="en-CA"/>
        </w:rPr>
        <w:instrText xml:space="preserve"> SEQ CHAPTER \h \r 1</w:instrText>
      </w:r>
      <w:r>
        <w:rPr>
          <w:sz w:val="24"/>
          <w:szCs w:val="24"/>
          <w:lang w:val="en-CA"/>
        </w:rPr>
        <w:fldChar w:fldCharType="end"/>
      </w:r>
      <w:r w:rsidR="00027C45">
        <w:rPr>
          <w:b/>
          <w:bCs/>
          <w:sz w:val="32"/>
          <w:szCs w:val="32"/>
        </w:rPr>
        <w:t>Supporting Statement A</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Bureau of Indian Affairs</w:t>
      </w:r>
    </w:p>
    <w:p w:rsidR="00CF0961" w:rsidRDefault="00CF0961" w:rsidP="00E33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Application for Admission to Haskell Indian Nations University and</w:t>
      </w:r>
    </w:p>
    <w:p w:rsidR="00027C45" w:rsidRDefault="00CF0961" w:rsidP="00E33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to Southwestern Indian Polytechnic Institute</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w:t>
      </w:r>
      <w:r w:rsidR="00220556">
        <w:rPr>
          <w:b/>
          <w:bCs/>
          <w:sz w:val="32"/>
          <w:szCs w:val="32"/>
        </w:rPr>
        <w:t>11</w:t>
      </w:r>
      <w:r w:rsidR="00CF0961">
        <w:rPr>
          <w:b/>
          <w:bCs/>
          <w:sz w:val="32"/>
          <w:szCs w:val="32"/>
        </w:rPr>
        <w:t>4</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Pr>
          <w:b/>
          <w:sz w:val="32"/>
          <w:szCs w:val="32"/>
        </w:rPr>
        <w:t>Terms of Clearance:</w:t>
      </w:r>
      <w:r>
        <w:rPr>
          <w:sz w:val="32"/>
          <w:szCs w:val="32"/>
        </w:rPr>
        <w:t xml:space="preserve"> None</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w:t>
      </w:r>
      <w:r w:rsidRPr="00027C45">
        <w:rPr>
          <w:b/>
          <w:sz w:val="24"/>
          <w:szCs w:val="24"/>
        </w:rPr>
        <w:tab/>
        <w:t>Explain the circumstances that make the collection of information necessary.  Identify any legal or administrative requirements that necessitate the collection.</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F0961" w:rsidRPr="00CF0961" w:rsidRDefault="00CF0961" w:rsidP="00D25371">
      <w:pPr>
        <w:rPr>
          <w:bCs/>
          <w:sz w:val="24"/>
        </w:rPr>
      </w:pPr>
      <w:r w:rsidRPr="00CF0961">
        <w:rPr>
          <w:bCs/>
          <w:sz w:val="24"/>
        </w:rPr>
        <w:t>The purpose of the collection is to enroll students</w:t>
      </w:r>
      <w:r w:rsidR="00702BEB">
        <w:rPr>
          <w:bCs/>
          <w:sz w:val="24"/>
        </w:rPr>
        <w:t xml:space="preserve"> to Haskell Indian Nation University and Southwestern Indian Polytechnic Institute (SIPI) </w:t>
      </w:r>
      <w:r w:rsidR="00702BEB" w:rsidRPr="00CF0961">
        <w:rPr>
          <w:bCs/>
          <w:sz w:val="24"/>
        </w:rPr>
        <w:t>and</w:t>
      </w:r>
      <w:r w:rsidR="00702BEB">
        <w:rPr>
          <w:bCs/>
          <w:sz w:val="24"/>
        </w:rPr>
        <w:t xml:space="preserve"> to ensure recipients meet the requirements of </w:t>
      </w:r>
      <w:r w:rsidRPr="00CF0961">
        <w:rPr>
          <w:bCs/>
          <w:sz w:val="24"/>
        </w:rPr>
        <w:t>the Blood Quantum Act, Public Law 99-228; the Snyder Act, Chapter 115, Public Law 67-85; and, the Indian Appropriations of the 48</w:t>
      </w:r>
      <w:r w:rsidRPr="00CF0961">
        <w:rPr>
          <w:bCs/>
          <w:sz w:val="24"/>
          <w:vertAlign w:val="superscript"/>
        </w:rPr>
        <w:t>th</w:t>
      </w:r>
      <w:r w:rsidRPr="00CF0961">
        <w:rPr>
          <w:bCs/>
          <w:sz w:val="24"/>
        </w:rPr>
        <w:t xml:space="preserve"> Congress, Chapter 180, page 91, For Support of Schools, July 4, 1884. </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2.</w:t>
      </w:r>
      <w:r w:rsidRPr="00027C45">
        <w:rPr>
          <w:b/>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85675" w:rsidRPr="00322A4D" w:rsidRDefault="00CF0961" w:rsidP="00322A4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sidRPr="00CF0961">
        <w:rPr>
          <w:bCs/>
          <w:sz w:val="24"/>
        </w:rPr>
        <w:t>Admissions forms are used to enroll students at the Southwestern Indian Polytechnic Institute (SIPI) and Ha</w:t>
      </w:r>
      <w:r w:rsidR="00D9167D">
        <w:rPr>
          <w:bCs/>
          <w:sz w:val="24"/>
        </w:rPr>
        <w:t xml:space="preserve">skell Indian Nations University.  </w:t>
      </w:r>
      <w:r w:rsidRPr="00CF0961">
        <w:rPr>
          <w:bCs/>
          <w:sz w:val="24"/>
        </w:rPr>
        <w:t>The completed admissions forms are electron</w:t>
      </w:r>
      <w:r w:rsidR="00E71A1D">
        <w:rPr>
          <w:bCs/>
          <w:sz w:val="24"/>
        </w:rPr>
        <w:t>ically entered into SIPI</w:t>
      </w:r>
      <w:r w:rsidR="00702BEB">
        <w:rPr>
          <w:bCs/>
          <w:sz w:val="24"/>
        </w:rPr>
        <w:t xml:space="preserve"> and Haskell </w:t>
      </w:r>
      <w:r w:rsidRPr="00CF0961">
        <w:rPr>
          <w:bCs/>
          <w:sz w:val="24"/>
        </w:rPr>
        <w:t xml:space="preserve">Admissions and Records to maintain current data on students.  The collected data is used in responding to the Bureau of Indian Education’s (BIE) budget information requests from the Department of the Interior, Office of Management and </w:t>
      </w:r>
      <w:r w:rsidRPr="00CF0961">
        <w:rPr>
          <w:bCs/>
          <w:sz w:val="24"/>
        </w:rPr>
        <w:lastRenderedPageBreak/>
        <w:t xml:space="preserve">Budget, Congress and other entities as </w:t>
      </w:r>
      <w:r w:rsidR="0028152E">
        <w:rPr>
          <w:bCs/>
          <w:sz w:val="24"/>
        </w:rPr>
        <w:t>appropriate.</w:t>
      </w:r>
      <w:r w:rsidR="00322A4D">
        <w:rPr>
          <w:bCs/>
          <w:sz w:val="24"/>
        </w:rPr>
        <w:t xml:space="preserve">  </w:t>
      </w:r>
      <w:r w:rsidR="00085675" w:rsidRPr="00D32E9F">
        <w:rPr>
          <w:sz w:val="24"/>
          <w:szCs w:val="24"/>
        </w:rPr>
        <w:t xml:space="preserve">A Privacy Act system of records notice related to </w:t>
      </w:r>
      <w:r w:rsidR="00322A4D">
        <w:rPr>
          <w:sz w:val="24"/>
          <w:szCs w:val="24"/>
        </w:rPr>
        <w:t>this collection</w:t>
      </w:r>
      <w:r w:rsidR="00085675" w:rsidRPr="00D32E9F">
        <w:rPr>
          <w:sz w:val="24"/>
          <w:szCs w:val="24"/>
        </w:rPr>
        <w:t>, BIA-2</w:t>
      </w:r>
      <w:r w:rsidR="00085675">
        <w:rPr>
          <w:sz w:val="24"/>
          <w:szCs w:val="24"/>
        </w:rPr>
        <w:t xml:space="preserve">2 Indian Student Records, was published in the Federal Register at 73 Fed. Reg. 40605 (July 15, 2008). </w:t>
      </w:r>
    </w:p>
    <w:p w:rsidR="00CF0961" w:rsidRPr="00CF0961" w:rsidRDefault="00CF0961"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sz w:val="24"/>
        </w:rPr>
      </w:pPr>
    </w:p>
    <w:p w:rsidR="00D9167D" w:rsidRDefault="00D9167D"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u w:val="single"/>
        </w:rPr>
      </w:pPr>
      <w:r w:rsidRPr="00D9167D">
        <w:rPr>
          <w:bCs/>
          <w:sz w:val="24"/>
          <w:u w:val="single"/>
        </w:rPr>
        <w:t>Haskell Indian Nation University Application</w:t>
      </w:r>
    </w:p>
    <w:p w:rsidR="00702BEB" w:rsidRDefault="00702BEB"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u w:val="single"/>
        </w:rPr>
      </w:pPr>
      <w:r>
        <w:rPr>
          <w:bCs/>
          <w:sz w:val="24"/>
          <w:u w:val="single"/>
        </w:rPr>
        <w:t>Page One</w:t>
      </w:r>
    </w:p>
    <w:p w:rsidR="00702BEB" w:rsidRDefault="00702BEB"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bCs/>
          <w:sz w:val="24"/>
        </w:rPr>
        <w:t>The first section requests for specific entry information which includes the applicant’s full name, social security number, pursuing degree and major, and the semester in which they are applying.  The second section requests the applicant’s permanent mailing address, e-mail address, enrollment status, and housing status.  The third section requests emergency contact information</w:t>
      </w:r>
      <w:r w:rsidR="0010462D">
        <w:rPr>
          <w:bCs/>
          <w:sz w:val="24"/>
        </w:rPr>
        <w:t>, address, telephone, and e-mail address</w:t>
      </w:r>
      <w:r>
        <w:rPr>
          <w:bCs/>
          <w:sz w:val="24"/>
        </w:rPr>
        <w:t>.  The fourth section requests the date and place of birth, gender, marital status, and current or pending criminal probation/parole and explan</w:t>
      </w:r>
      <w:r w:rsidR="0010462D">
        <w:rPr>
          <w:bCs/>
          <w:sz w:val="24"/>
        </w:rPr>
        <w:t xml:space="preserve">ation.  </w:t>
      </w:r>
      <w:r w:rsidR="0010462D" w:rsidRPr="00CF0961">
        <w:rPr>
          <w:bCs/>
          <w:sz w:val="24"/>
        </w:rPr>
        <w:t>The last section on page one is designed to see if the applicant falls into categories which affect federal or state aid.</w:t>
      </w:r>
    </w:p>
    <w:p w:rsidR="00702BEB" w:rsidRPr="0010462D" w:rsidRDefault="00702BEB"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u w:val="single"/>
        </w:rPr>
      </w:pPr>
      <w:r w:rsidRPr="0010462D">
        <w:rPr>
          <w:bCs/>
          <w:sz w:val="24"/>
          <w:u w:val="single"/>
        </w:rPr>
        <w:t>Page Two</w:t>
      </w:r>
    </w:p>
    <w:p w:rsidR="0010462D" w:rsidRDefault="0010462D"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bCs/>
          <w:sz w:val="24"/>
        </w:rPr>
        <w:t>The fifth section requests tribal affiliation information, which is necessary to ensure the eligibility of the applicant for enrollment.  The sixth section requests for high school information, date of graduation or date of GED.  The seventh section requests for any previous college information and dates attended.  The eighth section requests for any activities the applicant would like to participate.  The ninth section is a certification that the information on the application is true and correct, and must be signed and dated.</w:t>
      </w:r>
    </w:p>
    <w:p w:rsidR="0010462D" w:rsidRPr="0010462D" w:rsidRDefault="0010462D"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u w:val="single"/>
        </w:rPr>
      </w:pPr>
      <w:r>
        <w:rPr>
          <w:bCs/>
          <w:sz w:val="24"/>
          <w:u w:val="single"/>
        </w:rPr>
        <w:t>Page Three</w:t>
      </w:r>
    </w:p>
    <w:p w:rsidR="00CF0961" w:rsidRPr="00CF0961" w:rsidRDefault="0010462D"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color w:val="0000FF"/>
          <w:sz w:val="24"/>
        </w:rPr>
      </w:pPr>
      <w:r>
        <w:rPr>
          <w:bCs/>
          <w:sz w:val="24"/>
        </w:rPr>
        <w:t>This page contains the</w:t>
      </w:r>
      <w:r w:rsidR="00CF0961" w:rsidRPr="00CF0961">
        <w:rPr>
          <w:bCs/>
          <w:sz w:val="24"/>
        </w:rPr>
        <w:t xml:space="preserve"> Paperwork Reduction Act and Privacy Act statements</w:t>
      </w:r>
      <w:r w:rsidR="00CF0961" w:rsidRPr="00CF0961">
        <w:rPr>
          <w:color w:val="0000FF"/>
          <w:sz w:val="24"/>
        </w:rPr>
        <w:t>.</w:t>
      </w:r>
    </w:p>
    <w:p w:rsidR="00CF0961" w:rsidRDefault="00CF0961"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color w:val="0000FF"/>
          <w:sz w:val="24"/>
        </w:rPr>
      </w:pPr>
    </w:p>
    <w:p w:rsidR="0010462D" w:rsidRPr="00D25371" w:rsidRDefault="0010462D"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u w:val="single"/>
        </w:rPr>
      </w:pPr>
      <w:r w:rsidRPr="00D25371">
        <w:rPr>
          <w:sz w:val="24"/>
          <w:u w:val="single"/>
        </w:rPr>
        <w:t>SIPI Application</w:t>
      </w:r>
    </w:p>
    <w:p w:rsidR="0010462D" w:rsidRPr="00CE3D33" w:rsidRDefault="0010462D"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u w:val="single"/>
        </w:rPr>
      </w:pPr>
      <w:r w:rsidRPr="00CE3D33">
        <w:rPr>
          <w:sz w:val="24"/>
          <w:u w:val="single"/>
        </w:rPr>
        <w:t>Page One</w:t>
      </w:r>
    </w:p>
    <w:p w:rsidR="0010462D" w:rsidRDefault="0010462D"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rPr>
      </w:pPr>
      <w:r>
        <w:rPr>
          <w:sz w:val="24"/>
        </w:rPr>
        <w:t xml:space="preserve">The first part of the application asks for information about student enrollment, which semester they are applying for, and student status (new student, readmit student, transfer student, etc.).  The second section requests for personal information such as the applicant’s full name, permanent and commuter address, telephone numbers, date and place of birth, social security number, gender, tribal enrollment status, secondary school status, and veteran status.  </w:t>
      </w:r>
      <w:r w:rsidRPr="00CF0961">
        <w:rPr>
          <w:bCs/>
          <w:sz w:val="24"/>
        </w:rPr>
        <w:t>There is a special section for tra</w:t>
      </w:r>
      <w:r>
        <w:rPr>
          <w:bCs/>
          <w:sz w:val="24"/>
        </w:rPr>
        <w:t xml:space="preserve">nsfer or readmission students, which requests they list all previous institutions attended.  </w:t>
      </w:r>
      <w:r>
        <w:rPr>
          <w:sz w:val="24"/>
        </w:rPr>
        <w:t>The last section asks general questions for the admissions committee to identify the needs and expectations of students while attending SIPI.</w:t>
      </w:r>
    </w:p>
    <w:p w:rsidR="0010462D" w:rsidRPr="00CE3D33" w:rsidRDefault="00CE3D33"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u w:val="single"/>
        </w:rPr>
      </w:pPr>
      <w:r w:rsidRPr="00CE3D33">
        <w:rPr>
          <w:sz w:val="24"/>
          <w:u w:val="single"/>
        </w:rPr>
        <w:t>Page Two</w:t>
      </w:r>
    </w:p>
    <w:p w:rsidR="00CE3D33" w:rsidRPr="00CF0961" w:rsidRDefault="00CE3D33"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sz w:val="24"/>
        </w:rPr>
        <w:t>The first part of the second page requests for more personal information which may impact the applicant while at school, such as marital status, tribal language, and family history regarding post-secondary education.  The next section seeks information on the applicant’s parent’s education history.  The third section requests for information about the applicant’s objectives and reasons for attending SIPI.  The last section is the certification the applicant must sign and date, and if the applicant is under 18 years of age, there is another section for the parent/legal guardian to sign on behalf of the applicant.</w:t>
      </w:r>
    </w:p>
    <w:p w:rsidR="00CF0961" w:rsidRDefault="00CE3D33"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u w:val="single"/>
        </w:rPr>
      </w:pPr>
      <w:r w:rsidRPr="00CE3D33">
        <w:rPr>
          <w:bCs/>
          <w:sz w:val="24"/>
          <w:u w:val="single"/>
        </w:rPr>
        <w:t>Page Three</w:t>
      </w:r>
      <w:r w:rsidR="008846D0">
        <w:rPr>
          <w:bCs/>
          <w:sz w:val="24"/>
          <w:u w:val="single"/>
        </w:rPr>
        <w:t xml:space="preserve"> and Four</w:t>
      </w:r>
    </w:p>
    <w:p w:rsidR="008846D0" w:rsidRPr="008846D0" w:rsidRDefault="008846D0"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sidRPr="008846D0">
        <w:rPr>
          <w:bCs/>
          <w:sz w:val="24"/>
        </w:rPr>
        <w:t xml:space="preserve">These pages consist of </w:t>
      </w:r>
      <w:r w:rsidR="00085675">
        <w:rPr>
          <w:bCs/>
          <w:sz w:val="24"/>
        </w:rPr>
        <w:t>clinical r</w:t>
      </w:r>
      <w:r>
        <w:rPr>
          <w:bCs/>
          <w:sz w:val="24"/>
        </w:rPr>
        <w:t>ecords for applicants.  SIPI requires a physical examination and immunizations for public health reasons.</w:t>
      </w:r>
    </w:p>
    <w:p w:rsidR="008846D0" w:rsidRPr="00CE3D33" w:rsidRDefault="008846D0"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u w:val="single"/>
        </w:rPr>
      </w:pPr>
      <w:r>
        <w:rPr>
          <w:bCs/>
          <w:sz w:val="24"/>
          <w:u w:val="single"/>
        </w:rPr>
        <w:t>Page Five</w:t>
      </w:r>
    </w:p>
    <w:p w:rsidR="00CE3D33" w:rsidRPr="00CF0961" w:rsidRDefault="00CE3D33"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rPr>
      </w:pPr>
      <w:r>
        <w:rPr>
          <w:bCs/>
          <w:sz w:val="24"/>
        </w:rPr>
        <w:lastRenderedPageBreak/>
        <w:t>This page contains the Paperwork Reduction Act and Privacy Act statements.</w:t>
      </w:r>
    </w:p>
    <w:p w:rsidR="00027C45" w:rsidRPr="00027C45" w:rsidRDefault="00027C45" w:rsidP="00E33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3.</w:t>
      </w:r>
      <w:r w:rsidRPr="00027C45">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E3D33" w:rsidRDefault="00CE3D33" w:rsidP="00D735D0">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bCs/>
          <w:sz w:val="24"/>
        </w:rPr>
        <w:t xml:space="preserve">The applications can be </w:t>
      </w:r>
      <w:r w:rsidR="00D735D0">
        <w:rPr>
          <w:bCs/>
          <w:sz w:val="24"/>
        </w:rPr>
        <w:t>retrieved</w:t>
      </w:r>
      <w:r>
        <w:rPr>
          <w:bCs/>
          <w:sz w:val="24"/>
        </w:rPr>
        <w:t xml:space="preserve"> from the school’s website a</w:t>
      </w:r>
      <w:r w:rsidR="00D735D0">
        <w:rPr>
          <w:bCs/>
          <w:sz w:val="24"/>
        </w:rPr>
        <w:t xml:space="preserve">t: (SIPI Application) </w:t>
      </w:r>
      <w:hyperlink r:id="rId8" w:history="1">
        <w:r w:rsidR="004503F3" w:rsidRPr="00DB1FAF">
          <w:rPr>
            <w:rStyle w:val="Hyperlink"/>
            <w:sz w:val="24"/>
          </w:rPr>
          <w:t>http://www.sipi.edu/admiss/</w:t>
        </w:r>
      </w:hyperlink>
      <w:r w:rsidR="004503F3">
        <w:rPr>
          <w:sz w:val="24"/>
        </w:rPr>
        <w:t xml:space="preserve"> and </w:t>
      </w:r>
      <w:r w:rsidR="00D735D0">
        <w:rPr>
          <w:bCs/>
          <w:sz w:val="24"/>
        </w:rPr>
        <w:t xml:space="preserve">(Haskell Application) </w:t>
      </w:r>
      <w:hyperlink r:id="rId9" w:history="1">
        <w:r w:rsidR="004503F3" w:rsidRPr="00DB1FAF">
          <w:rPr>
            <w:rStyle w:val="Hyperlink"/>
            <w:bCs/>
            <w:sz w:val="24"/>
          </w:rPr>
          <w:t>http://www.haskell.edu/admissions/forms.php</w:t>
        </w:r>
      </w:hyperlink>
      <w:r w:rsidR="004503F3">
        <w:rPr>
          <w:bCs/>
          <w:sz w:val="24"/>
        </w:rPr>
        <w:t xml:space="preserve">. </w:t>
      </w:r>
    </w:p>
    <w:p w:rsidR="009079D8" w:rsidRDefault="009079D8"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4.</w:t>
      </w:r>
      <w:r w:rsidRPr="00027C45">
        <w:rPr>
          <w:b/>
          <w:sz w:val="24"/>
          <w:szCs w:val="24"/>
        </w:rPr>
        <w:tab/>
        <w:t>Describe efforts to identify duplication.  Show specifically why any similar information already available cannot be used or modified for use for the purposes described in Item 2 above.</w:t>
      </w:r>
    </w:p>
    <w:p w:rsidR="00027C45" w:rsidRPr="00CF0961"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735D0" w:rsidRDefault="00D735D0" w:rsidP="00D2537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rPr>
      </w:pPr>
      <w:r>
        <w:rPr>
          <w:bCs/>
          <w:sz w:val="24"/>
        </w:rPr>
        <w:t xml:space="preserve">This information may be duplicated for students who have previously attended BIE secondary schools. For SIPI, applicants must submit an application for each semester they wish to attend due to possible changes to the student’s information. </w:t>
      </w:r>
    </w:p>
    <w:p w:rsidR="00D735D0" w:rsidRDefault="00D735D0" w:rsidP="00CF09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bCs/>
          <w:sz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5.</w:t>
      </w:r>
      <w:r w:rsidRPr="00027C45">
        <w:rPr>
          <w:b/>
          <w:sz w:val="24"/>
          <w:szCs w:val="24"/>
        </w:rPr>
        <w:tab/>
        <w:t>If the collection of information impacts small businesses or other small entities, describe any methods used to minimize burden.</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CF0961" w:rsidRPr="00CF0961" w:rsidRDefault="00D735D0"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rPr>
          <w:bCs/>
          <w:sz w:val="24"/>
        </w:rPr>
      </w:pPr>
      <w:r>
        <w:rPr>
          <w:bCs/>
          <w:sz w:val="24"/>
        </w:rPr>
        <w:t xml:space="preserve">This collection does not impact small business or other small entities. </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6.</w:t>
      </w:r>
      <w:r w:rsidRPr="00027C45">
        <w:rPr>
          <w:b/>
          <w:sz w:val="24"/>
          <w:szCs w:val="24"/>
        </w:rPr>
        <w:tab/>
        <w:t>Describe the consequence to Federal program or policy activities if the collection is not conducted or is conducted less frequently, as well as any technical or legal obstacles to reducing burden.</w:t>
      </w:r>
    </w:p>
    <w:p w:rsidR="00027C45" w:rsidRPr="00CF0961"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735D0" w:rsidRDefault="00D735D0" w:rsidP="00D2537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Pr>
          <w:bCs/>
          <w:sz w:val="24"/>
        </w:rPr>
        <w:t>Without collecting this information, Haskell and SIPI would be not be able to ensure applicants meet the requirements of the Blood Quantum Act, Public Law 99-228; t</w:t>
      </w:r>
      <w:r w:rsidRPr="00CF0961">
        <w:rPr>
          <w:bCs/>
          <w:sz w:val="24"/>
        </w:rPr>
        <w:t>he Snyder Act, Chapter 115, Public Law 67-85; and, the Indian Appropriations of the 48</w:t>
      </w:r>
      <w:r w:rsidRPr="00CF0961">
        <w:rPr>
          <w:bCs/>
          <w:sz w:val="24"/>
          <w:vertAlign w:val="superscript"/>
        </w:rPr>
        <w:t>th</w:t>
      </w:r>
      <w:r w:rsidRPr="00CF0961">
        <w:rPr>
          <w:bCs/>
          <w:sz w:val="24"/>
        </w:rPr>
        <w:t xml:space="preserve"> Congress, Chapter 180, page 91, For Support of Schools, July 4, 1884</w:t>
      </w:r>
      <w:r>
        <w:rPr>
          <w:bCs/>
          <w:sz w:val="24"/>
        </w:rPr>
        <w:t xml:space="preserve">, which could result in fewer eligible applicants attending the universities. </w:t>
      </w:r>
    </w:p>
    <w:p w:rsidR="00D735D0" w:rsidRDefault="00D735D0" w:rsidP="00D73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7.</w:t>
      </w:r>
      <w:r w:rsidRPr="00027C45">
        <w:rPr>
          <w:b/>
          <w:sz w:val="24"/>
          <w:szCs w:val="24"/>
        </w:rPr>
        <w:tab/>
        <w:t>Explain any special circumstances that would cause an information collection to be conducted in a manner:</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report information to the agency more often than quarterly;</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prepare a written response to a collection of information in fewer than 30 days after receipt of it;</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submit more than an original and two copies of any document;</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retain records, other than health, medical, government contract, grant-in-aid, or tax records, for more than three years;</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lastRenderedPageBreak/>
        <w:tab/>
        <w:t>*</w:t>
      </w:r>
      <w:r w:rsidRPr="00027C45">
        <w:rPr>
          <w:b/>
          <w:sz w:val="24"/>
          <w:szCs w:val="24"/>
        </w:rPr>
        <w:tab/>
        <w:t>in connection with a statistical survey that is not designed to produce valid and reliable results that can be generalized to the universe of study;</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the use of a statistical data classification that has not been reviewed and approved by OMB;</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58509A" w:rsidRPr="006F2591" w:rsidRDefault="0058509A" w:rsidP="0058509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66FF"/>
          <w:sz w:val="24"/>
          <w:szCs w:val="24"/>
        </w:rPr>
      </w:pPr>
      <w:r w:rsidRPr="006F2591">
        <w:rPr>
          <w:sz w:val="24"/>
          <w:szCs w:val="24"/>
        </w:rPr>
        <w:t>There are no special circumstances th</w:t>
      </w:r>
      <w:r>
        <w:rPr>
          <w:sz w:val="24"/>
          <w:szCs w:val="24"/>
        </w:rPr>
        <w:t>at will apply to this collection</w:t>
      </w:r>
      <w:r w:rsidRPr="006F2591">
        <w:rPr>
          <w:sz w:val="24"/>
          <w:szCs w:val="24"/>
        </w:rPr>
        <w:t xml:space="preserve">.  </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8.</w:t>
      </w:r>
      <w:r w:rsidRPr="00027C45">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58509A" w:rsidRDefault="0058509A" w:rsidP="000608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w:t>
      </w:r>
      <w:r w:rsidRPr="00605404">
        <w:rPr>
          <w:sz w:val="24"/>
          <w:szCs w:val="24"/>
        </w:rPr>
        <w:t xml:space="preserve"> 60</w:t>
      </w:r>
      <w:r>
        <w:rPr>
          <w:sz w:val="24"/>
          <w:szCs w:val="24"/>
        </w:rPr>
        <w:t>-day notice for public comments was published in the Federal Register on</w:t>
      </w:r>
      <w:r w:rsidR="004503F3">
        <w:rPr>
          <w:sz w:val="24"/>
          <w:szCs w:val="24"/>
        </w:rPr>
        <w:t xml:space="preserve"> April 23, 2015 (80 FR 22739).  There were no comments received in response to this notice.</w:t>
      </w:r>
      <w:r>
        <w:rPr>
          <w:sz w:val="24"/>
          <w:szCs w:val="24"/>
        </w:rPr>
        <w:t xml:space="preserve">  </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27C45">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27C45">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C5E18" w:rsidRDefault="00AC5E18" w:rsidP="005850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AC5E18" w:rsidRPr="00AC5E18" w:rsidRDefault="00AC5E18" w:rsidP="005850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reached out to the following individuals, as they work closely with incoming students, to obtain their views on the availability of data, frequency of collection, the clarity of instructions and recordkeeping, disclosure, or reporting format, and the data elements to be recorded or </w:t>
      </w:r>
      <w:r w:rsidRPr="00AC5E18">
        <w:rPr>
          <w:sz w:val="24"/>
          <w:szCs w:val="24"/>
        </w:rPr>
        <w:t>reported:</w:t>
      </w:r>
    </w:p>
    <w:p w:rsidR="00AC5E18" w:rsidRPr="00AC5E18" w:rsidRDefault="00AC5E18" w:rsidP="0058509A">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C5E18">
        <w:rPr>
          <w:rFonts w:ascii="Times New Roman" w:hAnsi="Times New Roman" w:cs="Times New Roman"/>
          <w:sz w:val="24"/>
          <w:szCs w:val="24"/>
        </w:rPr>
        <w:t xml:space="preserve">Joseph Carpio, Director Admissions/Financial Aid, Southwestern Indian Polytechnic Institute, P.O. Box 10146/9169 Coors Road, N.W., Albuquerque, NM 87120; phone: (505) 346-2324. </w:t>
      </w:r>
    </w:p>
    <w:p w:rsidR="00AC5E18" w:rsidRPr="00AC5E18" w:rsidRDefault="00AC5E18" w:rsidP="0058509A">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AC5E18">
        <w:rPr>
          <w:rFonts w:ascii="Times New Roman" w:hAnsi="Times New Roman" w:cs="Times New Roman"/>
          <w:sz w:val="24"/>
          <w:szCs w:val="24"/>
        </w:rPr>
        <w:t xml:space="preserve">Dorothy Stites, Director of Admissions, Haskell Indian Nations University, </w:t>
      </w:r>
      <w:r>
        <w:rPr>
          <w:rFonts w:ascii="Times New Roman" w:hAnsi="Times New Roman" w:cs="Times New Roman"/>
          <w:sz w:val="24"/>
          <w:szCs w:val="24"/>
        </w:rPr>
        <w:t xml:space="preserve">155 Indian Avenue, Box 5031, Lawrence, KS 66046; </w:t>
      </w:r>
      <w:r w:rsidRPr="00AC5E18">
        <w:rPr>
          <w:rFonts w:ascii="Times New Roman" w:hAnsi="Times New Roman" w:cs="Times New Roman"/>
          <w:sz w:val="24"/>
          <w:szCs w:val="24"/>
        </w:rPr>
        <w:t>phone: (785) 749-8456</w:t>
      </w:r>
      <w:r>
        <w:rPr>
          <w:rFonts w:ascii="Times New Roman" w:hAnsi="Times New Roman" w:cs="Times New Roman"/>
          <w:sz w:val="24"/>
          <w:szCs w:val="24"/>
        </w:rPr>
        <w:t>.</w:t>
      </w:r>
    </w:p>
    <w:p w:rsidR="00AC5E18" w:rsidRPr="00AC5E18" w:rsidRDefault="00AC5E18" w:rsidP="005850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C5E18" w:rsidRPr="00AC5E18" w:rsidRDefault="00AC5E18" w:rsidP="005850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lastRenderedPageBreak/>
        <w:t xml:space="preserve">Mr. Carpio and Ms. Stites work closely with incoming students and reached out to several students to obtain their views on this information collection.  Overall, the students felt the application is straight forward and the instructions were clear.  </w:t>
      </w:r>
      <w:r w:rsidR="008F7A47">
        <w:rPr>
          <w:sz w:val="24"/>
          <w:szCs w:val="24"/>
        </w:rPr>
        <w:t>The</w:t>
      </w:r>
      <w:r>
        <w:rPr>
          <w:sz w:val="24"/>
          <w:szCs w:val="24"/>
        </w:rPr>
        <w:t xml:space="preserve"> students concurred with the estimated time to complete the application. No students provided any further recommendations.</w:t>
      </w:r>
      <w:r w:rsidR="008F7A47">
        <w:rPr>
          <w:sz w:val="24"/>
          <w:szCs w:val="24"/>
        </w:rPr>
        <w:t xml:space="preserve">  Therefore, there are no changes to this information collection.</w:t>
      </w:r>
    </w:p>
    <w:p w:rsidR="0058509A" w:rsidRDefault="0058509A" w:rsidP="008A47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9.</w:t>
      </w:r>
      <w:r w:rsidRPr="00027C45">
        <w:rPr>
          <w:b/>
          <w:sz w:val="24"/>
          <w:szCs w:val="24"/>
        </w:rPr>
        <w:tab/>
        <w:t>Explain any decision to provide any payment or gift to respondents, other than remuneration of contractors or grantees.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RDefault="00027C45" w:rsidP="00610621">
      <w:pPr>
        <w:rPr>
          <w:sz w:val="24"/>
          <w:szCs w:val="24"/>
        </w:rPr>
      </w:pPr>
      <w:r w:rsidRPr="00027C45">
        <w:rPr>
          <w:sz w:val="24"/>
          <w:szCs w:val="24"/>
        </w:rPr>
        <w:t xml:space="preserve">Respondents will not receive any payment, gift, or other remuneration for providing the information collection requirements. </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10.</w:t>
      </w:r>
      <w:r w:rsidRPr="00027C45">
        <w:rPr>
          <w:b/>
          <w:sz w:val="24"/>
          <w:szCs w:val="24"/>
        </w:rPr>
        <w:tab/>
        <w:t>Describe any assurance of confidentiality provided to respondents and the basis for the assurance in statute, regulation, or agency policy.</w:t>
      </w:r>
    </w:p>
    <w:p w:rsidR="00027C45" w:rsidRPr="00E33834" w:rsidRDefault="00027C45" w:rsidP="00027C45">
      <w:pPr>
        <w:ind w:left="360"/>
        <w:rPr>
          <w:sz w:val="24"/>
        </w:rPr>
      </w:pPr>
    </w:p>
    <w:p w:rsidR="008A4704" w:rsidRPr="00E33834" w:rsidRDefault="008A4704" w:rsidP="00D2537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rPr>
      </w:pPr>
      <w:r w:rsidRPr="00E33834">
        <w:rPr>
          <w:bCs/>
          <w:sz w:val="24"/>
        </w:rPr>
        <w:t>The Privacy Act</w:t>
      </w:r>
      <w:r w:rsidR="00231688">
        <w:rPr>
          <w:bCs/>
          <w:sz w:val="24"/>
        </w:rPr>
        <w:t xml:space="preserve">, </w:t>
      </w:r>
      <w:r w:rsidR="00231688" w:rsidRPr="00E33834">
        <w:rPr>
          <w:bCs/>
          <w:sz w:val="24"/>
        </w:rPr>
        <w:t>BIA</w:t>
      </w:r>
      <w:r w:rsidR="00231688" w:rsidRPr="00D32E9F">
        <w:rPr>
          <w:sz w:val="24"/>
          <w:szCs w:val="24"/>
        </w:rPr>
        <w:t>-2</w:t>
      </w:r>
      <w:r w:rsidR="00231688">
        <w:rPr>
          <w:sz w:val="24"/>
          <w:szCs w:val="24"/>
        </w:rPr>
        <w:t xml:space="preserve">2 Indian Student Records published in the Federal Register at 73 Fed. Reg. 40605 (July 15, 2008), </w:t>
      </w:r>
      <w:r w:rsidR="00231688">
        <w:rPr>
          <w:bCs/>
          <w:sz w:val="24"/>
        </w:rPr>
        <w:t>provides protection for</w:t>
      </w:r>
      <w:r w:rsidRPr="00E33834">
        <w:rPr>
          <w:bCs/>
          <w:sz w:val="24"/>
        </w:rPr>
        <w:t xml:space="preserve"> confidential information</w:t>
      </w:r>
      <w:r w:rsidR="00231688">
        <w:rPr>
          <w:bCs/>
          <w:sz w:val="24"/>
        </w:rPr>
        <w:t>.</w:t>
      </w:r>
      <w:r w:rsidR="00231688" w:rsidRPr="00231688">
        <w:rPr>
          <w:sz w:val="24"/>
          <w:szCs w:val="24"/>
        </w:rPr>
        <w:t xml:space="preserve"> </w:t>
      </w:r>
      <w:r w:rsidRPr="00E33834">
        <w:rPr>
          <w:bCs/>
          <w:sz w:val="24"/>
        </w:rPr>
        <w:t xml:space="preserve">The Federal Education Rights and Privacy Act (FERPA) regulations are followed to ensure confidentiality of information. </w:t>
      </w:r>
    </w:p>
    <w:p w:rsidR="00E33834" w:rsidRPr="00CF0961" w:rsidRDefault="0058509A" w:rsidP="00CF096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ind w:right="-720"/>
      </w:pPr>
      <w:r>
        <w:rPr>
          <w:sz w:val="24"/>
          <w:szCs w:val="24"/>
        </w:rPr>
        <w:t xml:space="preserve"> </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11.</w:t>
      </w:r>
      <w:r w:rsidRPr="00027C45">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CF0961" w:rsidRPr="00CF0961" w:rsidRDefault="00CF0961" w:rsidP="00322A4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Cs/>
          <w:sz w:val="24"/>
        </w:rPr>
      </w:pPr>
      <w:r w:rsidRPr="00CF0961">
        <w:rPr>
          <w:bCs/>
          <w:sz w:val="24"/>
        </w:rPr>
        <w:t>SIPI requires a physical examination and immunizations for public health reasons.</w:t>
      </w:r>
      <w:r w:rsidR="00322A4D">
        <w:rPr>
          <w:bCs/>
          <w:sz w:val="24"/>
        </w:rPr>
        <w:t xml:space="preserve">  </w:t>
      </w:r>
      <w:r w:rsidRPr="00CF0961">
        <w:rPr>
          <w:bCs/>
          <w:sz w:val="24"/>
        </w:rPr>
        <w:t>Criminal probation information is required due to dormitory requirements.</w:t>
      </w:r>
      <w:r w:rsidR="00322A4D">
        <w:rPr>
          <w:bCs/>
          <w:sz w:val="24"/>
        </w:rPr>
        <w:t xml:space="preserve">  </w:t>
      </w:r>
      <w:r w:rsidRPr="00CF0961">
        <w:rPr>
          <w:bCs/>
          <w:sz w:val="24"/>
        </w:rPr>
        <w:t>Special services information is used to determine and implement any needed special services.</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12.</w:t>
      </w:r>
      <w:r w:rsidRPr="00027C45">
        <w:rPr>
          <w:b/>
          <w:sz w:val="24"/>
          <w:szCs w:val="24"/>
        </w:rPr>
        <w:tab/>
        <w:t>Provide estimates of the hour burden of the collection of information.  The statement should:</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If this request for approval covers more than one form, provide separate hour burden estimates for each form and aggregate the hour burdens.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w:t>
      </w:r>
      <w:r w:rsidRPr="00027C45">
        <w:rPr>
          <w:b/>
          <w:sz w:val="24"/>
          <w:szCs w:val="24"/>
        </w:rPr>
        <w:lastRenderedPageBreak/>
        <w:t>activities should not be included here.</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F35760" w:rsidRDefault="005F43D8" w:rsidP="008846D0">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We receive approximately 4,000 applications</w:t>
      </w:r>
      <w:r w:rsidR="00F35760">
        <w:rPr>
          <w:bCs/>
          <w:sz w:val="24"/>
          <w:szCs w:val="24"/>
        </w:rPr>
        <w:t xml:space="preserve"> annually</w:t>
      </w:r>
      <w:r>
        <w:rPr>
          <w:bCs/>
          <w:sz w:val="24"/>
          <w:szCs w:val="24"/>
        </w:rPr>
        <w:t xml:space="preserve"> (SIPI requires students to apply for each trimester, Haskell requires students to apply once a year)</w:t>
      </w:r>
      <w:r w:rsidR="00F35760">
        <w:rPr>
          <w:bCs/>
          <w:sz w:val="24"/>
          <w:szCs w:val="24"/>
        </w:rPr>
        <w:t xml:space="preserve">, </w:t>
      </w:r>
      <w:r>
        <w:rPr>
          <w:bCs/>
          <w:sz w:val="24"/>
          <w:szCs w:val="24"/>
        </w:rPr>
        <w:t>with each application taking an estimated 30 minutes</w:t>
      </w:r>
      <w:r w:rsidR="00F35760">
        <w:rPr>
          <w:bCs/>
          <w:sz w:val="24"/>
          <w:szCs w:val="24"/>
        </w:rPr>
        <w:t xml:space="preserve"> to complete.  Therefore, the total annual estimated burden is </w:t>
      </w:r>
      <w:r>
        <w:rPr>
          <w:bCs/>
          <w:sz w:val="24"/>
          <w:szCs w:val="24"/>
        </w:rPr>
        <w:t xml:space="preserve">2,000 </w:t>
      </w:r>
      <w:r w:rsidR="00322A4D">
        <w:rPr>
          <w:bCs/>
          <w:sz w:val="24"/>
          <w:szCs w:val="24"/>
        </w:rPr>
        <w:t>hours or equivalent to $</w:t>
      </w:r>
      <w:r w:rsidR="004503F3">
        <w:rPr>
          <w:bCs/>
          <w:sz w:val="24"/>
          <w:szCs w:val="24"/>
        </w:rPr>
        <w:t>64,060</w:t>
      </w:r>
      <w:r w:rsidR="00322A4D">
        <w:rPr>
          <w:bCs/>
          <w:sz w:val="24"/>
          <w:szCs w:val="24"/>
        </w:rPr>
        <w:t>.</w:t>
      </w:r>
    </w:p>
    <w:p w:rsidR="005F43D8" w:rsidRDefault="005F43D8" w:rsidP="005F43D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1440"/>
        <w:gridCol w:w="2250"/>
        <w:gridCol w:w="1170"/>
      </w:tblGrid>
      <w:tr w:rsidR="00CC0A99" w:rsidRPr="006F2591">
        <w:tc>
          <w:tcPr>
            <w:tcW w:w="1620" w:type="dxa"/>
          </w:tcPr>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Application (Annually)</w:t>
            </w:r>
          </w:p>
        </w:tc>
        <w:tc>
          <w:tcPr>
            <w:tcW w:w="2160" w:type="dxa"/>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 xml:space="preserve">Time </w:t>
            </w:r>
          </w:p>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Pr>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Burden Hours</w:t>
            </w:r>
          </w:p>
        </w:tc>
        <w:tc>
          <w:tcPr>
            <w:tcW w:w="2250" w:type="dxa"/>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Salary</w:t>
            </w:r>
            <w:r w:rsidR="001E3EC6">
              <w:rPr>
                <w:bCs/>
                <w:sz w:val="24"/>
                <w:szCs w:val="24"/>
              </w:rPr>
              <w:t>*</w:t>
            </w:r>
            <w:r>
              <w:rPr>
                <w:bCs/>
                <w:sz w:val="24"/>
                <w:szCs w:val="24"/>
              </w:rPr>
              <w:t xml:space="preserve"> (including 1.4 Benefits Multiplier)</w:t>
            </w:r>
          </w:p>
        </w:tc>
        <w:tc>
          <w:tcPr>
            <w:tcW w:w="1170" w:type="dxa"/>
          </w:tcPr>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r>
              <w:rPr>
                <w:bCs/>
                <w:sz w:val="24"/>
                <w:szCs w:val="24"/>
              </w:rPr>
              <w:t>Total</w:t>
            </w:r>
          </w:p>
        </w:tc>
      </w:tr>
      <w:tr w:rsidR="00CC0A99" w:rsidRPr="006F2591">
        <w:tc>
          <w:tcPr>
            <w:tcW w:w="1620" w:type="dxa"/>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SIPI</w:t>
            </w:r>
          </w:p>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3,000</w:t>
            </w:r>
          </w:p>
        </w:tc>
        <w:tc>
          <w:tcPr>
            <w:tcW w:w="2160" w:type="dxa"/>
            <w:tcBorders>
              <w:bottom w:val="single" w:sz="4" w:space="0" w:color="auto"/>
            </w:tcBorders>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.50 (30 minutes)</w:t>
            </w:r>
          </w:p>
        </w:tc>
        <w:tc>
          <w:tcPr>
            <w:tcW w:w="1440" w:type="dxa"/>
            <w:tcBorders>
              <w:bottom w:val="single" w:sz="4" w:space="0" w:color="auto"/>
            </w:tcBorders>
          </w:tcPr>
          <w:p w:rsidR="00CC0A99" w:rsidRPr="006F2591" w:rsidRDefault="00CC0A99" w:rsidP="005F43D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1,500</w:t>
            </w:r>
          </w:p>
        </w:tc>
        <w:tc>
          <w:tcPr>
            <w:tcW w:w="2250" w:type="dxa"/>
            <w:tcBorders>
              <w:bottom w:val="single" w:sz="4" w:space="0" w:color="auto"/>
            </w:tcBorders>
          </w:tcPr>
          <w:p w:rsidR="00CC0A99" w:rsidRDefault="00CC0A99" w:rsidP="00075F9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w:t>
            </w:r>
            <w:r w:rsidR="004503F3">
              <w:rPr>
                <w:bCs/>
                <w:sz w:val="24"/>
                <w:szCs w:val="24"/>
              </w:rPr>
              <w:t>32.03</w:t>
            </w:r>
          </w:p>
        </w:tc>
        <w:tc>
          <w:tcPr>
            <w:tcW w:w="1170" w:type="dxa"/>
          </w:tcPr>
          <w:p w:rsidR="00CC0A99" w:rsidRPr="006F2591" w:rsidRDefault="004503F3" w:rsidP="00075F9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$48,045</w:t>
            </w:r>
          </w:p>
        </w:tc>
      </w:tr>
      <w:tr w:rsidR="00CC0A99" w:rsidRPr="006F2591">
        <w:tc>
          <w:tcPr>
            <w:tcW w:w="1620" w:type="dxa"/>
            <w:tcBorders>
              <w:bottom w:val="single" w:sz="4" w:space="0" w:color="auto"/>
              <w:right w:val="nil"/>
            </w:tcBorders>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Haskell</w:t>
            </w:r>
          </w:p>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1,000</w:t>
            </w:r>
          </w:p>
        </w:tc>
        <w:tc>
          <w:tcPr>
            <w:tcW w:w="2160" w:type="dxa"/>
            <w:tcBorders>
              <w:bottom w:val="single" w:sz="4" w:space="0" w:color="auto"/>
              <w:right w:val="single" w:sz="4" w:space="0" w:color="auto"/>
            </w:tcBorders>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.50 (30 minutes)</w:t>
            </w:r>
          </w:p>
        </w:tc>
        <w:tc>
          <w:tcPr>
            <w:tcW w:w="1440" w:type="dxa"/>
            <w:tcBorders>
              <w:left w:val="single" w:sz="4" w:space="0" w:color="auto"/>
              <w:right w:val="single" w:sz="4" w:space="0" w:color="auto"/>
            </w:tcBorders>
          </w:tcPr>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500</w:t>
            </w:r>
          </w:p>
        </w:tc>
        <w:tc>
          <w:tcPr>
            <w:tcW w:w="2250" w:type="dxa"/>
            <w:tcBorders>
              <w:left w:val="single" w:sz="4" w:space="0" w:color="auto"/>
              <w:right w:val="nil"/>
            </w:tcBorders>
          </w:tcPr>
          <w:p w:rsidR="00CC0A99" w:rsidRDefault="00CC0A99" w:rsidP="00075F9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w:t>
            </w:r>
            <w:r w:rsidR="004503F3">
              <w:rPr>
                <w:bCs/>
                <w:sz w:val="24"/>
                <w:szCs w:val="24"/>
              </w:rPr>
              <w:t>32.03</w:t>
            </w:r>
          </w:p>
        </w:tc>
        <w:tc>
          <w:tcPr>
            <w:tcW w:w="1170" w:type="dxa"/>
          </w:tcPr>
          <w:p w:rsidR="00CC0A99" w:rsidRDefault="00075F94" w:rsidP="004503F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$1</w:t>
            </w:r>
            <w:r w:rsidR="004503F3">
              <w:rPr>
                <w:bCs/>
                <w:sz w:val="24"/>
                <w:szCs w:val="24"/>
              </w:rPr>
              <w:t>6,015</w:t>
            </w:r>
          </w:p>
        </w:tc>
      </w:tr>
      <w:tr w:rsidR="00CC0A99" w:rsidRPr="006F2591">
        <w:tc>
          <w:tcPr>
            <w:tcW w:w="1620" w:type="dxa"/>
            <w:tcBorders>
              <w:right w:val="nil"/>
            </w:tcBorders>
          </w:tcPr>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t>Total</w:t>
            </w:r>
          </w:p>
        </w:tc>
        <w:tc>
          <w:tcPr>
            <w:tcW w:w="2160" w:type="dxa"/>
            <w:tcBorders>
              <w:left w:val="nil"/>
              <w:right w:val="nil"/>
            </w:tcBorders>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c>
        <w:tc>
          <w:tcPr>
            <w:tcW w:w="1440" w:type="dxa"/>
            <w:tcBorders>
              <w:left w:val="nil"/>
              <w:right w:val="nil"/>
            </w:tcBorders>
          </w:tcPr>
          <w:p w:rsidR="00CC0A99" w:rsidRPr="006F2591"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2250" w:type="dxa"/>
            <w:tcBorders>
              <w:left w:val="nil"/>
              <w:right w:val="nil"/>
            </w:tcBorders>
          </w:tcPr>
          <w:p w:rsidR="00CC0A99" w:rsidRDefault="00CC0A99" w:rsidP="00E71A1D">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p>
        </w:tc>
        <w:tc>
          <w:tcPr>
            <w:tcW w:w="1170" w:type="dxa"/>
          </w:tcPr>
          <w:p w:rsidR="00CC0A99" w:rsidRDefault="00CC0A99" w:rsidP="00075F9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Cs/>
                <w:sz w:val="24"/>
                <w:szCs w:val="24"/>
              </w:rPr>
            </w:pPr>
            <w:r>
              <w:rPr>
                <w:bCs/>
                <w:sz w:val="24"/>
                <w:szCs w:val="24"/>
              </w:rPr>
              <w:t>$</w:t>
            </w:r>
            <w:r w:rsidR="004503F3">
              <w:rPr>
                <w:bCs/>
                <w:sz w:val="24"/>
                <w:szCs w:val="24"/>
              </w:rPr>
              <w:t>64,06</w:t>
            </w:r>
            <w:r w:rsidR="00075F94">
              <w:rPr>
                <w:bCs/>
                <w:sz w:val="24"/>
                <w:szCs w:val="24"/>
              </w:rPr>
              <w:t>0</w:t>
            </w:r>
          </w:p>
        </w:tc>
      </w:tr>
    </w:tbl>
    <w:p w:rsidR="005F43D8" w:rsidRPr="0010099A" w:rsidRDefault="005F43D8" w:rsidP="005F43D8">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65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1710"/>
        <w:rPr>
          <w:bCs/>
        </w:rPr>
      </w:pPr>
      <w:r w:rsidRPr="0010099A">
        <w:rPr>
          <w:bCs/>
        </w:rPr>
        <w:t>*Table 1, Wages &amp; Salaries – All Workers, Employer costs per hour worked for employee compensation and costs as a percent of total compensation: Civilian workers, by major occupa</w:t>
      </w:r>
      <w:r>
        <w:rPr>
          <w:bCs/>
        </w:rPr>
        <w:t xml:space="preserve">tional and industry group, </w:t>
      </w:r>
      <w:r w:rsidR="004503F3">
        <w:rPr>
          <w:bCs/>
        </w:rPr>
        <w:t>March 2015</w:t>
      </w:r>
      <w:r w:rsidR="00075F94">
        <w:rPr>
          <w:bCs/>
        </w:rPr>
        <w:t>.</w:t>
      </w:r>
    </w:p>
    <w:p w:rsidR="005F43D8" w:rsidRDefault="005F43D8" w:rsidP="005F43D8">
      <w:pPr>
        <w:widowControl/>
        <w:rPr>
          <w:bCs/>
          <w:sz w:val="24"/>
          <w:szCs w:val="24"/>
        </w:rPr>
      </w:pPr>
    </w:p>
    <w:p w:rsidR="005F43D8" w:rsidRPr="004503F3" w:rsidRDefault="005F43D8" w:rsidP="008846D0">
      <w:pPr>
        <w:widowControl/>
        <w:rPr>
          <w:bCs/>
          <w:sz w:val="32"/>
          <w:szCs w:val="24"/>
        </w:rPr>
      </w:pPr>
      <w:r w:rsidRPr="00F47727">
        <w:rPr>
          <w:bCs/>
          <w:sz w:val="24"/>
          <w:szCs w:val="24"/>
        </w:rPr>
        <w:t xml:space="preserve">We have used the </w:t>
      </w:r>
      <w:r w:rsidRPr="00F47727">
        <w:rPr>
          <w:sz w:val="24"/>
          <w:szCs w:val="24"/>
        </w:rPr>
        <w:t xml:space="preserve">Bureau of Labor Statistics, </w:t>
      </w:r>
      <w:r w:rsidRPr="00F47727">
        <w:rPr>
          <w:bCs/>
          <w:sz w:val="24"/>
          <w:szCs w:val="24"/>
        </w:rPr>
        <w:t>EMPLOYER COSTS</w:t>
      </w:r>
      <w:r w:rsidR="00CC0A99">
        <w:rPr>
          <w:bCs/>
          <w:sz w:val="24"/>
          <w:szCs w:val="24"/>
        </w:rPr>
        <w:t xml:space="preserve"> FOR EMPLOYEE COMPENSATION—</w:t>
      </w:r>
      <w:r w:rsidR="004503F3">
        <w:rPr>
          <w:bCs/>
          <w:sz w:val="24"/>
          <w:szCs w:val="24"/>
        </w:rPr>
        <w:t>March 2015</w:t>
      </w:r>
      <w:r w:rsidRPr="00F47727">
        <w:rPr>
          <w:bCs/>
          <w:sz w:val="24"/>
          <w:szCs w:val="24"/>
        </w:rPr>
        <w:t xml:space="preserve"> (released </w:t>
      </w:r>
      <w:r w:rsidR="004503F3">
        <w:rPr>
          <w:bCs/>
          <w:sz w:val="24"/>
          <w:szCs w:val="24"/>
        </w:rPr>
        <w:t>June 10</w:t>
      </w:r>
      <w:r w:rsidR="00075F94">
        <w:rPr>
          <w:bCs/>
          <w:sz w:val="24"/>
          <w:szCs w:val="24"/>
        </w:rPr>
        <w:t>, 2015</w:t>
      </w:r>
      <w:r w:rsidR="00CC0A99">
        <w:rPr>
          <w:bCs/>
          <w:sz w:val="24"/>
          <w:szCs w:val="24"/>
        </w:rPr>
        <w:t xml:space="preserve">), USDL </w:t>
      </w:r>
      <w:r w:rsidR="004503F3">
        <w:rPr>
          <w:bCs/>
          <w:sz w:val="24"/>
          <w:szCs w:val="24"/>
        </w:rPr>
        <w:t>15-1132</w:t>
      </w:r>
      <w:r w:rsidRPr="00F47727">
        <w:rPr>
          <w:bCs/>
          <w:sz w:val="24"/>
          <w:szCs w:val="24"/>
        </w:rPr>
        <w:t>, as a guide for our estimates</w:t>
      </w:r>
      <w:r>
        <w:rPr>
          <w:bCs/>
          <w:sz w:val="24"/>
          <w:szCs w:val="24"/>
        </w:rPr>
        <w:t>, including the benefits multiplier</w:t>
      </w:r>
      <w:r w:rsidRPr="00F47727">
        <w:rPr>
          <w:bCs/>
          <w:sz w:val="24"/>
          <w:szCs w:val="24"/>
        </w:rPr>
        <w:t xml:space="preserve">.  See </w:t>
      </w:r>
      <w:hyperlink r:id="rId10" w:history="1">
        <w:r w:rsidR="00ED082B" w:rsidRPr="00ED082B">
          <w:rPr>
            <w:rStyle w:val="Hyperlink"/>
            <w:sz w:val="24"/>
          </w:rPr>
          <w:t>http://www.bls.gov/news.release/pdf/ecec.pdf</w:t>
        </w:r>
      </w:hyperlink>
      <w:r w:rsidR="00ED082B" w:rsidRPr="00ED082B">
        <w:rPr>
          <w:sz w:val="24"/>
        </w:rPr>
        <w:t xml:space="preserve">. </w:t>
      </w:r>
    </w:p>
    <w:p w:rsidR="00A93373" w:rsidRPr="00A93373" w:rsidRDefault="00A93373" w:rsidP="00A93373">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13.</w:t>
      </w:r>
      <w:r w:rsidRPr="00027C45">
        <w:rPr>
          <w:b/>
          <w:sz w:val="24"/>
          <w:szCs w:val="24"/>
        </w:rPr>
        <w:tab/>
        <w:t>Provide an estimate of the total annual non-hour cost burden to respondents or recordkeepers resulting from the collection of information.  (Do not include the cost of any hour burden already reflected in item 12.)</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27C45">
        <w:rPr>
          <w:b/>
          <w:sz w:val="24"/>
          <w:szCs w:val="24"/>
        </w:rPr>
        <w:t>*</w:t>
      </w:r>
      <w:r w:rsidRPr="00027C45">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27C45">
        <w:rPr>
          <w:b/>
          <w:sz w:val="24"/>
          <w:szCs w:val="24"/>
        </w:rPr>
        <w:t>*</w:t>
      </w:r>
      <w:r w:rsidRPr="00027C45">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27C45">
        <w:rPr>
          <w:b/>
          <w:sz w:val="24"/>
          <w:szCs w:val="24"/>
        </w:rPr>
        <w:tab/>
        <w:t>*</w:t>
      </w:r>
      <w:r w:rsidRPr="00027C45">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w:t>
      </w:r>
      <w:r w:rsidRPr="00027C45">
        <w:rPr>
          <w:b/>
          <w:sz w:val="24"/>
          <w:szCs w:val="24"/>
        </w:rPr>
        <w:lastRenderedPageBreak/>
        <w:t>reasons other than to provide information or keep records for the government, or (4) as part of customary and usual business or private practices.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2E77C8" w:rsidRDefault="002E77C8" w:rsidP="008846D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Applicants may use postage and envelopes to submit the application</w:t>
      </w:r>
      <w:r w:rsidR="001E3EC6">
        <w:rPr>
          <w:sz w:val="24"/>
          <w:szCs w:val="24"/>
        </w:rPr>
        <w:t>, which comes to a total co</w:t>
      </w:r>
      <w:r w:rsidR="0027480C">
        <w:rPr>
          <w:sz w:val="24"/>
          <w:szCs w:val="24"/>
        </w:rPr>
        <w:t>st of $2,360, with a cost of .59</w:t>
      </w:r>
      <w:r w:rsidR="001E3EC6">
        <w:rPr>
          <w:sz w:val="24"/>
          <w:szCs w:val="24"/>
        </w:rPr>
        <w:t xml:space="preserve"> cents per stamp and envelope</w:t>
      </w:r>
      <w:r w:rsidR="00D90CFF">
        <w:rPr>
          <w:sz w:val="24"/>
          <w:szCs w:val="24"/>
        </w:rPr>
        <w:t xml:space="preserve"> (.49 cents for stamp and .10 cents for envelopes)</w:t>
      </w:r>
      <w:r w:rsidR="001E3EC6">
        <w:rPr>
          <w:sz w:val="24"/>
          <w:szCs w:val="24"/>
        </w:rPr>
        <w:t xml:space="preserve"> for 4,000 applications.  Haskell requires applicants to pay an </w:t>
      </w:r>
      <w:r>
        <w:rPr>
          <w:sz w:val="24"/>
          <w:szCs w:val="24"/>
        </w:rPr>
        <w:t>application fee of $10 per application</w:t>
      </w:r>
      <w:r w:rsidR="001E3EC6">
        <w:rPr>
          <w:sz w:val="24"/>
          <w:szCs w:val="24"/>
        </w:rPr>
        <w:t>, which totals $10,000, for 1,000 applicants</w:t>
      </w:r>
      <w:r>
        <w:rPr>
          <w:sz w:val="24"/>
          <w:szCs w:val="24"/>
        </w:rPr>
        <w:t>.  SIPI does n</w:t>
      </w:r>
      <w:r w:rsidR="001E3EC6">
        <w:rPr>
          <w:sz w:val="24"/>
          <w:szCs w:val="24"/>
        </w:rPr>
        <w:t>ot require an application fee.  The total annual non-hour cost burden to respondents is $12,</w:t>
      </w:r>
      <w:r w:rsidR="0027480C">
        <w:rPr>
          <w:sz w:val="24"/>
          <w:szCs w:val="24"/>
        </w:rPr>
        <w:t>360.</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14.</w:t>
      </w:r>
      <w:r w:rsidRPr="00027C45">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F11AE" w:rsidRDefault="00BF11AE" w:rsidP="008846D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EA001A">
        <w:rPr>
          <w:bCs/>
          <w:sz w:val="24"/>
          <w:szCs w:val="24"/>
        </w:rPr>
        <w:t>The review for the ap</w:t>
      </w:r>
      <w:r w:rsidR="00826FDB">
        <w:rPr>
          <w:bCs/>
          <w:sz w:val="24"/>
          <w:szCs w:val="24"/>
        </w:rPr>
        <w:t>plications take approximately 15</w:t>
      </w:r>
      <w:r w:rsidRPr="00EA001A">
        <w:rPr>
          <w:bCs/>
          <w:sz w:val="24"/>
          <w:szCs w:val="24"/>
        </w:rPr>
        <w:t xml:space="preserve"> minutes</w:t>
      </w:r>
      <w:r w:rsidR="00826FDB">
        <w:rPr>
          <w:bCs/>
          <w:sz w:val="24"/>
          <w:szCs w:val="24"/>
        </w:rPr>
        <w:t xml:space="preserve"> for SIPI applications and 30 minutes for Haskell applications, </w:t>
      </w:r>
      <w:r w:rsidRPr="00EA001A">
        <w:rPr>
          <w:bCs/>
          <w:sz w:val="24"/>
          <w:szCs w:val="24"/>
        </w:rPr>
        <w:t>totaling a</w:t>
      </w:r>
      <w:r>
        <w:rPr>
          <w:bCs/>
          <w:sz w:val="24"/>
          <w:szCs w:val="24"/>
        </w:rPr>
        <w:t xml:space="preserve">n estimated </w:t>
      </w:r>
      <w:r w:rsidR="00826FDB">
        <w:rPr>
          <w:bCs/>
          <w:sz w:val="24"/>
          <w:szCs w:val="24"/>
        </w:rPr>
        <w:t>3,250 hours</w:t>
      </w:r>
      <w:r>
        <w:rPr>
          <w:bCs/>
          <w:sz w:val="24"/>
          <w:szCs w:val="24"/>
        </w:rPr>
        <w:t xml:space="preserve"> </w:t>
      </w:r>
      <w:r w:rsidR="00826FDB">
        <w:rPr>
          <w:bCs/>
          <w:sz w:val="24"/>
          <w:szCs w:val="24"/>
        </w:rPr>
        <w:t>to review 4,000</w:t>
      </w:r>
      <w:r w:rsidRPr="00EA001A">
        <w:rPr>
          <w:bCs/>
          <w:sz w:val="24"/>
          <w:szCs w:val="24"/>
        </w:rPr>
        <w:t xml:space="preserve"> applications.  </w:t>
      </w:r>
    </w:p>
    <w:p w:rsidR="00BF11AE" w:rsidRDefault="00BF11AE" w:rsidP="00826FD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bl>
      <w:tblPr>
        <w:tblStyle w:val="TableGrid"/>
        <w:tblW w:w="11160" w:type="dxa"/>
        <w:jc w:val="center"/>
        <w:tblLayout w:type="fixed"/>
        <w:tblLook w:val="01E0" w:firstRow="1" w:lastRow="1" w:firstColumn="1" w:lastColumn="1" w:noHBand="0" w:noVBand="0"/>
      </w:tblPr>
      <w:tblGrid>
        <w:gridCol w:w="1260"/>
        <w:gridCol w:w="1620"/>
        <w:gridCol w:w="1530"/>
        <w:gridCol w:w="1710"/>
        <w:gridCol w:w="1620"/>
        <w:gridCol w:w="1710"/>
        <w:gridCol w:w="1710"/>
      </w:tblGrid>
      <w:tr w:rsidR="00485478" w:rsidRPr="00610621">
        <w:trPr>
          <w:jc w:val="center"/>
        </w:trPr>
        <w:tc>
          <w:tcPr>
            <w:tcW w:w="1260" w:type="dxa"/>
            <w:shd w:val="clear" w:color="auto" w:fill="D9D9D9"/>
          </w:tcPr>
          <w:p w:rsidR="001015DE" w:rsidRPr="00610621" w:rsidRDefault="001015DE"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Institution</w:t>
            </w:r>
          </w:p>
        </w:tc>
        <w:tc>
          <w:tcPr>
            <w:tcW w:w="1620" w:type="dxa"/>
            <w:shd w:val="clear" w:color="auto" w:fill="D9D9D9"/>
          </w:tcPr>
          <w:p w:rsidR="001015DE" w:rsidRPr="00610621" w:rsidRDefault="001015DE"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 xml:space="preserve">No. </w:t>
            </w:r>
            <w:r w:rsidRPr="00610621">
              <w:rPr>
                <w:sz w:val="24"/>
                <w:szCs w:val="24"/>
              </w:rPr>
              <w:t>of applications reviewed @ 15 min. each</w:t>
            </w:r>
          </w:p>
        </w:tc>
        <w:tc>
          <w:tcPr>
            <w:tcW w:w="1530" w:type="dxa"/>
            <w:shd w:val="clear" w:color="auto" w:fill="D9D9D9"/>
          </w:tcPr>
          <w:p w:rsidR="00485478" w:rsidRDefault="001015DE" w:rsidP="001015D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xml:space="preserve">Clerk </w:t>
            </w:r>
          </w:p>
          <w:p w:rsidR="00AB7D59" w:rsidRDefault="001015DE" w:rsidP="001015D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w:t>
            </w:r>
            <w:r w:rsidRPr="00610621">
              <w:rPr>
                <w:sz w:val="24"/>
                <w:szCs w:val="24"/>
              </w:rPr>
              <w:t>GS-5/5</w:t>
            </w:r>
            <w:r w:rsidR="00485478">
              <w:rPr>
                <w:sz w:val="24"/>
                <w:szCs w:val="24"/>
              </w:rPr>
              <w:t>)</w:t>
            </w:r>
            <w:r w:rsidR="00AB7D59">
              <w:rPr>
                <w:vertAlign w:val="superscript"/>
              </w:rPr>
              <w:t xml:space="preserve"> 1</w:t>
            </w:r>
            <w:r w:rsidR="00485478">
              <w:rPr>
                <w:sz w:val="24"/>
                <w:szCs w:val="24"/>
              </w:rPr>
              <w:t xml:space="preserve"> </w:t>
            </w:r>
            <w:r w:rsidR="00A1166E">
              <w:rPr>
                <w:sz w:val="24"/>
                <w:szCs w:val="24"/>
              </w:rPr>
              <w:t>$15.20</w:t>
            </w:r>
            <w:r>
              <w:rPr>
                <w:sz w:val="24"/>
                <w:szCs w:val="24"/>
              </w:rPr>
              <w:t>/hr x 1.5 Benefits Multiplier</w:t>
            </w:r>
            <w:r w:rsidR="00AB7D59">
              <w:rPr>
                <w:vertAlign w:val="superscript"/>
              </w:rPr>
              <w:t>2</w:t>
            </w:r>
            <w:r>
              <w:rPr>
                <w:sz w:val="24"/>
                <w:szCs w:val="24"/>
              </w:rPr>
              <w:t xml:space="preserve"> </w:t>
            </w:r>
          </w:p>
          <w:p w:rsidR="001015DE" w:rsidRPr="00610621" w:rsidRDefault="001015DE" w:rsidP="001015D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$2</w:t>
            </w:r>
            <w:r w:rsidR="00A1166E">
              <w:rPr>
                <w:sz w:val="24"/>
                <w:szCs w:val="24"/>
              </w:rPr>
              <w:t>2.80</w:t>
            </w:r>
            <w:r>
              <w:rPr>
                <w:sz w:val="24"/>
                <w:szCs w:val="24"/>
              </w:rPr>
              <w:t>/h</w:t>
            </w:r>
            <w:r w:rsidRPr="00610621">
              <w:rPr>
                <w:sz w:val="24"/>
                <w:szCs w:val="24"/>
              </w:rPr>
              <w:t>r</w:t>
            </w:r>
          </w:p>
        </w:tc>
        <w:tc>
          <w:tcPr>
            <w:tcW w:w="1710" w:type="dxa"/>
            <w:shd w:val="clear" w:color="auto" w:fill="D9D9D9"/>
          </w:tcPr>
          <w:p w:rsidR="001015DE" w:rsidRPr="00610621" w:rsidRDefault="001015DE"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 xml:space="preserve">No. </w:t>
            </w:r>
            <w:r w:rsidRPr="00610621">
              <w:rPr>
                <w:sz w:val="24"/>
                <w:szCs w:val="24"/>
              </w:rPr>
              <w:t>of applications reviewed @ 15 min. each</w:t>
            </w:r>
          </w:p>
        </w:tc>
        <w:tc>
          <w:tcPr>
            <w:tcW w:w="1620" w:type="dxa"/>
            <w:shd w:val="clear" w:color="auto" w:fill="D9D9D9"/>
          </w:tcPr>
          <w:p w:rsidR="00AB7D59" w:rsidRDefault="001015DE" w:rsidP="001015D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Technician (</w:t>
            </w:r>
            <w:r w:rsidRPr="00610621">
              <w:rPr>
                <w:sz w:val="24"/>
                <w:szCs w:val="24"/>
              </w:rPr>
              <w:t>GS 7/5</w:t>
            </w:r>
            <w:r>
              <w:rPr>
                <w:sz w:val="24"/>
                <w:szCs w:val="24"/>
              </w:rPr>
              <w:t>)</w:t>
            </w:r>
            <w:r w:rsidRPr="00610621">
              <w:rPr>
                <w:sz w:val="24"/>
                <w:szCs w:val="24"/>
              </w:rPr>
              <w:t xml:space="preserve"> </w:t>
            </w:r>
            <w:r w:rsidR="00A1166E">
              <w:rPr>
                <w:sz w:val="24"/>
                <w:szCs w:val="24"/>
              </w:rPr>
              <w:t>$18.82</w:t>
            </w:r>
            <w:r>
              <w:rPr>
                <w:sz w:val="24"/>
                <w:szCs w:val="24"/>
              </w:rPr>
              <w:t xml:space="preserve">/hr x 1.5 </w:t>
            </w:r>
          </w:p>
          <w:p w:rsidR="001015DE" w:rsidRPr="00610621" w:rsidRDefault="001015DE" w:rsidP="00A1166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 $2</w:t>
            </w:r>
            <w:r w:rsidR="00A1166E">
              <w:rPr>
                <w:sz w:val="24"/>
                <w:szCs w:val="24"/>
              </w:rPr>
              <w:t>8.23</w:t>
            </w:r>
            <w:r w:rsidRPr="00610621">
              <w:rPr>
                <w:sz w:val="24"/>
                <w:szCs w:val="24"/>
              </w:rPr>
              <w:t>/hr</w:t>
            </w:r>
          </w:p>
        </w:tc>
        <w:tc>
          <w:tcPr>
            <w:tcW w:w="1710" w:type="dxa"/>
            <w:shd w:val="clear" w:color="auto" w:fill="D9D9D9"/>
          </w:tcPr>
          <w:p w:rsidR="001015DE" w:rsidRPr="00610621" w:rsidRDefault="00485478"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 xml:space="preserve">No. </w:t>
            </w:r>
            <w:r w:rsidRPr="00610621">
              <w:rPr>
                <w:sz w:val="24"/>
                <w:szCs w:val="24"/>
              </w:rPr>
              <w:t>of applications reviewed @ 15 min. each</w:t>
            </w:r>
          </w:p>
        </w:tc>
        <w:tc>
          <w:tcPr>
            <w:tcW w:w="1710" w:type="dxa"/>
            <w:shd w:val="clear" w:color="auto" w:fill="D9D9D9"/>
          </w:tcPr>
          <w:p w:rsidR="00485478" w:rsidRDefault="001015DE" w:rsidP="001015D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 xml:space="preserve">Analyst </w:t>
            </w:r>
          </w:p>
          <w:p w:rsidR="00AB7D59" w:rsidRDefault="001015DE" w:rsidP="00AB7D59">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w:t>
            </w:r>
            <w:r w:rsidRPr="00610621">
              <w:rPr>
                <w:sz w:val="24"/>
                <w:szCs w:val="24"/>
              </w:rPr>
              <w:t>GS 11/5</w:t>
            </w:r>
            <w:r w:rsidR="00485478">
              <w:rPr>
                <w:sz w:val="24"/>
                <w:szCs w:val="24"/>
              </w:rPr>
              <w:t xml:space="preserve">) </w:t>
            </w:r>
            <w:r>
              <w:rPr>
                <w:sz w:val="24"/>
                <w:szCs w:val="24"/>
              </w:rPr>
              <w:t>$27.</w:t>
            </w:r>
            <w:r w:rsidR="00A1166E">
              <w:rPr>
                <w:sz w:val="24"/>
                <w:szCs w:val="24"/>
              </w:rPr>
              <w:t>86</w:t>
            </w:r>
            <w:r w:rsidRPr="00610621">
              <w:rPr>
                <w:sz w:val="24"/>
                <w:szCs w:val="24"/>
              </w:rPr>
              <w:t>/h</w:t>
            </w:r>
            <w:r>
              <w:rPr>
                <w:sz w:val="24"/>
                <w:szCs w:val="24"/>
              </w:rPr>
              <w:t xml:space="preserve">r x 1.5 </w:t>
            </w:r>
          </w:p>
          <w:p w:rsidR="001015DE" w:rsidRPr="00610621" w:rsidRDefault="001015DE" w:rsidP="00A1166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w:t>
            </w:r>
            <w:r w:rsidR="00A1166E">
              <w:rPr>
                <w:sz w:val="24"/>
                <w:szCs w:val="24"/>
              </w:rPr>
              <w:t xml:space="preserve"> $41.79</w:t>
            </w:r>
            <w:r>
              <w:rPr>
                <w:sz w:val="24"/>
                <w:szCs w:val="24"/>
              </w:rPr>
              <w:t>/h</w:t>
            </w:r>
            <w:r w:rsidRPr="00610621">
              <w:rPr>
                <w:sz w:val="24"/>
                <w:szCs w:val="24"/>
              </w:rPr>
              <w:t>r</w:t>
            </w:r>
          </w:p>
        </w:tc>
      </w:tr>
      <w:tr w:rsidR="00485478" w:rsidRPr="00610621">
        <w:trPr>
          <w:jc w:val="center"/>
        </w:trPr>
        <w:tc>
          <w:tcPr>
            <w:tcW w:w="1260" w:type="dxa"/>
            <w:tcBorders>
              <w:bottom w:val="single" w:sz="4" w:space="0" w:color="auto"/>
            </w:tcBorders>
          </w:tcPr>
          <w:p w:rsidR="001015DE" w:rsidRPr="00610621" w:rsidRDefault="001015DE"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xml:space="preserve">SIPI </w:t>
            </w:r>
          </w:p>
        </w:tc>
        <w:tc>
          <w:tcPr>
            <w:tcW w:w="1620" w:type="dxa"/>
            <w:tcBorders>
              <w:bottom w:val="single" w:sz="4" w:space="0" w:color="auto"/>
            </w:tcBorders>
          </w:tcPr>
          <w:p w:rsidR="00AB7D59" w:rsidRDefault="00485478"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3000 x .25</w:t>
            </w:r>
            <w:r w:rsidR="001015DE" w:rsidRPr="00610621">
              <w:rPr>
                <w:sz w:val="24"/>
                <w:szCs w:val="24"/>
              </w:rPr>
              <w:t xml:space="preserve"> </w:t>
            </w:r>
          </w:p>
          <w:p w:rsidR="001015DE" w:rsidRPr="00610621" w:rsidRDefault="001015DE"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750 hrs</w:t>
            </w:r>
          </w:p>
        </w:tc>
        <w:tc>
          <w:tcPr>
            <w:tcW w:w="1530" w:type="dxa"/>
            <w:tcBorders>
              <w:bottom w:val="single" w:sz="4" w:space="0" w:color="auto"/>
            </w:tcBorders>
          </w:tcPr>
          <w:p w:rsidR="001015DE" w:rsidRPr="00610621" w:rsidRDefault="001015DE" w:rsidP="00A1166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xml:space="preserve">750 x </w:t>
            </w:r>
            <w:r>
              <w:rPr>
                <w:sz w:val="24"/>
                <w:szCs w:val="24"/>
              </w:rPr>
              <w:t>$</w:t>
            </w:r>
            <w:r w:rsidR="00A1166E" w:rsidRPr="00610621">
              <w:rPr>
                <w:sz w:val="24"/>
                <w:szCs w:val="24"/>
              </w:rPr>
              <w:t>2</w:t>
            </w:r>
            <w:r w:rsidR="00A1166E">
              <w:rPr>
                <w:sz w:val="24"/>
                <w:szCs w:val="24"/>
              </w:rPr>
              <w:t>2.80</w:t>
            </w:r>
            <w:r w:rsidRPr="00610621">
              <w:rPr>
                <w:sz w:val="24"/>
                <w:szCs w:val="24"/>
              </w:rPr>
              <w:t xml:space="preserve">= </w:t>
            </w:r>
            <w:r w:rsidR="00A1166E">
              <w:rPr>
                <w:b/>
                <w:sz w:val="24"/>
                <w:szCs w:val="24"/>
              </w:rPr>
              <w:t>$17,100.00</w:t>
            </w:r>
          </w:p>
        </w:tc>
        <w:tc>
          <w:tcPr>
            <w:tcW w:w="1710" w:type="dxa"/>
            <w:tcBorders>
              <w:bottom w:val="single" w:sz="4" w:space="0" w:color="auto"/>
            </w:tcBorders>
          </w:tcPr>
          <w:p w:rsidR="00AB7D59" w:rsidRDefault="001015DE" w:rsidP="00485478">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xml:space="preserve">3000 x </w:t>
            </w:r>
            <w:r w:rsidR="00485478">
              <w:rPr>
                <w:sz w:val="24"/>
                <w:szCs w:val="24"/>
              </w:rPr>
              <w:t xml:space="preserve">.25 </w:t>
            </w:r>
          </w:p>
          <w:p w:rsidR="001015DE" w:rsidRPr="00610621" w:rsidRDefault="001015DE" w:rsidP="00485478">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 750 hrs</w:t>
            </w:r>
          </w:p>
        </w:tc>
        <w:tc>
          <w:tcPr>
            <w:tcW w:w="1620" w:type="dxa"/>
            <w:tcBorders>
              <w:bottom w:val="single" w:sz="4" w:space="0" w:color="auto"/>
            </w:tcBorders>
          </w:tcPr>
          <w:p w:rsidR="001015DE" w:rsidRPr="00610621" w:rsidRDefault="00A1166E" w:rsidP="00A1166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750 x $28.23</w:t>
            </w:r>
            <w:r w:rsidR="001015DE">
              <w:rPr>
                <w:sz w:val="24"/>
                <w:szCs w:val="24"/>
              </w:rPr>
              <w:t xml:space="preserve"> = </w:t>
            </w:r>
            <w:r>
              <w:rPr>
                <w:b/>
                <w:sz w:val="24"/>
                <w:szCs w:val="24"/>
              </w:rPr>
              <w:t>$21,172.50</w:t>
            </w:r>
          </w:p>
        </w:tc>
        <w:tc>
          <w:tcPr>
            <w:tcW w:w="1710" w:type="dxa"/>
            <w:tcBorders>
              <w:bottom w:val="single" w:sz="4" w:space="0" w:color="auto"/>
            </w:tcBorders>
          </w:tcPr>
          <w:p w:rsidR="00AB7D59" w:rsidRDefault="001015DE" w:rsidP="00485478">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3</w:t>
            </w:r>
            <w:r w:rsidR="00485478">
              <w:rPr>
                <w:sz w:val="24"/>
                <w:szCs w:val="24"/>
              </w:rPr>
              <w:t>0</w:t>
            </w:r>
            <w:r w:rsidRPr="00610621">
              <w:rPr>
                <w:sz w:val="24"/>
                <w:szCs w:val="24"/>
              </w:rPr>
              <w:t xml:space="preserve">00 x </w:t>
            </w:r>
            <w:r w:rsidR="00485478">
              <w:rPr>
                <w:sz w:val="24"/>
                <w:szCs w:val="24"/>
              </w:rPr>
              <w:t>.25</w:t>
            </w:r>
            <w:r w:rsidRPr="00610621">
              <w:rPr>
                <w:sz w:val="24"/>
                <w:szCs w:val="24"/>
              </w:rPr>
              <w:t xml:space="preserve"> </w:t>
            </w:r>
          </w:p>
          <w:p w:rsidR="001015DE" w:rsidRPr="00610621" w:rsidRDefault="001015DE" w:rsidP="00485478">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610621">
              <w:rPr>
                <w:sz w:val="24"/>
                <w:szCs w:val="24"/>
              </w:rPr>
              <w:t>=</w:t>
            </w:r>
            <w:r w:rsidR="00485478">
              <w:rPr>
                <w:sz w:val="24"/>
                <w:szCs w:val="24"/>
              </w:rPr>
              <w:t xml:space="preserve"> 750 </w:t>
            </w:r>
            <w:r w:rsidRPr="00610621">
              <w:rPr>
                <w:sz w:val="24"/>
                <w:szCs w:val="24"/>
              </w:rPr>
              <w:t>hrs</w:t>
            </w:r>
          </w:p>
        </w:tc>
        <w:tc>
          <w:tcPr>
            <w:tcW w:w="1710" w:type="dxa"/>
            <w:tcBorders>
              <w:bottom w:val="single" w:sz="4" w:space="0" w:color="auto"/>
            </w:tcBorders>
          </w:tcPr>
          <w:p w:rsidR="001015DE" w:rsidRPr="00610621" w:rsidRDefault="00485478" w:rsidP="00A1166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750</w:t>
            </w:r>
            <w:r w:rsidR="001015DE" w:rsidRPr="00610621">
              <w:rPr>
                <w:sz w:val="24"/>
                <w:szCs w:val="24"/>
              </w:rPr>
              <w:t xml:space="preserve"> x </w:t>
            </w:r>
            <w:r w:rsidR="00A1166E">
              <w:rPr>
                <w:sz w:val="24"/>
                <w:szCs w:val="24"/>
              </w:rPr>
              <w:t>$41</w:t>
            </w:r>
            <w:r>
              <w:rPr>
                <w:sz w:val="24"/>
                <w:szCs w:val="24"/>
              </w:rPr>
              <w:t>.</w:t>
            </w:r>
            <w:r w:rsidR="00A1166E">
              <w:rPr>
                <w:sz w:val="24"/>
                <w:szCs w:val="24"/>
              </w:rPr>
              <w:t>79</w:t>
            </w:r>
            <w:r>
              <w:rPr>
                <w:sz w:val="24"/>
                <w:szCs w:val="24"/>
              </w:rPr>
              <w:t xml:space="preserve"> </w:t>
            </w:r>
            <w:r w:rsidR="001015DE" w:rsidRPr="00610621">
              <w:rPr>
                <w:sz w:val="24"/>
                <w:szCs w:val="24"/>
              </w:rPr>
              <w:t xml:space="preserve">= </w:t>
            </w:r>
            <w:r w:rsidR="001015DE" w:rsidRPr="00485478">
              <w:rPr>
                <w:b/>
                <w:sz w:val="24"/>
                <w:szCs w:val="24"/>
              </w:rPr>
              <w:t>$</w:t>
            </w:r>
            <w:r w:rsidR="00A1166E">
              <w:rPr>
                <w:b/>
                <w:sz w:val="24"/>
                <w:szCs w:val="24"/>
              </w:rPr>
              <w:t>31,342.50</w:t>
            </w:r>
          </w:p>
        </w:tc>
      </w:tr>
      <w:tr w:rsidR="00485478" w:rsidRPr="00610621">
        <w:trPr>
          <w:trHeight w:val="368"/>
          <w:jc w:val="center"/>
        </w:trPr>
        <w:tc>
          <w:tcPr>
            <w:tcW w:w="1260" w:type="dxa"/>
            <w:tcBorders>
              <w:right w:val="nil"/>
            </w:tcBorders>
          </w:tcPr>
          <w:p w:rsidR="00485478" w:rsidRPr="00485478" w:rsidRDefault="00485478"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r w:rsidRPr="00485478">
              <w:rPr>
                <w:b/>
                <w:sz w:val="24"/>
                <w:szCs w:val="24"/>
              </w:rPr>
              <w:t>Total</w:t>
            </w:r>
          </w:p>
        </w:tc>
        <w:tc>
          <w:tcPr>
            <w:tcW w:w="1620" w:type="dxa"/>
            <w:tcBorders>
              <w:left w:val="nil"/>
              <w:right w:val="nil"/>
            </w:tcBorders>
          </w:tcPr>
          <w:p w:rsidR="00485478" w:rsidRPr="00485478" w:rsidRDefault="00485478"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p>
        </w:tc>
        <w:tc>
          <w:tcPr>
            <w:tcW w:w="1530" w:type="dxa"/>
            <w:tcBorders>
              <w:left w:val="nil"/>
              <w:right w:val="nil"/>
            </w:tcBorders>
          </w:tcPr>
          <w:p w:rsidR="00485478" w:rsidRPr="00485478" w:rsidRDefault="00485478" w:rsidP="001015D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p>
        </w:tc>
        <w:tc>
          <w:tcPr>
            <w:tcW w:w="1710" w:type="dxa"/>
            <w:tcBorders>
              <w:left w:val="nil"/>
              <w:right w:val="nil"/>
            </w:tcBorders>
          </w:tcPr>
          <w:p w:rsidR="00485478" w:rsidRPr="00485478" w:rsidRDefault="00485478"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p>
        </w:tc>
        <w:tc>
          <w:tcPr>
            <w:tcW w:w="1620" w:type="dxa"/>
            <w:tcBorders>
              <w:left w:val="nil"/>
              <w:right w:val="nil"/>
            </w:tcBorders>
          </w:tcPr>
          <w:p w:rsidR="00485478" w:rsidRPr="00485478" w:rsidRDefault="00485478" w:rsidP="00E71A1D">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p>
        </w:tc>
        <w:tc>
          <w:tcPr>
            <w:tcW w:w="1710" w:type="dxa"/>
            <w:tcBorders>
              <w:left w:val="nil"/>
              <w:right w:val="nil"/>
            </w:tcBorders>
          </w:tcPr>
          <w:p w:rsidR="00485478" w:rsidRPr="00485478" w:rsidRDefault="00485478"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jc w:val="right"/>
              <w:rPr>
                <w:b/>
                <w:sz w:val="24"/>
                <w:szCs w:val="24"/>
              </w:rPr>
            </w:pPr>
          </w:p>
        </w:tc>
        <w:tc>
          <w:tcPr>
            <w:tcW w:w="1710" w:type="dxa"/>
            <w:tcBorders>
              <w:left w:val="nil"/>
            </w:tcBorders>
          </w:tcPr>
          <w:p w:rsidR="00485478" w:rsidRPr="00485478"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jc w:val="right"/>
              <w:rPr>
                <w:b/>
                <w:sz w:val="24"/>
                <w:szCs w:val="24"/>
              </w:rPr>
            </w:pPr>
            <w:r>
              <w:rPr>
                <w:b/>
                <w:sz w:val="24"/>
                <w:szCs w:val="24"/>
              </w:rPr>
              <w:t>= $</w:t>
            </w:r>
            <w:r w:rsidR="00A1166E">
              <w:rPr>
                <w:b/>
                <w:sz w:val="24"/>
                <w:szCs w:val="24"/>
              </w:rPr>
              <w:t>69,615</w:t>
            </w:r>
          </w:p>
        </w:tc>
      </w:tr>
    </w:tbl>
    <w:p w:rsidR="00610621" w:rsidRPr="00610621" w:rsidRDefault="00610621" w:rsidP="0061062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tbl>
      <w:tblPr>
        <w:tblStyle w:val="TableGrid"/>
        <w:tblpPr w:leftFromText="180" w:rightFromText="180" w:vertAnchor="text" w:horzAnchor="margin" w:tblpXSpec="center" w:tblpY="96"/>
        <w:tblW w:w="10098" w:type="dxa"/>
        <w:jc w:val="center"/>
        <w:tblLook w:val="01E0" w:firstRow="1" w:lastRow="1" w:firstColumn="1" w:lastColumn="1" w:noHBand="0" w:noVBand="0"/>
      </w:tblPr>
      <w:tblGrid>
        <w:gridCol w:w="1458"/>
        <w:gridCol w:w="2160"/>
        <w:gridCol w:w="2340"/>
        <w:gridCol w:w="2070"/>
        <w:gridCol w:w="2070"/>
      </w:tblGrid>
      <w:tr w:rsidR="00826FDB" w:rsidRPr="00610621">
        <w:trPr>
          <w:trHeight w:val="1052"/>
          <w:jc w:val="center"/>
        </w:trPr>
        <w:tc>
          <w:tcPr>
            <w:tcW w:w="1458" w:type="dxa"/>
            <w:shd w:val="clear" w:color="auto" w:fill="E0E0E0"/>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Institution</w:t>
            </w:r>
          </w:p>
        </w:tc>
        <w:tc>
          <w:tcPr>
            <w:tcW w:w="2160" w:type="dxa"/>
            <w:shd w:val="clear" w:color="auto" w:fill="E0E0E0"/>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No. of applications reviewed @ 30 min. each</w:t>
            </w:r>
          </w:p>
        </w:tc>
        <w:tc>
          <w:tcPr>
            <w:tcW w:w="2340" w:type="dxa"/>
            <w:shd w:val="clear" w:color="auto" w:fill="E0E0E0"/>
          </w:tcPr>
          <w:p w:rsidR="00AB7D59"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Clerk (GS 6/7)</w:t>
            </w:r>
            <w:r w:rsidR="00AB7D59">
              <w:rPr>
                <w:vertAlign w:val="superscript"/>
              </w:rPr>
              <w:t>1</w:t>
            </w:r>
            <w:r w:rsidR="00A1166E">
              <w:rPr>
                <w:sz w:val="24"/>
                <w:szCs w:val="24"/>
              </w:rPr>
              <w:t xml:space="preserve"> $17.97</w:t>
            </w:r>
            <w:r w:rsidRPr="00826FDB">
              <w:rPr>
                <w:sz w:val="24"/>
                <w:szCs w:val="24"/>
              </w:rPr>
              <w:t>/hr x 1.5 Benefits Multiplier</w:t>
            </w:r>
            <w:r w:rsidR="00AB7D59">
              <w:rPr>
                <w:vertAlign w:val="superscript"/>
              </w:rPr>
              <w:t>2</w:t>
            </w:r>
            <w:r w:rsidRPr="00826FDB">
              <w:rPr>
                <w:sz w:val="24"/>
                <w:szCs w:val="24"/>
              </w:rPr>
              <w:t xml:space="preserve"> </w:t>
            </w:r>
          </w:p>
          <w:p w:rsidR="00826FDB" w:rsidRPr="00826FDB" w:rsidRDefault="00A1166E"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 $26.91</w:t>
            </w:r>
            <w:r w:rsidR="00826FDB" w:rsidRPr="00826FDB">
              <w:rPr>
                <w:sz w:val="24"/>
                <w:szCs w:val="24"/>
              </w:rPr>
              <w:t>/hr</w:t>
            </w:r>
          </w:p>
        </w:tc>
        <w:tc>
          <w:tcPr>
            <w:tcW w:w="2070" w:type="dxa"/>
            <w:shd w:val="clear" w:color="auto" w:fill="E0E0E0"/>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No. of applications reviewed @ 30 min. each</w:t>
            </w:r>
          </w:p>
        </w:tc>
        <w:tc>
          <w:tcPr>
            <w:tcW w:w="2070" w:type="dxa"/>
            <w:shd w:val="clear" w:color="auto" w:fill="E0E0E0"/>
          </w:tcPr>
          <w:p w:rsidR="00AB7D59"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 xml:space="preserve">Analyst </w:t>
            </w:r>
          </w:p>
          <w:p w:rsidR="00826FDB" w:rsidRDefault="00A1166E"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(GS 12/7) $35.36</w:t>
            </w:r>
            <w:r w:rsidR="00826FDB" w:rsidRPr="00826FDB">
              <w:rPr>
                <w:sz w:val="24"/>
                <w:szCs w:val="24"/>
              </w:rPr>
              <w:t>/hr x 1.5</w:t>
            </w:r>
          </w:p>
          <w:p w:rsidR="00826FDB" w:rsidRPr="00826FDB" w:rsidRDefault="00826FDB" w:rsidP="00A1166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 $5</w:t>
            </w:r>
            <w:r w:rsidR="00A1166E">
              <w:rPr>
                <w:sz w:val="24"/>
                <w:szCs w:val="24"/>
              </w:rPr>
              <w:t>3.04</w:t>
            </w:r>
            <w:r w:rsidRPr="00826FDB">
              <w:rPr>
                <w:sz w:val="24"/>
                <w:szCs w:val="24"/>
              </w:rPr>
              <w:t>/hr</w:t>
            </w:r>
          </w:p>
        </w:tc>
      </w:tr>
      <w:tr w:rsidR="00826FDB" w:rsidRPr="00610621">
        <w:trPr>
          <w:trHeight w:val="557"/>
          <w:jc w:val="center"/>
        </w:trPr>
        <w:tc>
          <w:tcPr>
            <w:tcW w:w="1458" w:type="dxa"/>
            <w:tcBorders>
              <w:bottom w:val="single" w:sz="4" w:space="0" w:color="auto"/>
            </w:tcBorders>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Haskell</w:t>
            </w:r>
          </w:p>
        </w:tc>
        <w:tc>
          <w:tcPr>
            <w:tcW w:w="2160" w:type="dxa"/>
            <w:tcBorders>
              <w:bottom w:val="single" w:sz="4" w:space="0" w:color="auto"/>
            </w:tcBorders>
          </w:tcPr>
          <w:p w:rsid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 xml:space="preserve">1000 x .5 hour </w:t>
            </w:r>
          </w:p>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 500 hours</w:t>
            </w:r>
          </w:p>
        </w:tc>
        <w:tc>
          <w:tcPr>
            <w:tcW w:w="2340" w:type="dxa"/>
            <w:tcBorders>
              <w:bottom w:val="single" w:sz="4" w:space="0" w:color="auto"/>
            </w:tcBorders>
          </w:tcPr>
          <w:p w:rsidR="00826FDB" w:rsidRDefault="00A1166E"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500  x $26.91</w:t>
            </w:r>
          </w:p>
          <w:p w:rsidR="00826FDB" w:rsidRPr="00826FDB" w:rsidRDefault="00A2303E"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r>
              <w:rPr>
                <w:b/>
                <w:sz w:val="24"/>
                <w:szCs w:val="24"/>
              </w:rPr>
              <w:t>= $13,455</w:t>
            </w:r>
          </w:p>
        </w:tc>
        <w:tc>
          <w:tcPr>
            <w:tcW w:w="2070" w:type="dxa"/>
            <w:tcBorders>
              <w:bottom w:val="single" w:sz="4" w:space="0" w:color="auto"/>
            </w:tcBorders>
          </w:tcPr>
          <w:p w:rsid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 xml:space="preserve">1000 x .5 hour </w:t>
            </w:r>
          </w:p>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sidRPr="00826FDB">
              <w:rPr>
                <w:sz w:val="24"/>
                <w:szCs w:val="24"/>
              </w:rPr>
              <w:t>= 500 hours</w:t>
            </w:r>
          </w:p>
        </w:tc>
        <w:tc>
          <w:tcPr>
            <w:tcW w:w="2070" w:type="dxa"/>
            <w:tcBorders>
              <w:bottom w:val="single" w:sz="4" w:space="0" w:color="auto"/>
            </w:tcBorders>
          </w:tcPr>
          <w:p w:rsidR="00826FDB" w:rsidRDefault="00A1166E"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500 x $53.04</w:t>
            </w:r>
          </w:p>
          <w:p w:rsidR="00826FDB" w:rsidRPr="00826FDB" w:rsidRDefault="00A2303E" w:rsidP="00A2303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r>
              <w:rPr>
                <w:b/>
                <w:sz w:val="24"/>
                <w:szCs w:val="24"/>
              </w:rPr>
              <w:t>= $26,520</w:t>
            </w:r>
          </w:p>
        </w:tc>
      </w:tr>
      <w:tr w:rsidR="00826FDB" w:rsidRPr="00610621">
        <w:trPr>
          <w:trHeight w:val="350"/>
          <w:jc w:val="center"/>
        </w:trPr>
        <w:tc>
          <w:tcPr>
            <w:tcW w:w="1458" w:type="dxa"/>
            <w:tcBorders>
              <w:right w:val="nil"/>
            </w:tcBorders>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b/>
                <w:sz w:val="24"/>
                <w:szCs w:val="24"/>
              </w:rPr>
            </w:pPr>
            <w:r w:rsidRPr="00826FDB">
              <w:rPr>
                <w:b/>
                <w:sz w:val="24"/>
                <w:szCs w:val="24"/>
              </w:rPr>
              <w:t>Total</w:t>
            </w:r>
          </w:p>
        </w:tc>
        <w:tc>
          <w:tcPr>
            <w:tcW w:w="2160" w:type="dxa"/>
            <w:tcBorders>
              <w:left w:val="nil"/>
              <w:right w:val="nil"/>
            </w:tcBorders>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tc>
        <w:tc>
          <w:tcPr>
            <w:tcW w:w="2340" w:type="dxa"/>
            <w:tcBorders>
              <w:left w:val="nil"/>
              <w:right w:val="nil"/>
            </w:tcBorders>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tc>
        <w:tc>
          <w:tcPr>
            <w:tcW w:w="2070" w:type="dxa"/>
            <w:tcBorders>
              <w:left w:val="nil"/>
              <w:right w:val="nil"/>
            </w:tcBorders>
          </w:tcPr>
          <w:p w:rsidR="00826FDB" w:rsidRPr="00826FDB" w:rsidRDefault="00826FDB" w:rsidP="00826FDB">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tc>
        <w:tc>
          <w:tcPr>
            <w:tcW w:w="2070" w:type="dxa"/>
            <w:tcBorders>
              <w:left w:val="nil"/>
            </w:tcBorders>
          </w:tcPr>
          <w:p w:rsidR="00826FDB" w:rsidRPr="00826FDB" w:rsidRDefault="00A2303E" w:rsidP="00A2303E">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jc w:val="right"/>
              <w:rPr>
                <w:b/>
                <w:sz w:val="24"/>
                <w:szCs w:val="24"/>
              </w:rPr>
            </w:pPr>
            <w:r>
              <w:rPr>
                <w:b/>
                <w:sz w:val="24"/>
                <w:szCs w:val="24"/>
              </w:rPr>
              <w:t>= $39,975</w:t>
            </w:r>
          </w:p>
        </w:tc>
      </w:tr>
    </w:tbl>
    <w:p w:rsidR="00610621" w:rsidRPr="00610621" w:rsidRDefault="00610621" w:rsidP="00610621">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00826FDB" w:rsidRDefault="00826FDB" w:rsidP="00826FDB">
      <w:pPr>
        <w:pStyle w:val="FootnoteText"/>
        <w:ind w:left="300"/>
        <w:rPr>
          <w:rFonts w:ascii="Times New Roman" w:hAnsi="Times New Roman"/>
        </w:rPr>
      </w:pPr>
      <w:r>
        <w:rPr>
          <w:vertAlign w:val="superscript"/>
        </w:rPr>
        <w:t>1</w:t>
      </w:r>
      <w:r>
        <w:rPr>
          <w:rFonts w:ascii="Times New Roman" w:hAnsi="Times New Roman"/>
        </w:rPr>
        <w:t xml:space="preserve">The salary associated with this grade and step is based on the General Schedule 2011.  </w:t>
      </w:r>
    </w:p>
    <w:p w:rsidR="00826FDB" w:rsidRDefault="00826FDB" w:rsidP="00A2303E">
      <w:pPr>
        <w:pStyle w:val="FootnoteText"/>
        <w:ind w:left="270"/>
        <w:rPr>
          <w:rFonts w:ascii="Times New Roman" w:hAnsi="Times New Roman"/>
        </w:rPr>
      </w:pPr>
      <w:r>
        <w:rPr>
          <w:vertAlign w:val="superscript"/>
        </w:rPr>
        <w:t>2</w:t>
      </w:r>
      <w:r>
        <w:rPr>
          <w:rFonts w:ascii="Times New Roman" w:hAnsi="Times New Roman"/>
        </w:rPr>
        <w:t>This salary, multiplied by 1.5 to cover benefits</w:t>
      </w:r>
      <w:r w:rsidR="00A2303E">
        <w:rPr>
          <w:rFonts w:ascii="Times New Roman" w:hAnsi="Times New Roman"/>
        </w:rPr>
        <w:t>, was</w:t>
      </w:r>
      <w:r>
        <w:rPr>
          <w:rFonts w:ascii="Times New Roman" w:hAnsi="Times New Roman"/>
        </w:rPr>
        <w:t xml:space="preserve"> inferred from the Bureau of Labor Statistics, Employer Costs for Employee Compensation – </w:t>
      </w:r>
      <w:r w:rsidR="00A2303E">
        <w:rPr>
          <w:rFonts w:ascii="Times New Roman" w:hAnsi="Times New Roman"/>
        </w:rPr>
        <w:t>March 2015; USDL 15-1132</w:t>
      </w:r>
      <w:r>
        <w:rPr>
          <w:rFonts w:ascii="Times New Roman" w:hAnsi="Times New Roman"/>
        </w:rPr>
        <w:t>.</w:t>
      </w:r>
    </w:p>
    <w:p w:rsidR="00826FDB" w:rsidRDefault="00826FDB" w:rsidP="00826FD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rPr>
      </w:pPr>
    </w:p>
    <w:p w:rsidR="00826FDB" w:rsidRPr="00027C45" w:rsidRDefault="00826FDB" w:rsidP="00826FD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27C45">
        <w:rPr>
          <w:bCs/>
          <w:sz w:val="24"/>
          <w:szCs w:val="24"/>
        </w:rPr>
        <w:t>The total estimated annualized cost t</w:t>
      </w:r>
      <w:r w:rsidR="00A2303E">
        <w:rPr>
          <w:bCs/>
          <w:sz w:val="24"/>
          <w:szCs w:val="24"/>
        </w:rPr>
        <w:t>o the Federal government is $109,590</w:t>
      </w:r>
      <w:r w:rsidRPr="00027C45">
        <w:rPr>
          <w:bCs/>
          <w:sz w:val="24"/>
          <w:szCs w:val="24"/>
        </w:rPr>
        <w:t>.</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15.</w:t>
      </w:r>
      <w:r w:rsidRPr="00027C45">
        <w:rPr>
          <w:b/>
          <w:sz w:val="24"/>
          <w:szCs w:val="24"/>
        </w:rPr>
        <w:tab/>
        <w:t>Explain the reasons for any program changes or adjustments in hour or cost burden.</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27C45" w:rsidRDefault="0027480C"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Pr>
          <w:bCs/>
          <w:sz w:val="24"/>
          <w:szCs w:val="24"/>
        </w:rPr>
        <w:lastRenderedPageBreak/>
        <w:t xml:space="preserve">Adjustments were made to the non-hour cost burden, increasing from </w:t>
      </w:r>
      <w:r w:rsidR="00CE7319">
        <w:rPr>
          <w:bCs/>
          <w:sz w:val="24"/>
          <w:szCs w:val="24"/>
        </w:rPr>
        <w:t>$</w:t>
      </w:r>
      <w:r>
        <w:rPr>
          <w:bCs/>
          <w:sz w:val="24"/>
          <w:szCs w:val="24"/>
        </w:rPr>
        <w:t xml:space="preserve">12,240 to </w:t>
      </w:r>
      <w:r w:rsidR="00CE7319">
        <w:rPr>
          <w:bCs/>
          <w:sz w:val="24"/>
          <w:szCs w:val="24"/>
        </w:rPr>
        <w:t>$</w:t>
      </w:r>
      <w:r>
        <w:rPr>
          <w:bCs/>
          <w:sz w:val="24"/>
          <w:szCs w:val="24"/>
        </w:rPr>
        <w:t>12,360.  This change reflects t</w:t>
      </w:r>
      <w:r w:rsidR="003B34EA">
        <w:rPr>
          <w:bCs/>
          <w:sz w:val="24"/>
          <w:szCs w:val="24"/>
        </w:rPr>
        <w:t>he increase in cost for stamps.</w:t>
      </w:r>
      <w:bookmarkStart w:id="0" w:name="_GoBack"/>
      <w:bookmarkEnd w:id="0"/>
    </w:p>
    <w:p w:rsidR="00490BEA" w:rsidRDefault="00490BEA"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16.</w:t>
      </w:r>
      <w:r w:rsidRPr="00027C45">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A6CA0" w:rsidRDefault="00027C45" w:rsidP="005850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027C45">
        <w:rPr>
          <w:bCs/>
          <w:sz w:val="24"/>
          <w:szCs w:val="24"/>
        </w:rPr>
        <w:t>The information c</w:t>
      </w:r>
      <w:r w:rsidR="00E33834">
        <w:rPr>
          <w:bCs/>
          <w:sz w:val="24"/>
          <w:szCs w:val="24"/>
        </w:rPr>
        <w:t>ollection may be</w:t>
      </w:r>
      <w:r w:rsidR="00610621">
        <w:rPr>
          <w:bCs/>
          <w:sz w:val="24"/>
          <w:szCs w:val="24"/>
        </w:rPr>
        <w:t xml:space="preserve"> used to for budget and planning purposes</w:t>
      </w:r>
      <w:r w:rsidR="00E33834">
        <w:rPr>
          <w:bCs/>
          <w:sz w:val="24"/>
          <w:szCs w:val="24"/>
        </w:rPr>
        <w:t>, but individual persons will not be identifiable.</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27C45">
        <w:rPr>
          <w:b/>
          <w:sz w:val="24"/>
          <w:szCs w:val="24"/>
        </w:rPr>
        <w:t>17.</w:t>
      </w:r>
      <w:r w:rsidRPr="00027C45">
        <w:rPr>
          <w:b/>
          <w:sz w:val="24"/>
          <w:szCs w:val="24"/>
        </w:rPr>
        <w:tab/>
        <w:t>If seeking approval to not display the expiration date for OMB approval of the information collection, explain the reasons that display would be inappropriate.</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027C45" w:rsidRPr="00027C45" w:rsidRDefault="00027C45" w:rsidP="005850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027C45">
        <w:rPr>
          <w:sz w:val="24"/>
          <w:szCs w:val="24"/>
        </w:rPr>
        <w:t>We intend to display the OMB Control Number and the expiration date.</w:t>
      </w: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027C45">
        <w:rPr>
          <w:b/>
          <w:sz w:val="24"/>
          <w:szCs w:val="24"/>
        </w:rPr>
        <w:t>18.</w:t>
      </w:r>
      <w:r w:rsidRPr="00027C45">
        <w:rPr>
          <w:b/>
          <w:sz w:val="24"/>
          <w:szCs w:val="24"/>
        </w:rPr>
        <w:tab/>
        <w:t>Explain each exception to the topics of the certification statement identified in "Certification for Paperwork Reduction Act Submissions."</w:t>
      </w:r>
    </w:p>
    <w:p w:rsid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00027C45" w:rsidRPr="00027C45" w:rsidRDefault="00027C45" w:rsidP="00027C4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27C45">
        <w:rPr>
          <w:sz w:val="24"/>
          <w:szCs w:val="24"/>
        </w:rPr>
        <w:t>We are not seeking any exceptions to the certification statement.</w:t>
      </w:r>
    </w:p>
    <w:p w:rsidR="00E33834" w:rsidRDefault="00E33834"/>
    <w:p w:rsidR="00851D2D" w:rsidRDefault="00851D2D"/>
    <w:sectPr w:rsidR="00851D2D" w:rsidSect="00D735D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5C" w:rsidRDefault="00EB055C" w:rsidP="00AF7941">
      <w:r>
        <w:separator/>
      </w:r>
    </w:p>
  </w:endnote>
  <w:endnote w:type="continuationSeparator" w:id="0">
    <w:p w:rsidR="00EB055C" w:rsidRDefault="00EB055C" w:rsidP="00AF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5360"/>
      <w:docPartObj>
        <w:docPartGallery w:val="Page Numbers (Bottom of Page)"/>
        <w:docPartUnique/>
      </w:docPartObj>
    </w:sdtPr>
    <w:sdtEndPr/>
    <w:sdtContent>
      <w:p w:rsidR="00E71A1D" w:rsidRDefault="00EB055C">
        <w:pPr>
          <w:pStyle w:val="Footer"/>
          <w:jc w:val="center"/>
        </w:pPr>
        <w:r>
          <w:fldChar w:fldCharType="begin"/>
        </w:r>
        <w:r>
          <w:instrText xml:space="preserve"> PAGE   \* MERGEFORMAT </w:instrText>
        </w:r>
        <w:r>
          <w:fldChar w:fldCharType="separate"/>
        </w:r>
        <w:r w:rsidR="00CE7319">
          <w:rPr>
            <w:noProof/>
          </w:rPr>
          <w:t>2</w:t>
        </w:r>
        <w:r>
          <w:rPr>
            <w:noProof/>
          </w:rPr>
          <w:fldChar w:fldCharType="end"/>
        </w:r>
      </w:p>
    </w:sdtContent>
  </w:sdt>
  <w:p w:rsidR="00E71A1D" w:rsidRDefault="00E71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5C" w:rsidRDefault="00EB055C" w:rsidP="00AF7941">
      <w:r>
        <w:separator/>
      </w:r>
    </w:p>
  </w:footnote>
  <w:footnote w:type="continuationSeparator" w:id="0">
    <w:p w:rsidR="00EB055C" w:rsidRDefault="00EB055C" w:rsidP="00AF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61C"/>
    <w:multiLevelType w:val="hybridMultilevel"/>
    <w:tmpl w:val="0FA6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40150"/>
    <w:multiLevelType w:val="hybridMultilevel"/>
    <w:tmpl w:val="FD5E8DEE"/>
    <w:lvl w:ilvl="0" w:tplc="4538E0B4">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45"/>
    <w:rsid w:val="00027C45"/>
    <w:rsid w:val="00060845"/>
    <w:rsid w:val="00064A85"/>
    <w:rsid w:val="00075F94"/>
    <w:rsid w:val="00085675"/>
    <w:rsid w:val="001015DE"/>
    <w:rsid w:val="0010462D"/>
    <w:rsid w:val="00141B21"/>
    <w:rsid w:val="001A6CA0"/>
    <w:rsid w:val="001C5736"/>
    <w:rsid w:val="001E3EC6"/>
    <w:rsid w:val="0021526F"/>
    <w:rsid w:val="00216979"/>
    <w:rsid w:val="00220556"/>
    <w:rsid w:val="00231688"/>
    <w:rsid w:val="0026604F"/>
    <w:rsid w:val="0027480C"/>
    <w:rsid w:val="0028152E"/>
    <w:rsid w:val="002E77C8"/>
    <w:rsid w:val="0030197B"/>
    <w:rsid w:val="00322A4D"/>
    <w:rsid w:val="003262CC"/>
    <w:rsid w:val="003618F9"/>
    <w:rsid w:val="003B34EA"/>
    <w:rsid w:val="003C4440"/>
    <w:rsid w:val="00407467"/>
    <w:rsid w:val="004503F3"/>
    <w:rsid w:val="00485478"/>
    <w:rsid w:val="00490BEA"/>
    <w:rsid w:val="00494DEF"/>
    <w:rsid w:val="00501425"/>
    <w:rsid w:val="00504470"/>
    <w:rsid w:val="00542ECE"/>
    <w:rsid w:val="00553270"/>
    <w:rsid w:val="00557305"/>
    <w:rsid w:val="00574916"/>
    <w:rsid w:val="0058509A"/>
    <w:rsid w:val="005B5719"/>
    <w:rsid w:val="005D3F1F"/>
    <w:rsid w:val="005F43D8"/>
    <w:rsid w:val="00610621"/>
    <w:rsid w:val="0062089A"/>
    <w:rsid w:val="006629B5"/>
    <w:rsid w:val="006D769C"/>
    <w:rsid w:val="006F3B8C"/>
    <w:rsid w:val="00702BEB"/>
    <w:rsid w:val="0072222D"/>
    <w:rsid w:val="00732833"/>
    <w:rsid w:val="00733858"/>
    <w:rsid w:val="00770ED7"/>
    <w:rsid w:val="007A4502"/>
    <w:rsid w:val="00804D69"/>
    <w:rsid w:val="00826FDB"/>
    <w:rsid w:val="00851D2D"/>
    <w:rsid w:val="008846D0"/>
    <w:rsid w:val="008A4704"/>
    <w:rsid w:val="008B066E"/>
    <w:rsid w:val="008F7A47"/>
    <w:rsid w:val="009079D8"/>
    <w:rsid w:val="00952950"/>
    <w:rsid w:val="009A1A51"/>
    <w:rsid w:val="00A1166E"/>
    <w:rsid w:val="00A20B05"/>
    <w:rsid w:val="00A2303E"/>
    <w:rsid w:val="00A469DD"/>
    <w:rsid w:val="00A93373"/>
    <w:rsid w:val="00AA4531"/>
    <w:rsid w:val="00AB73DF"/>
    <w:rsid w:val="00AB7D59"/>
    <w:rsid w:val="00AC5E18"/>
    <w:rsid w:val="00AF7941"/>
    <w:rsid w:val="00B64C70"/>
    <w:rsid w:val="00B849B7"/>
    <w:rsid w:val="00B92318"/>
    <w:rsid w:val="00BF11AE"/>
    <w:rsid w:val="00C40C22"/>
    <w:rsid w:val="00C4773D"/>
    <w:rsid w:val="00CC0A99"/>
    <w:rsid w:val="00CE3D33"/>
    <w:rsid w:val="00CE7319"/>
    <w:rsid w:val="00CF0961"/>
    <w:rsid w:val="00D01047"/>
    <w:rsid w:val="00D25371"/>
    <w:rsid w:val="00D735D0"/>
    <w:rsid w:val="00D90CFF"/>
    <w:rsid w:val="00D9167D"/>
    <w:rsid w:val="00DC0E6B"/>
    <w:rsid w:val="00E267FD"/>
    <w:rsid w:val="00E33834"/>
    <w:rsid w:val="00E71A1D"/>
    <w:rsid w:val="00EB055C"/>
    <w:rsid w:val="00ED082B"/>
    <w:rsid w:val="00EE7533"/>
    <w:rsid w:val="00F006D2"/>
    <w:rsid w:val="00F14F78"/>
    <w:rsid w:val="00F35760"/>
    <w:rsid w:val="00F4419A"/>
    <w:rsid w:val="00F56559"/>
    <w:rsid w:val="00FE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4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45"/>
    <w:rPr>
      <w:color w:val="0000FF"/>
      <w:u w:val="single"/>
    </w:rPr>
  </w:style>
  <w:style w:type="character" w:styleId="FootnoteReference">
    <w:name w:val="footnote reference"/>
    <w:basedOn w:val="DefaultParagraphFont"/>
    <w:uiPriority w:val="99"/>
    <w:semiHidden/>
    <w:unhideWhenUsed/>
    <w:rsid w:val="00027C45"/>
    <w:rPr>
      <w:vertAlign w:val="superscript"/>
    </w:rPr>
  </w:style>
  <w:style w:type="table" w:styleId="TableGrid">
    <w:name w:val="Table Grid"/>
    <w:basedOn w:val="TableNormal"/>
    <w:uiPriority w:val="99"/>
    <w:rsid w:val="00027C45"/>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7C45"/>
    <w:pPr>
      <w:widowControl/>
      <w:autoSpaceDE/>
      <w:autoSpaceDN/>
      <w:adjustRightInd/>
    </w:pPr>
    <w:rPr>
      <w:rFonts w:ascii="Book Antiqua" w:hAnsi="Book Antiqua"/>
      <w:sz w:val="24"/>
      <w:szCs w:val="24"/>
    </w:rPr>
  </w:style>
  <w:style w:type="character" w:customStyle="1" w:styleId="FootnoteTextChar">
    <w:name w:val="Footnote Text Char"/>
    <w:basedOn w:val="DefaultParagraphFont"/>
    <w:link w:val="FootnoteText"/>
    <w:uiPriority w:val="99"/>
    <w:rsid w:val="00027C45"/>
    <w:rPr>
      <w:rFonts w:ascii="Book Antiqua" w:eastAsia="Times New Roman" w:hAnsi="Book Antiqua" w:cs="Times New Roman"/>
      <w:sz w:val="24"/>
      <w:szCs w:val="24"/>
    </w:rPr>
  </w:style>
  <w:style w:type="character" w:styleId="FollowedHyperlink">
    <w:name w:val="FollowedHyperlink"/>
    <w:basedOn w:val="DefaultParagraphFont"/>
    <w:uiPriority w:val="99"/>
    <w:semiHidden/>
    <w:unhideWhenUsed/>
    <w:rsid w:val="0021526F"/>
    <w:rPr>
      <w:color w:val="800080" w:themeColor="followedHyperlink"/>
      <w:u w:val="single"/>
    </w:rPr>
  </w:style>
  <w:style w:type="paragraph" w:styleId="ListParagraph">
    <w:name w:val="List Paragraph"/>
    <w:basedOn w:val="Normal"/>
    <w:uiPriority w:val="34"/>
    <w:qFormat/>
    <w:rsid w:val="00851D2D"/>
    <w:pPr>
      <w:widowControl/>
      <w:autoSpaceDE/>
      <w:autoSpaceDN/>
      <w:adjustRightInd/>
      <w:ind w:left="720"/>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AF7941"/>
    <w:pPr>
      <w:tabs>
        <w:tab w:val="center" w:pos="4680"/>
        <w:tab w:val="right" w:pos="9360"/>
      </w:tabs>
    </w:pPr>
  </w:style>
  <w:style w:type="character" w:customStyle="1" w:styleId="HeaderChar">
    <w:name w:val="Header Char"/>
    <w:basedOn w:val="DefaultParagraphFont"/>
    <w:link w:val="Header"/>
    <w:uiPriority w:val="99"/>
    <w:semiHidden/>
    <w:rsid w:val="00AF79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941"/>
    <w:pPr>
      <w:tabs>
        <w:tab w:val="center" w:pos="4680"/>
        <w:tab w:val="right" w:pos="9360"/>
      </w:tabs>
    </w:pPr>
  </w:style>
  <w:style w:type="character" w:customStyle="1" w:styleId="FooterChar">
    <w:name w:val="Footer Char"/>
    <w:basedOn w:val="DefaultParagraphFont"/>
    <w:link w:val="Footer"/>
    <w:uiPriority w:val="99"/>
    <w:rsid w:val="00AF794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4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45"/>
    <w:rPr>
      <w:color w:val="0000FF"/>
      <w:u w:val="single"/>
    </w:rPr>
  </w:style>
  <w:style w:type="character" w:styleId="FootnoteReference">
    <w:name w:val="footnote reference"/>
    <w:basedOn w:val="DefaultParagraphFont"/>
    <w:uiPriority w:val="99"/>
    <w:semiHidden/>
    <w:unhideWhenUsed/>
    <w:rsid w:val="00027C45"/>
    <w:rPr>
      <w:vertAlign w:val="superscript"/>
    </w:rPr>
  </w:style>
  <w:style w:type="table" w:styleId="TableGrid">
    <w:name w:val="Table Grid"/>
    <w:basedOn w:val="TableNormal"/>
    <w:uiPriority w:val="99"/>
    <w:rsid w:val="00027C45"/>
    <w:pPr>
      <w:widowControl w:val="0"/>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27C45"/>
    <w:pPr>
      <w:widowControl/>
      <w:autoSpaceDE/>
      <w:autoSpaceDN/>
      <w:adjustRightInd/>
    </w:pPr>
    <w:rPr>
      <w:rFonts w:ascii="Book Antiqua" w:hAnsi="Book Antiqua"/>
      <w:sz w:val="24"/>
      <w:szCs w:val="24"/>
    </w:rPr>
  </w:style>
  <w:style w:type="character" w:customStyle="1" w:styleId="FootnoteTextChar">
    <w:name w:val="Footnote Text Char"/>
    <w:basedOn w:val="DefaultParagraphFont"/>
    <w:link w:val="FootnoteText"/>
    <w:uiPriority w:val="99"/>
    <w:rsid w:val="00027C45"/>
    <w:rPr>
      <w:rFonts w:ascii="Book Antiqua" w:eastAsia="Times New Roman" w:hAnsi="Book Antiqua" w:cs="Times New Roman"/>
      <w:sz w:val="24"/>
      <w:szCs w:val="24"/>
    </w:rPr>
  </w:style>
  <w:style w:type="character" w:styleId="FollowedHyperlink">
    <w:name w:val="FollowedHyperlink"/>
    <w:basedOn w:val="DefaultParagraphFont"/>
    <w:uiPriority w:val="99"/>
    <w:semiHidden/>
    <w:unhideWhenUsed/>
    <w:rsid w:val="0021526F"/>
    <w:rPr>
      <w:color w:val="800080" w:themeColor="followedHyperlink"/>
      <w:u w:val="single"/>
    </w:rPr>
  </w:style>
  <w:style w:type="paragraph" w:styleId="ListParagraph">
    <w:name w:val="List Paragraph"/>
    <w:basedOn w:val="Normal"/>
    <w:uiPriority w:val="34"/>
    <w:qFormat/>
    <w:rsid w:val="00851D2D"/>
    <w:pPr>
      <w:widowControl/>
      <w:autoSpaceDE/>
      <w:autoSpaceDN/>
      <w:adjustRightInd/>
      <w:ind w:left="720"/>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AF7941"/>
    <w:pPr>
      <w:tabs>
        <w:tab w:val="center" w:pos="4680"/>
        <w:tab w:val="right" w:pos="9360"/>
      </w:tabs>
    </w:pPr>
  </w:style>
  <w:style w:type="character" w:customStyle="1" w:styleId="HeaderChar">
    <w:name w:val="Header Char"/>
    <w:basedOn w:val="DefaultParagraphFont"/>
    <w:link w:val="Header"/>
    <w:uiPriority w:val="99"/>
    <w:semiHidden/>
    <w:rsid w:val="00AF794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941"/>
    <w:pPr>
      <w:tabs>
        <w:tab w:val="center" w:pos="4680"/>
        <w:tab w:val="right" w:pos="9360"/>
      </w:tabs>
    </w:pPr>
  </w:style>
  <w:style w:type="character" w:customStyle="1" w:styleId="FooterChar">
    <w:name w:val="Footer Char"/>
    <w:basedOn w:val="DefaultParagraphFont"/>
    <w:link w:val="Footer"/>
    <w:uiPriority w:val="99"/>
    <w:rsid w:val="00AF79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51">
      <w:bodyDiv w:val="1"/>
      <w:marLeft w:val="0"/>
      <w:marRight w:val="0"/>
      <w:marTop w:val="0"/>
      <w:marBottom w:val="0"/>
      <w:divBdr>
        <w:top w:val="none" w:sz="0" w:space="0" w:color="auto"/>
        <w:left w:val="none" w:sz="0" w:space="0" w:color="auto"/>
        <w:bottom w:val="none" w:sz="0" w:space="0" w:color="auto"/>
        <w:right w:val="none" w:sz="0" w:space="0" w:color="auto"/>
      </w:divBdr>
    </w:div>
    <w:div w:id="171261455">
      <w:bodyDiv w:val="1"/>
      <w:marLeft w:val="0"/>
      <w:marRight w:val="0"/>
      <w:marTop w:val="0"/>
      <w:marBottom w:val="0"/>
      <w:divBdr>
        <w:top w:val="none" w:sz="0" w:space="0" w:color="auto"/>
        <w:left w:val="none" w:sz="0" w:space="0" w:color="auto"/>
        <w:bottom w:val="none" w:sz="0" w:space="0" w:color="auto"/>
        <w:right w:val="none" w:sz="0" w:space="0" w:color="auto"/>
      </w:divBdr>
    </w:div>
    <w:div w:id="217982401">
      <w:bodyDiv w:val="1"/>
      <w:marLeft w:val="0"/>
      <w:marRight w:val="0"/>
      <w:marTop w:val="0"/>
      <w:marBottom w:val="0"/>
      <w:divBdr>
        <w:top w:val="none" w:sz="0" w:space="0" w:color="auto"/>
        <w:left w:val="none" w:sz="0" w:space="0" w:color="auto"/>
        <w:bottom w:val="none" w:sz="0" w:space="0" w:color="auto"/>
        <w:right w:val="none" w:sz="0" w:space="0" w:color="auto"/>
      </w:divBdr>
    </w:div>
    <w:div w:id="262034197">
      <w:bodyDiv w:val="1"/>
      <w:marLeft w:val="0"/>
      <w:marRight w:val="0"/>
      <w:marTop w:val="0"/>
      <w:marBottom w:val="0"/>
      <w:divBdr>
        <w:top w:val="none" w:sz="0" w:space="0" w:color="auto"/>
        <w:left w:val="none" w:sz="0" w:space="0" w:color="auto"/>
        <w:bottom w:val="none" w:sz="0" w:space="0" w:color="auto"/>
        <w:right w:val="none" w:sz="0" w:space="0" w:color="auto"/>
      </w:divBdr>
    </w:div>
    <w:div w:id="35423528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862017744">
      <w:bodyDiv w:val="1"/>
      <w:marLeft w:val="0"/>
      <w:marRight w:val="0"/>
      <w:marTop w:val="0"/>
      <w:marBottom w:val="0"/>
      <w:divBdr>
        <w:top w:val="none" w:sz="0" w:space="0" w:color="auto"/>
        <w:left w:val="none" w:sz="0" w:space="0" w:color="auto"/>
        <w:bottom w:val="none" w:sz="0" w:space="0" w:color="auto"/>
        <w:right w:val="none" w:sz="0" w:space="0" w:color="auto"/>
      </w:divBdr>
    </w:div>
    <w:div w:id="1000695151">
      <w:bodyDiv w:val="1"/>
      <w:marLeft w:val="0"/>
      <w:marRight w:val="0"/>
      <w:marTop w:val="0"/>
      <w:marBottom w:val="0"/>
      <w:divBdr>
        <w:top w:val="none" w:sz="0" w:space="0" w:color="auto"/>
        <w:left w:val="none" w:sz="0" w:space="0" w:color="auto"/>
        <w:bottom w:val="none" w:sz="0" w:space="0" w:color="auto"/>
        <w:right w:val="none" w:sz="0" w:space="0" w:color="auto"/>
      </w:divBdr>
    </w:div>
    <w:div w:id="1028218763">
      <w:bodyDiv w:val="1"/>
      <w:marLeft w:val="0"/>
      <w:marRight w:val="0"/>
      <w:marTop w:val="0"/>
      <w:marBottom w:val="0"/>
      <w:divBdr>
        <w:top w:val="none" w:sz="0" w:space="0" w:color="auto"/>
        <w:left w:val="none" w:sz="0" w:space="0" w:color="auto"/>
        <w:bottom w:val="none" w:sz="0" w:space="0" w:color="auto"/>
        <w:right w:val="none" w:sz="0" w:space="0" w:color="auto"/>
      </w:divBdr>
    </w:div>
    <w:div w:id="1092776817">
      <w:bodyDiv w:val="1"/>
      <w:marLeft w:val="0"/>
      <w:marRight w:val="0"/>
      <w:marTop w:val="0"/>
      <w:marBottom w:val="0"/>
      <w:divBdr>
        <w:top w:val="none" w:sz="0" w:space="0" w:color="auto"/>
        <w:left w:val="none" w:sz="0" w:space="0" w:color="auto"/>
        <w:bottom w:val="none" w:sz="0" w:space="0" w:color="auto"/>
        <w:right w:val="none" w:sz="0" w:space="0" w:color="auto"/>
      </w:divBdr>
    </w:div>
    <w:div w:id="1148668206">
      <w:bodyDiv w:val="1"/>
      <w:marLeft w:val="0"/>
      <w:marRight w:val="0"/>
      <w:marTop w:val="0"/>
      <w:marBottom w:val="0"/>
      <w:divBdr>
        <w:top w:val="none" w:sz="0" w:space="0" w:color="auto"/>
        <w:left w:val="none" w:sz="0" w:space="0" w:color="auto"/>
        <w:bottom w:val="none" w:sz="0" w:space="0" w:color="auto"/>
        <w:right w:val="none" w:sz="0" w:space="0" w:color="auto"/>
      </w:divBdr>
    </w:div>
    <w:div w:id="1318993786">
      <w:bodyDiv w:val="1"/>
      <w:marLeft w:val="0"/>
      <w:marRight w:val="0"/>
      <w:marTop w:val="0"/>
      <w:marBottom w:val="0"/>
      <w:divBdr>
        <w:top w:val="none" w:sz="0" w:space="0" w:color="auto"/>
        <w:left w:val="none" w:sz="0" w:space="0" w:color="auto"/>
        <w:bottom w:val="none" w:sz="0" w:space="0" w:color="auto"/>
        <w:right w:val="none" w:sz="0" w:space="0" w:color="auto"/>
      </w:divBdr>
    </w:div>
    <w:div w:id="1626430408">
      <w:bodyDiv w:val="1"/>
      <w:marLeft w:val="0"/>
      <w:marRight w:val="0"/>
      <w:marTop w:val="0"/>
      <w:marBottom w:val="0"/>
      <w:divBdr>
        <w:top w:val="none" w:sz="0" w:space="0" w:color="auto"/>
        <w:left w:val="none" w:sz="0" w:space="0" w:color="auto"/>
        <w:bottom w:val="none" w:sz="0" w:space="0" w:color="auto"/>
        <w:right w:val="none" w:sz="0" w:space="0" w:color="auto"/>
      </w:divBdr>
    </w:div>
    <w:div w:id="1699350525">
      <w:bodyDiv w:val="1"/>
      <w:marLeft w:val="0"/>
      <w:marRight w:val="0"/>
      <w:marTop w:val="0"/>
      <w:marBottom w:val="0"/>
      <w:divBdr>
        <w:top w:val="none" w:sz="0" w:space="0" w:color="auto"/>
        <w:left w:val="none" w:sz="0" w:space="0" w:color="auto"/>
        <w:bottom w:val="none" w:sz="0" w:space="0" w:color="auto"/>
        <w:right w:val="none" w:sz="0" w:space="0" w:color="auto"/>
      </w:divBdr>
    </w:div>
    <w:div w:id="1815488851">
      <w:bodyDiv w:val="1"/>
      <w:marLeft w:val="0"/>
      <w:marRight w:val="0"/>
      <w:marTop w:val="0"/>
      <w:marBottom w:val="0"/>
      <w:divBdr>
        <w:top w:val="none" w:sz="0" w:space="0" w:color="auto"/>
        <w:left w:val="none" w:sz="0" w:space="0" w:color="auto"/>
        <w:bottom w:val="none" w:sz="0" w:space="0" w:color="auto"/>
        <w:right w:val="none" w:sz="0" w:space="0" w:color="auto"/>
      </w:divBdr>
    </w:div>
    <w:div w:id="1935894009">
      <w:bodyDiv w:val="1"/>
      <w:marLeft w:val="0"/>
      <w:marRight w:val="0"/>
      <w:marTop w:val="0"/>
      <w:marBottom w:val="0"/>
      <w:divBdr>
        <w:top w:val="none" w:sz="0" w:space="0" w:color="auto"/>
        <w:left w:val="none" w:sz="0" w:space="0" w:color="auto"/>
        <w:bottom w:val="none" w:sz="0" w:space="0" w:color="auto"/>
        <w:right w:val="none" w:sz="0" w:space="0" w:color="auto"/>
      </w:divBdr>
    </w:div>
    <w:div w:id="1946500831">
      <w:bodyDiv w:val="1"/>
      <w:marLeft w:val="0"/>
      <w:marRight w:val="0"/>
      <w:marTop w:val="0"/>
      <w:marBottom w:val="0"/>
      <w:divBdr>
        <w:top w:val="none" w:sz="0" w:space="0" w:color="auto"/>
        <w:left w:val="none" w:sz="0" w:space="0" w:color="auto"/>
        <w:bottom w:val="none" w:sz="0" w:space="0" w:color="auto"/>
        <w:right w:val="none" w:sz="0" w:space="0" w:color="auto"/>
      </w:divBdr>
    </w:div>
    <w:div w:id="2060547344">
      <w:bodyDiv w:val="1"/>
      <w:marLeft w:val="0"/>
      <w:marRight w:val="0"/>
      <w:marTop w:val="0"/>
      <w:marBottom w:val="0"/>
      <w:divBdr>
        <w:top w:val="none" w:sz="0" w:space="0" w:color="auto"/>
        <w:left w:val="none" w:sz="0" w:space="0" w:color="auto"/>
        <w:bottom w:val="none" w:sz="0" w:space="0" w:color="auto"/>
        <w:right w:val="none" w:sz="0" w:space="0" w:color="auto"/>
      </w:divBdr>
    </w:div>
    <w:div w:id="21473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i.edu/admis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news.release/pdf/ecec.pdf" TargetMode="External"/><Relationship Id="rId4" Type="http://schemas.openxmlformats.org/officeDocument/2006/relationships/settings" Target="settings.xml"/><Relationship Id="rId9" Type="http://schemas.openxmlformats.org/officeDocument/2006/relationships/hyperlink" Target="http://www.haskell.edu/admissions/fo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3041</Words>
  <Characters>17337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Begay, Amanda</dc:creator>
  <cp:lastModifiedBy>RACA</cp:lastModifiedBy>
  <cp:revision>7</cp:revision>
  <cp:lastPrinted>2012-02-15T17:51:00Z</cp:lastPrinted>
  <dcterms:created xsi:type="dcterms:W3CDTF">2015-08-19T15:56:00Z</dcterms:created>
  <dcterms:modified xsi:type="dcterms:W3CDTF">2015-08-19T16:16:00Z</dcterms:modified>
</cp:coreProperties>
</file>