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0A884" w14:textId="77777777" w:rsidR="00C7684C" w:rsidRPr="00C40F51" w:rsidRDefault="00C7684C" w:rsidP="00C0608B">
      <w:pPr>
        <w:jc w:val="center"/>
        <w:rPr>
          <w:b/>
        </w:rPr>
      </w:pPr>
      <w:r w:rsidRPr="00C40F51">
        <w:rPr>
          <w:b/>
        </w:rPr>
        <w:t xml:space="preserve">JUSTIFICATION FOR </w:t>
      </w:r>
      <w:r w:rsidR="00C40F51" w:rsidRPr="00C40F51">
        <w:rPr>
          <w:b/>
        </w:rPr>
        <w:t xml:space="preserve">NON-SUBSTANTIVE CHANGE REQUEST </w:t>
      </w:r>
      <w:r w:rsidRPr="00C40F51">
        <w:rPr>
          <w:b/>
        </w:rPr>
        <w:t>AND OVERVIEW OF CHANGES</w:t>
      </w:r>
    </w:p>
    <w:p w14:paraId="71FDC5F6" w14:textId="77777777" w:rsidR="00C0608B" w:rsidRDefault="00C0608B" w:rsidP="00C0608B">
      <w:pPr>
        <w:spacing w:after="0" w:line="240" w:lineRule="auto"/>
        <w:rPr>
          <w:rFonts w:ascii="Calibri" w:hAnsi="Calibri" w:cs="Times New Roman"/>
        </w:rPr>
      </w:pPr>
      <w:r w:rsidRPr="00C0608B">
        <w:rPr>
          <w:rFonts w:ascii="Calibri" w:hAnsi="Calibri" w:cs="Times New Roman"/>
        </w:rPr>
        <w:t xml:space="preserve">ETA is requesting non-substantive changes to the TAA Petition and Investigative Forms used to determine worker group eligibility for the Trade Adjustment Assistance program. </w:t>
      </w:r>
    </w:p>
    <w:p w14:paraId="2FA071DE" w14:textId="77777777" w:rsidR="00C0608B" w:rsidRDefault="00C0608B" w:rsidP="00C0608B">
      <w:pPr>
        <w:spacing w:after="0" w:line="240" w:lineRule="auto"/>
        <w:rPr>
          <w:rFonts w:ascii="Calibri" w:hAnsi="Calibri" w:cs="Times New Roman"/>
        </w:rPr>
      </w:pPr>
    </w:p>
    <w:p w14:paraId="393D2319" w14:textId="77777777" w:rsidR="00C0608B" w:rsidRDefault="00C0608B" w:rsidP="00C0608B">
      <w:pPr>
        <w:rPr>
          <w:rFonts w:ascii="Calibri" w:hAnsi="Calibri" w:cs="Times New Roman"/>
        </w:rPr>
      </w:pPr>
      <w:r w:rsidRPr="00C0608B">
        <w:rPr>
          <w:rFonts w:ascii="Calibri" w:hAnsi="Calibri" w:cs="Times New Roman"/>
        </w:rPr>
        <w:t xml:space="preserve">TAA reauthorization was signed by the President into law on Monday, June 29, 2015–reinstating the provisions of </w:t>
      </w:r>
      <w:r w:rsidR="00617CFF">
        <w:rPr>
          <w:rFonts w:ascii="Calibri" w:hAnsi="Calibri" w:cs="Times New Roman"/>
        </w:rPr>
        <w:t>the</w:t>
      </w:r>
      <w:r w:rsidR="00617CFF" w:rsidRPr="00C0608B">
        <w:rPr>
          <w:rFonts w:ascii="Calibri" w:hAnsi="Calibri" w:cs="Times New Roman"/>
        </w:rPr>
        <w:t xml:space="preserve"> </w:t>
      </w:r>
      <w:r w:rsidRPr="00C0608B">
        <w:rPr>
          <w:rFonts w:ascii="Calibri" w:hAnsi="Calibri" w:cs="Times New Roman"/>
        </w:rPr>
        <w:t>earlier TAA 2011 program.  As a result</w:t>
      </w:r>
      <w:r>
        <w:rPr>
          <w:rFonts w:ascii="Calibri" w:hAnsi="Calibri" w:cs="Times New Roman"/>
        </w:rPr>
        <w:t xml:space="preserve"> of this legislative enactment</w:t>
      </w:r>
      <w:r w:rsidRPr="00C0608B">
        <w:rPr>
          <w:rFonts w:ascii="Calibri" w:hAnsi="Calibri" w:cs="Times New Roman"/>
        </w:rPr>
        <w:t xml:space="preserve">, </w:t>
      </w:r>
      <w:r w:rsidRPr="00C0608B">
        <w:rPr>
          <w:rFonts w:ascii="Calibri" w:hAnsi="Calibri" w:cs="Times New Roman"/>
          <w:bCs/>
        </w:rPr>
        <w:t xml:space="preserve">the petition and investigation forms that the TAA program uses to collect critical information </w:t>
      </w:r>
      <w:r>
        <w:rPr>
          <w:rFonts w:ascii="Calibri" w:hAnsi="Calibri" w:cs="Times New Roman"/>
          <w:bCs/>
        </w:rPr>
        <w:t>on group eligibility</w:t>
      </w:r>
      <w:r w:rsidRPr="00C0608B">
        <w:rPr>
          <w:rFonts w:ascii="Calibri" w:hAnsi="Calibri" w:cs="Times New Roman"/>
          <w:bCs/>
        </w:rPr>
        <w:t xml:space="preserve"> must change in order to comply with statutory requirements</w:t>
      </w:r>
      <w:r w:rsidRPr="00C0608B">
        <w:rPr>
          <w:rFonts w:ascii="Calibri" w:hAnsi="Calibri" w:cs="Times New Roman"/>
        </w:rPr>
        <w:t>.</w:t>
      </w:r>
    </w:p>
    <w:p w14:paraId="79783A90" w14:textId="77777777" w:rsidR="00EF5DCB" w:rsidRPr="00EF5DCB" w:rsidRDefault="00EF5DCB" w:rsidP="00EF5DCB">
      <w:r w:rsidRPr="00EF5DCB">
        <w:t xml:space="preserve">Importantly, </w:t>
      </w:r>
      <w:r w:rsidRPr="00617CFF">
        <w:t xml:space="preserve">the forms </w:t>
      </w:r>
      <w:r w:rsidR="00C71F2B" w:rsidRPr="00C71F2B">
        <w:t>in this current request</w:t>
      </w:r>
      <w:r w:rsidRPr="00617CFF">
        <w:t xml:space="preserve"> were previously cleared by OMB</w:t>
      </w:r>
      <w:r w:rsidR="006E0F22">
        <w:t xml:space="preserve"> </w:t>
      </w:r>
      <w:r w:rsidR="00C71F2B">
        <w:t>under earlier statutory requirements that sunset and have now been reauthorized</w:t>
      </w:r>
      <w:r w:rsidRPr="00EF5DCB">
        <w:t>. Here are the pertinent details:</w:t>
      </w:r>
    </w:p>
    <w:p w14:paraId="146BA744" w14:textId="77777777" w:rsidR="00EF5DCB" w:rsidRPr="00EF5DCB" w:rsidRDefault="00EF5DCB" w:rsidP="00EF5DCB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EF5DCB">
        <w:t xml:space="preserve">The petition and investigative forms used to determine group eligibility for the TAA program </w:t>
      </w:r>
      <w:r w:rsidR="00C71F2B">
        <w:t>are</w:t>
      </w:r>
      <w:r w:rsidRPr="00EF5DCB">
        <w:t xml:space="preserve"> approved under OMB 1205-0342 (</w:t>
      </w:r>
      <w:r w:rsidR="00C71F2B">
        <w:t>current authorization expires</w:t>
      </w:r>
      <w:r w:rsidRPr="00EF5DCB">
        <w:t xml:space="preserve"> March 31, 2016). </w:t>
      </w:r>
    </w:p>
    <w:p w14:paraId="00FCA669" w14:textId="77777777" w:rsidR="00EF5DCB" w:rsidRPr="00EF5DCB" w:rsidRDefault="00EF5DCB" w:rsidP="00EF5DCB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EF5DCB">
        <w:t xml:space="preserve">These forms were designed to meet the statutory requirements of the 2011 amendments to the Trade Act of 2011. </w:t>
      </w:r>
    </w:p>
    <w:p w14:paraId="7788C14A" w14:textId="77777777" w:rsidR="00EF5DCB" w:rsidRPr="00EF5DCB" w:rsidRDefault="00EF5DCB" w:rsidP="00EF5DCB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EF5DCB">
        <w:t xml:space="preserve">Under the 2011 law, the TAA program “expired” on December 31, 2013 in terms of 2011 group eligibility provisions. </w:t>
      </w:r>
    </w:p>
    <w:p w14:paraId="546C2819" w14:textId="77777777" w:rsidR="00EF5DCB" w:rsidRPr="00EF5DCB" w:rsidRDefault="00EF5DCB" w:rsidP="00EF5DCB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EF5DCB">
        <w:t xml:space="preserve">However, per special “sunset” provisions of the 2011 amendments, the TAA program continued to operate under a </w:t>
      </w:r>
      <w:r w:rsidRPr="00EF5DCB">
        <w:rPr>
          <w:i/>
          <w:iCs/>
        </w:rPr>
        <w:t xml:space="preserve">narrower </w:t>
      </w:r>
      <w:r w:rsidRPr="00EF5DCB">
        <w:t>set of eligibility criteria for worker groups applying for TAA.  Th</w:t>
      </w:r>
      <w:r w:rsidR="006E0F22">
        <w:t>ese</w:t>
      </w:r>
      <w:r w:rsidRPr="00EF5DCB">
        <w:t xml:space="preserve"> more limited eligibility criteria took effect on January 1, 2014. </w:t>
      </w:r>
    </w:p>
    <w:p w14:paraId="544B21F8" w14:textId="77777777" w:rsidR="00EF5DCB" w:rsidRPr="00EF5DCB" w:rsidRDefault="00EF5DCB" w:rsidP="00EF5DCB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EF5DCB">
        <w:t xml:space="preserve">Because of (4) above, </w:t>
      </w:r>
      <w:r w:rsidR="00C71F2B">
        <w:t>ETA</w:t>
      </w:r>
      <w:r w:rsidRPr="00EF5DCB">
        <w:t xml:space="preserve"> sought, and was approved for, non-substantive changes to the forms covered under OMB 1205-0342</w:t>
      </w:r>
      <w:r w:rsidR="00C71F2B">
        <w:t>.</w:t>
      </w:r>
    </w:p>
    <w:p w14:paraId="61630D98" w14:textId="77777777" w:rsidR="00EF5DCB" w:rsidRPr="00EF5DCB" w:rsidRDefault="00EF5DCB" w:rsidP="00EF5DCB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EF5DCB">
        <w:t>Subsequent to TAA reauthorization that occurred on Monday, June 29, 2015, the group eligibility criteria that w</w:t>
      </w:r>
      <w:r w:rsidR="006E0F22">
        <w:t>ere</w:t>
      </w:r>
      <w:r w:rsidRPr="00EF5DCB">
        <w:t xml:space="preserve"> </w:t>
      </w:r>
      <w:r w:rsidRPr="00EF5DCB">
        <w:rPr>
          <w:i/>
          <w:iCs/>
        </w:rPr>
        <w:t xml:space="preserve">originally </w:t>
      </w:r>
      <w:r w:rsidRPr="00EF5DCB">
        <w:t xml:space="preserve">required in the 2011 amendments (and referenced above in #1) </w:t>
      </w:r>
      <w:r w:rsidRPr="00EF5DCB">
        <w:rPr>
          <w:i/>
          <w:iCs/>
        </w:rPr>
        <w:t>were restored</w:t>
      </w:r>
      <w:r w:rsidRPr="00EF5DCB">
        <w:t xml:space="preserve">. </w:t>
      </w:r>
    </w:p>
    <w:p w14:paraId="300D6CA4" w14:textId="77777777" w:rsidR="00EF5DCB" w:rsidRPr="00EF5DCB" w:rsidRDefault="00EF5DCB" w:rsidP="00EF5DCB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EF5DCB">
        <w:t xml:space="preserve">As a result of this restoration of these same group eligibility criteria, OTAA is seeking OMB approval of a non-substantive change to OMB 1205-0342, which will correspondingly restore the versions of the originally cleared forms (described in #1) for active use. </w:t>
      </w:r>
    </w:p>
    <w:p w14:paraId="0E0DA30D" w14:textId="77777777" w:rsidR="00A8767C" w:rsidRDefault="00C7684C" w:rsidP="00DB62E5">
      <w:pPr>
        <w:spacing w:after="120"/>
      </w:pPr>
      <w:r w:rsidRPr="00EF5DCB">
        <w:t>ETA is requesting non-substantive change approval for the forms approved under 1205-0342 because</w:t>
      </w:r>
      <w:r w:rsidR="00302BFF">
        <w:t xml:space="preserve"> the changes are minor. </w:t>
      </w:r>
      <w:r w:rsidR="006615D6">
        <w:t xml:space="preserve">In addition, the information collection requirements being </w:t>
      </w:r>
      <w:r w:rsidR="006E0F22">
        <w:t>reinstated were</w:t>
      </w:r>
      <w:r w:rsidR="006615D6">
        <w:t xml:space="preserve"> subject to public comments via an ICR OMB approved on March 19, 2013. (</w:t>
      </w:r>
      <w:hyperlink r:id="rId8" w:history="1">
        <w:r w:rsidR="006615D6" w:rsidRPr="006615D6">
          <w:rPr>
            <w:rStyle w:val="Hyperlink"/>
          </w:rPr>
          <w:t>ICR Reference Number 21209-1205-002</w:t>
        </w:r>
      </w:hyperlink>
      <w:r w:rsidR="006615D6">
        <w:t xml:space="preserve">). </w:t>
      </w:r>
    </w:p>
    <w:p w14:paraId="3C34EA89" w14:textId="77777777" w:rsidR="00A8767C" w:rsidRDefault="00A8767C">
      <w:r>
        <w:br w:type="page"/>
      </w:r>
    </w:p>
    <w:p w14:paraId="5516682E" w14:textId="77777777" w:rsidR="00DB62E5" w:rsidRPr="00EF5DCB" w:rsidRDefault="00302BFF" w:rsidP="00DB62E5">
      <w:pPr>
        <w:spacing w:after="120"/>
      </w:pPr>
      <w:r w:rsidRPr="00302BFF">
        <w:lastRenderedPageBreak/>
        <w:t xml:space="preserve">The Department </w:t>
      </w:r>
      <w:r>
        <w:t xml:space="preserve">also </w:t>
      </w:r>
      <w:r w:rsidRPr="00302BFF">
        <w:t xml:space="preserve">notes that </w:t>
      </w:r>
      <w:r w:rsidR="00820C21">
        <w:t xml:space="preserve">PRA approval for </w:t>
      </w:r>
      <w:r w:rsidRPr="00302BFF">
        <w:t xml:space="preserve">the earlier </w:t>
      </w:r>
      <w:r w:rsidR="00820C21">
        <w:t>legislatively required changes to</w:t>
      </w:r>
      <w:r w:rsidRPr="00302BFF">
        <w:t xml:space="preserve"> the data elements that are also the subject of this current request w</w:t>
      </w:r>
      <w:r w:rsidR="007D61F2">
        <w:t>ere</w:t>
      </w:r>
      <w:r w:rsidRPr="00302BFF">
        <w:t xml:space="preserve"> accomplished through non</w:t>
      </w:r>
      <w:r>
        <w:t>-</w:t>
      </w:r>
      <w:r w:rsidRPr="00302BFF">
        <w:t xml:space="preserve">substantive changes approved </w:t>
      </w:r>
      <w:r>
        <w:t xml:space="preserve">by OMB </w:t>
      </w:r>
      <w:r w:rsidRPr="00302BFF">
        <w:t>on October 31, 2011 (</w:t>
      </w:r>
      <w:hyperlink r:id="rId9" w:history="1">
        <w:r w:rsidRPr="00E63DEC">
          <w:rPr>
            <w:rStyle w:val="Hyperlink"/>
          </w:rPr>
          <w:t>ICR Reference Number 201110-1205-001</w:t>
        </w:r>
      </w:hyperlink>
      <w:r w:rsidRPr="00302BFF">
        <w:t xml:space="preserve">), and December 27, 2013 (ICR Reference Number </w:t>
      </w:r>
      <w:hyperlink r:id="rId10" w:history="1">
        <w:r w:rsidRPr="00E63DEC">
          <w:rPr>
            <w:rStyle w:val="Hyperlink"/>
          </w:rPr>
          <w:t>201312-1205-001</w:t>
        </w:r>
      </w:hyperlink>
      <w:r w:rsidR="006615D6">
        <w:t>. N</w:t>
      </w:r>
      <w:r w:rsidR="00C40F51" w:rsidRPr="00617CFF">
        <w:t>one</w:t>
      </w:r>
      <w:r w:rsidR="00C40F51" w:rsidRPr="00EF5DCB">
        <w:rPr>
          <w:i/>
        </w:rPr>
        <w:t xml:space="preserve"> </w:t>
      </w:r>
      <w:r w:rsidR="00C40F51" w:rsidRPr="00EF5DCB">
        <w:t>of the 3</w:t>
      </w:r>
      <w:r w:rsidR="00C7684C" w:rsidRPr="00EF5DCB">
        <w:t xml:space="preserve"> categories of changes</w:t>
      </w:r>
      <w:r w:rsidR="00C40F51" w:rsidRPr="00EF5DCB">
        <w:t xml:space="preserve"> listed below</w:t>
      </w:r>
      <w:r w:rsidR="00C7684C" w:rsidRPr="00EF5DCB">
        <w:t xml:space="preserve"> involves a </w:t>
      </w:r>
      <w:r w:rsidR="006E0F22">
        <w:t xml:space="preserve"> </w:t>
      </w:r>
      <w:r w:rsidR="006615D6">
        <w:t>change to the</w:t>
      </w:r>
      <w:r w:rsidR="00C7684C" w:rsidRPr="00EF5DCB">
        <w:t xml:space="preserve"> burden. </w:t>
      </w:r>
      <w:r w:rsidR="00C40F51" w:rsidRPr="00EF5DCB">
        <w:t xml:space="preserve"> For the most part, the requested changes reflect</w:t>
      </w:r>
      <w:r w:rsidR="00DB62E5" w:rsidRPr="00EF5DCB">
        <w:t xml:space="preserve">: </w:t>
      </w:r>
    </w:p>
    <w:p w14:paraId="57A78174" w14:textId="77777777" w:rsidR="00DB62E5" w:rsidRPr="00EF5DCB" w:rsidRDefault="00C40F51" w:rsidP="00DB62E5">
      <w:pPr>
        <w:spacing w:after="0"/>
        <w:ind w:left="720"/>
      </w:pPr>
      <w:r w:rsidRPr="00EF5DCB">
        <w:rPr>
          <w:b/>
        </w:rPr>
        <w:t>(1)</w:t>
      </w:r>
      <w:r w:rsidRPr="00EF5DCB">
        <w:t xml:space="preserve"> the removal of references that treat </w:t>
      </w:r>
      <w:r w:rsidRPr="00EF5DCB">
        <w:rPr>
          <w:u w:val="single"/>
        </w:rPr>
        <w:t>one</w:t>
      </w:r>
      <w:r w:rsidRPr="00EF5DCB">
        <w:t xml:space="preserve"> of the available TAA benefits (known as Alternative Trade Adjustment Assistance</w:t>
      </w:r>
      <w:r w:rsidR="008E52FD" w:rsidRPr="00EF5DCB">
        <w:t xml:space="preserve">, </w:t>
      </w:r>
      <w:r w:rsidRPr="00EF5DCB">
        <w:t xml:space="preserve"> or </w:t>
      </w:r>
      <w:r w:rsidR="00C0608B" w:rsidRPr="00EF5DCB">
        <w:t xml:space="preserve"> </w:t>
      </w:r>
      <w:r w:rsidRPr="00EF5DCB">
        <w:t>ATAA</w:t>
      </w:r>
      <w:r w:rsidR="008E52FD" w:rsidRPr="00EF5DCB">
        <w:t xml:space="preserve">) as requiring  </w:t>
      </w:r>
      <w:r w:rsidR="00DB62E5" w:rsidRPr="00EF5DCB">
        <w:t>distinct</w:t>
      </w:r>
      <w:r w:rsidR="008E52FD" w:rsidRPr="00EF5DCB">
        <w:t xml:space="preserve"> </w:t>
      </w:r>
      <w:r w:rsidRPr="00EF5DCB">
        <w:t>group eligibility requirements</w:t>
      </w:r>
      <w:r w:rsidR="00DB62E5" w:rsidRPr="00EF5DCB">
        <w:t xml:space="preserve"> separate from the standard TAA group eligibility requirements</w:t>
      </w:r>
      <w:r w:rsidRPr="00EF5DCB">
        <w:t xml:space="preserve">, </w:t>
      </w:r>
    </w:p>
    <w:p w14:paraId="501E29B0" w14:textId="77777777" w:rsidR="00DB62E5" w:rsidRPr="00EF5DCB" w:rsidRDefault="00C40F51" w:rsidP="00DB62E5">
      <w:pPr>
        <w:spacing w:after="0"/>
        <w:ind w:left="720"/>
      </w:pPr>
      <w:r w:rsidRPr="00EF5DCB">
        <w:rPr>
          <w:b/>
        </w:rPr>
        <w:t>(2)</w:t>
      </w:r>
      <w:r w:rsidRPr="00EF5DCB">
        <w:t xml:space="preserve">  add references to instructions that cite eligibility for worker groups who provide services, as well as those that produce articles, and </w:t>
      </w:r>
    </w:p>
    <w:p w14:paraId="30322A04" w14:textId="77777777" w:rsidR="00C7684C" w:rsidRPr="00EF5DCB" w:rsidRDefault="00C40F51" w:rsidP="00DB62E5">
      <w:pPr>
        <w:ind w:left="720"/>
      </w:pPr>
      <w:r w:rsidRPr="00EF5DCB">
        <w:rPr>
          <w:b/>
        </w:rPr>
        <w:t>(3)</w:t>
      </w:r>
      <w:r w:rsidRPr="00EF5DCB">
        <w:t xml:space="preserve"> statutory citations that reinforce existing language used to summarize respondent protections and requirements. </w:t>
      </w:r>
    </w:p>
    <w:p w14:paraId="0F82B692" w14:textId="77777777" w:rsidR="007E6B5B" w:rsidRPr="00EF5DCB" w:rsidRDefault="00185BE6">
      <w:pPr>
        <w:rPr>
          <w:b/>
        </w:rPr>
      </w:pPr>
      <w:r w:rsidRPr="00EF5DCB">
        <w:rPr>
          <w:b/>
        </w:rPr>
        <w:t xml:space="preserve">DETAILED BREAKOUT OF </w:t>
      </w:r>
      <w:r w:rsidR="00C40F51" w:rsidRPr="00EF5DCB">
        <w:rPr>
          <w:b/>
        </w:rPr>
        <w:t xml:space="preserve">NON-SUBSTANTIVE </w:t>
      </w:r>
      <w:r w:rsidRPr="00EF5DCB">
        <w:rPr>
          <w:b/>
        </w:rPr>
        <w:t xml:space="preserve">CHANGES </w:t>
      </w:r>
      <w:r w:rsidR="00C40F51" w:rsidRPr="00EF5DCB">
        <w:rPr>
          <w:b/>
        </w:rPr>
        <w:t>REQUESTED FOR OMB</w:t>
      </w:r>
      <w:r w:rsidRPr="00EF5DCB">
        <w:rPr>
          <w:b/>
        </w:rPr>
        <w:t xml:space="preserve"> 1205-0342</w:t>
      </w:r>
    </w:p>
    <w:p w14:paraId="24A2ADB9" w14:textId="77777777" w:rsidR="007E0A05" w:rsidRPr="00EF5DCB" w:rsidRDefault="005166A0">
      <w:r w:rsidRPr="00EF5DCB">
        <w:t>Instructions – All forms</w:t>
      </w:r>
      <w:r w:rsidR="00185BE6" w:rsidRPr="00EF5DCB">
        <w:t xml:space="preserve"> in 1205-0342</w:t>
      </w:r>
    </w:p>
    <w:p w14:paraId="0FEF4BE8" w14:textId="77777777" w:rsidR="005166A0" w:rsidRPr="00EF5DCB" w:rsidRDefault="00C40F51" w:rsidP="006039C4">
      <w:pPr>
        <w:pStyle w:val="ListParagraph"/>
        <w:numPr>
          <w:ilvl w:val="0"/>
          <w:numId w:val="1"/>
        </w:numPr>
      </w:pPr>
      <w:r w:rsidRPr="00EF5DCB">
        <w:t>Remov</w:t>
      </w:r>
      <w:r w:rsidR="00DB62E5" w:rsidRPr="00EF5DCB">
        <w:t xml:space="preserve">al of </w:t>
      </w:r>
      <w:r w:rsidRPr="00EF5DCB">
        <w:t xml:space="preserve">“and Alternative Trade Adjustment Assistance” </w:t>
      </w:r>
      <w:r w:rsidR="006039C4" w:rsidRPr="00EF5DCB">
        <w:t xml:space="preserve"> </w:t>
      </w:r>
      <w:r w:rsidR="005166A0" w:rsidRPr="00EF5DCB">
        <w:rPr>
          <w:i/>
        </w:rPr>
        <w:t>from</w:t>
      </w:r>
      <w:r w:rsidR="005166A0" w:rsidRPr="00EF5DCB">
        <w:t xml:space="preserve"> </w:t>
      </w:r>
      <w:r w:rsidR="00DB62E5" w:rsidRPr="00EF5DCB">
        <w:t xml:space="preserve">petition title of </w:t>
      </w:r>
      <w:r w:rsidR="005166A0" w:rsidRPr="00EF5DCB">
        <w:rPr>
          <w:u w:val="single"/>
        </w:rPr>
        <w:t xml:space="preserve">Petition for Trade Adjustment Assistance and Alternative Trade Adjustment Assistance </w:t>
      </w:r>
    </w:p>
    <w:p w14:paraId="6A3FB182" w14:textId="77777777" w:rsidR="005166A0" w:rsidRDefault="005166A0" w:rsidP="005166A0">
      <w:pPr>
        <w:pStyle w:val="ListParagraph"/>
        <w:numPr>
          <w:ilvl w:val="0"/>
          <w:numId w:val="1"/>
        </w:numPr>
      </w:pPr>
      <w:r w:rsidRPr="00EF5DCB">
        <w:t xml:space="preserve">Addition of “service” reference – </w:t>
      </w:r>
      <w:r w:rsidR="00F4504C" w:rsidRPr="00EF5DCB">
        <w:t xml:space="preserve">Under </w:t>
      </w:r>
      <w:r w:rsidR="006E0F22">
        <w:t xml:space="preserve">the </w:t>
      </w:r>
      <w:r w:rsidR="00F4504C" w:rsidRPr="00EF5DCB">
        <w:t xml:space="preserve">2015 program, worker groups may be eligible based exclusively on supplying services, as well as the </w:t>
      </w:r>
      <w:r w:rsidRPr="00EF5DCB">
        <w:t>production of articles</w:t>
      </w:r>
      <w:r w:rsidR="00F4504C" w:rsidRPr="00EF5DCB">
        <w:t xml:space="preserve"> covered in the previous</w:t>
      </w:r>
      <w:r w:rsidR="006039C4" w:rsidRPr="00EF5DCB">
        <w:t xml:space="preserve"> </w:t>
      </w:r>
      <w:r w:rsidR="00F4504C" w:rsidRPr="00EF5DCB">
        <w:t xml:space="preserve">laws. </w:t>
      </w:r>
      <w:bookmarkStart w:id="0" w:name="_GoBack"/>
      <w:bookmarkEnd w:id="0"/>
    </w:p>
    <w:p w14:paraId="659EFAC9" w14:textId="3E207735" w:rsidR="00575DB6" w:rsidRPr="00EF5DCB" w:rsidRDefault="00575DB6" w:rsidP="00ED0443">
      <w:r>
        <w:t>Instructions – All forms in 1205-0342, except ETA - 9042 and ETA - 9042a (TAA Petition)</w:t>
      </w:r>
    </w:p>
    <w:p w14:paraId="2889CB34" w14:textId="77777777" w:rsidR="00F4504C" w:rsidRPr="00EF5DCB" w:rsidRDefault="00F4504C" w:rsidP="005166A0">
      <w:pPr>
        <w:pStyle w:val="ListParagraph"/>
        <w:numPr>
          <w:ilvl w:val="0"/>
          <w:numId w:val="1"/>
        </w:numPr>
      </w:pPr>
      <w:r w:rsidRPr="00EF5DCB">
        <w:t xml:space="preserve">Addition of citation </w:t>
      </w:r>
      <w:r w:rsidR="006039C4" w:rsidRPr="00EF5DCB">
        <w:t xml:space="preserve">of “19 USC </w:t>
      </w:r>
      <w:r w:rsidRPr="00EF5DCB">
        <w:t>227</w:t>
      </w:r>
      <w:r w:rsidR="006039C4" w:rsidRPr="00EF5DCB">
        <w:t>3 (d)(3)(B)”)</w:t>
      </w:r>
      <w:r w:rsidRPr="00EF5DCB">
        <w:t xml:space="preserve"> that </w:t>
      </w:r>
      <w:r w:rsidR="006039C4" w:rsidRPr="00EF5DCB">
        <w:t>provides statutory basis for the pre-existing verbiage describing the Secretary’s</w:t>
      </w:r>
      <w:r w:rsidRPr="00EF5DCB">
        <w:t xml:space="preserve"> power to subpoena respondents if the form is not completed as required per statute. </w:t>
      </w:r>
    </w:p>
    <w:p w14:paraId="494550D9" w14:textId="77777777" w:rsidR="00F4504C" w:rsidRPr="00EF5DCB" w:rsidRDefault="006039C4" w:rsidP="005166A0">
      <w:pPr>
        <w:pStyle w:val="ListParagraph"/>
        <w:numPr>
          <w:ilvl w:val="0"/>
          <w:numId w:val="1"/>
        </w:numPr>
      </w:pPr>
      <w:r w:rsidRPr="00EF5DCB">
        <w:t xml:space="preserve">Citation of 19 USC 2272 (d)(3)(C) that provides statutory basis for currently OMB cleared verbiage protecting confidentiality of information provided by respondents. </w:t>
      </w:r>
    </w:p>
    <w:p w14:paraId="033B6F33" w14:textId="77777777" w:rsidR="006039C4" w:rsidRPr="00EF5DCB" w:rsidRDefault="00AC07ED" w:rsidP="00AC07ED">
      <w:r w:rsidRPr="00EF5DCB">
        <w:t>ETA 9043a and ETA 9043b</w:t>
      </w:r>
    </w:p>
    <w:p w14:paraId="1A25AD41" w14:textId="77777777" w:rsidR="00AC07ED" w:rsidRPr="00EF5DCB" w:rsidRDefault="00AC07ED" w:rsidP="00AC07ED">
      <w:pPr>
        <w:pStyle w:val="ListParagraph"/>
        <w:numPr>
          <w:ilvl w:val="0"/>
          <w:numId w:val="1"/>
        </w:numPr>
      </w:pPr>
      <w:r w:rsidRPr="00EF5DCB">
        <w:t>Removal of question on page 3 of 7: “Do the workers in the worker’s firm possess skills that are not easily transferable?</w:t>
      </w:r>
      <w:r w:rsidR="00617CFF">
        <w:t>”</w:t>
      </w:r>
      <w:r w:rsidRPr="00EF5DCB">
        <w:t xml:space="preserve"> Yes/No</w:t>
      </w:r>
    </w:p>
    <w:p w14:paraId="32745329" w14:textId="77777777" w:rsidR="00AC07ED" w:rsidRPr="00EF5DCB" w:rsidRDefault="00AC07ED" w:rsidP="00AC07ED">
      <w:pPr>
        <w:pStyle w:val="ListParagraph"/>
        <w:numPr>
          <w:ilvl w:val="0"/>
          <w:numId w:val="1"/>
        </w:numPr>
      </w:pPr>
      <w:r w:rsidRPr="00EF5DCB">
        <w:t xml:space="preserve">Removal of following data item in second row of table on page 4 of 7: “Number of workers reported age 50 or over (including leased or temporary </w:t>
      </w:r>
      <w:r w:rsidR="007E6B5B" w:rsidRPr="00EF5DCB">
        <w:t>workers) associated with this article</w:t>
      </w:r>
      <w:r w:rsidR="00617CFF">
        <w:t>.</w:t>
      </w:r>
    </w:p>
    <w:sectPr w:rsidR="00AC07ED" w:rsidRPr="00EF5DCB" w:rsidSect="00DB62E5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CC8B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93D8F" w14:textId="77777777" w:rsidR="00521AB3" w:rsidRDefault="00521AB3" w:rsidP="00B62825">
      <w:pPr>
        <w:spacing w:after="0" w:line="240" w:lineRule="auto"/>
      </w:pPr>
      <w:r>
        <w:separator/>
      </w:r>
    </w:p>
  </w:endnote>
  <w:endnote w:type="continuationSeparator" w:id="0">
    <w:p w14:paraId="302E829A" w14:textId="77777777" w:rsidR="00521AB3" w:rsidRDefault="00521AB3" w:rsidP="00B6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263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36D30" w14:textId="77777777" w:rsidR="00B62825" w:rsidRDefault="00B628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4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091EC" w14:textId="77777777" w:rsidR="00B62825" w:rsidRDefault="00B62825" w:rsidP="00B628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134BB" w14:textId="77777777" w:rsidR="00521AB3" w:rsidRDefault="00521AB3" w:rsidP="00B62825">
      <w:pPr>
        <w:spacing w:after="0" w:line="240" w:lineRule="auto"/>
      </w:pPr>
      <w:r>
        <w:separator/>
      </w:r>
    </w:p>
  </w:footnote>
  <w:footnote w:type="continuationSeparator" w:id="0">
    <w:p w14:paraId="1920C9EE" w14:textId="77777777" w:rsidR="00521AB3" w:rsidRDefault="00521AB3" w:rsidP="00B6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D3AB5" w14:textId="77777777" w:rsidR="00B62825" w:rsidRPr="00B62825" w:rsidRDefault="00B62825">
    <w:pPr>
      <w:pStyle w:val="Header"/>
      <w:rPr>
        <w:b/>
      </w:rPr>
    </w:pPr>
    <w:r w:rsidRPr="00B62825">
      <w:rPr>
        <w:b/>
      </w:rPr>
      <w:t>1205-0342</w:t>
    </w:r>
  </w:p>
  <w:p w14:paraId="54120A3E" w14:textId="36F3D9F5" w:rsidR="00B62825" w:rsidRDefault="00B62825">
    <w:pPr>
      <w:pStyle w:val="Header"/>
    </w:pPr>
    <w:r w:rsidRPr="00B62825">
      <w:rPr>
        <w:b/>
      </w:rPr>
      <w:t>July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67BC"/>
    <w:multiLevelType w:val="hybridMultilevel"/>
    <w:tmpl w:val="6E9A6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70F2"/>
    <w:multiLevelType w:val="hybridMultilevel"/>
    <w:tmpl w:val="8474C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0179F"/>
    <w:multiLevelType w:val="hybridMultilevel"/>
    <w:tmpl w:val="E322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539A5"/>
    <w:multiLevelType w:val="hybridMultilevel"/>
    <w:tmpl w:val="3B2C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75859"/>
    <w:multiLevelType w:val="hybridMultilevel"/>
    <w:tmpl w:val="112AF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A0"/>
    <w:rsid w:val="000C0363"/>
    <w:rsid w:val="00185BE6"/>
    <w:rsid w:val="002D146C"/>
    <w:rsid w:val="002E54A6"/>
    <w:rsid w:val="00302BFF"/>
    <w:rsid w:val="00444854"/>
    <w:rsid w:val="00505EF6"/>
    <w:rsid w:val="005166A0"/>
    <w:rsid w:val="00521AB3"/>
    <w:rsid w:val="00534053"/>
    <w:rsid w:val="00573A3D"/>
    <w:rsid w:val="00575DB6"/>
    <w:rsid w:val="006039C4"/>
    <w:rsid w:val="00605412"/>
    <w:rsid w:val="00617CFF"/>
    <w:rsid w:val="00636953"/>
    <w:rsid w:val="006615D6"/>
    <w:rsid w:val="006E0F22"/>
    <w:rsid w:val="007D61F2"/>
    <w:rsid w:val="007E6B5B"/>
    <w:rsid w:val="00820C21"/>
    <w:rsid w:val="008E52FD"/>
    <w:rsid w:val="00A34F3B"/>
    <w:rsid w:val="00A724BA"/>
    <w:rsid w:val="00A8767C"/>
    <w:rsid w:val="00AC07ED"/>
    <w:rsid w:val="00AE690B"/>
    <w:rsid w:val="00B62825"/>
    <w:rsid w:val="00BE7413"/>
    <w:rsid w:val="00C0608B"/>
    <w:rsid w:val="00C40F51"/>
    <w:rsid w:val="00C71F2B"/>
    <w:rsid w:val="00C7684C"/>
    <w:rsid w:val="00DB62E5"/>
    <w:rsid w:val="00DD4D43"/>
    <w:rsid w:val="00E63DEC"/>
    <w:rsid w:val="00E7582D"/>
    <w:rsid w:val="00ED0443"/>
    <w:rsid w:val="00EF119A"/>
    <w:rsid w:val="00EF5DCB"/>
    <w:rsid w:val="00F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AF1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825"/>
  </w:style>
  <w:style w:type="paragraph" w:styleId="Footer">
    <w:name w:val="footer"/>
    <w:basedOn w:val="Normal"/>
    <w:link w:val="FooterChar"/>
    <w:uiPriority w:val="99"/>
    <w:unhideWhenUsed/>
    <w:rsid w:val="00B62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825"/>
  </w:style>
  <w:style w:type="paragraph" w:styleId="BalloonText">
    <w:name w:val="Balloon Text"/>
    <w:basedOn w:val="Normal"/>
    <w:link w:val="BalloonTextChar"/>
    <w:uiPriority w:val="99"/>
    <w:semiHidden/>
    <w:unhideWhenUsed/>
    <w:rsid w:val="00B6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8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8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8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2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825"/>
  </w:style>
  <w:style w:type="paragraph" w:styleId="Footer">
    <w:name w:val="footer"/>
    <w:basedOn w:val="Normal"/>
    <w:link w:val="FooterChar"/>
    <w:uiPriority w:val="99"/>
    <w:unhideWhenUsed/>
    <w:rsid w:val="00B62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825"/>
  </w:style>
  <w:style w:type="paragraph" w:styleId="BalloonText">
    <w:name w:val="Balloon Text"/>
    <w:basedOn w:val="Normal"/>
    <w:link w:val="BalloonTextChar"/>
    <w:uiPriority w:val="99"/>
    <w:semiHidden/>
    <w:unhideWhenUsed/>
    <w:rsid w:val="00B6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8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8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8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2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nfo.gov/public/do/PRAViewICR?ref_nbr=201209-1205-00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ginfo.gov/public/do/PRAViewICR?ref_nbr=201312-1205-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nfo.gov/public/do/PRAViewICR?ref_nbr=201110-1205-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2015-08-31T17:35:00Z</dcterms:created>
  <dcterms:modified xsi:type="dcterms:W3CDTF">2015-08-31T17:35:00Z</dcterms:modified>
</cp:coreProperties>
</file>