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left w:w="0" w:type="dxa"/>
          <w:right w:w="0" w:type="dxa"/>
        </w:tblCellMar>
        <w:tblLook w:val="0000" w:firstRow="0" w:lastRow="0" w:firstColumn="0" w:lastColumn="0" w:noHBand="0" w:noVBand="0"/>
      </w:tblPr>
      <w:tblGrid>
        <w:gridCol w:w="9360"/>
      </w:tblGrid>
      <w:tr w:rsidR="006E00FE" w:rsidTr="002F7700">
        <w:trPr>
          <w:tblCellSpacing w:w="0" w:type="dxa"/>
        </w:trPr>
        <w:tc>
          <w:tcPr>
            <w:tcW w:w="0" w:type="auto"/>
            <w:shd w:val="clear" w:color="auto" w:fill="auto"/>
            <w:vAlign w:val="center"/>
          </w:tcPr>
          <w:tbl>
            <w:tblPr>
              <w:tblW w:w="9600" w:type="dxa"/>
              <w:tblCellSpacing w:w="15" w:type="dxa"/>
              <w:tblCellMar>
                <w:top w:w="15" w:type="dxa"/>
                <w:left w:w="15" w:type="dxa"/>
                <w:bottom w:w="15" w:type="dxa"/>
                <w:right w:w="15" w:type="dxa"/>
              </w:tblCellMar>
              <w:tblLook w:val="0000" w:firstRow="0" w:lastRow="0" w:firstColumn="0" w:lastColumn="0" w:noHBand="0" w:noVBand="0"/>
            </w:tblPr>
            <w:tblGrid>
              <w:gridCol w:w="345"/>
              <w:gridCol w:w="6675"/>
              <w:gridCol w:w="2580"/>
            </w:tblGrid>
            <w:tr w:rsidR="006E00FE" w:rsidTr="002F7700">
              <w:trPr>
                <w:trHeight w:val="450"/>
                <w:tblCellSpacing w:w="15" w:type="dxa"/>
              </w:trPr>
              <w:tc>
                <w:tcPr>
                  <w:tcW w:w="0" w:type="auto"/>
                  <w:gridSpan w:val="3"/>
                  <w:shd w:val="clear" w:color="auto" w:fill="auto"/>
                </w:tcPr>
                <w:p w:rsidR="006E00FE" w:rsidRDefault="006E00FE" w:rsidP="002F7700">
                  <w:pPr>
                    <w:jc w:val="center"/>
                    <w:rPr>
                      <w:rFonts w:ascii="Verdana" w:hAnsi="Verdana"/>
                      <w:color w:val="003399"/>
                      <w:sz w:val="19"/>
                      <w:szCs w:val="19"/>
                    </w:rPr>
                  </w:pPr>
                  <w:bookmarkStart w:id="0" w:name="8"/>
                  <w:r>
                    <w:rPr>
                      <w:rFonts w:ascii="Verdana" w:hAnsi="Verdana"/>
                      <w:b/>
                      <w:bCs/>
                      <w:color w:val="003399"/>
                      <w:sz w:val="19"/>
                      <w:szCs w:val="19"/>
                    </w:rPr>
                    <w:t>SEC. 8. Inspections, Investigations, and Recordkeeping</w:t>
                  </w:r>
                  <w:bookmarkEnd w:id="0"/>
                </w:p>
              </w:tc>
            </w:tr>
            <w:tr w:rsidR="006E00FE" w:rsidTr="002F7700">
              <w:trPr>
                <w:tblCellSpacing w:w="15" w:type="dxa"/>
              </w:trPr>
              <w:tc>
                <w:tcPr>
                  <w:tcW w:w="6975" w:type="dxa"/>
                  <w:gridSpan w:val="2"/>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(a) In order to carry out the purposes of this Act, the Secretary, upon presenting appropriate credentials to the owner, operator, or agent in charge, is authorized --</w:t>
                  </w:r>
                </w:p>
              </w:tc>
              <w:tc>
                <w:tcPr>
                  <w:tcW w:w="2535" w:type="dxa"/>
                  <w:vMerge w:val="restart"/>
                  <w:shd w:val="clear" w:color="auto" w:fill="auto"/>
                </w:tcPr>
                <w:p w:rsidR="006E00FE" w:rsidRDefault="006E00FE" w:rsidP="002F7700">
                  <w:pPr>
                    <w:rPr>
                      <w:rFonts w:ascii="Verdana" w:hAnsi="Verdana"/>
                      <w:color w:val="003399"/>
                      <w:sz w:val="19"/>
                      <w:szCs w:val="19"/>
                    </w:rPr>
                  </w:pPr>
                  <w:r>
                    <w:rPr>
                      <w:rFonts w:ascii="Verdana" w:hAnsi="Verdana"/>
                      <w:color w:val="003399"/>
                      <w:sz w:val="19"/>
                      <w:szCs w:val="19"/>
                    </w:rPr>
                    <w:t>29 USC 657</w:t>
                  </w:r>
                </w:p>
              </w:tc>
            </w:tr>
            <w:tr w:rsidR="006E00FE" w:rsidTr="002F7700">
              <w:trPr>
                <w:tblCellSpacing w:w="15" w:type="dxa"/>
              </w:trPr>
              <w:tc>
                <w:tcPr>
                  <w:tcW w:w="300" w:type="dxa"/>
                  <w:shd w:val="clear" w:color="auto" w:fill="auto"/>
                  <w:vAlign w:val="center"/>
                </w:tcPr>
                <w:p w:rsidR="006E00FE" w:rsidRDefault="006E00FE" w:rsidP="002F7700">
                  <w:r>
                    <w:t> </w:t>
                  </w:r>
                </w:p>
              </w:tc>
              <w:tc>
                <w:tcPr>
                  <w:tcW w:w="6645" w:type="dxa"/>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(1) to enter without delay and at reasonable times any factory, plant, establishment, construction site, or other area, workplace or environment where work is performed by an employee of an employer; and</w:t>
                  </w:r>
                  <w:r>
                    <w:rPr>
                      <w:rFonts w:ascii="Verdana" w:hAnsi="Verdana"/>
                      <w:color w:val="003399"/>
                      <w:sz w:val="19"/>
                      <w:szCs w:val="19"/>
                    </w:rPr>
                    <w:br/>
                  </w:r>
                  <w:r>
                    <w:rPr>
                      <w:rFonts w:ascii="Verdana" w:hAnsi="Verdana"/>
                      <w:color w:val="003399"/>
                      <w:sz w:val="19"/>
                      <w:szCs w:val="19"/>
                    </w:rPr>
                    <w:b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6975" w:type="dxa"/>
                  <w:gridSpan w:val="2"/>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 xml:space="preserve">(b) In making his inspections and investigations under this Act the Secretary may require the attendance and testimony of witnesses and the production of evidence under oath. Witnesses shall be paid the same fees and mileage that are paid witnesses in the courts of the </w:t>
                  </w:r>
                  <w:smartTag w:uri="urn:schemas-microsoft-com:office:smarttags" w:element="country-region">
                    <w:smartTag w:uri="urn:schemas-microsoft-com:office:smarttags" w:element="place">
                      <w:r>
                        <w:rPr>
                          <w:rFonts w:ascii="Verdana" w:hAnsi="Verdana"/>
                          <w:color w:val="003399"/>
                          <w:sz w:val="19"/>
                          <w:szCs w:val="19"/>
                        </w:rPr>
                        <w:t>United States</w:t>
                      </w:r>
                    </w:smartTag>
                  </w:smartTag>
                  <w:r>
                    <w:rPr>
                      <w:rFonts w:ascii="Verdana" w:hAnsi="Verdana"/>
                      <w:color w:val="003399"/>
                      <w:sz w:val="19"/>
                      <w:szCs w:val="19"/>
                    </w:rPr>
                    <w:t>.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r>
                    <w:rPr>
                      <w:rFonts w:ascii="Verdana" w:hAnsi="Verdana"/>
                      <w:color w:val="003399"/>
                      <w:sz w:val="19"/>
                      <w:szCs w:val="19"/>
                    </w:rPr>
                    <w:br/>
                  </w:r>
                  <w:r>
                    <w:rPr>
                      <w:rFonts w:ascii="Verdana" w:hAnsi="Verdana"/>
                      <w:color w:val="003399"/>
                      <w:sz w:val="19"/>
                      <w:szCs w:val="19"/>
                    </w:rPr>
                    <w:br/>
                    <w:t>(c) (1) Each employer shall make, keep and preserve, and make available to the Secretary or the Secretary of Health and Human Services, such records regarding his activities relating to this Act as the Secretary, in cooperation with the Secretary of Health and Human Services, may prescribe by regulation as necessary or appropriate for the enforcement of this Act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Act, including the provisions of applicable standards.</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300" w:type="dxa"/>
                  <w:shd w:val="clear" w:color="auto" w:fill="auto"/>
                  <w:vAlign w:val="center"/>
                </w:tcPr>
                <w:p w:rsidR="006E00FE" w:rsidRDefault="006E00FE" w:rsidP="002F7700">
                  <w:r>
                    <w:t> </w:t>
                  </w:r>
                </w:p>
              </w:tc>
              <w:tc>
                <w:tcPr>
                  <w:tcW w:w="6645" w:type="dxa"/>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r>
                    <w:rPr>
                      <w:rFonts w:ascii="Verdana" w:hAnsi="Verdana"/>
                      <w:color w:val="003399"/>
                      <w:sz w:val="19"/>
                      <w:szCs w:val="19"/>
                    </w:rPr>
                    <w:br/>
                  </w:r>
                  <w:r>
                    <w:rPr>
                      <w:rFonts w:ascii="Verdana" w:hAnsi="Verdana"/>
                      <w:color w:val="003399"/>
                      <w:sz w:val="19"/>
                      <w:szCs w:val="19"/>
                    </w:rPr>
                    <w:lastRenderedPageBreak/>
                    <w:br/>
                    <w:t>(3) The Secretary, in cooperation with the Secretary of Health and Human Services, shall issue regulations requiring employers to maintain accurate records of employee exposures to potentially toxic materials or harmful physical agents which are required to be monitored or measured under section 6.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6, and shall inform any employee who is being thus exposed of the corrective action being taken.</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6975" w:type="dxa"/>
                  <w:gridSpan w:val="2"/>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lastRenderedPageBreak/>
                    <w:t>(d) Any information obtained by the Secretary, the Secretary of Health and Human Services, or a State agency under this Act shall be obtained with a minimum burden upon employers, especially those operating small businesses. Unnecessary duplication of efforts in obtaining information shall be reduced to the maximum extent feasible.</w:t>
                  </w:r>
                  <w:r>
                    <w:rPr>
                      <w:rFonts w:ascii="Verdana" w:hAnsi="Verdana"/>
                      <w:color w:val="003399"/>
                      <w:sz w:val="19"/>
                      <w:szCs w:val="19"/>
                    </w:rPr>
                    <w:br/>
                  </w:r>
                  <w:r>
                    <w:rPr>
                      <w:rFonts w:ascii="Verdana" w:hAnsi="Verdana"/>
                      <w:color w:val="003399"/>
                      <w:sz w:val="19"/>
                      <w:szCs w:val="19"/>
                    </w:rPr>
                    <w:br/>
                    <w:t>(e) 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for the purpose of aiding such inspection. Where there is no authorized employee representative, the Secretary or his authorized representative shall consult with a reasonable number of employees concerning matters of health and safety in the workplace.</w:t>
                  </w:r>
                  <w:r>
                    <w:rPr>
                      <w:rFonts w:ascii="Verdana" w:hAnsi="Verdana"/>
                      <w:color w:val="003399"/>
                      <w:sz w:val="19"/>
                      <w:szCs w:val="19"/>
                    </w:rPr>
                    <w:br/>
                  </w:r>
                  <w:r>
                    <w:rPr>
                      <w:rFonts w:ascii="Verdana" w:hAnsi="Verdana"/>
                      <w:color w:val="003399"/>
                      <w:sz w:val="19"/>
                      <w:szCs w:val="19"/>
                    </w:rPr>
                    <w:br/>
                    <w:t>(f) (1)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0" w:type="auto"/>
                  <w:shd w:val="clear" w:color="auto" w:fill="auto"/>
                  <w:vAlign w:val="center"/>
                </w:tcPr>
                <w:p w:rsidR="006E00FE" w:rsidRDefault="006E00FE" w:rsidP="002F7700">
                  <w:r>
                    <w:t> </w:t>
                  </w:r>
                </w:p>
              </w:tc>
              <w:tc>
                <w:tcPr>
                  <w:tcW w:w="6645" w:type="dxa"/>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 xml:space="preserve">(2) Prior to or during any inspection of a workplace, any employees </w:t>
                  </w:r>
                  <w:r>
                    <w:rPr>
                      <w:rFonts w:ascii="Verdana" w:hAnsi="Verdana"/>
                      <w:color w:val="003399"/>
                      <w:sz w:val="19"/>
                      <w:szCs w:val="19"/>
                    </w:rPr>
                    <w:lastRenderedPageBreak/>
                    <w:t>or representative of employees employed in such workplace may notify the Secretary or any representative of the Secretary responsible for conducting the inspection, in writing, of any violation of this Act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6975" w:type="dxa"/>
                  <w:gridSpan w:val="2"/>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lastRenderedPageBreak/>
                    <w:t>(g) (1) The Secretary and Secretary of Health and Human Services are authorized to compile, analyze, and publish, either in summary or detailed form, all reports or information obtained under this section.</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0" w:type="auto"/>
                  <w:shd w:val="clear" w:color="auto" w:fill="auto"/>
                  <w:vAlign w:val="center"/>
                </w:tcPr>
                <w:p w:rsidR="006E00FE" w:rsidRDefault="006E00FE" w:rsidP="002F7700">
                  <w:r>
                    <w:t> </w:t>
                  </w:r>
                </w:p>
              </w:tc>
              <w:tc>
                <w:tcPr>
                  <w:tcW w:w="6645" w:type="dxa"/>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(2) The Secretary and the Secretary of Health and Human Services shall each prescribe such rules and regulations as he may deem necessary to carry out their responsibilities under this Act, including rules and regulations dealing with the inspection of an employer's establishment.</w:t>
                  </w:r>
                </w:p>
              </w:tc>
              <w:tc>
                <w:tcPr>
                  <w:tcW w:w="2535" w:type="dxa"/>
                  <w:vMerge/>
                  <w:shd w:val="clear" w:color="auto" w:fill="auto"/>
                  <w:vAlign w:val="center"/>
                </w:tcPr>
                <w:p w:rsidR="006E00FE" w:rsidRDefault="006E00FE" w:rsidP="002F7700">
                  <w:pPr>
                    <w:rPr>
                      <w:rFonts w:ascii="Verdana" w:hAnsi="Verdana"/>
                      <w:color w:val="003399"/>
                      <w:sz w:val="19"/>
                      <w:szCs w:val="19"/>
                    </w:rPr>
                  </w:pPr>
                </w:p>
              </w:tc>
            </w:tr>
            <w:tr w:rsidR="006E00FE" w:rsidTr="002F7700">
              <w:trPr>
                <w:tblCellSpacing w:w="15" w:type="dxa"/>
              </w:trPr>
              <w:tc>
                <w:tcPr>
                  <w:tcW w:w="6975" w:type="dxa"/>
                  <w:gridSpan w:val="2"/>
                  <w:shd w:val="clear" w:color="auto" w:fill="auto"/>
                  <w:vAlign w:val="center"/>
                </w:tcPr>
                <w:p w:rsidR="006E00FE" w:rsidRDefault="006E00FE" w:rsidP="002F7700">
                  <w:pPr>
                    <w:spacing w:after="240"/>
                    <w:rPr>
                      <w:rFonts w:ascii="Verdana" w:hAnsi="Verdana"/>
                      <w:color w:val="003399"/>
                      <w:sz w:val="19"/>
                      <w:szCs w:val="19"/>
                    </w:rPr>
                  </w:pPr>
                  <w:r>
                    <w:rPr>
                      <w:rFonts w:ascii="Verdana" w:hAnsi="Verdana"/>
                      <w:color w:val="003399"/>
                      <w:sz w:val="19"/>
                      <w:szCs w:val="19"/>
                    </w:rPr>
                    <w:t>(h) The Secretary shall not use the results of enforcement activities, such as the number of citations issued or penalties assessed, to evaluate employees directly involved in enforcement activities under this Act or to impose quotas or goals with regard to the results of such activities.</w:t>
                  </w:r>
                </w:p>
              </w:tc>
              <w:tc>
                <w:tcPr>
                  <w:tcW w:w="2535" w:type="dxa"/>
                  <w:shd w:val="clear" w:color="auto" w:fill="auto"/>
                </w:tcPr>
                <w:p w:rsidR="006E00FE" w:rsidRDefault="006E00FE" w:rsidP="002F7700">
                  <w:pPr>
                    <w:jc w:val="right"/>
                    <w:rPr>
                      <w:rFonts w:ascii="Verdana" w:hAnsi="Verdana"/>
                      <w:color w:val="003399"/>
                      <w:sz w:val="19"/>
                      <w:szCs w:val="19"/>
                    </w:rPr>
                  </w:pPr>
                  <w:r>
                    <w:rPr>
                      <w:rFonts w:ascii="Verdana" w:hAnsi="Verdana"/>
                      <w:color w:val="003399"/>
                      <w:sz w:val="19"/>
                      <w:szCs w:val="19"/>
                    </w:rPr>
                    <w:t>Pub. L. 105-198 added subsection (h).</w:t>
                  </w:r>
                </w:p>
              </w:tc>
            </w:tr>
          </w:tbl>
          <w:p w:rsidR="006E00FE" w:rsidRDefault="006E00FE" w:rsidP="002F7700">
            <w:r>
              <w:pict>
                <v:rect id="_x0000_i1025" style="width:0;height:.75pt" o:hralign="center" o:hrstd="t" o:hrnoshade="t" o:hr="t" fillcolor="#039" stroked="f"/>
              </w:pict>
            </w:r>
          </w:p>
        </w:tc>
      </w:tr>
    </w:tbl>
    <w:p w:rsidR="005273E6" w:rsidRPr="006E00FE" w:rsidRDefault="005273E6" w:rsidP="006E00FE">
      <w:bookmarkStart w:id="1" w:name="_GoBack"/>
      <w:bookmarkEnd w:id="1"/>
    </w:p>
    <w:sectPr w:rsidR="005273E6" w:rsidRPr="006E0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FE"/>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00FE"/>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71995"/>
    <w:rsid w:val="00C824A9"/>
    <w:rsid w:val="00D01397"/>
    <w:rsid w:val="00D0218B"/>
    <w:rsid w:val="00D0252D"/>
    <w:rsid w:val="00D06EC7"/>
    <w:rsid w:val="00D31833"/>
    <w:rsid w:val="00D8538B"/>
    <w:rsid w:val="00D92FF9"/>
    <w:rsid w:val="00D93982"/>
    <w:rsid w:val="00DD3044"/>
    <w:rsid w:val="00DF3542"/>
    <w:rsid w:val="00E40DBB"/>
    <w:rsid w:val="00E42E6B"/>
    <w:rsid w:val="00E80A21"/>
    <w:rsid w:val="00E91312"/>
    <w:rsid w:val="00E913CE"/>
    <w:rsid w:val="00E95C50"/>
    <w:rsid w:val="00EB72DB"/>
    <w:rsid w:val="00EC7860"/>
    <w:rsid w:val="00F3565E"/>
    <w:rsid w:val="00F45160"/>
    <w:rsid w:val="00F54289"/>
    <w:rsid w:val="00F97A21"/>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FE"/>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FE"/>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2015-07-16T19:18:00Z</dcterms:created>
  <dcterms:modified xsi:type="dcterms:W3CDTF">2015-07-16T19:32:00Z</dcterms:modified>
</cp:coreProperties>
</file>