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3"/>
        <w:gridCol w:w="722"/>
        <w:gridCol w:w="936"/>
        <w:gridCol w:w="936"/>
        <w:gridCol w:w="896"/>
        <w:gridCol w:w="896"/>
        <w:gridCol w:w="936"/>
        <w:gridCol w:w="936"/>
      </w:tblGrid>
      <w:tr w:rsidR="001B3A2E" w:rsidRPr="001B3A2E" w:rsidTr="001B3A2E">
        <w:trPr>
          <w:trHeight w:val="217"/>
          <w:tblHeader/>
          <w:tblCellSpacing w:w="0" w:type="dxa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before="240" w:after="0" w:line="240" w:lineRule="auto"/>
              <w:rPr>
                <w:rFonts w:ascii="Tahoma" w:eastAsia="Times New Roman" w:hAnsi="Tahoma" w:cs="Tahoma"/>
                <w:color w:val="660000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660000"/>
                <w:sz w:val="20"/>
                <w:szCs w:val="20"/>
              </w:rPr>
              <w:t>ESTABLISHMENT DATA</w:t>
            </w:r>
            <w:r w:rsidRPr="001B3A2E">
              <w:rPr>
                <w:rFonts w:ascii="Tahoma" w:eastAsia="Times New Roman" w:hAnsi="Tahoma" w:cs="Tahoma"/>
                <w:b/>
                <w:bCs/>
                <w:color w:val="660000"/>
                <w:sz w:val="20"/>
                <w:szCs w:val="20"/>
              </w:rPr>
              <w:br/>
              <w:t>Table B-8. Average hourly and weekly earnings of production and nonsupervisory employees on private nonfarm payrolls by industry sector, seasonally adjusted</w:t>
            </w:r>
            <w:r w:rsidRPr="001B3A2E">
              <w:rPr>
                <w:rFonts w:ascii="Tahoma" w:eastAsia="Times New Roman" w:hAnsi="Tahoma" w:cs="Tahoma"/>
                <w:b/>
                <w:bCs/>
                <w:color w:val="660000"/>
                <w:sz w:val="15"/>
                <w:szCs w:val="15"/>
              </w:rPr>
              <w:t>(</w:t>
            </w:r>
            <w:hyperlink r:id="rId5" w:anchor="ces_table8.f.1" w:tooltip="Click to jump to footnotes at bottom of the table" w:history="1">
              <w:r w:rsidRPr="001B3A2E">
                <w:rPr>
                  <w:rFonts w:ascii="Tahoma" w:eastAsia="Times New Roman" w:hAnsi="Tahoma" w:cs="Tahoma"/>
                  <w:b/>
                  <w:bCs/>
                  <w:color w:val="0000FF"/>
                  <w:sz w:val="15"/>
                  <w:szCs w:val="15"/>
                  <w:u w:val="single"/>
                </w:rPr>
                <w:t>1</w:t>
              </w:r>
            </w:hyperlink>
            <w:r w:rsidRPr="001B3A2E">
              <w:rPr>
                <w:rFonts w:ascii="Tahoma" w:eastAsia="Times New Roman" w:hAnsi="Tahoma" w:cs="Tahoma"/>
                <w:b/>
                <w:bCs/>
                <w:color w:val="660000"/>
                <w:sz w:val="15"/>
                <w:szCs w:val="15"/>
              </w:rPr>
              <w:t>)</w:t>
            </w:r>
          </w:p>
        </w:tc>
      </w:tr>
      <w:tr w:rsidR="001B3A2E" w:rsidRPr="001B3A2E" w:rsidTr="001B3A2E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Industry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Average hourly earnings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Average weekly earnings</w:t>
            </w:r>
          </w:p>
        </w:tc>
      </w:tr>
      <w:tr w:rsidR="001B3A2E" w:rsidRPr="001B3A2E" w:rsidTr="001B3A2E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June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Apr.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May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2015</w:t>
            </w:r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(</w:t>
            </w:r>
            <w:hyperlink r:id="rId6" w:anchor="ces_table8.f.p" w:tooltip="Preliminary" w:history="1">
              <w:r w:rsidRPr="001B3A2E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p</w:t>
              </w:r>
            </w:hyperlink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June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2015</w:t>
            </w:r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(</w:t>
            </w:r>
            <w:hyperlink r:id="rId7" w:anchor="ces_table8.f.p" w:tooltip="Preliminary" w:history="1">
              <w:r w:rsidRPr="001B3A2E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p</w:t>
              </w:r>
            </w:hyperlink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June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Apr.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May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2015</w:t>
            </w:r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(</w:t>
            </w:r>
            <w:hyperlink r:id="rId8" w:anchor="ces_table8.f.p" w:tooltip="Preliminary" w:history="1">
              <w:r w:rsidRPr="001B3A2E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p</w:t>
              </w:r>
            </w:hyperlink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B3A2E" w:rsidRPr="001B3A2E" w:rsidRDefault="001B3A2E" w:rsidP="001B3A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June</w:t>
            </w:r>
            <w:r w:rsidRPr="001B3A2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2015</w:t>
            </w:r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(</w:t>
            </w:r>
            <w:hyperlink r:id="rId9" w:anchor="ces_table8.f.p" w:tooltip="Preliminary" w:history="1">
              <w:r w:rsidRPr="001B3A2E">
                <w:rPr>
                  <w:rFonts w:ascii="Tahoma" w:eastAsia="Times New Roman" w:hAnsi="Tahoma" w:cs="Tahoma"/>
                  <w:b/>
                  <w:bCs/>
                  <w:color w:val="0000FF"/>
                  <w:sz w:val="14"/>
                  <w:szCs w:val="14"/>
                  <w:u w:val="single"/>
                </w:rPr>
                <w:t>p</w:t>
              </w:r>
            </w:hyperlink>
            <w:r w:rsidRPr="001B3A2E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)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Total private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$20.59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$20.91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$20.97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$20.99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$693.88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$702.58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$704.59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$705.26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Goods-producing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21.57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21.86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21.90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21.96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897.31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900.63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900.09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906.95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Mining and logging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26.84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26.27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26.42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26.43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1,272.22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1,203.17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1,204.75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1,194.64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Construction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24.66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25.14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25.18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25.26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979.00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993.03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992.09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1,007.87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Manufacturing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19.55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19.80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19.84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19.88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823.06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827.64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829.31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830.98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Durable goods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879.69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876.54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880.73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882.84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Nondurable goods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17.71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733.19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746.44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744.64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745.88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Private service-providing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657.95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671.00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672.95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673.27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Trade, transportation, and utilities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613.54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623.28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624.62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624.29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Wholesale trade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23.19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23.54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23.65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23.56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895.13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908.64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910.53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909.42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Retail trade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14.40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14.67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14.71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14.76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432.00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440.10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441.30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442.80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Transportation and warehousing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20.63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786.68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798.63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799.93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796.32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Utilities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32.81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33.88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34.04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33.83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1,387.86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1,436.51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1,439.89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1,414.09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Information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28.69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28.77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28.91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28.83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1,029.97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1,035.72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1,037.87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1,029.23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Financial activities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24.66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25.20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25.26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25.35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905.02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932.40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939.67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937.95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Professional and business services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24.29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24.60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24.69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24.71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859.87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865.92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871.56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872.26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Education and health services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21.61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21.97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22.04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22.07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689.36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705.24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707.48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708.45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BEAFF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Leisure and hospitality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12.06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12.37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12.38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12.37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302.71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309.25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309.50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F4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309.25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Other services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18.91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567.03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574.67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577.12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sz w:val="18"/>
                <w:szCs w:val="18"/>
              </w:rPr>
              <w:t>578.65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0" w:line="336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gramStart"/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Footnotes</w:t>
            </w:r>
            <w:proofErr w:type="gramEnd"/>
            <w:r w:rsidRPr="001B3A2E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bookmarkStart w:id="0" w:name="ces_table8.f.1"/>
            <w:r w:rsidRPr="001B3A2E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(1) </w:t>
            </w:r>
            <w:bookmarkEnd w:id="0"/>
            <w:r w:rsidRPr="001B3A2E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Data relate to production employees in mining and logging and manufacturing, construction employees in construction, and nonsupervisory employees in the service-providing industries. These groups account for approximately four-fifths of the total employment on private nonfarm payrolls.</w:t>
            </w:r>
            <w:r w:rsidRPr="001B3A2E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bookmarkStart w:id="1" w:name="ces_table8.f.p"/>
            <w:r w:rsidRPr="001B3A2E">
              <w:rPr>
                <w:rFonts w:ascii="Tahoma" w:eastAsia="Times New Roman" w:hAnsi="Tahoma" w:cs="Tahoma"/>
                <w:color w:val="003399"/>
                <w:sz w:val="18"/>
                <w:szCs w:val="18"/>
                <w:u w:val="single"/>
              </w:rPr>
              <w:t xml:space="preserve">(p) </w:t>
            </w:r>
            <w:bookmarkEnd w:id="1"/>
            <w:r w:rsidRPr="001B3A2E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Preliminary</w:t>
            </w:r>
          </w:p>
        </w:tc>
      </w:tr>
      <w:tr w:rsidR="001B3A2E" w:rsidRPr="001B3A2E" w:rsidTr="001B3A2E"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A2E" w:rsidRPr="001B3A2E" w:rsidRDefault="001B3A2E" w:rsidP="001B3A2E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B3A2E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NOTE: Data have been revised to reflect March 2014 benchmark levels and updated seasonal adjustment factors.</w:t>
            </w:r>
          </w:p>
        </w:tc>
      </w:tr>
    </w:tbl>
    <w:p w:rsidR="00882B08" w:rsidRDefault="00245D52">
      <w:bookmarkStart w:id="2" w:name="_GoBack"/>
      <w:bookmarkEnd w:id="2"/>
    </w:p>
    <w:sectPr w:rsidR="0088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6B"/>
    <w:rsid w:val="001B3A2E"/>
    <w:rsid w:val="00221F25"/>
    <w:rsid w:val="00245D52"/>
    <w:rsid w:val="00BD2D6B"/>
    <w:rsid w:val="00C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news.release/empsi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s.gov/news.release/empsi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s.gov/news.release/empsi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ls.gov/news.release/empsit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s.gov/news.release/empsi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Sharpless, Marcus J - OWCP</cp:lastModifiedBy>
  <cp:revision>2</cp:revision>
  <dcterms:created xsi:type="dcterms:W3CDTF">2015-07-20T15:04:00Z</dcterms:created>
  <dcterms:modified xsi:type="dcterms:W3CDTF">2015-07-20T15:04:00Z</dcterms:modified>
</cp:coreProperties>
</file>