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77" w:rsidRDefault="00885C77">
      <w:pPr>
        <w:pStyle w:val="C1-CtrBoldHd"/>
        <w:spacing w:after="0"/>
        <w:rPr>
          <w:color w:val="FFFF00"/>
          <w:sz w:val="28"/>
        </w:rPr>
      </w:pPr>
    </w:p>
    <w:p w:rsidR="00885C77" w:rsidRDefault="00885C77">
      <w:pPr>
        <w:pStyle w:val="C1-CtrBoldHd"/>
        <w:spacing w:after="0"/>
        <w:rPr>
          <w:color w:val="FFFF00"/>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32"/>
        </w:rPr>
      </w:pPr>
      <w:r>
        <w:rPr>
          <w:sz w:val="32"/>
        </w:rPr>
        <w:t xml:space="preserve">PROGRAM FOR INTERNATIONAL STUDENT ASSESSMENT </w:t>
      </w:r>
      <w:r w:rsidR="00C23FFC">
        <w:rPr>
          <w:sz w:val="32"/>
        </w:rPr>
        <w:t xml:space="preserve">2012 </w:t>
      </w:r>
      <w:r w:rsidR="005108DD">
        <w:rPr>
          <w:sz w:val="32"/>
        </w:rPr>
        <w:t>(PISA</w:t>
      </w:r>
      <w:r w:rsidR="00C23FFC">
        <w:rPr>
          <w:sz w:val="32"/>
        </w:rPr>
        <w:t>:2012</w:t>
      </w:r>
      <w:r w:rsidR="005108DD">
        <w:rPr>
          <w:sz w:val="32"/>
        </w:rPr>
        <w:t xml:space="preserve">) </w:t>
      </w:r>
      <w:r>
        <w:rPr>
          <w:sz w:val="32"/>
        </w:rPr>
        <w:t>Validation Study</w:t>
      </w:r>
      <w:r w:rsidR="00C23FFC">
        <w:rPr>
          <w:sz w:val="32"/>
        </w:rPr>
        <w:t xml:space="preserve"> 2015 Field test and main study</w:t>
      </w: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28"/>
        </w:rPr>
      </w:pPr>
      <w:r>
        <w:rPr>
          <w:sz w:val="28"/>
        </w:rPr>
        <w:t>REQUEST FOR OMB Clearance</w:t>
      </w:r>
    </w:p>
    <w:p w:rsidR="00885C77" w:rsidRDefault="005715D3">
      <w:pPr>
        <w:pStyle w:val="C1-CtrBoldHd"/>
        <w:spacing w:after="0"/>
        <w:rPr>
          <w:sz w:val="28"/>
        </w:rPr>
      </w:pPr>
      <w:r>
        <w:rPr>
          <w:sz w:val="28"/>
        </w:rPr>
        <w:t>OMB# 1850-</w:t>
      </w:r>
      <w:r w:rsidR="00027FFD">
        <w:rPr>
          <w:sz w:val="28"/>
        </w:rPr>
        <w:t xml:space="preserve">0900 </w:t>
      </w:r>
      <w:r w:rsidR="00683E30">
        <w:rPr>
          <w:caps w:val="0"/>
          <w:sz w:val="28"/>
        </w:rPr>
        <w:t>v</w:t>
      </w:r>
      <w:r w:rsidR="00027FFD">
        <w:rPr>
          <w:sz w:val="28"/>
        </w:rPr>
        <w:t>.</w:t>
      </w:r>
      <w:r w:rsidR="00683E30">
        <w:rPr>
          <w:sz w:val="28"/>
        </w:rPr>
        <w:t>2</w:t>
      </w:r>
    </w:p>
    <w:p w:rsidR="00885C77" w:rsidRDefault="00885C77">
      <w:pPr>
        <w:pStyle w:val="C1-CtrBoldHd"/>
        <w:spacing w:after="0"/>
        <w:rPr>
          <w:sz w:val="28"/>
        </w:rPr>
      </w:pPr>
    </w:p>
    <w:p w:rsidR="00885C77" w:rsidRPr="00683E30" w:rsidRDefault="00885C77">
      <w:pPr>
        <w:pStyle w:val="C1-CtrBoldHd"/>
        <w:spacing w:after="0"/>
        <w:rPr>
          <w:sz w:val="28"/>
        </w:rPr>
      </w:pPr>
    </w:p>
    <w:p w:rsidR="00885C77" w:rsidRPr="00683E30" w:rsidRDefault="005715D3">
      <w:pPr>
        <w:pStyle w:val="C1-CtrBoldHd"/>
        <w:spacing w:after="0"/>
        <w:rPr>
          <w:sz w:val="32"/>
        </w:rPr>
      </w:pPr>
      <w:r w:rsidRPr="00683E30">
        <w:rPr>
          <w:caps w:val="0"/>
          <w:sz w:val="32"/>
        </w:rPr>
        <w:t>SUPPORTING STATEMENT PART A</w:t>
      </w:r>
      <w:bookmarkStart w:id="0" w:name="_GoBack"/>
      <w:bookmarkEnd w:id="0"/>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caps w:val="0"/>
        </w:rPr>
      </w:pPr>
      <w:r>
        <w:rPr>
          <w:caps w:val="0"/>
        </w:rPr>
        <w:t>Submitted by:</w:t>
      </w:r>
    </w:p>
    <w:p w:rsidR="00885C77" w:rsidRDefault="00885C77">
      <w:pPr>
        <w:pStyle w:val="C1-CtrBoldHd"/>
        <w:spacing w:after="0"/>
      </w:pPr>
    </w:p>
    <w:p w:rsidR="00885C77" w:rsidRDefault="005715D3">
      <w:pPr>
        <w:pStyle w:val="C1-CtrBoldHd"/>
        <w:spacing w:after="0"/>
      </w:pPr>
      <w:r>
        <w:rPr>
          <w:caps w:val="0"/>
        </w:rPr>
        <w:t>National Center for Education Statistics</w:t>
      </w:r>
    </w:p>
    <w:p w:rsidR="00885C77" w:rsidRDefault="005715D3">
      <w:pPr>
        <w:pStyle w:val="C1-CtrBoldHd"/>
        <w:spacing w:after="0"/>
        <w:rPr>
          <w:caps w:val="0"/>
        </w:rPr>
      </w:pPr>
      <w:r>
        <w:rPr>
          <w:caps w:val="0"/>
        </w:rPr>
        <w:t>U.S. Department of Education</w:t>
      </w:r>
    </w:p>
    <w:p w:rsidR="00885C77" w:rsidRDefault="005715D3">
      <w:pPr>
        <w:pStyle w:val="C1-CtrBoldHd"/>
        <w:spacing w:after="0"/>
      </w:pPr>
      <w:r>
        <w:rPr>
          <w:caps w:val="0"/>
        </w:rPr>
        <w:t>Institute of Education Sciences</w:t>
      </w:r>
    </w:p>
    <w:p w:rsidR="00885C77" w:rsidRDefault="005715D3">
      <w:pPr>
        <w:pStyle w:val="C1-CtrBoldHd"/>
        <w:spacing w:after="0"/>
      </w:pPr>
      <w:r>
        <w:rPr>
          <w:caps w:val="0"/>
        </w:rPr>
        <w:t>Washington, DC</w:t>
      </w:r>
    </w:p>
    <w:p w:rsidR="00885C77" w:rsidRDefault="00885C77">
      <w:pPr>
        <w:pStyle w:val="C1-CtrBoldHd"/>
        <w:spacing w:after="0"/>
      </w:pPr>
    </w:p>
    <w:p w:rsidR="00885C77" w:rsidRDefault="00885C77">
      <w:pPr>
        <w:pStyle w:val="C1-CtrBoldHd"/>
        <w:spacing w:after="0"/>
      </w:pPr>
    </w:p>
    <w:p w:rsidR="00885C77" w:rsidRDefault="00214080">
      <w:pPr>
        <w:pStyle w:val="C1-CtrBoldHd"/>
        <w:spacing w:after="0"/>
        <w:rPr>
          <w:caps w:val="0"/>
        </w:rPr>
      </w:pPr>
      <w:r>
        <w:rPr>
          <w:caps w:val="0"/>
        </w:rPr>
        <w:t>December</w:t>
      </w:r>
      <w:r w:rsidR="005033BA">
        <w:rPr>
          <w:caps w:val="0"/>
        </w:rPr>
        <w:t xml:space="preserve"> </w:t>
      </w:r>
      <w:r w:rsidR="0052355F">
        <w:rPr>
          <w:caps w:val="0"/>
        </w:rPr>
        <w:t>8</w:t>
      </w:r>
      <w:r w:rsidR="00A71E52">
        <w:rPr>
          <w:caps w:val="0"/>
        </w:rPr>
        <w:t>, 2014</w:t>
      </w:r>
    </w:p>
    <w:p w:rsidR="0040705C" w:rsidRDefault="0040705C">
      <w:pPr>
        <w:pStyle w:val="C1-CtrBoldHd"/>
        <w:spacing w:after="0"/>
        <w:rPr>
          <w:caps w:val="0"/>
        </w:rPr>
      </w:pPr>
      <w:r>
        <w:rPr>
          <w:caps w:val="0"/>
        </w:rPr>
        <w:t>Revised July 22, 2015</w:t>
      </w:r>
    </w:p>
    <w:p w:rsidR="00885C77" w:rsidRDefault="00885C77">
      <w:pPr>
        <w:pStyle w:val="C2-CtrSglSp"/>
        <w:rPr>
          <w:rFonts w:ascii="Garamond" w:hAnsi="Garamond"/>
          <w:sz w:val="24"/>
        </w:rPr>
      </w:pPr>
    </w:p>
    <w:p w:rsidR="00885C77" w:rsidRDefault="00885C77">
      <w:pPr>
        <w:jc w:val="left"/>
        <w:sectPr w:rsidR="00885C77">
          <w:headerReference w:type="default" r:id="rId12"/>
          <w:footerReference w:type="default" r:id="rId13"/>
          <w:pgSz w:w="12240" w:h="15840"/>
          <w:pgMar w:top="1440" w:right="1296" w:bottom="1296" w:left="1296" w:header="720" w:footer="576" w:gutter="0"/>
          <w:cols w:sep="1" w:space="720"/>
        </w:sectPr>
      </w:pPr>
    </w:p>
    <w:p w:rsidR="00885C77" w:rsidRDefault="00885C77">
      <w:pPr>
        <w:pStyle w:val="Title"/>
        <w:rPr>
          <w:rFonts w:ascii="Garamond" w:hAnsi="Garamond"/>
        </w:rPr>
      </w:pPr>
    </w:p>
    <w:p w:rsidR="00885C77" w:rsidRDefault="00885C77">
      <w:pPr>
        <w:pStyle w:val="Title"/>
        <w:rPr>
          <w:rFonts w:ascii="Garamond" w:hAnsi="Garamond"/>
        </w:rPr>
      </w:pPr>
    </w:p>
    <w:p w:rsidR="00885C77" w:rsidRDefault="005715D3">
      <w:pPr>
        <w:pStyle w:val="Title"/>
        <w:rPr>
          <w:rFonts w:ascii="Garamond" w:hAnsi="Garamond"/>
        </w:rPr>
      </w:pPr>
      <w:r>
        <w:rPr>
          <w:rFonts w:ascii="Garamond" w:hAnsi="Garamond"/>
        </w:rPr>
        <w:t>TABLE OF CONTENTS</w:t>
      </w:r>
    </w:p>
    <w:p w:rsidR="00885C77" w:rsidRDefault="00885C77">
      <w:pPr>
        <w:pStyle w:val="TOC1"/>
      </w:pPr>
    </w:p>
    <w:p w:rsidR="000E5C5B" w:rsidRPr="000E5C5B" w:rsidRDefault="00D525FE" w:rsidP="006E23AD">
      <w:pPr>
        <w:pStyle w:val="TOC1"/>
        <w:tabs>
          <w:tab w:val="clear" w:pos="720"/>
          <w:tab w:val="left" w:pos="900"/>
        </w:tabs>
        <w:ind w:left="900" w:hanging="540"/>
        <w:rPr>
          <w:rFonts w:eastAsiaTheme="minorEastAsia" w:cstheme="minorBidi"/>
          <w:b w:val="0"/>
          <w:noProof/>
          <w:szCs w:val="24"/>
        </w:rPr>
      </w:pPr>
      <w:r w:rsidRPr="000E5C5B">
        <w:rPr>
          <w:b w:val="0"/>
          <w:szCs w:val="24"/>
        </w:rPr>
        <w:fldChar w:fldCharType="begin"/>
      </w:r>
      <w:r w:rsidR="005715D3" w:rsidRPr="000E5C5B">
        <w:rPr>
          <w:b w:val="0"/>
          <w:szCs w:val="24"/>
        </w:rPr>
        <w:instrText xml:space="preserve"> TOC \h \z \t "Heading 1,2,Heading 2,3,Heading 3,4,Heading 0,1" </w:instrText>
      </w:r>
      <w:r w:rsidRPr="000E5C5B">
        <w:rPr>
          <w:b w:val="0"/>
          <w:szCs w:val="24"/>
        </w:rPr>
        <w:fldChar w:fldCharType="separate"/>
      </w:r>
      <w:hyperlink w:anchor="_Toc360194144" w:history="1">
        <w:r w:rsidR="000E5C5B" w:rsidRPr="000E5C5B">
          <w:rPr>
            <w:rStyle w:val="Hyperlink"/>
            <w:noProof/>
            <w:szCs w:val="24"/>
          </w:rPr>
          <w:t>PREFACE</w:t>
        </w:r>
        <w:r w:rsidR="000E5C5B" w:rsidRPr="000E5C5B">
          <w:rPr>
            <w:noProof/>
            <w:webHidden/>
            <w:szCs w:val="24"/>
          </w:rPr>
          <w:tab/>
        </w:r>
        <w:r w:rsidRPr="000E5C5B">
          <w:rPr>
            <w:noProof/>
            <w:webHidden/>
            <w:szCs w:val="24"/>
          </w:rPr>
          <w:fldChar w:fldCharType="begin"/>
        </w:r>
        <w:r w:rsidR="000E5C5B" w:rsidRPr="000E5C5B">
          <w:rPr>
            <w:noProof/>
            <w:webHidden/>
            <w:szCs w:val="24"/>
          </w:rPr>
          <w:instrText xml:space="preserve"> PAGEREF _Toc360194144 \h </w:instrText>
        </w:r>
        <w:r w:rsidRPr="000E5C5B">
          <w:rPr>
            <w:noProof/>
            <w:webHidden/>
            <w:szCs w:val="24"/>
          </w:rPr>
        </w:r>
        <w:r w:rsidRPr="000E5C5B">
          <w:rPr>
            <w:noProof/>
            <w:webHidden/>
            <w:szCs w:val="24"/>
          </w:rPr>
          <w:fldChar w:fldCharType="separate"/>
        </w:r>
        <w:r w:rsidR="008B1851">
          <w:rPr>
            <w:noProof/>
            <w:webHidden/>
            <w:szCs w:val="24"/>
          </w:rPr>
          <w:t>3</w:t>
        </w:r>
        <w:r w:rsidRPr="000E5C5B">
          <w:rPr>
            <w:noProof/>
            <w:webHidden/>
            <w:szCs w:val="24"/>
          </w:rPr>
          <w:fldChar w:fldCharType="end"/>
        </w:r>
      </w:hyperlink>
    </w:p>
    <w:p w:rsidR="000E5C5B" w:rsidRDefault="000E5C5B" w:rsidP="006E23AD">
      <w:pPr>
        <w:pStyle w:val="TOC1"/>
        <w:tabs>
          <w:tab w:val="clear" w:pos="720"/>
          <w:tab w:val="left" w:pos="900"/>
        </w:tabs>
        <w:ind w:left="900" w:hanging="540"/>
        <w:rPr>
          <w:rStyle w:val="Hyperlink"/>
          <w:noProof/>
          <w:szCs w:val="24"/>
        </w:rPr>
      </w:pPr>
    </w:p>
    <w:p w:rsidR="000E5C5B" w:rsidRPr="000E5C5B" w:rsidRDefault="008B1851" w:rsidP="006E23AD">
      <w:pPr>
        <w:pStyle w:val="TOC1"/>
        <w:tabs>
          <w:tab w:val="clear" w:pos="720"/>
          <w:tab w:val="left" w:pos="900"/>
        </w:tabs>
        <w:ind w:left="900" w:hanging="540"/>
        <w:rPr>
          <w:rFonts w:eastAsiaTheme="minorEastAsia" w:cstheme="minorBidi"/>
          <w:b w:val="0"/>
          <w:noProof/>
          <w:szCs w:val="24"/>
        </w:rPr>
      </w:pPr>
      <w:hyperlink w:anchor="_Toc360194145" w:history="1">
        <w:r w:rsidR="000E5C5B" w:rsidRPr="000E5C5B">
          <w:rPr>
            <w:rStyle w:val="Hyperlink"/>
            <w:noProof/>
            <w:szCs w:val="24"/>
          </w:rPr>
          <w:t>A. JUSTIFICATION</w:t>
        </w:r>
        <w:r w:rsidR="000E5C5B" w:rsidRPr="000E5C5B">
          <w:rPr>
            <w:noProof/>
            <w:webHidden/>
            <w:szCs w:val="24"/>
          </w:rPr>
          <w:tab/>
        </w:r>
        <w:r w:rsidR="00D525FE" w:rsidRPr="000E5C5B">
          <w:rPr>
            <w:noProof/>
            <w:webHidden/>
            <w:szCs w:val="24"/>
          </w:rPr>
          <w:fldChar w:fldCharType="begin"/>
        </w:r>
        <w:r w:rsidR="000E5C5B" w:rsidRPr="000E5C5B">
          <w:rPr>
            <w:noProof/>
            <w:webHidden/>
            <w:szCs w:val="24"/>
          </w:rPr>
          <w:instrText xml:space="preserve"> PAGEREF _Toc360194145 \h </w:instrText>
        </w:r>
        <w:r w:rsidR="00D525FE" w:rsidRPr="000E5C5B">
          <w:rPr>
            <w:noProof/>
            <w:webHidden/>
            <w:szCs w:val="24"/>
          </w:rPr>
        </w:r>
        <w:r w:rsidR="00D525FE" w:rsidRPr="000E5C5B">
          <w:rPr>
            <w:noProof/>
            <w:webHidden/>
            <w:szCs w:val="24"/>
          </w:rPr>
          <w:fldChar w:fldCharType="separate"/>
        </w:r>
        <w:r>
          <w:rPr>
            <w:noProof/>
            <w:webHidden/>
            <w:szCs w:val="24"/>
          </w:rPr>
          <w:t>3</w:t>
        </w:r>
        <w:r w:rsidR="00D525FE" w:rsidRPr="000E5C5B">
          <w:rPr>
            <w:noProof/>
            <w:webHidden/>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46" w:history="1">
        <w:r w:rsidR="000E5C5B" w:rsidRPr="000E5C5B">
          <w:rPr>
            <w:rStyle w:val="Hyperlink"/>
            <w:rFonts w:ascii="Garamond" w:hAnsi="Garamond"/>
            <w:noProof/>
            <w:sz w:val="24"/>
            <w:szCs w:val="24"/>
          </w:rPr>
          <w:t>A.1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Importance of Information</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_Toc360194146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47" w:history="1">
        <w:r w:rsidR="000E5C5B" w:rsidRPr="000E5C5B">
          <w:rPr>
            <w:rStyle w:val="Hyperlink"/>
            <w:rFonts w:ascii="Garamond" w:hAnsi="Garamond"/>
            <w:noProof/>
            <w:sz w:val="24"/>
            <w:szCs w:val="24"/>
          </w:rPr>
          <w:t>A.2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Purposes and Uses of Data</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_Toc360194147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9</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48" w:history="1">
        <w:r w:rsidR="000E5C5B" w:rsidRPr="000E5C5B">
          <w:rPr>
            <w:rStyle w:val="Hyperlink"/>
            <w:rFonts w:ascii="Garamond" w:hAnsi="Garamond"/>
            <w:noProof/>
            <w:sz w:val="24"/>
            <w:szCs w:val="24"/>
          </w:rPr>
          <w:t>A.3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Use of Information Technology</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_Toc360194148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49" w:history="1">
        <w:r w:rsidR="000E5C5B" w:rsidRPr="000E5C5B">
          <w:rPr>
            <w:rStyle w:val="Hyperlink"/>
            <w:rFonts w:ascii="Garamond" w:hAnsi="Garamond"/>
            <w:noProof/>
            <w:sz w:val="24"/>
            <w:szCs w:val="24"/>
          </w:rPr>
          <w:t>A.4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Efforts to Identify Duplication</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_Toc360194149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0" w:history="1">
        <w:r w:rsidR="000E5C5B" w:rsidRPr="000E5C5B">
          <w:rPr>
            <w:rStyle w:val="Hyperlink"/>
            <w:rFonts w:ascii="Garamond" w:hAnsi="Garamond"/>
            <w:noProof/>
            <w:sz w:val="24"/>
            <w:szCs w:val="24"/>
          </w:rPr>
          <w:t>A.5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Minimizing Burden for Small Entities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_Toc360194150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1" w:history="1">
        <w:r w:rsidR="000E5C5B" w:rsidRPr="000E5C5B">
          <w:rPr>
            <w:rStyle w:val="Hyperlink"/>
            <w:rFonts w:ascii="Garamond" w:hAnsi="Garamond"/>
            <w:noProof/>
            <w:sz w:val="24"/>
            <w:szCs w:val="24"/>
          </w:rPr>
          <w:t>A.6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Frequency of Data Collection</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_Toc360194151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2" w:history="1">
        <w:r w:rsidR="000E5C5B" w:rsidRPr="000E5C5B">
          <w:rPr>
            <w:rStyle w:val="Hyperlink"/>
            <w:rFonts w:ascii="Garamond" w:hAnsi="Garamond"/>
            <w:noProof/>
            <w:sz w:val="24"/>
            <w:szCs w:val="24"/>
          </w:rPr>
          <w:t>A.7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Special Circumstances of Data Collection</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_Toc360194152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3" w:history="1">
        <w:r w:rsidR="000E5C5B" w:rsidRPr="000E5C5B">
          <w:rPr>
            <w:rStyle w:val="Hyperlink"/>
            <w:rFonts w:ascii="Garamond" w:hAnsi="Garamond"/>
            <w:noProof/>
            <w:sz w:val="24"/>
            <w:szCs w:val="24"/>
          </w:rPr>
          <w:t>A.8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Consultations Outside NCES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_Toc360194153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10</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4" w:history="1">
        <w:r w:rsidR="000E5C5B" w:rsidRPr="000E5C5B">
          <w:rPr>
            <w:rStyle w:val="Hyperlink"/>
            <w:rFonts w:ascii="Garamond" w:hAnsi="Garamond"/>
            <w:noProof/>
            <w:sz w:val="24"/>
            <w:szCs w:val="24"/>
          </w:rPr>
          <w:t>A.9</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Provision of Payments or Gifts to Respondents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_Toc360194154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11</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5" w:history="1">
        <w:r w:rsidR="000E5C5B" w:rsidRPr="000E5C5B">
          <w:rPr>
            <w:rStyle w:val="Hyperlink"/>
            <w:rFonts w:ascii="Garamond" w:hAnsi="Garamond"/>
            <w:noProof/>
            <w:sz w:val="24"/>
            <w:szCs w:val="24"/>
          </w:rPr>
          <w:t>A.10</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Assurance of Confidentiality</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_Toc360194155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11</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6" w:history="1">
        <w:r w:rsidR="000E5C5B" w:rsidRPr="000E5C5B">
          <w:rPr>
            <w:rStyle w:val="Hyperlink"/>
            <w:rFonts w:ascii="Garamond" w:hAnsi="Garamond"/>
            <w:noProof/>
            <w:sz w:val="24"/>
            <w:szCs w:val="24"/>
          </w:rPr>
          <w:t>A.11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Sensitive Questions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_Toc360194156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12</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7" w:history="1">
        <w:r w:rsidR="000E5C5B" w:rsidRPr="000E5C5B">
          <w:rPr>
            <w:rStyle w:val="Hyperlink"/>
            <w:rFonts w:ascii="Garamond" w:hAnsi="Garamond"/>
            <w:noProof/>
            <w:sz w:val="24"/>
            <w:szCs w:val="24"/>
          </w:rPr>
          <w:t>A.12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Response Burden</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_Toc360194157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12</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8" w:history="1">
        <w:r w:rsidR="000E5C5B" w:rsidRPr="000E5C5B">
          <w:rPr>
            <w:rStyle w:val="Hyperlink"/>
            <w:rFonts w:ascii="Garamond" w:hAnsi="Garamond"/>
            <w:noProof/>
            <w:sz w:val="24"/>
            <w:szCs w:val="24"/>
          </w:rPr>
          <w:t>A.13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Cost to Respondents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_Toc360194158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59" w:history="1">
        <w:r w:rsidR="000E5C5B" w:rsidRPr="000E5C5B">
          <w:rPr>
            <w:rStyle w:val="Hyperlink"/>
            <w:rFonts w:ascii="Garamond" w:hAnsi="Garamond"/>
            <w:noProof/>
            <w:sz w:val="24"/>
            <w:szCs w:val="24"/>
          </w:rPr>
          <w:t>A.14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Cost to Federal Government</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_Toc360194159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60" w:history="1">
        <w:r w:rsidR="000E5C5B" w:rsidRPr="000E5C5B">
          <w:rPr>
            <w:rStyle w:val="Hyperlink"/>
            <w:rFonts w:ascii="Garamond" w:hAnsi="Garamond"/>
            <w:noProof/>
            <w:sz w:val="24"/>
            <w:szCs w:val="24"/>
          </w:rPr>
          <w:t>A.15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Program Changes or Adjustments</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_Toc360194160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61" w:history="1">
        <w:r w:rsidR="000E5C5B" w:rsidRPr="000E5C5B">
          <w:rPr>
            <w:rStyle w:val="Hyperlink"/>
            <w:rFonts w:ascii="Garamond" w:hAnsi="Garamond"/>
            <w:noProof/>
            <w:sz w:val="24"/>
            <w:szCs w:val="24"/>
          </w:rPr>
          <w:t>A.16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Publication Plans and Timetable</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_Toc360194161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62" w:history="1">
        <w:r w:rsidR="000E5C5B" w:rsidRPr="000E5C5B">
          <w:rPr>
            <w:rStyle w:val="Hyperlink"/>
            <w:rFonts w:ascii="Garamond" w:hAnsi="Garamond"/>
            <w:noProof/>
            <w:sz w:val="24"/>
            <w:szCs w:val="24"/>
          </w:rPr>
          <w:t>A.17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Display OMB Expiration Date</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_Toc360194162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0E5C5B" w:rsidRPr="000E5C5B" w:rsidRDefault="008B1851" w:rsidP="006E23AD">
      <w:pPr>
        <w:pStyle w:val="TOC2"/>
        <w:ind w:left="900" w:hanging="540"/>
        <w:rPr>
          <w:rFonts w:ascii="Garamond" w:eastAsiaTheme="minorEastAsia" w:hAnsi="Garamond" w:cstheme="minorBidi"/>
          <w:noProof/>
          <w:sz w:val="24"/>
          <w:szCs w:val="24"/>
        </w:rPr>
      </w:pPr>
      <w:hyperlink w:anchor="_Toc360194163" w:history="1">
        <w:r w:rsidR="000E5C5B" w:rsidRPr="000E5C5B">
          <w:rPr>
            <w:rStyle w:val="Hyperlink"/>
            <w:rFonts w:ascii="Garamond" w:hAnsi="Garamond"/>
            <w:noProof/>
            <w:sz w:val="24"/>
            <w:szCs w:val="24"/>
          </w:rPr>
          <w:t>A.18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Exceptions to Certification Statement</w:t>
        </w:r>
        <w:r w:rsidR="000E5C5B" w:rsidRPr="000E5C5B">
          <w:rPr>
            <w:rFonts w:ascii="Garamond" w:hAnsi="Garamond"/>
            <w:noProof/>
            <w:webHidden/>
            <w:sz w:val="24"/>
            <w:szCs w:val="24"/>
          </w:rPr>
          <w:tab/>
        </w:r>
        <w:r w:rsidR="00D525FE"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_Toc360194163 \h </w:instrText>
        </w:r>
        <w:r w:rsidR="00D525FE" w:rsidRPr="000E5C5B">
          <w:rPr>
            <w:rFonts w:ascii="Garamond" w:hAnsi="Garamond"/>
            <w:noProof/>
            <w:webHidden/>
            <w:sz w:val="24"/>
            <w:szCs w:val="24"/>
          </w:rPr>
        </w:r>
        <w:r w:rsidR="00D525FE" w:rsidRPr="000E5C5B">
          <w:rPr>
            <w:rFonts w:ascii="Garamond" w:hAnsi="Garamond"/>
            <w:noProof/>
            <w:webHidden/>
            <w:sz w:val="24"/>
            <w:szCs w:val="24"/>
          </w:rPr>
          <w:fldChar w:fldCharType="separate"/>
        </w:r>
        <w:r>
          <w:rPr>
            <w:rFonts w:ascii="Garamond" w:hAnsi="Garamond"/>
            <w:noProof/>
            <w:webHidden/>
            <w:sz w:val="24"/>
            <w:szCs w:val="24"/>
          </w:rPr>
          <w:t>13</w:t>
        </w:r>
        <w:r w:rsidR="00D525FE" w:rsidRPr="000E5C5B">
          <w:rPr>
            <w:rFonts w:ascii="Garamond" w:hAnsi="Garamond"/>
            <w:noProof/>
            <w:webHidden/>
            <w:sz w:val="24"/>
            <w:szCs w:val="24"/>
          </w:rPr>
          <w:fldChar w:fldCharType="end"/>
        </w:r>
      </w:hyperlink>
    </w:p>
    <w:p w:rsidR="00885C77" w:rsidRPr="000E5C5B" w:rsidRDefault="00D525FE" w:rsidP="006E23AD">
      <w:pPr>
        <w:pStyle w:val="C1-CtrBoldHd"/>
        <w:tabs>
          <w:tab w:val="left" w:pos="900"/>
          <w:tab w:val="right" w:leader="dot" w:pos="8640"/>
        </w:tabs>
        <w:spacing w:after="0"/>
        <w:ind w:left="900" w:right="720" w:hanging="540"/>
        <w:jc w:val="left"/>
        <w:rPr>
          <w:b w:val="0"/>
          <w:szCs w:val="24"/>
        </w:rPr>
      </w:pPr>
      <w:r w:rsidRPr="000E5C5B">
        <w:rPr>
          <w:b w:val="0"/>
          <w:szCs w:val="24"/>
        </w:rPr>
        <w:fldChar w:fldCharType="end"/>
      </w:r>
    </w:p>
    <w:p w:rsidR="00ED50EF" w:rsidRPr="00B068B4" w:rsidRDefault="00D525FE" w:rsidP="00B068B4">
      <w:pPr>
        <w:tabs>
          <w:tab w:val="left" w:pos="900"/>
          <w:tab w:val="right" w:leader="dot" w:pos="8640"/>
        </w:tabs>
        <w:ind w:left="720" w:hanging="360"/>
        <w:jc w:val="left"/>
        <w:rPr>
          <w:rFonts w:ascii="Garamond" w:eastAsiaTheme="minorEastAsia" w:hAnsi="Garamond"/>
          <w:b/>
          <w:sz w:val="24"/>
        </w:rPr>
      </w:pPr>
      <w:r w:rsidRPr="00B068B4">
        <w:rPr>
          <w:rFonts w:ascii="Garamond" w:hAnsi="Garamond"/>
          <w:sz w:val="24"/>
        </w:rPr>
        <w:fldChar w:fldCharType="begin"/>
      </w:r>
      <w:r w:rsidR="00ED50EF" w:rsidRPr="00B068B4">
        <w:rPr>
          <w:rFonts w:ascii="Garamond" w:hAnsi="Garamond"/>
          <w:sz w:val="24"/>
        </w:rPr>
        <w:instrText xml:space="preserve"> TOC \h \z \t "Heading 1,2,Heading 2,3,Heading 3,4,Heading 0,1" </w:instrText>
      </w:r>
      <w:r w:rsidRPr="00B068B4">
        <w:rPr>
          <w:rFonts w:ascii="Garamond" w:hAnsi="Garamond"/>
          <w:sz w:val="24"/>
        </w:rPr>
        <w:fldChar w:fldCharType="separate"/>
      </w:r>
      <w:hyperlink w:anchor="_Toc360449557" w:history="1">
        <w:r w:rsidR="00ED50EF" w:rsidRPr="00B068B4">
          <w:rPr>
            <w:rStyle w:val="Hyperlink"/>
            <w:rFonts w:ascii="Garamond" w:hAnsi="Garamond"/>
            <w:b/>
            <w:sz w:val="24"/>
          </w:rPr>
          <w:t xml:space="preserve">B. </w:t>
        </w:r>
        <w:r w:rsidR="00B068B4">
          <w:rPr>
            <w:rStyle w:val="Hyperlink"/>
            <w:rFonts w:ascii="Garamond" w:hAnsi="Garamond"/>
            <w:b/>
            <w:sz w:val="24"/>
          </w:rPr>
          <w:tab/>
        </w:r>
        <w:r w:rsidR="00ED50EF" w:rsidRPr="00B068B4">
          <w:rPr>
            <w:rStyle w:val="Hyperlink"/>
            <w:rFonts w:ascii="Garamond" w:hAnsi="Garamond"/>
            <w:b/>
            <w:sz w:val="24"/>
          </w:rPr>
          <w:t xml:space="preserve">COLLECTIONS OF INFORMATION EMPLOYING STATISTICAL </w:t>
        </w:r>
        <w:r w:rsidR="00B068B4">
          <w:rPr>
            <w:rStyle w:val="Hyperlink"/>
            <w:rFonts w:ascii="Garamond" w:hAnsi="Garamond"/>
            <w:b/>
            <w:sz w:val="24"/>
          </w:rPr>
          <w:br/>
        </w:r>
        <w:r w:rsidR="00ED50EF" w:rsidRPr="00B068B4">
          <w:rPr>
            <w:rStyle w:val="Hyperlink"/>
            <w:rFonts w:ascii="Garamond" w:hAnsi="Garamond"/>
            <w:b/>
            <w:sz w:val="24"/>
          </w:rPr>
          <w:t>METHODS</w:t>
        </w:r>
      </w:hyperlink>
    </w:p>
    <w:p w:rsidR="00ED50EF" w:rsidRPr="00B068B4" w:rsidRDefault="008B1851" w:rsidP="00B068B4">
      <w:pPr>
        <w:tabs>
          <w:tab w:val="left" w:pos="900"/>
          <w:tab w:val="right" w:leader="dot" w:pos="8640"/>
        </w:tabs>
        <w:ind w:left="360"/>
        <w:jc w:val="left"/>
        <w:rPr>
          <w:rFonts w:ascii="Garamond" w:eastAsiaTheme="minorEastAsia" w:hAnsi="Garamond"/>
          <w:sz w:val="24"/>
        </w:rPr>
      </w:pPr>
      <w:hyperlink w:anchor="_Toc360449558" w:history="1">
        <w:r w:rsidR="00ED50EF" w:rsidRPr="00B068B4">
          <w:rPr>
            <w:rStyle w:val="Hyperlink"/>
            <w:rFonts w:ascii="Garamond" w:hAnsi="Garamond"/>
            <w:sz w:val="24"/>
          </w:rPr>
          <w:t>B.1</w:t>
        </w:r>
        <w:r w:rsidR="00ED50EF" w:rsidRPr="00B068B4">
          <w:rPr>
            <w:rStyle w:val="Hyperlink"/>
            <w:rFonts w:ascii="Garamond" w:eastAsiaTheme="minorEastAsia" w:hAnsi="Garamond"/>
            <w:sz w:val="24"/>
          </w:rPr>
          <w:tab/>
        </w:r>
        <w:r w:rsidR="00ED50EF" w:rsidRPr="00B068B4">
          <w:rPr>
            <w:rStyle w:val="Hyperlink"/>
            <w:rFonts w:ascii="Garamond" w:hAnsi="Garamond"/>
            <w:sz w:val="24"/>
          </w:rPr>
          <w:t>Potential Respondent Universe and Sampling</w:t>
        </w:r>
      </w:hyperlink>
    </w:p>
    <w:p w:rsidR="00CC33AA" w:rsidRDefault="008B1851" w:rsidP="00B068B4">
      <w:pPr>
        <w:tabs>
          <w:tab w:val="left" w:pos="900"/>
          <w:tab w:val="right" w:leader="dot" w:pos="8640"/>
        </w:tabs>
        <w:ind w:left="360"/>
        <w:jc w:val="left"/>
        <w:rPr>
          <w:rStyle w:val="Hyperlink"/>
          <w:rFonts w:ascii="Garamond" w:hAnsi="Garamond"/>
          <w:sz w:val="24"/>
        </w:rPr>
      </w:pPr>
      <w:hyperlink w:anchor="_Toc360449560" w:history="1">
        <w:r w:rsidR="00CC33AA" w:rsidRPr="00B068B4">
          <w:rPr>
            <w:rStyle w:val="Hyperlink"/>
            <w:rFonts w:ascii="Garamond" w:hAnsi="Garamond"/>
            <w:sz w:val="24"/>
          </w:rPr>
          <w:t>B.</w:t>
        </w:r>
        <w:r w:rsidR="00CC33AA">
          <w:rPr>
            <w:rStyle w:val="Hyperlink"/>
            <w:rFonts w:ascii="Garamond" w:hAnsi="Garamond"/>
            <w:sz w:val="24"/>
          </w:rPr>
          <w:t>2</w:t>
        </w:r>
        <w:r w:rsidR="00CC33AA" w:rsidRPr="00B068B4">
          <w:rPr>
            <w:rStyle w:val="Hyperlink"/>
            <w:rFonts w:ascii="Garamond" w:eastAsiaTheme="minorEastAsia" w:hAnsi="Garamond"/>
            <w:sz w:val="24"/>
          </w:rPr>
          <w:tab/>
        </w:r>
        <w:r w:rsidR="00CC33AA">
          <w:rPr>
            <w:rStyle w:val="Hyperlink"/>
            <w:rFonts w:ascii="Garamond" w:hAnsi="Garamond"/>
            <w:sz w:val="24"/>
          </w:rPr>
          <w:t>Information Collection Procedures</w:t>
        </w:r>
      </w:hyperlink>
    </w:p>
    <w:p w:rsidR="00ED50EF" w:rsidRPr="00B068B4" w:rsidRDefault="008B1851" w:rsidP="00B068B4">
      <w:pPr>
        <w:tabs>
          <w:tab w:val="left" w:pos="900"/>
          <w:tab w:val="right" w:leader="dot" w:pos="8640"/>
        </w:tabs>
        <w:ind w:left="360"/>
        <w:jc w:val="left"/>
        <w:rPr>
          <w:rFonts w:ascii="Garamond" w:eastAsiaTheme="minorEastAsia" w:hAnsi="Garamond"/>
          <w:sz w:val="24"/>
        </w:rPr>
      </w:pPr>
      <w:hyperlink w:anchor="_Toc360449559" w:history="1">
        <w:r w:rsidR="00ED50EF" w:rsidRPr="00B068B4">
          <w:rPr>
            <w:rStyle w:val="Hyperlink"/>
            <w:rFonts w:ascii="Garamond" w:hAnsi="Garamond"/>
            <w:sz w:val="24"/>
          </w:rPr>
          <w:t>B.</w:t>
        </w:r>
        <w:r w:rsidR="00CC33AA">
          <w:rPr>
            <w:rStyle w:val="Hyperlink"/>
            <w:rFonts w:ascii="Garamond" w:hAnsi="Garamond"/>
            <w:sz w:val="24"/>
          </w:rPr>
          <w:t>3</w:t>
        </w:r>
        <w:r w:rsidR="00ED50EF" w:rsidRPr="00B068B4">
          <w:rPr>
            <w:rStyle w:val="Hyperlink"/>
            <w:rFonts w:ascii="Garamond" w:hAnsi="Garamond"/>
            <w:sz w:val="24"/>
          </w:rPr>
          <w:t xml:space="preserve"> </w:t>
        </w:r>
        <w:r w:rsidR="00B068B4">
          <w:rPr>
            <w:rStyle w:val="Hyperlink"/>
            <w:rFonts w:ascii="Garamond" w:hAnsi="Garamond"/>
            <w:sz w:val="24"/>
          </w:rPr>
          <w:tab/>
        </w:r>
        <w:r w:rsidR="00ED50EF" w:rsidRPr="00B068B4">
          <w:rPr>
            <w:rStyle w:val="Hyperlink"/>
            <w:rFonts w:ascii="Garamond" w:hAnsi="Garamond"/>
            <w:sz w:val="24"/>
          </w:rPr>
          <w:t>Methods for Maximizing Response Rates</w:t>
        </w:r>
      </w:hyperlink>
    </w:p>
    <w:p w:rsidR="00ED50EF" w:rsidRPr="00B068B4" w:rsidRDefault="008B1851" w:rsidP="00B068B4">
      <w:pPr>
        <w:tabs>
          <w:tab w:val="left" w:pos="900"/>
          <w:tab w:val="right" w:leader="dot" w:pos="8640"/>
        </w:tabs>
        <w:ind w:left="360"/>
        <w:jc w:val="left"/>
        <w:rPr>
          <w:rFonts w:ascii="Garamond" w:eastAsiaTheme="minorEastAsia" w:hAnsi="Garamond"/>
          <w:sz w:val="24"/>
        </w:rPr>
      </w:pPr>
      <w:hyperlink w:anchor="_Toc360449560" w:history="1">
        <w:r w:rsidR="00ED50EF" w:rsidRPr="00B068B4">
          <w:rPr>
            <w:rStyle w:val="Hyperlink"/>
            <w:rFonts w:ascii="Garamond" w:hAnsi="Garamond"/>
            <w:sz w:val="24"/>
          </w:rPr>
          <w:t>B.</w:t>
        </w:r>
        <w:r w:rsidR="00CC33AA">
          <w:rPr>
            <w:rStyle w:val="Hyperlink"/>
            <w:rFonts w:ascii="Garamond" w:hAnsi="Garamond"/>
            <w:sz w:val="24"/>
          </w:rPr>
          <w:t>4</w:t>
        </w:r>
        <w:r w:rsidR="00ED50EF" w:rsidRPr="00B068B4">
          <w:rPr>
            <w:rStyle w:val="Hyperlink"/>
            <w:rFonts w:ascii="Garamond" w:eastAsiaTheme="minorEastAsia" w:hAnsi="Garamond"/>
            <w:sz w:val="24"/>
          </w:rPr>
          <w:tab/>
        </w:r>
        <w:r w:rsidR="00ED50EF" w:rsidRPr="00B068B4">
          <w:rPr>
            <w:rStyle w:val="Hyperlink"/>
            <w:rFonts w:ascii="Garamond" w:hAnsi="Garamond"/>
            <w:sz w:val="24"/>
          </w:rPr>
          <w:t>Tests of Procedures and Methods</w:t>
        </w:r>
      </w:hyperlink>
    </w:p>
    <w:p w:rsidR="00ED50EF" w:rsidRPr="00B068B4" w:rsidRDefault="008B1851" w:rsidP="00B068B4">
      <w:pPr>
        <w:tabs>
          <w:tab w:val="left" w:pos="900"/>
          <w:tab w:val="right" w:leader="dot" w:pos="8640"/>
        </w:tabs>
        <w:ind w:left="360"/>
        <w:jc w:val="left"/>
        <w:rPr>
          <w:rFonts w:ascii="Garamond" w:eastAsiaTheme="minorEastAsia" w:hAnsi="Garamond"/>
          <w:sz w:val="24"/>
        </w:rPr>
      </w:pPr>
      <w:hyperlink w:anchor="_Toc360449561" w:history="1">
        <w:r w:rsidR="00ED50EF" w:rsidRPr="00B068B4">
          <w:rPr>
            <w:rStyle w:val="Hyperlink"/>
            <w:rFonts w:ascii="Garamond" w:hAnsi="Garamond"/>
            <w:sz w:val="24"/>
          </w:rPr>
          <w:t>B.</w:t>
        </w:r>
        <w:r w:rsidR="00CC33AA">
          <w:rPr>
            <w:rStyle w:val="Hyperlink"/>
            <w:rFonts w:ascii="Garamond" w:hAnsi="Garamond"/>
            <w:sz w:val="24"/>
          </w:rPr>
          <w:t>5</w:t>
        </w:r>
        <w:r w:rsidR="00ED50EF" w:rsidRPr="00B068B4">
          <w:rPr>
            <w:rStyle w:val="Hyperlink"/>
            <w:rFonts w:ascii="Garamond" w:eastAsiaTheme="minorEastAsia" w:hAnsi="Garamond"/>
            <w:sz w:val="24"/>
          </w:rPr>
          <w:tab/>
        </w:r>
        <w:r w:rsidR="00ED50EF" w:rsidRPr="00B068B4">
          <w:rPr>
            <w:rStyle w:val="Hyperlink"/>
            <w:rFonts w:ascii="Garamond" w:hAnsi="Garamond"/>
            <w:sz w:val="24"/>
          </w:rPr>
          <w:t>Individuals Consulted on Study Design</w:t>
        </w:r>
      </w:hyperlink>
    </w:p>
    <w:p w:rsidR="00ED50EF" w:rsidRPr="00B068B4" w:rsidRDefault="00D525FE" w:rsidP="00B068B4">
      <w:pPr>
        <w:tabs>
          <w:tab w:val="left" w:pos="1170"/>
          <w:tab w:val="right" w:leader="dot" w:pos="8190"/>
        </w:tabs>
        <w:ind w:left="360"/>
        <w:jc w:val="left"/>
        <w:rPr>
          <w:rFonts w:ascii="Garamond" w:hAnsi="Garamond"/>
          <w:sz w:val="24"/>
        </w:rPr>
      </w:pPr>
      <w:r w:rsidRPr="00B068B4">
        <w:rPr>
          <w:rFonts w:ascii="Garamond" w:hAnsi="Garamond"/>
          <w:sz w:val="24"/>
        </w:rPr>
        <w:fldChar w:fldCharType="end"/>
      </w:r>
    </w:p>
    <w:p w:rsidR="000E5C5B" w:rsidRPr="000E5C5B" w:rsidRDefault="000E5C5B" w:rsidP="000E5C5B">
      <w:pPr>
        <w:pStyle w:val="C1-CtrBoldHd"/>
        <w:tabs>
          <w:tab w:val="left" w:pos="900"/>
          <w:tab w:val="right" w:leader="dot" w:pos="8640"/>
        </w:tabs>
        <w:spacing w:after="0"/>
        <w:ind w:left="720" w:right="720" w:hanging="360"/>
        <w:jc w:val="left"/>
        <w:rPr>
          <w:rStyle w:val="Hyperlink"/>
          <w:noProof/>
          <w:color w:val="auto"/>
          <w:szCs w:val="24"/>
        </w:rPr>
      </w:pPr>
    </w:p>
    <w:p w:rsidR="00885C77" w:rsidRPr="001133B8" w:rsidRDefault="000E5C5B" w:rsidP="000E5C5B">
      <w:pPr>
        <w:pStyle w:val="C1-CtrBoldHd"/>
        <w:tabs>
          <w:tab w:val="left" w:pos="900"/>
          <w:tab w:val="right" w:leader="dot" w:pos="8640"/>
        </w:tabs>
        <w:spacing w:after="0"/>
        <w:ind w:left="720" w:right="720" w:hanging="360"/>
        <w:jc w:val="left"/>
        <w:rPr>
          <w:caps w:val="0"/>
          <w:szCs w:val="24"/>
        </w:rPr>
      </w:pPr>
      <w:r w:rsidRPr="001133B8">
        <w:rPr>
          <w:caps w:val="0"/>
          <w:szCs w:val="24"/>
        </w:rPr>
        <w:t>Appendix A</w:t>
      </w:r>
      <w:r w:rsidR="005715D3" w:rsidRPr="001133B8">
        <w:rPr>
          <w:caps w:val="0"/>
          <w:szCs w:val="24"/>
        </w:rPr>
        <w:t xml:space="preserve">: </w:t>
      </w:r>
      <w:r w:rsidR="004A3117" w:rsidRPr="004A3117">
        <w:rPr>
          <w:caps w:val="0"/>
          <w:szCs w:val="24"/>
        </w:rPr>
        <w:t>Respondent Recruitment Materials</w:t>
      </w:r>
    </w:p>
    <w:p w:rsidR="000E5C5B" w:rsidRPr="001133B8" w:rsidRDefault="000E5C5B" w:rsidP="000E5C5B">
      <w:pPr>
        <w:pStyle w:val="C1-CtrBoldHd"/>
        <w:tabs>
          <w:tab w:val="left" w:pos="900"/>
          <w:tab w:val="right" w:leader="dot" w:pos="8640"/>
        </w:tabs>
        <w:spacing w:after="0"/>
        <w:ind w:left="720" w:right="720" w:hanging="360"/>
        <w:jc w:val="left"/>
        <w:rPr>
          <w:szCs w:val="24"/>
        </w:rPr>
      </w:pPr>
      <w:r w:rsidRPr="005033BA">
        <w:rPr>
          <w:caps w:val="0"/>
          <w:szCs w:val="24"/>
        </w:rPr>
        <w:t xml:space="preserve">Appendix B: </w:t>
      </w:r>
      <w:r w:rsidR="001133B8" w:rsidRPr="005033BA">
        <w:rPr>
          <w:caps w:val="0"/>
          <w:szCs w:val="24"/>
        </w:rPr>
        <w:t>Draft Education and Skills O</w:t>
      </w:r>
      <w:r w:rsidRPr="005033BA">
        <w:rPr>
          <w:caps w:val="0"/>
          <w:szCs w:val="24"/>
        </w:rPr>
        <w:t>nline</w:t>
      </w:r>
      <w:r w:rsidR="001133B8" w:rsidRPr="005033BA">
        <w:rPr>
          <w:caps w:val="0"/>
          <w:szCs w:val="24"/>
        </w:rPr>
        <w:t xml:space="preserve"> Q</w:t>
      </w:r>
      <w:r w:rsidRPr="005033BA">
        <w:rPr>
          <w:caps w:val="0"/>
          <w:szCs w:val="24"/>
        </w:rPr>
        <w:t>uestionnaire</w:t>
      </w:r>
      <w:r w:rsidR="001133B8" w:rsidRPr="005033BA">
        <w:rPr>
          <w:caps w:val="0"/>
          <w:szCs w:val="24"/>
        </w:rPr>
        <w:t xml:space="preserve"> Items</w:t>
      </w:r>
    </w:p>
    <w:p w:rsidR="00885C77" w:rsidRDefault="00885C77">
      <w:pPr>
        <w:pStyle w:val="C1-CtrBoldHd"/>
        <w:spacing w:after="0"/>
      </w:pPr>
    </w:p>
    <w:p w:rsidR="00885C77" w:rsidRDefault="005715D3">
      <w:pPr>
        <w:pStyle w:val="C1-CtrBoldHd"/>
        <w:tabs>
          <w:tab w:val="left" w:pos="450"/>
          <w:tab w:val="right" w:leader="dot" w:pos="8190"/>
          <w:tab w:val="right" w:leader="dot" w:pos="8640"/>
        </w:tabs>
        <w:spacing w:after="0"/>
        <w:ind w:left="360" w:right="720"/>
      </w:pPr>
      <w:r>
        <w:br w:type="page"/>
      </w:r>
    </w:p>
    <w:p w:rsidR="00885C77" w:rsidRDefault="005715D3" w:rsidP="00495F46">
      <w:pPr>
        <w:pStyle w:val="Heading0"/>
        <w:spacing w:after="120" w:line="240" w:lineRule="auto"/>
      </w:pPr>
      <w:bookmarkStart w:id="1" w:name="_Toc360194144"/>
      <w:r>
        <w:lastRenderedPageBreak/>
        <w:t>PREFACE</w:t>
      </w:r>
      <w:bookmarkEnd w:id="1"/>
    </w:p>
    <w:p w:rsidR="00550211" w:rsidRDefault="00550211">
      <w:pPr>
        <w:pStyle w:val="BodyText1"/>
      </w:pPr>
      <w:bookmarkStart w:id="2" w:name="_Toc252524910"/>
      <w:r w:rsidRPr="00FE4A44">
        <w:t>The Program for International Student Assessments (PISA) is an international assessment of 15-year-old</w:t>
      </w:r>
      <w:r>
        <w:t xml:space="preserve"> </w:t>
      </w:r>
      <w:r w:rsidRPr="00FE4A44">
        <w:t xml:space="preserve">students </w:t>
      </w:r>
      <w:r w:rsidR="002A2B63">
        <w:t>sponsored by the Organization for Economic Cooperation and Development (OECD)</w:t>
      </w:r>
      <w:r w:rsidR="006F6FAC">
        <w:t>. I</w:t>
      </w:r>
      <w:r w:rsidR="002A2B63">
        <w:t>n the United States, it is conducted by the National Center for Education Statistics (NCES)</w:t>
      </w:r>
      <w:r w:rsidR="006F6FAC">
        <w:t>,</w:t>
      </w:r>
      <w:r w:rsidR="002A2B63">
        <w:t xml:space="preserve"> of the Institute of Education Sciences, U.S. Department of Education</w:t>
      </w:r>
      <w:r w:rsidRPr="00FE4A44">
        <w:t xml:space="preserve">. PISA was first administered in 2000 and is conducted every three years. </w:t>
      </w:r>
      <w:bookmarkEnd w:id="2"/>
      <w:r w:rsidR="006F6FAC">
        <w:t xml:space="preserve">As part of </w:t>
      </w:r>
      <w:r>
        <w:t>PISA’s most recent</w:t>
      </w:r>
      <w:r w:rsidR="009314F5">
        <w:t xml:space="preserve"> </w:t>
      </w:r>
      <w:r>
        <w:t xml:space="preserve">administration, </w:t>
      </w:r>
      <w:r w:rsidR="009314F5">
        <w:t xml:space="preserve">in 2012, PISA’s fifth cycle, </w:t>
      </w:r>
      <w:r>
        <w:t>a nationally-representative sample of approximately 5,200 15-year-old students took the PISA assessments</w:t>
      </w:r>
      <w:r w:rsidR="009314F5" w:rsidRPr="009314F5">
        <w:t xml:space="preserve"> </w:t>
      </w:r>
      <w:r w:rsidR="009314F5">
        <w:t>in the United States</w:t>
      </w:r>
      <w:r w:rsidR="00727355">
        <w:t xml:space="preserve"> (OMB# 1850-0755)</w:t>
      </w:r>
      <w:r w:rsidR="002A2B63">
        <w:t>.</w:t>
      </w:r>
    </w:p>
    <w:p w:rsidR="00885C77" w:rsidRDefault="005715D3">
      <w:pPr>
        <w:pStyle w:val="BodyText1"/>
      </w:pPr>
      <w:r>
        <w:t xml:space="preserve">PISA provides information about student performance in mathematics, </w:t>
      </w:r>
      <w:r w:rsidR="0061593A">
        <w:t xml:space="preserve">science, and </w:t>
      </w:r>
      <w:r>
        <w:t>reading</w:t>
      </w:r>
      <w:r w:rsidR="00902A87">
        <w:t xml:space="preserve"> </w:t>
      </w:r>
      <w:r>
        <w:t xml:space="preserve">literacy, </w:t>
      </w:r>
      <w:r w:rsidR="00902A87">
        <w:t>as well as</w:t>
      </w:r>
      <w:r>
        <w:t xml:space="preserve"> problem-solving in the United States and more than 65 other </w:t>
      </w:r>
      <w:r w:rsidR="00902A87">
        <w:t xml:space="preserve">participating </w:t>
      </w:r>
      <w:r>
        <w:t>countries and education systems. PISA is designed to assess how well students near</w:t>
      </w:r>
      <w:r w:rsidR="00902A87">
        <w:t>ing</w:t>
      </w:r>
      <w:r>
        <w:t xml:space="preserve"> the end of compulsory school</w:t>
      </w:r>
      <w:r w:rsidR="00902A87">
        <w:t>ing</w:t>
      </w:r>
      <w:r>
        <w:t xml:space="preserve"> are prepared for the challenges of further education and the workforce</w:t>
      </w:r>
      <w:r w:rsidR="00902A87">
        <w:t>. T</w:t>
      </w:r>
      <w:r>
        <w:t>o do so</w:t>
      </w:r>
      <w:r w:rsidR="00902A87">
        <w:t>, PISA</w:t>
      </w:r>
      <w:r>
        <w:t xml:space="preserve"> measures students’ literacy</w:t>
      </w:r>
      <w:r w:rsidR="00902A87">
        <w:t xml:space="preserve"> (</w:t>
      </w:r>
      <w:r>
        <w:t>knowledge and skills to solve problems in real-life contexts</w:t>
      </w:r>
      <w:r w:rsidR="00902A87">
        <w:t>)</w:t>
      </w:r>
      <w:r w:rsidR="00683E30">
        <w:t xml:space="preserve"> </w:t>
      </w:r>
      <w:r w:rsidR="00902A87">
        <w:t xml:space="preserve">and </w:t>
      </w:r>
      <w:r>
        <w:t>collect</w:t>
      </w:r>
      <w:r w:rsidR="00902A87">
        <w:t>s</w:t>
      </w:r>
      <w:r>
        <w:t xml:space="preserve"> information about students’ home background, attitudes, and experiences in and out of school through a questionnaire completed by students. </w:t>
      </w:r>
      <w:r w:rsidR="00B62B52">
        <w:t>Furthermore</w:t>
      </w:r>
      <w:r w:rsidR="00902A87">
        <w:t xml:space="preserve">, </w:t>
      </w:r>
      <w:r>
        <w:t xml:space="preserve">principals of </w:t>
      </w:r>
      <w:r w:rsidR="00683E30">
        <w:t xml:space="preserve">school attended by </w:t>
      </w:r>
      <w:r>
        <w:t xml:space="preserve">the </w:t>
      </w:r>
      <w:r w:rsidR="00902A87">
        <w:t>participating students</w:t>
      </w:r>
      <w:r>
        <w:t xml:space="preserve"> complete a questionnaire about</w:t>
      </w:r>
      <w:r w:rsidR="00902A87">
        <w:t xml:space="preserve"> school policies and practices, providing additional context </w:t>
      </w:r>
      <w:r w:rsidR="00B62B52">
        <w:t>for</w:t>
      </w:r>
      <w:r w:rsidR="00902A87">
        <w:t xml:space="preserve"> the student </w:t>
      </w:r>
      <w:r w:rsidR="0004156D">
        <w:t>measures</w:t>
      </w:r>
      <w:r w:rsidR="00902A87">
        <w:t>.</w:t>
      </w:r>
    </w:p>
    <w:p w:rsidR="008D63D7" w:rsidRDefault="008D63D7">
      <w:pPr>
        <w:pStyle w:val="BodyText1"/>
      </w:pPr>
      <w:r>
        <w:t>NCES proposes to conduct a follow-up study with students who participated in PISA 2012</w:t>
      </w:r>
      <w:r>
        <w:rPr>
          <w:rStyle w:val="FootnoteReference"/>
        </w:rPr>
        <w:footnoteReference w:id="1"/>
      </w:r>
      <w:r>
        <w:t xml:space="preserve"> to learn how performance on PISA relates to subsequent outcomes and skills of young adults. The follow-up study—referred to in materials to potential respondents as the PISA Young Adult Follow-Up Study, and in this request in short as the PISA Validation Study — will provide information about how students’ skills and experiences at age 15, collected through PISA, relate to subsequent literacy, numeracy, and problem-solving skills, as well as educational attainment, education and work experiences, skills used in daily life, </w:t>
      </w:r>
      <w:r w:rsidR="005560DE" w:rsidRPr="005560DE">
        <w:t>career intentions,</w:t>
      </w:r>
      <w:r w:rsidR="005560DE">
        <w:t xml:space="preserve"> </w:t>
      </w:r>
      <w:r>
        <w:t>and aspects of health and well-being.</w:t>
      </w:r>
      <w:r w:rsidR="00D914BB">
        <w:t xml:space="preserve"> </w:t>
      </w:r>
      <w:r w:rsidR="00D914BB" w:rsidRPr="00BE4082">
        <w:t xml:space="preserve">In fall 2015, when these students </w:t>
      </w:r>
      <w:r w:rsidR="00D914BB">
        <w:t>will be</w:t>
      </w:r>
      <w:r w:rsidR="00D914BB" w:rsidRPr="00BE4082">
        <w:t xml:space="preserve"> 18 years of age, they will be asked to take the web-based version of </w:t>
      </w:r>
      <w:r w:rsidR="00D914BB">
        <w:t>the OECD’s Program for the International Assessment of Adult Competencies (PIAAC)</w:t>
      </w:r>
      <w:r w:rsidR="00F24472">
        <w:t xml:space="preserve"> </w:t>
      </w:r>
      <w:r w:rsidR="00D914BB" w:rsidRPr="00BE4082">
        <w:t xml:space="preserve">assessment and background </w:t>
      </w:r>
      <w:r w:rsidR="00D914BB">
        <w:t>questionnaire—</w:t>
      </w:r>
      <w:r w:rsidR="00D914BB" w:rsidRPr="00BE4082">
        <w:t>the Education and Skills Online Assessment (ESO)</w:t>
      </w:r>
      <w:r w:rsidR="00D914BB">
        <w:t>.</w:t>
      </w:r>
    </w:p>
    <w:p w:rsidR="00885C77" w:rsidRDefault="00945EA1">
      <w:pPr>
        <w:pStyle w:val="BodyText1"/>
      </w:pPr>
      <w:r>
        <w:t xml:space="preserve">In </w:t>
      </w:r>
      <w:r w:rsidR="00683E30">
        <w:t>November 2013</w:t>
      </w:r>
      <w:r>
        <w:t xml:space="preserve">, OMB </w:t>
      </w:r>
      <w:r w:rsidR="00683E30">
        <w:t>approved</w:t>
      </w:r>
      <w:r>
        <w:t xml:space="preserve"> the location and tracking of the PISA 201</w:t>
      </w:r>
      <w:r w:rsidR="00683E30">
        <w:t>2 respondents (OMB 1850-0900 v.1</w:t>
      </w:r>
      <w:r>
        <w:t xml:space="preserve">) to prepare for </w:t>
      </w:r>
      <w:r w:rsidR="00683E30">
        <w:t>this</w:t>
      </w:r>
      <w:r>
        <w:t xml:space="preserve"> follow-up study. </w:t>
      </w:r>
      <w:r w:rsidR="00683E30">
        <w:t>This</w:t>
      </w:r>
      <w:r>
        <w:t xml:space="preserve"> </w:t>
      </w:r>
      <w:r w:rsidR="00C84F74">
        <w:t>request</w:t>
      </w:r>
      <w:r w:rsidR="005715D3" w:rsidRPr="00A71E52">
        <w:t xml:space="preserve"> is </w:t>
      </w:r>
      <w:r w:rsidR="00683E30">
        <w:t>to</w:t>
      </w:r>
      <w:r>
        <w:t xml:space="preserve"> (1) recruit</w:t>
      </w:r>
      <w:r w:rsidR="00E541DB">
        <w:t xml:space="preserve"> </w:t>
      </w:r>
      <w:r w:rsidR="005715D3" w:rsidRPr="00A71E52">
        <w:t xml:space="preserve">the PISA 2012 sample respondents who </w:t>
      </w:r>
      <w:r w:rsidR="008B3D17" w:rsidRPr="008B3D17">
        <w:t xml:space="preserve">have been </w:t>
      </w:r>
      <w:r>
        <w:t xml:space="preserve">successfully </w:t>
      </w:r>
      <w:r w:rsidR="008B3D17" w:rsidRPr="008B3D17">
        <w:t>located and tracked</w:t>
      </w:r>
      <w:r>
        <w:t>;</w:t>
      </w:r>
      <w:r w:rsidR="008B3D17" w:rsidRPr="008B3D17">
        <w:t xml:space="preserve"> </w:t>
      </w:r>
      <w:r>
        <w:t>(2) administ</w:t>
      </w:r>
      <w:r w:rsidR="00C84F74">
        <w:t>e</w:t>
      </w:r>
      <w:r>
        <w:t>r</w:t>
      </w:r>
      <w:r w:rsidR="009C6EEB">
        <w:t xml:space="preserve"> </w:t>
      </w:r>
      <w:r w:rsidR="00683E30">
        <w:t>ESO</w:t>
      </w:r>
      <w:r>
        <w:t xml:space="preserve"> </w:t>
      </w:r>
      <w:r w:rsidR="009C6EEB">
        <w:t xml:space="preserve">to a field test </w:t>
      </w:r>
      <w:r w:rsidR="00BD47CF">
        <w:t>sample</w:t>
      </w:r>
      <w:r w:rsidR="00C84F74">
        <w:t xml:space="preserve"> in the summer of 2015</w:t>
      </w:r>
      <w:r>
        <w:t>;</w:t>
      </w:r>
      <w:r w:rsidR="00BD47CF">
        <w:t xml:space="preserve"> and </w:t>
      </w:r>
      <w:r>
        <w:t xml:space="preserve">(3) </w:t>
      </w:r>
      <w:r w:rsidR="00C84F74">
        <w:t xml:space="preserve">administer </w:t>
      </w:r>
      <w:r>
        <w:t>ESO to a</w:t>
      </w:r>
      <w:r w:rsidR="00BD47CF">
        <w:t xml:space="preserve"> main</w:t>
      </w:r>
      <w:r w:rsidR="009C6EEB">
        <w:t xml:space="preserve"> study sampl</w:t>
      </w:r>
      <w:r>
        <w:t>e</w:t>
      </w:r>
      <w:r w:rsidR="00C84F74">
        <w:t xml:space="preserve"> in the fall of 2015</w:t>
      </w:r>
      <w:r w:rsidR="00140921" w:rsidRPr="00A71E52">
        <w:t xml:space="preserve">. </w:t>
      </w:r>
      <w:r w:rsidR="005715D3" w:rsidRPr="005033BA">
        <w:t xml:space="preserve">This </w:t>
      </w:r>
      <w:r w:rsidR="00C84F74">
        <w:t>submission</w:t>
      </w:r>
      <w:r w:rsidR="005715D3" w:rsidRPr="005033BA">
        <w:t xml:space="preserve"> describes the study rationale and design</w:t>
      </w:r>
      <w:r w:rsidR="00E42FA1">
        <w:t xml:space="preserve"> and</w:t>
      </w:r>
      <w:r w:rsidR="005715D3" w:rsidRPr="005033BA">
        <w:t xml:space="preserve"> </w:t>
      </w:r>
      <w:r w:rsidR="00E42FA1">
        <w:t>presents the</w:t>
      </w:r>
      <w:r w:rsidR="005715D3" w:rsidRPr="005033BA">
        <w:t xml:space="preserve"> </w:t>
      </w:r>
      <w:r w:rsidR="00C15A88">
        <w:t xml:space="preserve">sample members </w:t>
      </w:r>
      <w:r w:rsidR="00C15A88" w:rsidRPr="008B3D17">
        <w:t xml:space="preserve">recruitment </w:t>
      </w:r>
      <w:r w:rsidR="005715D3" w:rsidRPr="005033BA">
        <w:t>materials (Appendix A)</w:t>
      </w:r>
      <w:r w:rsidR="00C15A88">
        <w:t xml:space="preserve"> and t</w:t>
      </w:r>
      <w:r w:rsidR="005715D3" w:rsidRPr="005033BA">
        <w:t>h</w:t>
      </w:r>
      <w:r w:rsidR="000E0038">
        <w:t xml:space="preserve">e </w:t>
      </w:r>
      <w:r w:rsidR="00D914BB" w:rsidRPr="005033BA">
        <w:t xml:space="preserve">ESO </w:t>
      </w:r>
      <w:r w:rsidR="005715D3" w:rsidRPr="005033BA">
        <w:t xml:space="preserve">background questionnaire </w:t>
      </w:r>
      <w:r w:rsidR="00C15A88">
        <w:t>(</w:t>
      </w:r>
      <w:r w:rsidR="00D914BB" w:rsidRPr="005033BA">
        <w:t>Appendix B</w:t>
      </w:r>
      <w:r w:rsidR="00C15A88">
        <w:t>).</w:t>
      </w:r>
    </w:p>
    <w:p w:rsidR="00885C77" w:rsidRDefault="005715D3" w:rsidP="00495F46">
      <w:pPr>
        <w:pStyle w:val="Heading0"/>
        <w:spacing w:after="120" w:line="240" w:lineRule="auto"/>
      </w:pPr>
      <w:bookmarkStart w:id="3" w:name="_Toc360194145"/>
      <w:r>
        <w:t>A. JUSTIFICATION</w:t>
      </w:r>
      <w:bookmarkEnd w:id="3"/>
    </w:p>
    <w:p w:rsidR="00885C77" w:rsidRPr="00FF6678" w:rsidRDefault="005715D3" w:rsidP="00495F46">
      <w:pPr>
        <w:pStyle w:val="Heading1"/>
        <w:spacing w:before="120"/>
      </w:pPr>
      <w:bookmarkStart w:id="4" w:name="_Toc360194146"/>
      <w:r w:rsidRPr="00FF6678">
        <w:t>A.1</w:t>
      </w:r>
      <w:r w:rsidRPr="00FF6678">
        <w:tab/>
        <w:t>Importance of Information</w:t>
      </w:r>
      <w:bookmarkEnd w:id="4"/>
    </w:p>
    <w:p w:rsidR="00300499" w:rsidRDefault="005715D3">
      <w:pPr>
        <w:pStyle w:val="BodyText1"/>
      </w:pPr>
      <w:r>
        <w:t>As part of a continuing cycle of international education studies, the United States, through the National Center for Education Statistics (NCES), is participating in several international assessments and surveys. The Program for International Student Assessment (PISA), sponsored by the Organization for Economic Cooperation and Development (OECD), is one of these studies</w:t>
      </w:r>
      <w:r w:rsidR="00727355">
        <w:t xml:space="preserve"> (OMB# 1850-0755)</w:t>
      </w:r>
      <w:r>
        <w:t>.</w:t>
      </w:r>
    </w:p>
    <w:p w:rsidR="00885C77" w:rsidRDefault="005715D3">
      <w:pPr>
        <w:pStyle w:val="BodyText1"/>
      </w:pPr>
      <w:r>
        <w:t xml:space="preserve">In light of growing concerns related to international economic competitiveness, the changing face of our workplace, and the expanding international marketplace in which we trade, knowing how our students and </w:t>
      </w:r>
      <w:r>
        <w:lastRenderedPageBreak/>
        <w:t xml:space="preserve">adults compare with their peers around the world has become an even more prominent issue than ever before. Nationwide, interest in understanding what other nations are doing to further the education achievement of their populations has increased beyond simple comparisons. Data at critical points during the education career of our students help inform policymakers in their efforts to guide and restructure the American education system. These critical points may occur during primary, secondary, or tertiary education, as well as </w:t>
      </w:r>
      <w:r w:rsidR="000E0038">
        <w:t xml:space="preserve">extend </w:t>
      </w:r>
      <w:r>
        <w:t xml:space="preserve">into adult education and training programs. Consequently, generating comparative data about students in school, at the end of </w:t>
      </w:r>
      <w:r w:rsidR="000E0038">
        <w:t xml:space="preserve">formal </w:t>
      </w:r>
      <w:r>
        <w:t xml:space="preserve">schooling, </w:t>
      </w:r>
      <w:r w:rsidR="00391B26">
        <w:t xml:space="preserve">in postsecondary education, </w:t>
      </w:r>
      <w:r>
        <w:t xml:space="preserve">and about adults in </w:t>
      </w:r>
      <w:r w:rsidR="00A97656">
        <w:t xml:space="preserve">the </w:t>
      </w:r>
      <w:r>
        <w:t xml:space="preserve">workplace and in </w:t>
      </w:r>
      <w:r w:rsidR="00A97656">
        <w:t xml:space="preserve">the </w:t>
      </w:r>
      <w:r>
        <w:t>community has become an important focus for NCES.</w:t>
      </w:r>
    </w:p>
    <w:p w:rsidR="00300499" w:rsidRDefault="005715D3">
      <w:pPr>
        <w:pStyle w:val="BodyText1"/>
      </w:pPr>
      <w:r>
        <w:t>PISA is part of the larger international program that NCES has actively participated in through collaboration with, and representation at, the OECD, the Asia-Pacific Economic Cooperation (APEC), and the International Association for the Evaluation of Educational Achievement (IEA). Collaboration with Statistics Canada, Eurostat, and ministries of education throughout the world helps to round out the portfolio of data NCES compiles.</w:t>
      </w:r>
      <w:r w:rsidR="0091052C">
        <w:t xml:space="preserve"> The United States has participated in PISA since </w:t>
      </w:r>
      <w:r w:rsidR="00A73ECB">
        <w:t>its</w:t>
      </w:r>
      <w:r w:rsidR="0091052C">
        <w:t xml:space="preserve"> first administration in 2000.</w:t>
      </w:r>
    </w:p>
    <w:p w:rsidR="00885C77" w:rsidRDefault="005715D3">
      <w:pPr>
        <w:pStyle w:val="BodyText1"/>
      </w:pPr>
      <w:r>
        <w:t>PISA measures students' knowledge, skills, and competencies primarily in three subject areas –mathematics</w:t>
      </w:r>
      <w:r w:rsidR="00A97656">
        <w:t>, science</w:t>
      </w:r>
      <w:r w:rsidR="0061593A">
        <w:t>,</w:t>
      </w:r>
      <w:r w:rsidR="00A97656">
        <w:t xml:space="preserve"> and reading</w:t>
      </w:r>
      <w:r>
        <w:t xml:space="preserve"> literacy. The overall strategy is to collect in-depth information on student</w:t>
      </w:r>
      <w:r w:rsidR="000E0038">
        <w:t>s’</w:t>
      </w:r>
      <w:r>
        <w:t xml:space="preserve"> capabilities in one of these three domains every </w:t>
      </w:r>
      <w:r w:rsidR="0091052C">
        <w:t>three</w:t>
      </w:r>
      <w:r>
        <w:t xml:space="preserve"> years so that detailed information on each becomes available every nine years. During each </w:t>
      </w:r>
      <w:r w:rsidR="0091052C">
        <w:t>three</w:t>
      </w:r>
      <w:r>
        <w:t xml:space="preserve">-year survey cycle, the major focus is on one content domain, with a minor focus on the other two content domains. The major focus for the </w:t>
      </w:r>
      <w:r w:rsidR="000E0038">
        <w:t xml:space="preserve">PISA </w:t>
      </w:r>
      <w:r>
        <w:t>data collection in 2012 was on mathematics literacy, with a minor focus on science and reading. PISA 2012 also included an assessment of problem-s</w:t>
      </w:r>
      <w:r w:rsidR="0061593A">
        <w:t>olving and financial literacy.</w:t>
      </w:r>
    </w:p>
    <w:p w:rsidR="00221F73" w:rsidRPr="00221F73" w:rsidRDefault="008B3D17">
      <w:pPr>
        <w:pStyle w:val="BodyText1"/>
        <w:rPr>
          <w:b/>
        </w:rPr>
      </w:pPr>
      <w:r w:rsidRPr="008B3D17">
        <w:rPr>
          <w:b/>
        </w:rPr>
        <w:t xml:space="preserve">Investigating the link between PISA and </w:t>
      </w:r>
      <w:r w:rsidR="00221F73">
        <w:rPr>
          <w:b/>
        </w:rPr>
        <w:t>young adults’</w:t>
      </w:r>
      <w:r w:rsidRPr="008B3D17">
        <w:rPr>
          <w:b/>
        </w:rPr>
        <w:t xml:space="preserve"> preparedness for life and work</w:t>
      </w:r>
    </w:p>
    <w:p w:rsidR="009A3511" w:rsidRDefault="009A3511">
      <w:pPr>
        <w:pStyle w:val="BodyText1"/>
      </w:pPr>
      <w:r>
        <w:t>PISA is designed to measure “how well students, at age 15, are prepared to meet the challenges they may encounter in future life” (OECD 2009, pg. 9). PISA does this by identifying, with input from participating countries and subject-matter experts, the key competencies that are believed to contribute to students’ future success</w:t>
      </w:r>
      <w:r w:rsidR="001E1E63">
        <w:t>,</w:t>
      </w:r>
      <w:r>
        <w:t xml:space="preserve"> and </w:t>
      </w:r>
      <w:r w:rsidR="001E1E63">
        <w:t xml:space="preserve">by </w:t>
      </w:r>
      <w:r>
        <w:t>measur</w:t>
      </w:r>
      <w:r w:rsidR="001E1E63">
        <w:t>ing</w:t>
      </w:r>
      <w:r>
        <w:t xml:space="preserve"> students’ knowledge and skills in these areas. </w:t>
      </w:r>
      <w:r w:rsidR="00B1554C">
        <w:t xml:space="preserve">In short, </w:t>
      </w:r>
      <w:r>
        <w:t xml:space="preserve">PISA </w:t>
      </w:r>
      <w:r w:rsidR="00B1554C">
        <w:t xml:space="preserve">is designed to assess how well students nearing the end of compulsory schooling are prepared for </w:t>
      </w:r>
      <w:r>
        <w:t>further education or entry into the workforce and, more fundamentally, to contribute to society as functioning young adults.</w:t>
      </w:r>
    </w:p>
    <w:p w:rsidR="00300499" w:rsidRDefault="005715D3">
      <w:pPr>
        <w:pStyle w:val="BodyText1"/>
      </w:pPr>
      <w:r>
        <w:t xml:space="preserve">Unlike other large-scale international assessments that are based on school curricula, such as </w:t>
      </w:r>
      <w:r w:rsidR="0091052C">
        <w:t>the Trends in International Mathematics and Science Study (</w:t>
      </w:r>
      <w:r>
        <w:t>TIMSS</w:t>
      </w:r>
      <w:r w:rsidR="0091052C">
        <w:t>)</w:t>
      </w:r>
      <w:r>
        <w:t xml:space="preserve"> or </w:t>
      </w:r>
      <w:r w:rsidR="0091052C">
        <w:t>the Progress in International Reading Literacy Study (PIRLS),</w:t>
      </w:r>
      <w:r>
        <w:t xml:space="preserve"> PISA assessments are designed to reflect what students have learned </w:t>
      </w:r>
      <w:r w:rsidR="000E0038">
        <w:t xml:space="preserve">both </w:t>
      </w:r>
      <w:r>
        <w:t xml:space="preserve">in and out of school and to measure students’ ability to apply that knowledge to real-world situations. For this reason, PISA has a unique validity challenge. TIMSS and PIRLS assessments </w:t>
      </w:r>
      <w:r w:rsidR="00063322">
        <w:t xml:space="preserve">can be validated by evaluating how well they </w:t>
      </w:r>
      <w:r>
        <w:t>cover mathematics, science, and reading curricula</w:t>
      </w:r>
      <w:r w:rsidR="000E0038">
        <w:t xml:space="preserve"> in the participating countries</w:t>
      </w:r>
      <w:r>
        <w:t xml:space="preserve">. </w:t>
      </w:r>
      <w:r w:rsidR="00063322">
        <w:t>However, c</w:t>
      </w:r>
      <w:r>
        <w:t xml:space="preserve">omparing PISA </w:t>
      </w:r>
      <w:r w:rsidR="00D63094">
        <w:t xml:space="preserve">measures </w:t>
      </w:r>
      <w:r>
        <w:t xml:space="preserve">with content standards or school curricula </w:t>
      </w:r>
      <w:r w:rsidR="00063322">
        <w:t>does</w:t>
      </w:r>
      <w:r>
        <w:t xml:space="preserve"> not provide evidence that PISA </w:t>
      </w:r>
      <w:r w:rsidR="00D63094">
        <w:t>assesses</w:t>
      </w:r>
      <w:r>
        <w:t xml:space="preserve"> the competencies that matter for students’ “future success” </w:t>
      </w:r>
      <w:r w:rsidR="00D63094">
        <w:t>and</w:t>
      </w:r>
      <w:r>
        <w:t xml:space="preserve"> the “challenges they may encounter in the future.” To validate PISA </w:t>
      </w:r>
      <w:r w:rsidR="00D63094">
        <w:t>measures</w:t>
      </w:r>
      <w:r>
        <w:t xml:space="preserve">, it is necessary to examine whether the competencies </w:t>
      </w:r>
      <w:r w:rsidR="00D63094">
        <w:t>assessed by</w:t>
      </w:r>
      <w:r>
        <w:t xml:space="preserve"> PISA </w:t>
      </w:r>
      <w:r w:rsidR="00D63094">
        <w:t>predict future success.</w:t>
      </w:r>
    </w:p>
    <w:p w:rsidR="008D63D7" w:rsidRDefault="008D63D7" w:rsidP="008D63D7">
      <w:pPr>
        <w:pStyle w:val="BodyText1"/>
      </w:pPr>
      <w:r>
        <w:t xml:space="preserve">Given the </w:t>
      </w:r>
      <w:r w:rsidR="000E0038">
        <w:t xml:space="preserve">growing </w:t>
      </w:r>
      <w:r>
        <w:t>prominence of PISA in the United States, it is of policy interest to better understand how well PISA measures students’ preparedness for further education and the workforce. PISA is widely cited as evidence that U.S. students are not as prepared for the global economy as their peers in other high-performing countries, and such claims rest on the assumption that PISA is measuring the skills that students will need to succeed in the 21</w:t>
      </w:r>
      <w:r w:rsidRPr="0091052C">
        <w:rPr>
          <w:vertAlign w:val="superscript"/>
        </w:rPr>
        <w:t>st</w:t>
      </w:r>
      <w:r>
        <w:t xml:space="preserve"> century and the global economy.</w:t>
      </w:r>
    </w:p>
    <w:p w:rsidR="00495F46" w:rsidRDefault="00495F46">
      <w:pPr>
        <w:spacing w:line="240" w:lineRule="auto"/>
        <w:jc w:val="left"/>
        <w:rPr>
          <w:rFonts w:ascii="Garamond" w:hAnsi="Garamond"/>
          <w:b/>
          <w:sz w:val="24"/>
          <w:szCs w:val="24"/>
        </w:rPr>
      </w:pPr>
      <w:r>
        <w:rPr>
          <w:b/>
        </w:rPr>
        <w:br w:type="page"/>
      </w:r>
    </w:p>
    <w:p w:rsidR="00221F73" w:rsidRPr="00221F73" w:rsidRDefault="008B3D17" w:rsidP="00495F46">
      <w:pPr>
        <w:pStyle w:val="BodyText1"/>
        <w:spacing w:before="0" w:line="240" w:lineRule="auto"/>
        <w:rPr>
          <w:b/>
        </w:rPr>
      </w:pPr>
      <w:r w:rsidRPr="008B3D17">
        <w:rPr>
          <w:b/>
        </w:rPr>
        <w:lastRenderedPageBreak/>
        <w:t>The PISA Validation Study</w:t>
      </w:r>
    </w:p>
    <w:p w:rsidR="00300499" w:rsidRDefault="008D63D7" w:rsidP="008D63D7">
      <w:pPr>
        <w:pStyle w:val="BodyText1"/>
      </w:pPr>
      <w:r>
        <w:t xml:space="preserve">NCES is </w:t>
      </w:r>
      <w:r w:rsidRPr="001D21D2">
        <w:t xml:space="preserve">requesting approval to conduct a follow-up study with students who participated in PISA 2012 to learn how performance on PISA relates to subsequent outcomes and skills of </w:t>
      </w:r>
      <w:r w:rsidRPr="00DD5FCE">
        <w:t>young adults. The</w:t>
      </w:r>
      <w:r>
        <w:t xml:space="preserve"> follow-up study—referred to in materials to potential respondents as the PISA Young Adult Follow-Up Study</w:t>
      </w:r>
      <w:r w:rsidR="000E0038">
        <w:t xml:space="preserve"> (YAFS)</w:t>
      </w:r>
      <w:r>
        <w:t xml:space="preserve">, and in this clearance request in short as the PISA Validation Study—will provide information about how students’ skills and experiences at age 15, collected through PISA, relate to subsequent literacy, numeracy, and problem-solving skills, </w:t>
      </w:r>
      <w:r w:rsidRPr="00DD5FCE">
        <w:t xml:space="preserve">as well as educational attainment, education and work experiences, </w:t>
      </w:r>
      <w:r w:rsidR="00DD5FCE" w:rsidRPr="00DD5FCE">
        <w:t xml:space="preserve">and </w:t>
      </w:r>
      <w:r w:rsidRPr="00DD5FCE">
        <w:t xml:space="preserve">skills used in daily life. </w:t>
      </w:r>
      <w:r w:rsidR="000E0038">
        <w:t>This will be accomplished by administering a</w:t>
      </w:r>
      <w:r>
        <w:t xml:space="preserve"> web-based version of the OECD’s Program for the International Assessment of Adult Competencies (PIAAC)</w:t>
      </w:r>
      <w:r w:rsidR="000E0038">
        <w:t>. PIAAC</w:t>
      </w:r>
      <w:r>
        <w:t xml:space="preserve"> will be used to measure </w:t>
      </w:r>
      <w:r w:rsidR="000E0038">
        <w:t xml:space="preserve">the </w:t>
      </w:r>
      <w:r>
        <w:t xml:space="preserve">skills, outcomes, and experiences </w:t>
      </w:r>
      <w:r w:rsidR="000E0038">
        <w:t xml:space="preserve">of students who previously participated in PISA. </w:t>
      </w:r>
      <w:r>
        <w:t xml:space="preserve">The PIAAC assessment, administered in 25 countries, focuses on cognitive and workplace skills </w:t>
      </w:r>
      <w:r w:rsidR="002D4E99">
        <w:t xml:space="preserve">deemed necessary </w:t>
      </w:r>
      <w:r>
        <w:t>for successful participation in 21</w:t>
      </w:r>
      <w:r w:rsidRPr="008B3D5B">
        <w:rPr>
          <w:vertAlign w:val="superscript"/>
        </w:rPr>
        <w:t>st</w:t>
      </w:r>
      <w:r>
        <w:t>-century society and the global economy (OECD 2012). Specifically, PIAAC measures relationships between individuals' educational background</w:t>
      </w:r>
      <w:r w:rsidR="002D4E99">
        <w:t>s</w:t>
      </w:r>
      <w:r>
        <w:t>, workplace experiences and skills, occupational attainment, use of information and communications technology, and cognitive skills in the areas of literacy, numeracy, and problem solving.</w:t>
      </w:r>
    </w:p>
    <w:p w:rsidR="008D63D7" w:rsidRDefault="008D63D7" w:rsidP="008D63D7">
      <w:pPr>
        <w:pStyle w:val="BodyText1"/>
      </w:pPr>
      <w:r>
        <w:t xml:space="preserve">The sample for the PISA Validation Study will consist of the approximately 4,700 15-year-old students from the PISA 2012 national sample who took </w:t>
      </w:r>
      <w:r w:rsidR="009227C1">
        <w:t xml:space="preserve">the </w:t>
      </w:r>
      <w:r>
        <w:t xml:space="preserve">PISA mathematics, reading, and science test and </w:t>
      </w:r>
      <w:r w:rsidR="00CE6D09">
        <w:t xml:space="preserve">completed a Student Information Form </w:t>
      </w:r>
      <w:r w:rsidR="000E74CC">
        <w:t>with</w:t>
      </w:r>
      <w:r w:rsidR="00CE6D09">
        <w:t xml:space="preserve"> their contact information. PISA 2012 recruitment materials, including materials for parents, stated that students supplying contact information may be contacted by NCES for a </w:t>
      </w:r>
      <w:r w:rsidR="00CE6D09" w:rsidRPr="00025B0A">
        <w:t>future study</w:t>
      </w:r>
      <w:r w:rsidRPr="00025B0A">
        <w:t xml:space="preserve">. In fall 2015, when these students will be </w:t>
      </w:r>
      <w:r w:rsidR="002D4E99">
        <w:t xml:space="preserve">approximately </w:t>
      </w:r>
      <w:r w:rsidRPr="00025B0A">
        <w:t xml:space="preserve">18 years of age, they will be asked to take </w:t>
      </w:r>
      <w:r w:rsidR="00221F73">
        <w:t>a</w:t>
      </w:r>
      <w:r w:rsidR="00221F73" w:rsidRPr="00025B0A">
        <w:t xml:space="preserve"> </w:t>
      </w:r>
      <w:r w:rsidRPr="00025B0A">
        <w:t>web-based version of the PIAAC assessment and background questionnaire</w:t>
      </w:r>
      <w:r w:rsidR="002D4E99">
        <w:t xml:space="preserve"> developed by the OECD</w:t>
      </w:r>
      <w:r w:rsidRPr="00025B0A">
        <w:t>—the Education and Skills Online Assessment (ESO).</w:t>
      </w:r>
      <w:r w:rsidR="00300499">
        <w:t xml:space="preserve"> </w:t>
      </w:r>
      <w:r w:rsidR="00011480" w:rsidRPr="00DF25D1">
        <w:t xml:space="preserve">The ESO is described </w:t>
      </w:r>
      <w:r w:rsidR="00221F73">
        <w:t xml:space="preserve">in more detail </w:t>
      </w:r>
      <w:r w:rsidR="00011480" w:rsidRPr="00DF25D1">
        <w:t xml:space="preserve">below. </w:t>
      </w:r>
      <w:r w:rsidRPr="00DD5FCE">
        <w:t xml:space="preserve">A field trial of the Validation Study </w:t>
      </w:r>
      <w:r w:rsidR="00CE24C4" w:rsidRPr="00DD5FCE">
        <w:t xml:space="preserve">is currently planned </w:t>
      </w:r>
      <w:r w:rsidR="002D4E99">
        <w:t>for</w:t>
      </w:r>
      <w:r w:rsidRPr="00DD5FCE">
        <w:t xml:space="preserve"> </w:t>
      </w:r>
      <w:r w:rsidR="00D60A0E">
        <w:t>September</w:t>
      </w:r>
      <w:r w:rsidR="00C019B2" w:rsidRPr="00DD5FCE">
        <w:t xml:space="preserve"> </w:t>
      </w:r>
      <w:r w:rsidR="00E30354" w:rsidRPr="00DD5FCE">
        <w:t>2015</w:t>
      </w:r>
      <w:r w:rsidRPr="00DD5FCE">
        <w:t xml:space="preserve"> with a sample of 200 PISA 2012 students who provided contact information but took financial literacy test booklets and are not the target for the PISA Validation Study</w:t>
      </w:r>
      <w:r w:rsidR="002D4E99">
        <w:t xml:space="preserve"> main data collection</w:t>
      </w:r>
      <w:r w:rsidRPr="00DD5FCE">
        <w:t>.</w:t>
      </w:r>
    </w:p>
    <w:p w:rsidR="00300499" w:rsidRDefault="000955DC">
      <w:pPr>
        <w:pStyle w:val="BodyText1"/>
      </w:pPr>
      <w:r>
        <w:t xml:space="preserve">PIAAC </w:t>
      </w:r>
      <w:r w:rsidR="002D4E99">
        <w:t>was administered</w:t>
      </w:r>
      <w:r>
        <w:t xml:space="preserve"> to a national sample of adults 16 to 65 years old</w:t>
      </w:r>
      <w:r w:rsidR="00E6355A">
        <w:t xml:space="preserve"> in 2011-12</w:t>
      </w:r>
      <w:r>
        <w:t xml:space="preserve">. </w:t>
      </w:r>
      <w:r>
        <w:rPr>
          <w:rFonts w:eastAsia="Caecilia-Roman"/>
          <w:szCs w:val="20"/>
        </w:rPr>
        <w:t xml:space="preserve">It examined adults’ </w:t>
      </w:r>
      <w:r w:rsidRPr="000955DC">
        <w:rPr>
          <w:szCs w:val="20"/>
        </w:rPr>
        <w:t xml:space="preserve">literacy </w:t>
      </w:r>
      <w:r>
        <w:rPr>
          <w:szCs w:val="20"/>
        </w:rPr>
        <w:t xml:space="preserve">and skills in the information age, </w:t>
      </w:r>
      <w:r w:rsidRPr="000955DC">
        <w:rPr>
          <w:szCs w:val="20"/>
        </w:rPr>
        <w:t>focus</w:t>
      </w:r>
      <w:r>
        <w:rPr>
          <w:szCs w:val="20"/>
        </w:rPr>
        <w:t>ing</w:t>
      </w:r>
      <w:r w:rsidRPr="000955DC">
        <w:rPr>
          <w:szCs w:val="20"/>
        </w:rPr>
        <w:t xml:space="preserve"> on what are deemed key skills for individuals to participate successfully in the economy and society of the 21st century</w:t>
      </w:r>
      <w:r w:rsidR="008118D5">
        <w:rPr>
          <w:szCs w:val="20"/>
        </w:rPr>
        <w:t xml:space="preserve"> </w:t>
      </w:r>
      <w:r w:rsidR="008118D5">
        <w:t xml:space="preserve">(Goodman, Finnegan, Mohadjer, Krenzke, and Hogan </w:t>
      </w:r>
      <w:r w:rsidR="008118D5" w:rsidRPr="00C10E48">
        <w:t>2013</w:t>
      </w:r>
      <w:r w:rsidR="008118D5">
        <w:t>)</w:t>
      </w:r>
      <w:r>
        <w:rPr>
          <w:rFonts w:eastAsia="Caecilia-Roman"/>
          <w:szCs w:val="20"/>
        </w:rPr>
        <w:t xml:space="preserve">. It </w:t>
      </w:r>
      <w:r>
        <w:t>assessed</w:t>
      </w:r>
      <w:r w:rsidRPr="00CA63DF">
        <w:t xml:space="preserve"> </w:t>
      </w:r>
      <w:r>
        <w:t xml:space="preserve">adults’ basic reading skills, reading literacy, numeracy, and </w:t>
      </w:r>
      <w:r w:rsidR="00092F67">
        <w:t xml:space="preserve">problem solving in </w:t>
      </w:r>
      <w:r>
        <w:t xml:space="preserve">technology-rich environments (on or with a computer), and measured </w:t>
      </w:r>
      <w:r w:rsidRPr="00CA63DF">
        <w:t>the</w:t>
      </w:r>
      <w:r w:rsidR="002941EA">
        <w:t>ir</w:t>
      </w:r>
      <w:r w:rsidRPr="00CA63DF">
        <w:t xml:space="preserve"> ability to use </w:t>
      </w:r>
      <w:r>
        <w:t xml:space="preserve">computer and web applications </w:t>
      </w:r>
      <w:r w:rsidRPr="00CA63DF">
        <w:t xml:space="preserve">to find, gather, and use information, and to communicate with others. </w:t>
      </w:r>
      <w:r>
        <w:t>PIAAC</w:t>
      </w:r>
      <w:r w:rsidRPr="001B3E0E">
        <w:t xml:space="preserve"> use</w:t>
      </w:r>
      <w:r>
        <w:t>d</w:t>
      </w:r>
      <w:r w:rsidRPr="001B3E0E">
        <w:t xml:space="preserve"> a “Job Requirements Approach” to ask employed adults about the types and levels of a number of </w:t>
      </w:r>
      <w:r>
        <w:t xml:space="preserve">specific </w:t>
      </w:r>
      <w:r w:rsidRPr="001B3E0E">
        <w:t>skills used in the workplace</w:t>
      </w:r>
      <w:r>
        <w:t xml:space="preserve">, </w:t>
      </w:r>
      <w:r w:rsidRPr="001B3E0E">
        <w:t>includ</w:t>
      </w:r>
      <w:r>
        <w:t>ing</w:t>
      </w:r>
      <w:r w:rsidRPr="001B3E0E">
        <w:t xml:space="preserve"> </w:t>
      </w:r>
      <w:r>
        <w:t xml:space="preserve">not only </w:t>
      </w:r>
      <w:r w:rsidRPr="001B3E0E">
        <w:t>the use of reading and numeracy skills on the job</w:t>
      </w:r>
      <w:r>
        <w:t>, but also</w:t>
      </w:r>
      <w:r w:rsidR="00F24472">
        <w:t xml:space="preserve"> the use of</w:t>
      </w:r>
      <w:r>
        <w:t xml:space="preserve"> physical skills (e.g., stamina and manual dexterity), people skills (e.g., public speaking, negotiating, working in a team), and </w:t>
      </w:r>
      <w:r w:rsidRPr="001B3E0E">
        <w:t>information technology</w:t>
      </w:r>
      <w:r>
        <w:t xml:space="preserve"> skills (e.g., using spreadsheets, writing computer code)</w:t>
      </w:r>
      <w:r w:rsidRPr="001B3E0E">
        <w:t xml:space="preserve">. </w:t>
      </w:r>
      <w:r w:rsidR="00465806">
        <w:t>PIAAC</w:t>
      </w:r>
      <w:r w:rsidRPr="001B3E0E">
        <w:t xml:space="preserve"> </w:t>
      </w:r>
      <w:r>
        <w:t xml:space="preserve">also </w:t>
      </w:r>
      <w:r w:rsidRPr="001B3E0E">
        <w:t>ask</w:t>
      </w:r>
      <w:r>
        <w:t>ed</w:t>
      </w:r>
      <w:r w:rsidRPr="001B3E0E">
        <w:t xml:space="preserve"> </w:t>
      </w:r>
      <w:r w:rsidR="00465806">
        <w:t>about adults’</w:t>
      </w:r>
      <w:r w:rsidR="00465806" w:rsidRPr="00465806">
        <w:t xml:space="preserve"> background</w:t>
      </w:r>
      <w:r w:rsidR="002D4E99">
        <w:t>s</w:t>
      </w:r>
      <w:r w:rsidR="00465806" w:rsidRPr="00465806">
        <w:t>, work and educational experiences</w:t>
      </w:r>
      <w:r w:rsidR="00465806">
        <w:t>, including</w:t>
      </w:r>
      <w:r w:rsidR="00465806" w:rsidRPr="001B3E0E">
        <w:t xml:space="preserve"> </w:t>
      </w:r>
      <w:r w:rsidRPr="001B3E0E">
        <w:t>the requirements of the</w:t>
      </w:r>
      <w:r w:rsidR="00465806">
        <w:t>ir</w:t>
      </w:r>
      <w:r w:rsidRPr="001B3E0E">
        <w:t xml:space="preserve"> main job in terms of the intensity and freq</w:t>
      </w:r>
      <w:r w:rsidR="00465806">
        <w:t>uency of the use of the aforementioned skills.</w:t>
      </w:r>
    </w:p>
    <w:p w:rsidR="00300499" w:rsidRDefault="00287B49">
      <w:pPr>
        <w:pStyle w:val="BodyText1"/>
      </w:pPr>
      <w:r>
        <w:t>The</w:t>
      </w:r>
      <w:r w:rsidR="005715D3">
        <w:t xml:space="preserve"> web-based version of the PIAAC assessment and background </w:t>
      </w:r>
      <w:r w:rsidR="0091052C">
        <w:t>questionnaire</w:t>
      </w:r>
      <w:r>
        <w:t xml:space="preserve"> (ESO)</w:t>
      </w:r>
      <w:r w:rsidR="005715D3">
        <w:t xml:space="preserve"> will be </w:t>
      </w:r>
      <w:r w:rsidR="002D4E99">
        <w:t>distributed by the OECD</w:t>
      </w:r>
      <w:r w:rsidR="005715D3">
        <w:t xml:space="preserve"> </w:t>
      </w:r>
      <w:r w:rsidR="005715D3" w:rsidRPr="00DD5FCE">
        <w:t>for</w:t>
      </w:r>
      <w:r w:rsidR="005715D3">
        <w:t xml:space="preserve"> use by countries, institutions</w:t>
      </w:r>
      <w:r w:rsidR="00465806">
        <w:t>,</w:t>
      </w:r>
      <w:r w:rsidR="005715D3">
        <w:t xml:space="preserve"> and individuals to support research and workforce development and training efforts. </w:t>
      </w:r>
      <w:r w:rsidR="00A9635F">
        <w:t xml:space="preserve">The ESO consists of two main components that are administered together: an assessment and a questionnaire. </w:t>
      </w:r>
      <w:r w:rsidR="005715D3">
        <w:t xml:space="preserve">The ESO assessment, </w:t>
      </w:r>
      <w:r w:rsidR="008118D5">
        <w:t xml:space="preserve">which is currently being finalized for distribution to countries by the OECD, </w:t>
      </w:r>
      <w:r w:rsidR="00E6355A" w:rsidRPr="0052355F">
        <w:t>was</w:t>
      </w:r>
      <w:r w:rsidR="005715D3" w:rsidRPr="0052355F">
        <w:t xml:space="preserve"> piloted</w:t>
      </w:r>
      <w:r w:rsidR="005715D3">
        <w:t xml:space="preserve"> in multiple countries</w:t>
      </w:r>
      <w:r w:rsidR="008118D5">
        <w:t xml:space="preserve"> and</w:t>
      </w:r>
      <w:r w:rsidR="005715D3">
        <w:t xml:space="preserve"> </w:t>
      </w:r>
      <w:r w:rsidR="00E6355A">
        <w:t>has been</w:t>
      </w:r>
      <w:r w:rsidR="005715D3">
        <w:t xml:space="preserve"> equated to PIAAC, allowing for international benchmarking. The ESO questionnaire is based on that used in PIAAC.</w:t>
      </w:r>
    </w:p>
    <w:p w:rsidR="00495F46" w:rsidRDefault="00495F46">
      <w:pPr>
        <w:spacing w:line="240" w:lineRule="auto"/>
        <w:jc w:val="left"/>
        <w:rPr>
          <w:rFonts w:ascii="Garamond" w:hAnsi="Garamond"/>
          <w:b/>
          <w:sz w:val="24"/>
          <w:szCs w:val="24"/>
        </w:rPr>
      </w:pPr>
      <w:r>
        <w:rPr>
          <w:b/>
        </w:rPr>
        <w:br w:type="page"/>
      </w:r>
    </w:p>
    <w:p w:rsidR="00287B49" w:rsidRPr="00287B49" w:rsidRDefault="008B3D17">
      <w:pPr>
        <w:pStyle w:val="BodyText1"/>
        <w:rPr>
          <w:b/>
        </w:rPr>
      </w:pPr>
      <w:r w:rsidRPr="008B3D17">
        <w:rPr>
          <w:b/>
        </w:rPr>
        <w:lastRenderedPageBreak/>
        <w:t>Administering the ESO</w:t>
      </w:r>
      <w:r w:rsidR="00287B49">
        <w:rPr>
          <w:b/>
        </w:rPr>
        <w:t xml:space="preserve"> to PISA 2012 participants</w:t>
      </w:r>
    </w:p>
    <w:p w:rsidR="00A82CFC" w:rsidRDefault="005715D3" w:rsidP="00A82CFC">
      <w:pPr>
        <w:pStyle w:val="BodyText1"/>
      </w:pPr>
      <w:r w:rsidRPr="00025B0A">
        <w:t xml:space="preserve">In </w:t>
      </w:r>
      <w:r w:rsidR="00CC3CF7" w:rsidRPr="00025B0A">
        <w:t>the PISA Validation Study</w:t>
      </w:r>
      <w:r w:rsidRPr="00025B0A">
        <w:t xml:space="preserve">, the ESO assessment and background questionnaire will be administered to sample respondents </w:t>
      </w:r>
      <w:r w:rsidR="00287B49">
        <w:t xml:space="preserve">in 2015 </w:t>
      </w:r>
      <w:r w:rsidR="00790754" w:rsidRPr="00025B0A">
        <w:t xml:space="preserve">when they are </w:t>
      </w:r>
      <w:r w:rsidR="00A9635F">
        <w:t xml:space="preserve">approximately </w:t>
      </w:r>
      <w:r w:rsidR="00790754" w:rsidRPr="00025B0A">
        <w:t xml:space="preserve">18 years old, </w:t>
      </w:r>
      <w:r w:rsidRPr="00025B0A">
        <w:t>three years after they took PISA</w:t>
      </w:r>
      <w:r w:rsidR="00FB5CF7">
        <w:t xml:space="preserve"> in 2012</w:t>
      </w:r>
      <w:r w:rsidRPr="00025B0A">
        <w:t xml:space="preserve">. </w:t>
      </w:r>
      <w:r w:rsidR="00A82CFC" w:rsidRPr="00025B0A">
        <w:t xml:space="preserve">The assessment </w:t>
      </w:r>
      <w:r w:rsidR="002D4E99">
        <w:t xml:space="preserve">is designed to </w:t>
      </w:r>
      <w:r w:rsidR="003B7053">
        <w:t>take on average</w:t>
      </w:r>
      <w:r w:rsidR="002D4E99">
        <w:t xml:space="preserve"> </w:t>
      </w:r>
      <w:r w:rsidR="00A82CFC" w:rsidRPr="00025B0A">
        <w:t xml:space="preserve">90 minutes to complete and the background questionnaire approximately </w:t>
      </w:r>
      <w:r w:rsidR="00C019B2">
        <w:t>35</w:t>
      </w:r>
      <w:r w:rsidR="00C019B2" w:rsidRPr="00025B0A">
        <w:t xml:space="preserve"> </w:t>
      </w:r>
      <w:r w:rsidR="00A82CFC" w:rsidRPr="00025B0A">
        <w:t>minutes</w:t>
      </w:r>
      <w:r w:rsidR="002D4E99">
        <w:t xml:space="preserve">, for a total of </w:t>
      </w:r>
      <w:r w:rsidR="00C019B2">
        <w:t xml:space="preserve">125 </w:t>
      </w:r>
      <w:r w:rsidR="002D4E99">
        <w:t xml:space="preserve">minutes </w:t>
      </w:r>
      <w:r w:rsidR="00A9635F">
        <w:t xml:space="preserve">on average </w:t>
      </w:r>
      <w:r w:rsidR="002D4E99">
        <w:t>per respondent</w:t>
      </w:r>
      <w:r w:rsidR="00A82CFC" w:rsidRPr="00025B0A">
        <w:t>.</w:t>
      </w:r>
    </w:p>
    <w:p w:rsidR="00A82CFC" w:rsidRDefault="005715D3" w:rsidP="00A97656">
      <w:pPr>
        <w:pStyle w:val="BodyText1"/>
      </w:pPr>
      <w:r>
        <w:t xml:space="preserve">The ESO assessment measures a set of cognitive and non-cognitive skills </w:t>
      </w:r>
      <w:r w:rsidR="00FB5CF7">
        <w:t>deemed necessary</w:t>
      </w:r>
      <w:r>
        <w:t xml:space="preserve"> for full participation in modern societies. These skills and knowledge include being able to understand and use printed and electronic texts, reason with numbers, and solve problems using information and communication technologies (see exhibit </w:t>
      </w:r>
      <w:r w:rsidR="0091052C">
        <w:t>A-</w:t>
      </w:r>
      <w:r w:rsidR="002C57D0">
        <w:t>1, below</w:t>
      </w:r>
      <w:r w:rsidR="002D4E99">
        <w:t xml:space="preserve">, for an overview of the </w:t>
      </w:r>
      <w:r w:rsidR="00DD7946">
        <w:t xml:space="preserve">cognitive </w:t>
      </w:r>
      <w:r w:rsidR="00DB2F08">
        <w:t>content of the ESO</w:t>
      </w:r>
      <w:r w:rsidR="002C57D0">
        <w:t>).</w:t>
      </w:r>
    </w:p>
    <w:p w:rsidR="00010BEA" w:rsidRPr="001A0055" w:rsidRDefault="00010BEA" w:rsidP="000E74CC">
      <w:pPr>
        <w:pStyle w:val="BodyText1"/>
        <w:spacing w:before="240" w:after="0" w:line="240" w:lineRule="auto"/>
        <w:rPr>
          <w:b/>
          <w:bCs/>
        </w:rPr>
      </w:pPr>
      <w:r w:rsidRPr="00CC498C">
        <w:rPr>
          <w:b/>
        </w:rPr>
        <w:t xml:space="preserve">Exhibit A-1. </w:t>
      </w:r>
      <w:r w:rsidRPr="00CC498C">
        <w:rPr>
          <w:b/>
          <w:bCs/>
        </w:rPr>
        <w:t>Summary of the cognitive domains in the OECD Education and Skills Online (ESO) Assessment</w:t>
      </w:r>
    </w:p>
    <w:tbl>
      <w:tblPr>
        <w:tblStyle w:val="MediumShading2-Accent11"/>
        <w:tblW w:w="5000" w:type="pct"/>
        <w:tblLook w:val="04A0" w:firstRow="1" w:lastRow="0" w:firstColumn="1" w:lastColumn="0" w:noHBand="0" w:noVBand="1"/>
      </w:tblPr>
      <w:tblGrid>
        <w:gridCol w:w="1099"/>
        <w:gridCol w:w="3114"/>
        <w:gridCol w:w="3114"/>
        <w:gridCol w:w="3113"/>
      </w:tblGrid>
      <w:tr w:rsidR="00010BEA" w:rsidTr="003B7053">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526" w:type="pct"/>
            <w:vAlign w:val="center"/>
          </w:tcPr>
          <w:p w:rsidR="00010BEA" w:rsidRPr="00BE4082" w:rsidRDefault="00010BEA" w:rsidP="00E6355A">
            <w:pPr>
              <w:pStyle w:val="BodyText1"/>
              <w:spacing w:before="0" w:after="0" w:line="240" w:lineRule="auto"/>
              <w:rPr>
                <w:sz w:val="20"/>
              </w:rPr>
            </w:pPr>
          </w:p>
        </w:tc>
        <w:tc>
          <w:tcPr>
            <w:tcW w:w="1491" w:type="pct"/>
            <w:vAlign w:val="center"/>
          </w:tcPr>
          <w:p w:rsidR="00010BEA" w:rsidRPr="00BE4082"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BE4082">
              <w:rPr>
                <w:bCs w:val="0"/>
                <w:sz w:val="20"/>
              </w:rPr>
              <w:t xml:space="preserve">Literacy </w:t>
            </w:r>
          </w:p>
        </w:tc>
        <w:tc>
          <w:tcPr>
            <w:tcW w:w="1491" w:type="pct"/>
            <w:vAlign w:val="center"/>
          </w:tcPr>
          <w:p w:rsidR="00010BEA" w:rsidRPr="007A6504"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Numeracy </w:t>
            </w:r>
          </w:p>
        </w:tc>
        <w:tc>
          <w:tcPr>
            <w:tcW w:w="1491" w:type="pct"/>
            <w:vAlign w:val="center"/>
          </w:tcPr>
          <w:p w:rsidR="00010BEA" w:rsidRPr="007A6504"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Problem solving in technology-rich environments </w:t>
            </w:r>
          </w:p>
        </w:tc>
      </w:tr>
      <w:tr w:rsidR="00010BEA" w:rsidTr="003B7053">
        <w:trPr>
          <w:cnfStyle w:val="000000100000" w:firstRow="0" w:lastRow="0" w:firstColumn="0" w:lastColumn="0" w:oddVBand="0" w:evenVBand="0" w:oddHBand="1" w:evenHBand="0" w:firstRowFirstColumn="0" w:firstRowLastColumn="0" w:lastRowFirstColumn="0" w:lastRowLastColumn="0"/>
          <w:cantSplit/>
          <w:trHeight w:val="1377"/>
        </w:trPr>
        <w:tc>
          <w:tcPr>
            <w:cnfStyle w:val="001000000000" w:firstRow="0" w:lastRow="0" w:firstColumn="1" w:lastColumn="0" w:oddVBand="0" w:evenVBand="0" w:oddHBand="0" w:evenHBand="0" w:firstRowFirstColumn="0" w:firstRowLastColumn="0" w:lastRowFirstColumn="0" w:lastRowLastColumn="0"/>
            <w:tcW w:w="526" w:type="pct"/>
            <w:tcBorders>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Definition</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BE4082">
              <w:rPr>
                <w:sz w:val="20"/>
              </w:rPr>
              <w:t>Ability to understand, evaluate, use and engage with written texts to participate in society,</w:t>
            </w:r>
            <w:r w:rsidRPr="007A6504">
              <w:rPr>
                <w:sz w:val="20"/>
              </w:rPr>
              <w:t xml:space="preserve"> achieve one’s goals, and develop one’s knowledge and potential. </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access, use, interpret and communicate mathematical information and ideas in order to engage in and manage the mathematical demands of a range of situations in adult life. </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use digital technology, communication tools and networks to acquire and evaluate information, communicate with others, and perform practical tasks. </w:t>
            </w:r>
          </w:p>
        </w:tc>
      </w:tr>
      <w:tr w:rsidR="00010BEA" w:rsidTr="003B7053">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Content</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Texts are characterized by</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Medium:</w:t>
            </w:r>
          </w:p>
          <w:p w:rsidR="00300499" w:rsidRDefault="00010BEA" w:rsidP="003B7053">
            <w:pPr>
              <w:pStyle w:val="Default"/>
              <w:numPr>
                <w:ilvl w:val="0"/>
                <w:numId w:val="20"/>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Print-based</w:t>
            </w:r>
          </w:p>
          <w:p w:rsidR="00300499" w:rsidRDefault="00010BEA" w:rsidP="003B7053">
            <w:pPr>
              <w:pStyle w:val="Default"/>
              <w:numPr>
                <w:ilvl w:val="0"/>
                <w:numId w:val="20"/>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Digital</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Format:</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Continuous or prose texts (narration, argumentation</w:t>
            </w:r>
            <w:r>
              <w:rPr>
                <w:rFonts w:ascii="Garamond" w:hAnsi="Garamond"/>
                <w:sz w:val="20"/>
              </w:rPr>
              <w:t>,</w:t>
            </w:r>
            <w:r w:rsidRPr="007A6504">
              <w:rPr>
                <w:rFonts w:ascii="Garamond" w:hAnsi="Garamond"/>
                <w:sz w:val="20"/>
              </w:rPr>
              <w:t xml:space="preserve"> or descriptions)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092F67">
              <w:rPr>
                <w:rFonts w:ascii="Garamond" w:hAnsi="Garamond"/>
                <w:sz w:val="20"/>
              </w:rPr>
              <w:t>Non-continuous or document texts (tables, lists, graphs)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092F67">
              <w:rPr>
                <w:rFonts w:ascii="Garamond" w:hAnsi="Garamond"/>
                <w:sz w:val="20"/>
              </w:rPr>
              <w:t>Mixed texts (combination of prose and document elements)</w:t>
            </w:r>
          </w:p>
          <w:p w:rsidR="00010BEA" w:rsidRPr="007A6504"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Multiple texts (juxtaposition or linking of independently generated elements) </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Mathematical content, information and ideas: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Quantity and number</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Dimension and shape</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Pattern, relationships, change</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Data and chance</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Representations of mathematical content:</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Objects and pictures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Numbers and symbols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Diagrams, maps, graphs, tables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Texts</w:t>
            </w:r>
          </w:p>
          <w:p w:rsidR="00010BEA" w:rsidRPr="00092F67"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Technology-based displays </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Technology:</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Hardware devices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Software applications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Commands and functions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Representations (text, graphics, video)</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Nature of problems:</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Intrinsic complexity (number of steps, alternatives required for solution, complexity of computation and/or transformation, number of constrains)</w:t>
            </w:r>
          </w:p>
          <w:p w:rsidR="00010BEA" w:rsidRPr="00092F67"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Explicitness of the problem statement (largely unspecified or described in detail </w:t>
            </w:r>
          </w:p>
        </w:tc>
      </w:tr>
      <w:tr w:rsidR="00010BEA" w:rsidTr="003B70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Cognitive Strategies</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Access and identify</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Integrate and interpret (relating parts of text to one another)</w:t>
            </w:r>
          </w:p>
          <w:p w:rsidR="00010BEA" w:rsidRPr="00092F67"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Evaluate and reflect on </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Identify, locate or access</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Act upon and use (order, count, estimate, compute, measure, model)</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Interpret, evaluate and analyze</w:t>
            </w:r>
          </w:p>
          <w:p w:rsidR="00010BEA" w:rsidRPr="007A6504"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Communicate </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Setting goals and monitoring progress</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Planning</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Acquiring and evaluating information</w:t>
            </w:r>
          </w:p>
          <w:p w:rsidR="00010BEA" w:rsidRPr="00092F67"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Using information </w:t>
            </w:r>
          </w:p>
        </w:tc>
      </w:tr>
      <w:tr w:rsidR="00010BEA" w:rsidTr="003B7053">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Context</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Personal</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Community</w:t>
            </w:r>
          </w:p>
          <w:p w:rsidR="00010BEA" w:rsidRPr="007A6504"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Everyday life</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Society &amp; Community</w:t>
            </w:r>
          </w:p>
          <w:p w:rsidR="00010BEA" w:rsidRPr="007A6504"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Personal</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010BEA" w:rsidRPr="00092F67"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Community </w:t>
            </w:r>
          </w:p>
        </w:tc>
      </w:tr>
    </w:tbl>
    <w:p w:rsidR="00300499" w:rsidRDefault="00010BEA" w:rsidP="00010BEA">
      <w:pPr>
        <w:pStyle w:val="BodyText1"/>
        <w:spacing w:before="0" w:after="0"/>
        <w:rPr>
          <w:sz w:val="18"/>
        </w:rPr>
      </w:pPr>
      <w:r w:rsidRPr="0091052C">
        <w:rPr>
          <w:sz w:val="18"/>
        </w:rPr>
        <w:t xml:space="preserve">Source: </w:t>
      </w:r>
      <w:hyperlink r:id="rId14" w:history="1">
        <w:r w:rsidRPr="00E208A8">
          <w:rPr>
            <w:rStyle w:val="Hyperlink"/>
            <w:sz w:val="18"/>
          </w:rPr>
          <w:t>http://www.oecd.org/site/piaac/ENGLISH_Brochure%20Education%20and%20Skills%20Online.pdf</w:t>
        </w:r>
      </w:hyperlink>
      <w:r>
        <w:rPr>
          <w:sz w:val="18"/>
        </w:rPr>
        <w:t>.</w:t>
      </w:r>
    </w:p>
    <w:p w:rsidR="00010BEA" w:rsidRDefault="00010BEA" w:rsidP="00495F46">
      <w:pPr>
        <w:pStyle w:val="BodyText1"/>
        <w:spacing w:before="0" w:after="0" w:line="240" w:lineRule="auto"/>
      </w:pPr>
    </w:p>
    <w:p w:rsidR="00A97656" w:rsidRDefault="00A97656" w:rsidP="00A97656">
      <w:pPr>
        <w:pStyle w:val="BodyText1"/>
      </w:pPr>
      <w:r w:rsidRPr="00DD5FCE">
        <w:t>The ESO questionnaire</w:t>
      </w:r>
      <w:r w:rsidR="00A82CFC" w:rsidRPr="00DD5FCE">
        <w:t>, in turn,</w:t>
      </w:r>
      <w:r w:rsidRPr="00DD5FCE">
        <w:t xml:space="preserve"> asks about personal and home background and education and workforce experiences</w:t>
      </w:r>
      <w:r w:rsidR="00C46B5A">
        <w:t xml:space="preserve"> (</w:t>
      </w:r>
      <w:r w:rsidR="00287B49">
        <w:t xml:space="preserve">all </w:t>
      </w:r>
      <w:r w:rsidR="00C46B5A">
        <w:t>taken from the PIAAC questionnaire)</w:t>
      </w:r>
      <w:r w:rsidRPr="00DD5FCE">
        <w:t xml:space="preserve">, and includes modules </w:t>
      </w:r>
      <w:r w:rsidR="00C46B5A">
        <w:t>that were developed and piloted by the OECD</w:t>
      </w:r>
      <w:r w:rsidR="00FB5CF7">
        <w:t xml:space="preserve"> for ESO</w:t>
      </w:r>
      <w:r w:rsidR="00C46B5A">
        <w:t xml:space="preserve">. </w:t>
      </w:r>
      <w:r w:rsidR="004B02DC">
        <w:t xml:space="preserve">The PIAAC background questionnaires were more extensive than what will be </w:t>
      </w:r>
      <w:r w:rsidR="004B02DC">
        <w:lastRenderedPageBreak/>
        <w:t xml:space="preserve">included in the ESO, however. </w:t>
      </w:r>
      <w:r w:rsidR="00C46B5A">
        <w:t>As shown in exhibit A-2, below, the content of the ESO questionnaire modules focus on</w:t>
      </w:r>
      <w:r w:rsidRPr="00DD5FCE">
        <w:t xml:space="preserve"> </w:t>
      </w:r>
      <w:r w:rsidR="00B053EC">
        <w:t xml:space="preserve">four </w:t>
      </w:r>
      <w:r w:rsidR="00EE4476">
        <w:t xml:space="preserve">areas: </w:t>
      </w:r>
      <w:r w:rsidR="00AD357E">
        <w:t xml:space="preserve">(i) basic demographics, </w:t>
      </w:r>
      <w:r w:rsidRPr="00DD5FCE">
        <w:t>(i</w:t>
      </w:r>
      <w:r w:rsidR="00AD357E">
        <w:t>i</w:t>
      </w:r>
      <w:r w:rsidRPr="00DD5FCE">
        <w:t>) career interests and intentionality</w:t>
      </w:r>
      <w:r w:rsidR="00DB2F08">
        <w:t xml:space="preserve"> </w:t>
      </w:r>
      <w:r w:rsidR="00AD357E">
        <w:t>(CII)</w:t>
      </w:r>
      <w:r w:rsidR="00B053EC">
        <w:t>,</w:t>
      </w:r>
      <w:r w:rsidR="00AD357E">
        <w:t xml:space="preserve"> </w:t>
      </w:r>
      <w:r w:rsidRPr="00DD5FCE">
        <w:t>(</w:t>
      </w:r>
      <w:r w:rsidR="00AD357E">
        <w:t>iii</w:t>
      </w:r>
      <w:r w:rsidRPr="00DD5FCE">
        <w:t>) behavioral performance competencies</w:t>
      </w:r>
      <w:r w:rsidR="00AD357E">
        <w:t xml:space="preserve"> (BPC)</w:t>
      </w:r>
      <w:r w:rsidR="00B053EC">
        <w:t>, and (iv) subjective well-being and health (SWBH)</w:t>
      </w:r>
      <w:r w:rsidRPr="00DD5FCE">
        <w:t xml:space="preserve">. </w:t>
      </w:r>
      <w:r w:rsidR="00B053EC">
        <w:t>The OECD has designed the ESO such that all items and modules must be administered intact; there is no mechanism for the removal or suppression of individual items or modules.</w:t>
      </w:r>
      <w:r w:rsidR="00DD5FCE">
        <w:t xml:space="preserve"> </w:t>
      </w:r>
    </w:p>
    <w:p w:rsidR="00300499" w:rsidRDefault="000B7F24">
      <w:pPr>
        <w:spacing w:line="276" w:lineRule="auto"/>
        <w:jc w:val="left"/>
        <w:rPr>
          <w:rFonts w:ascii="Garamond" w:hAnsi="Garamond"/>
          <w:sz w:val="24"/>
          <w:szCs w:val="24"/>
        </w:rPr>
      </w:pPr>
      <w:r>
        <w:rPr>
          <w:rFonts w:ascii="Garamond" w:hAnsi="Garamond"/>
          <w:sz w:val="24"/>
          <w:szCs w:val="24"/>
        </w:rPr>
        <w:t>Because the ESO must be administered as designed</w:t>
      </w:r>
      <w:r w:rsidR="00C46B5A">
        <w:rPr>
          <w:rFonts w:ascii="Garamond" w:hAnsi="Garamond"/>
          <w:sz w:val="24"/>
          <w:szCs w:val="24"/>
        </w:rPr>
        <w:t xml:space="preserve">, </w:t>
      </w:r>
      <w:r>
        <w:rPr>
          <w:rFonts w:ascii="Garamond" w:hAnsi="Garamond"/>
          <w:sz w:val="24"/>
          <w:szCs w:val="24"/>
        </w:rPr>
        <w:t xml:space="preserve">NCES </w:t>
      </w:r>
      <w:r w:rsidR="008B3D17" w:rsidRPr="008B3D17">
        <w:rPr>
          <w:rFonts w:ascii="Garamond" w:hAnsi="Garamond"/>
          <w:sz w:val="24"/>
          <w:szCs w:val="24"/>
        </w:rPr>
        <w:t xml:space="preserve">is </w:t>
      </w:r>
      <w:r>
        <w:rPr>
          <w:rFonts w:ascii="Garamond" w:hAnsi="Garamond"/>
          <w:sz w:val="24"/>
          <w:szCs w:val="24"/>
        </w:rPr>
        <w:t xml:space="preserve">planning to </w:t>
      </w:r>
      <w:r w:rsidR="00C46B5A">
        <w:rPr>
          <w:rFonts w:ascii="Garamond" w:hAnsi="Garamond"/>
          <w:sz w:val="24"/>
          <w:szCs w:val="24"/>
        </w:rPr>
        <w:t>administer</w:t>
      </w:r>
      <w:r>
        <w:rPr>
          <w:rFonts w:ascii="Garamond" w:hAnsi="Garamond"/>
          <w:sz w:val="24"/>
          <w:szCs w:val="24"/>
        </w:rPr>
        <w:t xml:space="preserve"> an ‘add-on’ questionnaire module</w:t>
      </w:r>
      <w:r w:rsidR="00C46B5A">
        <w:rPr>
          <w:rFonts w:ascii="Garamond" w:hAnsi="Garamond"/>
          <w:sz w:val="24"/>
          <w:szCs w:val="24"/>
        </w:rPr>
        <w:t xml:space="preserve">, with 16 additional </w:t>
      </w:r>
      <w:r w:rsidR="007D4AA3">
        <w:rPr>
          <w:rFonts w:ascii="Garamond" w:hAnsi="Garamond"/>
          <w:sz w:val="24"/>
          <w:szCs w:val="24"/>
        </w:rPr>
        <w:t xml:space="preserve">items </w:t>
      </w:r>
      <w:r w:rsidR="00E956A7">
        <w:rPr>
          <w:rFonts w:ascii="Garamond" w:hAnsi="Garamond"/>
          <w:sz w:val="24"/>
          <w:szCs w:val="24"/>
        </w:rPr>
        <w:t xml:space="preserve">administered in </w:t>
      </w:r>
      <w:r w:rsidR="007D4AA3">
        <w:rPr>
          <w:rFonts w:ascii="Garamond" w:hAnsi="Garamond"/>
          <w:sz w:val="24"/>
          <w:szCs w:val="24"/>
        </w:rPr>
        <w:t>PIAAC</w:t>
      </w:r>
      <w:r w:rsidR="00E956A7">
        <w:rPr>
          <w:rFonts w:ascii="Garamond" w:hAnsi="Garamond"/>
          <w:sz w:val="24"/>
          <w:szCs w:val="24"/>
        </w:rPr>
        <w:t xml:space="preserve"> but not included </w:t>
      </w:r>
      <w:r w:rsidR="00FB5CF7">
        <w:rPr>
          <w:rFonts w:ascii="Garamond" w:hAnsi="Garamond"/>
          <w:sz w:val="24"/>
          <w:szCs w:val="24"/>
        </w:rPr>
        <w:t xml:space="preserve">by the OECD </w:t>
      </w:r>
      <w:r w:rsidR="00E956A7">
        <w:rPr>
          <w:rFonts w:ascii="Garamond" w:hAnsi="Garamond"/>
          <w:sz w:val="24"/>
          <w:szCs w:val="24"/>
        </w:rPr>
        <w:t>in ESO</w:t>
      </w:r>
      <w:r w:rsidR="008B3D17" w:rsidRPr="008B3D17">
        <w:rPr>
          <w:rFonts w:ascii="Garamond" w:hAnsi="Garamond"/>
          <w:sz w:val="24"/>
          <w:szCs w:val="24"/>
        </w:rPr>
        <w:t>.</w:t>
      </w:r>
      <w:r w:rsidR="007D4AA3">
        <w:rPr>
          <w:rFonts w:ascii="Garamond" w:hAnsi="Garamond"/>
          <w:sz w:val="24"/>
          <w:szCs w:val="24"/>
        </w:rPr>
        <w:t xml:space="preserve"> These additional questions address students’ recent and current educational status and experiences, including non-formal learning activities. This information is critical for realizing the aims of the PISA Validation Study</w:t>
      </w:r>
      <w:r w:rsidR="004B02DC">
        <w:rPr>
          <w:rFonts w:ascii="Garamond" w:hAnsi="Garamond"/>
          <w:sz w:val="24"/>
          <w:szCs w:val="24"/>
        </w:rPr>
        <w:t xml:space="preserve">, which is to examine the relationship between PISA and the </w:t>
      </w:r>
      <w:r w:rsidR="00190CB2">
        <w:rPr>
          <w:rFonts w:ascii="Garamond" w:hAnsi="Garamond"/>
          <w:sz w:val="24"/>
          <w:szCs w:val="24"/>
        </w:rPr>
        <w:t>paths</w:t>
      </w:r>
      <w:r w:rsidR="004B02DC">
        <w:rPr>
          <w:rFonts w:ascii="Garamond" w:hAnsi="Garamond"/>
          <w:sz w:val="24"/>
          <w:szCs w:val="24"/>
        </w:rPr>
        <w:t xml:space="preserve"> that young adults </w:t>
      </w:r>
      <w:r w:rsidR="00190CB2">
        <w:rPr>
          <w:rFonts w:ascii="Garamond" w:hAnsi="Garamond"/>
          <w:sz w:val="24"/>
          <w:szCs w:val="24"/>
        </w:rPr>
        <w:t>choose after leaving high school</w:t>
      </w:r>
      <w:r w:rsidR="007D4AA3">
        <w:rPr>
          <w:rFonts w:ascii="Garamond" w:hAnsi="Garamond"/>
          <w:sz w:val="24"/>
          <w:szCs w:val="24"/>
        </w:rPr>
        <w:t>.</w:t>
      </w:r>
      <w:r w:rsidR="00AD357E">
        <w:rPr>
          <w:rFonts w:ascii="Garamond" w:hAnsi="Garamond"/>
          <w:sz w:val="24"/>
          <w:szCs w:val="24"/>
        </w:rPr>
        <w:t xml:space="preserve"> </w:t>
      </w:r>
      <w:r w:rsidR="00E956A7">
        <w:rPr>
          <w:rFonts w:ascii="Garamond" w:hAnsi="Garamond"/>
          <w:sz w:val="24"/>
          <w:szCs w:val="24"/>
        </w:rPr>
        <w:t xml:space="preserve">The themes covered by these additional survey items are </w:t>
      </w:r>
      <w:r w:rsidR="00010BEA">
        <w:rPr>
          <w:rFonts w:ascii="Garamond" w:hAnsi="Garamond"/>
          <w:sz w:val="24"/>
          <w:szCs w:val="24"/>
        </w:rPr>
        <w:t xml:space="preserve">also </w:t>
      </w:r>
      <w:r w:rsidR="00E956A7">
        <w:rPr>
          <w:rFonts w:ascii="Garamond" w:hAnsi="Garamond"/>
          <w:sz w:val="24"/>
          <w:szCs w:val="24"/>
        </w:rPr>
        <w:t>shown in exhibit A-2.</w:t>
      </w:r>
      <w:r w:rsidR="00010BEA">
        <w:rPr>
          <w:rFonts w:ascii="Garamond" w:hAnsi="Garamond"/>
          <w:sz w:val="24"/>
          <w:szCs w:val="24"/>
        </w:rPr>
        <w:t xml:space="preserve"> More detailed information on all of the non-cognitive survey items </w:t>
      </w:r>
      <w:r w:rsidR="00EE4476">
        <w:rPr>
          <w:rFonts w:ascii="Garamond" w:hAnsi="Garamond"/>
          <w:sz w:val="24"/>
          <w:szCs w:val="24"/>
        </w:rPr>
        <w:t xml:space="preserve">is </w:t>
      </w:r>
      <w:r w:rsidR="00010BEA">
        <w:rPr>
          <w:rFonts w:ascii="Garamond" w:hAnsi="Garamond"/>
          <w:sz w:val="24"/>
          <w:szCs w:val="24"/>
        </w:rPr>
        <w:t xml:space="preserve">included in </w:t>
      </w:r>
      <w:r w:rsidR="008B3D17" w:rsidRPr="00CB5065">
        <w:rPr>
          <w:rFonts w:ascii="Garamond" w:hAnsi="Garamond"/>
          <w:sz w:val="24"/>
          <w:szCs w:val="24"/>
        </w:rPr>
        <w:t>Appendix B.</w:t>
      </w:r>
      <w:r w:rsidR="00EE4476">
        <w:rPr>
          <w:rFonts w:ascii="Garamond" w:hAnsi="Garamond"/>
          <w:sz w:val="24"/>
          <w:szCs w:val="24"/>
        </w:rPr>
        <w:t xml:space="preserve"> Please note that because the ESO modules are designed to be administered online, detailed information on the survey items provided in Appendix B are shown in tables, as there is no </w:t>
      </w:r>
      <w:r w:rsidR="00BD5E19">
        <w:rPr>
          <w:rFonts w:ascii="Garamond" w:hAnsi="Garamond"/>
          <w:sz w:val="24"/>
          <w:szCs w:val="24"/>
        </w:rPr>
        <w:t>paper version of the</w:t>
      </w:r>
      <w:r w:rsidR="00EE4476">
        <w:rPr>
          <w:rFonts w:ascii="Garamond" w:hAnsi="Garamond"/>
          <w:sz w:val="24"/>
          <w:szCs w:val="24"/>
        </w:rPr>
        <w:t xml:space="preserve"> questionnaire.</w:t>
      </w:r>
    </w:p>
    <w:p w:rsidR="00010BEA" w:rsidRPr="005F41F1" w:rsidRDefault="00010BEA" w:rsidP="005F41F1">
      <w:pPr>
        <w:pStyle w:val="PlainText"/>
        <w:spacing w:before="240"/>
        <w:rPr>
          <w:rFonts w:ascii="Garamond" w:hAnsi="Garamond"/>
          <w:b/>
          <w:sz w:val="24"/>
          <w:szCs w:val="24"/>
        </w:rPr>
      </w:pPr>
      <w:r w:rsidRPr="00CC498C">
        <w:rPr>
          <w:rFonts w:ascii="Garamond" w:hAnsi="Garamond"/>
          <w:b/>
          <w:sz w:val="24"/>
          <w:szCs w:val="24"/>
        </w:rPr>
        <w:t xml:space="preserve">Exhibit A-2. Summary of </w:t>
      </w:r>
      <w:r>
        <w:rPr>
          <w:rFonts w:ascii="Garamond" w:hAnsi="Garamond"/>
          <w:b/>
          <w:sz w:val="24"/>
          <w:szCs w:val="24"/>
        </w:rPr>
        <w:t xml:space="preserve">the </w:t>
      </w:r>
      <w:r w:rsidRPr="00CC498C">
        <w:rPr>
          <w:rFonts w:ascii="Garamond" w:hAnsi="Garamond"/>
          <w:b/>
          <w:sz w:val="24"/>
          <w:szCs w:val="24"/>
        </w:rPr>
        <w:t>non-cognitive modules</w:t>
      </w:r>
      <w:r>
        <w:rPr>
          <w:rFonts w:ascii="Garamond" w:hAnsi="Garamond"/>
          <w:b/>
          <w:sz w:val="24"/>
          <w:szCs w:val="24"/>
        </w:rPr>
        <w:t xml:space="preserve"> in the OECD’s Education and Skills Online (ESO) Assessment</w:t>
      </w:r>
    </w:p>
    <w:tbl>
      <w:tblPr>
        <w:tblStyle w:val="MediumShading2-Accent11"/>
        <w:tblW w:w="5000" w:type="pct"/>
        <w:tblLook w:val="04A0" w:firstRow="1" w:lastRow="0" w:firstColumn="1" w:lastColumn="0" w:noHBand="0" w:noVBand="1"/>
      </w:tblPr>
      <w:tblGrid>
        <w:gridCol w:w="2722"/>
        <w:gridCol w:w="3859"/>
        <w:gridCol w:w="3859"/>
      </w:tblGrid>
      <w:tr w:rsidR="00010BEA" w:rsidRPr="00BE4082" w:rsidTr="00DB24B7">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1304" w:type="pct"/>
            <w:vAlign w:val="center"/>
          </w:tcPr>
          <w:p w:rsidR="00010BEA" w:rsidRPr="00BE4082" w:rsidRDefault="00010BEA" w:rsidP="00DB24B7">
            <w:pPr>
              <w:pStyle w:val="BodyText1"/>
              <w:spacing w:before="0" w:after="0" w:line="240" w:lineRule="auto"/>
              <w:jc w:val="center"/>
              <w:rPr>
                <w:sz w:val="20"/>
              </w:rPr>
            </w:pPr>
            <w:r>
              <w:rPr>
                <w:sz w:val="20"/>
              </w:rPr>
              <w:t>Non-cognitive survey module</w:t>
            </w:r>
          </w:p>
        </w:tc>
        <w:tc>
          <w:tcPr>
            <w:tcW w:w="3696" w:type="pct"/>
            <w:gridSpan w:val="2"/>
            <w:vAlign w:val="center"/>
          </w:tcPr>
          <w:p w:rsidR="00010BEA" w:rsidRPr="00BE4082" w:rsidRDefault="00010BEA" w:rsidP="00DB24B7">
            <w:pPr>
              <w:pStyle w:val="BodyText1"/>
              <w:spacing w:before="0" w:after="0" w:line="240"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Content theme</w:t>
            </w:r>
            <w:r w:rsidR="004B02DC">
              <w:rPr>
                <w:sz w:val="20"/>
              </w:rPr>
              <w:t>s</w:t>
            </w:r>
          </w:p>
        </w:tc>
      </w:tr>
      <w:tr w:rsidR="00DB24B7" w:rsidRPr="007A6504" w:rsidTr="00DB24B7">
        <w:trPr>
          <w:cnfStyle w:val="000000100000" w:firstRow="0" w:lastRow="0" w:firstColumn="0" w:lastColumn="0" w:oddVBand="0" w:evenVBand="0" w:oddHBand="1" w:evenHBand="0" w:firstRowFirstColumn="0" w:firstRowLastColumn="0" w:lastRowFirstColumn="0" w:lastRowLastColumn="0"/>
          <w:cantSplit/>
          <w:trHeight w:val="1107"/>
        </w:trPr>
        <w:tc>
          <w:tcPr>
            <w:cnfStyle w:val="001000000000" w:firstRow="0" w:lastRow="0" w:firstColumn="1" w:lastColumn="0" w:oddVBand="0" w:evenVBand="0" w:oddHBand="0" w:evenHBand="0" w:firstRowFirstColumn="0" w:firstRowLastColumn="0" w:lastRowFirstColumn="0" w:lastRowLastColumn="0"/>
            <w:tcW w:w="1304" w:type="pct"/>
            <w:tcBorders>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E6355A">
              <w:rPr>
                <w:sz w:val="20"/>
                <w:szCs w:val="20"/>
              </w:rPr>
              <w:t>Background + Educational Experiences</w:t>
            </w:r>
            <w:r>
              <w:rPr>
                <w:sz w:val="20"/>
                <w:szCs w:val="20"/>
              </w:rPr>
              <w:t xml:space="preserve"> (Core)</w:t>
            </w:r>
          </w:p>
        </w:tc>
        <w:tc>
          <w:tcPr>
            <w:tcW w:w="1848" w:type="pct"/>
            <w:tcBorders>
              <w:bottom w:val="single" w:sz="4" w:space="0" w:color="auto"/>
            </w:tcBorders>
            <w:shd w:val="clear" w:color="auto" w:fill="auto"/>
          </w:tcPr>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Age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Sex</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Highest level of education attained</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Country of origin</w:t>
            </w:r>
          </w:p>
        </w:tc>
        <w:tc>
          <w:tcPr>
            <w:tcW w:w="1848" w:type="pct"/>
            <w:tcBorders>
              <w:bottom w:val="single" w:sz="4" w:space="0" w:color="auto"/>
            </w:tcBorders>
            <w:shd w:val="clear" w:color="auto" w:fill="auto"/>
          </w:tcPr>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Language spoken at home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Native language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Current employment status</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Current occupation</w:t>
            </w:r>
          </w:p>
        </w:tc>
      </w:tr>
      <w:tr w:rsidR="00DB24B7" w:rsidRPr="007A6504" w:rsidTr="00DB24B7">
        <w:trPr>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E6355A">
              <w:rPr>
                <w:sz w:val="20"/>
                <w:szCs w:val="20"/>
              </w:rPr>
              <w:t>Career Interest and Intent</w:t>
            </w:r>
            <w:r>
              <w:rPr>
                <w:sz w:val="20"/>
                <w:szCs w:val="20"/>
              </w:rPr>
              <w:t xml:space="preserve"> (CII)</w:t>
            </w:r>
          </w:p>
        </w:tc>
        <w:tc>
          <w:tcPr>
            <w:tcW w:w="1848" w:type="pct"/>
            <w:tcBorders>
              <w:top w:val="single" w:sz="4" w:space="0" w:color="auto"/>
              <w:bottom w:val="single" w:sz="4" w:space="0" w:color="auto"/>
            </w:tcBorders>
          </w:tcPr>
          <w:p w:rsidR="00DB24B7" w:rsidRPr="00010BEA" w:rsidRDefault="00DB24B7" w:rsidP="004B02DC">
            <w:pPr>
              <w:pStyle w:val="Default"/>
              <w:keepNext/>
              <w:numPr>
                <w:ilvl w:val="0"/>
                <w:numId w:val="30"/>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Inventory of vocational interests</w:t>
            </w:r>
          </w:p>
          <w:p w:rsidR="00DB24B7" w:rsidRPr="00010BEA" w:rsidRDefault="00DB24B7" w:rsidP="004B02DC">
            <w:pPr>
              <w:pStyle w:val="Default"/>
              <w:keepNext/>
              <w:numPr>
                <w:ilvl w:val="0"/>
                <w:numId w:val="21"/>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Intent to seek employment</w:t>
            </w:r>
          </w:p>
        </w:tc>
        <w:tc>
          <w:tcPr>
            <w:tcW w:w="1848" w:type="pct"/>
            <w:tcBorders>
              <w:top w:val="single" w:sz="4" w:space="0" w:color="auto"/>
              <w:bottom w:val="single" w:sz="4" w:space="0" w:color="auto"/>
            </w:tcBorders>
          </w:tcPr>
          <w:p w:rsidR="00DB24B7" w:rsidRPr="00010BEA" w:rsidRDefault="00DB24B7" w:rsidP="004B02DC">
            <w:pPr>
              <w:pStyle w:val="Default"/>
              <w:keepNext/>
              <w:numPr>
                <w:ilvl w:val="0"/>
                <w:numId w:val="21"/>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Intent to seek job training</w:t>
            </w:r>
          </w:p>
          <w:p w:rsidR="00DB24B7" w:rsidRPr="007A6504" w:rsidRDefault="00DB24B7" w:rsidP="004B02DC">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Job seeking behavior</w:t>
            </w:r>
          </w:p>
        </w:tc>
      </w:tr>
      <w:tr w:rsidR="00DB24B7" w:rsidRPr="00092F67" w:rsidTr="00DB24B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8B3D17">
              <w:rPr>
                <w:sz w:val="20"/>
                <w:szCs w:val="20"/>
              </w:rPr>
              <w:t>Behavioral performance competencies</w:t>
            </w:r>
            <w:r>
              <w:rPr>
                <w:sz w:val="20"/>
                <w:szCs w:val="20"/>
              </w:rPr>
              <w:t xml:space="preserve"> (BPC)</w:t>
            </w:r>
          </w:p>
        </w:tc>
        <w:tc>
          <w:tcPr>
            <w:tcW w:w="1848" w:type="pct"/>
            <w:tcBorders>
              <w:top w:val="single" w:sz="4" w:space="0" w:color="auto"/>
              <w:bottom w:val="single" w:sz="4" w:space="0" w:color="auto"/>
            </w:tcBorders>
            <w:shd w:val="clear" w:color="auto" w:fill="auto"/>
          </w:tcPr>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Well being</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Self-control</w:t>
            </w:r>
          </w:p>
          <w:p w:rsidR="00DB24B7" w:rsidRPr="00455732" w:rsidRDefault="00DB24B7" w:rsidP="004B02DC">
            <w:pPr>
              <w:pStyle w:val="Default"/>
              <w:numPr>
                <w:ilvl w:val="0"/>
                <w:numId w:val="25"/>
              </w:numPr>
              <w:jc w:val="both"/>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Responsibility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Sociability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Curiosity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Cooperation</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Generosity</w:t>
            </w:r>
          </w:p>
        </w:tc>
        <w:tc>
          <w:tcPr>
            <w:tcW w:w="1848" w:type="pct"/>
            <w:tcBorders>
              <w:top w:val="single" w:sz="4" w:space="0" w:color="auto"/>
              <w:bottom w:val="single" w:sz="4" w:space="0" w:color="auto"/>
            </w:tcBorders>
            <w:shd w:val="clear" w:color="auto" w:fill="auto"/>
          </w:tcPr>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Adjustment</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Intellectual efficiency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Ingenuity</w:t>
            </w:r>
          </w:p>
          <w:p w:rsidR="00DB24B7"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Achievement/Goal setting</w:t>
            </w:r>
          </w:p>
          <w:p w:rsidR="00DB24B7"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Dominance</w:t>
            </w:r>
          </w:p>
          <w:p w:rsidR="00DB24B7" w:rsidRPr="00455732"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Organization and Order</w:t>
            </w:r>
          </w:p>
        </w:tc>
      </w:tr>
      <w:tr w:rsidR="00B053EC" w:rsidRPr="00092F67" w:rsidTr="00DB24B7">
        <w:trPr>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B053EC" w:rsidRDefault="00B053EC" w:rsidP="004B02DC">
            <w:pPr>
              <w:pStyle w:val="BodyText1"/>
              <w:keepNext/>
              <w:tabs>
                <w:tab w:val="left" w:pos="1152"/>
              </w:tabs>
              <w:spacing w:before="0" w:after="0" w:line="240" w:lineRule="auto"/>
              <w:rPr>
                <w:sz w:val="20"/>
                <w:szCs w:val="20"/>
              </w:rPr>
            </w:pPr>
            <w:r>
              <w:rPr>
                <w:sz w:val="20"/>
                <w:szCs w:val="20"/>
              </w:rPr>
              <w:t>Subjective well-being and health (SWBH)</w:t>
            </w:r>
          </w:p>
        </w:tc>
        <w:tc>
          <w:tcPr>
            <w:tcW w:w="1848" w:type="pct"/>
            <w:tcBorders>
              <w:top w:val="single" w:sz="4" w:space="0" w:color="auto"/>
              <w:bottom w:val="single" w:sz="4" w:space="0" w:color="auto"/>
            </w:tcBorders>
            <w:shd w:val="clear" w:color="auto" w:fill="auto"/>
          </w:tcPr>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Life satisfaction</w:t>
            </w:r>
          </w:p>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Sleep patterns</w:t>
            </w:r>
          </w:p>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Physical activity</w:t>
            </w:r>
          </w:p>
        </w:tc>
        <w:tc>
          <w:tcPr>
            <w:tcW w:w="1848" w:type="pct"/>
            <w:tcBorders>
              <w:top w:val="single" w:sz="4" w:space="0" w:color="auto"/>
              <w:bottom w:val="single" w:sz="4" w:space="0" w:color="auto"/>
            </w:tcBorders>
            <w:shd w:val="clear" w:color="auto" w:fill="auto"/>
          </w:tcPr>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Emotional states</w:t>
            </w:r>
          </w:p>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Nutrition (diet)</w:t>
            </w:r>
          </w:p>
          <w:p w:rsidR="00B053EC" w:rsidRDefault="00B053EC"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Body measures (height, weight)</w:t>
            </w:r>
          </w:p>
        </w:tc>
      </w:tr>
      <w:tr w:rsidR="00DB24B7" w:rsidRPr="00092F67" w:rsidTr="00DB24B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Pr>
                <w:sz w:val="20"/>
                <w:szCs w:val="20"/>
              </w:rPr>
              <w:t>Additional items not already included in ESO</w:t>
            </w:r>
          </w:p>
        </w:tc>
        <w:tc>
          <w:tcPr>
            <w:tcW w:w="1848" w:type="pct"/>
            <w:tcBorders>
              <w:top w:val="single" w:sz="4" w:space="0" w:color="auto"/>
              <w:bottom w:val="single" w:sz="4" w:space="0" w:color="auto"/>
            </w:tcBorders>
            <w:shd w:val="clear" w:color="auto" w:fill="auto"/>
          </w:tcPr>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Current educational trajectory</w:t>
            </w:r>
          </w:p>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Degree/certification being sought</w:t>
            </w:r>
          </w:p>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General category of degree/certification being sought</w:t>
            </w:r>
          </w:p>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Non-formal learning activities (distance education; seminars)</w:t>
            </w:r>
          </w:p>
        </w:tc>
        <w:tc>
          <w:tcPr>
            <w:tcW w:w="1848" w:type="pct"/>
            <w:tcBorders>
              <w:top w:val="single" w:sz="4" w:space="0" w:color="auto"/>
              <w:bottom w:val="single" w:sz="4" w:space="0" w:color="auto"/>
            </w:tcBorders>
            <w:shd w:val="clear" w:color="auto" w:fill="auto"/>
          </w:tcPr>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Additional learning activities</w:t>
            </w:r>
          </w:p>
          <w:p w:rsidR="00DB24B7"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Reasons for non-participation in learning activities</w:t>
            </w:r>
          </w:p>
          <w:p w:rsidR="00DB24B7" w:rsidRPr="007A6504" w:rsidRDefault="00DB24B7" w:rsidP="00E6355A">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0"/>
              </w:rPr>
            </w:pPr>
            <w:r>
              <w:rPr>
                <w:rFonts w:ascii="Garamond" w:hAnsi="Garamond"/>
                <w:sz w:val="20"/>
              </w:rPr>
              <w:t xml:space="preserve">Use of tutors and participation in apprenticeship programs </w:t>
            </w:r>
          </w:p>
        </w:tc>
      </w:tr>
    </w:tbl>
    <w:p w:rsidR="004B02DC" w:rsidRDefault="004B02DC" w:rsidP="00DB24B7">
      <w:pPr>
        <w:spacing w:line="240" w:lineRule="auto"/>
        <w:jc w:val="left"/>
        <w:rPr>
          <w:rFonts w:ascii="Garamond" w:hAnsi="Garamond"/>
          <w:sz w:val="24"/>
          <w:szCs w:val="24"/>
        </w:rPr>
      </w:pPr>
    </w:p>
    <w:p w:rsidR="007519FA" w:rsidRDefault="007519FA">
      <w:pPr>
        <w:spacing w:before="120" w:after="120" w:line="276" w:lineRule="auto"/>
        <w:jc w:val="left"/>
        <w:rPr>
          <w:rFonts w:ascii="Garamond" w:hAnsi="Garamond"/>
          <w:b/>
          <w:sz w:val="24"/>
          <w:szCs w:val="24"/>
        </w:rPr>
      </w:pPr>
      <w:r>
        <w:rPr>
          <w:rFonts w:ascii="Garamond" w:hAnsi="Garamond"/>
          <w:b/>
          <w:sz w:val="24"/>
          <w:szCs w:val="24"/>
        </w:rPr>
        <w:t>Rationale for including CII</w:t>
      </w:r>
      <w:r w:rsidR="00B053EC">
        <w:rPr>
          <w:rFonts w:ascii="Garamond" w:hAnsi="Garamond"/>
          <w:b/>
          <w:sz w:val="24"/>
          <w:szCs w:val="24"/>
        </w:rPr>
        <w:t>,</w:t>
      </w:r>
      <w:r>
        <w:rPr>
          <w:rFonts w:ascii="Garamond" w:hAnsi="Garamond"/>
          <w:b/>
          <w:sz w:val="24"/>
          <w:szCs w:val="24"/>
        </w:rPr>
        <w:t xml:space="preserve"> BPC</w:t>
      </w:r>
      <w:r w:rsidR="00B053EC">
        <w:rPr>
          <w:rFonts w:ascii="Garamond" w:hAnsi="Garamond"/>
          <w:b/>
          <w:sz w:val="24"/>
          <w:szCs w:val="24"/>
        </w:rPr>
        <w:t>, and SWBH</w:t>
      </w:r>
      <w:r>
        <w:rPr>
          <w:rFonts w:ascii="Garamond" w:hAnsi="Garamond"/>
          <w:b/>
          <w:sz w:val="24"/>
          <w:szCs w:val="24"/>
        </w:rPr>
        <w:t xml:space="preserve"> modules</w:t>
      </w:r>
    </w:p>
    <w:p w:rsidR="00DB24B7" w:rsidRDefault="00E73AC6" w:rsidP="00DB24B7">
      <w:pPr>
        <w:spacing w:before="120" w:after="120" w:line="276" w:lineRule="auto"/>
        <w:jc w:val="left"/>
        <w:rPr>
          <w:rFonts w:ascii="Garamond" w:hAnsi="Garamond" w:cs="Courier New"/>
          <w:sz w:val="24"/>
          <w:szCs w:val="24"/>
        </w:rPr>
      </w:pPr>
      <w:r>
        <w:rPr>
          <w:rFonts w:ascii="Garamond" w:hAnsi="Garamond" w:cs="Courier New"/>
          <w:sz w:val="24"/>
          <w:szCs w:val="24"/>
        </w:rPr>
        <w:t>T</w:t>
      </w:r>
      <w:r w:rsidR="007519FA">
        <w:rPr>
          <w:rFonts w:ascii="Garamond" w:hAnsi="Garamond" w:cs="Courier New"/>
          <w:sz w:val="24"/>
          <w:szCs w:val="24"/>
        </w:rPr>
        <w:t>he original four modules being developed by the OECD for the ESO</w:t>
      </w:r>
      <w:r w:rsidR="007D79F1">
        <w:rPr>
          <w:rFonts w:ascii="Garamond" w:hAnsi="Garamond" w:cs="Courier New"/>
          <w:sz w:val="24"/>
          <w:szCs w:val="24"/>
        </w:rPr>
        <w:t xml:space="preserve"> are derived from PIAAC modules of the same name which were field trialed and administered in the main PIAAC 2011-12 data collection. </w:t>
      </w:r>
      <w:r w:rsidR="007519FA">
        <w:rPr>
          <w:rFonts w:ascii="Garamond" w:hAnsi="Garamond" w:cs="Courier New"/>
          <w:sz w:val="24"/>
          <w:szCs w:val="24"/>
        </w:rPr>
        <w:t xml:space="preserve">The </w:t>
      </w:r>
      <w:r w:rsidR="007519FA" w:rsidRPr="007519FA">
        <w:rPr>
          <w:rFonts w:ascii="Garamond" w:hAnsi="Garamond" w:cs="Courier New"/>
          <w:sz w:val="24"/>
          <w:szCs w:val="24"/>
        </w:rPr>
        <w:t>Care</w:t>
      </w:r>
      <w:r w:rsidR="007519FA">
        <w:rPr>
          <w:rFonts w:ascii="Garamond" w:hAnsi="Garamond" w:cs="Courier New"/>
          <w:sz w:val="24"/>
          <w:szCs w:val="24"/>
        </w:rPr>
        <w:t>er Interests and Intentionality (CII) module</w:t>
      </w:r>
      <w:r w:rsidR="007519FA" w:rsidRPr="007519FA">
        <w:rPr>
          <w:rFonts w:ascii="Garamond" w:hAnsi="Garamond" w:cs="Courier New"/>
          <w:sz w:val="24"/>
          <w:szCs w:val="24"/>
        </w:rPr>
        <w:t xml:space="preserve"> will provide information about the employment status and vocational interests of students in the PISA </w:t>
      </w:r>
      <w:r w:rsidR="007519FA">
        <w:rPr>
          <w:rFonts w:ascii="Garamond" w:hAnsi="Garamond" w:cs="Courier New"/>
          <w:sz w:val="24"/>
          <w:szCs w:val="24"/>
        </w:rPr>
        <w:t xml:space="preserve">Young Adult </w:t>
      </w:r>
      <w:r w:rsidR="007519FA" w:rsidRPr="007519FA">
        <w:rPr>
          <w:rFonts w:ascii="Garamond" w:hAnsi="Garamond" w:cs="Courier New"/>
          <w:sz w:val="24"/>
          <w:szCs w:val="24"/>
        </w:rPr>
        <w:t xml:space="preserve">Follow-up Study, at </w:t>
      </w:r>
      <w:r w:rsidR="00EE4476">
        <w:rPr>
          <w:rFonts w:ascii="Garamond" w:hAnsi="Garamond" w:cs="Courier New"/>
          <w:sz w:val="24"/>
          <w:szCs w:val="24"/>
        </w:rPr>
        <w:t xml:space="preserve">approximately </w:t>
      </w:r>
      <w:r w:rsidR="007519FA" w:rsidRPr="007519FA">
        <w:rPr>
          <w:rFonts w:ascii="Garamond" w:hAnsi="Garamond" w:cs="Courier New"/>
          <w:sz w:val="24"/>
          <w:szCs w:val="24"/>
        </w:rPr>
        <w:t xml:space="preserve">age 18, which can be related to their performance on PISA at age 15. Questions about employment status will provide </w:t>
      </w:r>
      <w:r w:rsidR="007519FA" w:rsidRPr="007519FA">
        <w:rPr>
          <w:rFonts w:ascii="Garamond" w:hAnsi="Garamond" w:cs="Courier New"/>
          <w:sz w:val="24"/>
          <w:szCs w:val="24"/>
        </w:rPr>
        <w:lastRenderedPageBreak/>
        <w:t xml:space="preserve">detailed information about what students are doing for work and/or if they are seeking employment, which will be especially useful for understanding the current experiences of students who did not go on to higher education. For all students in the sample the module will provide information about occupational interests and intentions that can be </w:t>
      </w:r>
      <w:r w:rsidR="00DB24B7">
        <w:rPr>
          <w:rFonts w:ascii="Garamond" w:hAnsi="Garamond" w:cs="Courier New"/>
          <w:sz w:val="24"/>
          <w:szCs w:val="24"/>
        </w:rPr>
        <w:t>related to performance on PISA.</w:t>
      </w:r>
    </w:p>
    <w:p w:rsidR="007519FA" w:rsidRDefault="007519FA" w:rsidP="00DB24B7">
      <w:pPr>
        <w:spacing w:before="120" w:after="120" w:line="276" w:lineRule="auto"/>
        <w:jc w:val="left"/>
        <w:rPr>
          <w:rFonts w:ascii="Garamond" w:hAnsi="Garamond" w:cs="Courier New"/>
          <w:sz w:val="24"/>
          <w:szCs w:val="24"/>
        </w:rPr>
      </w:pPr>
      <w:r>
        <w:rPr>
          <w:rFonts w:ascii="Garamond" w:hAnsi="Garamond" w:cs="Courier New"/>
          <w:sz w:val="24"/>
          <w:szCs w:val="24"/>
        </w:rPr>
        <w:t xml:space="preserve">The </w:t>
      </w:r>
      <w:r w:rsidRPr="007519FA">
        <w:rPr>
          <w:rFonts w:ascii="Garamond" w:hAnsi="Garamond" w:cs="Courier New"/>
          <w:sz w:val="24"/>
          <w:szCs w:val="24"/>
        </w:rPr>
        <w:t>Behavioral Performance Competencies</w:t>
      </w:r>
      <w:r>
        <w:rPr>
          <w:rFonts w:ascii="Garamond" w:hAnsi="Garamond" w:cs="Courier New"/>
          <w:sz w:val="24"/>
          <w:szCs w:val="24"/>
        </w:rPr>
        <w:t xml:space="preserve"> (BPC) module</w:t>
      </w:r>
      <w:r w:rsidRPr="007519FA">
        <w:rPr>
          <w:rFonts w:ascii="Garamond" w:hAnsi="Garamond" w:cs="Courier New"/>
          <w:sz w:val="24"/>
          <w:szCs w:val="24"/>
        </w:rPr>
        <w:t xml:space="preserve"> addresses a range of non-cognitive constructs, including well-being, self-control, cooperation, and responsibility. This module will provide a way to relate non-cognitive outcomes of students in early adulthood to earlier performance in reading, mathematics, and science, to address the question of how performance on PISA relates to successful participation in adult life.</w:t>
      </w:r>
    </w:p>
    <w:p w:rsidR="00C019B2" w:rsidRPr="00D60A0E" w:rsidRDefault="00C019B2" w:rsidP="00DB24B7">
      <w:pPr>
        <w:spacing w:before="120" w:after="120" w:line="276" w:lineRule="auto"/>
        <w:jc w:val="left"/>
        <w:rPr>
          <w:rFonts w:ascii="Garamond" w:hAnsi="Garamond"/>
          <w:sz w:val="24"/>
          <w:szCs w:val="24"/>
        </w:rPr>
      </w:pPr>
      <w:r>
        <w:rPr>
          <w:rFonts w:ascii="Garamond" w:hAnsi="Garamond"/>
          <w:sz w:val="24"/>
          <w:szCs w:val="24"/>
        </w:rPr>
        <w:t>The s</w:t>
      </w:r>
      <w:r w:rsidRPr="00D60A0E">
        <w:rPr>
          <w:rFonts w:ascii="Garamond" w:hAnsi="Garamond"/>
          <w:sz w:val="24"/>
          <w:szCs w:val="24"/>
        </w:rPr>
        <w:t xml:space="preserve">ubjective well-being </w:t>
      </w:r>
      <w:r>
        <w:rPr>
          <w:rFonts w:ascii="Garamond" w:hAnsi="Garamond"/>
          <w:sz w:val="24"/>
          <w:szCs w:val="24"/>
        </w:rPr>
        <w:t xml:space="preserve">and health (SWBH) </w:t>
      </w:r>
      <w:r w:rsidRPr="00D60A0E">
        <w:rPr>
          <w:rFonts w:ascii="Garamond" w:hAnsi="Garamond"/>
          <w:sz w:val="24"/>
          <w:szCs w:val="24"/>
        </w:rPr>
        <w:t xml:space="preserve">module examines the main components of subjective well-being: life evaluation and positive and negative affect in addition to subjective health and </w:t>
      </w:r>
      <w:r>
        <w:rPr>
          <w:rFonts w:ascii="Garamond" w:hAnsi="Garamond"/>
          <w:sz w:val="24"/>
          <w:szCs w:val="24"/>
        </w:rPr>
        <w:t xml:space="preserve">objective </w:t>
      </w:r>
      <w:r w:rsidRPr="00D60A0E">
        <w:rPr>
          <w:rFonts w:ascii="Garamond" w:hAnsi="Garamond"/>
          <w:sz w:val="24"/>
          <w:szCs w:val="24"/>
        </w:rPr>
        <w:t xml:space="preserve">health indicators in line with the measures described in the World Health Organization’s agenda. Research has shown a relationship between health and well-being for education and work-related outcomes, with healthy individuals being more productive and more successful in their personal and professional lives. In the </w:t>
      </w:r>
      <w:r>
        <w:rPr>
          <w:rFonts w:ascii="Garamond" w:hAnsi="Garamond"/>
          <w:sz w:val="24"/>
          <w:szCs w:val="24"/>
        </w:rPr>
        <w:t>PISA Validation</w:t>
      </w:r>
      <w:r w:rsidRPr="00D60A0E">
        <w:rPr>
          <w:rFonts w:ascii="Garamond" w:hAnsi="Garamond"/>
          <w:sz w:val="24"/>
          <w:szCs w:val="24"/>
        </w:rPr>
        <w:t xml:space="preserve"> Study this information will be examined in relation to the previous performance on the PISA assessment, with education and employment status taken into account. Collecting the information on subjective well-being </w:t>
      </w:r>
      <w:r>
        <w:rPr>
          <w:rFonts w:ascii="Garamond" w:hAnsi="Garamond"/>
          <w:sz w:val="24"/>
          <w:szCs w:val="24"/>
        </w:rPr>
        <w:t xml:space="preserve">and health </w:t>
      </w:r>
      <w:r w:rsidRPr="00D60A0E">
        <w:rPr>
          <w:rFonts w:ascii="Garamond" w:hAnsi="Garamond"/>
          <w:sz w:val="24"/>
          <w:szCs w:val="24"/>
        </w:rPr>
        <w:t xml:space="preserve">could, for example, answer a question whether young adults’ life satisfaction has </w:t>
      </w:r>
      <w:r w:rsidR="00D60A0E">
        <w:rPr>
          <w:rFonts w:ascii="Garamond" w:hAnsi="Garamond"/>
          <w:sz w:val="24"/>
          <w:szCs w:val="24"/>
        </w:rPr>
        <w:t>an</w:t>
      </w:r>
      <w:r w:rsidRPr="00D60A0E">
        <w:rPr>
          <w:rFonts w:ascii="Garamond" w:hAnsi="Garamond"/>
          <w:sz w:val="24"/>
          <w:szCs w:val="24"/>
        </w:rPr>
        <w:t xml:space="preserve"> association with how well they scored on the reading assessment in PISA or on the literacy assessment as an adult; or, show a relationship between education and employment outcomes and sleeping, eating</w:t>
      </w:r>
      <w:r w:rsidR="00D60A0E">
        <w:rPr>
          <w:rFonts w:ascii="Garamond" w:hAnsi="Garamond"/>
          <w:sz w:val="24"/>
          <w:szCs w:val="24"/>
        </w:rPr>
        <w:t>,</w:t>
      </w:r>
      <w:r w:rsidRPr="00D60A0E">
        <w:rPr>
          <w:rFonts w:ascii="Garamond" w:hAnsi="Garamond"/>
          <w:sz w:val="24"/>
          <w:szCs w:val="24"/>
        </w:rPr>
        <w:t xml:space="preserve"> and exercise habits.</w:t>
      </w:r>
    </w:p>
    <w:p w:rsidR="007D79F1" w:rsidRPr="007519FA" w:rsidRDefault="007D79F1" w:rsidP="00DB24B7">
      <w:pPr>
        <w:spacing w:before="120" w:after="120" w:line="276" w:lineRule="auto"/>
        <w:jc w:val="left"/>
        <w:rPr>
          <w:rFonts w:ascii="Garamond" w:hAnsi="Garamond"/>
          <w:sz w:val="24"/>
          <w:szCs w:val="24"/>
        </w:rPr>
      </w:pPr>
      <w:r>
        <w:rPr>
          <w:rFonts w:ascii="Garamond" w:hAnsi="Garamond" w:cs="Courier New"/>
          <w:sz w:val="24"/>
          <w:szCs w:val="24"/>
        </w:rPr>
        <w:t>As noted, the CII</w:t>
      </w:r>
      <w:r w:rsidR="00C019B2">
        <w:rPr>
          <w:rFonts w:ascii="Garamond" w:hAnsi="Garamond" w:cs="Courier New"/>
          <w:sz w:val="24"/>
          <w:szCs w:val="24"/>
        </w:rPr>
        <w:t>,</w:t>
      </w:r>
      <w:r>
        <w:rPr>
          <w:rFonts w:ascii="Garamond" w:hAnsi="Garamond" w:cs="Courier New"/>
          <w:sz w:val="24"/>
          <w:szCs w:val="24"/>
        </w:rPr>
        <w:t xml:space="preserve"> BPC</w:t>
      </w:r>
      <w:r w:rsidR="00C019B2">
        <w:rPr>
          <w:rFonts w:ascii="Garamond" w:hAnsi="Garamond" w:cs="Courier New"/>
          <w:sz w:val="24"/>
          <w:szCs w:val="24"/>
        </w:rPr>
        <w:t>, and SWBH</w:t>
      </w:r>
      <w:r>
        <w:rPr>
          <w:rFonts w:ascii="Garamond" w:hAnsi="Garamond" w:cs="Courier New"/>
          <w:sz w:val="24"/>
          <w:szCs w:val="24"/>
        </w:rPr>
        <w:t xml:space="preserve"> modules have already been used in the field for PIAAC 2011-12 data collection so their extension to ESO does not require further testing.</w:t>
      </w:r>
    </w:p>
    <w:p w:rsidR="004B02DC" w:rsidRDefault="008B3D17">
      <w:pPr>
        <w:spacing w:before="120" w:after="120" w:line="276" w:lineRule="auto"/>
        <w:jc w:val="left"/>
        <w:rPr>
          <w:rFonts w:ascii="Garamond" w:hAnsi="Garamond"/>
          <w:b/>
          <w:sz w:val="24"/>
          <w:szCs w:val="24"/>
        </w:rPr>
      </w:pPr>
      <w:r w:rsidRPr="008B3D17">
        <w:rPr>
          <w:rFonts w:ascii="Garamond" w:hAnsi="Garamond"/>
          <w:b/>
          <w:sz w:val="24"/>
          <w:szCs w:val="24"/>
        </w:rPr>
        <w:t>Rationale for additional non-cognitive survey items</w:t>
      </w:r>
    </w:p>
    <w:p w:rsidR="004B02DC" w:rsidRDefault="004E0796">
      <w:pPr>
        <w:spacing w:before="120" w:after="120" w:line="276" w:lineRule="auto"/>
        <w:jc w:val="left"/>
        <w:rPr>
          <w:rFonts w:ascii="Garamond" w:hAnsi="Garamond"/>
          <w:sz w:val="24"/>
          <w:szCs w:val="24"/>
        </w:rPr>
      </w:pPr>
      <w:r>
        <w:rPr>
          <w:rFonts w:ascii="Garamond" w:hAnsi="Garamond"/>
          <w:sz w:val="24"/>
          <w:szCs w:val="24"/>
        </w:rPr>
        <w:t xml:space="preserve">As indicated above, NCES proposes to augment the ESO questionnaire modules with 16 additional items as an ‘add-on’ module that, from a respondent perspective, will seamlessly blend with the ESO. The rationale for proposing these additional items is </w:t>
      </w:r>
      <w:r w:rsidR="005E4045">
        <w:rPr>
          <w:rFonts w:ascii="Garamond" w:hAnsi="Garamond"/>
          <w:sz w:val="24"/>
          <w:szCs w:val="24"/>
        </w:rPr>
        <w:t>provided below</w:t>
      </w:r>
      <w:r>
        <w:rPr>
          <w:rFonts w:ascii="Garamond" w:hAnsi="Garamond"/>
          <w:sz w:val="24"/>
          <w:szCs w:val="24"/>
        </w:rPr>
        <w:t>.</w:t>
      </w:r>
      <w:r w:rsidR="007D79F1">
        <w:rPr>
          <w:rFonts w:ascii="Garamond" w:hAnsi="Garamond"/>
          <w:sz w:val="24"/>
          <w:szCs w:val="24"/>
        </w:rPr>
        <w:t xml:space="preserve"> These additional items are also taken from the PIAAC 2011-12 questionnaires but were not included in the ESO modules distributed by the OECD. NCES believes these additional items will bring added analytic insight to the results of the PISA Validation Study.</w:t>
      </w:r>
    </w:p>
    <w:p w:rsidR="004B02DC" w:rsidRDefault="008B3D17">
      <w:pPr>
        <w:spacing w:before="120" w:after="120" w:line="276" w:lineRule="auto"/>
        <w:jc w:val="left"/>
        <w:rPr>
          <w:rFonts w:ascii="Garamond" w:hAnsi="Garamond"/>
          <w:sz w:val="24"/>
          <w:szCs w:val="24"/>
        </w:rPr>
      </w:pPr>
      <w:r w:rsidRPr="008B3D17">
        <w:rPr>
          <w:rFonts w:ascii="Garamond" w:hAnsi="Garamond"/>
          <w:sz w:val="24"/>
          <w:szCs w:val="24"/>
        </w:rPr>
        <w:t xml:space="preserve">It is estimated that over 80 percent of </w:t>
      </w:r>
      <w:r w:rsidR="00947CE1">
        <w:rPr>
          <w:rFonts w:ascii="Garamond" w:hAnsi="Garamond"/>
          <w:sz w:val="24"/>
          <w:szCs w:val="24"/>
        </w:rPr>
        <w:t xml:space="preserve">the U.S. </w:t>
      </w:r>
      <w:r w:rsidRPr="008B3D17">
        <w:rPr>
          <w:rFonts w:ascii="Garamond" w:hAnsi="Garamond"/>
          <w:sz w:val="24"/>
          <w:szCs w:val="24"/>
        </w:rPr>
        <w:t>15-17 years-old co</w:t>
      </w:r>
      <w:r w:rsidR="005E4045">
        <w:rPr>
          <w:rFonts w:ascii="Garamond" w:hAnsi="Garamond"/>
          <w:sz w:val="24"/>
          <w:szCs w:val="24"/>
        </w:rPr>
        <w:t>hort go on to some form of post</w:t>
      </w:r>
      <w:r w:rsidRPr="008B3D17">
        <w:rPr>
          <w:rFonts w:ascii="Garamond" w:hAnsi="Garamond"/>
          <w:sz w:val="24"/>
          <w:szCs w:val="24"/>
        </w:rPr>
        <w:t>secondary education (ELS: 2002-2012)</w:t>
      </w:r>
      <w:r w:rsidRPr="008B3D17">
        <w:rPr>
          <w:rStyle w:val="FootnoteReference"/>
          <w:rFonts w:ascii="Garamond" w:hAnsi="Garamond"/>
          <w:sz w:val="24"/>
          <w:szCs w:val="24"/>
        </w:rPr>
        <w:footnoteReference w:id="2"/>
      </w:r>
      <w:r w:rsidRPr="008B3D17">
        <w:rPr>
          <w:rFonts w:ascii="Garamond" w:hAnsi="Garamond"/>
          <w:sz w:val="24"/>
          <w:szCs w:val="24"/>
        </w:rPr>
        <w:t xml:space="preserve">. Moreover, some </w:t>
      </w:r>
      <w:r w:rsidR="007D79F1" w:rsidRPr="008B3D17">
        <w:rPr>
          <w:rFonts w:ascii="Garamond" w:hAnsi="Garamond"/>
          <w:sz w:val="24"/>
          <w:szCs w:val="24"/>
        </w:rPr>
        <w:t>proportion of these young adults stays</w:t>
      </w:r>
      <w:r w:rsidRPr="008B3D17">
        <w:rPr>
          <w:rFonts w:ascii="Garamond" w:hAnsi="Garamond"/>
          <w:sz w:val="24"/>
          <w:szCs w:val="24"/>
        </w:rPr>
        <w:t xml:space="preserve"> back in high school. Therefore, four questions on </w:t>
      </w:r>
      <w:r w:rsidRPr="008B3D17">
        <w:rPr>
          <w:rFonts w:ascii="Garamond" w:hAnsi="Garamond"/>
          <w:b/>
          <w:sz w:val="24"/>
          <w:szCs w:val="24"/>
        </w:rPr>
        <w:t xml:space="preserve">Current </w:t>
      </w:r>
      <w:r w:rsidR="00947CE1">
        <w:rPr>
          <w:rFonts w:ascii="Garamond" w:hAnsi="Garamond"/>
          <w:b/>
          <w:sz w:val="24"/>
          <w:szCs w:val="24"/>
        </w:rPr>
        <w:t xml:space="preserve">education </w:t>
      </w:r>
      <w:r w:rsidRPr="008B3D17">
        <w:rPr>
          <w:rFonts w:ascii="Garamond" w:hAnsi="Garamond"/>
          <w:b/>
          <w:sz w:val="24"/>
          <w:szCs w:val="24"/>
        </w:rPr>
        <w:t>stud</w:t>
      </w:r>
      <w:r w:rsidR="00947CE1">
        <w:rPr>
          <w:rFonts w:ascii="Garamond" w:hAnsi="Garamond"/>
          <w:b/>
          <w:sz w:val="24"/>
          <w:szCs w:val="24"/>
        </w:rPr>
        <w:t>y status</w:t>
      </w:r>
      <w:r w:rsidRPr="008B3D17">
        <w:rPr>
          <w:rFonts w:ascii="Garamond" w:hAnsi="Garamond"/>
          <w:sz w:val="24"/>
          <w:szCs w:val="24"/>
        </w:rPr>
        <w:t xml:space="preserve"> (participation; level of degree; area of study) are proposed to be added. Given that some</w:t>
      </w:r>
      <w:r w:rsidR="00947CE1">
        <w:rPr>
          <w:rFonts w:ascii="Garamond" w:hAnsi="Garamond"/>
          <w:sz w:val="24"/>
          <w:szCs w:val="24"/>
        </w:rPr>
        <w:t xml:space="preserve"> respondents </w:t>
      </w:r>
      <w:r w:rsidRPr="008B3D17">
        <w:rPr>
          <w:rFonts w:ascii="Garamond" w:hAnsi="Garamond"/>
          <w:sz w:val="24"/>
          <w:szCs w:val="24"/>
        </w:rPr>
        <w:t xml:space="preserve">may have started and stopped their education, or dropped out, within the last year, one question on </w:t>
      </w:r>
      <w:r w:rsidRPr="008B3D17">
        <w:rPr>
          <w:rFonts w:ascii="Garamond" w:hAnsi="Garamond"/>
          <w:b/>
          <w:sz w:val="24"/>
          <w:szCs w:val="24"/>
        </w:rPr>
        <w:t>Studies in the last 12 months</w:t>
      </w:r>
      <w:r w:rsidRPr="008B3D17">
        <w:rPr>
          <w:rFonts w:ascii="Garamond" w:hAnsi="Garamond"/>
          <w:sz w:val="24"/>
          <w:szCs w:val="24"/>
        </w:rPr>
        <w:t xml:space="preserve"> is proposed to be added. Additionally, a portion of the </w:t>
      </w:r>
      <w:r w:rsidR="00947CE1">
        <w:rPr>
          <w:rFonts w:ascii="Garamond" w:hAnsi="Garamond"/>
          <w:sz w:val="24"/>
          <w:szCs w:val="24"/>
        </w:rPr>
        <w:t>respondents</w:t>
      </w:r>
      <w:r w:rsidRPr="008B3D17">
        <w:rPr>
          <w:rFonts w:ascii="Garamond" w:hAnsi="Garamond"/>
          <w:sz w:val="24"/>
          <w:szCs w:val="24"/>
        </w:rPr>
        <w:t xml:space="preserve"> may be participating in some </w:t>
      </w:r>
      <w:r w:rsidR="005E4045">
        <w:rPr>
          <w:rFonts w:ascii="Garamond" w:hAnsi="Garamond"/>
          <w:sz w:val="24"/>
          <w:szCs w:val="24"/>
        </w:rPr>
        <w:t>form</w:t>
      </w:r>
      <w:r w:rsidRPr="008B3D17">
        <w:rPr>
          <w:rFonts w:ascii="Garamond" w:hAnsi="Garamond"/>
          <w:sz w:val="24"/>
          <w:szCs w:val="24"/>
        </w:rPr>
        <w:t xml:space="preserve"> of GED or basic skills courses, </w:t>
      </w:r>
      <w:r w:rsidR="00947CE1">
        <w:rPr>
          <w:rFonts w:ascii="Garamond" w:hAnsi="Garamond"/>
          <w:sz w:val="24"/>
          <w:szCs w:val="24"/>
        </w:rPr>
        <w:t>leading to</w:t>
      </w:r>
      <w:r w:rsidRPr="008B3D17">
        <w:rPr>
          <w:rFonts w:ascii="Garamond" w:hAnsi="Garamond"/>
          <w:sz w:val="24"/>
          <w:szCs w:val="24"/>
        </w:rPr>
        <w:t xml:space="preserve"> three </w:t>
      </w:r>
      <w:r w:rsidR="00947CE1">
        <w:rPr>
          <w:rFonts w:ascii="Garamond" w:hAnsi="Garamond"/>
          <w:sz w:val="24"/>
          <w:szCs w:val="24"/>
        </w:rPr>
        <w:t xml:space="preserve">additional </w:t>
      </w:r>
      <w:r w:rsidRPr="008B3D17">
        <w:rPr>
          <w:rFonts w:ascii="Garamond" w:hAnsi="Garamond"/>
          <w:sz w:val="24"/>
          <w:szCs w:val="24"/>
        </w:rPr>
        <w:t xml:space="preserve">questions on </w:t>
      </w:r>
      <w:r w:rsidRPr="008B3D17">
        <w:rPr>
          <w:rFonts w:ascii="Garamond" w:hAnsi="Garamond"/>
          <w:b/>
          <w:sz w:val="24"/>
          <w:szCs w:val="24"/>
        </w:rPr>
        <w:t>Basic education courses in the last 12 months</w:t>
      </w:r>
      <w:r w:rsidRPr="008B3D17">
        <w:rPr>
          <w:rFonts w:ascii="Garamond" w:hAnsi="Garamond"/>
          <w:sz w:val="24"/>
          <w:szCs w:val="24"/>
        </w:rPr>
        <w:t xml:space="preserve"> (reading/writing/math, GED, some other adult education) proposed to be added. </w:t>
      </w:r>
      <w:r w:rsidR="008118D5">
        <w:rPr>
          <w:rFonts w:ascii="Garamond" w:hAnsi="Garamond"/>
          <w:sz w:val="24"/>
          <w:szCs w:val="24"/>
        </w:rPr>
        <w:t>A small proportion of</w:t>
      </w:r>
      <w:r w:rsidR="008118D5" w:rsidRPr="008B3D17">
        <w:rPr>
          <w:rFonts w:ascii="Garamond" w:hAnsi="Garamond"/>
          <w:sz w:val="24"/>
          <w:szCs w:val="24"/>
        </w:rPr>
        <w:t xml:space="preserve"> </w:t>
      </w:r>
      <w:r w:rsidRPr="008B3D17">
        <w:rPr>
          <w:rFonts w:ascii="Garamond" w:hAnsi="Garamond"/>
          <w:sz w:val="24"/>
          <w:szCs w:val="24"/>
        </w:rPr>
        <w:t>young adults report</w:t>
      </w:r>
      <w:r w:rsidR="007D79F1">
        <w:rPr>
          <w:rFonts w:ascii="Garamond" w:hAnsi="Garamond"/>
          <w:sz w:val="24"/>
          <w:szCs w:val="24"/>
        </w:rPr>
        <w:t>s</w:t>
      </w:r>
      <w:r w:rsidRPr="008B3D17">
        <w:rPr>
          <w:rFonts w:ascii="Garamond" w:hAnsi="Garamond"/>
          <w:sz w:val="24"/>
          <w:szCs w:val="24"/>
        </w:rPr>
        <w:t xml:space="preserve"> participating in apprenticeship programs</w:t>
      </w:r>
      <w:r w:rsidR="00947CE1">
        <w:rPr>
          <w:rFonts w:ascii="Garamond" w:hAnsi="Garamond"/>
          <w:sz w:val="24"/>
          <w:szCs w:val="24"/>
        </w:rPr>
        <w:t>.</w:t>
      </w:r>
      <w:r w:rsidRPr="008B3D17">
        <w:rPr>
          <w:rFonts w:ascii="Garamond" w:hAnsi="Garamond"/>
          <w:sz w:val="24"/>
          <w:szCs w:val="24"/>
        </w:rPr>
        <w:t xml:space="preserve"> </w:t>
      </w:r>
      <w:r w:rsidR="00947CE1">
        <w:rPr>
          <w:rFonts w:ascii="Garamond" w:hAnsi="Garamond"/>
          <w:sz w:val="24"/>
          <w:szCs w:val="24"/>
        </w:rPr>
        <w:t>T</w:t>
      </w:r>
      <w:r w:rsidRPr="008B3D17">
        <w:rPr>
          <w:rFonts w:ascii="Garamond" w:hAnsi="Garamond"/>
          <w:sz w:val="24"/>
          <w:szCs w:val="24"/>
        </w:rPr>
        <w:t>herefor</w:t>
      </w:r>
      <w:r w:rsidR="00947CE1">
        <w:rPr>
          <w:rFonts w:ascii="Garamond" w:hAnsi="Garamond"/>
          <w:sz w:val="24"/>
          <w:szCs w:val="24"/>
        </w:rPr>
        <w:t>e</w:t>
      </w:r>
      <w:r w:rsidRPr="008B3D17">
        <w:rPr>
          <w:rFonts w:ascii="Garamond" w:hAnsi="Garamond"/>
          <w:sz w:val="24"/>
          <w:szCs w:val="24"/>
        </w:rPr>
        <w:t xml:space="preserve"> one question on the </w:t>
      </w:r>
      <w:r w:rsidRPr="008B3D17">
        <w:rPr>
          <w:rFonts w:ascii="Garamond" w:hAnsi="Garamond"/>
          <w:b/>
          <w:sz w:val="24"/>
          <w:szCs w:val="24"/>
        </w:rPr>
        <w:t>Formal apprenticeship in the last 12 months</w:t>
      </w:r>
      <w:r w:rsidRPr="008B3D17">
        <w:rPr>
          <w:rFonts w:ascii="Garamond" w:hAnsi="Garamond"/>
          <w:sz w:val="24"/>
          <w:szCs w:val="24"/>
        </w:rPr>
        <w:t xml:space="preserve"> is proposed</w:t>
      </w:r>
      <w:r w:rsidR="00947CE1">
        <w:rPr>
          <w:rFonts w:ascii="Garamond" w:hAnsi="Garamond"/>
          <w:sz w:val="24"/>
          <w:szCs w:val="24"/>
        </w:rPr>
        <w:t xml:space="preserve"> to be added</w:t>
      </w:r>
      <w:r w:rsidRPr="008B3D17">
        <w:rPr>
          <w:rFonts w:ascii="Garamond" w:hAnsi="Garamond"/>
          <w:sz w:val="24"/>
          <w:szCs w:val="24"/>
        </w:rPr>
        <w:t xml:space="preserve">. </w:t>
      </w:r>
      <w:r w:rsidR="001A0055">
        <w:rPr>
          <w:rFonts w:ascii="Garamond" w:hAnsi="Garamond"/>
          <w:sz w:val="24"/>
          <w:szCs w:val="24"/>
        </w:rPr>
        <w:t xml:space="preserve">NCES is proposing to add these </w:t>
      </w:r>
      <w:r w:rsidRPr="008B3D17">
        <w:rPr>
          <w:rFonts w:ascii="Garamond" w:hAnsi="Garamond"/>
          <w:sz w:val="24"/>
          <w:szCs w:val="24"/>
        </w:rPr>
        <w:t xml:space="preserve">nine questions </w:t>
      </w:r>
      <w:r w:rsidR="001A0055">
        <w:rPr>
          <w:rFonts w:ascii="Garamond" w:hAnsi="Garamond"/>
          <w:sz w:val="24"/>
          <w:szCs w:val="24"/>
        </w:rPr>
        <w:t>to</w:t>
      </w:r>
      <w:r w:rsidRPr="008B3D17">
        <w:rPr>
          <w:rFonts w:ascii="Garamond" w:hAnsi="Garamond"/>
          <w:sz w:val="24"/>
          <w:szCs w:val="24"/>
        </w:rPr>
        <w:t xml:space="preserve"> allow for a </w:t>
      </w:r>
      <w:r w:rsidR="001A0055">
        <w:rPr>
          <w:rFonts w:ascii="Garamond" w:hAnsi="Garamond"/>
          <w:sz w:val="24"/>
          <w:szCs w:val="24"/>
        </w:rPr>
        <w:t xml:space="preserve">more </w:t>
      </w:r>
      <w:r w:rsidRPr="008B3D17">
        <w:rPr>
          <w:rFonts w:ascii="Garamond" w:hAnsi="Garamond"/>
          <w:sz w:val="24"/>
          <w:szCs w:val="24"/>
        </w:rPr>
        <w:t>comprehensive tracking of the PISA-PIAAC Follow-up sample into various forms of formal educatio</w:t>
      </w:r>
      <w:r w:rsidR="001A0055">
        <w:rPr>
          <w:rFonts w:ascii="Garamond" w:hAnsi="Garamond"/>
          <w:sz w:val="24"/>
          <w:szCs w:val="24"/>
        </w:rPr>
        <w:t>n.</w:t>
      </w:r>
    </w:p>
    <w:p w:rsidR="004B02DC" w:rsidRDefault="001A0055">
      <w:pPr>
        <w:spacing w:line="276" w:lineRule="auto"/>
        <w:jc w:val="left"/>
        <w:rPr>
          <w:rFonts w:ascii="Garamond" w:hAnsi="Garamond"/>
          <w:sz w:val="24"/>
          <w:szCs w:val="24"/>
        </w:rPr>
      </w:pPr>
      <w:r>
        <w:rPr>
          <w:rFonts w:ascii="Garamond" w:hAnsi="Garamond"/>
          <w:sz w:val="24"/>
          <w:szCs w:val="24"/>
        </w:rPr>
        <w:lastRenderedPageBreak/>
        <w:t>In addition to the nine questions above, another</w:t>
      </w:r>
      <w:r w:rsidR="008B3D17" w:rsidRPr="008B3D17">
        <w:rPr>
          <w:rFonts w:ascii="Garamond" w:hAnsi="Garamond"/>
          <w:sz w:val="24"/>
          <w:szCs w:val="24"/>
        </w:rPr>
        <w:t xml:space="preserve"> seven questions </w:t>
      </w:r>
      <w:r>
        <w:rPr>
          <w:rFonts w:ascii="Garamond" w:hAnsi="Garamond"/>
          <w:sz w:val="24"/>
          <w:szCs w:val="24"/>
        </w:rPr>
        <w:t xml:space="preserve">are being proposed to </w:t>
      </w:r>
      <w:r w:rsidR="008B3D17" w:rsidRPr="008B3D17">
        <w:rPr>
          <w:rFonts w:ascii="Garamond" w:hAnsi="Garamond"/>
          <w:sz w:val="24"/>
          <w:szCs w:val="24"/>
        </w:rPr>
        <w:t>address the non-formal education</w:t>
      </w:r>
      <w:r>
        <w:rPr>
          <w:rFonts w:ascii="Garamond" w:hAnsi="Garamond"/>
          <w:sz w:val="24"/>
          <w:szCs w:val="24"/>
        </w:rPr>
        <w:t>al</w:t>
      </w:r>
      <w:r w:rsidR="008B3D17" w:rsidRPr="008B3D17">
        <w:rPr>
          <w:rFonts w:ascii="Garamond" w:hAnsi="Garamond"/>
          <w:sz w:val="24"/>
          <w:szCs w:val="24"/>
        </w:rPr>
        <w:t xml:space="preserve"> choices of young adults. While a large proportion of young adults participate in formal education, PIAAC data </w:t>
      </w:r>
      <w:r>
        <w:rPr>
          <w:rFonts w:ascii="Garamond" w:hAnsi="Garamond"/>
          <w:sz w:val="24"/>
          <w:szCs w:val="24"/>
        </w:rPr>
        <w:t>shows</w:t>
      </w:r>
      <w:r w:rsidR="008B3D17" w:rsidRPr="008B3D17">
        <w:rPr>
          <w:rFonts w:ascii="Garamond" w:hAnsi="Garamond"/>
          <w:sz w:val="24"/>
          <w:szCs w:val="24"/>
        </w:rPr>
        <w:t xml:space="preserve"> that 55</w:t>
      </w:r>
      <w:r>
        <w:rPr>
          <w:rFonts w:ascii="Garamond" w:hAnsi="Garamond"/>
          <w:sz w:val="24"/>
          <w:szCs w:val="24"/>
        </w:rPr>
        <w:t xml:space="preserve"> percent</w:t>
      </w:r>
      <w:r w:rsidR="008B3D17" w:rsidRPr="008B3D17">
        <w:rPr>
          <w:rFonts w:ascii="Garamond" w:hAnsi="Garamond"/>
          <w:sz w:val="24"/>
          <w:szCs w:val="24"/>
        </w:rPr>
        <w:t xml:space="preserve"> of </w:t>
      </w:r>
      <w:r>
        <w:rPr>
          <w:rFonts w:ascii="Garamond" w:hAnsi="Garamond"/>
          <w:sz w:val="24"/>
          <w:szCs w:val="24"/>
        </w:rPr>
        <w:t xml:space="preserve">U.S. </w:t>
      </w:r>
      <w:r w:rsidR="008B3D17" w:rsidRPr="008B3D17">
        <w:rPr>
          <w:rFonts w:ascii="Garamond" w:hAnsi="Garamond"/>
          <w:sz w:val="24"/>
          <w:szCs w:val="24"/>
        </w:rPr>
        <w:t xml:space="preserve">16-19 year olds also participated in non-formal education </w:t>
      </w:r>
      <w:r>
        <w:rPr>
          <w:rFonts w:ascii="Garamond" w:hAnsi="Garamond"/>
          <w:sz w:val="24"/>
          <w:szCs w:val="24"/>
        </w:rPr>
        <w:t xml:space="preserve">activities </w:t>
      </w:r>
      <w:r w:rsidR="008B3D17" w:rsidRPr="008B3D17">
        <w:rPr>
          <w:rFonts w:ascii="Garamond" w:hAnsi="Garamond"/>
          <w:sz w:val="24"/>
          <w:szCs w:val="24"/>
        </w:rPr>
        <w:t>(PIAAC:2012)</w:t>
      </w:r>
      <w:r w:rsidR="008B3D17" w:rsidRPr="008B3D17">
        <w:rPr>
          <w:rStyle w:val="FootnoteReference"/>
          <w:rFonts w:ascii="Garamond" w:hAnsi="Garamond"/>
          <w:sz w:val="24"/>
          <w:szCs w:val="24"/>
        </w:rPr>
        <w:footnoteReference w:id="3"/>
      </w:r>
      <w:r w:rsidR="008B3D17" w:rsidRPr="008B3D17">
        <w:rPr>
          <w:rFonts w:ascii="Garamond" w:hAnsi="Garamond"/>
          <w:sz w:val="24"/>
          <w:szCs w:val="24"/>
        </w:rPr>
        <w:t xml:space="preserve">. </w:t>
      </w:r>
      <w:r>
        <w:rPr>
          <w:rFonts w:ascii="Garamond" w:hAnsi="Garamond"/>
          <w:sz w:val="24"/>
          <w:szCs w:val="24"/>
        </w:rPr>
        <w:t>To ascertain whether respondents are participating in non-formal education</w:t>
      </w:r>
      <w:r w:rsidR="008B3D17" w:rsidRPr="008B3D17">
        <w:rPr>
          <w:rFonts w:ascii="Garamond" w:hAnsi="Garamond"/>
          <w:sz w:val="24"/>
          <w:szCs w:val="24"/>
        </w:rPr>
        <w:t xml:space="preserve">, five questions on </w:t>
      </w:r>
      <w:r w:rsidR="008B3D17" w:rsidRPr="008B3D17">
        <w:rPr>
          <w:rFonts w:ascii="Garamond" w:hAnsi="Garamond"/>
          <w:b/>
          <w:sz w:val="24"/>
          <w:szCs w:val="24"/>
        </w:rPr>
        <w:t>Non-formal learning activities</w:t>
      </w:r>
      <w:r w:rsidR="008B3D17" w:rsidRPr="008B3D17">
        <w:rPr>
          <w:rFonts w:ascii="Garamond" w:hAnsi="Garamond"/>
          <w:sz w:val="24"/>
          <w:szCs w:val="24"/>
        </w:rPr>
        <w:t xml:space="preserve"> (distance education, on-the-job courses, seminars, other private lessons) are proposed to be included. Finally, with the intent of </w:t>
      </w:r>
      <w:r>
        <w:rPr>
          <w:rFonts w:ascii="Garamond" w:hAnsi="Garamond"/>
          <w:sz w:val="24"/>
          <w:szCs w:val="24"/>
        </w:rPr>
        <w:t>tracking</w:t>
      </w:r>
      <w:r w:rsidR="008B3D17" w:rsidRPr="008B3D17">
        <w:rPr>
          <w:rFonts w:ascii="Garamond" w:hAnsi="Garamond"/>
          <w:sz w:val="24"/>
          <w:szCs w:val="24"/>
        </w:rPr>
        <w:t xml:space="preserve"> barriers to non-formal learning activities</w:t>
      </w:r>
      <w:r>
        <w:rPr>
          <w:rFonts w:ascii="Garamond" w:hAnsi="Garamond"/>
          <w:sz w:val="24"/>
          <w:szCs w:val="24"/>
        </w:rPr>
        <w:t xml:space="preserve"> the respondents may experience</w:t>
      </w:r>
      <w:r w:rsidR="008B3D17" w:rsidRPr="008B3D17">
        <w:rPr>
          <w:rFonts w:ascii="Garamond" w:hAnsi="Garamond"/>
          <w:sz w:val="24"/>
          <w:szCs w:val="24"/>
        </w:rPr>
        <w:t xml:space="preserve">, two questions on </w:t>
      </w:r>
      <w:r w:rsidR="008B3D17" w:rsidRPr="008B3D17">
        <w:rPr>
          <w:rFonts w:ascii="Garamond" w:hAnsi="Garamond"/>
          <w:b/>
          <w:sz w:val="24"/>
          <w:szCs w:val="24"/>
        </w:rPr>
        <w:t>More/any learning activities, wanted, but could not participate in</w:t>
      </w:r>
      <w:r w:rsidR="008B3D17" w:rsidRPr="008B3D17">
        <w:rPr>
          <w:rFonts w:ascii="Garamond" w:hAnsi="Garamond"/>
          <w:sz w:val="24"/>
          <w:szCs w:val="24"/>
        </w:rPr>
        <w:t xml:space="preserve"> and reasons for non-participation are proposed to be included.</w:t>
      </w:r>
    </w:p>
    <w:p w:rsidR="00300499" w:rsidRDefault="001A0055" w:rsidP="00423D13">
      <w:pPr>
        <w:pStyle w:val="P1-StandPara"/>
        <w:spacing w:before="120" w:after="120" w:line="300" w:lineRule="atLeast"/>
        <w:ind w:firstLine="0"/>
        <w:jc w:val="left"/>
        <w:rPr>
          <w:rFonts w:ascii="Garamond" w:hAnsi="Garamond"/>
          <w:sz w:val="24"/>
          <w:szCs w:val="24"/>
        </w:rPr>
      </w:pPr>
      <w:r w:rsidRPr="00CB5065">
        <w:rPr>
          <w:rFonts w:ascii="Garamond" w:hAnsi="Garamond"/>
          <w:sz w:val="24"/>
          <w:szCs w:val="24"/>
        </w:rPr>
        <w:t>As indicated earlier, r</w:t>
      </w:r>
      <w:r w:rsidR="006641CF" w:rsidRPr="00CB5065">
        <w:rPr>
          <w:rFonts w:ascii="Garamond" w:hAnsi="Garamond"/>
          <w:sz w:val="24"/>
          <w:szCs w:val="24"/>
        </w:rPr>
        <w:t xml:space="preserve">espondents will </w:t>
      </w:r>
      <w:r w:rsidRPr="00CB5065">
        <w:rPr>
          <w:rFonts w:ascii="Garamond" w:hAnsi="Garamond"/>
          <w:sz w:val="24"/>
          <w:szCs w:val="24"/>
        </w:rPr>
        <w:t xml:space="preserve">be requested to </w:t>
      </w:r>
      <w:r w:rsidR="006641CF" w:rsidRPr="00CB5065">
        <w:rPr>
          <w:rFonts w:ascii="Garamond" w:hAnsi="Garamond"/>
          <w:sz w:val="24"/>
          <w:szCs w:val="24"/>
        </w:rPr>
        <w:t xml:space="preserve">complete </w:t>
      </w:r>
      <w:r w:rsidRPr="00CB5065">
        <w:rPr>
          <w:rFonts w:ascii="Garamond" w:hAnsi="Garamond"/>
          <w:sz w:val="24"/>
          <w:szCs w:val="24"/>
        </w:rPr>
        <w:t>both the cognitive and non-cognitive</w:t>
      </w:r>
      <w:r w:rsidR="006641CF" w:rsidRPr="00CB5065">
        <w:rPr>
          <w:rFonts w:ascii="Garamond" w:hAnsi="Garamond"/>
          <w:sz w:val="24"/>
          <w:szCs w:val="24"/>
        </w:rPr>
        <w:t xml:space="preserve"> instruments online. Appendix B includes the </w:t>
      </w:r>
      <w:r w:rsidR="002E06E5" w:rsidRPr="00CB5065">
        <w:rPr>
          <w:rFonts w:ascii="Garamond" w:hAnsi="Garamond"/>
          <w:sz w:val="24"/>
          <w:szCs w:val="24"/>
        </w:rPr>
        <w:t>ESO</w:t>
      </w:r>
      <w:r w:rsidR="00DD7946" w:rsidRPr="00CB5065">
        <w:rPr>
          <w:rFonts w:ascii="Garamond" w:hAnsi="Garamond"/>
          <w:sz w:val="24"/>
          <w:szCs w:val="24"/>
        </w:rPr>
        <w:t xml:space="preserve"> non-cognitive</w:t>
      </w:r>
      <w:r w:rsidR="002E06E5" w:rsidRPr="00CB5065">
        <w:rPr>
          <w:rFonts w:ascii="Garamond" w:hAnsi="Garamond"/>
          <w:sz w:val="24"/>
          <w:szCs w:val="24"/>
        </w:rPr>
        <w:t xml:space="preserve"> </w:t>
      </w:r>
      <w:r w:rsidRPr="00CB5065">
        <w:rPr>
          <w:rFonts w:ascii="Garamond" w:hAnsi="Garamond"/>
          <w:sz w:val="24"/>
          <w:szCs w:val="24"/>
        </w:rPr>
        <w:t xml:space="preserve">survey </w:t>
      </w:r>
      <w:r w:rsidR="006641CF" w:rsidRPr="00CB5065">
        <w:rPr>
          <w:rFonts w:ascii="Garamond" w:hAnsi="Garamond"/>
          <w:sz w:val="24"/>
          <w:szCs w:val="24"/>
        </w:rPr>
        <w:t xml:space="preserve">items in the </w:t>
      </w:r>
      <w:r w:rsidR="00DD7946" w:rsidRPr="00CB5065">
        <w:rPr>
          <w:rFonts w:ascii="Garamond" w:hAnsi="Garamond"/>
          <w:sz w:val="24"/>
          <w:szCs w:val="24"/>
        </w:rPr>
        <w:t>modules, including the additional items, proposed to be administered for this study</w:t>
      </w:r>
      <w:r w:rsidR="006641CF" w:rsidRPr="00CB5065">
        <w:rPr>
          <w:rFonts w:ascii="Garamond" w:hAnsi="Garamond"/>
          <w:sz w:val="24"/>
          <w:szCs w:val="24"/>
        </w:rPr>
        <w:t>.</w:t>
      </w:r>
    </w:p>
    <w:p w:rsidR="00885C77" w:rsidRPr="00423D13" w:rsidRDefault="005715D3" w:rsidP="00495F46">
      <w:pPr>
        <w:pStyle w:val="P1-StandPara"/>
        <w:spacing w:before="240" w:after="120" w:line="300" w:lineRule="atLeast"/>
        <w:ind w:firstLine="0"/>
        <w:jc w:val="left"/>
        <w:rPr>
          <w:b/>
        </w:rPr>
      </w:pPr>
      <w:bookmarkStart w:id="5" w:name="_Toc360194147"/>
      <w:r w:rsidRPr="00423D13">
        <w:rPr>
          <w:b/>
        </w:rPr>
        <w:t>A.2</w:t>
      </w:r>
      <w:r w:rsidRPr="00423D13">
        <w:rPr>
          <w:b/>
        </w:rPr>
        <w:tab/>
        <w:t>Purposes and Uses of Data</w:t>
      </w:r>
      <w:bookmarkEnd w:id="5"/>
    </w:p>
    <w:p w:rsidR="00885C77" w:rsidRDefault="005715D3">
      <w:pPr>
        <w:pStyle w:val="BodyText1"/>
      </w:pPr>
      <w:r>
        <w:t xml:space="preserve">PISA is intended to be an assessment </w:t>
      </w:r>
      <w:r w:rsidR="00D24E6B">
        <w:t xml:space="preserve">at </w:t>
      </w:r>
      <w:r w:rsidR="00190CB2">
        <w:t xml:space="preserve">or near </w:t>
      </w:r>
      <w:r w:rsidR="00D24E6B">
        <w:t xml:space="preserve">the end of compulsory education </w:t>
      </w:r>
      <w:r>
        <w:t xml:space="preserve">of how well students are </w:t>
      </w:r>
      <w:r w:rsidR="00D24E6B">
        <w:t xml:space="preserve">prepared </w:t>
      </w:r>
      <w:r>
        <w:t>for further education or entry into the workforce and to contribute to society as functioning young adults. The PISA subject matter assessments are not developed by canvassing the curricula offered in participating countries, as is done in other large-scale international assessments. The PISA assessment frameworks and items are developed by conferring with subject matter experts around the world and representatives of participating countries about the mathematics, reading, and science competencies required for 15-year-olds to successfully transition to further education, the workforce, and otherwise as functional contributing members of society. For 2012, the mathematics framework was also circulated internationally among representatives of employers and postsecondary institutions for their comments on the appropriateness of aspects of the PISA mathematics framework.</w:t>
      </w:r>
    </w:p>
    <w:p w:rsidR="00885C77" w:rsidRDefault="005715D3">
      <w:pPr>
        <w:pStyle w:val="BodyText1"/>
      </w:pPr>
      <w:r>
        <w:t>Because of its emphasis on assessing what is thought to be important for later success rather than assessing what has been taught, PISA must turn to sources of evidence other than participating countries’ curricula in order to check that it is assessing what it intends to assess. Currently, the main source for PISA for this sort of validity checking is in the form of experts drawn from across participating countries</w:t>
      </w:r>
      <w:r w:rsidR="00DE6AED">
        <w:t xml:space="preserve">, as described </w:t>
      </w:r>
      <w:r w:rsidR="00F24472">
        <w:t>earlier</w:t>
      </w:r>
      <w:r w:rsidR="00A52302">
        <w:t>.</w:t>
      </w:r>
      <w:r w:rsidR="00DE6AED">
        <w:t xml:space="preserve"> Also, t</w:t>
      </w:r>
      <w:r>
        <w:t>wo other countries have performed longitudinal studies based on PISA. A longitudinal study in Canada has followed 30,000 students who participated in PISA 2000, gathering information every two years on their educational experiences, transitions, and attainment and employment outcomes (OECD 2010). A similar study drawing on a smaller sample was conducte</w:t>
      </w:r>
      <w:r w:rsidR="00A52302">
        <w:t>d in Denmark (Schleicher 2007).</w:t>
      </w:r>
    </w:p>
    <w:p w:rsidR="00885C77" w:rsidRDefault="005715D3">
      <w:pPr>
        <w:pStyle w:val="BodyText1"/>
      </w:pPr>
      <w:r>
        <w:t xml:space="preserve">What is lacking is an empirical linkage between PISA and the sorts of skills </w:t>
      </w:r>
      <w:r w:rsidR="007A6504">
        <w:t xml:space="preserve">and outcomes </w:t>
      </w:r>
      <w:r>
        <w:t>required for successful participation in adult life. The proposed study will provide data on how performance on PISA</w:t>
      </w:r>
      <w:r w:rsidR="00A52302">
        <w:t>,</w:t>
      </w:r>
      <w:r>
        <w:t xml:space="preserve"> at age 15</w:t>
      </w:r>
      <w:r w:rsidR="00A52302">
        <w:t>,</w:t>
      </w:r>
      <w:r>
        <w:t xml:space="preserve"> relates to literacy, numeracy</w:t>
      </w:r>
      <w:r w:rsidR="00A52302">
        <w:t>,</w:t>
      </w:r>
      <w:r>
        <w:t xml:space="preserve"> and problem-solving skills; education</w:t>
      </w:r>
      <w:r w:rsidR="00A61BB4">
        <w:t xml:space="preserve">al attainment and education </w:t>
      </w:r>
      <w:r>
        <w:t>and workforces experi</w:t>
      </w:r>
      <w:r w:rsidR="00DE6AED">
        <w:t>ences; skills use in daily life;</w:t>
      </w:r>
      <w:r>
        <w:t xml:space="preserve"> and other non-cognitive outcomes at </w:t>
      </w:r>
      <w:r w:rsidR="00190CB2">
        <w:t xml:space="preserve">approximately </w:t>
      </w:r>
      <w:r>
        <w:t>age 18.</w:t>
      </w:r>
      <w:r w:rsidR="00300499">
        <w:t xml:space="preserve"> </w:t>
      </w:r>
      <w:r>
        <w:t>For example, what thresholds of performance on PISA are associated the ability to successfully navigate the literacy, numeracy</w:t>
      </w:r>
      <w:r w:rsidR="00A52302">
        <w:t>,</w:t>
      </w:r>
      <w:r>
        <w:t xml:space="preserve"> and problem-solving demands of daily life in the adult world? What thresholds are associated with high school graduation and successful transition to higher education or entry</w:t>
      </w:r>
      <w:r w:rsidR="007A6504">
        <w:t>-l</w:t>
      </w:r>
      <w:r>
        <w:t>evel workforce? How does performance on PISA relate to measures of subjective well-being at age 18</w:t>
      </w:r>
      <w:r w:rsidR="00BE4082">
        <w:t xml:space="preserve">, such as </w:t>
      </w:r>
      <w:r w:rsidR="00A61BB4">
        <w:t xml:space="preserve">life satisfaction and healthy </w:t>
      </w:r>
      <w:r w:rsidR="007A6504">
        <w:t>habits</w:t>
      </w:r>
      <w:r>
        <w:t>?</w:t>
      </w:r>
    </w:p>
    <w:p w:rsidR="00885C77" w:rsidRDefault="005715D3">
      <w:pPr>
        <w:pStyle w:val="BodyText1"/>
      </w:pPr>
      <w:r>
        <w:lastRenderedPageBreak/>
        <w:t xml:space="preserve">By linking performance on PISA to subsequent outcomes in young adulthood, the study will </w:t>
      </w:r>
      <w:r w:rsidR="007A6504">
        <w:t xml:space="preserve">provide the sort of validity evidence needed to </w:t>
      </w:r>
      <w:r>
        <w:t xml:space="preserve">understand </w:t>
      </w:r>
      <w:r w:rsidR="007A6504">
        <w:t xml:space="preserve">how well </w:t>
      </w:r>
      <w:r>
        <w:t xml:space="preserve">PISA is measuring </w:t>
      </w:r>
      <w:r w:rsidR="007A6504">
        <w:t>the skills needed for successful participation in adult life, as it purports to do</w:t>
      </w:r>
      <w:r>
        <w:t xml:space="preserve">. </w:t>
      </w:r>
      <w:r w:rsidR="007A6504">
        <w:t xml:space="preserve">The study </w:t>
      </w:r>
      <w:r>
        <w:t xml:space="preserve">will </w:t>
      </w:r>
      <w:r w:rsidR="007A6504">
        <w:t xml:space="preserve">also </w:t>
      </w:r>
      <w:r>
        <w:t xml:space="preserve">strengthen our understanding of U.S. performance on PISA and </w:t>
      </w:r>
      <w:r w:rsidR="00A52302">
        <w:t>its</w:t>
      </w:r>
      <w:r>
        <w:t xml:space="preserve"> implications for U.S. college and career readiness and </w:t>
      </w:r>
      <w:r w:rsidR="00DE6AED">
        <w:t xml:space="preserve">for </w:t>
      </w:r>
      <w:r>
        <w:t xml:space="preserve">the skills of our future workforce. This information can, in turn, also be used to inform the further development of PISA and </w:t>
      </w:r>
      <w:r w:rsidR="00A52302">
        <w:t>future surveys of adult skills.</w:t>
      </w:r>
    </w:p>
    <w:p w:rsidR="00885C77" w:rsidRDefault="005715D3" w:rsidP="00495F46">
      <w:pPr>
        <w:pStyle w:val="Heading1"/>
        <w:keepNext w:val="0"/>
        <w:spacing w:before="240" w:line="300" w:lineRule="atLeast"/>
        <w:ind w:left="0" w:firstLine="0"/>
        <w:jc w:val="left"/>
      </w:pPr>
      <w:bookmarkStart w:id="6" w:name="_Toc360194148"/>
      <w:r>
        <w:t>A.3</w:t>
      </w:r>
      <w:r>
        <w:tab/>
        <w:t>Use of Information Technology</w:t>
      </w:r>
      <w:bookmarkEnd w:id="6"/>
    </w:p>
    <w:p w:rsidR="00885C77" w:rsidRDefault="005715D3">
      <w:pPr>
        <w:pStyle w:val="BodyText1"/>
      </w:pPr>
      <w:r>
        <w:t xml:space="preserve">Study instruments will be administered through the Internet. Respondents will be invited to log on to a secure </w:t>
      </w:r>
      <w:r w:rsidR="00DE6AED">
        <w:t>web</w:t>
      </w:r>
      <w:r>
        <w:t>site to take the assessment and questionnaire. The use of web-based instruments reduces the burden required for data collection, scoring, an</w:t>
      </w:r>
      <w:r w:rsidR="00A52302">
        <w:t>d data processing.</w:t>
      </w:r>
    </w:p>
    <w:p w:rsidR="00885C77" w:rsidRDefault="005715D3" w:rsidP="00495F46">
      <w:pPr>
        <w:pStyle w:val="Heading1"/>
        <w:keepNext w:val="0"/>
        <w:spacing w:before="240" w:line="300" w:lineRule="atLeast"/>
        <w:ind w:left="0" w:firstLine="0"/>
        <w:jc w:val="left"/>
      </w:pPr>
      <w:bookmarkStart w:id="7" w:name="_Toc360194149"/>
      <w:r>
        <w:t>A.4</w:t>
      </w:r>
      <w:r>
        <w:tab/>
        <w:t>Efforts to Identify Duplication</w:t>
      </w:r>
      <w:bookmarkEnd w:id="7"/>
    </w:p>
    <w:p w:rsidR="00885C77" w:rsidRDefault="007A6504">
      <w:pPr>
        <w:pStyle w:val="BodyText1"/>
      </w:pPr>
      <w:r w:rsidRPr="007A6504">
        <w:t xml:space="preserve">Comparable U.S. data are not available from other data sources; nor would a PISA follow-up study make any data redundant. The purpose of this study is to look at the relationship of performance on PISA to performance on similar domains </w:t>
      </w:r>
      <w:r w:rsidR="00AA64EA">
        <w:t xml:space="preserve">and to other outcomes </w:t>
      </w:r>
      <w:r w:rsidR="009C2C53">
        <w:t>after a period of time</w:t>
      </w:r>
      <w:r w:rsidRPr="007A6504">
        <w:t>, to validate PISA</w:t>
      </w:r>
      <w:r w:rsidR="009C2C53">
        <w:t>’s measures</w:t>
      </w:r>
      <w:r w:rsidRPr="007A6504">
        <w:t xml:space="preserve">. No other study </w:t>
      </w:r>
      <w:r w:rsidR="009C2C53">
        <w:t xml:space="preserve">in the </w:t>
      </w:r>
      <w:r w:rsidR="00F24472">
        <w:t>United States</w:t>
      </w:r>
      <w:r w:rsidR="009C2C53">
        <w:t xml:space="preserve"> </w:t>
      </w:r>
      <w:r w:rsidRPr="007A6504">
        <w:t xml:space="preserve">has </w:t>
      </w:r>
      <w:r w:rsidR="00AA64EA">
        <w:t>collected</w:t>
      </w:r>
      <w:r w:rsidRPr="007A6504">
        <w:t xml:space="preserve"> follow-up data </w:t>
      </w:r>
      <w:r w:rsidR="00AA64EA">
        <w:t xml:space="preserve">from or </w:t>
      </w:r>
      <w:r w:rsidR="00DE6AED">
        <w:t>about</w:t>
      </w:r>
      <w:r w:rsidRPr="007A6504">
        <w:t xml:space="preserve"> PISA students so this would be a unique source of data to accomplish this objective. The current study could produce some information that is similar to a subset of information from the High School Longitudinal Study</w:t>
      </w:r>
      <w:r w:rsidR="009C2C53">
        <w:t xml:space="preserve"> (</w:t>
      </w:r>
      <w:r w:rsidR="009C2C53" w:rsidRPr="007A6504">
        <w:t>HSLS</w:t>
      </w:r>
      <w:r w:rsidRPr="007A6504">
        <w:t>), which follows a similar age group</w:t>
      </w:r>
      <w:r w:rsidR="00A44D9B">
        <w:t>.</w:t>
      </w:r>
      <w:r w:rsidR="009C2C53">
        <w:t xml:space="preserve"> </w:t>
      </w:r>
      <w:r w:rsidR="00A44D9B">
        <w:t>H</w:t>
      </w:r>
      <w:r w:rsidRPr="007A6504">
        <w:t>owever</w:t>
      </w:r>
      <w:r w:rsidR="00A44D9B">
        <w:t>,</w:t>
      </w:r>
      <w:r w:rsidRPr="007A6504">
        <w:t xml:space="preserve"> HSLS </w:t>
      </w:r>
      <w:r w:rsidR="009C2C53">
        <w:t xml:space="preserve">does not provide data </w:t>
      </w:r>
      <w:r w:rsidR="00E01420">
        <w:t xml:space="preserve">that allow for the validation of PISA measures or that are </w:t>
      </w:r>
      <w:r w:rsidR="009C2C53">
        <w:t>directly comparable with data from other countries</w:t>
      </w:r>
      <w:r w:rsidRPr="007A6504">
        <w:t>.</w:t>
      </w:r>
    </w:p>
    <w:p w:rsidR="00885C77" w:rsidRDefault="005715D3" w:rsidP="00495F46">
      <w:pPr>
        <w:pStyle w:val="Heading1"/>
        <w:keepNext w:val="0"/>
        <w:spacing w:before="240" w:line="300" w:lineRule="atLeast"/>
        <w:ind w:left="0" w:firstLine="0"/>
        <w:jc w:val="left"/>
      </w:pPr>
      <w:bookmarkStart w:id="8" w:name="_Toc360194150"/>
      <w:r>
        <w:t>A.5</w:t>
      </w:r>
      <w:r>
        <w:tab/>
        <w:t>Minimizing Burden for Small Entities</w:t>
      </w:r>
      <w:bookmarkEnd w:id="8"/>
    </w:p>
    <w:p w:rsidR="00300499" w:rsidRDefault="005715D3">
      <w:pPr>
        <w:pStyle w:val="BodyText1"/>
      </w:pPr>
      <w:r>
        <w:t>This study will not impose burden on small businesses or small entities.</w:t>
      </w:r>
    </w:p>
    <w:p w:rsidR="00885C77" w:rsidRDefault="005715D3" w:rsidP="00495F46">
      <w:pPr>
        <w:pStyle w:val="Heading1"/>
        <w:keepNext w:val="0"/>
        <w:spacing w:before="240" w:line="300" w:lineRule="atLeast"/>
        <w:ind w:left="0" w:firstLine="0"/>
        <w:jc w:val="left"/>
      </w:pPr>
      <w:bookmarkStart w:id="9" w:name="_Toc360194151"/>
      <w:r>
        <w:t>A.6</w:t>
      </w:r>
      <w:r>
        <w:tab/>
        <w:t>Frequency of Data Collection</w:t>
      </w:r>
      <w:bookmarkEnd w:id="9"/>
    </w:p>
    <w:p w:rsidR="00885C77" w:rsidRDefault="008B3D17">
      <w:pPr>
        <w:pStyle w:val="BodyText1"/>
      </w:pPr>
      <w:r w:rsidRPr="008B3D17">
        <w:t>Currently t</w:t>
      </w:r>
      <w:r w:rsidR="005715D3" w:rsidRPr="00684C59">
        <w:t xml:space="preserve">he main data collection </w:t>
      </w:r>
      <w:r w:rsidRPr="008B3D17">
        <w:t xml:space="preserve">is planned </w:t>
      </w:r>
      <w:r w:rsidR="00A44D9B">
        <w:t>for</w:t>
      </w:r>
      <w:r w:rsidR="005715D3" w:rsidRPr="00684C59">
        <w:t xml:space="preserve"> </w:t>
      </w:r>
      <w:r w:rsidR="00D60A0E">
        <w:t>winter 2015/</w:t>
      </w:r>
      <w:r w:rsidR="009C1605">
        <w:t>2016</w:t>
      </w:r>
      <w:r w:rsidR="005715D3" w:rsidRPr="00684C59">
        <w:t>.</w:t>
      </w:r>
      <w:r w:rsidR="005715D3">
        <w:t xml:space="preserve"> A </w:t>
      </w:r>
      <w:r w:rsidR="00AA64EA">
        <w:t>field</w:t>
      </w:r>
      <w:r w:rsidR="005715D3">
        <w:t xml:space="preserve"> trial of procedures will take place in </w:t>
      </w:r>
      <w:r w:rsidR="0044025D">
        <w:t>September</w:t>
      </w:r>
      <w:r w:rsidR="009C1605">
        <w:t xml:space="preserve"> </w:t>
      </w:r>
      <w:r w:rsidR="005715D3">
        <w:t>201</w:t>
      </w:r>
      <w:r w:rsidR="00790669">
        <w:t>5</w:t>
      </w:r>
      <w:r w:rsidR="005715D3">
        <w:t xml:space="preserve">. Although there are currently no plans for a second follow-up study with </w:t>
      </w:r>
      <w:r w:rsidR="00DE6AED">
        <w:t>the PISA 2012</w:t>
      </w:r>
      <w:r w:rsidR="005715D3">
        <w:t xml:space="preserve"> students, NCES may decide at a later date to re-contact the </w:t>
      </w:r>
      <w:r w:rsidR="00A44D9B">
        <w:t xml:space="preserve">cohort </w:t>
      </w:r>
      <w:r w:rsidR="005715D3">
        <w:t>sample to collect additional data at another point in time on education and workforce experiences and skills in orde</w:t>
      </w:r>
      <w:r w:rsidR="00DF048C">
        <w:t xml:space="preserve">r to </w:t>
      </w:r>
      <w:r w:rsidR="00462C45">
        <w:t>evaluate PISA measures against longer term outcomes</w:t>
      </w:r>
      <w:r w:rsidR="00DF048C">
        <w:t>.</w:t>
      </w:r>
    </w:p>
    <w:p w:rsidR="00885C77" w:rsidRDefault="005715D3" w:rsidP="00495F46">
      <w:pPr>
        <w:pStyle w:val="Heading1"/>
        <w:keepNext w:val="0"/>
        <w:spacing w:before="240" w:line="300" w:lineRule="atLeast"/>
        <w:ind w:left="0" w:firstLine="0"/>
        <w:jc w:val="left"/>
      </w:pPr>
      <w:bookmarkStart w:id="10" w:name="_Toc360194152"/>
      <w:r>
        <w:t>A.7</w:t>
      </w:r>
      <w:r>
        <w:tab/>
        <w:t>Special Circumstances of Data Collection</w:t>
      </w:r>
      <w:bookmarkEnd w:id="10"/>
    </w:p>
    <w:p w:rsidR="00885C77" w:rsidRDefault="005715D3">
      <w:pPr>
        <w:pStyle w:val="BodyText1"/>
      </w:pPr>
      <w:r>
        <w:t>No special circumstances of data collection are anticipated.</w:t>
      </w:r>
    </w:p>
    <w:p w:rsidR="00885C77" w:rsidRDefault="005715D3" w:rsidP="00495F46">
      <w:pPr>
        <w:pStyle w:val="Heading1"/>
        <w:keepNext w:val="0"/>
        <w:spacing w:before="240" w:line="300" w:lineRule="atLeast"/>
        <w:ind w:left="0" w:firstLine="0"/>
        <w:jc w:val="left"/>
      </w:pPr>
      <w:bookmarkStart w:id="11" w:name="_Toc360194153"/>
      <w:r>
        <w:t>A.8</w:t>
      </w:r>
      <w:r>
        <w:tab/>
        <w:t xml:space="preserve">Consultations </w:t>
      </w:r>
      <w:r w:rsidR="00331DC3">
        <w:t>outside</w:t>
      </w:r>
      <w:r>
        <w:t xml:space="preserve"> NCES</w:t>
      </w:r>
      <w:bookmarkEnd w:id="11"/>
    </w:p>
    <w:p w:rsidR="00300499" w:rsidRDefault="005715D3" w:rsidP="00E01420">
      <w:pPr>
        <w:pStyle w:val="BodyText1"/>
        <w:spacing w:after="0"/>
      </w:pPr>
      <w:r>
        <w:t xml:space="preserve">NCES has sought input from a wide range of individuals with knowledge of PISA and PIAAC. Both PISA and PIAAC are sponsored by the OECD and </w:t>
      </w:r>
      <w:r w:rsidR="00EF0212">
        <w:t xml:space="preserve">are </w:t>
      </w:r>
      <w:r>
        <w:t>coordinated internationally by a consortium of contractors responsible for various aspects of the studies. Key persons from the OECD and key contracting organizations involved in the international design, development</w:t>
      </w:r>
      <w:r w:rsidR="00EF0212">
        <w:t>,</w:t>
      </w:r>
      <w:r>
        <w:t xml:space="preserve"> </w:t>
      </w:r>
      <w:r w:rsidR="00EF0212">
        <w:t>and operation of PISA and PIAAC</w:t>
      </w:r>
      <w:r>
        <w:t xml:space="preserve"> </w:t>
      </w:r>
      <w:r w:rsidR="00A44D9B">
        <w:t xml:space="preserve">are as </w:t>
      </w:r>
      <w:r w:rsidR="00F24472">
        <w:t>follow</w:t>
      </w:r>
      <w:r w:rsidR="00A44D9B">
        <w:t>s</w:t>
      </w:r>
      <w:r>
        <w:t>.</w:t>
      </w:r>
    </w:p>
    <w:p w:rsidR="00885C77" w:rsidRDefault="005715D3" w:rsidP="00E01420">
      <w:pPr>
        <w:pStyle w:val="Bodyindent"/>
        <w:ind w:left="1800"/>
        <w:rPr>
          <w:b/>
        </w:rPr>
      </w:pPr>
      <w:r>
        <w:rPr>
          <w:b/>
        </w:rPr>
        <w:t>Organization for Economic Cooperation and Development</w:t>
      </w:r>
    </w:p>
    <w:p w:rsidR="00885C77" w:rsidRDefault="005715D3" w:rsidP="00E01420">
      <w:pPr>
        <w:pStyle w:val="Bodyindent"/>
        <w:ind w:left="1800"/>
      </w:pPr>
      <w:r>
        <w:t>Andreas Schleicher, Indicators and Analysis Division</w:t>
      </w:r>
    </w:p>
    <w:p w:rsidR="00885C77" w:rsidRDefault="005715D3" w:rsidP="00E01420">
      <w:pPr>
        <w:pStyle w:val="Bodyindent"/>
        <w:ind w:left="1800"/>
      </w:pPr>
      <w:r>
        <w:t>2, rue André Pascal, 75775 Paris Cedex16, FRANCE</w:t>
      </w:r>
    </w:p>
    <w:p w:rsidR="00885C77" w:rsidRDefault="00885C77" w:rsidP="00E01420">
      <w:pPr>
        <w:pStyle w:val="Bodyindent"/>
        <w:ind w:left="1800"/>
      </w:pPr>
    </w:p>
    <w:p w:rsidR="00885C77" w:rsidRDefault="005715D3" w:rsidP="00E01420">
      <w:pPr>
        <w:pStyle w:val="Bodyindent"/>
        <w:ind w:left="1800"/>
      </w:pPr>
      <w:r>
        <w:lastRenderedPageBreak/>
        <w:t>William Thorn, PIAAC</w:t>
      </w:r>
    </w:p>
    <w:p w:rsidR="00885C77" w:rsidRDefault="005715D3" w:rsidP="00E01420">
      <w:pPr>
        <w:pStyle w:val="Bodyindent"/>
        <w:ind w:left="1800"/>
      </w:pPr>
      <w:r>
        <w:t>2, rue André Pascal, 75775 Paris Cedex16, FRANCE</w:t>
      </w:r>
    </w:p>
    <w:p w:rsidR="00885C77" w:rsidRDefault="00885C77" w:rsidP="00E01420">
      <w:pPr>
        <w:pStyle w:val="Bodyindent"/>
        <w:ind w:left="1800"/>
      </w:pPr>
    </w:p>
    <w:p w:rsidR="00885C77" w:rsidRDefault="005715D3" w:rsidP="00E01420">
      <w:pPr>
        <w:pStyle w:val="Bodyindent"/>
        <w:ind w:left="1800"/>
        <w:rPr>
          <w:b/>
        </w:rPr>
      </w:pPr>
      <w:r>
        <w:rPr>
          <w:b/>
        </w:rPr>
        <w:t>Educational Testing Service</w:t>
      </w:r>
    </w:p>
    <w:p w:rsidR="00300499" w:rsidRDefault="005715D3" w:rsidP="00E01420">
      <w:pPr>
        <w:pStyle w:val="Bodyindent"/>
        <w:ind w:left="1800"/>
      </w:pPr>
      <w:r>
        <w:t>Irwin Kirsch, Project Director, ETS Corporate Headquarters</w:t>
      </w:r>
    </w:p>
    <w:p w:rsidR="00885C77" w:rsidRDefault="005715D3" w:rsidP="00E01420">
      <w:pPr>
        <w:pStyle w:val="Bodyindent"/>
        <w:ind w:left="1800"/>
      </w:pPr>
      <w:r>
        <w:t>660 Rosedale Road, Princeton, NJ 08541 USA</w:t>
      </w:r>
    </w:p>
    <w:p w:rsidR="00885C77" w:rsidRDefault="005715D3" w:rsidP="00495F46">
      <w:pPr>
        <w:pStyle w:val="Heading1"/>
        <w:keepNext w:val="0"/>
        <w:spacing w:before="240" w:line="300" w:lineRule="atLeast"/>
        <w:ind w:left="0" w:firstLine="0"/>
        <w:jc w:val="left"/>
      </w:pPr>
      <w:bookmarkStart w:id="12" w:name="_Toc360194154"/>
      <w:r>
        <w:t>A.9</w:t>
      </w:r>
      <w:r>
        <w:tab/>
        <w:t>Provision of Payments or Gifts to Respondents</w:t>
      </w:r>
      <w:bookmarkEnd w:id="12"/>
    </w:p>
    <w:p w:rsidR="00300499" w:rsidRDefault="005715D3" w:rsidP="00585117">
      <w:pPr>
        <w:pStyle w:val="BodyText1"/>
      </w:pPr>
      <w:r>
        <w:t xml:space="preserve">As part of the planned efforts to </w:t>
      </w:r>
      <w:r w:rsidR="00DE6AED">
        <w:t xml:space="preserve">reach </w:t>
      </w:r>
      <w:r>
        <w:t xml:space="preserve">response rate goals, </w:t>
      </w:r>
      <w:r w:rsidR="00B6786F" w:rsidRPr="00B65D16">
        <w:t>NCES propose</w:t>
      </w:r>
      <w:r w:rsidR="00D86477">
        <w:t>d</w:t>
      </w:r>
      <w:r w:rsidR="00B6786F" w:rsidRPr="00B65D16">
        <w:t xml:space="preserve"> giving </w:t>
      </w:r>
      <w:r w:rsidR="00B6786F">
        <w:t xml:space="preserve">sampled </w:t>
      </w:r>
      <w:r w:rsidR="00B6786F" w:rsidRPr="00B65D16">
        <w:t xml:space="preserve">respondents the same incentive used for the PIAAC Main Study: </w:t>
      </w:r>
      <w:r w:rsidR="00A44D9B">
        <w:t xml:space="preserve">a </w:t>
      </w:r>
      <w:r w:rsidR="00B6786F" w:rsidRPr="00A42957">
        <w:t xml:space="preserve">$50 </w:t>
      </w:r>
      <w:r w:rsidR="00B6786F">
        <w:t xml:space="preserve">cash card </w:t>
      </w:r>
      <w:r w:rsidR="00E01420">
        <w:t xml:space="preserve">to thank </w:t>
      </w:r>
      <w:r w:rsidR="00B6786F" w:rsidRPr="00A42957">
        <w:t xml:space="preserve">the </w:t>
      </w:r>
      <w:r w:rsidR="00B6786F">
        <w:t>respondent</w:t>
      </w:r>
      <w:r w:rsidR="00E01420">
        <w:t xml:space="preserve"> for their</w:t>
      </w:r>
      <w:r w:rsidR="00B6786F">
        <w:t xml:space="preserve"> </w:t>
      </w:r>
      <w:r w:rsidR="00B6786F" w:rsidRPr="00A42957">
        <w:t xml:space="preserve">time </w:t>
      </w:r>
      <w:r w:rsidR="00B6786F">
        <w:t xml:space="preserve">and effort </w:t>
      </w:r>
      <w:r w:rsidR="00B6786F" w:rsidRPr="00A42957">
        <w:t xml:space="preserve">spent </w:t>
      </w:r>
      <w:r w:rsidR="00E01420">
        <w:t xml:space="preserve">taking the assessment and </w:t>
      </w:r>
      <w:r w:rsidR="00B6786F" w:rsidRPr="00B65D16">
        <w:t xml:space="preserve">answering the </w:t>
      </w:r>
      <w:r w:rsidR="00B6786F">
        <w:t>survey</w:t>
      </w:r>
      <w:r>
        <w:t>.</w:t>
      </w:r>
      <w:r w:rsidR="00DE6AED">
        <w:t xml:space="preserve"> </w:t>
      </w:r>
      <w:r w:rsidR="00025B0A">
        <w:t xml:space="preserve">The amount of burden is equivalent to that of the PIAAC respondents. </w:t>
      </w:r>
      <w:r w:rsidR="00585117" w:rsidRPr="00585117">
        <w:t>NCES received OMB approval to offer a $50 incentive for the PIAAC Main Study after the results of an incentive experiment during the 2010 PIAAC Field Test indicated that $50 improved response rates compared with lower amounts</w:t>
      </w:r>
      <w:r w:rsidR="00E01420">
        <w:t xml:space="preserve"> (OMB# 1850-0870)</w:t>
      </w:r>
      <w:r w:rsidR="00585117" w:rsidRPr="00025B0A">
        <w:t>.</w:t>
      </w:r>
      <w:r w:rsidR="00D86477">
        <w:t xml:space="preserve"> The $50 incentive was approved for this study in the Initial Contact and Address Updates request (OMB# 1850-0900 v.1).</w:t>
      </w:r>
    </w:p>
    <w:p w:rsidR="008D42F6" w:rsidRDefault="008D42F6" w:rsidP="008D42F6">
      <w:pPr>
        <w:pStyle w:val="BodyText1"/>
      </w:pPr>
      <w:r>
        <w:t xml:space="preserve">Due to the unclustered sample, it would be prohibitively expensive to conduct an in-person data collection. </w:t>
      </w:r>
      <w:r w:rsidR="00F24472">
        <w:t>A</w:t>
      </w:r>
      <w:r>
        <w:t xml:space="preserve"> web approach </w:t>
      </w:r>
      <w:r w:rsidR="00F24472">
        <w:t xml:space="preserve">has been designed </w:t>
      </w:r>
      <w:r>
        <w:t xml:space="preserve">to administer the </w:t>
      </w:r>
      <w:r w:rsidR="00392E3E">
        <w:t>ESO</w:t>
      </w:r>
      <w:r>
        <w:t xml:space="preserve"> to PISA 2012 students. </w:t>
      </w:r>
      <w:r w:rsidR="00585117" w:rsidRPr="00025B0A">
        <w:t>During recruitment, respondents will be supplied with an unloaded cash card that will be loaded upon their completion of the ESO assessment and questionnaire</w:t>
      </w:r>
      <w:r w:rsidR="00155950" w:rsidRPr="00025B0A">
        <w:t>.</w:t>
      </w:r>
      <w:r w:rsidR="00300499">
        <w:t xml:space="preserve"> </w:t>
      </w:r>
      <w:r w:rsidR="007B0D4F" w:rsidRPr="00025B0A">
        <w:t>The</w:t>
      </w:r>
      <w:r w:rsidRPr="00025B0A">
        <w:t xml:space="preserve"> card can be used by the respondent anywhere a MasterCard </w:t>
      </w:r>
      <w:r w:rsidR="00A44D9B">
        <w:t>is accepted</w:t>
      </w:r>
      <w:r w:rsidR="00DF25D1">
        <w:t>,</w:t>
      </w:r>
      <w:r w:rsidRPr="00025B0A">
        <w:t xml:space="preserve"> once remuneration has been added to it. Until the survey is completed, the card </w:t>
      </w:r>
      <w:r w:rsidR="00A00678">
        <w:t xml:space="preserve">will </w:t>
      </w:r>
      <w:r w:rsidRPr="00025B0A">
        <w:t>act as a visual incentive to the respondent to complete the survey.</w:t>
      </w:r>
    </w:p>
    <w:p w:rsidR="00885C77" w:rsidRDefault="005715D3" w:rsidP="00495F46">
      <w:pPr>
        <w:pStyle w:val="Heading1"/>
        <w:keepNext w:val="0"/>
        <w:spacing w:before="240" w:line="300" w:lineRule="atLeast"/>
        <w:ind w:left="0" w:firstLine="0"/>
        <w:jc w:val="left"/>
      </w:pPr>
      <w:bookmarkStart w:id="13" w:name="_Toc360194155"/>
      <w:r>
        <w:t>A.10</w:t>
      </w:r>
      <w:r>
        <w:tab/>
        <w:t>Assurance of Confidentiality</w:t>
      </w:r>
      <w:bookmarkEnd w:id="13"/>
    </w:p>
    <w:p w:rsidR="00885C77" w:rsidRDefault="00EA2AD1">
      <w:pPr>
        <w:pStyle w:val="BodyText1"/>
      </w:pPr>
      <w:r w:rsidRPr="003E233A">
        <w:rPr>
          <w:rFonts w:cs="Arial"/>
        </w:rPr>
        <w:t xml:space="preserve">Procedures for handling confidential aspects of the study that will be used in </w:t>
      </w:r>
      <w:r w:rsidR="00A44D9B">
        <w:rPr>
          <w:rFonts w:cs="Arial"/>
        </w:rPr>
        <w:t>the PISA Validation Study</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w:t>
      </w:r>
      <w:r w:rsidRPr="003E233A">
        <w:rPr>
          <w:rFonts w:cs="Arial"/>
        </w:rPr>
        <w:t>contractor.</w:t>
      </w:r>
      <w:r>
        <w:rPr>
          <w:rFonts w:ascii="Arial" w:hAnsi="Arial" w:cs="Arial"/>
          <w:sz w:val="20"/>
          <w:szCs w:val="20"/>
        </w:rPr>
        <w:t xml:space="preserve"> </w:t>
      </w:r>
      <w:r>
        <w:t>The plan for maintaining confidentiality includes signed confidentiality agreements and notarized nondisclosure affidavits obtained from all personnel who will have access to individual identifiers</w:t>
      </w:r>
      <w:r w:rsidR="006E3C3F">
        <w:t xml:space="preserve">; </w:t>
      </w:r>
      <w:r>
        <w:t>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sidR="005715D3">
        <w:t>.</w:t>
      </w:r>
    </w:p>
    <w:p w:rsidR="00885C77" w:rsidRDefault="005715D3">
      <w:pPr>
        <w:pStyle w:val="BodyText1"/>
        <w:rPr>
          <w:b/>
        </w:rPr>
      </w:pPr>
      <w:r>
        <w:t xml:space="preserve">The physical and/or electronic transfer of </w:t>
      </w:r>
      <w:r w:rsidR="00557A14">
        <w:t>personally identifiable information</w:t>
      </w:r>
      <w:r>
        <w:t xml:space="preserve"> (particularly names and addresses) will be limited to the extent necessary to perform project requirements. This limitation includes both internal transfers (e.g., transfer of information between agents of Westat) and external transfers (e.g., transfers between Westat and NCES, or between Westat and another government agency assisting in data collection). All data files constructed to conduct the study will be maintained in secure network areas at Westat. These files will be subject to Westat’s regularly scheduled backup process. Backups are stored in secure facilities on site as well as off site. These data are stored and maintained in secure network and database locations where access is limited to those Westat staff who </w:t>
      </w:r>
      <w:r w:rsidR="006E3C3F">
        <w:t>have</w:t>
      </w:r>
      <w:r>
        <w:t xml:space="preserve"> specifically authorized access. Access is only granted once a staff member is assigned to the project and has completed the NCES Affidavit of Non-disclosure. Identifiers are maintained in files required to conduct survey operations that are physically separate from other research data and that are accessible only to sworn </w:t>
      </w:r>
      <w:r w:rsidR="00557A14">
        <w:t>agency and contractor personnel</w:t>
      </w:r>
      <w:r>
        <w:t>.</w:t>
      </w:r>
    </w:p>
    <w:p w:rsidR="00885C77" w:rsidRDefault="006E3C3F">
      <w:pPr>
        <w:pStyle w:val="BodyText1"/>
      </w:pPr>
      <w:r>
        <w:t xml:space="preserve">The PISA Validation study will follow all applicable federal laws pertaining to security and confidentiality of personally identifiable information (PII). </w:t>
      </w:r>
      <w:r w:rsidR="005715D3">
        <w:t xml:space="preserve">The laws pertaining to the collection and use of </w:t>
      </w:r>
      <w:r>
        <w:t>PII</w:t>
      </w:r>
      <w:r w:rsidR="005715D3">
        <w:t xml:space="preserve"> are clearly </w:t>
      </w:r>
      <w:r w:rsidR="005715D3">
        <w:lastRenderedPageBreak/>
        <w:t>communicated in correspondence with participants, per NCES requirements (see materials in Appendix A). Materials will carry a statement addressing confidentiality as follows:</w:t>
      </w:r>
    </w:p>
    <w:p w:rsidR="00885C77" w:rsidRDefault="005715D3">
      <w:pPr>
        <w:pStyle w:val="N7-3Block"/>
        <w:spacing w:after="240"/>
        <w:rPr>
          <w:rFonts w:ascii="Garamond" w:hAnsi="Garamond"/>
          <w:sz w:val="24"/>
        </w:rPr>
      </w:pPr>
      <w:r>
        <w:rPr>
          <w:rFonts w:ascii="Garamond" w:hAnsi="Garamond"/>
          <w:sz w:val="24"/>
        </w:rPr>
        <w:t xml:space="preserve">NCES is authorized to conduct this study under the Education Sciences Reform Act of 2002 (ESRA 2002, 20 U.S.C., § 9543). </w:t>
      </w:r>
      <w:r w:rsidR="003023E8">
        <w:rPr>
          <w:rFonts w:ascii="Garamond" w:hAnsi="Garamond"/>
          <w:sz w:val="24"/>
        </w:rPr>
        <w:t>Your p</w:t>
      </w:r>
      <w:r>
        <w:rPr>
          <w:rFonts w:ascii="Garamond" w:hAnsi="Garamond"/>
          <w:sz w:val="24"/>
        </w:rPr>
        <w:t>articipation is voluntary</w:t>
      </w:r>
      <w:r w:rsidR="003023E8">
        <w:rPr>
          <w:rFonts w:ascii="Garamond" w:hAnsi="Garamond"/>
          <w:sz w:val="24"/>
        </w:rPr>
        <w:t xml:space="preserve"> and the information you provide may be</w:t>
      </w:r>
      <w:r>
        <w:rPr>
          <w:rFonts w:ascii="Garamond" w:hAnsi="Garamond"/>
          <w:sz w:val="24"/>
        </w:rPr>
        <w:t xml:space="preserve"> used </w:t>
      </w:r>
      <w:r>
        <w:rPr>
          <w:rStyle w:val="Strong"/>
          <w:rFonts w:ascii="Garamond" w:hAnsi="Garamond"/>
          <w:b w:val="0"/>
          <w:bCs w:val="0"/>
          <w:sz w:val="24"/>
        </w:rPr>
        <w:t xml:space="preserve">only for statistical purposes and may not be disclosed or used, in identifiable form for any other purpose except as required by law </w:t>
      </w:r>
      <w:r>
        <w:rPr>
          <w:rFonts w:ascii="Garamond" w:hAnsi="Garamond"/>
          <w:sz w:val="24"/>
        </w:rPr>
        <w:t>(ESRA 2002, 20 U.S.C., § 9573). Individual responses will be combined with those from other participants to produce summary statistics and reports.</w:t>
      </w:r>
    </w:p>
    <w:p w:rsidR="00885C77" w:rsidRDefault="005715D3">
      <w:pPr>
        <w:pStyle w:val="BodyText1"/>
      </w:pPr>
      <w:r>
        <w:t xml:space="preserve">Westat will deliver data files, accompanying software, and documentation to NCES at the end of the main study. Neither </w:t>
      </w:r>
      <w:r w:rsidR="00F1128F">
        <w:t xml:space="preserve">respondents’ </w:t>
      </w:r>
      <w:r>
        <w:t xml:space="preserve">names nor addresses will be included on any data file. </w:t>
      </w:r>
      <w:r w:rsidR="00F1128F">
        <w:t>Furthermore, prior to the release of any data file, NCES will conduct a disclosure risk analysis, per NCES standard protocol.</w:t>
      </w:r>
    </w:p>
    <w:p w:rsidR="00885C77" w:rsidRDefault="005715D3" w:rsidP="00495F46">
      <w:pPr>
        <w:pStyle w:val="Heading1"/>
        <w:keepNext w:val="0"/>
        <w:spacing w:before="240" w:line="300" w:lineRule="atLeast"/>
        <w:ind w:left="0" w:firstLine="0"/>
        <w:jc w:val="left"/>
      </w:pPr>
      <w:bookmarkStart w:id="14" w:name="_Toc360194156"/>
      <w:r>
        <w:t>A. 11</w:t>
      </w:r>
      <w:r>
        <w:tab/>
        <w:t>Sensitive Questions</w:t>
      </w:r>
      <w:bookmarkEnd w:id="14"/>
    </w:p>
    <w:p w:rsidR="00885C77" w:rsidRDefault="00F1128F">
      <w:pPr>
        <w:pStyle w:val="BodyText1"/>
      </w:pPr>
      <w:r>
        <w:t>The</w:t>
      </w:r>
      <w:r w:rsidR="005715D3">
        <w:t xml:space="preserve"> survey </w:t>
      </w:r>
      <w:r>
        <w:t xml:space="preserve">does not </w:t>
      </w:r>
      <w:r w:rsidR="005715D3">
        <w:t>include questions usually considered to be of a highly sensitive nature, such as items concerning religion, subst</w:t>
      </w:r>
      <w:r w:rsidR="0050385A">
        <w:t>ance abuse, or sexual activity.</w:t>
      </w:r>
    </w:p>
    <w:p w:rsidR="00300499" w:rsidRDefault="005715D3" w:rsidP="00495F46">
      <w:pPr>
        <w:pStyle w:val="Heading1"/>
        <w:keepNext w:val="0"/>
        <w:spacing w:before="240" w:line="300" w:lineRule="atLeast"/>
        <w:ind w:left="0" w:firstLine="0"/>
        <w:jc w:val="left"/>
      </w:pPr>
      <w:bookmarkStart w:id="15" w:name="_Toc360194157"/>
      <w:r>
        <w:t>A. 12</w:t>
      </w:r>
      <w:r>
        <w:tab/>
        <w:t>Estimates of Response Burden</w:t>
      </w:r>
      <w:bookmarkEnd w:id="15"/>
    </w:p>
    <w:p w:rsidR="00BA1A3C" w:rsidRDefault="00BA1A3C" w:rsidP="00BA1A3C">
      <w:pPr>
        <w:pStyle w:val="BodyText1"/>
        <w:spacing w:before="0"/>
      </w:pPr>
      <w:r>
        <w:t xml:space="preserve">Table A-1 shows the estimated respondent burden for field trial and main study recruitment and data collection. There are combined total burden hours of </w:t>
      </w:r>
      <w:r w:rsidR="002238C8">
        <w:t>2,347</w:t>
      </w:r>
      <w:r>
        <w:t xml:space="preserve"> hours for the field test and main study data phases. These include communications with respondents asking them to formally participate in the survey, completion of the non-cognitive questionnaire, and completion of the cognitive assessment.</w:t>
      </w:r>
      <w:r w:rsidR="00D60892">
        <w:t xml:space="preserve"> At an estimated $7.25 per hour (federal minimum wage), the estimated cost to respondents for the total burden time associated with the address </w:t>
      </w:r>
      <w:r w:rsidR="00D60892" w:rsidRPr="004C6F91">
        <w:t>updates (</w:t>
      </w:r>
      <w:r w:rsidR="002238C8">
        <w:t>2,347</w:t>
      </w:r>
      <w:r w:rsidR="002238C8" w:rsidRPr="004C6F91">
        <w:t xml:space="preserve"> </w:t>
      </w:r>
      <w:r w:rsidR="00D60892" w:rsidRPr="004C6F91">
        <w:t>hours)</w:t>
      </w:r>
      <w:r w:rsidR="00D60892" w:rsidRPr="000C5B83">
        <w:t xml:space="preserve"> is $</w:t>
      </w:r>
      <w:r w:rsidR="002238C8">
        <w:t>17,016</w:t>
      </w:r>
      <w:r w:rsidR="00D60892" w:rsidRPr="00684C59">
        <w:t>.</w:t>
      </w:r>
    </w:p>
    <w:p w:rsidR="00885C77" w:rsidRPr="00D14F23" w:rsidRDefault="00885C77" w:rsidP="00D14F23">
      <w:pPr>
        <w:spacing w:line="240" w:lineRule="auto"/>
        <w:jc w:val="left"/>
        <w:rPr>
          <w:rFonts w:ascii="Garamond" w:hAnsi="Garamond"/>
          <w:b/>
          <w:sz w:val="14"/>
          <w:szCs w:val="14"/>
        </w:rPr>
      </w:pPr>
    </w:p>
    <w:p w:rsidR="00885C77" w:rsidRDefault="005715D3">
      <w:pPr>
        <w:pStyle w:val="TT-TableTitle"/>
        <w:spacing w:before="0"/>
      </w:pPr>
      <w:r w:rsidRPr="00684C59">
        <w:t>Table A-1.</w:t>
      </w:r>
      <w:r w:rsidRPr="00684C59">
        <w:tab/>
        <w:t>Estimated burden to respondents*</w:t>
      </w:r>
    </w:p>
    <w:tbl>
      <w:tblPr>
        <w:tblStyle w:val="TableWestatStandardFormat"/>
        <w:tblW w:w="5000" w:type="pct"/>
        <w:tblLayout w:type="fixed"/>
        <w:tblLook w:val="04A0" w:firstRow="1" w:lastRow="0" w:firstColumn="1" w:lastColumn="0" w:noHBand="0" w:noVBand="1"/>
      </w:tblPr>
      <w:tblGrid>
        <w:gridCol w:w="2809"/>
        <w:gridCol w:w="911"/>
        <w:gridCol w:w="1079"/>
        <w:gridCol w:w="1340"/>
        <w:gridCol w:w="1169"/>
        <w:gridCol w:w="1802"/>
        <w:gridCol w:w="1330"/>
      </w:tblGrid>
      <w:tr w:rsidR="009B0852" w:rsidTr="009B0852">
        <w:trPr>
          <w:trHeight w:val="900"/>
        </w:trPr>
        <w:tc>
          <w:tcPr>
            <w:tcW w:w="1345" w:type="pct"/>
            <w:noWrap/>
            <w:vAlign w:val="center"/>
          </w:tcPr>
          <w:p w:rsidR="00885C77" w:rsidRPr="009B0852" w:rsidRDefault="005715D3">
            <w:pPr>
              <w:jc w:val="left"/>
              <w:rPr>
                <w:rFonts w:ascii="Calibri" w:hAnsi="Calibri"/>
                <w:b/>
              </w:rPr>
            </w:pPr>
            <w:r>
              <w:rPr>
                <w:rFonts w:ascii="Calibri" w:hAnsi="Calibri"/>
              </w:rPr>
              <w:t> </w:t>
            </w:r>
            <w:r w:rsidR="009B0852" w:rsidRPr="009B0852">
              <w:rPr>
                <w:rFonts w:ascii="Calibri" w:hAnsi="Calibri"/>
                <w:b/>
              </w:rPr>
              <w:t>Activity</w:t>
            </w:r>
          </w:p>
        </w:tc>
        <w:tc>
          <w:tcPr>
            <w:tcW w:w="436"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Sample size</w:t>
            </w:r>
          </w:p>
        </w:tc>
        <w:tc>
          <w:tcPr>
            <w:tcW w:w="517"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r</w:t>
            </w:r>
            <w:r w:rsidR="005715D3">
              <w:rPr>
                <w:rFonts w:ascii="Calibri" w:hAnsi="Calibri"/>
                <w:b/>
                <w:bCs/>
              </w:rPr>
              <w:t>esponse rate</w:t>
            </w:r>
          </w:p>
        </w:tc>
        <w:tc>
          <w:tcPr>
            <w:tcW w:w="642" w:type="pct"/>
            <w:tcBorders>
              <w:top w:val="single" w:sz="4" w:space="0" w:color="auto"/>
              <w:bottom w:val="single" w:sz="4" w:space="0" w:color="auto"/>
            </w:tcBorders>
            <w:vAlign w:val="center"/>
          </w:tcPr>
          <w:p w:rsidR="00885C77" w:rsidRDefault="005715D3" w:rsidP="009B0852">
            <w:pPr>
              <w:jc w:val="center"/>
              <w:rPr>
                <w:rFonts w:ascii="Calibri" w:hAnsi="Calibri"/>
                <w:b/>
                <w:bCs/>
              </w:rPr>
            </w:pPr>
            <w:r>
              <w:rPr>
                <w:rFonts w:ascii="Calibri" w:hAnsi="Calibri"/>
                <w:b/>
                <w:bCs/>
              </w:rPr>
              <w:t>Number</w:t>
            </w:r>
            <w:r w:rsidR="009B0852">
              <w:rPr>
                <w:rFonts w:ascii="Calibri" w:hAnsi="Calibri"/>
                <w:b/>
                <w:bCs/>
              </w:rPr>
              <w:t xml:space="preserve"> </w:t>
            </w:r>
            <w:r>
              <w:rPr>
                <w:rFonts w:ascii="Calibri" w:hAnsi="Calibri"/>
                <w:b/>
                <w:bCs/>
              </w:rPr>
              <w:t>of Respondents</w:t>
            </w:r>
          </w:p>
        </w:tc>
        <w:tc>
          <w:tcPr>
            <w:tcW w:w="560" w:type="pct"/>
            <w:tcBorders>
              <w:top w:val="single" w:sz="4" w:space="0" w:color="auto"/>
              <w:bottom w:val="single" w:sz="4" w:space="0" w:color="auto"/>
            </w:tcBorders>
            <w:vAlign w:val="center"/>
          </w:tcPr>
          <w:p w:rsidR="00885C77" w:rsidRDefault="005715D3">
            <w:pPr>
              <w:ind w:right="-74"/>
              <w:jc w:val="center"/>
              <w:rPr>
                <w:rFonts w:ascii="Calibri" w:hAnsi="Calibri"/>
                <w:b/>
                <w:bCs/>
              </w:rPr>
            </w:pPr>
            <w:r>
              <w:rPr>
                <w:rFonts w:ascii="Calibri" w:hAnsi="Calibri"/>
                <w:b/>
                <w:bCs/>
              </w:rPr>
              <w:t>Number of Responses</w:t>
            </w:r>
          </w:p>
        </w:tc>
        <w:tc>
          <w:tcPr>
            <w:tcW w:w="863"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a</w:t>
            </w:r>
            <w:r w:rsidR="005715D3">
              <w:rPr>
                <w:rFonts w:ascii="Calibri" w:hAnsi="Calibri"/>
                <w:b/>
                <w:bCs/>
              </w:rPr>
              <w:t>verage burden (minutes)</w:t>
            </w:r>
          </w:p>
        </w:tc>
        <w:tc>
          <w:tcPr>
            <w:tcW w:w="637"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Total burden (hours)</w:t>
            </w:r>
          </w:p>
        </w:tc>
      </w:tr>
      <w:tr w:rsidR="008503C6" w:rsidRPr="008503C6" w:rsidTr="008503C6">
        <w:trPr>
          <w:trHeight w:val="300"/>
        </w:trPr>
        <w:tc>
          <w:tcPr>
            <w:tcW w:w="1345" w:type="pct"/>
            <w:shd w:val="clear" w:color="auto" w:fill="D9D9D9" w:themeFill="background1" w:themeFillShade="D9"/>
            <w:noWrap/>
            <w:vAlign w:val="center"/>
          </w:tcPr>
          <w:p w:rsidR="00885C77" w:rsidRPr="008503C6" w:rsidRDefault="008B3D17">
            <w:pPr>
              <w:ind w:right="-115"/>
              <w:jc w:val="left"/>
              <w:rPr>
                <w:rFonts w:ascii="Calibri" w:hAnsi="Calibri"/>
              </w:rPr>
            </w:pPr>
            <w:r w:rsidRPr="008503C6">
              <w:rPr>
                <w:rFonts w:ascii="Calibri" w:hAnsi="Calibri"/>
              </w:rPr>
              <w:t>Address update requests - main study sample (5)</w:t>
            </w:r>
          </w:p>
        </w:tc>
        <w:tc>
          <w:tcPr>
            <w:tcW w:w="436"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517"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1.00</w:t>
            </w:r>
          </w:p>
        </w:tc>
        <w:tc>
          <w:tcPr>
            <w:tcW w:w="642"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560"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863" w:type="pct"/>
            <w:shd w:val="clear" w:color="auto" w:fill="D9D9D9" w:themeFill="background1" w:themeFillShade="D9"/>
            <w:noWrap/>
            <w:vAlign w:val="center"/>
          </w:tcPr>
          <w:p w:rsidR="00542E3C" w:rsidRPr="008503C6" w:rsidRDefault="008B3D17">
            <w:pPr>
              <w:jc w:val="right"/>
              <w:rPr>
                <w:rFonts w:ascii="Calibri" w:hAnsi="Calibri"/>
              </w:rPr>
            </w:pPr>
            <w:r w:rsidRPr="008503C6">
              <w:rPr>
                <w:rFonts w:ascii="Calibri" w:hAnsi="Calibri"/>
              </w:rPr>
              <w:t>5 min per request</w:t>
            </w:r>
          </w:p>
          <w:p w:rsidR="00885C77" w:rsidRPr="008503C6" w:rsidRDefault="008B3D17">
            <w:pPr>
              <w:jc w:val="right"/>
              <w:rPr>
                <w:rFonts w:ascii="Calibri" w:hAnsi="Calibri"/>
              </w:rPr>
            </w:pPr>
            <w:r w:rsidRPr="008503C6">
              <w:rPr>
                <w:rFonts w:ascii="Calibri" w:hAnsi="Calibri"/>
              </w:rPr>
              <w:t>25 min total</w:t>
            </w:r>
          </w:p>
        </w:tc>
        <w:tc>
          <w:tcPr>
            <w:tcW w:w="637"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1,970</w:t>
            </w:r>
          </w:p>
        </w:tc>
      </w:tr>
      <w:tr w:rsidR="008503C6" w:rsidRPr="008503C6" w:rsidTr="008503C6">
        <w:trPr>
          <w:trHeight w:val="300"/>
        </w:trPr>
        <w:tc>
          <w:tcPr>
            <w:tcW w:w="1345" w:type="pct"/>
            <w:tcBorders>
              <w:bottom w:val="nil"/>
            </w:tcBorders>
            <w:shd w:val="clear" w:color="auto" w:fill="D9D9D9" w:themeFill="background1" w:themeFillShade="D9"/>
            <w:noWrap/>
            <w:vAlign w:val="center"/>
          </w:tcPr>
          <w:p w:rsidR="00885C77" w:rsidRPr="008503C6" w:rsidRDefault="008B3D17">
            <w:pPr>
              <w:jc w:val="left"/>
              <w:rPr>
                <w:rFonts w:ascii="Calibri" w:hAnsi="Calibri"/>
              </w:rPr>
            </w:pPr>
            <w:r w:rsidRPr="008503C6">
              <w:rPr>
                <w:rFonts w:ascii="Calibri" w:hAnsi="Calibri"/>
              </w:rPr>
              <w:t>Address update requests – field trial sample (3)</w:t>
            </w:r>
          </w:p>
        </w:tc>
        <w:tc>
          <w:tcPr>
            <w:tcW w:w="436"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517"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1.00</w:t>
            </w:r>
          </w:p>
        </w:tc>
        <w:tc>
          <w:tcPr>
            <w:tcW w:w="642"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560"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863" w:type="pct"/>
            <w:tcBorders>
              <w:bottom w:val="nil"/>
            </w:tcBorders>
            <w:shd w:val="clear" w:color="auto" w:fill="D9D9D9" w:themeFill="background1" w:themeFillShade="D9"/>
            <w:noWrap/>
            <w:vAlign w:val="center"/>
          </w:tcPr>
          <w:p w:rsidR="009B0852" w:rsidRPr="008503C6" w:rsidRDefault="008B3D17" w:rsidP="009B0852">
            <w:pPr>
              <w:jc w:val="right"/>
              <w:rPr>
                <w:rFonts w:ascii="Calibri" w:hAnsi="Calibri"/>
              </w:rPr>
            </w:pPr>
            <w:r w:rsidRPr="008503C6">
              <w:rPr>
                <w:rFonts w:ascii="Calibri" w:hAnsi="Calibri"/>
              </w:rPr>
              <w:t>5 min per request</w:t>
            </w:r>
          </w:p>
          <w:p w:rsidR="00885C77" w:rsidRPr="008503C6" w:rsidRDefault="008B3D17" w:rsidP="009B0852">
            <w:pPr>
              <w:jc w:val="right"/>
              <w:rPr>
                <w:rFonts w:ascii="Calibri" w:hAnsi="Calibri"/>
              </w:rPr>
            </w:pPr>
            <w:r w:rsidRPr="008503C6">
              <w:rPr>
                <w:rFonts w:ascii="Calibri" w:hAnsi="Calibri"/>
              </w:rPr>
              <w:t>15 min total</w:t>
            </w:r>
          </w:p>
        </w:tc>
        <w:tc>
          <w:tcPr>
            <w:tcW w:w="637"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270</w:t>
            </w:r>
          </w:p>
        </w:tc>
      </w:tr>
      <w:tr w:rsidR="008503C6" w:rsidRPr="008503C6" w:rsidTr="008503C6">
        <w:trPr>
          <w:trHeight w:val="300"/>
        </w:trPr>
        <w:tc>
          <w:tcPr>
            <w:tcW w:w="1345" w:type="pct"/>
            <w:tcBorders>
              <w:top w:val="nil"/>
              <w:bottom w:val="single" w:sz="4" w:space="0" w:color="auto"/>
            </w:tcBorders>
            <w:shd w:val="clear" w:color="auto" w:fill="D9D9D9" w:themeFill="background1" w:themeFillShade="D9"/>
            <w:noWrap/>
            <w:vAlign w:val="center"/>
          </w:tcPr>
          <w:p w:rsidR="00885C77" w:rsidRPr="008503C6" w:rsidRDefault="008B3D17" w:rsidP="0025360F">
            <w:pPr>
              <w:jc w:val="left"/>
              <w:rPr>
                <w:rFonts w:ascii="Calibri" w:hAnsi="Calibri"/>
                <w:bCs/>
                <w:i/>
                <w:iCs/>
              </w:rPr>
            </w:pPr>
            <w:r w:rsidRPr="008503C6">
              <w:rPr>
                <w:rFonts w:ascii="Calibri" w:hAnsi="Calibri"/>
                <w:bCs/>
                <w:i/>
                <w:iCs/>
              </w:rPr>
              <w:t>Total burden</w:t>
            </w:r>
            <w:r w:rsidR="00300499" w:rsidRPr="008503C6">
              <w:rPr>
                <w:rFonts w:ascii="Calibri" w:hAnsi="Calibri"/>
                <w:bCs/>
                <w:i/>
                <w:iCs/>
              </w:rPr>
              <w:t xml:space="preserve"> </w:t>
            </w:r>
            <w:r w:rsidRPr="008503C6">
              <w:rPr>
                <w:rFonts w:ascii="Calibri" w:hAnsi="Calibri"/>
                <w:bCs/>
                <w:i/>
                <w:iCs/>
              </w:rPr>
              <w:t>address updates</w:t>
            </w:r>
          </w:p>
        </w:tc>
        <w:tc>
          <w:tcPr>
            <w:tcW w:w="436"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rPr>
            </w:pPr>
          </w:p>
        </w:tc>
        <w:tc>
          <w:tcPr>
            <w:tcW w:w="517"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rPr>
            </w:pPr>
          </w:p>
        </w:tc>
        <w:tc>
          <w:tcPr>
            <w:tcW w:w="642" w:type="pct"/>
            <w:tcBorders>
              <w:top w:val="nil"/>
              <w:bottom w:val="single" w:sz="4" w:space="0" w:color="auto"/>
            </w:tcBorders>
            <w:shd w:val="clear" w:color="auto" w:fill="D9D9D9" w:themeFill="background1" w:themeFillShade="D9"/>
            <w:noWrap/>
            <w:vAlign w:val="center"/>
          </w:tcPr>
          <w:p w:rsidR="00885C77" w:rsidRPr="008503C6" w:rsidRDefault="008B3D17">
            <w:pPr>
              <w:jc w:val="right"/>
              <w:rPr>
                <w:rFonts w:ascii="Calibri" w:hAnsi="Calibri"/>
                <w:bCs/>
                <w:i/>
                <w:iCs/>
              </w:rPr>
            </w:pPr>
            <w:r w:rsidRPr="008503C6">
              <w:rPr>
                <w:rFonts w:ascii="Calibri" w:hAnsi="Calibri"/>
                <w:bCs/>
                <w:i/>
                <w:iCs/>
              </w:rPr>
              <w:t>5,810</w:t>
            </w:r>
          </w:p>
        </w:tc>
        <w:tc>
          <w:tcPr>
            <w:tcW w:w="560" w:type="pct"/>
            <w:tcBorders>
              <w:top w:val="nil"/>
              <w:bottom w:val="single" w:sz="4" w:space="0" w:color="auto"/>
            </w:tcBorders>
            <w:shd w:val="clear" w:color="auto" w:fill="D9D9D9" w:themeFill="background1" w:themeFillShade="D9"/>
            <w:noWrap/>
            <w:vAlign w:val="center"/>
          </w:tcPr>
          <w:p w:rsidR="00885C77" w:rsidRPr="008503C6" w:rsidRDefault="008B3D17">
            <w:pPr>
              <w:jc w:val="right"/>
              <w:rPr>
                <w:rFonts w:ascii="Calibri" w:hAnsi="Calibri"/>
                <w:bCs/>
                <w:i/>
                <w:iCs/>
              </w:rPr>
            </w:pPr>
            <w:r w:rsidRPr="008503C6">
              <w:rPr>
                <w:rFonts w:ascii="Calibri" w:hAnsi="Calibri"/>
                <w:bCs/>
                <w:i/>
                <w:iCs/>
              </w:rPr>
              <w:t>5,810</w:t>
            </w:r>
          </w:p>
        </w:tc>
        <w:tc>
          <w:tcPr>
            <w:tcW w:w="863"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bCs/>
                <w:i/>
                <w:iCs/>
              </w:rPr>
            </w:pPr>
          </w:p>
        </w:tc>
        <w:tc>
          <w:tcPr>
            <w:tcW w:w="637" w:type="pct"/>
            <w:tcBorders>
              <w:top w:val="nil"/>
              <w:bottom w:val="single" w:sz="4" w:space="0" w:color="auto"/>
            </w:tcBorders>
            <w:shd w:val="clear" w:color="auto" w:fill="D9D9D9" w:themeFill="background1" w:themeFillShade="D9"/>
            <w:noWrap/>
            <w:vAlign w:val="center"/>
          </w:tcPr>
          <w:p w:rsidR="00885C77" w:rsidRPr="008503C6" w:rsidRDefault="008B3D17" w:rsidP="009B0852">
            <w:pPr>
              <w:jc w:val="right"/>
              <w:rPr>
                <w:rFonts w:ascii="Calibri" w:hAnsi="Calibri"/>
                <w:bCs/>
                <w:i/>
                <w:iCs/>
              </w:rPr>
            </w:pPr>
            <w:r w:rsidRPr="008503C6">
              <w:rPr>
                <w:rFonts w:ascii="Calibri" w:hAnsi="Calibri"/>
                <w:bCs/>
                <w:i/>
                <w:iCs/>
              </w:rPr>
              <w:t>2,240</w:t>
            </w:r>
          </w:p>
        </w:tc>
      </w:tr>
      <w:tr w:rsidR="009B0852" w:rsidTr="009B0852">
        <w:trPr>
          <w:trHeight w:val="300"/>
        </w:trPr>
        <w:tc>
          <w:tcPr>
            <w:tcW w:w="1345" w:type="pct"/>
            <w:noWrap/>
            <w:vAlign w:val="center"/>
          </w:tcPr>
          <w:p w:rsidR="00885C77" w:rsidRPr="008503C6" w:rsidRDefault="008B3D17">
            <w:pPr>
              <w:jc w:val="left"/>
              <w:rPr>
                <w:rFonts w:ascii="Calibri" w:hAnsi="Calibri"/>
                <w:b/>
              </w:rPr>
            </w:pPr>
            <w:r w:rsidRPr="008503C6">
              <w:rPr>
                <w:rFonts w:ascii="Calibri" w:hAnsi="Calibri"/>
                <w:b/>
              </w:rPr>
              <w:t>Field trial</w:t>
            </w:r>
          </w:p>
        </w:tc>
        <w:tc>
          <w:tcPr>
            <w:tcW w:w="436" w:type="pct"/>
            <w:noWrap/>
            <w:vAlign w:val="center"/>
          </w:tcPr>
          <w:p w:rsidR="00885C77" w:rsidRPr="00C97B0A" w:rsidRDefault="008B3D17">
            <w:pPr>
              <w:jc w:val="left"/>
              <w:rPr>
                <w:rFonts w:ascii="Calibri" w:hAnsi="Calibri"/>
              </w:rPr>
            </w:pPr>
            <w:r w:rsidRPr="008B3D17">
              <w:rPr>
                <w:rFonts w:ascii="Calibri" w:hAnsi="Calibri"/>
              </w:rPr>
              <w:t> </w:t>
            </w:r>
          </w:p>
        </w:tc>
        <w:tc>
          <w:tcPr>
            <w:tcW w:w="517" w:type="pct"/>
            <w:noWrap/>
            <w:vAlign w:val="center"/>
          </w:tcPr>
          <w:p w:rsidR="00885C77" w:rsidRPr="00C97B0A" w:rsidRDefault="008B3D17">
            <w:pPr>
              <w:jc w:val="left"/>
              <w:rPr>
                <w:rFonts w:ascii="Calibri" w:hAnsi="Calibri"/>
              </w:rPr>
            </w:pPr>
            <w:r w:rsidRPr="008B3D17">
              <w:rPr>
                <w:rFonts w:ascii="Calibri" w:hAnsi="Calibri"/>
              </w:rPr>
              <w:t> </w:t>
            </w:r>
          </w:p>
        </w:tc>
        <w:tc>
          <w:tcPr>
            <w:tcW w:w="642" w:type="pct"/>
            <w:noWrap/>
            <w:vAlign w:val="center"/>
          </w:tcPr>
          <w:p w:rsidR="00885C77" w:rsidRPr="00C97B0A" w:rsidRDefault="008B3D17">
            <w:pPr>
              <w:jc w:val="left"/>
              <w:rPr>
                <w:rFonts w:ascii="Calibri" w:hAnsi="Calibri"/>
              </w:rPr>
            </w:pPr>
            <w:r w:rsidRPr="008B3D17">
              <w:rPr>
                <w:rFonts w:ascii="Calibri" w:hAnsi="Calibri"/>
              </w:rPr>
              <w:t> </w:t>
            </w:r>
          </w:p>
        </w:tc>
        <w:tc>
          <w:tcPr>
            <w:tcW w:w="560" w:type="pct"/>
            <w:noWrap/>
            <w:vAlign w:val="center"/>
          </w:tcPr>
          <w:p w:rsidR="00885C77" w:rsidRPr="00C97B0A" w:rsidRDefault="008B3D17">
            <w:pPr>
              <w:jc w:val="left"/>
              <w:rPr>
                <w:rFonts w:ascii="Calibri" w:hAnsi="Calibri"/>
              </w:rPr>
            </w:pPr>
            <w:r w:rsidRPr="008B3D17">
              <w:rPr>
                <w:rFonts w:ascii="Calibri" w:hAnsi="Calibri"/>
              </w:rPr>
              <w:t> </w:t>
            </w:r>
          </w:p>
        </w:tc>
        <w:tc>
          <w:tcPr>
            <w:tcW w:w="863" w:type="pct"/>
            <w:noWrap/>
            <w:vAlign w:val="center"/>
          </w:tcPr>
          <w:p w:rsidR="00885C77" w:rsidRPr="00C97B0A" w:rsidRDefault="008B3D17">
            <w:pPr>
              <w:jc w:val="left"/>
              <w:rPr>
                <w:rFonts w:ascii="Calibri" w:hAnsi="Calibri"/>
              </w:rPr>
            </w:pPr>
            <w:r w:rsidRPr="008B3D17">
              <w:rPr>
                <w:rFonts w:ascii="Calibri" w:hAnsi="Calibri"/>
              </w:rPr>
              <w:t> </w:t>
            </w:r>
          </w:p>
        </w:tc>
        <w:tc>
          <w:tcPr>
            <w:tcW w:w="637" w:type="pct"/>
            <w:noWrap/>
            <w:vAlign w:val="center"/>
          </w:tcPr>
          <w:p w:rsidR="00885C77" w:rsidRPr="00C97B0A" w:rsidRDefault="008B3D17">
            <w:pPr>
              <w:jc w:val="left"/>
              <w:rPr>
                <w:rFonts w:ascii="Calibri" w:hAnsi="Calibri"/>
              </w:rPr>
            </w:pPr>
            <w:r w:rsidRPr="008B3D17">
              <w:rPr>
                <w:rFonts w:ascii="Calibri" w:hAnsi="Calibri"/>
              </w:rPr>
              <w:t> </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Communications</w:t>
            </w:r>
          </w:p>
        </w:tc>
        <w:tc>
          <w:tcPr>
            <w:tcW w:w="436" w:type="pct"/>
            <w:noWrap/>
            <w:vAlign w:val="center"/>
          </w:tcPr>
          <w:p w:rsidR="00885C77" w:rsidRPr="00C97B0A" w:rsidRDefault="008B3D17">
            <w:pPr>
              <w:jc w:val="right"/>
              <w:rPr>
                <w:rFonts w:ascii="Calibri" w:hAnsi="Calibri"/>
              </w:rPr>
            </w:pPr>
            <w:r w:rsidRPr="008B3D17">
              <w:rPr>
                <w:rFonts w:ascii="Calibri" w:hAnsi="Calibri"/>
              </w:rPr>
              <w:t>235</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200</w:t>
            </w:r>
          </w:p>
        </w:tc>
        <w:tc>
          <w:tcPr>
            <w:tcW w:w="560" w:type="pct"/>
            <w:noWrap/>
            <w:vAlign w:val="center"/>
          </w:tcPr>
          <w:p w:rsidR="00885C77" w:rsidRPr="00C97B0A" w:rsidRDefault="008B3D17">
            <w:pPr>
              <w:jc w:val="right"/>
              <w:rPr>
                <w:rFonts w:ascii="Calibri" w:hAnsi="Calibri"/>
              </w:rPr>
            </w:pPr>
            <w:r w:rsidRPr="008B3D17">
              <w:rPr>
                <w:rFonts w:ascii="Calibri" w:hAnsi="Calibri"/>
              </w:rPr>
              <w:t>200</w:t>
            </w:r>
          </w:p>
        </w:tc>
        <w:tc>
          <w:tcPr>
            <w:tcW w:w="863" w:type="pct"/>
            <w:noWrap/>
            <w:vAlign w:val="center"/>
          </w:tcPr>
          <w:p w:rsidR="00885C77" w:rsidRPr="00C97B0A" w:rsidRDefault="008B3D17">
            <w:pPr>
              <w:jc w:val="right"/>
              <w:rPr>
                <w:rFonts w:ascii="Calibri" w:hAnsi="Calibri"/>
              </w:rPr>
            </w:pPr>
            <w:r w:rsidRPr="008B3D17">
              <w:rPr>
                <w:rFonts w:ascii="Calibri" w:hAnsi="Calibri"/>
              </w:rPr>
              <w:t>10</w:t>
            </w:r>
          </w:p>
        </w:tc>
        <w:tc>
          <w:tcPr>
            <w:tcW w:w="637" w:type="pct"/>
            <w:noWrap/>
            <w:vAlign w:val="center"/>
          </w:tcPr>
          <w:p w:rsidR="00885C77" w:rsidRPr="00C97B0A" w:rsidRDefault="008B3D17">
            <w:pPr>
              <w:jc w:val="right"/>
              <w:rPr>
                <w:rFonts w:ascii="Calibri" w:hAnsi="Calibri"/>
              </w:rPr>
            </w:pPr>
            <w:r w:rsidRPr="008B3D17">
              <w:rPr>
                <w:rFonts w:ascii="Calibri" w:hAnsi="Calibri"/>
              </w:rPr>
              <w:t>33</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Questionnaire</w:t>
            </w:r>
          </w:p>
        </w:tc>
        <w:tc>
          <w:tcPr>
            <w:tcW w:w="436" w:type="pct"/>
            <w:noWrap/>
            <w:vAlign w:val="center"/>
          </w:tcPr>
          <w:p w:rsidR="00885C77" w:rsidRPr="00C97B0A" w:rsidRDefault="008B3D17">
            <w:pPr>
              <w:jc w:val="right"/>
              <w:rPr>
                <w:rFonts w:ascii="Calibri" w:hAnsi="Calibri"/>
              </w:rPr>
            </w:pPr>
            <w:r w:rsidRPr="008B3D17">
              <w:rPr>
                <w:rFonts w:ascii="Calibri" w:hAnsi="Calibri"/>
              </w:rPr>
              <w:t>235</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200</w:t>
            </w:r>
          </w:p>
        </w:tc>
        <w:tc>
          <w:tcPr>
            <w:tcW w:w="560" w:type="pct"/>
            <w:noWrap/>
            <w:vAlign w:val="center"/>
          </w:tcPr>
          <w:p w:rsidR="00885C77" w:rsidRPr="00C97B0A" w:rsidRDefault="008B3D17">
            <w:pPr>
              <w:jc w:val="right"/>
              <w:rPr>
                <w:rFonts w:ascii="Calibri" w:hAnsi="Calibri"/>
              </w:rPr>
            </w:pPr>
            <w:r w:rsidRPr="008B3D17">
              <w:rPr>
                <w:rFonts w:ascii="Calibri" w:hAnsi="Calibri"/>
              </w:rPr>
              <w:t>200</w:t>
            </w:r>
          </w:p>
        </w:tc>
        <w:tc>
          <w:tcPr>
            <w:tcW w:w="863" w:type="pct"/>
            <w:noWrap/>
            <w:vAlign w:val="center"/>
          </w:tcPr>
          <w:p w:rsidR="00885C77" w:rsidRPr="00C97B0A" w:rsidRDefault="002238C8" w:rsidP="002238C8">
            <w:pPr>
              <w:jc w:val="right"/>
              <w:rPr>
                <w:rFonts w:ascii="Calibri" w:hAnsi="Calibri"/>
              </w:rPr>
            </w:pPr>
            <w:r w:rsidRPr="008B3D17">
              <w:rPr>
                <w:rFonts w:ascii="Calibri" w:hAnsi="Calibri"/>
              </w:rPr>
              <w:t>3</w:t>
            </w:r>
            <w:r>
              <w:rPr>
                <w:rFonts w:ascii="Calibri" w:hAnsi="Calibri"/>
              </w:rPr>
              <w:t>5</w:t>
            </w:r>
          </w:p>
        </w:tc>
        <w:tc>
          <w:tcPr>
            <w:tcW w:w="637" w:type="pct"/>
            <w:noWrap/>
            <w:vAlign w:val="center"/>
          </w:tcPr>
          <w:p w:rsidR="00885C77" w:rsidRPr="00C97B0A" w:rsidRDefault="002238C8" w:rsidP="002238C8">
            <w:pPr>
              <w:jc w:val="right"/>
              <w:rPr>
                <w:rFonts w:ascii="Calibri" w:hAnsi="Calibri"/>
              </w:rPr>
            </w:pPr>
            <w:r w:rsidRPr="008B3D17">
              <w:rPr>
                <w:rFonts w:ascii="Calibri" w:hAnsi="Calibri"/>
              </w:rPr>
              <w:t>1</w:t>
            </w:r>
            <w:r>
              <w:rPr>
                <w:rFonts w:ascii="Calibri" w:hAnsi="Calibri"/>
              </w:rPr>
              <w:t>17</w:t>
            </w:r>
          </w:p>
        </w:tc>
      </w:tr>
      <w:tr w:rsidR="009B0852" w:rsidRPr="008503C6" w:rsidTr="009B0852">
        <w:trPr>
          <w:trHeight w:val="300"/>
        </w:trPr>
        <w:tc>
          <w:tcPr>
            <w:tcW w:w="1345" w:type="pct"/>
            <w:noWrap/>
            <w:vAlign w:val="center"/>
          </w:tcPr>
          <w:p w:rsidR="00885C77" w:rsidRPr="008503C6" w:rsidRDefault="00300499">
            <w:pPr>
              <w:jc w:val="left"/>
              <w:rPr>
                <w:rFonts w:ascii="Calibri" w:hAnsi="Calibri"/>
                <w:color w:val="A6A6A6" w:themeColor="background1" w:themeShade="A6"/>
              </w:rPr>
            </w:pPr>
            <w:r w:rsidRPr="008503C6">
              <w:rPr>
                <w:rFonts w:ascii="Calibri" w:hAnsi="Calibri"/>
                <w:color w:val="A6A6A6" w:themeColor="background1" w:themeShade="A6"/>
              </w:rPr>
              <w:t xml:space="preserve"> </w:t>
            </w:r>
            <w:r w:rsidR="008B3D17" w:rsidRPr="008503C6">
              <w:rPr>
                <w:rFonts w:ascii="Calibri" w:hAnsi="Calibri"/>
                <w:color w:val="A6A6A6" w:themeColor="background1" w:themeShade="A6"/>
              </w:rPr>
              <w:t>Assessment</w:t>
            </w:r>
          </w:p>
        </w:tc>
        <w:tc>
          <w:tcPr>
            <w:tcW w:w="436"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235</w:t>
            </w:r>
          </w:p>
        </w:tc>
        <w:tc>
          <w:tcPr>
            <w:tcW w:w="51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0.85</w:t>
            </w:r>
          </w:p>
        </w:tc>
        <w:tc>
          <w:tcPr>
            <w:tcW w:w="642"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200</w:t>
            </w:r>
          </w:p>
        </w:tc>
        <w:tc>
          <w:tcPr>
            <w:tcW w:w="560"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200</w:t>
            </w:r>
          </w:p>
        </w:tc>
        <w:tc>
          <w:tcPr>
            <w:tcW w:w="863"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90</w:t>
            </w:r>
          </w:p>
        </w:tc>
        <w:tc>
          <w:tcPr>
            <w:tcW w:w="63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300</w:t>
            </w:r>
          </w:p>
        </w:tc>
      </w:tr>
      <w:tr w:rsidR="009B0852" w:rsidTr="009B0852">
        <w:trPr>
          <w:trHeight w:val="300"/>
        </w:trPr>
        <w:tc>
          <w:tcPr>
            <w:tcW w:w="1345" w:type="pct"/>
            <w:noWrap/>
            <w:vAlign w:val="center"/>
          </w:tcPr>
          <w:p w:rsidR="00885C77" w:rsidRPr="008503C6" w:rsidRDefault="008B3D17">
            <w:pPr>
              <w:jc w:val="left"/>
              <w:rPr>
                <w:rFonts w:ascii="Calibri" w:hAnsi="Calibri"/>
                <w:b/>
              </w:rPr>
            </w:pPr>
            <w:r w:rsidRPr="008503C6">
              <w:rPr>
                <w:rFonts w:ascii="Calibri" w:hAnsi="Calibri"/>
                <w:b/>
              </w:rPr>
              <w:t>Data collection</w:t>
            </w:r>
          </w:p>
        </w:tc>
        <w:tc>
          <w:tcPr>
            <w:tcW w:w="436" w:type="pct"/>
            <w:noWrap/>
            <w:vAlign w:val="center"/>
          </w:tcPr>
          <w:p w:rsidR="00885C77" w:rsidRPr="00C97B0A" w:rsidRDefault="00885C77">
            <w:pPr>
              <w:jc w:val="left"/>
              <w:rPr>
                <w:rFonts w:ascii="Calibri" w:hAnsi="Calibri"/>
              </w:rPr>
            </w:pPr>
          </w:p>
        </w:tc>
        <w:tc>
          <w:tcPr>
            <w:tcW w:w="517" w:type="pct"/>
            <w:noWrap/>
            <w:vAlign w:val="center"/>
          </w:tcPr>
          <w:p w:rsidR="00885C77" w:rsidRPr="00C97B0A" w:rsidRDefault="00885C77">
            <w:pPr>
              <w:jc w:val="left"/>
              <w:rPr>
                <w:rFonts w:ascii="Calibri" w:hAnsi="Calibri"/>
              </w:rPr>
            </w:pPr>
          </w:p>
        </w:tc>
        <w:tc>
          <w:tcPr>
            <w:tcW w:w="642" w:type="pct"/>
            <w:noWrap/>
            <w:vAlign w:val="center"/>
          </w:tcPr>
          <w:p w:rsidR="00885C77" w:rsidRPr="00C97B0A" w:rsidRDefault="00885C77">
            <w:pPr>
              <w:jc w:val="left"/>
              <w:rPr>
                <w:rFonts w:ascii="Calibri" w:hAnsi="Calibri"/>
              </w:rPr>
            </w:pPr>
          </w:p>
        </w:tc>
        <w:tc>
          <w:tcPr>
            <w:tcW w:w="560" w:type="pct"/>
            <w:noWrap/>
            <w:vAlign w:val="center"/>
          </w:tcPr>
          <w:p w:rsidR="00885C77" w:rsidRPr="00C97B0A" w:rsidRDefault="00885C77">
            <w:pPr>
              <w:jc w:val="left"/>
              <w:rPr>
                <w:rFonts w:ascii="Calibri" w:hAnsi="Calibri"/>
              </w:rPr>
            </w:pPr>
          </w:p>
        </w:tc>
        <w:tc>
          <w:tcPr>
            <w:tcW w:w="863" w:type="pct"/>
            <w:noWrap/>
            <w:vAlign w:val="center"/>
          </w:tcPr>
          <w:p w:rsidR="00885C77" w:rsidRPr="00C97B0A" w:rsidRDefault="00885C77">
            <w:pPr>
              <w:jc w:val="left"/>
              <w:rPr>
                <w:rFonts w:ascii="Calibri" w:hAnsi="Calibri"/>
              </w:rPr>
            </w:pPr>
          </w:p>
        </w:tc>
        <w:tc>
          <w:tcPr>
            <w:tcW w:w="637" w:type="pct"/>
            <w:noWrap/>
            <w:vAlign w:val="center"/>
          </w:tcPr>
          <w:p w:rsidR="00885C77" w:rsidRPr="00C97B0A" w:rsidRDefault="008B3D17">
            <w:pPr>
              <w:jc w:val="left"/>
              <w:rPr>
                <w:rFonts w:ascii="Calibri" w:hAnsi="Calibri"/>
              </w:rPr>
            </w:pPr>
            <w:r w:rsidRPr="008B3D17">
              <w:rPr>
                <w:rFonts w:ascii="Calibri" w:hAnsi="Calibri"/>
              </w:rPr>
              <w:t> </w:t>
            </w:r>
          </w:p>
        </w:tc>
      </w:tr>
      <w:tr w:rsidR="009B0852" w:rsidTr="009B0852">
        <w:trPr>
          <w:trHeight w:val="300"/>
        </w:trPr>
        <w:tc>
          <w:tcPr>
            <w:tcW w:w="1345" w:type="pct"/>
            <w:noWrap/>
            <w:vAlign w:val="center"/>
          </w:tcPr>
          <w:p w:rsidR="00885C77" w:rsidRPr="00C97B0A" w:rsidRDefault="00300499" w:rsidP="00EC227C">
            <w:pPr>
              <w:jc w:val="left"/>
              <w:rPr>
                <w:rFonts w:ascii="Calibri" w:hAnsi="Calibri"/>
              </w:rPr>
            </w:pPr>
            <w:r>
              <w:rPr>
                <w:rFonts w:ascii="Calibri" w:hAnsi="Calibri"/>
              </w:rPr>
              <w:t xml:space="preserve"> </w:t>
            </w:r>
            <w:r w:rsidR="008B3D17" w:rsidRPr="008B3D17">
              <w:rPr>
                <w:rFonts w:ascii="Calibri" w:hAnsi="Calibri"/>
              </w:rPr>
              <w:t>Communications</w:t>
            </w:r>
          </w:p>
        </w:tc>
        <w:tc>
          <w:tcPr>
            <w:tcW w:w="436" w:type="pct"/>
            <w:noWrap/>
            <w:vAlign w:val="center"/>
          </w:tcPr>
          <w:p w:rsidR="00885C77" w:rsidRPr="00C97B0A" w:rsidRDefault="008B3D17">
            <w:pPr>
              <w:jc w:val="right"/>
              <w:rPr>
                <w:rFonts w:ascii="Calibri" w:hAnsi="Calibri"/>
              </w:rPr>
            </w:pPr>
            <w:r w:rsidRPr="008B3D17">
              <w:rPr>
                <w:rFonts w:ascii="Calibri" w:hAnsi="Calibri"/>
              </w:rPr>
              <w:t>3,447</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w:t>
            </w:r>
            <w:r w:rsidR="00A601E6">
              <w:rPr>
                <w:rFonts w:ascii="Calibri" w:hAnsi="Calibri"/>
              </w:rPr>
              <w:t>,</w:t>
            </w:r>
            <w:r w:rsidRPr="008B3D17">
              <w:rPr>
                <w:rFonts w:ascii="Calibri" w:hAnsi="Calibri"/>
              </w:rPr>
              <w:t>930</w:t>
            </w:r>
          </w:p>
        </w:tc>
        <w:tc>
          <w:tcPr>
            <w:tcW w:w="560" w:type="pct"/>
            <w:noWrap/>
            <w:vAlign w:val="center"/>
          </w:tcPr>
          <w:p w:rsidR="00885C77" w:rsidRPr="00C97B0A" w:rsidRDefault="008B3D17">
            <w:pPr>
              <w:jc w:val="right"/>
              <w:rPr>
                <w:rFonts w:ascii="Calibri" w:hAnsi="Calibri"/>
              </w:rPr>
            </w:pPr>
            <w:r w:rsidRPr="008B3D17">
              <w:rPr>
                <w:rFonts w:ascii="Calibri" w:hAnsi="Calibri"/>
              </w:rPr>
              <w:t>2,930</w:t>
            </w:r>
          </w:p>
        </w:tc>
        <w:tc>
          <w:tcPr>
            <w:tcW w:w="863" w:type="pct"/>
            <w:noWrap/>
            <w:vAlign w:val="center"/>
          </w:tcPr>
          <w:p w:rsidR="00885C77" w:rsidRPr="00C97B0A" w:rsidRDefault="008B3D17">
            <w:pPr>
              <w:jc w:val="right"/>
              <w:rPr>
                <w:rFonts w:ascii="Calibri" w:hAnsi="Calibri"/>
              </w:rPr>
            </w:pPr>
            <w:r w:rsidRPr="008B3D17">
              <w:rPr>
                <w:rFonts w:ascii="Calibri" w:hAnsi="Calibri"/>
              </w:rPr>
              <w:t>10</w:t>
            </w:r>
          </w:p>
        </w:tc>
        <w:tc>
          <w:tcPr>
            <w:tcW w:w="637" w:type="pct"/>
            <w:noWrap/>
            <w:vAlign w:val="center"/>
          </w:tcPr>
          <w:p w:rsidR="00885C77" w:rsidRPr="00C97B0A" w:rsidRDefault="008B3D17">
            <w:pPr>
              <w:jc w:val="right"/>
              <w:rPr>
                <w:rFonts w:ascii="Calibri" w:hAnsi="Calibri"/>
              </w:rPr>
            </w:pPr>
            <w:r w:rsidRPr="008B3D17">
              <w:rPr>
                <w:rFonts w:ascii="Calibri" w:hAnsi="Calibri"/>
              </w:rPr>
              <w:t>488</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Questionnaire</w:t>
            </w:r>
          </w:p>
        </w:tc>
        <w:tc>
          <w:tcPr>
            <w:tcW w:w="436" w:type="pct"/>
            <w:noWrap/>
            <w:vAlign w:val="center"/>
          </w:tcPr>
          <w:p w:rsidR="00885C77" w:rsidRPr="00C97B0A" w:rsidRDefault="008B3D17">
            <w:pPr>
              <w:jc w:val="right"/>
              <w:rPr>
                <w:rFonts w:ascii="Calibri" w:hAnsi="Calibri"/>
              </w:rPr>
            </w:pPr>
            <w:r w:rsidRPr="008B3D17">
              <w:rPr>
                <w:rFonts w:ascii="Calibri" w:hAnsi="Calibri"/>
              </w:rPr>
              <w:t>3,447</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w:t>
            </w:r>
            <w:r w:rsidR="00A601E6">
              <w:rPr>
                <w:rFonts w:ascii="Calibri" w:hAnsi="Calibri"/>
              </w:rPr>
              <w:t>,</w:t>
            </w:r>
            <w:r w:rsidRPr="008B3D17">
              <w:rPr>
                <w:rFonts w:ascii="Calibri" w:hAnsi="Calibri"/>
              </w:rPr>
              <w:t>930</w:t>
            </w:r>
          </w:p>
        </w:tc>
        <w:tc>
          <w:tcPr>
            <w:tcW w:w="560" w:type="pct"/>
            <w:noWrap/>
            <w:vAlign w:val="center"/>
          </w:tcPr>
          <w:p w:rsidR="00885C77" w:rsidRPr="00C97B0A" w:rsidRDefault="008B3D17">
            <w:pPr>
              <w:jc w:val="right"/>
              <w:rPr>
                <w:rFonts w:ascii="Calibri" w:hAnsi="Calibri"/>
              </w:rPr>
            </w:pPr>
            <w:r w:rsidRPr="008B3D17">
              <w:rPr>
                <w:rFonts w:ascii="Calibri" w:hAnsi="Calibri"/>
              </w:rPr>
              <w:t>2,930</w:t>
            </w:r>
          </w:p>
        </w:tc>
        <w:tc>
          <w:tcPr>
            <w:tcW w:w="863" w:type="pct"/>
            <w:noWrap/>
            <w:vAlign w:val="center"/>
          </w:tcPr>
          <w:p w:rsidR="00885C77" w:rsidRPr="00C97B0A" w:rsidRDefault="002238C8" w:rsidP="002238C8">
            <w:pPr>
              <w:jc w:val="right"/>
              <w:rPr>
                <w:rFonts w:ascii="Calibri" w:hAnsi="Calibri"/>
              </w:rPr>
            </w:pPr>
            <w:r w:rsidRPr="008B3D17">
              <w:rPr>
                <w:rFonts w:ascii="Calibri" w:hAnsi="Calibri"/>
              </w:rPr>
              <w:t>3</w:t>
            </w:r>
            <w:r>
              <w:rPr>
                <w:rFonts w:ascii="Calibri" w:hAnsi="Calibri"/>
              </w:rPr>
              <w:t>5</w:t>
            </w:r>
          </w:p>
        </w:tc>
        <w:tc>
          <w:tcPr>
            <w:tcW w:w="637" w:type="pct"/>
            <w:noWrap/>
            <w:vAlign w:val="center"/>
          </w:tcPr>
          <w:p w:rsidR="00885C77" w:rsidRPr="00C97B0A" w:rsidRDefault="002238C8">
            <w:pPr>
              <w:jc w:val="right"/>
              <w:rPr>
                <w:rFonts w:ascii="Calibri" w:hAnsi="Calibri"/>
              </w:rPr>
            </w:pPr>
            <w:r>
              <w:rPr>
                <w:rFonts w:ascii="Calibri" w:hAnsi="Calibri"/>
              </w:rPr>
              <w:t>1,709</w:t>
            </w:r>
          </w:p>
        </w:tc>
      </w:tr>
      <w:tr w:rsidR="009B0852" w:rsidRPr="008503C6" w:rsidTr="009B0852">
        <w:trPr>
          <w:trHeight w:val="300"/>
        </w:trPr>
        <w:tc>
          <w:tcPr>
            <w:tcW w:w="1345" w:type="pct"/>
            <w:noWrap/>
            <w:vAlign w:val="center"/>
          </w:tcPr>
          <w:p w:rsidR="00885C77" w:rsidRPr="008503C6" w:rsidRDefault="00300499">
            <w:pPr>
              <w:jc w:val="left"/>
              <w:rPr>
                <w:rFonts w:ascii="Calibri" w:hAnsi="Calibri"/>
                <w:color w:val="A6A6A6" w:themeColor="background1" w:themeShade="A6"/>
              </w:rPr>
            </w:pPr>
            <w:r w:rsidRPr="008503C6">
              <w:rPr>
                <w:rFonts w:ascii="Calibri" w:hAnsi="Calibri"/>
                <w:color w:val="A6A6A6" w:themeColor="background1" w:themeShade="A6"/>
              </w:rPr>
              <w:t xml:space="preserve"> </w:t>
            </w:r>
            <w:r w:rsidR="008B3D17" w:rsidRPr="008503C6">
              <w:rPr>
                <w:rFonts w:ascii="Calibri" w:hAnsi="Calibri"/>
                <w:color w:val="A6A6A6" w:themeColor="background1" w:themeShade="A6"/>
              </w:rPr>
              <w:t>Assessment</w:t>
            </w:r>
          </w:p>
        </w:tc>
        <w:tc>
          <w:tcPr>
            <w:tcW w:w="436"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3,447</w:t>
            </w:r>
          </w:p>
        </w:tc>
        <w:tc>
          <w:tcPr>
            <w:tcW w:w="51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0.85</w:t>
            </w:r>
          </w:p>
        </w:tc>
        <w:tc>
          <w:tcPr>
            <w:tcW w:w="642"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2930</w:t>
            </w:r>
          </w:p>
        </w:tc>
        <w:tc>
          <w:tcPr>
            <w:tcW w:w="560"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2,930</w:t>
            </w:r>
          </w:p>
        </w:tc>
        <w:tc>
          <w:tcPr>
            <w:tcW w:w="863"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90</w:t>
            </w:r>
          </w:p>
        </w:tc>
        <w:tc>
          <w:tcPr>
            <w:tcW w:w="63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4,395</w:t>
            </w:r>
          </w:p>
        </w:tc>
      </w:tr>
      <w:tr w:rsidR="009B0852" w:rsidTr="009B0852">
        <w:trPr>
          <w:trHeight w:val="300"/>
        </w:trPr>
        <w:tc>
          <w:tcPr>
            <w:tcW w:w="1781" w:type="pct"/>
            <w:gridSpan w:val="2"/>
            <w:noWrap/>
            <w:vAlign w:val="center"/>
          </w:tcPr>
          <w:p w:rsidR="00885C77" w:rsidRPr="00C97B0A" w:rsidRDefault="008B3D17">
            <w:pPr>
              <w:jc w:val="left"/>
              <w:rPr>
                <w:rFonts w:ascii="Calibri" w:hAnsi="Calibri"/>
                <w:b/>
                <w:bCs/>
                <w:i/>
                <w:iCs/>
              </w:rPr>
            </w:pPr>
            <w:r w:rsidRPr="008B3D17">
              <w:rPr>
                <w:rFonts w:ascii="Calibri" w:hAnsi="Calibri"/>
                <w:b/>
                <w:bCs/>
                <w:i/>
                <w:iCs/>
              </w:rPr>
              <w:t>Total burden - data collections (communications and questionnaire)</w:t>
            </w:r>
          </w:p>
        </w:tc>
        <w:tc>
          <w:tcPr>
            <w:tcW w:w="517" w:type="pct"/>
            <w:noWrap/>
            <w:vAlign w:val="center"/>
          </w:tcPr>
          <w:p w:rsidR="00885C77" w:rsidRPr="00C97B0A" w:rsidRDefault="008B3D17">
            <w:pPr>
              <w:jc w:val="left"/>
              <w:rPr>
                <w:rFonts w:ascii="Calibri" w:hAnsi="Calibri"/>
              </w:rPr>
            </w:pPr>
            <w:r w:rsidRPr="008B3D17">
              <w:rPr>
                <w:rFonts w:ascii="Calibri" w:hAnsi="Calibri"/>
              </w:rPr>
              <w:t> </w:t>
            </w:r>
          </w:p>
        </w:tc>
        <w:tc>
          <w:tcPr>
            <w:tcW w:w="642" w:type="pct"/>
            <w:noWrap/>
            <w:vAlign w:val="center"/>
          </w:tcPr>
          <w:p w:rsidR="00885C77" w:rsidRPr="00C97B0A" w:rsidRDefault="008B3D17" w:rsidP="009B0852">
            <w:pPr>
              <w:jc w:val="right"/>
              <w:rPr>
                <w:rFonts w:ascii="Calibri" w:hAnsi="Calibri"/>
                <w:b/>
                <w:bCs/>
                <w:i/>
                <w:iCs/>
              </w:rPr>
            </w:pPr>
            <w:r w:rsidRPr="008B3D17">
              <w:rPr>
                <w:rFonts w:ascii="Calibri" w:hAnsi="Calibri"/>
                <w:b/>
                <w:bCs/>
                <w:i/>
                <w:iCs/>
              </w:rPr>
              <w:t>3,130</w:t>
            </w:r>
          </w:p>
        </w:tc>
        <w:tc>
          <w:tcPr>
            <w:tcW w:w="560" w:type="pct"/>
            <w:noWrap/>
            <w:vAlign w:val="center"/>
          </w:tcPr>
          <w:p w:rsidR="00885C77" w:rsidRPr="00C97B0A" w:rsidRDefault="008B3D17" w:rsidP="00100982">
            <w:pPr>
              <w:jc w:val="right"/>
              <w:rPr>
                <w:rFonts w:ascii="Calibri" w:hAnsi="Calibri"/>
                <w:b/>
                <w:bCs/>
                <w:i/>
                <w:iCs/>
              </w:rPr>
            </w:pPr>
            <w:r w:rsidRPr="008B3D17">
              <w:rPr>
                <w:rFonts w:ascii="Calibri" w:hAnsi="Calibri"/>
                <w:b/>
                <w:bCs/>
                <w:i/>
                <w:iCs/>
              </w:rPr>
              <w:t>6,260</w:t>
            </w:r>
          </w:p>
        </w:tc>
        <w:tc>
          <w:tcPr>
            <w:tcW w:w="863" w:type="pct"/>
            <w:noWrap/>
            <w:vAlign w:val="center"/>
          </w:tcPr>
          <w:p w:rsidR="00885C77" w:rsidRPr="00C97B0A" w:rsidRDefault="008B3D17">
            <w:pPr>
              <w:jc w:val="left"/>
              <w:rPr>
                <w:rFonts w:ascii="Calibri" w:hAnsi="Calibri"/>
                <w:b/>
                <w:bCs/>
                <w:i/>
                <w:iCs/>
              </w:rPr>
            </w:pPr>
            <w:r w:rsidRPr="008B3D17">
              <w:rPr>
                <w:rFonts w:ascii="Calibri" w:hAnsi="Calibri"/>
                <w:b/>
                <w:bCs/>
                <w:i/>
                <w:iCs/>
              </w:rPr>
              <w:t> </w:t>
            </w:r>
          </w:p>
        </w:tc>
        <w:tc>
          <w:tcPr>
            <w:tcW w:w="637" w:type="pct"/>
            <w:noWrap/>
            <w:vAlign w:val="center"/>
          </w:tcPr>
          <w:p w:rsidR="00885C77" w:rsidRPr="00C97B0A" w:rsidRDefault="002238C8" w:rsidP="002238C8">
            <w:pPr>
              <w:jc w:val="right"/>
              <w:rPr>
                <w:rFonts w:ascii="Calibri" w:hAnsi="Calibri"/>
                <w:b/>
                <w:bCs/>
                <w:i/>
                <w:iCs/>
              </w:rPr>
            </w:pPr>
            <w:r>
              <w:rPr>
                <w:rFonts w:ascii="Calibri" w:hAnsi="Calibri"/>
                <w:b/>
                <w:bCs/>
                <w:i/>
                <w:iCs/>
              </w:rPr>
              <w:t>2,347</w:t>
            </w:r>
          </w:p>
        </w:tc>
      </w:tr>
    </w:tbl>
    <w:p w:rsidR="00300499" w:rsidRDefault="005715D3" w:rsidP="00F86796">
      <w:pPr>
        <w:pStyle w:val="BodyText1"/>
        <w:spacing w:before="0" w:line="240" w:lineRule="auto"/>
        <w:rPr>
          <w:sz w:val="18"/>
        </w:rPr>
      </w:pPr>
      <w:r>
        <w:rPr>
          <w:sz w:val="18"/>
        </w:rPr>
        <w:t xml:space="preserve">*Total burden in the current request is for </w:t>
      </w:r>
      <w:r w:rsidR="00D14F23" w:rsidRPr="00D14F23">
        <w:rPr>
          <w:sz w:val="18"/>
        </w:rPr>
        <w:t xml:space="preserve">the field trial and main study </w:t>
      </w:r>
      <w:r w:rsidR="00F86796">
        <w:rPr>
          <w:sz w:val="18"/>
        </w:rPr>
        <w:t xml:space="preserve">communications and </w:t>
      </w:r>
      <w:r w:rsidR="00D14F23" w:rsidRPr="00D14F23">
        <w:rPr>
          <w:sz w:val="18"/>
        </w:rPr>
        <w:t>data collection</w:t>
      </w:r>
      <w:r w:rsidR="00BF1CB3">
        <w:rPr>
          <w:sz w:val="18"/>
        </w:rPr>
        <w:t xml:space="preserve"> of the questionnaire</w:t>
      </w:r>
      <w:r w:rsidR="00D14F23" w:rsidRPr="00D14F23">
        <w:rPr>
          <w:sz w:val="18"/>
        </w:rPr>
        <w:t>.</w:t>
      </w:r>
      <w:r w:rsidR="00300499">
        <w:rPr>
          <w:sz w:val="18"/>
        </w:rPr>
        <w:t xml:space="preserve"> </w:t>
      </w:r>
      <w:r w:rsidR="009E7E82">
        <w:rPr>
          <w:sz w:val="18"/>
        </w:rPr>
        <w:t xml:space="preserve">Gray shaded </w:t>
      </w:r>
      <w:r w:rsidR="008503C6">
        <w:rPr>
          <w:sz w:val="18"/>
        </w:rPr>
        <w:t>rows</w:t>
      </w:r>
      <w:r w:rsidR="009E7E82">
        <w:rPr>
          <w:sz w:val="18"/>
        </w:rPr>
        <w:t xml:space="preserve"> indicate</w:t>
      </w:r>
      <w:r w:rsidR="00684C59">
        <w:rPr>
          <w:sz w:val="18"/>
        </w:rPr>
        <w:t xml:space="preserve"> the portion of burden</w:t>
      </w:r>
      <w:r w:rsidR="009E7E82">
        <w:rPr>
          <w:sz w:val="18"/>
        </w:rPr>
        <w:t xml:space="preserve"> that </w:t>
      </w:r>
      <w:r w:rsidR="00684C59">
        <w:rPr>
          <w:sz w:val="18"/>
        </w:rPr>
        <w:t>was previously approved and</w:t>
      </w:r>
      <w:r w:rsidR="009E7E82">
        <w:rPr>
          <w:sz w:val="18"/>
        </w:rPr>
        <w:t xml:space="preserve"> complete</w:t>
      </w:r>
      <w:r w:rsidR="00684C59">
        <w:rPr>
          <w:sz w:val="18"/>
        </w:rPr>
        <w:t>d</w:t>
      </w:r>
      <w:r w:rsidR="008503C6">
        <w:rPr>
          <w:sz w:val="18"/>
        </w:rPr>
        <w:t xml:space="preserve">, and </w:t>
      </w:r>
      <w:r w:rsidR="002351B2">
        <w:rPr>
          <w:sz w:val="18"/>
        </w:rPr>
        <w:t>entries</w:t>
      </w:r>
      <w:r w:rsidR="008503C6">
        <w:rPr>
          <w:sz w:val="18"/>
        </w:rPr>
        <w:t xml:space="preserve"> in gray font represent burden associated with assessments, which </w:t>
      </w:r>
      <w:r w:rsidR="002351B2">
        <w:rPr>
          <w:sz w:val="18"/>
        </w:rPr>
        <w:t>is</w:t>
      </w:r>
      <w:r w:rsidR="008503C6">
        <w:rPr>
          <w:sz w:val="18"/>
        </w:rPr>
        <w:t xml:space="preserve"> not subject to PRA approval</w:t>
      </w:r>
      <w:r w:rsidR="002351B2">
        <w:rPr>
          <w:sz w:val="18"/>
        </w:rPr>
        <w:t xml:space="preserve"> and therefore not included in the burden totals.</w:t>
      </w:r>
    </w:p>
    <w:p w:rsidR="00885C77" w:rsidRDefault="005715D3" w:rsidP="00495F46">
      <w:pPr>
        <w:pStyle w:val="Heading1"/>
        <w:keepNext w:val="0"/>
        <w:spacing w:before="240" w:line="300" w:lineRule="atLeast"/>
        <w:ind w:left="0" w:firstLine="0"/>
        <w:jc w:val="left"/>
      </w:pPr>
      <w:bookmarkStart w:id="16" w:name="_Toc360194158"/>
      <w:r>
        <w:lastRenderedPageBreak/>
        <w:t>A.13</w:t>
      </w:r>
      <w:r>
        <w:tab/>
        <w:t>Estimates of Cost to Respondents</w:t>
      </w:r>
      <w:bookmarkEnd w:id="16"/>
    </w:p>
    <w:p w:rsidR="00885C77" w:rsidRDefault="005715D3">
      <w:pPr>
        <w:pStyle w:val="BodyText1"/>
      </w:pPr>
      <w:r>
        <w:t xml:space="preserve">Other than the burden </w:t>
      </w:r>
      <w:r w:rsidR="00D60892">
        <w:t xml:space="preserve">time </w:t>
      </w:r>
      <w:r>
        <w:t>associated with completing the address updates and study instruments, the study imposes no additional cost to respondents.</w:t>
      </w:r>
    </w:p>
    <w:p w:rsidR="00885C77" w:rsidRDefault="005715D3" w:rsidP="00495F46">
      <w:pPr>
        <w:pStyle w:val="Heading1"/>
        <w:keepNext w:val="0"/>
        <w:spacing w:before="240" w:line="300" w:lineRule="atLeast"/>
        <w:ind w:left="0" w:firstLine="0"/>
        <w:jc w:val="left"/>
      </w:pPr>
      <w:bookmarkStart w:id="17" w:name="_Toc360194159"/>
      <w:r>
        <w:t>A.14</w:t>
      </w:r>
      <w:r>
        <w:tab/>
        <w:t>Cost to Federal Government</w:t>
      </w:r>
      <w:bookmarkEnd w:id="17"/>
    </w:p>
    <w:p w:rsidR="00885C77" w:rsidRDefault="005715D3">
      <w:pPr>
        <w:pStyle w:val="BodyText1"/>
        <w:rPr>
          <w:rFonts w:ascii="Calibri" w:hAnsi="Calibri"/>
        </w:rPr>
      </w:pPr>
      <w:r>
        <w:t>The cost to the Federal Government</w:t>
      </w:r>
      <w:r w:rsidR="0031144E" w:rsidRPr="0031144E">
        <w:t xml:space="preserve"> </w:t>
      </w:r>
      <w:r w:rsidR="0031144E">
        <w:t>for conducting the validation study</w:t>
      </w:r>
      <w:r>
        <w:t xml:space="preserve"> is estimated to be $1,945,602 over a </w:t>
      </w:r>
      <w:r w:rsidR="00EF1300">
        <w:t>four</w:t>
      </w:r>
      <w:r>
        <w:t>-year period</w:t>
      </w:r>
      <w:r w:rsidR="0031144E">
        <w:t>, based on the cost for the Validation Study task in the PISA 2015 contract</w:t>
      </w:r>
      <w:r w:rsidR="00F1128F">
        <w:t xml:space="preserve"> (ED-IES-13-C-0006)</w:t>
      </w:r>
      <w:r>
        <w:t xml:space="preserve">. This includes tracing and tracking sample respondents, </w:t>
      </w:r>
      <w:r w:rsidR="0097778C">
        <w:t xml:space="preserve">data collection, </w:t>
      </w:r>
      <w:r>
        <w:t>use of the OECD’s ES</w:t>
      </w:r>
      <w:r w:rsidR="0097778C">
        <w:t xml:space="preserve">O instruments, </w:t>
      </w:r>
      <w:r>
        <w:t>and analysis and reporting. These figures include all direct and indirect costs of the project.</w:t>
      </w:r>
    </w:p>
    <w:p w:rsidR="00885C77" w:rsidRDefault="005715D3" w:rsidP="00495F46">
      <w:pPr>
        <w:pStyle w:val="Heading1"/>
        <w:keepNext w:val="0"/>
        <w:spacing w:before="240" w:line="300" w:lineRule="atLeast"/>
        <w:ind w:left="0" w:firstLine="0"/>
        <w:jc w:val="left"/>
      </w:pPr>
      <w:bookmarkStart w:id="18" w:name="_Toc360194160"/>
      <w:r>
        <w:t>A.15</w:t>
      </w:r>
      <w:r>
        <w:tab/>
        <w:t>Program Changes or Adjustments</w:t>
      </w:r>
      <w:bookmarkEnd w:id="18"/>
    </w:p>
    <w:p w:rsidR="00885C77" w:rsidRDefault="00546213">
      <w:pPr>
        <w:pStyle w:val="BodyText1"/>
      </w:pPr>
      <w:r w:rsidRPr="00546213">
        <w:t>The increase in respondent burden for this collection is due to the addition of the SWBH module to the study questionnaire per OECD requirement</w:t>
      </w:r>
      <w:r w:rsidR="00C3637C">
        <w:t>.</w:t>
      </w:r>
    </w:p>
    <w:p w:rsidR="00885C77" w:rsidRDefault="005715D3" w:rsidP="00495F46">
      <w:pPr>
        <w:pStyle w:val="Heading1"/>
        <w:keepNext w:val="0"/>
        <w:spacing w:before="240" w:line="300" w:lineRule="atLeast"/>
        <w:ind w:left="0" w:firstLine="0"/>
        <w:jc w:val="left"/>
      </w:pPr>
      <w:bookmarkStart w:id="19" w:name="_Toc360194161"/>
      <w:r w:rsidRPr="000208AC">
        <w:t>A.16</w:t>
      </w:r>
      <w:r w:rsidRPr="000208AC">
        <w:tab/>
        <w:t>Publication Plans and Timetable</w:t>
      </w:r>
      <w:bookmarkEnd w:id="19"/>
    </w:p>
    <w:p w:rsidR="00885C77" w:rsidRDefault="005715D3">
      <w:pPr>
        <w:pStyle w:val="BodyText1"/>
      </w:pPr>
      <w:r>
        <w:t xml:space="preserve">NCES will release a general audience report and technical/operations report, along with restricted-use data files. Electronic versions of each report will be made available on the NCES website. The expected data collection dates and a tentative reporting schedule are </w:t>
      </w:r>
      <w:r w:rsidR="00967525">
        <w:t>provided below.</w:t>
      </w:r>
    </w:p>
    <w:p w:rsidR="00967525" w:rsidRDefault="007D79F1">
      <w:pPr>
        <w:spacing w:line="240" w:lineRule="auto"/>
        <w:jc w:val="left"/>
        <w:rPr>
          <w:rFonts w:ascii="Garamond" w:hAnsi="Garamond"/>
          <w:sz w:val="14"/>
          <w:szCs w:val="24"/>
        </w:rPr>
      </w:pPr>
      <w:r>
        <w:rPr>
          <w:sz w:val="14"/>
        </w:rPr>
        <w:t>.</w:t>
      </w:r>
    </w:p>
    <w:p w:rsidR="00885C77" w:rsidRDefault="00885C77" w:rsidP="004A08DF">
      <w:pPr>
        <w:pStyle w:val="BodyText1"/>
        <w:spacing w:before="0" w:after="0" w:line="240" w:lineRule="auto"/>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7721"/>
      </w:tblGrid>
      <w:tr w:rsidR="00885C77" w:rsidTr="004A08DF">
        <w:tc>
          <w:tcPr>
            <w:tcW w:w="1302" w:type="pct"/>
            <w:vAlign w:val="center"/>
          </w:tcPr>
          <w:p w:rsidR="00885C77" w:rsidRDefault="005715D3">
            <w:pPr>
              <w:jc w:val="left"/>
              <w:rPr>
                <w:rFonts w:ascii="Garamond" w:hAnsi="Garamond"/>
                <w:b/>
              </w:rPr>
            </w:pPr>
            <w:r>
              <w:rPr>
                <w:rFonts w:ascii="Garamond" w:hAnsi="Garamond"/>
                <w:b/>
              </w:rPr>
              <w:t>Date</w:t>
            </w:r>
          </w:p>
        </w:tc>
        <w:tc>
          <w:tcPr>
            <w:tcW w:w="3698" w:type="pct"/>
          </w:tcPr>
          <w:p w:rsidR="00885C77" w:rsidRDefault="005715D3">
            <w:pPr>
              <w:rPr>
                <w:rFonts w:ascii="Garamond" w:hAnsi="Garamond"/>
                <w:b/>
              </w:rPr>
            </w:pPr>
            <w:r>
              <w:rPr>
                <w:rFonts w:ascii="Garamond" w:hAnsi="Garamond"/>
                <w:b/>
              </w:rPr>
              <w:t>Activity</w:t>
            </w:r>
          </w:p>
        </w:tc>
      </w:tr>
      <w:tr w:rsidR="004A08DF" w:rsidRPr="004A08DF" w:rsidTr="004A08DF">
        <w:tc>
          <w:tcPr>
            <w:tcW w:w="1302" w:type="pct"/>
            <w:vAlign w:val="center"/>
          </w:tcPr>
          <w:p w:rsidR="00885C77" w:rsidRPr="004A08DF" w:rsidRDefault="005715D3">
            <w:pPr>
              <w:jc w:val="left"/>
              <w:rPr>
                <w:rFonts w:ascii="Garamond" w:hAnsi="Garamond"/>
                <w:color w:val="808080" w:themeColor="background1" w:themeShade="80"/>
              </w:rPr>
            </w:pPr>
            <w:r w:rsidRPr="004A08DF">
              <w:rPr>
                <w:rFonts w:ascii="Garamond" w:hAnsi="Garamond"/>
                <w:color w:val="808080" w:themeColor="background1" w:themeShade="80"/>
              </w:rPr>
              <w:t>Fall 2012</w:t>
            </w:r>
          </w:p>
        </w:tc>
        <w:tc>
          <w:tcPr>
            <w:tcW w:w="3698" w:type="pct"/>
          </w:tcPr>
          <w:p w:rsidR="00885C77" w:rsidRPr="004A08DF" w:rsidRDefault="005715D3">
            <w:pPr>
              <w:rPr>
                <w:rFonts w:ascii="Garamond" w:hAnsi="Garamond"/>
                <w:color w:val="808080" w:themeColor="background1" w:themeShade="80"/>
              </w:rPr>
            </w:pPr>
            <w:r w:rsidRPr="004A08DF">
              <w:rPr>
                <w:rFonts w:ascii="Garamond" w:hAnsi="Garamond"/>
                <w:color w:val="808080" w:themeColor="background1" w:themeShade="80"/>
              </w:rPr>
              <w:t>Collect contact information from PISA 2012 students (completed)</w:t>
            </w:r>
          </w:p>
        </w:tc>
      </w:tr>
      <w:tr w:rsidR="00885C77" w:rsidTr="004A08DF">
        <w:tc>
          <w:tcPr>
            <w:tcW w:w="1302" w:type="pct"/>
            <w:vAlign w:val="center"/>
          </w:tcPr>
          <w:p w:rsidR="00885C77" w:rsidRDefault="005715D3">
            <w:pPr>
              <w:jc w:val="left"/>
              <w:rPr>
                <w:rFonts w:ascii="Garamond" w:hAnsi="Garamond"/>
              </w:rPr>
            </w:pPr>
            <w:r>
              <w:rPr>
                <w:rFonts w:ascii="Garamond" w:hAnsi="Garamond"/>
              </w:rPr>
              <w:t>Fall 2013 – September 2015</w:t>
            </w:r>
          </w:p>
        </w:tc>
        <w:tc>
          <w:tcPr>
            <w:tcW w:w="3698" w:type="pct"/>
          </w:tcPr>
          <w:p w:rsidR="00885C77" w:rsidRDefault="005715D3">
            <w:pPr>
              <w:rPr>
                <w:rFonts w:ascii="Garamond" w:hAnsi="Garamond"/>
              </w:rPr>
            </w:pPr>
            <w:r>
              <w:rPr>
                <w:rFonts w:ascii="Garamond" w:hAnsi="Garamond"/>
              </w:rPr>
              <w:t>Establish initial contact and conduct semi-annual contact with respondents for address updates</w:t>
            </w:r>
            <w:r w:rsidR="00AB664A">
              <w:rPr>
                <w:rFonts w:ascii="Garamond" w:hAnsi="Garamond"/>
              </w:rPr>
              <w:t xml:space="preserve"> (ongoing)</w:t>
            </w:r>
          </w:p>
        </w:tc>
      </w:tr>
      <w:tr w:rsidR="00885C77" w:rsidTr="004A08DF">
        <w:tc>
          <w:tcPr>
            <w:tcW w:w="1302" w:type="pct"/>
            <w:vAlign w:val="center"/>
          </w:tcPr>
          <w:p w:rsidR="00885C77" w:rsidRDefault="00AB664A" w:rsidP="0040705C">
            <w:pPr>
              <w:jc w:val="left"/>
              <w:rPr>
                <w:rFonts w:ascii="Garamond" w:hAnsi="Garamond"/>
              </w:rPr>
            </w:pPr>
            <w:r>
              <w:rPr>
                <w:rFonts w:ascii="Garamond" w:hAnsi="Garamond"/>
              </w:rPr>
              <w:t xml:space="preserve">September </w:t>
            </w:r>
            <w:r w:rsidR="0000202F">
              <w:rPr>
                <w:rFonts w:ascii="Garamond" w:hAnsi="Garamond"/>
              </w:rPr>
              <w:t>2015</w:t>
            </w:r>
          </w:p>
        </w:tc>
        <w:tc>
          <w:tcPr>
            <w:tcW w:w="3698" w:type="pct"/>
          </w:tcPr>
          <w:p w:rsidR="00885C77" w:rsidRDefault="005715D3">
            <w:pPr>
              <w:rPr>
                <w:rFonts w:ascii="Garamond" w:hAnsi="Garamond"/>
              </w:rPr>
            </w:pPr>
            <w:r>
              <w:rPr>
                <w:rFonts w:ascii="Garamond" w:hAnsi="Garamond"/>
              </w:rPr>
              <w:t xml:space="preserve">Conduct </w:t>
            </w:r>
            <w:r w:rsidR="00AA64EA">
              <w:rPr>
                <w:rFonts w:ascii="Garamond" w:hAnsi="Garamond"/>
              </w:rPr>
              <w:t>field</w:t>
            </w:r>
            <w:r>
              <w:rPr>
                <w:rFonts w:ascii="Garamond" w:hAnsi="Garamond"/>
              </w:rPr>
              <w:t xml:space="preserve"> trial of procedures</w:t>
            </w:r>
          </w:p>
        </w:tc>
      </w:tr>
      <w:tr w:rsidR="00885C77" w:rsidTr="004A08DF">
        <w:tc>
          <w:tcPr>
            <w:tcW w:w="1302" w:type="pct"/>
            <w:vAlign w:val="center"/>
          </w:tcPr>
          <w:p w:rsidR="00885C77" w:rsidRDefault="0040705C">
            <w:pPr>
              <w:jc w:val="left"/>
              <w:rPr>
                <w:rFonts w:ascii="Garamond" w:hAnsi="Garamond"/>
              </w:rPr>
            </w:pPr>
            <w:r>
              <w:rPr>
                <w:rFonts w:ascii="Garamond" w:hAnsi="Garamond"/>
              </w:rPr>
              <w:t>Winter 2015</w:t>
            </w:r>
            <w:r w:rsidR="00D60A0E">
              <w:rPr>
                <w:rFonts w:ascii="Garamond" w:hAnsi="Garamond"/>
              </w:rPr>
              <w:t>/2016</w:t>
            </w:r>
          </w:p>
        </w:tc>
        <w:tc>
          <w:tcPr>
            <w:tcW w:w="3698" w:type="pct"/>
          </w:tcPr>
          <w:p w:rsidR="00885C77" w:rsidRDefault="005715D3">
            <w:pPr>
              <w:rPr>
                <w:rFonts w:ascii="Garamond" w:hAnsi="Garamond"/>
              </w:rPr>
            </w:pPr>
            <w:r>
              <w:rPr>
                <w:rFonts w:ascii="Garamond" w:hAnsi="Garamond"/>
              </w:rPr>
              <w:t xml:space="preserve">Web-based </w:t>
            </w:r>
            <w:r w:rsidR="004A08DF">
              <w:rPr>
                <w:rFonts w:ascii="Garamond" w:hAnsi="Garamond"/>
              </w:rPr>
              <w:t xml:space="preserve">main study </w:t>
            </w:r>
            <w:r>
              <w:rPr>
                <w:rFonts w:ascii="Garamond" w:hAnsi="Garamond"/>
              </w:rPr>
              <w:t xml:space="preserve">data collection </w:t>
            </w:r>
          </w:p>
        </w:tc>
      </w:tr>
      <w:tr w:rsidR="00885C77" w:rsidTr="004A08DF">
        <w:tc>
          <w:tcPr>
            <w:tcW w:w="1302" w:type="pct"/>
            <w:vAlign w:val="center"/>
          </w:tcPr>
          <w:p w:rsidR="00885C77" w:rsidRDefault="005715D3">
            <w:pPr>
              <w:jc w:val="left"/>
              <w:rPr>
                <w:rFonts w:ascii="Garamond" w:hAnsi="Garamond"/>
              </w:rPr>
            </w:pPr>
            <w:r>
              <w:rPr>
                <w:rFonts w:ascii="Garamond" w:hAnsi="Garamond"/>
              </w:rPr>
              <w:t>2016-2017</w:t>
            </w:r>
          </w:p>
        </w:tc>
        <w:tc>
          <w:tcPr>
            <w:tcW w:w="3698" w:type="pct"/>
          </w:tcPr>
          <w:p w:rsidR="00885C77" w:rsidRDefault="005715D3">
            <w:pPr>
              <w:rPr>
                <w:rFonts w:ascii="Garamond" w:hAnsi="Garamond"/>
              </w:rPr>
            </w:pPr>
            <w:r>
              <w:rPr>
                <w:rFonts w:ascii="Garamond" w:hAnsi="Garamond"/>
              </w:rPr>
              <w:t>Reporting: general audience report; survey operations report; restricted-use data-files</w:t>
            </w:r>
          </w:p>
        </w:tc>
      </w:tr>
    </w:tbl>
    <w:p w:rsidR="00885C77" w:rsidRDefault="005715D3" w:rsidP="00495F46">
      <w:pPr>
        <w:pStyle w:val="Heading1"/>
        <w:keepNext w:val="0"/>
        <w:spacing w:before="240" w:line="300" w:lineRule="atLeast"/>
        <w:ind w:left="0" w:firstLine="0"/>
        <w:jc w:val="left"/>
      </w:pPr>
      <w:bookmarkStart w:id="20" w:name="_Toc360194162"/>
      <w:r>
        <w:t>A.17</w:t>
      </w:r>
      <w:r>
        <w:tab/>
        <w:t>Display OMB Expiration Date</w:t>
      </w:r>
      <w:bookmarkEnd w:id="20"/>
    </w:p>
    <w:p w:rsidR="00300499" w:rsidRDefault="005715D3">
      <w:pPr>
        <w:pStyle w:val="BodyText1"/>
        <w:spacing w:after="0"/>
      </w:pPr>
      <w:r>
        <w:t>The OMB expiration date will be displayed on all data collection materials.</w:t>
      </w:r>
    </w:p>
    <w:p w:rsidR="00885C77" w:rsidRDefault="005715D3" w:rsidP="00495F46">
      <w:pPr>
        <w:pStyle w:val="Heading1"/>
        <w:keepNext w:val="0"/>
        <w:spacing w:before="240" w:line="300" w:lineRule="atLeast"/>
        <w:ind w:left="0" w:firstLine="0"/>
        <w:jc w:val="left"/>
      </w:pPr>
      <w:bookmarkStart w:id="21" w:name="_Toc360194163"/>
      <w:r>
        <w:t>A.18</w:t>
      </w:r>
      <w:r>
        <w:tab/>
        <w:t>Exceptions to Certification Statement</w:t>
      </w:r>
      <w:bookmarkEnd w:id="21"/>
    </w:p>
    <w:p w:rsidR="00885C77" w:rsidRDefault="005715D3">
      <w:pPr>
        <w:pStyle w:val="BodyText1"/>
        <w:spacing w:after="0"/>
      </w:pPr>
      <w:r>
        <w:t>No exceptions are requested to the "Certification for Paperwork Reduction Act Submissions" of OMB Form 83-I.</w:t>
      </w:r>
    </w:p>
    <w:p w:rsidR="00885C77" w:rsidRDefault="005715D3" w:rsidP="00495F46">
      <w:pPr>
        <w:pStyle w:val="Heading1"/>
        <w:spacing w:before="240"/>
      </w:pPr>
      <w:r>
        <w:t>References</w:t>
      </w:r>
    </w:p>
    <w:p w:rsidR="00BF1CB3" w:rsidRPr="00C10E48" w:rsidRDefault="00BF1CB3" w:rsidP="00E01420">
      <w:pPr>
        <w:pStyle w:val="BodyText1"/>
        <w:spacing w:before="0" w:line="240" w:lineRule="auto"/>
        <w:ind w:left="360" w:hanging="360"/>
      </w:pPr>
      <w:r w:rsidRPr="00C10E48">
        <w:t xml:space="preserve">Goodman, M., Finnegan, R., Mohadjer, L., Krenzke, T., and Hogan, J. (2013). </w:t>
      </w:r>
      <w:r w:rsidRPr="00C10E48">
        <w:rPr>
          <w:i/>
        </w:rPr>
        <w:t>Literacy, Numeracy, and Problem</w:t>
      </w:r>
      <w:r>
        <w:rPr>
          <w:i/>
        </w:rPr>
        <w:t xml:space="preserve"> </w:t>
      </w:r>
      <w:r w:rsidRPr="00C10E48">
        <w:rPr>
          <w:i/>
        </w:rPr>
        <w:t>Solving in Technology-Rich Environments Among U.S. Adults: Results from the Program for the International</w:t>
      </w:r>
      <w:r>
        <w:rPr>
          <w:i/>
        </w:rPr>
        <w:t xml:space="preserve"> </w:t>
      </w:r>
      <w:r w:rsidRPr="00C10E48">
        <w:rPr>
          <w:i/>
        </w:rPr>
        <w:t>Assessment of Adult Competencies 2012: First Look</w:t>
      </w:r>
      <w:r w:rsidRPr="00C10E48">
        <w:t xml:space="preserve"> (NCES 2014-008). U.S. Department of Education. Washington, DC: National Center for Education Statistics. Retrieved [date] from http://nces.ed.gov/pubsearch.</w:t>
      </w:r>
    </w:p>
    <w:p w:rsidR="00BF1CB3" w:rsidRDefault="00BF1CB3" w:rsidP="00E01420">
      <w:pPr>
        <w:spacing w:after="120" w:line="240" w:lineRule="auto"/>
        <w:ind w:left="360" w:hanging="360"/>
        <w:rPr>
          <w:rFonts w:ascii="Garamond" w:hAnsi="Garamond"/>
          <w:sz w:val="24"/>
        </w:rPr>
      </w:pPr>
      <w:r>
        <w:rPr>
          <w:rFonts w:ascii="Garamond" w:hAnsi="Garamond"/>
          <w:sz w:val="24"/>
        </w:rPr>
        <w:t xml:space="preserve">Organization for Economic Cooperation and Development and Statistics Canada. (1997). </w:t>
      </w:r>
      <w:r>
        <w:rPr>
          <w:rFonts w:ascii="Garamond" w:hAnsi="Garamond"/>
          <w:i/>
          <w:sz w:val="24"/>
        </w:rPr>
        <w:t>Literacy Skills for the Knowledge Society: Further Results from the International Adult Literacy Survey</w:t>
      </w:r>
      <w:r>
        <w:rPr>
          <w:rFonts w:ascii="Garamond" w:hAnsi="Garamond"/>
          <w:sz w:val="24"/>
        </w:rPr>
        <w:t>. Paris: OECD.</w:t>
      </w:r>
    </w:p>
    <w:p w:rsidR="00BF1CB3" w:rsidRDefault="00BF1CB3" w:rsidP="00E01420">
      <w:pPr>
        <w:spacing w:after="120" w:line="240" w:lineRule="auto"/>
        <w:ind w:left="360" w:hanging="360"/>
        <w:rPr>
          <w:rFonts w:ascii="Garamond" w:hAnsi="Garamond"/>
          <w:i/>
          <w:sz w:val="24"/>
        </w:rPr>
      </w:pPr>
      <w:r>
        <w:rPr>
          <w:rFonts w:ascii="Garamond" w:hAnsi="Garamond"/>
          <w:sz w:val="24"/>
        </w:rPr>
        <w:t xml:space="preserve">Organization for Economic Cooperation and Development and Statistics Canada. (2005). </w:t>
      </w:r>
      <w:r>
        <w:rPr>
          <w:rFonts w:ascii="Garamond" w:hAnsi="Garamond"/>
          <w:i/>
          <w:sz w:val="24"/>
        </w:rPr>
        <w:t>Learning a Living: First Results from the Adult Literacy and Life Skills Survey</w:t>
      </w:r>
      <w:r>
        <w:rPr>
          <w:rFonts w:ascii="Garamond" w:hAnsi="Garamond"/>
          <w:sz w:val="24"/>
        </w:rPr>
        <w:t>. Paris: OECD.</w:t>
      </w:r>
    </w:p>
    <w:p w:rsidR="00BF1CB3" w:rsidRDefault="00BF1CB3" w:rsidP="00E01420">
      <w:pPr>
        <w:pStyle w:val="oecdtitle1"/>
        <w:spacing w:before="0" w:after="120"/>
        <w:ind w:left="360" w:hanging="360"/>
        <w:rPr>
          <w:rFonts w:ascii="Garamond" w:hAnsi="Garamond"/>
        </w:rPr>
      </w:pPr>
      <w:r>
        <w:rPr>
          <w:rFonts w:ascii="Garamond" w:hAnsi="Garamond"/>
        </w:rPr>
        <w:lastRenderedPageBreak/>
        <w:t xml:space="preserve">Organization for Economic Cooperation and Development. (2009). </w:t>
      </w:r>
      <w:r>
        <w:rPr>
          <w:rFonts w:ascii="Garamond" w:hAnsi="Garamond"/>
          <w:i/>
        </w:rPr>
        <w:t>PISA 2009 Assessment Framework - Key Competencies in Reading, Mathematics and Science</w:t>
      </w:r>
      <w:r>
        <w:rPr>
          <w:rFonts w:ascii="Garamond" w:hAnsi="Garamond"/>
        </w:rPr>
        <w:t>. Paris: Author.</w:t>
      </w:r>
    </w:p>
    <w:p w:rsidR="00BF1CB3" w:rsidRDefault="00BF1CB3" w:rsidP="00E01420">
      <w:pPr>
        <w:spacing w:after="120" w:line="240" w:lineRule="auto"/>
        <w:ind w:left="360" w:hanging="360"/>
        <w:rPr>
          <w:rFonts w:ascii="Garamond" w:hAnsi="Garamond"/>
          <w:sz w:val="24"/>
        </w:rPr>
      </w:pPr>
      <w:r>
        <w:rPr>
          <w:rFonts w:ascii="Garamond" w:hAnsi="Garamond"/>
          <w:sz w:val="24"/>
        </w:rPr>
        <w:t xml:space="preserve">Organization for Economic Cooperation and Development. (2010). </w:t>
      </w:r>
      <w:r>
        <w:rPr>
          <w:rFonts w:ascii="Garamond" w:hAnsi="Garamond"/>
          <w:i/>
          <w:sz w:val="24"/>
        </w:rPr>
        <w:t>Pathways to Success: How Knowledge and Skills at Age 15 Shape Future Lives in Canada</w:t>
      </w:r>
      <w:r>
        <w:rPr>
          <w:rFonts w:ascii="Garamond" w:hAnsi="Garamond"/>
          <w:sz w:val="24"/>
        </w:rPr>
        <w:t>. Paris: Author.</w:t>
      </w:r>
    </w:p>
    <w:p w:rsidR="00885C77" w:rsidRDefault="005715D3" w:rsidP="00E01420">
      <w:pPr>
        <w:spacing w:after="120" w:line="240" w:lineRule="auto"/>
        <w:ind w:left="360" w:hanging="360"/>
        <w:rPr>
          <w:rFonts w:ascii="Garamond" w:hAnsi="Garamond"/>
          <w:sz w:val="24"/>
        </w:rPr>
      </w:pPr>
      <w:r>
        <w:rPr>
          <w:rFonts w:ascii="Garamond" w:hAnsi="Garamond"/>
          <w:sz w:val="24"/>
        </w:rPr>
        <w:t>Organization for Economic Cooperation and Development</w:t>
      </w:r>
      <w:r w:rsidR="00BF1CB3">
        <w:rPr>
          <w:rFonts w:ascii="Garamond" w:hAnsi="Garamond"/>
          <w:sz w:val="24"/>
        </w:rPr>
        <w:t>.</w:t>
      </w:r>
      <w:r>
        <w:rPr>
          <w:rFonts w:ascii="Garamond" w:hAnsi="Garamond"/>
          <w:sz w:val="24"/>
        </w:rPr>
        <w:t xml:space="preserve"> (2012). </w:t>
      </w:r>
      <w:r>
        <w:rPr>
          <w:rFonts w:ascii="Garamond" w:hAnsi="Garamond"/>
          <w:bCs/>
          <w:i/>
          <w:color w:val="222222"/>
          <w:sz w:val="24"/>
        </w:rPr>
        <w:t>Literacy, Numeracy and Problem Solving in Technology-Rich Environments - Framework for the OECD Survey of Adult Skills</w:t>
      </w:r>
      <w:r>
        <w:rPr>
          <w:rFonts w:ascii="Garamond" w:hAnsi="Garamond"/>
          <w:bCs/>
          <w:color w:val="222222"/>
          <w:sz w:val="24"/>
        </w:rPr>
        <w:t>.</w:t>
      </w:r>
      <w:r w:rsidR="00300499">
        <w:rPr>
          <w:rFonts w:ascii="Garamond" w:hAnsi="Garamond"/>
          <w:bCs/>
          <w:color w:val="222222"/>
          <w:sz w:val="24"/>
        </w:rPr>
        <w:t xml:space="preserve"> </w:t>
      </w:r>
      <w:r>
        <w:rPr>
          <w:rFonts w:ascii="Garamond" w:hAnsi="Garamond"/>
          <w:sz w:val="24"/>
        </w:rPr>
        <w:t>Paris: Author.</w:t>
      </w:r>
    </w:p>
    <w:p w:rsidR="0030584D" w:rsidRPr="00E01420" w:rsidRDefault="005715D3" w:rsidP="00E01420">
      <w:pPr>
        <w:spacing w:after="120" w:line="240" w:lineRule="auto"/>
        <w:ind w:left="360" w:hanging="360"/>
        <w:rPr>
          <w:rFonts w:ascii="Garamond" w:hAnsi="Garamond"/>
          <w:i/>
          <w:sz w:val="24"/>
        </w:rPr>
      </w:pPr>
      <w:r>
        <w:rPr>
          <w:rFonts w:ascii="Garamond" w:hAnsi="Garamond"/>
          <w:sz w:val="24"/>
        </w:rPr>
        <w:t>Schleicher, A. (2007). Can competencies assessed by PISA be considered the fundamental school knowledge 15-year-olds should possess?</w:t>
      </w:r>
      <w:r>
        <w:rPr>
          <w:rFonts w:ascii="Garamond" w:hAnsi="Garamond"/>
          <w:i/>
          <w:sz w:val="24"/>
        </w:rPr>
        <w:t xml:space="preserve"> Journal of Educational Change, 8: 349-357</w:t>
      </w:r>
      <w:r>
        <w:rPr>
          <w:rFonts w:ascii="Garamond" w:hAnsi="Garamond"/>
          <w:sz w:val="24"/>
        </w:rPr>
        <w:t xml:space="preserve"> (published </w:t>
      </w:r>
      <w:r w:rsidR="0091052C">
        <w:rPr>
          <w:rFonts w:ascii="Garamond" w:hAnsi="Garamond"/>
          <w:sz w:val="24"/>
        </w:rPr>
        <w:t>online</w:t>
      </w:r>
      <w:r>
        <w:rPr>
          <w:rFonts w:ascii="Garamond" w:hAnsi="Garamond"/>
          <w:sz w:val="24"/>
        </w:rPr>
        <w:t xml:space="preserve"> July 24, 2007).</w:t>
      </w:r>
    </w:p>
    <w:sectPr w:rsidR="0030584D" w:rsidRPr="00E01420" w:rsidSect="00EA591E">
      <w:headerReference w:type="default" r:id="rId15"/>
      <w:footerReference w:type="default" r:id="rId16"/>
      <w:pgSz w:w="12240" w:h="15840" w:code="1"/>
      <w:pgMar w:top="1008" w:right="1008" w:bottom="1008" w:left="1008" w:header="432" w:footer="432" w:gutter="0"/>
      <w:cols w:sep="1"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9AF73" w15:done="0"/>
  <w15:commentEx w15:paraId="7630C81F" w15:done="0"/>
  <w15:commentEx w15:paraId="7718DD15" w15:done="0"/>
  <w15:commentEx w15:paraId="236F33D2" w15:done="0"/>
  <w15:commentEx w15:paraId="6185BE89" w15:done="0"/>
  <w15:commentEx w15:paraId="623A1D52" w15:done="0"/>
  <w15:commentEx w15:paraId="05B5531A" w15:done="0"/>
  <w15:commentEx w15:paraId="312D69FC" w15:done="0"/>
  <w15:commentEx w15:paraId="52574D8B" w15:done="0"/>
  <w15:commentEx w15:paraId="7034AEB3" w15:done="0"/>
  <w15:commentEx w15:paraId="5291C5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B2" w:rsidRDefault="00C019B2">
      <w:r>
        <w:separator/>
      </w:r>
    </w:p>
  </w:endnote>
  <w:endnote w:type="continuationSeparator" w:id="0">
    <w:p w:rsidR="00C019B2" w:rsidRDefault="00C0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B2" w:rsidRDefault="00C019B2" w:rsidP="007D3DCC">
    <w:pPr>
      <w:pStyle w:val="Footer"/>
      <w:jc w:val="center"/>
    </w:pPr>
    <w:r>
      <w:fldChar w:fldCharType="begin"/>
    </w:r>
    <w:r>
      <w:instrText xml:space="preserve"> PAGE   \* MERGEFORMAT </w:instrText>
    </w:r>
    <w:r>
      <w:fldChar w:fldCharType="separate"/>
    </w:r>
    <w:r w:rsidR="008B1851">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B2" w:rsidRDefault="00C019B2" w:rsidP="007D3DCC">
    <w:pPr>
      <w:pStyle w:val="Footer"/>
      <w:jc w:val="center"/>
    </w:pPr>
    <w:r>
      <w:fldChar w:fldCharType="begin"/>
    </w:r>
    <w:r>
      <w:instrText xml:space="preserve"> PAGE   \* MERGEFORMAT </w:instrText>
    </w:r>
    <w:r>
      <w:fldChar w:fldCharType="separate"/>
    </w:r>
    <w:r w:rsidR="008B185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B2" w:rsidRDefault="00C019B2">
      <w:r>
        <w:separator/>
      </w:r>
    </w:p>
  </w:footnote>
  <w:footnote w:type="continuationSeparator" w:id="0">
    <w:p w:rsidR="00C019B2" w:rsidRDefault="00C019B2">
      <w:r>
        <w:continuationSeparator/>
      </w:r>
    </w:p>
  </w:footnote>
  <w:footnote w:id="1">
    <w:p w:rsidR="00C019B2" w:rsidRPr="00A755D0" w:rsidRDefault="00C019B2" w:rsidP="00FE49B8">
      <w:pPr>
        <w:pStyle w:val="FootnoteText"/>
        <w:spacing w:before="0" w:line="240" w:lineRule="auto"/>
        <w:jc w:val="left"/>
        <w:rPr>
          <w:rFonts w:ascii="Garamond" w:hAnsi="Garamond"/>
        </w:rPr>
      </w:pPr>
      <w:r w:rsidRPr="00A755D0">
        <w:rPr>
          <w:rStyle w:val="FootnoteReference"/>
          <w:rFonts w:ascii="Garamond" w:hAnsi="Garamond"/>
        </w:rPr>
        <w:footnoteRef/>
      </w:r>
      <w:r w:rsidRPr="00A755D0">
        <w:rPr>
          <w:rFonts w:ascii="Garamond" w:hAnsi="Garamond"/>
        </w:rPr>
        <w:t xml:space="preserve"> The sample of ~5,200 students took the </w:t>
      </w:r>
      <w:r>
        <w:rPr>
          <w:rFonts w:ascii="Garamond" w:hAnsi="Garamond"/>
        </w:rPr>
        <w:t xml:space="preserve">PISA </w:t>
      </w:r>
      <w:r w:rsidRPr="00A755D0">
        <w:rPr>
          <w:rFonts w:ascii="Garamond" w:hAnsi="Garamond"/>
        </w:rPr>
        <w:t>mathematics, science</w:t>
      </w:r>
      <w:r>
        <w:rPr>
          <w:rFonts w:ascii="Garamond" w:hAnsi="Garamond"/>
        </w:rPr>
        <w:t>,</w:t>
      </w:r>
      <w:r w:rsidRPr="00A755D0">
        <w:rPr>
          <w:rFonts w:ascii="Garamond" w:hAnsi="Garamond"/>
        </w:rPr>
        <w:t xml:space="preserve"> and reading literacy assessment. PISA 2012 also included an assessment of financial literacy given to an additional ~1,100 students. </w:t>
      </w:r>
      <w:r>
        <w:rPr>
          <w:rFonts w:ascii="Garamond" w:hAnsi="Garamond"/>
        </w:rPr>
        <w:t>In order to focus the Validation Study on the main PISA domains, the proposed study does not include the students who took financial literacy except in the field trial.</w:t>
      </w:r>
    </w:p>
  </w:footnote>
  <w:footnote w:id="2">
    <w:p w:rsidR="00C019B2" w:rsidRDefault="00C019B2" w:rsidP="00FE49B8">
      <w:pPr>
        <w:pStyle w:val="FootnoteText"/>
        <w:spacing w:before="0" w:after="60" w:line="240" w:lineRule="auto"/>
        <w:jc w:val="left"/>
      </w:pPr>
      <w:r>
        <w:rPr>
          <w:rStyle w:val="FootnoteReference"/>
        </w:rPr>
        <w:footnoteRef/>
      </w:r>
      <w:r>
        <w:t xml:space="preserve"> Lauff, E., and Ingels, S.J. (2013). </w:t>
      </w:r>
      <w:r w:rsidRPr="008B3D17">
        <w:rPr>
          <w:i/>
        </w:rPr>
        <w:t>Education Longitudinal Study of 2002 (ELS:2002):</w:t>
      </w:r>
      <w:r>
        <w:t xml:space="preserve"> </w:t>
      </w:r>
      <w:r w:rsidRPr="008B3D17">
        <w:rPr>
          <w:i/>
        </w:rPr>
        <w:t>A First Look at 2002 High School Sophomores 10 Years Later</w:t>
      </w:r>
      <w:r>
        <w:t xml:space="preserve"> (NCES 2014-363). U.S. Department of Education. Washington, DC: National Center for Education Statistics. Retrieved [11/11/2014] at http://nces.ed.gov/pubs2014/2014363.pdf</w:t>
      </w:r>
    </w:p>
  </w:footnote>
  <w:footnote w:id="3">
    <w:p w:rsidR="00C019B2" w:rsidRDefault="00C019B2" w:rsidP="00FE49B8">
      <w:pPr>
        <w:pStyle w:val="FootnoteText"/>
        <w:spacing w:before="0" w:line="240" w:lineRule="auto"/>
        <w:jc w:val="left"/>
      </w:pPr>
      <w:r>
        <w:rPr>
          <w:rStyle w:val="FootnoteReference"/>
        </w:rPr>
        <w:footnoteRef/>
      </w:r>
      <w:r>
        <w:t xml:space="preserve"> Organization for Economic Cooperation and Development (OECD), Program for the International Assessment of Adult Competencies (PIAAC), 2012. Retrieved from PIAAC IDE [11/11/2014].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B2" w:rsidRDefault="00C019B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B2" w:rsidRDefault="00C019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6609"/>
    <w:multiLevelType w:val="hybridMultilevel"/>
    <w:tmpl w:val="1E7854DA"/>
    <w:lvl w:ilvl="0" w:tplc="C97AE84E">
      <w:start w:val="1"/>
      <w:numFmt w:val="bullet"/>
      <w:lvlText w:val=""/>
      <w:lvlJc w:val="left"/>
      <w:pPr>
        <w:ind w:left="360" w:hanging="360"/>
      </w:pPr>
      <w:rPr>
        <w:rFonts w:ascii="Symbol" w:hAnsi="Symbol"/>
      </w:rPr>
    </w:lvl>
    <w:lvl w:ilvl="1" w:tplc="9A868BB4">
      <w:start w:val="1"/>
      <w:numFmt w:val="bullet"/>
      <w:lvlText w:val="o"/>
      <w:lvlJc w:val="left"/>
      <w:pPr>
        <w:ind w:left="1080" w:hanging="360"/>
      </w:pPr>
      <w:rPr>
        <w:rFonts w:ascii="Courier New" w:hAnsi="Courier New"/>
      </w:rPr>
    </w:lvl>
    <w:lvl w:ilvl="2" w:tplc="1D28D9EA">
      <w:start w:val="1"/>
      <w:numFmt w:val="bullet"/>
      <w:lvlText w:val=""/>
      <w:lvlJc w:val="left"/>
      <w:pPr>
        <w:ind w:left="1800" w:hanging="360"/>
      </w:pPr>
      <w:rPr>
        <w:rFonts w:ascii="Wingdings" w:hAnsi="Wingdings"/>
      </w:rPr>
    </w:lvl>
    <w:lvl w:ilvl="3" w:tplc="72A45EE2">
      <w:start w:val="1"/>
      <w:numFmt w:val="bullet"/>
      <w:lvlText w:val=""/>
      <w:lvlJc w:val="left"/>
      <w:pPr>
        <w:ind w:left="2520" w:hanging="360"/>
      </w:pPr>
      <w:rPr>
        <w:rFonts w:ascii="Symbol" w:hAnsi="Symbol"/>
      </w:rPr>
    </w:lvl>
    <w:lvl w:ilvl="4" w:tplc="91D65F46">
      <w:start w:val="1"/>
      <w:numFmt w:val="bullet"/>
      <w:lvlText w:val="o"/>
      <w:lvlJc w:val="left"/>
      <w:pPr>
        <w:ind w:left="3240" w:hanging="360"/>
      </w:pPr>
      <w:rPr>
        <w:rFonts w:ascii="Courier New" w:hAnsi="Courier New"/>
      </w:rPr>
    </w:lvl>
    <w:lvl w:ilvl="5" w:tplc="780E3FC4">
      <w:start w:val="1"/>
      <w:numFmt w:val="bullet"/>
      <w:lvlText w:val=""/>
      <w:lvlJc w:val="left"/>
      <w:pPr>
        <w:ind w:left="3960" w:hanging="360"/>
      </w:pPr>
      <w:rPr>
        <w:rFonts w:ascii="Wingdings" w:hAnsi="Wingdings"/>
      </w:rPr>
    </w:lvl>
    <w:lvl w:ilvl="6" w:tplc="A4389168">
      <w:start w:val="1"/>
      <w:numFmt w:val="bullet"/>
      <w:lvlText w:val=""/>
      <w:lvlJc w:val="left"/>
      <w:pPr>
        <w:ind w:left="4680" w:hanging="360"/>
      </w:pPr>
      <w:rPr>
        <w:rFonts w:ascii="Symbol" w:hAnsi="Symbol"/>
      </w:rPr>
    </w:lvl>
    <w:lvl w:ilvl="7" w:tplc="D452DA0E">
      <w:start w:val="1"/>
      <w:numFmt w:val="bullet"/>
      <w:lvlText w:val="o"/>
      <w:lvlJc w:val="left"/>
      <w:pPr>
        <w:ind w:left="5400" w:hanging="360"/>
      </w:pPr>
      <w:rPr>
        <w:rFonts w:ascii="Courier New" w:hAnsi="Courier New"/>
      </w:rPr>
    </w:lvl>
    <w:lvl w:ilvl="8" w:tplc="CDEC7708">
      <w:start w:val="1"/>
      <w:numFmt w:val="bullet"/>
      <w:lvlText w:val=""/>
      <w:lvlJc w:val="left"/>
      <w:pPr>
        <w:ind w:left="6120" w:hanging="360"/>
      </w:pPr>
      <w:rPr>
        <w:rFonts w:ascii="Wingdings" w:hAnsi="Wingdings"/>
      </w:rPr>
    </w:lvl>
  </w:abstractNum>
  <w:abstractNum w:abstractNumId="1">
    <w:nsid w:val="1F6E783A"/>
    <w:multiLevelType w:val="hybridMultilevel"/>
    <w:tmpl w:val="94DAF8BE"/>
    <w:lvl w:ilvl="0" w:tplc="41666C0E">
      <w:start w:val="1"/>
      <w:numFmt w:val="decimal"/>
      <w:lvlText w:val="%1."/>
      <w:lvlJc w:val="left"/>
      <w:pPr>
        <w:ind w:left="1080" w:hanging="360"/>
      </w:pPr>
    </w:lvl>
    <w:lvl w:ilvl="1" w:tplc="AF389108">
      <w:start w:val="1"/>
      <w:numFmt w:val="lowerLetter"/>
      <w:lvlText w:val="%2."/>
      <w:lvlJc w:val="left"/>
      <w:pPr>
        <w:ind w:left="1440" w:hanging="360"/>
      </w:pPr>
    </w:lvl>
    <w:lvl w:ilvl="2" w:tplc="5F70B762">
      <w:start w:val="1"/>
      <w:numFmt w:val="lowerRoman"/>
      <w:lvlText w:val="%3."/>
      <w:lvlJc w:val="right"/>
      <w:pPr>
        <w:ind w:left="2160" w:hanging="180"/>
      </w:pPr>
    </w:lvl>
    <w:lvl w:ilvl="3" w:tplc="CC44FEB6">
      <w:start w:val="1"/>
      <w:numFmt w:val="decimal"/>
      <w:lvlText w:val="%4."/>
      <w:lvlJc w:val="left"/>
      <w:pPr>
        <w:ind w:left="2880" w:hanging="360"/>
      </w:pPr>
    </w:lvl>
    <w:lvl w:ilvl="4" w:tplc="44667818">
      <w:start w:val="1"/>
      <w:numFmt w:val="lowerLetter"/>
      <w:lvlText w:val="%5."/>
      <w:lvlJc w:val="left"/>
      <w:pPr>
        <w:ind w:left="3600" w:hanging="360"/>
      </w:pPr>
    </w:lvl>
    <w:lvl w:ilvl="5" w:tplc="ADFC1244">
      <w:start w:val="1"/>
      <w:numFmt w:val="lowerRoman"/>
      <w:lvlText w:val="%6."/>
      <w:lvlJc w:val="right"/>
      <w:pPr>
        <w:ind w:left="4320" w:hanging="180"/>
      </w:pPr>
    </w:lvl>
    <w:lvl w:ilvl="6" w:tplc="27B0DBC2">
      <w:start w:val="1"/>
      <w:numFmt w:val="decimal"/>
      <w:lvlText w:val="%7."/>
      <w:lvlJc w:val="left"/>
      <w:pPr>
        <w:ind w:left="5040" w:hanging="360"/>
      </w:pPr>
    </w:lvl>
    <w:lvl w:ilvl="7" w:tplc="38FA5300">
      <w:start w:val="1"/>
      <w:numFmt w:val="lowerLetter"/>
      <w:lvlText w:val="%8."/>
      <w:lvlJc w:val="left"/>
      <w:pPr>
        <w:ind w:left="5760" w:hanging="360"/>
      </w:pPr>
    </w:lvl>
    <w:lvl w:ilvl="8" w:tplc="A9B05E36">
      <w:start w:val="1"/>
      <w:numFmt w:val="lowerRoman"/>
      <w:lvlText w:val="%9."/>
      <w:lvlJc w:val="right"/>
      <w:pPr>
        <w:ind w:left="6480" w:hanging="180"/>
      </w:pPr>
    </w:lvl>
  </w:abstractNum>
  <w:abstractNum w:abstractNumId="2">
    <w:nsid w:val="296537B6"/>
    <w:multiLevelType w:val="singleLevel"/>
    <w:tmpl w:val="FBD26850"/>
    <w:lvl w:ilvl="0">
      <w:start w:val="1"/>
      <w:numFmt w:val="bullet"/>
      <w:pStyle w:val="N2-2ndBullet"/>
      <w:lvlText w:val=""/>
      <w:lvlJc w:val="left"/>
      <w:pPr>
        <w:tabs>
          <w:tab w:val="num" w:pos="1296"/>
        </w:tabs>
        <w:ind w:left="1296" w:hanging="576"/>
      </w:pPr>
      <w:rPr>
        <w:rFonts w:ascii="Wingdings" w:hAnsi="Wingdings"/>
        <w:b w:val="0"/>
        <w:i w:val="0"/>
        <w:caps w:val="0"/>
        <w:strike w:val="0"/>
        <w:dstrike w:val="0"/>
        <w:vanish w:val="0"/>
        <w:color w:val="auto"/>
        <w:sz w:val="16"/>
        <w:vertAlign w:val="baseline"/>
      </w:rPr>
    </w:lvl>
  </w:abstractNum>
  <w:abstractNum w:abstractNumId="3">
    <w:nsid w:val="2BB85E60"/>
    <w:multiLevelType w:val="singleLevel"/>
    <w:tmpl w:val="1702F1B2"/>
    <w:lvl w:ilvl="0">
      <w:start w:val="1"/>
      <w:numFmt w:val="bullet"/>
      <w:lvlText w:val=""/>
      <w:lvlJc w:val="left"/>
      <w:pPr>
        <w:tabs>
          <w:tab w:val="num" w:pos="360"/>
        </w:tabs>
        <w:ind w:left="360" w:hanging="360"/>
      </w:pPr>
      <w:rPr>
        <w:rFonts w:ascii="Symbol" w:hAnsi="Symbol"/>
      </w:rPr>
    </w:lvl>
  </w:abstractNum>
  <w:abstractNum w:abstractNumId="4">
    <w:nsid w:val="37156E01"/>
    <w:multiLevelType w:val="hybridMultilevel"/>
    <w:tmpl w:val="77D6D492"/>
    <w:lvl w:ilvl="0" w:tplc="7DC2E7BC">
      <w:numFmt w:val="bullet"/>
      <w:lvlText w:val="•"/>
      <w:lvlJc w:val="left"/>
      <w:pPr>
        <w:ind w:left="1080" w:hanging="360"/>
      </w:pPr>
      <w:rPr>
        <w:rFonts w:ascii="Garamond" w:hAnsi="Garamond"/>
      </w:rPr>
    </w:lvl>
    <w:lvl w:ilvl="1" w:tplc="B752519E">
      <w:start w:val="1"/>
      <w:numFmt w:val="bullet"/>
      <w:lvlText w:val="o"/>
      <w:lvlJc w:val="left"/>
      <w:pPr>
        <w:ind w:left="1800" w:hanging="360"/>
      </w:pPr>
      <w:rPr>
        <w:rFonts w:ascii="Courier New" w:hAnsi="Courier New"/>
      </w:rPr>
    </w:lvl>
    <w:lvl w:ilvl="2" w:tplc="897E2DF2">
      <w:start w:val="1"/>
      <w:numFmt w:val="bullet"/>
      <w:lvlText w:val=""/>
      <w:lvlJc w:val="left"/>
      <w:pPr>
        <w:ind w:left="2520" w:hanging="360"/>
      </w:pPr>
      <w:rPr>
        <w:rFonts w:ascii="Wingdings" w:hAnsi="Wingdings"/>
      </w:rPr>
    </w:lvl>
    <w:lvl w:ilvl="3" w:tplc="E85CA5D2">
      <w:start w:val="1"/>
      <w:numFmt w:val="bullet"/>
      <w:lvlText w:val=""/>
      <w:lvlJc w:val="left"/>
      <w:pPr>
        <w:ind w:left="3240" w:hanging="360"/>
      </w:pPr>
      <w:rPr>
        <w:rFonts w:ascii="Symbol" w:hAnsi="Symbol"/>
      </w:rPr>
    </w:lvl>
    <w:lvl w:ilvl="4" w:tplc="0E6CBCB0">
      <w:start w:val="1"/>
      <w:numFmt w:val="bullet"/>
      <w:lvlText w:val="o"/>
      <w:lvlJc w:val="left"/>
      <w:pPr>
        <w:ind w:left="3960" w:hanging="360"/>
      </w:pPr>
      <w:rPr>
        <w:rFonts w:ascii="Courier New" w:hAnsi="Courier New"/>
      </w:rPr>
    </w:lvl>
    <w:lvl w:ilvl="5" w:tplc="458EDF1A">
      <w:start w:val="1"/>
      <w:numFmt w:val="bullet"/>
      <w:lvlText w:val=""/>
      <w:lvlJc w:val="left"/>
      <w:pPr>
        <w:ind w:left="4680" w:hanging="360"/>
      </w:pPr>
      <w:rPr>
        <w:rFonts w:ascii="Wingdings" w:hAnsi="Wingdings"/>
      </w:rPr>
    </w:lvl>
    <w:lvl w:ilvl="6" w:tplc="AA96CC2C">
      <w:start w:val="1"/>
      <w:numFmt w:val="bullet"/>
      <w:lvlText w:val=""/>
      <w:lvlJc w:val="left"/>
      <w:pPr>
        <w:ind w:left="5400" w:hanging="360"/>
      </w:pPr>
      <w:rPr>
        <w:rFonts w:ascii="Symbol" w:hAnsi="Symbol"/>
      </w:rPr>
    </w:lvl>
    <w:lvl w:ilvl="7" w:tplc="6748943C">
      <w:start w:val="1"/>
      <w:numFmt w:val="bullet"/>
      <w:lvlText w:val="o"/>
      <w:lvlJc w:val="left"/>
      <w:pPr>
        <w:ind w:left="6120" w:hanging="360"/>
      </w:pPr>
      <w:rPr>
        <w:rFonts w:ascii="Courier New" w:hAnsi="Courier New"/>
      </w:rPr>
    </w:lvl>
    <w:lvl w:ilvl="8" w:tplc="571C2016">
      <w:start w:val="1"/>
      <w:numFmt w:val="bullet"/>
      <w:lvlText w:val=""/>
      <w:lvlJc w:val="left"/>
      <w:pPr>
        <w:ind w:left="6840" w:hanging="360"/>
      </w:pPr>
      <w:rPr>
        <w:rFonts w:ascii="Wingdings" w:hAnsi="Wingdings"/>
      </w:rPr>
    </w:lvl>
  </w:abstractNum>
  <w:abstractNum w:abstractNumId="5">
    <w:nsid w:val="3B4171F7"/>
    <w:multiLevelType w:val="hybridMultilevel"/>
    <w:tmpl w:val="32EE5BB2"/>
    <w:lvl w:ilvl="0" w:tplc="77A46B54">
      <w:start w:val="1"/>
      <w:numFmt w:val="bullet"/>
      <w:lvlText w:val=""/>
      <w:lvlJc w:val="left"/>
      <w:pPr>
        <w:ind w:left="720" w:hanging="360"/>
      </w:pPr>
      <w:rPr>
        <w:rFonts w:ascii="Symbol" w:hAnsi="Symbol"/>
      </w:rPr>
    </w:lvl>
    <w:lvl w:ilvl="1" w:tplc="0B900F16">
      <w:start w:val="1"/>
      <w:numFmt w:val="bullet"/>
      <w:lvlText w:val="o"/>
      <w:lvlJc w:val="left"/>
      <w:pPr>
        <w:ind w:left="1440" w:hanging="360"/>
      </w:pPr>
      <w:rPr>
        <w:rFonts w:ascii="Courier New" w:hAnsi="Courier New"/>
      </w:rPr>
    </w:lvl>
    <w:lvl w:ilvl="2" w:tplc="3FAAB9EA">
      <w:start w:val="1"/>
      <w:numFmt w:val="bullet"/>
      <w:lvlText w:val=""/>
      <w:lvlJc w:val="left"/>
      <w:pPr>
        <w:ind w:left="2160" w:hanging="360"/>
      </w:pPr>
      <w:rPr>
        <w:rFonts w:ascii="Wingdings" w:hAnsi="Wingdings"/>
      </w:rPr>
    </w:lvl>
    <w:lvl w:ilvl="3" w:tplc="B46ABD7A">
      <w:start w:val="1"/>
      <w:numFmt w:val="bullet"/>
      <w:lvlText w:val=""/>
      <w:lvlJc w:val="left"/>
      <w:pPr>
        <w:ind w:left="2880" w:hanging="360"/>
      </w:pPr>
      <w:rPr>
        <w:rFonts w:ascii="Symbol" w:hAnsi="Symbol"/>
      </w:rPr>
    </w:lvl>
    <w:lvl w:ilvl="4" w:tplc="89A4D8A6">
      <w:start w:val="1"/>
      <w:numFmt w:val="bullet"/>
      <w:lvlText w:val="o"/>
      <w:lvlJc w:val="left"/>
      <w:pPr>
        <w:ind w:left="3600" w:hanging="360"/>
      </w:pPr>
      <w:rPr>
        <w:rFonts w:ascii="Courier New" w:hAnsi="Courier New"/>
      </w:rPr>
    </w:lvl>
    <w:lvl w:ilvl="5" w:tplc="D06EC0F0">
      <w:start w:val="1"/>
      <w:numFmt w:val="bullet"/>
      <w:lvlText w:val=""/>
      <w:lvlJc w:val="left"/>
      <w:pPr>
        <w:ind w:left="4320" w:hanging="360"/>
      </w:pPr>
      <w:rPr>
        <w:rFonts w:ascii="Wingdings" w:hAnsi="Wingdings"/>
      </w:rPr>
    </w:lvl>
    <w:lvl w:ilvl="6" w:tplc="4CF85FA8">
      <w:start w:val="1"/>
      <w:numFmt w:val="bullet"/>
      <w:lvlText w:val=""/>
      <w:lvlJc w:val="left"/>
      <w:pPr>
        <w:ind w:left="5040" w:hanging="360"/>
      </w:pPr>
      <w:rPr>
        <w:rFonts w:ascii="Symbol" w:hAnsi="Symbol"/>
      </w:rPr>
    </w:lvl>
    <w:lvl w:ilvl="7" w:tplc="1E946C22">
      <w:start w:val="1"/>
      <w:numFmt w:val="bullet"/>
      <w:lvlText w:val="o"/>
      <w:lvlJc w:val="left"/>
      <w:pPr>
        <w:ind w:left="5760" w:hanging="360"/>
      </w:pPr>
      <w:rPr>
        <w:rFonts w:ascii="Courier New" w:hAnsi="Courier New"/>
      </w:rPr>
    </w:lvl>
    <w:lvl w:ilvl="8" w:tplc="CF8E17B4">
      <w:start w:val="1"/>
      <w:numFmt w:val="bullet"/>
      <w:lvlText w:val=""/>
      <w:lvlJc w:val="left"/>
      <w:pPr>
        <w:ind w:left="6480" w:hanging="360"/>
      </w:pPr>
      <w:rPr>
        <w:rFonts w:ascii="Wingdings" w:hAnsi="Wingdings"/>
      </w:rPr>
    </w:lvl>
  </w:abstractNum>
  <w:abstractNum w:abstractNumId="6">
    <w:nsid w:val="3DAD5EA1"/>
    <w:multiLevelType w:val="singleLevel"/>
    <w:tmpl w:val="A52E48A0"/>
    <w:lvl w:ilvl="0">
      <w:start w:val="1"/>
      <w:numFmt w:val="lowerRoman"/>
      <w:lvlText w:val=""/>
      <w:lvlJc w:val="left"/>
      <w:rPr>
        <w:rFonts w:ascii="Times New Roman" w:hAnsi="Times New Roman"/>
      </w:rPr>
    </w:lvl>
  </w:abstractNum>
  <w:abstractNum w:abstractNumId="7">
    <w:nsid w:val="3E2A009D"/>
    <w:multiLevelType w:val="singleLevel"/>
    <w:tmpl w:val="5AE45AC8"/>
    <w:lvl w:ilvl="0">
      <w:start w:val="1"/>
      <w:numFmt w:val="bullet"/>
      <w:lvlText w:val=""/>
      <w:lvlJc w:val="left"/>
      <w:pPr>
        <w:tabs>
          <w:tab w:val="num" w:pos="720"/>
        </w:tabs>
        <w:ind w:left="720" w:hanging="360"/>
      </w:pPr>
      <w:rPr>
        <w:rFonts w:ascii="Symbol" w:hAnsi="Symbol"/>
      </w:rPr>
    </w:lvl>
  </w:abstractNum>
  <w:abstractNum w:abstractNumId="8">
    <w:nsid w:val="3EFF03D1"/>
    <w:multiLevelType w:val="hybridMultilevel"/>
    <w:tmpl w:val="94DAF8BE"/>
    <w:lvl w:ilvl="0" w:tplc="0C207A8E">
      <w:start w:val="1"/>
      <w:numFmt w:val="decimal"/>
      <w:lvlText w:val="%1."/>
      <w:lvlJc w:val="left"/>
      <w:pPr>
        <w:ind w:left="1080" w:hanging="360"/>
      </w:pPr>
    </w:lvl>
    <w:lvl w:ilvl="1" w:tplc="F872C530">
      <w:start w:val="1"/>
      <w:numFmt w:val="lowerLetter"/>
      <w:lvlText w:val="%2."/>
      <w:lvlJc w:val="left"/>
      <w:pPr>
        <w:ind w:left="1440" w:hanging="360"/>
      </w:pPr>
    </w:lvl>
    <w:lvl w:ilvl="2" w:tplc="47061D4C">
      <w:start w:val="1"/>
      <w:numFmt w:val="lowerRoman"/>
      <w:lvlText w:val="%3."/>
      <w:lvlJc w:val="right"/>
      <w:pPr>
        <w:ind w:left="2160" w:hanging="180"/>
      </w:pPr>
    </w:lvl>
    <w:lvl w:ilvl="3" w:tplc="5FFCCF54">
      <w:start w:val="1"/>
      <w:numFmt w:val="decimal"/>
      <w:lvlText w:val="%4."/>
      <w:lvlJc w:val="left"/>
      <w:pPr>
        <w:ind w:left="2880" w:hanging="360"/>
      </w:pPr>
    </w:lvl>
    <w:lvl w:ilvl="4" w:tplc="612A24C6">
      <w:start w:val="1"/>
      <w:numFmt w:val="lowerLetter"/>
      <w:lvlText w:val="%5."/>
      <w:lvlJc w:val="left"/>
      <w:pPr>
        <w:ind w:left="3600" w:hanging="360"/>
      </w:pPr>
    </w:lvl>
    <w:lvl w:ilvl="5" w:tplc="31FACBC0">
      <w:start w:val="1"/>
      <w:numFmt w:val="lowerRoman"/>
      <w:lvlText w:val="%6."/>
      <w:lvlJc w:val="right"/>
      <w:pPr>
        <w:ind w:left="4320" w:hanging="180"/>
      </w:pPr>
    </w:lvl>
    <w:lvl w:ilvl="6" w:tplc="17ACAA0A">
      <w:start w:val="1"/>
      <w:numFmt w:val="decimal"/>
      <w:lvlText w:val="%7."/>
      <w:lvlJc w:val="left"/>
      <w:pPr>
        <w:ind w:left="5040" w:hanging="360"/>
      </w:pPr>
    </w:lvl>
    <w:lvl w:ilvl="7" w:tplc="C1322BD8">
      <w:start w:val="1"/>
      <w:numFmt w:val="lowerLetter"/>
      <w:lvlText w:val="%8."/>
      <w:lvlJc w:val="left"/>
      <w:pPr>
        <w:ind w:left="5760" w:hanging="360"/>
      </w:pPr>
    </w:lvl>
    <w:lvl w:ilvl="8" w:tplc="5D18C6EC">
      <w:start w:val="1"/>
      <w:numFmt w:val="lowerRoman"/>
      <w:lvlText w:val="%9."/>
      <w:lvlJc w:val="right"/>
      <w:pPr>
        <w:ind w:left="6480" w:hanging="180"/>
      </w:pPr>
    </w:lvl>
  </w:abstractNum>
  <w:abstractNum w:abstractNumId="9">
    <w:nsid w:val="3F0E4EEA"/>
    <w:multiLevelType w:val="hybridMultilevel"/>
    <w:tmpl w:val="B21681E2"/>
    <w:lvl w:ilvl="0" w:tplc="FFB68972">
      <w:start w:val="1"/>
      <w:numFmt w:val="bullet"/>
      <w:lvlText w:val=""/>
      <w:lvlJc w:val="left"/>
      <w:pPr>
        <w:ind w:left="360" w:hanging="360"/>
      </w:pPr>
      <w:rPr>
        <w:rFonts w:ascii="Symbol" w:hAnsi="Symbol"/>
      </w:rPr>
    </w:lvl>
    <w:lvl w:ilvl="1" w:tplc="79EA9316">
      <w:start w:val="1"/>
      <w:numFmt w:val="bullet"/>
      <w:lvlText w:val="o"/>
      <w:lvlJc w:val="left"/>
      <w:pPr>
        <w:ind w:left="1080" w:hanging="360"/>
      </w:pPr>
      <w:rPr>
        <w:rFonts w:ascii="Courier New" w:hAnsi="Courier New"/>
      </w:rPr>
    </w:lvl>
    <w:lvl w:ilvl="2" w:tplc="3612C032">
      <w:start w:val="1"/>
      <w:numFmt w:val="bullet"/>
      <w:lvlText w:val=""/>
      <w:lvlJc w:val="left"/>
      <w:pPr>
        <w:ind w:left="1800" w:hanging="360"/>
      </w:pPr>
      <w:rPr>
        <w:rFonts w:ascii="Wingdings" w:hAnsi="Wingdings"/>
      </w:rPr>
    </w:lvl>
    <w:lvl w:ilvl="3" w:tplc="EDF20D3A">
      <w:start w:val="1"/>
      <w:numFmt w:val="bullet"/>
      <w:lvlText w:val=""/>
      <w:lvlJc w:val="left"/>
      <w:pPr>
        <w:ind w:left="2520" w:hanging="360"/>
      </w:pPr>
      <w:rPr>
        <w:rFonts w:ascii="Symbol" w:hAnsi="Symbol"/>
      </w:rPr>
    </w:lvl>
    <w:lvl w:ilvl="4" w:tplc="D8ACE582">
      <w:start w:val="1"/>
      <w:numFmt w:val="bullet"/>
      <w:lvlText w:val="o"/>
      <w:lvlJc w:val="left"/>
      <w:pPr>
        <w:ind w:left="3240" w:hanging="360"/>
      </w:pPr>
      <w:rPr>
        <w:rFonts w:ascii="Courier New" w:hAnsi="Courier New"/>
      </w:rPr>
    </w:lvl>
    <w:lvl w:ilvl="5" w:tplc="62C80716">
      <w:start w:val="1"/>
      <w:numFmt w:val="bullet"/>
      <w:lvlText w:val=""/>
      <w:lvlJc w:val="left"/>
      <w:pPr>
        <w:ind w:left="3960" w:hanging="360"/>
      </w:pPr>
      <w:rPr>
        <w:rFonts w:ascii="Wingdings" w:hAnsi="Wingdings"/>
      </w:rPr>
    </w:lvl>
    <w:lvl w:ilvl="6" w:tplc="51D4BAA8">
      <w:start w:val="1"/>
      <w:numFmt w:val="bullet"/>
      <w:lvlText w:val=""/>
      <w:lvlJc w:val="left"/>
      <w:pPr>
        <w:ind w:left="4680" w:hanging="360"/>
      </w:pPr>
      <w:rPr>
        <w:rFonts w:ascii="Symbol" w:hAnsi="Symbol"/>
      </w:rPr>
    </w:lvl>
    <w:lvl w:ilvl="7" w:tplc="478C1838">
      <w:start w:val="1"/>
      <w:numFmt w:val="bullet"/>
      <w:lvlText w:val="o"/>
      <w:lvlJc w:val="left"/>
      <w:pPr>
        <w:ind w:left="5400" w:hanging="360"/>
      </w:pPr>
      <w:rPr>
        <w:rFonts w:ascii="Courier New" w:hAnsi="Courier New"/>
      </w:rPr>
    </w:lvl>
    <w:lvl w:ilvl="8" w:tplc="91EEC7D6">
      <w:start w:val="1"/>
      <w:numFmt w:val="bullet"/>
      <w:lvlText w:val=""/>
      <w:lvlJc w:val="left"/>
      <w:pPr>
        <w:ind w:left="6120" w:hanging="360"/>
      </w:pPr>
      <w:rPr>
        <w:rFonts w:ascii="Wingdings" w:hAnsi="Wingdings"/>
      </w:rPr>
    </w:lvl>
  </w:abstractNum>
  <w:abstractNum w:abstractNumId="10">
    <w:nsid w:val="400F3C44"/>
    <w:multiLevelType w:val="hybridMultilevel"/>
    <w:tmpl w:val="E0D61374"/>
    <w:lvl w:ilvl="0" w:tplc="1B5ACF50">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47553E43"/>
    <w:multiLevelType w:val="hybridMultilevel"/>
    <w:tmpl w:val="39B68A14"/>
    <w:lvl w:ilvl="0" w:tplc="1730F94C">
      <w:start w:val="1"/>
      <w:numFmt w:val="bullet"/>
      <w:lvlText w:val=""/>
      <w:lvlJc w:val="left"/>
      <w:pPr>
        <w:ind w:left="360" w:hanging="360"/>
      </w:pPr>
      <w:rPr>
        <w:rFonts w:ascii="Symbol" w:hAnsi="Symbol"/>
      </w:rPr>
    </w:lvl>
    <w:lvl w:ilvl="1" w:tplc="97AADD62">
      <w:start w:val="1"/>
      <w:numFmt w:val="bullet"/>
      <w:lvlText w:val="o"/>
      <w:lvlJc w:val="left"/>
      <w:pPr>
        <w:ind w:left="1080" w:hanging="360"/>
      </w:pPr>
      <w:rPr>
        <w:rFonts w:ascii="Courier New" w:hAnsi="Courier New"/>
      </w:rPr>
    </w:lvl>
    <w:lvl w:ilvl="2" w:tplc="7B1ED3A4">
      <w:start w:val="1"/>
      <w:numFmt w:val="bullet"/>
      <w:lvlText w:val=""/>
      <w:lvlJc w:val="left"/>
      <w:pPr>
        <w:ind w:left="1800" w:hanging="360"/>
      </w:pPr>
      <w:rPr>
        <w:rFonts w:ascii="Wingdings" w:hAnsi="Wingdings"/>
      </w:rPr>
    </w:lvl>
    <w:lvl w:ilvl="3" w:tplc="BEA2ED48">
      <w:start w:val="1"/>
      <w:numFmt w:val="bullet"/>
      <w:lvlText w:val=""/>
      <w:lvlJc w:val="left"/>
      <w:pPr>
        <w:ind w:left="2520" w:hanging="360"/>
      </w:pPr>
      <w:rPr>
        <w:rFonts w:ascii="Symbol" w:hAnsi="Symbol"/>
      </w:rPr>
    </w:lvl>
    <w:lvl w:ilvl="4" w:tplc="A84C0930">
      <w:start w:val="1"/>
      <w:numFmt w:val="bullet"/>
      <w:lvlText w:val="o"/>
      <w:lvlJc w:val="left"/>
      <w:pPr>
        <w:ind w:left="3240" w:hanging="360"/>
      </w:pPr>
      <w:rPr>
        <w:rFonts w:ascii="Courier New" w:hAnsi="Courier New"/>
      </w:rPr>
    </w:lvl>
    <w:lvl w:ilvl="5" w:tplc="CC209808">
      <w:start w:val="1"/>
      <w:numFmt w:val="bullet"/>
      <w:lvlText w:val=""/>
      <w:lvlJc w:val="left"/>
      <w:pPr>
        <w:ind w:left="3960" w:hanging="360"/>
      </w:pPr>
      <w:rPr>
        <w:rFonts w:ascii="Wingdings" w:hAnsi="Wingdings"/>
      </w:rPr>
    </w:lvl>
    <w:lvl w:ilvl="6" w:tplc="DD6AB1F2">
      <w:start w:val="1"/>
      <w:numFmt w:val="bullet"/>
      <w:lvlText w:val=""/>
      <w:lvlJc w:val="left"/>
      <w:pPr>
        <w:ind w:left="4680" w:hanging="360"/>
      </w:pPr>
      <w:rPr>
        <w:rFonts w:ascii="Symbol" w:hAnsi="Symbol"/>
      </w:rPr>
    </w:lvl>
    <w:lvl w:ilvl="7" w:tplc="29949482">
      <w:start w:val="1"/>
      <w:numFmt w:val="bullet"/>
      <w:lvlText w:val="o"/>
      <w:lvlJc w:val="left"/>
      <w:pPr>
        <w:ind w:left="5400" w:hanging="360"/>
      </w:pPr>
      <w:rPr>
        <w:rFonts w:ascii="Courier New" w:hAnsi="Courier New"/>
      </w:rPr>
    </w:lvl>
    <w:lvl w:ilvl="8" w:tplc="D58C0402">
      <w:start w:val="1"/>
      <w:numFmt w:val="bullet"/>
      <w:lvlText w:val=""/>
      <w:lvlJc w:val="left"/>
      <w:pPr>
        <w:ind w:left="6120" w:hanging="360"/>
      </w:pPr>
      <w:rPr>
        <w:rFonts w:ascii="Wingdings" w:hAnsi="Wingdings"/>
      </w:rPr>
    </w:lvl>
  </w:abstractNum>
  <w:abstractNum w:abstractNumId="12">
    <w:nsid w:val="4E7E0E04"/>
    <w:multiLevelType w:val="hybridMultilevel"/>
    <w:tmpl w:val="E6A4C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3B32F1"/>
    <w:multiLevelType w:val="hybridMultilevel"/>
    <w:tmpl w:val="76761308"/>
    <w:lvl w:ilvl="0" w:tplc="105026CC">
      <w:start w:val="1"/>
      <w:numFmt w:val="bullet"/>
      <w:lvlText w:val=""/>
      <w:lvlJc w:val="left"/>
      <w:pPr>
        <w:ind w:left="360" w:hanging="360"/>
      </w:pPr>
      <w:rPr>
        <w:rFonts w:ascii="Symbol" w:hAnsi="Symbol"/>
      </w:rPr>
    </w:lvl>
    <w:lvl w:ilvl="1" w:tplc="CCB241B4">
      <w:start w:val="1"/>
      <w:numFmt w:val="bullet"/>
      <w:lvlText w:val="o"/>
      <w:lvlJc w:val="left"/>
      <w:pPr>
        <w:ind w:left="1080" w:hanging="360"/>
      </w:pPr>
      <w:rPr>
        <w:rFonts w:ascii="Courier New" w:hAnsi="Courier New"/>
      </w:rPr>
    </w:lvl>
    <w:lvl w:ilvl="2" w:tplc="EA763C2E">
      <w:start w:val="1"/>
      <w:numFmt w:val="bullet"/>
      <w:lvlText w:val=""/>
      <w:lvlJc w:val="left"/>
      <w:pPr>
        <w:ind w:left="1800" w:hanging="360"/>
      </w:pPr>
      <w:rPr>
        <w:rFonts w:ascii="Wingdings" w:hAnsi="Wingdings"/>
      </w:rPr>
    </w:lvl>
    <w:lvl w:ilvl="3" w:tplc="2C14746A">
      <w:start w:val="1"/>
      <w:numFmt w:val="bullet"/>
      <w:lvlText w:val=""/>
      <w:lvlJc w:val="left"/>
      <w:pPr>
        <w:ind w:left="2520" w:hanging="360"/>
      </w:pPr>
      <w:rPr>
        <w:rFonts w:ascii="Symbol" w:hAnsi="Symbol"/>
      </w:rPr>
    </w:lvl>
    <w:lvl w:ilvl="4" w:tplc="9722996C">
      <w:start w:val="1"/>
      <w:numFmt w:val="bullet"/>
      <w:lvlText w:val="o"/>
      <w:lvlJc w:val="left"/>
      <w:pPr>
        <w:ind w:left="3240" w:hanging="360"/>
      </w:pPr>
      <w:rPr>
        <w:rFonts w:ascii="Courier New" w:hAnsi="Courier New"/>
      </w:rPr>
    </w:lvl>
    <w:lvl w:ilvl="5" w:tplc="6C5A4B7A">
      <w:start w:val="1"/>
      <w:numFmt w:val="bullet"/>
      <w:lvlText w:val=""/>
      <w:lvlJc w:val="left"/>
      <w:pPr>
        <w:ind w:left="3960" w:hanging="360"/>
      </w:pPr>
      <w:rPr>
        <w:rFonts w:ascii="Wingdings" w:hAnsi="Wingdings"/>
      </w:rPr>
    </w:lvl>
    <w:lvl w:ilvl="6" w:tplc="EBA0D954">
      <w:start w:val="1"/>
      <w:numFmt w:val="bullet"/>
      <w:lvlText w:val=""/>
      <w:lvlJc w:val="left"/>
      <w:pPr>
        <w:ind w:left="4680" w:hanging="360"/>
      </w:pPr>
      <w:rPr>
        <w:rFonts w:ascii="Symbol" w:hAnsi="Symbol"/>
      </w:rPr>
    </w:lvl>
    <w:lvl w:ilvl="7" w:tplc="0DC0EDA4">
      <w:start w:val="1"/>
      <w:numFmt w:val="bullet"/>
      <w:lvlText w:val="o"/>
      <w:lvlJc w:val="left"/>
      <w:pPr>
        <w:ind w:left="5400" w:hanging="360"/>
      </w:pPr>
      <w:rPr>
        <w:rFonts w:ascii="Courier New" w:hAnsi="Courier New"/>
      </w:rPr>
    </w:lvl>
    <w:lvl w:ilvl="8" w:tplc="490CD802">
      <w:start w:val="1"/>
      <w:numFmt w:val="bullet"/>
      <w:lvlText w:val=""/>
      <w:lvlJc w:val="left"/>
      <w:pPr>
        <w:ind w:left="6120" w:hanging="360"/>
      </w:pPr>
      <w:rPr>
        <w:rFonts w:ascii="Wingdings" w:hAnsi="Wingdings"/>
      </w:rPr>
    </w:lvl>
  </w:abstractNum>
  <w:abstractNum w:abstractNumId="14">
    <w:nsid w:val="53FF36D4"/>
    <w:multiLevelType w:val="hybridMultilevel"/>
    <w:tmpl w:val="B7ACBCC8"/>
    <w:lvl w:ilvl="0" w:tplc="4E5C8F8E">
      <w:start w:val="1"/>
      <w:numFmt w:val="bullet"/>
      <w:lvlText w:val=""/>
      <w:lvlJc w:val="left"/>
      <w:pPr>
        <w:ind w:left="1440" w:hanging="360"/>
      </w:pPr>
      <w:rPr>
        <w:rFonts w:ascii="Symbol" w:hAnsi="Symbol"/>
      </w:rPr>
    </w:lvl>
    <w:lvl w:ilvl="1" w:tplc="CEBC92D6">
      <w:start w:val="1"/>
      <w:numFmt w:val="bullet"/>
      <w:lvlText w:val="o"/>
      <w:lvlJc w:val="left"/>
      <w:pPr>
        <w:ind w:left="2160" w:hanging="360"/>
      </w:pPr>
      <w:rPr>
        <w:rFonts w:ascii="Courier New" w:hAnsi="Courier New"/>
      </w:rPr>
    </w:lvl>
    <w:lvl w:ilvl="2" w:tplc="C880553C">
      <w:start w:val="1"/>
      <w:numFmt w:val="bullet"/>
      <w:lvlText w:val=""/>
      <w:lvlJc w:val="left"/>
      <w:pPr>
        <w:ind w:left="2880" w:hanging="360"/>
      </w:pPr>
      <w:rPr>
        <w:rFonts w:ascii="Wingdings" w:hAnsi="Wingdings"/>
      </w:rPr>
    </w:lvl>
    <w:lvl w:ilvl="3" w:tplc="5332023C">
      <w:start w:val="1"/>
      <w:numFmt w:val="bullet"/>
      <w:lvlText w:val=""/>
      <w:lvlJc w:val="left"/>
      <w:pPr>
        <w:ind w:left="3600" w:hanging="360"/>
      </w:pPr>
      <w:rPr>
        <w:rFonts w:ascii="Symbol" w:hAnsi="Symbol"/>
      </w:rPr>
    </w:lvl>
    <w:lvl w:ilvl="4" w:tplc="1FBA9A0C">
      <w:start w:val="1"/>
      <w:numFmt w:val="bullet"/>
      <w:lvlText w:val="o"/>
      <w:lvlJc w:val="left"/>
      <w:pPr>
        <w:ind w:left="4320" w:hanging="360"/>
      </w:pPr>
      <w:rPr>
        <w:rFonts w:ascii="Courier New" w:hAnsi="Courier New"/>
      </w:rPr>
    </w:lvl>
    <w:lvl w:ilvl="5" w:tplc="6712B958">
      <w:start w:val="1"/>
      <w:numFmt w:val="bullet"/>
      <w:lvlText w:val=""/>
      <w:lvlJc w:val="left"/>
      <w:pPr>
        <w:ind w:left="5040" w:hanging="360"/>
      </w:pPr>
      <w:rPr>
        <w:rFonts w:ascii="Wingdings" w:hAnsi="Wingdings"/>
      </w:rPr>
    </w:lvl>
    <w:lvl w:ilvl="6" w:tplc="D7649076">
      <w:start w:val="1"/>
      <w:numFmt w:val="bullet"/>
      <w:lvlText w:val=""/>
      <w:lvlJc w:val="left"/>
      <w:pPr>
        <w:ind w:left="5760" w:hanging="360"/>
      </w:pPr>
      <w:rPr>
        <w:rFonts w:ascii="Symbol" w:hAnsi="Symbol"/>
      </w:rPr>
    </w:lvl>
    <w:lvl w:ilvl="7" w:tplc="A3D254F6">
      <w:start w:val="1"/>
      <w:numFmt w:val="bullet"/>
      <w:lvlText w:val="o"/>
      <w:lvlJc w:val="left"/>
      <w:pPr>
        <w:ind w:left="6480" w:hanging="360"/>
      </w:pPr>
      <w:rPr>
        <w:rFonts w:ascii="Courier New" w:hAnsi="Courier New"/>
      </w:rPr>
    </w:lvl>
    <w:lvl w:ilvl="8" w:tplc="BA68AB92">
      <w:start w:val="1"/>
      <w:numFmt w:val="bullet"/>
      <w:lvlText w:val=""/>
      <w:lvlJc w:val="left"/>
      <w:pPr>
        <w:ind w:left="7200" w:hanging="360"/>
      </w:pPr>
      <w:rPr>
        <w:rFonts w:ascii="Wingdings" w:hAnsi="Wingdings"/>
      </w:rPr>
    </w:lvl>
  </w:abstractNum>
  <w:abstractNum w:abstractNumId="15">
    <w:nsid w:val="55B53BF4"/>
    <w:multiLevelType w:val="hybridMultilevel"/>
    <w:tmpl w:val="DF4AA002"/>
    <w:lvl w:ilvl="0" w:tplc="DA7A1594">
      <w:start w:val="1"/>
      <w:numFmt w:val="bullet"/>
      <w:lvlText w:val=""/>
      <w:lvlJc w:val="left"/>
      <w:pPr>
        <w:ind w:left="720" w:hanging="360"/>
      </w:pPr>
      <w:rPr>
        <w:rFonts w:ascii="Symbol" w:hAnsi="Symbol"/>
      </w:rPr>
    </w:lvl>
    <w:lvl w:ilvl="1" w:tplc="171014EC">
      <w:start w:val="1"/>
      <w:numFmt w:val="bullet"/>
      <w:lvlText w:val="o"/>
      <w:lvlJc w:val="left"/>
      <w:pPr>
        <w:ind w:left="1440" w:hanging="360"/>
      </w:pPr>
      <w:rPr>
        <w:rFonts w:ascii="Courier New" w:hAnsi="Courier New"/>
      </w:rPr>
    </w:lvl>
    <w:lvl w:ilvl="2" w:tplc="0576C282">
      <w:start w:val="1"/>
      <w:numFmt w:val="bullet"/>
      <w:lvlText w:val=""/>
      <w:lvlJc w:val="left"/>
      <w:pPr>
        <w:ind w:left="2160" w:hanging="360"/>
      </w:pPr>
      <w:rPr>
        <w:rFonts w:ascii="Wingdings" w:hAnsi="Wingdings"/>
      </w:rPr>
    </w:lvl>
    <w:lvl w:ilvl="3" w:tplc="66402374">
      <w:start w:val="1"/>
      <w:numFmt w:val="bullet"/>
      <w:lvlText w:val=""/>
      <w:lvlJc w:val="left"/>
      <w:pPr>
        <w:ind w:left="2880" w:hanging="360"/>
      </w:pPr>
      <w:rPr>
        <w:rFonts w:ascii="Symbol" w:hAnsi="Symbol"/>
      </w:rPr>
    </w:lvl>
    <w:lvl w:ilvl="4" w:tplc="7F1E041E">
      <w:start w:val="1"/>
      <w:numFmt w:val="bullet"/>
      <w:lvlText w:val="o"/>
      <w:lvlJc w:val="left"/>
      <w:pPr>
        <w:ind w:left="3600" w:hanging="360"/>
      </w:pPr>
      <w:rPr>
        <w:rFonts w:ascii="Courier New" w:hAnsi="Courier New"/>
      </w:rPr>
    </w:lvl>
    <w:lvl w:ilvl="5" w:tplc="56BA97D6">
      <w:start w:val="1"/>
      <w:numFmt w:val="bullet"/>
      <w:lvlText w:val=""/>
      <w:lvlJc w:val="left"/>
      <w:pPr>
        <w:ind w:left="4320" w:hanging="360"/>
      </w:pPr>
      <w:rPr>
        <w:rFonts w:ascii="Wingdings" w:hAnsi="Wingdings"/>
      </w:rPr>
    </w:lvl>
    <w:lvl w:ilvl="6" w:tplc="9260D3A8">
      <w:start w:val="1"/>
      <w:numFmt w:val="bullet"/>
      <w:lvlText w:val=""/>
      <w:lvlJc w:val="left"/>
      <w:pPr>
        <w:ind w:left="5040" w:hanging="360"/>
      </w:pPr>
      <w:rPr>
        <w:rFonts w:ascii="Symbol" w:hAnsi="Symbol"/>
      </w:rPr>
    </w:lvl>
    <w:lvl w:ilvl="7" w:tplc="66DA13C2">
      <w:start w:val="1"/>
      <w:numFmt w:val="bullet"/>
      <w:lvlText w:val="o"/>
      <w:lvlJc w:val="left"/>
      <w:pPr>
        <w:ind w:left="5760" w:hanging="360"/>
      </w:pPr>
      <w:rPr>
        <w:rFonts w:ascii="Courier New" w:hAnsi="Courier New"/>
      </w:rPr>
    </w:lvl>
    <w:lvl w:ilvl="8" w:tplc="5094C284">
      <w:start w:val="1"/>
      <w:numFmt w:val="bullet"/>
      <w:lvlText w:val=""/>
      <w:lvlJc w:val="left"/>
      <w:pPr>
        <w:ind w:left="6480" w:hanging="360"/>
      </w:pPr>
      <w:rPr>
        <w:rFonts w:ascii="Wingdings" w:hAnsi="Wingdings"/>
      </w:rPr>
    </w:lvl>
  </w:abstractNum>
  <w:abstractNum w:abstractNumId="16">
    <w:nsid w:val="5EB62BD9"/>
    <w:multiLevelType w:val="hybridMultilevel"/>
    <w:tmpl w:val="A470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31579CA"/>
    <w:multiLevelType w:val="hybridMultilevel"/>
    <w:tmpl w:val="C6647A16"/>
    <w:lvl w:ilvl="0" w:tplc="FF761698">
      <w:start w:val="1"/>
      <w:numFmt w:val="bullet"/>
      <w:lvlText w:val=""/>
      <w:lvlJc w:val="left"/>
      <w:pPr>
        <w:ind w:left="720" w:hanging="360"/>
      </w:pPr>
      <w:rPr>
        <w:rFonts w:ascii="Symbol" w:hAnsi="Symbol"/>
      </w:rPr>
    </w:lvl>
    <w:lvl w:ilvl="1" w:tplc="0DF86002">
      <w:start w:val="1"/>
      <w:numFmt w:val="bullet"/>
      <w:lvlText w:val="o"/>
      <w:lvlJc w:val="left"/>
      <w:pPr>
        <w:ind w:left="1440" w:hanging="360"/>
      </w:pPr>
      <w:rPr>
        <w:rFonts w:ascii="Courier New" w:hAnsi="Courier New"/>
      </w:rPr>
    </w:lvl>
    <w:lvl w:ilvl="2" w:tplc="B4D6F65C">
      <w:start w:val="1"/>
      <w:numFmt w:val="bullet"/>
      <w:lvlText w:val=""/>
      <w:lvlJc w:val="left"/>
      <w:pPr>
        <w:ind w:left="2160" w:hanging="360"/>
      </w:pPr>
      <w:rPr>
        <w:rFonts w:ascii="Wingdings" w:hAnsi="Wingdings"/>
      </w:rPr>
    </w:lvl>
    <w:lvl w:ilvl="3" w:tplc="F054543A">
      <w:start w:val="1"/>
      <w:numFmt w:val="bullet"/>
      <w:lvlText w:val=""/>
      <w:lvlJc w:val="left"/>
      <w:pPr>
        <w:ind w:left="2880" w:hanging="360"/>
      </w:pPr>
      <w:rPr>
        <w:rFonts w:ascii="Symbol" w:hAnsi="Symbol"/>
      </w:rPr>
    </w:lvl>
    <w:lvl w:ilvl="4" w:tplc="B524D9CE">
      <w:start w:val="1"/>
      <w:numFmt w:val="bullet"/>
      <w:lvlText w:val="o"/>
      <w:lvlJc w:val="left"/>
      <w:pPr>
        <w:ind w:left="3600" w:hanging="360"/>
      </w:pPr>
      <w:rPr>
        <w:rFonts w:ascii="Courier New" w:hAnsi="Courier New"/>
      </w:rPr>
    </w:lvl>
    <w:lvl w:ilvl="5" w:tplc="61DA6DBE">
      <w:start w:val="1"/>
      <w:numFmt w:val="bullet"/>
      <w:lvlText w:val=""/>
      <w:lvlJc w:val="left"/>
      <w:pPr>
        <w:ind w:left="4320" w:hanging="360"/>
      </w:pPr>
      <w:rPr>
        <w:rFonts w:ascii="Wingdings" w:hAnsi="Wingdings"/>
      </w:rPr>
    </w:lvl>
    <w:lvl w:ilvl="6" w:tplc="837CCC18">
      <w:start w:val="1"/>
      <w:numFmt w:val="bullet"/>
      <w:lvlText w:val=""/>
      <w:lvlJc w:val="left"/>
      <w:pPr>
        <w:ind w:left="5040" w:hanging="360"/>
      </w:pPr>
      <w:rPr>
        <w:rFonts w:ascii="Symbol" w:hAnsi="Symbol"/>
      </w:rPr>
    </w:lvl>
    <w:lvl w:ilvl="7" w:tplc="5D482E2C">
      <w:start w:val="1"/>
      <w:numFmt w:val="bullet"/>
      <w:lvlText w:val="o"/>
      <w:lvlJc w:val="left"/>
      <w:pPr>
        <w:ind w:left="5760" w:hanging="360"/>
      </w:pPr>
      <w:rPr>
        <w:rFonts w:ascii="Courier New" w:hAnsi="Courier New"/>
      </w:rPr>
    </w:lvl>
    <w:lvl w:ilvl="8" w:tplc="C9EAC7A6">
      <w:start w:val="1"/>
      <w:numFmt w:val="bullet"/>
      <w:lvlText w:val=""/>
      <w:lvlJc w:val="left"/>
      <w:pPr>
        <w:ind w:left="6480" w:hanging="360"/>
      </w:pPr>
      <w:rPr>
        <w:rFonts w:ascii="Wingdings" w:hAnsi="Wingdings"/>
      </w:rPr>
    </w:lvl>
  </w:abstractNum>
  <w:abstractNum w:abstractNumId="18">
    <w:nsid w:val="63FC0EB3"/>
    <w:multiLevelType w:val="hybridMultilevel"/>
    <w:tmpl w:val="31D4EA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EB20F2"/>
    <w:multiLevelType w:val="singleLevel"/>
    <w:tmpl w:val="6FE2D3D2"/>
    <w:lvl w:ilvl="0">
      <w:start w:val="1"/>
      <w:numFmt w:val="bullet"/>
      <w:lvlText w:val="–"/>
      <w:lvlJc w:val="left"/>
      <w:pPr>
        <w:tabs>
          <w:tab w:val="num" w:pos="1728"/>
        </w:tabs>
        <w:ind w:left="1728" w:hanging="576"/>
      </w:pPr>
      <w:rPr>
        <w:rFonts w:ascii="Garamond" w:hAnsi="Garamond"/>
        <w:sz w:val="36"/>
      </w:rPr>
    </w:lvl>
  </w:abstractNum>
  <w:abstractNum w:abstractNumId="20">
    <w:nsid w:val="6B4A3E14"/>
    <w:multiLevelType w:val="hybridMultilevel"/>
    <w:tmpl w:val="CF2C6F5A"/>
    <w:lvl w:ilvl="0" w:tplc="B56097DA">
      <w:numFmt w:val="bullet"/>
      <w:lvlText w:val="•"/>
      <w:lvlJc w:val="left"/>
      <w:pPr>
        <w:ind w:left="1080" w:hanging="360"/>
      </w:pPr>
      <w:rPr>
        <w:rFonts w:ascii="Garamond" w:hAnsi="Garamond"/>
      </w:rPr>
    </w:lvl>
    <w:lvl w:ilvl="1" w:tplc="F70E6C9E">
      <w:start w:val="1"/>
      <w:numFmt w:val="bullet"/>
      <w:lvlText w:val="o"/>
      <w:lvlJc w:val="left"/>
      <w:pPr>
        <w:ind w:left="1440" w:hanging="360"/>
      </w:pPr>
      <w:rPr>
        <w:rFonts w:ascii="Courier New" w:hAnsi="Courier New"/>
      </w:rPr>
    </w:lvl>
    <w:lvl w:ilvl="2" w:tplc="7A9E9EE0">
      <w:start w:val="1"/>
      <w:numFmt w:val="bullet"/>
      <w:lvlText w:val=""/>
      <w:lvlJc w:val="left"/>
      <w:pPr>
        <w:ind w:left="2160" w:hanging="360"/>
      </w:pPr>
      <w:rPr>
        <w:rFonts w:ascii="Wingdings" w:hAnsi="Wingdings"/>
      </w:rPr>
    </w:lvl>
    <w:lvl w:ilvl="3" w:tplc="9D66D480">
      <w:start w:val="1"/>
      <w:numFmt w:val="bullet"/>
      <w:lvlText w:val=""/>
      <w:lvlJc w:val="left"/>
      <w:pPr>
        <w:ind w:left="2880" w:hanging="360"/>
      </w:pPr>
      <w:rPr>
        <w:rFonts w:ascii="Symbol" w:hAnsi="Symbol"/>
      </w:rPr>
    </w:lvl>
    <w:lvl w:ilvl="4" w:tplc="DE7843DE">
      <w:start w:val="1"/>
      <w:numFmt w:val="bullet"/>
      <w:lvlText w:val="o"/>
      <w:lvlJc w:val="left"/>
      <w:pPr>
        <w:ind w:left="3600" w:hanging="360"/>
      </w:pPr>
      <w:rPr>
        <w:rFonts w:ascii="Courier New" w:hAnsi="Courier New"/>
      </w:rPr>
    </w:lvl>
    <w:lvl w:ilvl="5" w:tplc="253A69C6">
      <w:start w:val="1"/>
      <w:numFmt w:val="bullet"/>
      <w:lvlText w:val=""/>
      <w:lvlJc w:val="left"/>
      <w:pPr>
        <w:ind w:left="4320" w:hanging="360"/>
      </w:pPr>
      <w:rPr>
        <w:rFonts w:ascii="Wingdings" w:hAnsi="Wingdings"/>
      </w:rPr>
    </w:lvl>
    <w:lvl w:ilvl="6" w:tplc="2A16D9B4">
      <w:start w:val="1"/>
      <w:numFmt w:val="bullet"/>
      <w:lvlText w:val=""/>
      <w:lvlJc w:val="left"/>
      <w:pPr>
        <w:ind w:left="5040" w:hanging="360"/>
      </w:pPr>
      <w:rPr>
        <w:rFonts w:ascii="Symbol" w:hAnsi="Symbol"/>
      </w:rPr>
    </w:lvl>
    <w:lvl w:ilvl="7" w:tplc="91503D86">
      <w:start w:val="1"/>
      <w:numFmt w:val="bullet"/>
      <w:lvlText w:val="o"/>
      <w:lvlJc w:val="left"/>
      <w:pPr>
        <w:ind w:left="5760" w:hanging="360"/>
      </w:pPr>
      <w:rPr>
        <w:rFonts w:ascii="Courier New" w:hAnsi="Courier New"/>
      </w:rPr>
    </w:lvl>
    <w:lvl w:ilvl="8" w:tplc="961ACEFE">
      <w:start w:val="1"/>
      <w:numFmt w:val="bullet"/>
      <w:lvlText w:val=""/>
      <w:lvlJc w:val="left"/>
      <w:pPr>
        <w:ind w:left="6480" w:hanging="360"/>
      </w:pPr>
      <w:rPr>
        <w:rFonts w:ascii="Wingdings" w:hAnsi="Wingdings"/>
      </w:rPr>
    </w:lvl>
  </w:abstractNum>
  <w:abstractNum w:abstractNumId="21">
    <w:nsid w:val="6C92718D"/>
    <w:multiLevelType w:val="hybridMultilevel"/>
    <w:tmpl w:val="94DAF8BE"/>
    <w:lvl w:ilvl="0" w:tplc="D332AFF8">
      <w:start w:val="1"/>
      <w:numFmt w:val="decimal"/>
      <w:lvlText w:val="%1."/>
      <w:lvlJc w:val="left"/>
      <w:pPr>
        <w:ind w:left="1080" w:hanging="360"/>
      </w:pPr>
    </w:lvl>
    <w:lvl w:ilvl="1" w:tplc="6532ACC4">
      <w:start w:val="1"/>
      <w:numFmt w:val="lowerLetter"/>
      <w:lvlText w:val="%2."/>
      <w:lvlJc w:val="left"/>
      <w:pPr>
        <w:ind w:left="1440" w:hanging="360"/>
      </w:pPr>
    </w:lvl>
    <w:lvl w:ilvl="2" w:tplc="86BC399A">
      <w:start w:val="1"/>
      <w:numFmt w:val="lowerRoman"/>
      <w:lvlText w:val="%3."/>
      <w:lvlJc w:val="right"/>
      <w:pPr>
        <w:ind w:left="2160" w:hanging="180"/>
      </w:pPr>
    </w:lvl>
    <w:lvl w:ilvl="3" w:tplc="12409CE4">
      <w:start w:val="1"/>
      <w:numFmt w:val="decimal"/>
      <w:lvlText w:val="%4."/>
      <w:lvlJc w:val="left"/>
      <w:pPr>
        <w:ind w:left="2880" w:hanging="360"/>
      </w:pPr>
    </w:lvl>
    <w:lvl w:ilvl="4" w:tplc="70D04408">
      <w:start w:val="1"/>
      <w:numFmt w:val="lowerLetter"/>
      <w:lvlText w:val="%5."/>
      <w:lvlJc w:val="left"/>
      <w:pPr>
        <w:ind w:left="3600" w:hanging="360"/>
      </w:pPr>
    </w:lvl>
    <w:lvl w:ilvl="5" w:tplc="73AADA54">
      <w:start w:val="1"/>
      <w:numFmt w:val="lowerRoman"/>
      <w:lvlText w:val="%6."/>
      <w:lvlJc w:val="right"/>
      <w:pPr>
        <w:ind w:left="4320" w:hanging="180"/>
      </w:pPr>
    </w:lvl>
    <w:lvl w:ilvl="6" w:tplc="428671E0">
      <w:start w:val="1"/>
      <w:numFmt w:val="decimal"/>
      <w:lvlText w:val="%7."/>
      <w:lvlJc w:val="left"/>
      <w:pPr>
        <w:ind w:left="5040" w:hanging="360"/>
      </w:pPr>
    </w:lvl>
    <w:lvl w:ilvl="7" w:tplc="342CD99A">
      <w:start w:val="1"/>
      <w:numFmt w:val="lowerLetter"/>
      <w:lvlText w:val="%8."/>
      <w:lvlJc w:val="left"/>
      <w:pPr>
        <w:ind w:left="5760" w:hanging="360"/>
      </w:pPr>
    </w:lvl>
    <w:lvl w:ilvl="8" w:tplc="75E8BAA2">
      <w:start w:val="1"/>
      <w:numFmt w:val="lowerRoman"/>
      <w:lvlText w:val="%9."/>
      <w:lvlJc w:val="right"/>
      <w:pPr>
        <w:ind w:left="6480" w:hanging="180"/>
      </w:pPr>
    </w:lvl>
  </w:abstractNum>
  <w:abstractNum w:abstractNumId="22">
    <w:nsid w:val="6EC662DF"/>
    <w:multiLevelType w:val="hybridMultilevel"/>
    <w:tmpl w:val="1696C312"/>
    <w:lvl w:ilvl="0" w:tplc="3028CD82">
      <w:start w:val="1"/>
      <w:numFmt w:val="bullet"/>
      <w:lvlText w:val=""/>
      <w:lvlJc w:val="left"/>
      <w:pPr>
        <w:ind w:left="720" w:hanging="360"/>
      </w:pPr>
      <w:rPr>
        <w:rFonts w:ascii="Symbol" w:hAnsi="Symbol"/>
      </w:rPr>
    </w:lvl>
    <w:lvl w:ilvl="1" w:tplc="9CE819AC">
      <w:start w:val="1"/>
      <w:numFmt w:val="bullet"/>
      <w:lvlText w:val="o"/>
      <w:lvlJc w:val="left"/>
      <w:pPr>
        <w:ind w:left="1440" w:hanging="360"/>
      </w:pPr>
      <w:rPr>
        <w:rFonts w:ascii="Courier New" w:hAnsi="Courier New"/>
      </w:rPr>
    </w:lvl>
    <w:lvl w:ilvl="2" w:tplc="3D78934A">
      <w:start w:val="1"/>
      <w:numFmt w:val="bullet"/>
      <w:lvlText w:val=""/>
      <w:lvlJc w:val="left"/>
      <w:pPr>
        <w:ind w:left="2160" w:hanging="360"/>
      </w:pPr>
      <w:rPr>
        <w:rFonts w:ascii="Wingdings" w:hAnsi="Wingdings"/>
      </w:rPr>
    </w:lvl>
    <w:lvl w:ilvl="3" w:tplc="0E0C59CE">
      <w:start w:val="1"/>
      <w:numFmt w:val="bullet"/>
      <w:lvlText w:val=""/>
      <w:lvlJc w:val="left"/>
      <w:pPr>
        <w:ind w:left="2880" w:hanging="360"/>
      </w:pPr>
      <w:rPr>
        <w:rFonts w:ascii="Symbol" w:hAnsi="Symbol"/>
      </w:rPr>
    </w:lvl>
    <w:lvl w:ilvl="4" w:tplc="863C2522">
      <w:start w:val="1"/>
      <w:numFmt w:val="bullet"/>
      <w:lvlText w:val="o"/>
      <w:lvlJc w:val="left"/>
      <w:pPr>
        <w:ind w:left="3600" w:hanging="360"/>
      </w:pPr>
      <w:rPr>
        <w:rFonts w:ascii="Courier New" w:hAnsi="Courier New"/>
      </w:rPr>
    </w:lvl>
    <w:lvl w:ilvl="5" w:tplc="FC76CD00">
      <w:start w:val="1"/>
      <w:numFmt w:val="bullet"/>
      <w:lvlText w:val=""/>
      <w:lvlJc w:val="left"/>
      <w:pPr>
        <w:ind w:left="4320" w:hanging="360"/>
      </w:pPr>
      <w:rPr>
        <w:rFonts w:ascii="Wingdings" w:hAnsi="Wingdings"/>
      </w:rPr>
    </w:lvl>
    <w:lvl w:ilvl="6" w:tplc="0E9E3BDA">
      <w:start w:val="1"/>
      <w:numFmt w:val="bullet"/>
      <w:lvlText w:val=""/>
      <w:lvlJc w:val="left"/>
      <w:pPr>
        <w:ind w:left="5040" w:hanging="360"/>
      </w:pPr>
      <w:rPr>
        <w:rFonts w:ascii="Symbol" w:hAnsi="Symbol"/>
      </w:rPr>
    </w:lvl>
    <w:lvl w:ilvl="7" w:tplc="7E7003D2">
      <w:start w:val="1"/>
      <w:numFmt w:val="bullet"/>
      <w:lvlText w:val="o"/>
      <w:lvlJc w:val="left"/>
      <w:pPr>
        <w:ind w:left="5760" w:hanging="360"/>
      </w:pPr>
      <w:rPr>
        <w:rFonts w:ascii="Courier New" w:hAnsi="Courier New"/>
      </w:rPr>
    </w:lvl>
    <w:lvl w:ilvl="8" w:tplc="FC5AD22E">
      <w:start w:val="1"/>
      <w:numFmt w:val="bullet"/>
      <w:lvlText w:val=""/>
      <w:lvlJc w:val="left"/>
      <w:pPr>
        <w:ind w:left="6480" w:hanging="360"/>
      </w:pPr>
      <w:rPr>
        <w:rFonts w:ascii="Wingdings" w:hAnsi="Wingdings"/>
      </w:rPr>
    </w:lvl>
  </w:abstractNum>
  <w:abstractNum w:abstractNumId="23">
    <w:nsid w:val="6F5B35D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0ED054A"/>
    <w:multiLevelType w:val="hybridMultilevel"/>
    <w:tmpl w:val="FFA88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4F4BBA"/>
    <w:multiLevelType w:val="hybridMultilevel"/>
    <w:tmpl w:val="0A2A4DA0"/>
    <w:lvl w:ilvl="0" w:tplc="ED242C7E">
      <w:start w:val="1"/>
      <w:numFmt w:val="lowerLetter"/>
      <w:lvlText w:val="%1."/>
      <w:lvlJc w:val="left"/>
      <w:pPr>
        <w:ind w:left="720" w:hanging="360"/>
      </w:pPr>
    </w:lvl>
    <w:lvl w:ilvl="1" w:tplc="6C160526">
      <w:start w:val="1"/>
      <w:numFmt w:val="lowerLetter"/>
      <w:lvlText w:val="%2."/>
      <w:lvlJc w:val="left"/>
      <w:pPr>
        <w:ind w:left="1440" w:hanging="360"/>
      </w:pPr>
    </w:lvl>
    <w:lvl w:ilvl="2" w:tplc="D004C28E">
      <w:start w:val="1"/>
      <w:numFmt w:val="lowerRoman"/>
      <w:lvlText w:val="%3."/>
      <w:lvlJc w:val="right"/>
      <w:pPr>
        <w:ind w:left="2160" w:hanging="180"/>
      </w:pPr>
    </w:lvl>
    <w:lvl w:ilvl="3" w:tplc="4F4456CA">
      <w:start w:val="1"/>
      <w:numFmt w:val="decimal"/>
      <w:lvlText w:val="%4."/>
      <w:lvlJc w:val="left"/>
      <w:pPr>
        <w:ind w:left="2880" w:hanging="360"/>
      </w:pPr>
    </w:lvl>
    <w:lvl w:ilvl="4" w:tplc="DCA671D2">
      <w:start w:val="1"/>
      <w:numFmt w:val="lowerLetter"/>
      <w:lvlText w:val="%5."/>
      <w:lvlJc w:val="left"/>
      <w:pPr>
        <w:ind w:left="3600" w:hanging="360"/>
      </w:pPr>
    </w:lvl>
    <w:lvl w:ilvl="5" w:tplc="F6F6D952">
      <w:start w:val="1"/>
      <w:numFmt w:val="lowerRoman"/>
      <w:lvlText w:val="%6."/>
      <w:lvlJc w:val="right"/>
      <w:pPr>
        <w:ind w:left="4320" w:hanging="180"/>
      </w:pPr>
    </w:lvl>
    <w:lvl w:ilvl="6" w:tplc="CCBE0F24">
      <w:start w:val="1"/>
      <w:numFmt w:val="decimal"/>
      <w:lvlText w:val="%7."/>
      <w:lvlJc w:val="left"/>
      <w:pPr>
        <w:ind w:left="5040" w:hanging="360"/>
      </w:pPr>
    </w:lvl>
    <w:lvl w:ilvl="7" w:tplc="15001F88">
      <w:start w:val="1"/>
      <w:numFmt w:val="lowerLetter"/>
      <w:lvlText w:val="%8."/>
      <w:lvlJc w:val="left"/>
      <w:pPr>
        <w:ind w:left="5760" w:hanging="360"/>
      </w:pPr>
    </w:lvl>
    <w:lvl w:ilvl="8" w:tplc="19005E9E">
      <w:start w:val="1"/>
      <w:numFmt w:val="lowerRoman"/>
      <w:lvlText w:val="%9."/>
      <w:lvlJc w:val="right"/>
      <w:pPr>
        <w:ind w:left="6480" w:hanging="180"/>
      </w:pPr>
    </w:lvl>
  </w:abstractNum>
  <w:abstractNum w:abstractNumId="26">
    <w:nsid w:val="7D93436D"/>
    <w:multiLevelType w:val="hybridMultilevel"/>
    <w:tmpl w:val="07F4686A"/>
    <w:lvl w:ilvl="0" w:tplc="27B0D62C">
      <w:start w:val="1"/>
      <w:numFmt w:val="bullet"/>
      <w:lvlText w:val=""/>
      <w:lvlJc w:val="left"/>
      <w:pPr>
        <w:ind w:left="720" w:hanging="360"/>
      </w:pPr>
      <w:rPr>
        <w:rFonts w:ascii="Symbol" w:hAnsi="Symbol"/>
      </w:rPr>
    </w:lvl>
    <w:lvl w:ilvl="1" w:tplc="F0686856">
      <w:start w:val="1"/>
      <w:numFmt w:val="bullet"/>
      <w:lvlText w:val="o"/>
      <w:lvlJc w:val="left"/>
      <w:pPr>
        <w:ind w:left="1440" w:hanging="360"/>
      </w:pPr>
      <w:rPr>
        <w:rFonts w:ascii="Courier New" w:hAnsi="Courier New"/>
      </w:rPr>
    </w:lvl>
    <w:lvl w:ilvl="2" w:tplc="148EF6EE">
      <w:start w:val="1"/>
      <w:numFmt w:val="bullet"/>
      <w:lvlText w:val=""/>
      <w:lvlJc w:val="left"/>
      <w:pPr>
        <w:ind w:left="2160" w:hanging="360"/>
      </w:pPr>
      <w:rPr>
        <w:rFonts w:ascii="Wingdings" w:hAnsi="Wingdings"/>
      </w:rPr>
    </w:lvl>
    <w:lvl w:ilvl="3" w:tplc="B2D88884">
      <w:start w:val="1"/>
      <w:numFmt w:val="bullet"/>
      <w:lvlText w:val=""/>
      <w:lvlJc w:val="left"/>
      <w:pPr>
        <w:ind w:left="2880" w:hanging="360"/>
      </w:pPr>
      <w:rPr>
        <w:rFonts w:ascii="Symbol" w:hAnsi="Symbol"/>
      </w:rPr>
    </w:lvl>
    <w:lvl w:ilvl="4" w:tplc="B1A492B6">
      <w:start w:val="1"/>
      <w:numFmt w:val="bullet"/>
      <w:lvlText w:val="o"/>
      <w:lvlJc w:val="left"/>
      <w:pPr>
        <w:ind w:left="3600" w:hanging="360"/>
      </w:pPr>
      <w:rPr>
        <w:rFonts w:ascii="Courier New" w:hAnsi="Courier New"/>
      </w:rPr>
    </w:lvl>
    <w:lvl w:ilvl="5" w:tplc="BB60FC38">
      <w:start w:val="1"/>
      <w:numFmt w:val="bullet"/>
      <w:lvlText w:val=""/>
      <w:lvlJc w:val="left"/>
      <w:pPr>
        <w:ind w:left="4320" w:hanging="360"/>
      </w:pPr>
      <w:rPr>
        <w:rFonts w:ascii="Wingdings" w:hAnsi="Wingdings"/>
      </w:rPr>
    </w:lvl>
    <w:lvl w:ilvl="6" w:tplc="BC1860CA">
      <w:start w:val="1"/>
      <w:numFmt w:val="bullet"/>
      <w:lvlText w:val=""/>
      <w:lvlJc w:val="left"/>
      <w:pPr>
        <w:ind w:left="5040" w:hanging="360"/>
      </w:pPr>
      <w:rPr>
        <w:rFonts w:ascii="Symbol" w:hAnsi="Symbol"/>
      </w:rPr>
    </w:lvl>
    <w:lvl w:ilvl="7" w:tplc="A62A3C34">
      <w:start w:val="1"/>
      <w:numFmt w:val="bullet"/>
      <w:lvlText w:val="o"/>
      <w:lvlJc w:val="left"/>
      <w:pPr>
        <w:ind w:left="5760" w:hanging="360"/>
      </w:pPr>
      <w:rPr>
        <w:rFonts w:ascii="Courier New" w:hAnsi="Courier New"/>
      </w:rPr>
    </w:lvl>
    <w:lvl w:ilvl="8" w:tplc="F35A67BC">
      <w:start w:val="1"/>
      <w:numFmt w:val="bullet"/>
      <w:lvlText w:val=""/>
      <w:lvlJc w:val="left"/>
      <w:pPr>
        <w:ind w:left="6480" w:hanging="360"/>
      </w:pPr>
      <w:rPr>
        <w:rFonts w:ascii="Wingdings" w:hAnsi="Wingdings"/>
      </w:rPr>
    </w:lvl>
  </w:abstractNum>
  <w:abstractNum w:abstractNumId="27">
    <w:nsid w:val="7EBE05DB"/>
    <w:multiLevelType w:val="hybridMultilevel"/>
    <w:tmpl w:val="69A68898"/>
    <w:lvl w:ilvl="0" w:tplc="C3FC57F0">
      <w:start w:val="1"/>
      <w:numFmt w:val="bullet"/>
      <w:lvlText w:val=""/>
      <w:lvlJc w:val="left"/>
      <w:pPr>
        <w:ind w:left="360" w:hanging="360"/>
      </w:pPr>
      <w:rPr>
        <w:rFonts w:ascii="Symbol" w:hAnsi="Symbol"/>
      </w:rPr>
    </w:lvl>
    <w:lvl w:ilvl="1" w:tplc="2766E68E">
      <w:start w:val="1"/>
      <w:numFmt w:val="bullet"/>
      <w:lvlText w:val="o"/>
      <w:lvlJc w:val="left"/>
      <w:pPr>
        <w:ind w:left="1080" w:hanging="360"/>
      </w:pPr>
      <w:rPr>
        <w:rFonts w:ascii="Courier New" w:hAnsi="Courier New"/>
      </w:rPr>
    </w:lvl>
    <w:lvl w:ilvl="2" w:tplc="7DC67182">
      <w:start w:val="1"/>
      <w:numFmt w:val="bullet"/>
      <w:lvlText w:val=""/>
      <w:lvlJc w:val="left"/>
      <w:pPr>
        <w:ind w:left="1800" w:hanging="360"/>
      </w:pPr>
      <w:rPr>
        <w:rFonts w:ascii="Wingdings" w:hAnsi="Wingdings"/>
      </w:rPr>
    </w:lvl>
    <w:lvl w:ilvl="3" w:tplc="21227A7E">
      <w:start w:val="1"/>
      <w:numFmt w:val="bullet"/>
      <w:lvlText w:val=""/>
      <w:lvlJc w:val="left"/>
      <w:pPr>
        <w:ind w:left="2520" w:hanging="360"/>
      </w:pPr>
      <w:rPr>
        <w:rFonts w:ascii="Symbol" w:hAnsi="Symbol"/>
      </w:rPr>
    </w:lvl>
    <w:lvl w:ilvl="4" w:tplc="CB0E9148">
      <w:start w:val="1"/>
      <w:numFmt w:val="bullet"/>
      <w:lvlText w:val="o"/>
      <w:lvlJc w:val="left"/>
      <w:pPr>
        <w:ind w:left="3240" w:hanging="360"/>
      </w:pPr>
      <w:rPr>
        <w:rFonts w:ascii="Courier New" w:hAnsi="Courier New"/>
      </w:rPr>
    </w:lvl>
    <w:lvl w:ilvl="5" w:tplc="042EC4FA">
      <w:start w:val="1"/>
      <w:numFmt w:val="bullet"/>
      <w:lvlText w:val=""/>
      <w:lvlJc w:val="left"/>
      <w:pPr>
        <w:ind w:left="3960" w:hanging="360"/>
      </w:pPr>
      <w:rPr>
        <w:rFonts w:ascii="Wingdings" w:hAnsi="Wingdings"/>
      </w:rPr>
    </w:lvl>
    <w:lvl w:ilvl="6" w:tplc="21C86B4C">
      <w:start w:val="1"/>
      <w:numFmt w:val="bullet"/>
      <w:lvlText w:val=""/>
      <w:lvlJc w:val="left"/>
      <w:pPr>
        <w:ind w:left="4680" w:hanging="360"/>
      </w:pPr>
      <w:rPr>
        <w:rFonts w:ascii="Symbol" w:hAnsi="Symbol"/>
      </w:rPr>
    </w:lvl>
    <w:lvl w:ilvl="7" w:tplc="AD46EF24">
      <w:start w:val="1"/>
      <w:numFmt w:val="bullet"/>
      <w:lvlText w:val="o"/>
      <w:lvlJc w:val="left"/>
      <w:pPr>
        <w:ind w:left="5400" w:hanging="360"/>
      </w:pPr>
      <w:rPr>
        <w:rFonts w:ascii="Courier New" w:hAnsi="Courier New"/>
      </w:rPr>
    </w:lvl>
    <w:lvl w:ilvl="8" w:tplc="D96CC560">
      <w:start w:val="1"/>
      <w:numFmt w:val="bullet"/>
      <w:lvlText w:val=""/>
      <w:lvlJc w:val="left"/>
      <w:pPr>
        <w:ind w:left="6120" w:hanging="360"/>
      </w:pPr>
      <w:rPr>
        <w:rFonts w:ascii="Wingdings" w:hAnsi="Wingdings"/>
      </w:rPr>
    </w:lvl>
  </w:abstractNum>
  <w:num w:numId="1">
    <w:abstractNumId w:val="3"/>
  </w:num>
  <w:num w:numId="2">
    <w:abstractNumId w:val="3"/>
  </w:num>
  <w:num w:numId="3">
    <w:abstractNumId w:val="2"/>
  </w:num>
  <w:num w:numId="4">
    <w:abstractNumId w:val="1"/>
  </w:num>
  <w:num w:numId="5">
    <w:abstractNumId w:val="15"/>
  </w:num>
  <w:num w:numId="6">
    <w:abstractNumId w:val="6"/>
  </w:num>
  <w:num w:numId="7">
    <w:abstractNumId w:val="23"/>
  </w:num>
  <w:num w:numId="8">
    <w:abstractNumId w:val="23"/>
  </w:num>
  <w:num w:numId="9">
    <w:abstractNumId w:val="14"/>
  </w:num>
  <w:num w:numId="10">
    <w:abstractNumId w:val="4"/>
  </w:num>
  <w:num w:numId="11">
    <w:abstractNumId w:val="20"/>
  </w:num>
  <w:num w:numId="12">
    <w:abstractNumId w:val="26"/>
  </w:num>
  <w:num w:numId="13">
    <w:abstractNumId w:val="22"/>
  </w:num>
  <w:num w:numId="14">
    <w:abstractNumId w:val="8"/>
  </w:num>
  <w:num w:numId="15">
    <w:abstractNumId w:val="21"/>
  </w:num>
  <w:num w:numId="16">
    <w:abstractNumId w:val="5"/>
  </w:num>
  <w:num w:numId="17">
    <w:abstractNumId w:val="7"/>
  </w:num>
  <w:num w:numId="18">
    <w:abstractNumId w:val="19"/>
  </w:num>
  <w:num w:numId="19">
    <w:abstractNumId w:val="25"/>
  </w:num>
  <w:num w:numId="20">
    <w:abstractNumId w:val="9"/>
  </w:num>
  <w:num w:numId="21">
    <w:abstractNumId w:val="0"/>
  </w:num>
  <w:num w:numId="22">
    <w:abstractNumId w:val="11"/>
  </w:num>
  <w:num w:numId="23">
    <w:abstractNumId w:val="17"/>
  </w:num>
  <w:num w:numId="24">
    <w:abstractNumId w:val="13"/>
  </w:num>
  <w:num w:numId="25">
    <w:abstractNumId w:val="27"/>
  </w:num>
  <w:num w:numId="26">
    <w:abstractNumId w:val="18"/>
  </w:num>
  <w:num w:numId="27">
    <w:abstractNumId w:val="1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k Gonzales">
    <w15:presenceInfo w15:providerId="Windows Live" w15:userId="b9bca58f25d6e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23A"/>
    <w:rsid w:val="0000030B"/>
    <w:rsid w:val="0000202F"/>
    <w:rsid w:val="00007462"/>
    <w:rsid w:val="00010342"/>
    <w:rsid w:val="000103BF"/>
    <w:rsid w:val="00010853"/>
    <w:rsid w:val="00010BEA"/>
    <w:rsid w:val="00010C98"/>
    <w:rsid w:val="00010D8C"/>
    <w:rsid w:val="00011480"/>
    <w:rsid w:val="00011F9B"/>
    <w:rsid w:val="00015093"/>
    <w:rsid w:val="00015432"/>
    <w:rsid w:val="000174F1"/>
    <w:rsid w:val="00020023"/>
    <w:rsid w:val="000208AC"/>
    <w:rsid w:val="00022999"/>
    <w:rsid w:val="00022A19"/>
    <w:rsid w:val="00024066"/>
    <w:rsid w:val="00024BA5"/>
    <w:rsid w:val="00025B0A"/>
    <w:rsid w:val="00025D2F"/>
    <w:rsid w:val="00027FFD"/>
    <w:rsid w:val="000304CE"/>
    <w:rsid w:val="000307BF"/>
    <w:rsid w:val="0003133C"/>
    <w:rsid w:val="000313B7"/>
    <w:rsid w:val="00033085"/>
    <w:rsid w:val="00033C2C"/>
    <w:rsid w:val="0004156D"/>
    <w:rsid w:val="0004226A"/>
    <w:rsid w:val="000457BC"/>
    <w:rsid w:val="00045DD2"/>
    <w:rsid w:val="0004623A"/>
    <w:rsid w:val="00046B09"/>
    <w:rsid w:val="0004794E"/>
    <w:rsid w:val="000531A3"/>
    <w:rsid w:val="00053B34"/>
    <w:rsid w:val="00055C0E"/>
    <w:rsid w:val="00060258"/>
    <w:rsid w:val="00060B10"/>
    <w:rsid w:val="00060B43"/>
    <w:rsid w:val="00060C5E"/>
    <w:rsid w:val="00060F5F"/>
    <w:rsid w:val="000611DB"/>
    <w:rsid w:val="0006281B"/>
    <w:rsid w:val="00062C14"/>
    <w:rsid w:val="00062CA3"/>
    <w:rsid w:val="00063322"/>
    <w:rsid w:val="00067B6B"/>
    <w:rsid w:val="0007313A"/>
    <w:rsid w:val="00073696"/>
    <w:rsid w:val="0007555C"/>
    <w:rsid w:val="00075A2E"/>
    <w:rsid w:val="00075F30"/>
    <w:rsid w:val="00076F6D"/>
    <w:rsid w:val="000808D8"/>
    <w:rsid w:val="00081F23"/>
    <w:rsid w:val="00084322"/>
    <w:rsid w:val="00084B9F"/>
    <w:rsid w:val="00085D2B"/>
    <w:rsid w:val="000876FE"/>
    <w:rsid w:val="000911D0"/>
    <w:rsid w:val="00092F67"/>
    <w:rsid w:val="000955DC"/>
    <w:rsid w:val="0009579D"/>
    <w:rsid w:val="00095DB6"/>
    <w:rsid w:val="000965C8"/>
    <w:rsid w:val="00096A04"/>
    <w:rsid w:val="00097392"/>
    <w:rsid w:val="00097994"/>
    <w:rsid w:val="000A0E37"/>
    <w:rsid w:val="000A2847"/>
    <w:rsid w:val="000A3C71"/>
    <w:rsid w:val="000A72A5"/>
    <w:rsid w:val="000A760F"/>
    <w:rsid w:val="000A7E88"/>
    <w:rsid w:val="000B02D3"/>
    <w:rsid w:val="000B0F19"/>
    <w:rsid w:val="000B1ACC"/>
    <w:rsid w:val="000B1B77"/>
    <w:rsid w:val="000B2391"/>
    <w:rsid w:val="000B7CDF"/>
    <w:rsid w:val="000B7F24"/>
    <w:rsid w:val="000C00D1"/>
    <w:rsid w:val="000C0188"/>
    <w:rsid w:val="000C0898"/>
    <w:rsid w:val="000C3B1F"/>
    <w:rsid w:val="000C56BA"/>
    <w:rsid w:val="000C5B83"/>
    <w:rsid w:val="000C623E"/>
    <w:rsid w:val="000D07EB"/>
    <w:rsid w:val="000D105B"/>
    <w:rsid w:val="000D1450"/>
    <w:rsid w:val="000D1C54"/>
    <w:rsid w:val="000D3317"/>
    <w:rsid w:val="000D4059"/>
    <w:rsid w:val="000D7A4E"/>
    <w:rsid w:val="000E0038"/>
    <w:rsid w:val="000E2B00"/>
    <w:rsid w:val="000E33E2"/>
    <w:rsid w:val="000E43A7"/>
    <w:rsid w:val="000E5C5B"/>
    <w:rsid w:val="000E74CC"/>
    <w:rsid w:val="000E7643"/>
    <w:rsid w:val="000E7D4C"/>
    <w:rsid w:val="000F28A1"/>
    <w:rsid w:val="000F3B16"/>
    <w:rsid w:val="000F45D6"/>
    <w:rsid w:val="000F4C26"/>
    <w:rsid w:val="00100982"/>
    <w:rsid w:val="00105E76"/>
    <w:rsid w:val="0010711A"/>
    <w:rsid w:val="00112DE4"/>
    <w:rsid w:val="001133B8"/>
    <w:rsid w:val="00114267"/>
    <w:rsid w:val="00115047"/>
    <w:rsid w:val="00116A74"/>
    <w:rsid w:val="00116E0A"/>
    <w:rsid w:val="0012218A"/>
    <w:rsid w:val="001228D3"/>
    <w:rsid w:val="00123068"/>
    <w:rsid w:val="00124C41"/>
    <w:rsid w:val="00125AB9"/>
    <w:rsid w:val="00125E38"/>
    <w:rsid w:val="001271BE"/>
    <w:rsid w:val="001319AF"/>
    <w:rsid w:val="00131C42"/>
    <w:rsid w:val="00135D39"/>
    <w:rsid w:val="00140921"/>
    <w:rsid w:val="00142727"/>
    <w:rsid w:val="0014296C"/>
    <w:rsid w:val="00144C26"/>
    <w:rsid w:val="00144F67"/>
    <w:rsid w:val="0014743B"/>
    <w:rsid w:val="001518BC"/>
    <w:rsid w:val="00152586"/>
    <w:rsid w:val="001528B3"/>
    <w:rsid w:val="00155950"/>
    <w:rsid w:val="00155C58"/>
    <w:rsid w:val="001560A4"/>
    <w:rsid w:val="00157484"/>
    <w:rsid w:val="00157FD2"/>
    <w:rsid w:val="00160EA7"/>
    <w:rsid w:val="00160F2A"/>
    <w:rsid w:val="00161036"/>
    <w:rsid w:val="0016431A"/>
    <w:rsid w:val="00167702"/>
    <w:rsid w:val="00171947"/>
    <w:rsid w:val="0017474C"/>
    <w:rsid w:val="00175B20"/>
    <w:rsid w:val="00177963"/>
    <w:rsid w:val="00181EB4"/>
    <w:rsid w:val="00184069"/>
    <w:rsid w:val="001855C3"/>
    <w:rsid w:val="001856A3"/>
    <w:rsid w:val="00186BFE"/>
    <w:rsid w:val="00190301"/>
    <w:rsid w:val="00190868"/>
    <w:rsid w:val="00190CB2"/>
    <w:rsid w:val="00191B68"/>
    <w:rsid w:val="00193054"/>
    <w:rsid w:val="00194B50"/>
    <w:rsid w:val="0019513B"/>
    <w:rsid w:val="00195588"/>
    <w:rsid w:val="00196657"/>
    <w:rsid w:val="001A0055"/>
    <w:rsid w:val="001A25B3"/>
    <w:rsid w:val="001A3559"/>
    <w:rsid w:val="001A3E5D"/>
    <w:rsid w:val="001A4196"/>
    <w:rsid w:val="001A7ABE"/>
    <w:rsid w:val="001A7B52"/>
    <w:rsid w:val="001B038B"/>
    <w:rsid w:val="001B3EC8"/>
    <w:rsid w:val="001B5E53"/>
    <w:rsid w:val="001C040B"/>
    <w:rsid w:val="001C0CBB"/>
    <w:rsid w:val="001C50FD"/>
    <w:rsid w:val="001C63B8"/>
    <w:rsid w:val="001C6DEF"/>
    <w:rsid w:val="001D0F4C"/>
    <w:rsid w:val="001D21D2"/>
    <w:rsid w:val="001D28E8"/>
    <w:rsid w:val="001D2D91"/>
    <w:rsid w:val="001D48F7"/>
    <w:rsid w:val="001D5D40"/>
    <w:rsid w:val="001D622C"/>
    <w:rsid w:val="001E021E"/>
    <w:rsid w:val="001E031B"/>
    <w:rsid w:val="001E1035"/>
    <w:rsid w:val="001E1E63"/>
    <w:rsid w:val="001E3AC8"/>
    <w:rsid w:val="001E4643"/>
    <w:rsid w:val="001E6475"/>
    <w:rsid w:val="001E745C"/>
    <w:rsid w:val="001F2341"/>
    <w:rsid w:val="001F2E7C"/>
    <w:rsid w:val="001F4798"/>
    <w:rsid w:val="001F593D"/>
    <w:rsid w:val="001F5C2B"/>
    <w:rsid w:val="001F5ED0"/>
    <w:rsid w:val="001F64FC"/>
    <w:rsid w:val="001F6D48"/>
    <w:rsid w:val="001F7507"/>
    <w:rsid w:val="002000D2"/>
    <w:rsid w:val="00200693"/>
    <w:rsid w:val="00203423"/>
    <w:rsid w:val="00206CD7"/>
    <w:rsid w:val="00207A7A"/>
    <w:rsid w:val="00210851"/>
    <w:rsid w:val="002108B9"/>
    <w:rsid w:val="00210E41"/>
    <w:rsid w:val="0021171A"/>
    <w:rsid w:val="00213ABB"/>
    <w:rsid w:val="00214080"/>
    <w:rsid w:val="00221F73"/>
    <w:rsid w:val="00222B29"/>
    <w:rsid w:val="002230B5"/>
    <w:rsid w:val="002238C8"/>
    <w:rsid w:val="00223BA0"/>
    <w:rsid w:val="00224012"/>
    <w:rsid w:val="00225FFB"/>
    <w:rsid w:val="00227B2C"/>
    <w:rsid w:val="00230A42"/>
    <w:rsid w:val="002319C3"/>
    <w:rsid w:val="00231BBA"/>
    <w:rsid w:val="00233EC7"/>
    <w:rsid w:val="002351B2"/>
    <w:rsid w:val="00235AD5"/>
    <w:rsid w:val="00235CAD"/>
    <w:rsid w:val="0023681F"/>
    <w:rsid w:val="00236A8F"/>
    <w:rsid w:val="0024426B"/>
    <w:rsid w:val="00244B12"/>
    <w:rsid w:val="00246019"/>
    <w:rsid w:val="00250755"/>
    <w:rsid w:val="0025360F"/>
    <w:rsid w:val="002543BB"/>
    <w:rsid w:val="00254613"/>
    <w:rsid w:val="00255353"/>
    <w:rsid w:val="002563AF"/>
    <w:rsid w:val="002566C4"/>
    <w:rsid w:val="00257262"/>
    <w:rsid w:val="002636E0"/>
    <w:rsid w:val="00264C92"/>
    <w:rsid w:val="002677B1"/>
    <w:rsid w:val="00267884"/>
    <w:rsid w:val="0027046E"/>
    <w:rsid w:val="00275C1E"/>
    <w:rsid w:val="002763A2"/>
    <w:rsid w:val="00282E02"/>
    <w:rsid w:val="0028372D"/>
    <w:rsid w:val="00285366"/>
    <w:rsid w:val="00286789"/>
    <w:rsid w:val="002876BF"/>
    <w:rsid w:val="00287719"/>
    <w:rsid w:val="00287B49"/>
    <w:rsid w:val="00290D7B"/>
    <w:rsid w:val="00292173"/>
    <w:rsid w:val="00292A68"/>
    <w:rsid w:val="00292AEE"/>
    <w:rsid w:val="00292CBC"/>
    <w:rsid w:val="002941EA"/>
    <w:rsid w:val="002A15ED"/>
    <w:rsid w:val="002A2B63"/>
    <w:rsid w:val="002A3035"/>
    <w:rsid w:val="002A49FD"/>
    <w:rsid w:val="002B491E"/>
    <w:rsid w:val="002B61CC"/>
    <w:rsid w:val="002B6B31"/>
    <w:rsid w:val="002C00E6"/>
    <w:rsid w:val="002C1BDA"/>
    <w:rsid w:val="002C1CCE"/>
    <w:rsid w:val="002C21B9"/>
    <w:rsid w:val="002C2CB0"/>
    <w:rsid w:val="002C567A"/>
    <w:rsid w:val="002C57D0"/>
    <w:rsid w:val="002C5A9D"/>
    <w:rsid w:val="002C5AF9"/>
    <w:rsid w:val="002D031E"/>
    <w:rsid w:val="002D1AB1"/>
    <w:rsid w:val="002D2238"/>
    <w:rsid w:val="002D264E"/>
    <w:rsid w:val="002D4E99"/>
    <w:rsid w:val="002D6263"/>
    <w:rsid w:val="002E06E5"/>
    <w:rsid w:val="002E2838"/>
    <w:rsid w:val="002E3AED"/>
    <w:rsid w:val="002E48CF"/>
    <w:rsid w:val="002E4948"/>
    <w:rsid w:val="002E7EA9"/>
    <w:rsid w:val="002E7FCC"/>
    <w:rsid w:val="002F2289"/>
    <w:rsid w:val="002F6CAA"/>
    <w:rsid w:val="00300499"/>
    <w:rsid w:val="00300613"/>
    <w:rsid w:val="003023E8"/>
    <w:rsid w:val="00303CF9"/>
    <w:rsid w:val="00305144"/>
    <w:rsid w:val="0030584D"/>
    <w:rsid w:val="003061E4"/>
    <w:rsid w:val="0031144E"/>
    <w:rsid w:val="0031149B"/>
    <w:rsid w:val="00311F79"/>
    <w:rsid w:val="003126DA"/>
    <w:rsid w:val="0031558C"/>
    <w:rsid w:val="00315F3E"/>
    <w:rsid w:val="00315F86"/>
    <w:rsid w:val="00317BF9"/>
    <w:rsid w:val="003231BB"/>
    <w:rsid w:val="00324406"/>
    <w:rsid w:val="00325C46"/>
    <w:rsid w:val="0032749D"/>
    <w:rsid w:val="003317EB"/>
    <w:rsid w:val="00331DC3"/>
    <w:rsid w:val="003335E4"/>
    <w:rsid w:val="00333805"/>
    <w:rsid w:val="0033525A"/>
    <w:rsid w:val="00337706"/>
    <w:rsid w:val="003405F2"/>
    <w:rsid w:val="00342590"/>
    <w:rsid w:val="0034263B"/>
    <w:rsid w:val="00344B41"/>
    <w:rsid w:val="00344C59"/>
    <w:rsid w:val="003464CD"/>
    <w:rsid w:val="0034763B"/>
    <w:rsid w:val="00351509"/>
    <w:rsid w:val="00351939"/>
    <w:rsid w:val="00351FA5"/>
    <w:rsid w:val="00352194"/>
    <w:rsid w:val="00352F2D"/>
    <w:rsid w:val="003533DD"/>
    <w:rsid w:val="00355C96"/>
    <w:rsid w:val="00355E1E"/>
    <w:rsid w:val="00356B14"/>
    <w:rsid w:val="00361AE2"/>
    <w:rsid w:val="00364E39"/>
    <w:rsid w:val="003653D8"/>
    <w:rsid w:val="00365C80"/>
    <w:rsid w:val="00365D31"/>
    <w:rsid w:val="0036717E"/>
    <w:rsid w:val="003746F6"/>
    <w:rsid w:val="003773ED"/>
    <w:rsid w:val="003777DC"/>
    <w:rsid w:val="00377DE4"/>
    <w:rsid w:val="00380228"/>
    <w:rsid w:val="0038193C"/>
    <w:rsid w:val="00382475"/>
    <w:rsid w:val="00383537"/>
    <w:rsid w:val="00387E87"/>
    <w:rsid w:val="00391A67"/>
    <w:rsid w:val="00391B26"/>
    <w:rsid w:val="00391B44"/>
    <w:rsid w:val="00392E3E"/>
    <w:rsid w:val="00393E36"/>
    <w:rsid w:val="003942D7"/>
    <w:rsid w:val="00397F81"/>
    <w:rsid w:val="003A1C10"/>
    <w:rsid w:val="003A4583"/>
    <w:rsid w:val="003A5E14"/>
    <w:rsid w:val="003B0479"/>
    <w:rsid w:val="003B2733"/>
    <w:rsid w:val="003B493D"/>
    <w:rsid w:val="003B4DEC"/>
    <w:rsid w:val="003B5161"/>
    <w:rsid w:val="003B52AB"/>
    <w:rsid w:val="003B7053"/>
    <w:rsid w:val="003C00FB"/>
    <w:rsid w:val="003C1E98"/>
    <w:rsid w:val="003C2A3B"/>
    <w:rsid w:val="003C5A4F"/>
    <w:rsid w:val="003C6146"/>
    <w:rsid w:val="003C6767"/>
    <w:rsid w:val="003C690E"/>
    <w:rsid w:val="003D0B8C"/>
    <w:rsid w:val="003D2070"/>
    <w:rsid w:val="003D2B5D"/>
    <w:rsid w:val="003D3AA7"/>
    <w:rsid w:val="003D4DB8"/>
    <w:rsid w:val="003D5063"/>
    <w:rsid w:val="003D6F3D"/>
    <w:rsid w:val="003D70B7"/>
    <w:rsid w:val="003D7269"/>
    <w:rsid w:val="003E01F5"/>
    <w:rsid w:val="003E103E"/>
    <w:rsid w:val="003E12B2"/>
    <w:rsid w:val="003E233A"/>
    <w:rsid w:val="003E76A6"/>
    <w:rsid w:val="003E7C8E"/>
    <w:rsid w:val="003E7F02"/>
    <w:rsid w:val="003F486C"/>
    <w:rsid w:val="003F4983"/>
    <w:rsid w:val="003F6784"/>
    <w:rsid w:val="003F681D"/>
    <w:rsid w:val="003F79A7"/>
    <w:rsid w:val="0040010D"/>
    <w:rsid w:val="00400E81"/>
    <w:rsid w:val="00402CEB"/>
    <w:rsid w:val="00404701"/>
    <w:rsid w:val="00404D65"/>
    <w:rsid w:val="00404F49"/>
    <w:rsid w:val="00406E3C"/>
    <w:rsid w:val="00406EBD"/>
    <w:rsid w:val="0040705C"/>
    <w:rsid w:val="00410AF9"/>
    <w:rsid w:val="004124A2"/>
    <w:rsid w:val="00413430"/>
    <w:rsid w:val="004144BE"/>
    <w:rsid w:val="004156CA"/>
    <w:rsid w:val="00415AE1"/>
    <w:rsid w:val="00422177"/>
    <w:rsid w:val="00422634"/>
    <w:rsid w:val="004235C7"/>
    <w:rsid w:val="00423D13"/>
    <w:rsid w:val="00423E00"/>
    <w:rsid w:val="004334D9"/>
    <w:rsid w:val="00433E26"/>
    <w:rsid w:val="00434892"/>
    <w:rsid w:val="0044025D"/>
    <w:rsid w:val="00440723"/>
    <w:rsid w:val="0044152A"/>
    <w:rsid w:val="004417BC"/>
    <w:rsid w:val="00442AC1"/>
    <w:rsid w:val="0044594F"/>
    <w:rsid w:val="00451124"/>
    <w:rsid w:val="00453168"/>
    <w:rsid w:val="00455320"/>
    <w:rsid w:val="00455732"/>
    <w:rsid w:val="00456C8E"/>
    <w:rsid w:val="00457F7F"/>
    <w:rsid w:val="00462AD3"/>
    <w:rsid w:val="00462C45"/>
    <w:rsid w:val="00462F56"/>
    <w:rsid w:val="0046311F"/>
    <w:rsid w:val="004639F4"/>
    <w:rsid w:val="00465231"/>
    <w:rsid w:val="00465806"/>
    <w:rsid w:val="0047049A"/>
    <w:rsid w:val="00472915"/>
    <w:rsid w:val="00472DCE"/>
    <w:rsid w:val="0047338D"/>
    <w:rsid w:val="00473CDE"/>
    <w:rsid w:val="0047472E"/>
    <w:rsid w:val="00474863"/>
    <w:rsid w:val="004753A7"/>
    <w:rsid w:val="00475AF1"/>
    <w:rsid w:val="00480C46"/>
    <w:rsid w:val="004815C3"/>
    <w:rsid w:val="00482471"/>
    <w:rsid w:val="00482DDC"/>
    <w:rsid w:val="00483BC6"/>
    <w:rsid w:val="00484147"/>
    <w:rsid w:val="00484B22"/>
    <w:rsid w:val="004859B4"/>
    <w:rsid w:val="004909C1"/>
    <w:rsid w:val="0049246E"/>
    <w:rsid w:val="00492E8B"/>
    <w:rsid w:val="004944C0"/>
    <w:rsid w:val="00495F46"/>
    <w:rsid w:val="004A08DF"/>
    <w:rsid w:val="004A1EAF"/>
    <w:rsid w:val="004A2B6B"/>
    <w:rsid w:val="004A3117"/>
    <w:rsid w:val="004A4B86"/>
    <w:rsid w:val="004A6C14"/>
    <w:rsid w:val="004A762B"/>
    <w:rsid w:val="004B02DC"/>
    <w:rsid w:val="004B0D06"/>
    <w:rsid w:val="004B1141"/>
    <w:rsid w:val="004B76C5"/>
    <w:rsid w:val="004B79FA"/>
    <w:rsid w:val="004C3D73"/>
    <w:rsid w:val="004C4498"/>
    <w:rsid w:val="004C6F91"/>
    <w:rsid w:val="004D1B94"/>
    <w:rsid w:val="004D1DD8"/>
    <w:rsid w:val="004D5099"/>
    <w:rsid w:val="004D566D"/>
    <w:rsid w:val="004D61D3"/>
    <w:rsid w:val="004D6443"/>
    <w:rsid w:val="004D7146"/>
    <w:rsid w:val="004D7C8C"/>
    <w:rsid w:val="004E0796"/>
    <w:rsid w:val="004E2BB9"/>
    <w:rsid w:val="004E3F8E"/>
    <w:rsid w:val="004E51EE"/>
    <w:rsid w:val="004E5C31"/>
    <w:rsid w:val="004F1A37"/>
    <w:rsid w:val="00501607"/>
    <w:rsid w:val="00501A80"/>
    <w:rsid w:val="00503267"/>
    <w:rsid w:val="005033BA"/>
    <w:rsid w:val="0050385A"/>
    <w:rsid w:val="00504106"/>
    <w:rsid w:val="00504C7E"/>
    <w:rsid w:val="005108DD"/>
    <w:rsid w:val="005117BF"/>
    <w:rsid w:val="00512347"/>
    <w:rsid w:val="00513687"/>
    <w:rsid w:val="00513CB7"/>
    <w:rsid w:val="00514CAD"/>
    <w:rsid w:val="00515C0B"/>
    <w:rsid w:val="00517EEA"/>
    <w:rsid w:val="00520F6C"/>
    <w:rsid w:val="00521735"/>
    <w:rsid w:val="00522F19"/>
    <w:rsid w:val="0052355F"/>
    <w:rsid w:val="0052428E"/>
    <w:rsid w:val="0052614A"/>
    <w:rsid w:val="00527593"/>
    <w:rsid w:val="00530CA0"/>
    <w:rsid w:val="0053104C"/>
    <w:rsid w:val="00531080"/>
    <w:rsid w:val="00533818"/>
    <w:rsid w:val="00533B9E"/>
    <w:rsid w:val="00533E9E"/>
    <w:rsid w:val="005343C3"/>
    <w:rsid w:val="005344B3"/>
    <w:rsid w:val="00536FA3"/>
    <w:rsid w:val="005378FB"/>
    <w:rsid w:val="00541922"/>
    <w:rsid w:val="00542E3C"/>
    <w:rsid w:val="0054524C"/>
    <w:rsid w:val="005455D3"/>
    <w:rsid w:val="00545E73"/>
    <w:rsid w:val="00546213"/>
    <w:rsid w:val="0054757C"/>
    <w:rsid w:val="00550211"/>
    <w:rsid w:val="005560DE"/>
    <w:rsid w:val="00556465"/>
    <w:rsid w:val="00557A14"/>
    <w:rsid w:val="00560B08"/>
    <w:rsid w:val="00560EC5"/>
    <w:rsid w:val="005611C5"/>
    <w:rsid w:val="00561AAF"/>
    <w:rsid w:val="00565DA3"/>
    <w:rsid w:val="00567A03"/>
    <w:rsid w:val="0057122E"/>
    <w:rsid w:val="005715D3"/>
    <w:rsid w:val="00571CD2"/>
    <w:rsid w:val="0057205D"/>
    <w:rsid w:val="00573AE3"/>
    <w:rsid w:val="00575AD1"/>
    <w:rsid w:val="00580B64"/>
    <w:rsid w:val="00581360"/>
    <w:rsid w:val="005827C9"/>
    <w:rsid w:val="005836C0"/>
    <w:rsid w:val="0058485A"/>
    <w:rsid w:val="00584D8E"/>
    <w:rsid w:val="00585117"/>
    <w:rsid w:val="00585E8E"/>
    <w:rsid w:val="005870D7"/>
    <w:rsid w:val="00587B5C"/>
    <w:rsid w:val="00590935"/>
    <w:rsid w:val="00590A3C"/>
    <w:rsid w:val="0059150C"/>
    <w:rsid w:val="005927D6"/>
    <w:rsid w:val="005938A9"/>
    <w:rsid w:val="00594AC2"/>
    <w:rsid w:val="00596F3C"/>
    <w:rsid w:val="005A1F90"/>
    <w:rsid w:val="005A4B0C"/>
    <w:rsid w:val="005A5664"/>
    <w:rsid w:val="005B24A8"/>
    <w:rsid w:val="005B294E"/>
    <w:rsid w:val="005B48D0"/>
    <w:rsid w:val="005B6D96"/>
    <w:rsid w:val="005B6F23"/>
    <w:rsid w:val="005C24B7"/>
    <w:rsid w:val="005C296C"/>
    <w:rsid w:val="005C306F"/>
    <w:rsid w:val="005C389A"/>
    <w:rsid w:val="005D14EE"/>
    <w:rsid w:val="005D233E"/>
    <w:rsid w:val="005D324D"/>
    <w:rsid w:val="005D6C9A"/>
    <w:rsid w:val="005D74AE"/>
    <w:rsid w:val="005E061A"/>
    <w:rsid w:val="005E1062"/>
    <w:rsid w:val="005E4045"/>
    <w:rsid w:val="005E508C"/>
    <w:rsid w:val="005F28FD"/>
    <w:rsid w:val="005F41F1"/>
    <w:rsid w:val="00603970"/>
    <w:rsid w:val="00606F32"/>
    <w:rsid w:val="0061113A"/>
    <w:rsid w:val="00612FC4"/>
    <w:rsid w:val="006133D9"/>
    <w:rsid w:val="0061593A"/>
    <w:rsid w:val="00616D22"/>
    <w:rsid w:val="00620010"/>
    <w:rsid w:val="00620117"/>
    <w:rsid w:val="00620796"/>
    <w:rsid w:val="00620A6C"/>
    <w:rsid w:val="00623DCA"/>
    <w:rsid w:val="006269E0"/>
    <w:rsid w:val="0062780A"/>
    <w:rsid w:val="006304D6"/>
    <w:rsid w:val="00632E76"/>
    <w:rsid w:val="006331A8"/>
    <w:rsid w:val="00634326"/>
    <w:rsid w:val="00636CEE"/>
    <w:rsid w:val="00637621"/>
    <w:rsid w:val="0064048E"/>
    <w:rsid w:val="006439D1"/>
    <w:rsid w:val="00643EA2"/>
    <w:rsid w:val="006465CA"/>
    <w:rsid w:val="00647CD9"/>
    <w:rsid w:val="00652853"/>
    <w:rsid w:val="00654EE5"/>
    <w:rsid w:val="00655526"/>
    <w:rsid w:val="0065565E"/>
    <w:rsid w:val="00656085"/>
    <w:rsid w:val="00657945"/>
    <w:rsid w:val="00657B51"/>
    <w:rsid w:val="00660D88"/>
    <w:rsid w:val="00661B95"/>
    <w:rsid w:val="006632E6"/>
    <w:rsid w:val="006641CF"/>
    <w:rsid w:val="006706C6"/>
    <w:rsid w:val="00671541"/>
    <w:rsid w:val="006729EE"/>
    <w:rsid w:val="00674B5C"/>
    <w:rsid w:val="0067746F"/>
    <w:rsid w:val="006775F0"/>
    <w:rsid w:val="0067762A"/>
    <w:rsid w:val="0068111A"/>
    <w:rsid w:val="00681879"/>
    <w:rsid w:val="00683C19"/>
    <w:rsid w:val="00683E30"/>
    <w:rsid w:val="00684C59"/>
    <w:rsid w:val="0068671B"/>
    <w:rsid w:val="00687F7A"/>
    <w:rsid w:val="00690E3A"/>
    <w:rsid w:val="00693A6C"/>
    <w:rsid w:val="00695749"/>
    <w:rsid w:val="00697965"/>
    <w:rsid w:val="006A05B6"/>
    <w:rsid w:val="006A1CA2"/>
    <w:rsid w:val="006A31EA"/>
    <w:rsid w:val="006A43ED"/>
    <w:rsid w:val="006A6C0E"/>
    <w:rsid w:val="006B07E6"/>
    <w:rsid w:val="006B1586"/>
    <w:rsid w:val="006B45B8"/>
    <w:rsid w:val="006B4D59"/>
    <w:rsid w:val="006C07AC"/>
    <w:rsid w:val="006C39E7"/>
    <w:rsid w:val="006C57E4"/>
    <w:rsid w:val="006C5CA6"/>
    <w:rsid w:val="006C62CE"/>
    <w:rsid w:val="006D0361"/>
    <w:rsid w:val="006D0B02"/>
    <w:rsid w:val="006D733E"/>
    <w:rsid w:val="006D7CAA"/>
    <w:rsid w:val="006E138F"/>
    <w:rsid w:val="006E23AD"/>
    <w:rsid w:val="006E3C3F"/>
    <w:rsid w:val="006E5A96"/>
    <w:rsid w:val="006E648A"/>
    <w:rsid w:val="006E655B"/>
    <w:rsid w:val="006F2107"/>
    <w:rsid w:val="006F3004"/>
    <w:rsid w:val="006F430F"/>
    <w:rsid w:val="006F596B"/>
    <w:rsid w:val="006F6FAC"/>
    <w:rsid w:val="007010AE"/>
    <w:rsid w:val="00701D23"/>
    <w:rsid w:val="00702E83"/>
    <w:rsid w:val="0070377C"/>
    <w:rsid w:val="007038EA"/>
    <w:rsid w:val="00704048"/>
    <w:rsid w:val="007049A4"/>
    <w:rsid w:val="007074AB"/>
    <w:rsid w:val="00710609"/>
    <w:rsid w:val="007106F9"/>
    <w:rsid w:val="0071292D"/>
    <w:rsid w:val="00712B5B"/>
    <w:rsid w:val="00715D4F"/>
    <w:rsid w:val="00721493"/>
    <w:rsid w:val="00721C0F"/>
    <w:rsid w:val="00721E37"/>
    <w:rsid w:val="00722545"/>
    <w:rsid w:val="00725173"/>
    <w:rsid w:val="00726694"/>
    <w:rsid w:val="00727355"/>
    <w:rsid w:val="0073563F"/>
    <w:rsid w:val="00737340"/>
    <w:rsid w:val="00741340"/>
    <w:rsid w:val="00741915"/>
    <w:rsid w:val="00743560"/>
    <w:rsid w:val="00743A54"/>
    <w:rsid w:val="00743E88"/>
    <w:rsid w:val="007441A1"/>
    <w:rsid w:val="00744FC9"/>
    <w:rsid w:val="00746455"/>
    <w:rsid w:val="00746D7D"/>
    <w:rsid w:val="00747BA8"/>
    <w:rsid w:val="00747C27"/>
    <w:rsid w:val="00750A16"/>
    <w:rsid w:val="00750E48"/>
    <w:rsid w:val="00751796"/>
    <w:rsid w:val="007519FA"/>
    <w:rsid w:val="00751C93"/>
    <w:rsid w:val="00753D7E"/>
    <w:rsid w:val="00755E87"/>
    <w:rsid w:val="007563BD"/>
    <w:rsid w:val="00757405"/>
    <w:rsid w:val="00765C25"/>
    <w:rsid w:val="0076665E"/>
    <w:rsid w:val="00767BE7"/>
    <w:rsid w:val="00767D20"/>
    <w:rsid w:val="007718CF"/>
    <w:rsid w:val="007723F2"/>
    <w:rsid w:val="0077564C"/>
    <w:rsid w:val="007814D9"/>
    <w:rsid w:val="0078161A"/>
    <w:rsid w:val="00781F05"/>
    <w:rsid w:val="007824FA"/>
    <w:rsid w:val="00782AEB"/>
    <w:rsid w:val="00790669"/>
    <w:rsid w:val="00790754"/>
    <w:rsid w:val="00791A89"/>
    <w:rsid w:val="00791D7F"/>
    <w:rsid w:val="007951B1"/>
    <w:rsid w:val="00796047"/>
    <w:rsid w:val="0079652E"/>
    <w:rsid w:val="00796A7F"/>
    <w:rsid w:val="007A0055"/>
    <w:rsid w:val="007A1710"/>
    <w:rsid w:val="007A1FC7"/>
    <w:rsid w:val="007A2A0E"/>
    <w:rsid w:val="007A3C72"/>
    <w:rsid w:val="007A61B0"/>
    <w:rsid w:val="007A6504"/>
    <w:rsid w:val="007B0D4F"/>
    <w:rsid w:val="007B270E"/>
    <w:rsid w:val="007B3D09"/>
    <w:rsid w:val="007B3D0B"/>
    <w:rsid w:val="007B47B9"/>
    <w:rsid w:val="007B633B"/>
    <w:rsid w:val="007C26E3"/>
    <w:rsid w:val="007C28F4"/>
    <w:rsid w:val="007C4B92"/>
    <w:rsid w:val="007C4E46"/>
    <w:rsid w:val="007C69AF"/>
    <w:rsid w:val="007C6B9B"/>
    <w:rsid w:val="007C71E8"/>
    <w:rsid w:val="007D2334"/>
    <w:rsid w:val="007D265A"/>
    <w:rsid w:val="007D3DCC"/>
    <w:rsid w:val="007D3EED"/>
    <w:rsid w:val="007D47E6"/>
    <w:rsid w:val="007D4AA3"/>
    <w:rsid w:val="007D79F1"/>
    <w:rsid w:val="007E0B01"/>
    <w:rsid w:val="007E2E0A"/>
    <w:rsid w:val="007E3FE8"/>
    <w:rsid w:val="007E6D26"/>
    <w:rsid w:val="007E71A9"/>
    <w:rsid w:val="007F008C"/>
    <w:rsid w:val="007F4D32"/>
    <w:rsid w:val="007F4F17"/>
    <w:rsid w:val="007F650F"/>
    <w:rsid w:val="007F79F1"/>
    <w:rsid w:val="00800820"/>
    <w:rsid w:val="0080135B"/>
    <w:rsid w:val="00803077"/>
    <w:rsid w:val="00807183"/>
    <w:rsid w:val="0080742A"/>
    <w:rsid w:val="00807B0F"/>
    <w:rsid w:val="008118D5"/>
    <w:rsid w:val="00811AD8"/>
    <w:rsid w:val="00811D8A"/>
    <w:rsid w:val="008129FE"/>
    <w:rsid w:val="00812E36"/>
    <w:rsid w:val="00813AE3"/>
    <w:rsid w:val="0081600D"/>
    <w:rsid w:val="008216B4"/>
    <w:rsid w:val="00823EF8"/>
    <w:rsid w:val="0082526B"/>
    <w:rsid w:val="0082690A"/>
    <w:rsid w:val="00830468"/>
    <w:rsid w:val="008310B5"/>
    <w:rsid w:val="00831C40"/>
    <w:rsid w:val="008344B2"/>
    <w:rsid w:val="00837826"/>
    <w:rsid w:val="0084001F"/>
    <w:rsid w:val="0084222D"/>
    <w:rsid w:val="00843A43"/>
    <w:rsid w:val="00845690"/>
    <w:rsid w:val="008503C6"/>
    <w:rsid w:val="008504C8"/>
    <w:rsid w:val="0085074C"/>
    <w:rsid w:val="008509C7"/>
    <w:rsid w:val="00850C17"/>
    <w:rsid w:val="00851145"/>
    <w:rsid w:val="0085463C"/>
    <w:rsid w:val="00860C8D"/>
    <w:rsid w:val="00864119"/>
    <w:rsid w:val="008645D8"/>
    <w:rsid w:val="008647EF"/>
    <w:rsid w:val="00864F36"/>
    <w:rsid w:val="0086533B"/>
    <w:rsid w:val="00866674"/>
    <w:rsid w:val="00870CF3"/>
    <w:rsid w:val="00871660"/>
    <w:rsid w:val="00873E0B"/>
    <w:rsid w:val="008746EB"/>
    <w:rsid w:val="00874A09"/>
    <w:rsid w:val="00874E05"/>
    <w:rsid w:val="008750E5"/>
    <w:rsid w:val="00884040"/>
    <w:rsid w:val="008848BE"/>
    <w:rsid w:val="00885C77"/>
    <w:rsid w:val="00887A94"/>
    <w:rsid w:val="00891535"/>
    <w:rsid w:val="00895706"/>
    <w:rsid w:val="00897159"/>
    <w:rsid w:val="00897599"/>
    <w:rsid w:val="008975A9"/>
    <w:rsid w:val="008A0956"/>
    <w:rsid w:val="008A408D"/>
    <w:rsid w:val="008A41C9"/>
    <w:rsid w:val="008A55F8"/>
    <w:rsid w:val="008A7A4E"/>
    <w:rsid w:val="008B1851"/>
    <w:rsid w:val="008B290B"/>
    <w:rsid w:val="008B291B"/>
    <w:rsid w:val="008B29F3"/>
    <w:rsid w:val="008B3D17"/>
    <w:rsid w:val="008B3D5B"/>
    <w:rsid w:val="008B3EC9"/>
    <w:rsid w:val="008B52E6"/>
    <w:rsid w:val="008B6406"/>
    <w:rsid w:val="008C47C5"/>
    <w:rsid w:val="008C6648"/>
    <w:rsid w:val="008C7438"/>
    <w:rsid w:val="008D0F64"/>
    <w:rsid w:val="008D1D1C"/>
    <w:rsid w:val="008D42F6"/>
    <w:rsid w:val="008D63D7"/>
    <w:rsid w:val="008D7276"/>
    <w:rsid w:val="008E3C5F"/>
    <w:rsid w:val="008F0EED"/>
    <w:rsid w:val="008F18C5"/>
    <w:rsid w:val="008F2391"/>
    <w:rsid w:val="008F376F"/>
    <w:rsid w:val="008F437F"/>
    <w:rsid w:val="008F4559"/>
    <w:rsid w:val="008F7788"/>
    <w:rsid w:val="00900065"/>
    <w:rsid w:val="00900C05"/>
    <w:rsid w:val="00902161"/>
    <w:rsid w:val="009021EB"/>
    <w:rsid w:val="009027C5"/>
    <w:rsid w:val="00902921"/>
    <w:rsid w:val="00902A87"/>
    <w:rsid w:val="00904C05"/>
    <w:rsid w:val="009050E3"/>
    <w:rsid w:val="009057A7"/>
    <w:rsid w:val="00907FFA"/>
    <w:rsid w:val="0091052C"/>
    <w:rsid w:val="00910539"/>
    <w:rsid w:val="009121FB"/>
    <w:rsid w:val="0091279D"/>
    <w:rsid w:val="009128DC"/>
    <w:rsid w:val="00913EA7"/>
    <w:rsid w:val="00914523"/>
    <w:rsid w:val="009149BA"/>
    <w:rsid w:val="00914E13"/>
    <w:rsid w:val="009164E7"/>
    <w:rsid w:val="009166EA"/>
    <w:rsid w:val="00917007"/>
    <w:rsid w:val="009172C0"/>
    <w:rsid w:val="0092005D"/>
    <w:rsid w:val="009215C0"/>
    <w:rsid w:val="009219FD"/>
    <w:rsid w:val="00921A23"/>
    <w:rsid w:val="009227C1"/>
    <w:rsid w:val="009232EF"/>
    <w:rsid w:val="00923581"/>
    <w:rsid w:val="00924C54"/>
    <w:rsid w:val="00924C64"/>
    <w:rsid w:val="00924F0C"/>
    <w:rsid w:val="00930BD8"/>
    <w:rsid w:val="009314F5"/>
    <w:rsid w:val="00931A87"/>
    <w:rsid w:val="00931DF3"/>
    <w:rsid w:val="009351CE"/>
    <w:rsid w:val="0093543F"/>
    <w:rsid w:val="00935E0F"/>
    <w:rsid w:val="00936118"/>
    <w:rsid w:val="00941577"/>
    <w:rsid w:val="009422B2"/>
    <w:rsid w:val="00942A33"/>
    <w:rsid w:val="00945EA1"/>
    <w:rsid w:val="0094735B"/>
    <w:rsid w:val="00947CE1"/>
    <w:rsid w:val="00951111"/>
    <w:rsid w:val="009511BC"/>
    <w:rsid w:val="009523CB"/>
    <w:rsid w:val="009568F3"/>
    <w:rsid w:val="00960661"/>
    <w:rsid w:val="0096341B"/>
    <w:rsid w:val="009650F5"/>
    <w:rsid w:val="009655FF"/>
    <w:rsid w:val="00966398"/>
    <w:rsid w:val="00966829"/>
    <w:rsid w:val="00967525"/>
    <w:rsid w:val="00970A39"/>
    <w:rsid w:val="009745EB"/>
    <w:rsid w:val="00975C12"/>
    <w:rsid w:val="00975F00"/>
    <w:rsid w:val="0097778C"/>
    <w:rsid w:val="009824E9"/>
    <w:rsid w:val="00982570"/>
    <w:rsid w:val="00982622"/>
    <w:rsid w:val="00982B0A"/>
    <w:rsid w:val="009871C8"/>
    <w:rsid w:val="00991BCF"/>
    <w:rsid w:val="0099504D"/>
    <w:rsid w:val="0099786B"/>
    <w:rsid w:val="009A1E7B"/>
    <w:rsid w:val="009A2E89"/>
    <w:rsid w:val="009A3511"/>
    <w:rsid w:val="009A4225"/>
    <w:rsid w:val="009A4286"/>
    <w:rsid w:val="009A5205"/>
    <w:rsid w:val="009A5D0D"/>
    <w:rsid w:val="009A614A"/>
    <w:rsid w:val="009A645A"/>
    <w:rsid w:val="009A683F"/>
    <w:rsid w:val="009B0358"/>
    <w:rsid w:val="009B0852"/>
    <w:rsid w:val="009B466F"/>
    <w:rsid w:val="009B4E80"/>
    <w:rsid w:val="009B5B27"/>
    <w:rsid w:val="009B693A"/>
    <w:rsid w:val="009B793F"/>
    <w:rsid w:val="009C1605"/>
    <w:rsid w:val="009C2C53"/>
    <w:rsid w:val="009C42D8"/>
    <w:rsid w:val="009C6435"/>
    <w:rsid w:val="009C6B5F"/>
    <w:rsid w:val="009C6EEB"/>
    <w:rsid w:val="009C7AE0"/>
    <w:rsid w:val="009C7EAC"/>
    <w:rsid w:val="009D0036"/>
    <w:rsid w:val="009D230F"/>
    <w:rsid w:val="009D4358"/>
    <w:rsid w:val="009D62F9"/>
    <w:rsid w:val="009D772E"/>
    <w:rsid w:val="009E13DD"/>
    <w:rsid w:val="009E14F6"/>
    <w:rsid w:val="009E32DC"/>
    <w:rsid w:val="009E4385"/>
    <w:rsid w:val="009E58C9"/>
    <w:rsid w:val="009E7E82"/>
    <w:rsid w:val="009F09AB"/>
    <w:rsid w:val="009F0D05"/>
    <w:rsid w:val="009F226D"/>
    <w:rsid w:val="009F2FA2"/>
    <w:rsid w:val="009F53F9"/>
    <w:rsid w:val="009F5564"/>
    <w:rsid w:val="009F6F7E"/>
    <w:rsid w:val="00A00678"/>
    <w:rsid w:val="00A04A4D"/>
    <w:rsid w:val="00A0512F"/>
    <w:rsid w:val="00A05187"/>
    <w:rsid w:val="00A06531"/>
    <w:rsid w:val="00A07ECA"/>
    <w:rsid w:val="00A10E27"/>
    <w:rsid w:val="00A161E2"/>
    <w:rsid w:val="00A177DD"/>
    <w:rsid w:val="00A21640"/>
    <w:rsid w:val="00A21823"/>
    <w:rsid w:val="00A22C23"/>
    <w:rsid w:val="00A253F7"/>
    <w:rsid w:val="00A25AEC"/>
    <w:rsid w:val="00A26132"/>
    <w:rsid w:val="00A263DF"/>
    <w:rsid w:val="00A27302"/>
    <w:rsid w:val="00A30E17"/>
    <w:rsid w:val="00A3143F"/>
    <w:rsid w:val="00A31BCA"/>
    <w:rsid w:val="00A36901"/>
    <w:rsid w:val="00A369A4"/>
    <w:rsid w:val="00A3739D"/>
    <w:rsid w:val="00A42126"/>
    <w:rsid w:val="00A42531"/>
    <w:rsid w:val="00A42B17"/>
    <w:rsid w:val="00A4307A"/>
    <w:rsid w:val="00A43381"/>
    <w:rsid w:val="00A44D9B"/>
    <w:rsid w:val="00A47A1E"/>
    <w:rsid w:val="00A52302"/>
    <w:rsid w:val="00A523B0"/>
    <w:rsid w:val="00A525F6"/>
    <w:rsid w:val="00A52D66"/>
    <w:rsid w:val="00A5346B"/>
    <w:rsid w:val="00A53842"/>
    <w:rsid w:val="00A541A2"/>
    <w:rsid w:val="00A56815"/>
    <w:rsid w:val="00A601E6"/>
    <w:rsid w:val="00A60D55"/>
    <w:rsid w:val="00A6125B"/>
    <w:rsid w:val="00A61BB4"/>
    <w:rsid w:val="00A63E71"/>
    <w:rsid w:val="00A66CE8"/>
    <w:rsid w:val="00A70F8B"/>
    <w:rsid w:val="00A71E52"/>
    <w:rsid w:val="00A73ECB"/>
    <w:rsid w:val="00A73FA6"/>
    <w:rsid w:val="00A7528F"/>
    <w:rsid w:val="00A755D0"/>
    <w:rsid w:val="00A7599E"/>
    <w:rsid w:val="00A76DC0"/>
    <w:rsid w:val="00A82CFC"/>
    <w:rsid w:val="00A833DE"/>
    <w:rsid w:val="00A856EA"/>
    <w:rsid w:val="00A92650"/>
    <w:rsid w:val="00A9635F"/>
    <w:rsid w:val="00A9747D"/>
    <w:rsid w:val="00A97656"/>
    <w:rsid w:val="00AA008B"/>
    <w:rsid w:val="00AA1E97"/>
    <w:rsid w:val="00AA2C3F"/>
    <w:rsid w:val="00AA3B36"/>
    <w:rsid w:val="00AA43F1"/>
    <w:rsid w:val="00AA5DB1"/>
    <w:rsid w:val="00AA64EA"/>
    <w:rsid w:val="00AA68F9"/>
    <w:rsid w:val="00AB0D06"/>
    <w:rsid w:val="00AB1316"/>
    <w:rsid w:val="00AB4529"/>
    <w:rsid w:val="00AB5F3C"/>
    <w:rsid w:val="00AB664A"/>
    <w:rsid w:val="00AB7ACC"/>
    <w:rsid w:val="00AC09C4"/>
    <w:rsid w:val="00AC161B"/>
    <w:rsid w:val="00AC7060"/>
    <w:rsid w:val="00AC7386"/>
    <w:rsid w:val="00AC77F5"/>
    <w:rsid w:val="00AC7FCF"/>
    <w:rsid w:val="00AD1D16"/>
    <w:rsid w:val="00AD229A"/>
    <w:rsid w:val="00AD357E"/>
    <w:rsid w:val="00AD5BF7"/>
    <w:rsid w:val="00AD6404"/>
    <w:rsid w:val="00AD712A"/>
    <w:rsid w:val="00AD7737"/>
    <w:rsid w:val="00AD7B99"/>
    <w:rsid w:val="00AE0592"/>
    <w:rsid w:val="00AE2D49"/>
    <w:rsid w:val="00AE465B"/>
    <w:rsid w:val="00AE7372"/>
    <w:rsid w:val="00AE73A2"/>
    <w:rsid w:val="00AE7DCC"/>
    <w:rsid w:val="00AF0408"/>
    <w:rsid w:val="00AF4D16"/>
    <w:rsid w:val="00AF5393"/>
    <w:rsid w:val="00B020AD"/>
    <w:rsid w:val="00B053EC"/>
    <w:rsid w:val="00B05CA1"/>
    <w:rsid w:val="00B068B4"/>
    <w:rsid w:val="00B10CE9"/>
    <w:rsid w:val="00B11095"/>
    <w:rsid w:val="00B130CE"/>
    <w:rsid w:val="00B1554C"/>
    <w:rsid w:val="00B17E77"/>
    <w:rsid w:val="00B2020F"/>
    <w:rsid w:val="00B21299"/>
    <w:rsid w:val="00B233B0"/>
    <w:rsid w:val="00B24116"/>
    <w:rsid w:val="00B24553"/>
    <w:rsid w:val="00B24771"/>
    <w:rsid w:val="00B25058"/>
    <w:rsid w:val="00B252B4"/>
    <w:rsid w:val="00B259AC"/>
    <w:rsid w:val="00B260A8"/>
    <w:rsid w:val="00B26B7B"/>
    <w:rsid w:val="00B26FDC"/>
    <w:rsid w:val="00B275D3"/>
    <w:rsid w:val="00B27C88"/>
    <w:rsid w:val="00B308BB"/>
    <w:rsid w:val="00B30AA8"/>
    <w:rsid w:val="00B33266"/>
    <w:rsid w:val="00B33729"/>
    <w:rsid w:val="00B3677E"/>
    <w:rsid w:val="00B37825"/>
    <w:rsid w:val="00B40DB7"/>
    <w:rsid w:val="00B454C7"/>
    <w:rsid w:val="00B47010"/>
    <w:rsid w:val="00B53F22"/>
    <w:rsid w:val="00B55924"/>
    <w:rsid w:val="00B573E0"/>
    <w:rsid w:val="00B57708"/>
    <w:rsid w:val="00B57778"/>
    <w:rsid w:val="00B5788C"/>
    <w:rsid w:val="00B579AC"/>
    <w:rsid w:val="00B6144F"/>
    <w:rsid w:val="00B62B52"/>
    <w:rsid w:val="00B63C45"/>
    <w:rsid w:val="00B64580"/>
    <w:rsid w:val="00B675F4"/>
    <w:rsid w:val="00B6786F"/>
    <w:rsid w:val="00B711F2"/>
    <w:rsid w:val="00B712C3"/>
    <w:rsid w:val="00B71A3F"/>
    <w:rsid w:val="00B72989"/>
    <w:rsid w:val="00B72C4C"/>
    <w:rsid w:val="00B80613"/>
    <w:rsid w:val="00B80647"/>
    <w:rsid w:val="00B81FF1"/>
    <w:rsid w:val="00B82C6A"/>
    <w:rsid w:val="00B83018"/>
    <w:rsid w:val="00B861E2"/>
    <w:rsid w:val="00B87D3F"/>
    <w:rsid w:val="00B9089B"/>
    <w:rsid w:val="00B90F07"/>
    <w:rsid w:val="00B90F91"/>
    <w:rsid w:val="00B92198"/>
    <w:rsid w:val="00B93300"/>
    <w:rsid w:val="00B93FC2"/>
    <w:rsid w:val="00BA1A3C"/>
    <w:rsid w:val="00BA3FB2"/>
    <w:rsid w:val="00BB58B4"/>
    <w:rsid w:val="00BB7787"/>
    <w:rsid w:val="00BC05AE"/>
    <w:rsid w:val="00BC12BA"/>
    <w:rsid w:val="00BC237D"/>
    <w:rsid w:val="00BC35E6"/>
    <w:rsid w:val="00BC5488"/>
    <w:rsid w:val="00BC692C"/>
    <w:rsid w:val="00BC6B60"/>
    <w:rsid w:val="00BC7914"/>
    <w:rsid w:val="00BD3C87"/>
    <w:rsid w:val="00BD47CF"/>
    <w:rsid w:val="00BD5269"/>
    <w:rsid w:val="00BD5E19"/>
    <w:rsid w:val="00BD613C"/>
    <w:rsid w:val="00BD6FCC"/>
    <w:rsid w:val="00BD7BA6"/>
    <w:rsid w:val="00BE21B0"/>
    <w:rsid w:val="00BE2207"/>
    <w:rsid w:val="00BE4082"/>
    <w:rsid w:val="00BE47B0"/>
    <w:rsid w:val="00BE7003"/>
    <w:rsid w:val="00BF133F"/>
    <w:rsid w:val="00BF19B9"/>
    <w:rsid w:val="00BF1CB3"/>
    <w:rsid w:val="00BF1ED4"/>
    <w:rsid w:val="00BF2627"/>
    <w:rsid w:val="00BF369A"/>
    <w:rsid w:val="00BF53F7"/>
    <w:rsid w:val="00C00F38"/>
    <w:rsid w:val="00C019B2"/>
    <w:rsid w:val="00C0584A"/>
    <w:rsid w:val="00C059CA"/>
    <w:rsid w:val="00C103DF"/>
    <w:rsid w:val="00C114FB"/>
    <w:rsid w:val="00C12CE7"/>
    <w:rsid w:val="00C13083"/>
    <w:rsid w:val="00C146B0"/>
    <w:rsid w:val="00C15A88"/>
    <w:rsid w:val="00C17EE1"/>
    <w:rsid w:val="00C21770"/>
    <w:rsid w:val="00C22214"/>
    <w:rsid w:val="00C23FFC"/>
    <w:rsid w:val="00C24F83"/>
    <w:rsid w:val="00C25CE7"/>
    <w:rsid w:val="00C302C8"/>
    <w:rsid w:val="00C30359"/>
    <w:rsid w:val="00C30689"/>
    <w:rsid w:val="00C3091F"/>
    <w:rsid w:val="00C30BA4"/>
    <w:rsid w:val="00C32EB7"/>
    <w:rsid w:val="00C3637C"/>
    <w:rsid w:val="00C410E4"/>
    <w:rsid w:val="00C44B81"/>
    <w:rsid w:val="00C46B5A"/>
    <w:rsid w:val="00C51128"/>
    <w:rsid w:val="00C53C32"/>
    <w:rsid w:val="00C53C97"/>
    <w:rsid w:val="00C57223"/>
    <w:rsid w:val="00C5723F"/>
    <w:rsid w:val="00C57639"/>
    <w:rsid w:val="00C578AF"/>
    <w:rsid w:val="00C62A3B"/>
    <w:rsid w:val="00C64339"/>
    <w:rsid w:val="00C64F96"/>
    <w:rsid w:val="00C65923"/>
    <w:rsid w:val="00C67C6B"/>
    <w:rsid w:val="00C706E3"/>
    <w:rsid w:val="00C723F2"/>
    <w:rsid w:val="00C73956"/>
    <w:rsid w:val="00C7487C"/>
    <w:rsid w:val="00C761B6"/>
    <w:rsid w:val="00C80603"/>
    <w:rsid w:val="00C838DE"/>
    <w:rsid w:val="00C83E5C"/>
    <w:rsid w:val="00C8416E"/>
    <w:rsid w:val="00C84F74"/>
    <w:rsid w:val="00C8582E"/>
    <w:rsid w:val="00C86834"/>
    <w:rsid w:val="00C86A1D"/>
    <w:rsid w:val="00C8706E"/>
    <w:rsid w:val="00C903DA"/>
    <w:rsid w:val="00C919A0"/>
    <w:rsid w:val="00C92222"/>
    <w:rsid w:val="00C92961"/>
    <w:rsid w:val="00C965CB"/>
    <w:rsid w:val="00C97B0A"/>
    <w:rsid w:val="00CA21C5"/>
    <w:rsid w:val="00CA2440"/>
    <w:rsid w:val="00CA3752"/>
    <w:rsid w:val="00CA4408"/>
    <w:rsid w:val="00CA5DC3"/>
    <w:rsid w:val="00CA7705"/>
    <w:rsid w:val="00CB071D"/>
    <w:rsid w:val="00CB0AFA"/>
    <w:rsid w:val="00CB5065"/>
    <w:rsid w:val="00CB5BC6"/>
    <w:rsid w:val="00CB73CC"/>
    <w:rsid w:val="00CB783C"/>
    <w:rsid w:val="00CC33AA"/>
    <w:rsid w:val="00CC385E"/>
    <w:rsid w:val="00CC3CF7"/>
    <w:rsid w:val="00CD4F18"/>
    <w:rsid w:val="00CD6D7E"/>
    <w:rsid w:val="00CD6EA4"/>
    <w:rsid w:val="00CE0B7A"/>
    <w:rsid w:val="00CE24C4"/>
    <w:rsid w:val="00CE342E"/>
    <w:rsid w:val="00CE3A14"/>
    <w:rsid w:val="00CE3DEA"/>
    <w:rsid w:val="00CE6D09"/>
    <w:rsid w:val="00CE72D5"/>
    <w:rsid w:val="00CF08A7"/>
    <w:rsid w:val="00CF62A3"/>
    <w:rsid w:val="00CF65C8"/>
    <w:rsid w:val="00CF7136"/>
    <w:rsid w:val="00CF7A68"/>
    <w:rsid w:val="00D01906"/>
    <w:rsid w:val="00D01C95"/>
    <w:rsid w:val="00D0276F"/>
    <w:rsid w:val="00D02F88"/>
    <w:rsid w:val="00D03534"/>
    <w:rsid w:val="00D04D4A"/>
    <w:rsid w:val="00D05BBB"/>
    <w:rsid w:val="00D06236"/>
    <w:rsid w:val="00D062D0"/>
    <w:rsid w:val="00D073A4"/>
    <w:rsid w:val="00D07541"/>
    <w:rsid w:val="00D13F14"/>
    <w:rsid w:val="00D142FB"/>
    <w:rsid w:val="00D14F23"/>
    <w:rsid w:val="00D24E6B"/>
    <w:rsid w:val="00D26E20"/>
    <w:rsid w:val="00D317B6"/>
    <w:rsid w:val="00D32250"/>
    <w:rsid w:val="00D323C3"/>
    <w:rsid w:val="00D34F1F"/>
    <w:rsid w:val="00D36994"/>
    <w:rsid w:val="00D37E63"/>
    <w:rsid w:val="00D41CB1"/>
    <w:rsid w:val="00D43F71"/>
    <w:rsid w:val="00D525FE"/>
    <w:rsid w:val="00D53486"/>
    <w:rsid w:val="00D53DCE"/>
    <w:rsid w:val="00D56677"/>
    <w:rsid w:val="00D60892"/>
    <w:rsid w:val="00D60A0E"/>
    <w:rsid w:val="00D62674"/>
    <w:rsid w:val="00D62F0A"/>
    <w:rsid w:val="00D63094"/>
    <w:rsid w:val="00D647C0"/>
    <w:rsid w:val="00D65180"/>
    <w:rsid w:val="00D67469"/>
    <w:rsid w:val="00D67D14"/>
    <w:rsid w:val="00D73E91"/>
    <w:rsid w:val="00D743DD"/>
    <w:rsid w:val="00D76511"/>
    <w:rsid w:val="00D76774"/>
    <w:rsid w:val="00D80E58"/>
    <w:rsid w:val="00D81962"/>
    <w:rsid w:val="00D822E3"/>
    <w:rsid w:val="00D83CAC"/>
    <w:rsid w:val="00D86477"/>
    <w:rsid w:val="00D86CF8"/>
    <w:rsid w:val="00D8760A"/>
    <w:rsid w:val="00D9056C"/>
    <w:rsid w:val="00D914BB"/>
    <w:rsid w:val="00D91AF9"/>
    <w:rsid w:val="00D91F92"/>
    <w:rsid w:val="00D92A34"/>
    <w:rsid w:val="00D935FE"/>
    <w:rsid w:val="00D9382E"/>
    <w:rsid w:val="00D95173"/>
    <w:rsid w:val="00D973C8"/>
    <w:rsid w:val="00D97793"/>
    <w:rsid w:val="00DA0CCA"/>
    <w:rsid w:val="00DA1792"/>
    <w:rsid w:val="00DA26A6"/>
    <w:rsid w:val="00DA64D5"/>
    <w:rsid w:val="00DB1EC0"/>
    <w:rsid w:val="00DB24B7"/>
    <w:rsid w:val="00DB2F08"/>
    <w:rsid w:val="00DB3B65"/>
    <w:rsid w:val="00DB592F"/>
    <w:rsid w:val="00DB6CDC"/>
    <w:rsid w:val="00DB6F69"/>
    <w:rsid w:val="00DB730E"/>
    <w:rsid w:val="00DC0AF3"/>
    <w:rsid w:val="00DC5DF0"/>
    <w:rsid w:val="00DD0D3D"/>
    <w:rsid w:val="00DD348D"/>
    <w:rsid w:val="00DD3A70"/>
    <w:rsid w:val="00DD4DCC"/>
    <w:rsid w:val="00DD5FCE"/>
    <w:rsid w:val="00DD6898"/>
    <w:rsid w:val="00DD7946"/>
    <w:rsid w:val="00DE0069"/>
    <w:rsid w:val="00DE13CF"/>
    <w:rsid w:val="00DE1E2E"/>
    <w:rsid w:val="00DE3058"/>
    <w:rsid w:val="00DE464B"/>
    <w:rsid w:val="00DE6AED"/>
    <w:rsid w:val="00DE7AD0"/>
    <w:rsid w:val="00DF048C"/>
    <w:rsid w:val="00DF25D1"/>
    <w:rsid w:val="00DF29CB"/>
    <w:rsid w:val="00DF2BB3"/>
    <w:rsid w:val="00DF30FB"/>
    <w:rsid w:val="00DF33BC"/>
    <w:rsid w:val="00DF3E88"/>
    <w:rsid w:val="00DF4059"/>
    <w:rsid w:val="00DF55B1"/>
    <w:rsid w:val="00E0021B"/>
    <w:rsid w:val="00E00BBE"/>
    <w:rsid w:val="00E01420"/>
    <w:rsid w:val="00E01A44"/>
    <w:rsid w:val="00E05889"/>
    <w:rsid w:val="00E15168"/>
    <w:rsid w:val="00E160C2"/>
    <w:rsid w:val="00E20336"/>
    <w:rsid w:val="00E20B20"/>
    <w:rsid w:val="00E21AF2"/>
    <w:rsid w:val="00E24C9F"/>
    <w:rsid w:val="00E25951"/>
    <w:rsid w:val="00E259A6"/>
    <w:rsid w:val="00E27AC8"/>
    <w:rsid w:val="00E27FF7"/>
    <w:rsid w:val="00E3010F"/>
    <w:rsid w:val="00E30354"/>
    <w:rsid w:val="00E324B8"/>
    <w:rsid w:val="00E32627"/>
    <w:rsid w:val="00E3483D"/>
    <w:rsid w:val="00E414E9"/>
    <w:rsid w:val="00E42FA1"/>
    <w:rsid w:val="00E43741"/>
    <w:rsid w:val="00E44479"/>
    <w:rsid w:val="00E45ED3"/>
    <w:rsid w:val="00E46D30"/>
    <w:rsid w:val="00E47587"/>
    <w:rsid w:val="00E47661"/>
    <w:rsid w:val="00E53554"/>
    <w:rsid w:val="00E53678"/>
    <w:rsid w:val="00E53E97"/>
    <w:rsid w:val="00E541DB"/>
    <w:rsid w:val="00E552A9"/>
    <w:rsid w:val="00E57C4E"/>
    <w:rsid w:val="00E61481"/>
    <w:rsid w:val="00E6228B"/>
    <w:rsid w:val="00E6313C"/>
    <w:rsid w:val="00E6355A"/>
    <w:rsid w:val="00E67920"/>
    <w:rsid w:val="00E67AAB"/>
    <w:rsid w:val="00E67B68"/>
    <w:rsid w:val="00E67E76"/>
    <w:rsid w:val="00E70B25"/>
    <w:rsid w:val="00E71ED5"/>
    <w:rsid w:val="00E73AC6"/>
    <w:rsid w:val="00E75B50"/>
    <w:rsid w:val="00E76D1B"/>
    <w:rsid w:val="00E8084B"/>
    <w:rsid w:val="00E80E38"/>
    <w:rsid w:val="00E80EAC"/>
    <w:rsid w:val="00E81A69"/>
    <w:rsid w:val="00E81D46"/>
    <w:rsid w:val="00E83163"/>
    <w:rsid w:val="00E844C5"/>
    <w:rsid w:val="00E8535E"/>
    <w:rsid w:val="00E8632A"/>
    <w:rsid w:val="00E91266"/>
    <w:rsid w:val="00E93CA9"/>
    <w:rsid w:val="00E94363"/>
    <w:rsid w:val="00E955BB"/>
    <w:rsid w:val="00E956A7"/>
    <w:rsid w:val="00E96B0F"/>
    <w:rsid w:val="00E97A43"/>
    <w:rsid w:val="00EA0CCB"/>
    <w:rsid w:val="00EA2AD1"/>
    <w:rsid w:val="00EA52A6"/>
    <w:rsid w:val="00EA591E"/>
    <w:rsid w:val="00EA5A82"/>
    <w:rsid w:val="00EA774D"/>
    <w:rsid w:val="00EA78E1"/>
    <w:rsid w:val="00EA7B8C"/>
    <w:rsid w:val="00EB1296"/>
    <w:rsid w:val="00EB3AFE"/>
    <w:rsid w:val="00EB3EBC"/>
    <w:rsid w:val="00EB5AB6"/>
    <w:rsid w:val="00EB676A"/>
    <w:rsid w:val="00EB72F9"/>
    <w:rsid w:val="00EB7568"/>
    <w:rsid w:val="00EB7E31"/>
    <w:rsid w:val="00EC0090"/>
    <w:rsid w:val="00EC036A"/>
    <w:rsid w:val="00EC079F"/>
    <w:rsid w:val="00EC0E4E"/>
    <w:rsid w:val="00EC101A"/>
    <w:rsid w:val="00EC17A7"/>
    <w:rsid w:val="00EC227C"/>
    <w:rsid w:val="00EC5105"/>
    <w:rsid w:val="00EC70E3"/>
    <w:rsid w:val="00ED215F"/>
    <w:rsid w:val="00ED50EF"/>
    <w:rsid w:val="00ED7F2B"/>
    <w:rsid w:val="00EE2A1D"/>
    <w:rsid w:val="00EE4476"/>
    <w:rsid w:val="00EF0212"/>
    <w:rsid w:val="00EF0CED"/>
    <w:rsid w:val="00EF1300"/>
    <w:rsid w:val="00EF1891"/>
    <w:rsid w:val="00EF26ED"/>
    <w:rsid w:val="00EF3CAD"/>
    <w:rsid w:val="00F012EE"/>
    <w:rsid w:val="00F02FD1"/>
    <w:rsid w:val="00F07C1B"/>
    <w:rsid w:val="00F1128F"/>
    <w:rsid w:val="00F1226C"/>
    <w:rsid w:val="00F17501"/>
    <w:rsid w:val="00F17CF1"/>
    <w:rsid w:val="00F213B5"/>
    <w:rsid w:val="00F2190F"/>
    <w:rsid w:val="00F24472"/>
    <w:rsid w:val="00F2482A"/>
    <w:rsid w:val="00F24A72"/>
    <w:rsid w:val="00F279D5"/>
    <w:rsid w:val="00F30198"/>
    <w:rsid w:val="00F3022C"/>
    <w:rsid w:val="00F32B71"/>
    <w:rsid w:val="00F32C87"/>
    <w:rsid w:val="00F33875"/>
    <w:rsid w:val="00F34303"/>
    <w:rsid w:val="00F412D5"/>
    <w:rsid w:val="00F4165E"/>
    <w:rsid w:val="00F42836"/>
    <w:rsid w:val="00F42874"/>
    <w:rsid w:val="00F43674"/>
    <w:rsid w:val="00F438A2"/>
    <w:rsid w:val="00F4541D"/>
    <w:rsid w:val="00F53A6E"/>
    <w:rsid w:val="00F543D4"/>
    <w:rsid w:val="00F61DE4"/>
    <w:rsid w:val="00F6783D"/>
    <w:rsid w:val="00F710A9"/>
    <w:rsid w:val="00F7246C"/>
    <w:rsid w:val="00F7282C"/>
    <w:rsid w:val="00F733E9"/>
    <w:rsid w:val="00F73C23"/>
    <w:rsid w:val="00F73EF4"/>
    <w:rsid w:val="00F754A9"/>
    <w:rsid w:val="00F77D3A"/>
    <w:rsid w:val="00F803F8"/>
    <w:rsid w:val="00F82254"/>
    <w:rsid w:val="00F85527"/>
    <w:rsid w:val="00F86796"/>
    <w:rsid w:val="00F92CA0"/>
    <w:rsid w:val="00FA0269"/>
    <w:rsid w:val="00FA0566"/>
    <w:rsid w:val="00FA16A8"/>
    <w:rsid w:val="00FA2662"/>
    <w:rsid w:val="00FA28B2"/>
    <w:rsid w:val="00FA34FA"/>
    <w:rsid w:val="00FA3B61"/>
    <w:rsid w:val="00FA3F38"/>
    <w:rsid w:val="00FA4333"/>
    <w:rsid w:val="00FA46AA"/>
    <w:rsid w:val="00FA5624"/>
    <w:rsid w:val="00FA5D7D"/>
    <w:rsid w:val="00FA6AAB"/>
    <w:rsid w:val="00FA6AFB"/>
    <w:rsid w:val="00FA7610"/>
    <w:rsid w:val="00FB052E"/>
    <w:rsid w:val="00FB234A"/>
    <w:rsid w:val="00FB3275"/>
    <w:rsid w:val="00FB5CF7"/>
    <w:rsid w:val="00FB6BEC"/>
    <w:rsid w:val="00FB7C60"/>
    <w:rsid w:val="00FB7CA4"/>
    <w:rsid w:val="00FB7DC4"/>
    <w:rsid w:val="00FC1781"/>
    <w:rsid w:val="00FC3208"/>
    <w:rsid w:val="00FC4770"/>
    <w:rsid w:val="00FC713E"/>
    <w:rsid w:val="00FC740A"/>
    <w:rsid w:val="00FD27E5"/>
    <w:rsid w:val="00FD2892"/>
    <w:rsid w:val="00FD2A4A"/>
    <w:rsid w:val="00FD4136"/>
    <w:rsid w:val="00FD4A02"/>
    <w:rsid w:val="00FD5565"/>
    <w:rsid w:val="00FD6675"/>
    <w:rsid w:val="00FD677D"/>
    <w:rsid w:val="00FE05BF"/>
    <w:rsid w:val="00FE07A3"/>
    <w:rsid w:val="00FE12B8"/>
    <w:rsid w:val="00FE1797"/>
    <w:rsid w:val="00FE3439"/>
    <w:rsid w:val="00FE490D"/>
    <w:rsid w:val="00FE49B8"/>
    <w:rsid w:val="00FE4A44"/>
    <w:rsid w:val="00FE4AAF"/>
    <w:rsid w:val="00FF3EC0"/>
    <w:rsid w:val="00FF4E58"/>
    <w:rsid w:val="00FF6678"/>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customStyle="1" w:styleId="MediumShading2-Accent11">
    <w:name w:val="Medium Shading 2 - Accent 11"/>
    <w:basedOn w:val="TableNormal"/>
    <w:uiPriority w:val="64"/>
    <w:rsid w:val="009D2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customStyle="1" w:styleId="MediumShading2-Accent11">
    <w:name w:val="Medium Shading 2 - Accent 11"/>
    <w:basedOn w:val="TableNormal"/>
    <w:uiPriority w:val="64"/>
    <w:rsid w:val="009D2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8442347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266550108">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5857357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25982352">
      <w:bodyDiv w:val="1"/>
      <w:marLeft w:val="0"/>
      <w:marRight w:val="0"/>
      <w:marTop w:val="0"/>
      <w:marBottom w:val="0"/>
      <w:divBdr>
        <w:top w:val="none" w:sz="0" w:space="0" w:color="auto"/>
        <w:left w:val="none" w:sz="0" w:space="0" w:color="auto"/>
        <w:bottom w:val="none" w:sz="0" w:space="0" w:color="auto"/>
        <w:right w:val="none" w:sz="0" w:space="0" w:color="auto"/>
      </w:divBdr>
    </w:div>
    <w:div w:id="1526022469">
      <w:bodyDiv w:val="1"/>
      <w:marLeft w:val="0"/>
      <w:marRight w:val="0"/>
      <w:marTop w:val="0"/>
      <w:marBottom w:val="0"/>
      <w:divBdr>
        <w:top w:val="none" w:sz="0" w:space="0" w:color="auto"/>
        <w:left w:val="none" w:sz="0" w:space="0" w:color="auto"/>
        <w:bottom w:val="none" w:sz="0" w:space="0" w:color="auto"/>
        <w:right w:val="none" w:sz="0" w:space="0" w:color="auto"/>
      </w:divBdr>
    </w:div>
    <w:div w:id="1856728064">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cd.org/site/piaac/ENGLISH_Brochure%20Education%20and%20Skills%20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2.xml><?xml version="1.0" encoding="utf-8"?>
<ds:datastoreItem xmlns:ds="http://schemas.openxmlformats.org/officeDocument/2006/customXml" ds:itemID="{CB76F789-2E69-4E7D-9257-635EA3551EFF}">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349C8C-80AE-402C-B6E6-685442D7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6062</Words>
  <Characters>36785</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4</cp:revision>
  <cp:lastPrinted>2014-09-17T17:36:00Z</cp:lastPrinted>
  <dcterms:created xsi:type="dcterms:W3CDTF">2015-07-22T17:34:00Z</dcterms:created>
  <dcterms:modified xsi:type="dcterms:W3CDTF">2015-07-22T20:31:00Z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