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75FD4" w14:textId="77777777" w:rsidR="00D350A8" w:rsidRPr="00FC11BA" w:rsidRDefault="00D350A8" w:rsidP="00D350A8">
      <w:pPr>
        <w:rPr>
          <w:rFonts w:ascii="Times New Roman" w:hAnsi="Times New Roman" w:cs="Times New Roman"/>
          <w:sz w:val="26"/>
          <w:szCs w:val="26"/>
        </w:rPr>
      </w:pPr>
    </w:p>
    <w:p w14:paraId="0F4406CF" w14:textId="77777777" w:rsidR="00E14C63" w:rsidRPr="00FC11BA" w:rsidRDefault="00D350A8" w:rsidP="00D350A8">
      <w:pPr>
        <w:tabs>
          <w:tab w:val="left" w:pos="3320"/>
        </w:tabs>
        <w:rPr>
          <w:rFonts w:ascii="Times New Roman" w:hAnsi="Times New Roman" w:cs="Times New Roman"/>
          <w:sz w:val="26"/>
          <w:szCs w:val="26"/>
        </w:rPr>
      </w:pPr>
      <w:r w:rsidRPr="00FC11BA">
        <w:rPr>
          <w:rFonts w:ascii="Times New Roman" w:hAnsi="Times New Roman" w:cs="Times New Roman"/>
          <w:sz w:val="26"/>
          <w:szCs w:val="26"/>
        </w:rPr>
        <w:tab/>
        <w:t>Supporting Statement for</w:t>
      </w:r>
    </w:p>
    <w:p w14:paraId="28022123" w14:textId="3C24F4E9" w:rsidR="00C5285B" w:rsidRDefault="00FA0F7B" w:rsidP="00345EAE">
      <w:pPr>
        <w:spacing w:after="0" w:line="240" w:lineRule="auto"/>
        <w:ind w:right="-180"/>
        <w:jc w:val="center"/>
        <w:rPr>
          <w:rFonts w:ascii="Times New Roman" w:hAnsi="Times New Roman" w:cs="Times New Roman"/>
          <w:b/>
          <w:sz w:val="26"/>
          <w:szCs w:val="26"/>
        </w:rPr>
      </w:pPr>
      <w:r w:rsidRPr="00FC11BA">
        <w:rPr>
          <w:rFonts w:ascii="Times New Roman" w:hAnsi="Times New Roman" w:cs="Times New Roman"/>
          <w:b/>
          <w:sz w:val="26"/>
          <w:szCs w:val="26"/>
        </w:rPr>
        <w:t xml:space="preserve">FERC-725A </w:t>
      </w:r>
      <w:r w:rsidR="001F049A">
        <w:rPr>
          <w:rFonts w:ascii="Times New Roman" w:hAnsi="Times New Roman" w:cs="Times New Roman"/>
          <w:b/>
          <w:sz w:val="26"/>
          <w:szCs w:val="26"/>
        </w:rPr>
        <w:t>(</w:t>
      </w:r>
      <w:r w:rsidR="001F049A" w:rsidRPr="001F049A">
        <w:rPr>
          <w:rFonts w:ascii="Times New Roman" w:hAnsi="Times New Roman" w:cs="Times New Roman"/>
          <w:b/>
          <w:sz w:val="26"/>
          <w:szCs w:val="26"/>
        </w:rPr>
        <w:t>Mandatory Reliability Standards for the Bulk-Power System</w:t>
      </w:r>
      <w:r w:rsidR="001F049A">
        <w:rPr>
          <w:rFonts w:ascii="Times New Roman" w:hAnsi="Times New Roman" w:cs="Times New Roman"/>
          <w:b/>
          <w:sz w:val="26"/>
          <w:szCs w:val="26"/>
        </w:rPr>
        <w:t>)</w:t>
      </w:r>
      <w:r w:rsidR="001F049A" w:rsidRPr="001F049A">
        <w:rPr>
          <w:rFonts w:ascii="Times New Roman" w:hAnsi="Times New Roman" w:cs="Times New Roman"/>
          <w:b/>
          <w:sz w:val="26"/>
          <w:szCs w:val="26"/>
        </w:rPr>
        <w:t xml:space="preserve"> </w:t>
      </w:r>
      <w:r w:rsidRPr="00FC11BA">
        <w:rPr>
          <w:rFonts w:ascii="Times New Roman" w:hAnsi="Times New Roman" w:cs="Times New Roman"/>
          <w:b/>
          <w:sz w:val="26"/>
          <w:szCs w:val="26"/>
        </w:rPr>
        <w:t>and FERC-725Z</w:t>
      </w:r>
      <w:r w:rsidR="001F049A" w:rsidRPr="001F049A">
        <w:t xml:space="preserve"> </w:t>
      </w:r>
      <w:r w:rsidR="001F049A">
        <w:t>(</w:t>
      </w:r>
      <w:r w:rsidR="001F049A" w:rsidRPr="001F049A">
        <w:rPr>
          <w:rFonts w:ascii="Times New Roman" w:hAnsi="Times New Roman" w:cs="Times New Roman"/>
          <w:b/>
          <w:sz w:val="26"/>
          <w:szCs w:val="26"/>
        </w:rPr>
        <w:t>Mandatory Reliability Standards: IRO Reliability Standards</w:t>
      </w:r>
      <w:r w:rsidR="001F049A">
        <w:rPr>
          <w:rFonts w:ascii="Times New Roman" w:hAnsi="Times New Roman" w:cs="Times New Roman"/>
          <w:b/>
          <w:sz w:val="26"/>
          <w:szCs w:val="26"/>
        </w:rPr>
        <w:t>)</w:t>
      </w:r>
      <w:r w:rsidR="00D350A8" w:rsidRPr="00FC11BA">
        <w:rPr>
          <w:rFonts w:ascii="Times New Roman" w:hAnsi="Times New Roman" w:cs="Times New Roman"/>
          <w:b/>
          <w:sz w:val="26"/>
          <w:szCs w:val="26"/>
        </w:rPr>
        <w:t>,</w:t>
      </w:r>
    </w:p>
    <w:p w14:paraId="3FC5EEEB" w14:textId="5D302930" w:rsidR="00D350A8" w:rsidRPr="00FC11BA" w:rsidRDefault="00C5285B" w:rsidP="00345EAE">
      <w:pPr>
        <w:spacing w:after="0" w:line="240" w:lineRule="auto"/>
        <w:ind w:right="-180"/>
        <w:jc w:val="center"/>
        <w:rPr>
          <w:rFonts w:ascii="Times New Roman" w:hAnsi="Times New Roman" w:cs="Times New Roman"/>
          <w:b/>
          <w:sz w:val="26"/>
          <w:szCs w:val="26"/>
        </w:rPr>
      </w:pPr>
      <w:proofErr w:type="gramStart"/>
      <w:r>
        <w:rPr>
          <w:rFonts w:ascii="Times New Roman" w:hAnsi="Times New Roman" w:cs="Times New Roman"/>
          <w:b/>
          <w:sz w:val="26"/>
          <w:szCs w:val="26"/>
        </w:rPr>
        <w:t>as</w:t>
      </w:r>
      <w:proofErr w:type="gramEnd"/>
      <w:r>
        <w:rPr>
          <w:rFonts w:ascii="Times New Roman" w:hAnsi="Times New Roman" w:cs="Times New Roman"/>
          <w:b/>
          <w:sz w:val="26"/>
          <w:szCs w:val="26"/>
        </w:rPr>
        <w:t xml:space="preserve"> modified by the NOPR in Docket RM15-16</w:t>
      </w:r>
      <w:r w:rsidR="001F049A" w:rsidRPr="001F049A">
        <w:rPr>
          <w:rFonts w:ascii="Times New Roman" w:hAnsi="Times New Roman" w:cs="Times New Roman"/>
          <w:b/>
          <w:sz w:val="26"/>
          <w:szCs w:val="26"/>
        </w:rPr>
        <w:t xml:space="preserve"> </w:t>
      </w:r>
    </w:p>
    <w:p w14:paraId="276B7E4C" w14:textId="362E8F99" w:rsidR="00D350A8" w:rsidRPr="00FC11BA" w:rsidRDefault="00D350A8" w:rsidP="00B61FB5">
      <w:pPr>
        <w:spacing w:before="240"/>
        <w:rPr>
          <w:rFonts w:ascii="Times New Roman" w:hAnsi="Times New Roman" w:cs="Times New Roman"/>
          <w:szCs w:val="26"/>
        </w:rPr>
      </w:pPr>
      <w:r w:rsidRPr="00FC11BA">
        <w:rPr>
          <w:rFonts w:ascii="Times New Roman" w:hAnsi="Times New Roman" w:cs="Times New Roman"/>
          <w:sz w:val="26"/>
          <w:szCs w:val="26"/>
        </w:rPr>
        <w:t xml:space="preserve">The Federal Energy Regulatory Commission (Commission or FERC) requests that the Office of Management and Budget (OMB) review and approve </w:t>
      </w:r>
      <w:r w:rsidRPr="00FC11BA">
        <w:rPr>
          <w:rFonts w:ascii="Times New Roman" w:hAnsi="Times New Roman" w:cs="Times New Roman"/>
          <w:b/>
          <w:sz w:val="26"/>
          <w:szCs w:val="26"/>
        </w:rPr>
        <w:t>FERC</w:t>
      </w:r>
      <w:r w:rsidR="0012731F">
        <w:rPr>
          <w:rFonts w:ascii="Times New Roman" w:hAnsi="Times New Roman" w:cs="Times New Roman"/>
          <w:b/>
          <w:sz w:val="26"/>
          <w:szCs w:val="26"/>
        </w:rPr>
        <w:t>-725A and FERC 725Z</w:t>
      </w:r>
      <w:r w:rsidRPr="00FC11BA">
        <w:rPr>
          <w:rFonts w:ascii="Times New Roman" w:hAnsi="Times New Roman" w:cs="Times New Roman"/>
          <w:sz w:val="26"/>
          <w:szCs w:val="26"/>
        </w:rPr>
        <w:t xml:space="preserve">, </w:t>
      </w:r>
      <w:r w:rsidR="001F049A">
        <w:rPr>
          <w:rFonts w:ascii="Times New Roman" w:hAnsi="Times New Roman" w:cs="Times New Roman"/>
          <w:sz w:val="26"/>
          <w:szCs w:val="26"/>
        </w:rPr>
        <w:t xml:space="preserve">as modified by the NOPR in RM15-16 </w:t>
      </w:r>
      <w:r w:rsidR="001F049A" w:rsidRPr="001F049A">
        <w:rPr>
          <w:rFonts w:ascii="Times New Roman" w:hAnsi="Times New Roman" w:cs="Times New Roman"/>
          <w:sz w:val="26"/>
          <w:szCs w:val="26"/>
        </w:rPr>
        <w:t>(Transmission Operations Reliability Standards and</w:t>
      </w:r>
      <w:r w:rsidR="001F049A" w:rsidRPr="001F049A">
        <w:rPr>
          <w:rFonts w:ascii="Times New Roman" w:hAnsi="Times New Roman" w:cs="Times New Roman"/>
          <w:szCs w:val="26"/>
        </w:rPr>
        <w:t xml:space="preserve"> </w:t>
      </w:r>
      <w:r w:rsidR="001F049A" w:rsidRPr="001F049A">
        <w:rPr>
          <w:rFonts w:ascii="Times New Roman" w:hAnsi="Times New Roman" w:cs="Times New Roman"/>
          <w:sz w:val="26"/>
          <w:szCs w:val="26"/>
        </w:rPr>
        <w:t>Interconnection Reliability Operations and Coordination Reliability Standards)</w:t>
      </w:r>
      <w:r w:rsidR="001F049A">
        <w:rPr>
          <w:rFonts w:ascii="Times New Roman" w:hAnsi="Times New Roman" w:cs="Times New Roman"/>
          <w:sz w:val="26"/>
          <w:szCs w:val="26"/>
        </w:rPr>
        <w:t xml:space="preserve">, </w:t>
      </w:r>
      <w:r w:rsidRPr="00FC11BA">
        <w:rPr>
          <w:rFonts w:ascii="Times New Roman" w:hAnsi="Times New Roman" w:cs="Times New Roman"/>
          <w:sz w:val="26"/>
          <w:szCs w:val="26"/>
        </w:rPr>
        <w:t xml:space="preserve">for a three year period. </w:t>
      </w:r>
      <w:r w:rsidR="00D215A2" w:rsidRPr="00FC11BA">
        <w:rPr>
          <w:rFonts w:ascii="Times New Roman" w:hAnsi="Times New Roman" w:cs="Times New Roman"/>
          <w:sz w:val="26"/>
          <w:szCs w:val="26"/>
        </w:rPr>
        <w:t xml:space="preserve"> </w:t>
      </w:r>
    </w:p>
    <w:p w14:paraId="58A35B48" w14:textId="77777777" w:rsidR="00C4205B" w:rsidRPr="00FC11BA" w:rsidRDefault="00C4205B" w:rsidP="00C4205B">
      <w:pPr>
        <w:rPr>
          <w:rFonts w:ascii="Times New Roman" w:hAnsi="Times New Roman" w:cs="Times New Roman"/>
          <w:b/>
          <w:sz w:val="26"/>
          <w:szCs w:val="26"/>
        </w:rPr>
      </w:pPr>
      <w:r w:rsidRPr="00FC11BA">
        <w:rPr>
          <w:rFonts w:ascii="Times New Roman" w:hAnsi="Times New Roman" w:cs="Times New Roman"/>
          <w:b/>
          <w:sz w:val="26"/>
          <w:szCs w:val="26"/>
        </w:rPr>
        <w:t>A.</w:t>
      </w:r>
      <w:r w:rsidRPr="00FC11BA">
        <w:rPr>
          <w:rFonts w:ascii="Times New Roman" w:hAnsi="Times New Roman" w:cs="Times New Roman"/>
          <w:b/>
          <w:sz w:val="26"/>
          <w:szCs w:val="26"/>
        </w:rPr>
        <w:tab/>
      </w:r>
      <w:r w:rsidRPr="00FC11BA">
        <w:rPr>
          <w:rFonts w:ascii="Times New Roman" w:hAnsi="Times New Roman" w:cs="Times New Roman"/>
          <w:b/>
          <w:sz w:val="26"/>
          <w:szCs w:val="26"/>
          <w:u w:val="single"/>
        </w:rPr>
        <w:t>Justification</w:t>
      </w:r>
    </w:p>
    <w:p w14:paraId="0DF1C787"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FC11BA">
        <w:rPr>
          <w:rFonts w:ascii="Times New Roman" w:hAnsi="Times New Roman" w:cs="Times New Roman"/>
          <w:b/>
          <w:bCs/>
          <w:sz w:val="26"/>
          <w:szCs w:val="26"/>
        </w:rPr>
        <w:t>CIRCUMSTANCES THAT MAKE THE COLLECTION OF INFORMATION NECESSARY</w:t>
      </w:r>
    </w:p>
    <w:p w14:paraId="0F804EE0" w14:textId="77777777" w:rsidR="00C4205B" w:rsidRPr="00FC11BA" w:rsidRDefault="00C4205B" w:rsidP="00C4205B">
      <w:pPr>
        <w:widowControl w:val="0"/>
        <w:autoSpaceDE w:val="0"/>
        <w:autoSpaceDN w:val="0"/>
        <w:adjustRightInd w:val="0"/>
        <w:spacing w:after="0" w:line="240" w:lineRule="auto"/>
        <w:ind w:left="360"/>
        <w:rPr>
          <w:rFonts w:ascii="Times New Roman" w:hAnsi="Times New Roman" w:cs="Times New Roman"/>
          <w:b/>
          <w:bCs/>
          <w:sz w:val="26"/>
          <w:szCs w:val="26"/>
        </w:rPr>
      </w:pPr>
    </w:p>
    <w:p w14:paraId="517BAC14" w14:textId="77777777" w:rsidR="00B61FB5" w:rsidRPr="00FC11BA" w:rsidRDefault="00B61FB5" w:rsidP="00B61FB5">
      <w:pPr>
        <w:pStyle w:val="FERCparanumber"/>
        <w:widowControl/>
        <w:numPr>
          <w:ilvl w:val="0"/>
          <w:numId w:val="0"/>
        </w:numPr>
        <w:spacing w:line="276" w:lineRule="auto"/>
        <w:rPr>
          <w:rFonts w:ascii="Times New Roman" w:hAnsi="Times New Roman" w:cs="Times New Roman"/>
          <w:sz w:val="26"/>
          <w:szCs w:val="26"/>
        </w:rPr>
      </w:pPr>
      <w:r w:rsidRPr="00FC11BA">
        <w:rPr>
          <w:rFonts w:ascii="Times New Roman" w:hAnsi="Times New Roman" w:cs="Times New Roman"/>
          <w:sz w:val="26"/>
          <w:szCs w:val="26"/>
        </w:rPr>
        <w:t>Pursuant to section 215 of the Federal Power Act (FPA),</w:t>
      </w:r>
      <w:r w:rsidRPr="00D17BB7">
        <w:rPr>
          <w:rStyle w:val="FootnoteReference"/>
          <w:rFonts w:ascii="Times New Roman" w:hAnsi="Times New Roman" w:cs="Times New Roman"/>
          <w:sz w:val="26"/>
          <w:szCs w:val="26"/>
          <w:vertAlign w:val="superscript"/>
        </w:rPr>
        <w:footnoteReference w:id="1"/>
      </w:r>
      <w:r w:rsidRPr="00FC11BA">
        <w:rPr>
          <w:rFonts w:ascii="Times New Roman" w:hAnsi="Times New Roman" w:cs="Times New Roman"/>
          <w:sz w:val="26"/>
          <w:szCs w:val="26"/>
        </w:rPr>
        <w:t xml:space="preserve"> the Commission proposes to approve revisions to the Transmission Operations (TOP) and </w:t>
      </w:r>
      <w:r w:rsidRPr="00FC11BA">
        <w:rPr>
          <w:rFonts w:ascii="Times New Roman" w:hAnsi="Times New Roman" w:cs="Times New Roman"/>
          <w:bCs/>
          <w:color w:val="000000"/>
          <w:sz w:val="26"/>
          <w:szCs w:val="26"/>
          <w:shd w:val="clear" w:color="auto" w:fill="FFFFFF"/>
        </w:rPr>
        <w:t xml:space="preserve">Interconnection Reliability Operations and Coordination (IRO) Reliability Standards, </w:t>
      </w:r>
      <w:r w:rsidRPr="00FC11BA">
        <w:rPr>
          <w:rFonts w:ascii="Times New Roman" w:hAnsi="Times New Roman" w:cs="Times New Roman"/>
          <w:sz w:val="26"/>
          <w:szCs w:val="26"/>
        </w:rPr>
        <w:t xml:space="preserve">developed by the North American Electric Reliability Corporation (NERC), the Commission-certified Electric Reliability Organization (ERO).  The Commission believes that the proposed TOP and IRO Reliability Standards improve on the currently-effective standards by providing a more precise set of Reliability Standards addressing operating responsibilities and improving the delineation of responsibilities between applicable entities.  The Commission also believes that the revised TOP Reliability Standards eliminate gaps and ambiguities in the currently-effective TOP requirements and improve efficiency by incorporating the necessary requirements from the eight currently-effective TOP Reliability Standards into three cohesive, comprehensive Reliability Standards.  Further, the Commission believes that the proposed standards clarify and improve upon the currently-effective TOP and IRO Reliability Standards by designating requirements in the proposed standards that apply to transmission operators for the TOP standards and reliability coordinators for the IRO standards.  Thus, the Commission proposes to find </w:t>
      </w:r>
      <w:r w:rsidRPr="00FC11BA">
        <w:rPr>
          <w:rFonts w:ascii="Times New Roman" w:hAnsi="Times New Roman" w:cs="Times New Roman"/>
          <w:sz w:val="26"/>
          <w:szCs w:val="26"/>
        </w:rPr>
        <w:lastRenderedPageBreak/>
        <w:t>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r w:rsidRPr="00D17BB7">
        <w:rPr>
          <w:rStyle w:val="FootnoteReference"/>
          <w:rFonts w:ascii="Times New Roman" w:hAnsi="Times New Roman" w:cs="Times New Roman"/>
          <w:sz w:val="26"/>
          <w:szCs w:val="26"/>
          <w:vertAlign w:val="superscript"/>
        </w:rPr>
        <w:footnoteReference w:id="2"/>
      </w:r>
      <w:r w:rsidRPr="00FC11BA">
        <w:rPr>
          <w:rFonts w:ascii="Times New Roman" w:hAnsi="Times New Roman" w:cs="Times New Roman"/>
          <w:sz w:val="26"/>
          <w:szCs w:val="26"/>
        </w:rPr>
        <w:t xml:space="preserve">  </w:t>
      </w:r>
    </w:p>
    <w:p w14:paraId="1E80D4D2" w14:textId="77777777" w:rsidR="00C4205B" w:rsidRPr="00FC11BA" w:rsidRDefault="00C4205B" w:rsidP="00C4205B">
      <w:pPr>
        <w:rPr>
          <w:rFonts w:ascii="Times New Roman" w:hAnsi="Times New Roman" w:cs="Times New Roman"/>
          <w:sz w:val="24"/>
          <w:szCs w:val="24"/>
        </w:rPr>
      </w:pPr>
    </w:p>
    <w:p w14:paraId="4F714904"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FC11BA">
        <w:rPr>
          <w:rFonts w:ascii="Times New Roman" w:hAnsi="Times New Roman" w:cs="Times New Roman"/>
          <w:b/>
          <w:bCs/>
          <w:sz w:val="26"/>
          <w:szCs w:val="26"/>
        </w:rPr>
        <w:t>HOW, BY WHOM, AND FOR WHAT PURPOSE THE INFORMATION IS TO BE USED AND THE CONSEQUENCES OF NOT COLLECTING THE INFORMATION</w:t>
      </w:r>
    </w:p>
    <w:p w14:paraId="480AF84B" w14:textId="77777777" w:rsidR="004A1428" w:rsidRPr="00FC11BA" w:rsidRDefault="004A1428" w:rsidP="004A1428">
      <w:pPr>
        <w:widowControl w:val="0"/>
        <w:autoSpaceDE w:val="0"/>
        <w:autoSpaceDN w:val="0"/>
        <w:adjustRightInd w:val="0"/>
        <w:spacing w:after="0" w:line="240" w:lineRule="auto"/>
        <w:ind w:left="360"/>
        <w:rPr>
          <w:rFonts w:ascii="Times New Roman" w:hAnsi="Times New Roman" w:cs="Times New Roman"/>
          <w:b/>
          <w:bCs/>
          <w:sz w:val="26"/>
          <w:szCs w:val="26"/>
        </w:rPr>
      </w:pPr>
    </w:p>
    <w:p w14:paraId="4008B314" w14:textId="5A5A3F35" w:rsidR="00055683" w:rsidRPr="00FC11BA" w:rsidRDefault="00131470" w:rsidP="007A6365">
      <w:pPr>
        <w:rPr>
          <w:rFonts w:ascii="Times New Roman" w:hAnsi="Times New Roman" w:cs="Times New Roman"/>
          <w:sz w:val="26"/>
          <w:szCs w:val="26"/>
        </w:rPr>
      </w:pPr>
      <w:r>
        <w:rPr>
          <w:rFonts w:ascii="Times New Roman" w:hAnsi="Times New Roman" w:cs="Times New Roman"/>
          <w:sz w:val="26"/>
          <w:szCs w:val="26"/>
        </w:rPr>
        <w:t>The applicable entities of the Reliability Standards (Reliability Coordinator, Transmission Operator, et al.) will use the information to coordinate several reliability functions on the bulk-power system.  These functions include</w:t>
      </w:r>
      <w:r w:rsidR="0035608B">
        <w:rPr>
          <w:rFonts w:ascii="Times New Roman" w:hAnsi="Times New Roman" w:cs="Times New Roman"/>
          <w:sz w:val="26"/>
          <w:szCs w:val="26"/>
        </w:rPr>
        <w:t xml:space="preserve"> planning, operations, data sharing, monitoring, and analysis.  Without collecting this information, reliability of the bulk-power system </w:t>
      </w:r>
      <w:r w:rsidR="00707A85">
        <w:rPr>
          <w:rFonts w:ascii="Times New Roman" w:hAnsi="Times New Roman" w:cs="Times New Roman"/>
          <w:sz w:val="26"/>
          <w:szCs w:val="26"/>
        </w:rPr>
        <w:t xml:space="preserve">could become </w:t>
      </w:r>
      <w:r w:rsidR="0035608B">
        <w:rPr>
          <w:rFonts w:ascii="Times New Roman" w:hAnsi="Times New Roman" w:cs="Times New Roman"/>
          <w:sz w:val="26"/>
          <w:szCs w:val="26"/>
        </w:rPr>
        <w:t>compromised potentially resulting in wide spread outages.</w:t>
      </w:r>
    </w:p>
    <w:p w14:paraId="24C09582"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FC11BA">
        <w:rPr>
          <w:rFonts w:ascii="Times New Roman" w:hAnsi="Times New Roman" w:cs="Times New Roman"/>
          <w:b/>
          <w:bCs/>
          <w:sz w:val="26"/>
          <w:szCs w:val="26"/>
        </w:rPr>
        <w:t>DESCRIBE ANY CONSIDERATION OF THE USE OF IMPROVED TECHNOLOGY TO REDUCE BURDEN AND TECHNICAL OR LEGAL OBSTACLES TO REDUCING BURDEN.</w:t>
      </w:r>
    </w:p>
    <w:p w14:paraId="0B345759" w14:textId="77777777" w:rsidR="004A1428" w:rsidRPr="00FC11BA" w:rsidRDefault="004A1428" w:rsidP="004A1428">
      <w:pPr>
        <w:widowControl w:val="0"/>
        <w:autoSpaceDE w:val="0"/>
        <w:autoSpaceDN w:val="0"/>
        <w:adjustRightInd w:val="0"/>
        <w:spacing w:after="0" w:line="240" w:lineRule="auto"/>
        <w:ind w:left="360"/>
        <w:rPr>
          <w:rFonts w:ascii="Times New Roman" w:hAnsi="Times New Roman" w:cs="Times New Roman"/>
          <w:b/>
          <w:bCs/>
          <w:sz w:val="26"/>
          <w:szCs w:val="26"/>
        </w:rPr>
      </w:pPr>
    </w:p>
    <w:p w14:paraId="6235B66D" w14:textId="77777777" w:rsidR="0012731F" w:rsidRPr="0012731F" w:rsidRDefault="0012731F" w:rsidP="0012731F">
      <w:pPr>
        <w:spacing w:after="0"/>
        <w:rPr>
          <w:rFonts w:ascii="Times New Roman" w:hAnsi="Times New Roman" w:cs="Times New Roman"/>
          <w:sz w:val="26"/>
          <w:szCs w:val="26"/>
        </w:rPr>
      </w:pPr>
      <w:r w:rsidRPr="0012731F">
        <w:rPr>
          <w:rFonts w:ascii="Times New Roman" w:hAnsi="Times New Roman" w:cs="Times New Roman"/>
          <w:sz w:val="26"/>
          <w:szCs w:val="26"/>
        </w:rPr>
        <w:t xml:space="preserve">The information technology to meet the information collection requirements is not specifically covered in the Reliability Standard, leaving the decision up to the entities, and NERC.  </w:t>
      </w:r>
    </w:p>
    <w:p w14:paraId="41A46AF5" w14:textId="77777777" w:rsidR="0012731F" w:rsidRPr="0012731F" w:rsidRDefault="0012731F" w:rsidP="0012731F">
      <w:pPr>
        <w:spacing w:after="0"/>
        <w:rPr>
          <w:rFonts w:ascii="Times New Roman" w:hAnsi="Times New Roman" w:cs="Times New Roman"/>
          <w:sz w:val="26"/>
          <w:szCs w:val="26"/>
        </w:rPr>
      </w:pPr>
    </w:p>
    <w:p w14:paraId="5575C4EC" w14:textId="71947A73" w:rsidR="00055683" w:rsidRDefault="0012731F" w:rsidP="00042D80">
      <w:pPr>
        <w:spacing w:after="0"/>
        <w:rPr>
          <w:rFonts w:ascii="Times New Roman" w:hAnsi="Times New Roman" w:cs="Times New Roman"/>
          <w:sz w:val="26"/>
          <w:szCs w:val="26"/>
        </w:rPr>
      </w:pPr>
      <w:r w:rsidRPr="0012731F">
        <w:rPr>
          <w:rFonts w:ascii="Times New Roman" w:hAnsi="Times New Roman" w:cs="Times New Roman"/>
          <w:sz w:val="26"/>
          <w:szCs w:val="26"/>
        </w:rPr>
        <w:t xml:space="preserve">In general, the Commission supports the use of information technology to reduce burden.  </w:t>
      </w:r>
    </w:p>
    <w:p w14:paraId="682A72EE" w14:textId="77777777" w:rsidR="00042D80" w:rsidRPr="00FC11BA" w:rsidRDefault="00042D80" w:rsidP="00042D80">
      <w:pPr>
        <w:spacing w:after="0"/>
        <w:rPr>
          <w:rFonts w:ascii="Times New Roman" w:hAnsi="Times New Roman" w:cs="Times New Roman"/>
          <w:b/>
          <w:bCs/>
          <w:sz w:val="26"/>
          <w:szCs w:val="26"/>
        </w:rPr>
      </w:pPr>
    </w:p>
    <w:p w14:paraId="2C19360D"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5E3B5EDF" w14:textId="77777777" w:rsidR="00C4205B" w:rsidRPr="00FC11BA" w:rsidRDefault="00C4205B" w:rsidP="00C4205B">
      <w:pPr>
        <w:rPr>
          <w:rFonts w:ascii="Times New Roman" w:hAnsi="Times New Roman" w:cs="Times New Roman"/>
          <w:sz w:val="26"/>
          <w:szCs w:val="26"/>
        </w:rPr>
      </w:pPr>
    </w:p>
    <w:p w14:paraId="26B37C29" w14:textId="77777777" w:rsidR="007F1EC9" w:rsidRPr="00FC11BA" w:rsidRDefault="007F1EC9" w:rsidP="007F1EC9">
      <w:pPr>
        <w:rPr>
          <w:rFonts w:ascii="Times New Roman" w:hAnsi="Times New Roman" w:cs="Times New Roman"/>
          <w:sz w:val="26"/>
          <w:szCs w:val="26"/>
        </w:rPr>
      </w:pPr>
      <w:r w:rsidRPr="00FC11BA">
        <w:rPr>
          <w:rFonts w:ascii="Times New Roman" w:hAnsi="Times New Roman" w:cs="Times New Roman"/>
          <w:sz w:val="26"/>
          <w:szCs w:val="26"/>
        </w:rPr>
        <w:lastRenderedPageBreak/>
        <w:t>The Commission periodically reviews filing requirements concurrent with OMB review or as the Commission deems necessary to eliminate duplicative filing and</w:t>
      </w:r>
      <w:r w:rsidR="00EF4AD6" w:rsidRPr="00FC11BA">
        <w:rPr>
          <w:rFonts w:ascii="Times New Roman" w:hAnsi="Times New Roman" w:cs="Times New Roman"/>
          <w:sz w:val="26"/>
          <w:szCs w:val="26"/>
        </w:rPr>
        <w:t xml:space="preserve"> to minimize the filing burden.</w:t>
      </w:r>
    </w:p>
    <w:p w14:paraId="4EAF00FE" w14:textId="77777777" w:rsidR="007F1EC9" w:rsidRPr="00FC11BA" w:rsidRDefault="007F1EC9" w:rsidP="007F1EC9">
      <w:pPr>
        <w:rPr>
          <w:rFonts w:ascii="Times New Roman" w:hAnsi="Times New Roman" w:cs="Times New Roman"/>
          <w:sz w:val="26"/>
          <w:szCs w:val="26"/>
        </w:rPr>
      </w:pPr>
      <w:r w:rsidRPr="00FC11BA">
        <w:rPr>
          <w:rFonts w:ascii="Times New Roman" w:hAnsi="Times New Roman" w:cs="Times New Roman"/>
          <w:sz w:val="26"/>
          <w:szCs w:val="26"/>
        </w:rPr>
        <w:t>Reliability Standards are developed by a collaborative process which requires industry participation.</w:t>
      </w:r>
      <w:r w:rsidR="00EF4AD6" w:rsidRPr="00FC11BA">
        <w:rPr>
          <w:rFonts w:ascii="Times New Roman" w:hAnsi="Times New Roman" w:cs="Times New Roman"/>
          <w:sz w:val="26"/>
          <w:szCs w:val="26"/>
        </w:rPr>
        <w:t xml:space="preserve">  </w:t>
      </w:r>
    </w:p>
    <w:p w14:paraId="06B300B3" w14:textId="08B606E0" w:rsidR="00EF4AD6" w:rsidRPr="00FC11BA" w:rsidRDefault="007F1EC9" w:rsidP="00EF4AD6">
      <w:pPr>
        <w:rPr>
          <w:rFonts w:ascii="Times New Roman" w:hAnsi="Times New Roman" w:cs="Times New Roman"/>
          <w:sz w:val="26"/>
          <w:szCs w:val="26"/>
        </w:rPr>
      </w:pPr>
      <w:r w:rsidRPr="00FC11BA">
        <w:rPr>
          <w:rFonts w:ascii="Times New Roman" w:hAnsi="Times New Roman" w:cs="Times New Roman"/>
          <w:sz w:val="26"/>
          <w:szCs w:val="26"/>
        </w:rPr>
        <w:t xml:space="preserve">The Commission is unaware of any other source of information similar </w:t>
      </w:r>
      <w:r w:rsidR="00EF4AD6" w:rsidRPr="00FC11BA">
        <w:rPr>
          <w:rFonts w:ascii="Times New Roman" w:hAnsi="Times New Roman" w:cs="Times New Roman"/>
          <w:sz w:val="26"/>
          <w:szCs w:val="26"/>
        </w:rPr>
        <w:t>to the additional requirements.</w:t>
      </w:r>
    </w:p>
    <w:p w14:paraId="1C2E96EA"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METHODS USED TO MINIMIZE BURDEN IN COLLECTION OF INFORMATION INVOLVING SMALL ENTITIES</w:t>
      </w:r>
    </w:p>
    <w:p w14:paraId="42605837" w14:textId="77777777" w:rsidR="00C4205B" w:rsidRPr="00FC11BA" w:rsidRDefault="00C4205B" w:rsidP="00C4205B">
      <w:pPr>
        <w:rPr>
          <w:rFonts w:ascii="Times New Roman" w:hAnsi="Times New Roman" w:cs="Times New Roman"/>
          <w:b/>
          <w:bCs/>
          <w:sz w:val="26"/>
          <w:szCs w:val="26"/>
        </w:rPr>
      </w:pPr>
    </w:p>
    <w:p w14:paraId="76C64086" w14:textId="4F31E9C3" w:rsidR="00C4205B" w:rsidRPr="00FC11BA" w:rsidRDefault="00C4205B" w:rsidP="00C4205B">
      <w:pPr>
        <w:rPr>
          <w:rFonts w:ascii="Times New Roman" w:hAnsi="Times New Roman" w:cs="Times New Roman"/>
          <w:bCs/>
          <w:sz w:val="26"/>
          <w:szCs w:val="26"/>
        </w:rPr>
      </w:pPr>
      <w:r w:rsidRPr="00FC11BA">
        <w:rPr>
          <w:rFonts w:ascii="Times New Roman" w:hAnsi="Times New Roman" w:cs="Times New Roman"/>
          <w:bCs/>
          <w:sz w:val="26"/>
          <w:szCs w:val="26"/>
        </w:rPr>
        <w:t>This Reliability Standard</w:t>
      </w:r>
      <w:r w:rsidR="00B52592" w:rsidRPr="00FC11BA">
        <w:rPr>
          <w:rFonts w:ascii="Times New Roman" w:hAnsi="Times New Roman" w:cs="Times New Roman"/>
          <w:bCs/>
          <w:sz w:val="26"/>
          <w:szCs w:val="26"/>
        </w:rPr>
        <w:t>s</w:t>
      </w:r>
      <w:r w:rsidRPr="00FC11BA">
        <w:rPr>
          <w:rFonts w:ascii="Times New Roman" w:hAnsi="Times New Roman" w:cs="Times New Roman"/>
          <w:bCs/>
          <w:sz w:val="26"/>
          <w:szCs w:val="26"/>
        </w:rPr>
        <w:t xml:space="preserve"> do not contain provisions for minimizing the burden of the collection for small entities.  All the requirements in the Reliability Standard</w:t>
      </w:r>
      <w:r w:rsidR="00B52592" w:rsidRPr="00FC11BA">
        <w:rPr>
          <w:rFonts w:ascii="Times New Roman" w:hAnsi="Times New Roman" w:cs="Times New Roman"/>
          <w:bCs/>
          <w:sz w:val="26"/>
          <w:szCs w:val="26"/>
        </w:rPr>
        <w:t>s</w:t>
      </w:r>
      <w:r w:rsidRPr="00FC11BA">
        <w:rPr>
          <w:rFonts w:ascii="Times New Roman" w:hAnsi="Times New Roman" w:cs="Times New Roman"/>
          <w:bCs/>
          <w:sz w:val="26"/>
          <w:szCs w:val="26"/>
        </w:rPr>
        <w:t xml:space="preserve"> apply to every applicable entity</w:t>
      </w:r>
      <w:r w:rsidR="00810BF9" w:rsidRPr="00FC11BA">
        <w:rPr>
          <w:rFonts w:ascii="Times New Roman" w:hAnsi="Times New Roman" w:cs="Times New Roman"/>
          <w:bCs/>
          <w:sz w:val="26"/>
          <w:szCs w:val="26"/>
        </w:rPr>
        <w:t>. However, Small entities generally can reduce their burden by taking part in a joint registration organization or a coordinated function registration.  These options allow an entity the ability to share its compliance burden with other similar entities.  Detailed information regarding these options is available in NERC’s Rules of Procedure at sections 507 and 508.</w:t>
      </w:r>
      <w:r w:rsidR="00810BF9" w:rsidRPr="00FC11BA">
        <w:rPr>
          <w:rFonts w:ascii="Times New Roman" w:hAnsi="Times New Roman" w:cs="Times New Roman"/>
          <w:bCs/>
          <w:sz w:val="26"/>
          <w:szCs w:val="26"/>
          <w:vertAlign w:val="superscript"/>
        </w:rPr>
        <w:footnoteReference w:id="3"/>
      </w:r>
    </w:p>
    <w:p w14:paraId="3B5E72F1"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FC11BA">
        <w:rPr>
          <w:rFonts w:ascii="Times New Roman" w:hAnsi="Times New Roman" w:cs="Times New Roman"/>
          <w:b/>
          <w:sz w:val="26"/>
          <w:szCs w:val="26"/>
        </w:rPr>
        <w:t>CONSEQUENCE TO FEDERAL PROGRAM IF COLLECTION WERE CONDUCTED LESS FREQUENTLY</w:t>
      </w:r>
    </w:p>
    <w:p w14:paraId="316C5CAC" w14:textId="77777777" w:rsidR="00C4205B" w:rsidRPr="00FC11BA" w:rsidRDefault="00C4205B" w:rsidP="00C4205B">
      <w:pPr>
        <w:pStyle w:val="FERCparanumber"/>
        <w:widowControl/>
        <w:numPr>
          <w:ilvl w:val="0"/>
          <w:numId w:val="0"/>
        </w:numPr>
        <w:tabs>
          <w:tab w:val="left" w:pos="720"/>
        </w:tabs>
        <w:rPr>
          <w:rFonts w:ascii="Times New Roman" w:hAnsi="Times New Roman" w:cs="Times New Roman"/>
          <w:sz w:val="26"/>
          <w:szCs w:val="26"/>
        </w:rPr>
      </w:pPr>
    </w:p>
    <w:p w14:paraId="32DF8191" w14:textId="48E1CDDB" w:rsidR="003C19D0" w:rsidRPr="00FC11BA" w:rsidRDefault="0035608B" w:rsidP="00526F2F">
      <w:pPr>
        <w:rPr>
          <w:rFonts w:ascii="Times New Roman" w:hAnsi="Times New Roman" w:cs="Times New Roman"/>
          <w:sz w:val="26"/>
          <w:szCs w:val="26"/>
        </w:rPr>
      </w:pPr>
      <w:r>
        <w:rPr>
          <w:rFonts w:ascii="Times New Roman" w:hAnsi="Times New Roman" w:cs="Times New Roman"/>
          <w:sz w:val="26"/>
          <w:szCs w:val="26"/>
        </w:rPr>
        <w:t xml:space="preserve">The nature of the operation of the bulk-power system requires applicable entities to </w:t>
      </w:r>
      <w:r w:rsidR="00565F74">
        <w:rPr>
          <w:rFonts w:ascii="Times New Roman" w:hAnsi="Times New Roman" w:cs="Times New Roman"/>
          <w:sz w:val="26"/>
          <w:szCs w:val="26"/>
        </w:rPr>
        <w:t xml:space="preserve">utilize and operate </w:t>
      </w:r>
      <w:r>
        <w:rPr>
          <w:rFonts w:ascii="Times New Roman" w:hAnsi="Times New Roman" w:cs="Times New Roman"/>
          <w:sz w:val="26"/>
          <w:szCs w:val="26"/>
        </w:rPr>
        <w:t>to the most recent information possible</w:t>
      </w:r>
      <w:r w:rsidR="00565F74">
        <w:rPr>
          <w:rFonts w:ascii="Times New Roman" w:hAnsi="Times New Roman" w:cs="Times New Roman"/>
          <w:sz w:val="26"/>
          <w:szCs w:val="26"/>
        </w:rPr>
        <w:t xml:space="preserve"> to provide adequate bulk-power system reliability</w:t>
      </w:r>
      <w:r>
        <w:rPr>
          <w:rFonts w:ascii="Times New Roman" w:hAnsi="Times New Roman" w:cs="Times New Roman"/>
          <w:sz w:val="26"/>
          <w:szCs w:val="26"/>
        </w:rPr>
        <w:t xml:space="preserve">.  If the information was collected less frequently, it could adversely </w:t>
      </w:r>
      <w:proofErr w:type="spellStart"/>
      <w:proofErr w:type="gramStart"/>
      <w:r>
        <w:rPr>
          <w:rFonts w:ascii="Times New Roman" w:hAnsi="Times New Roman" w:cs="Times New Roman"/>
          <w:sz w:val="26"/>
          <w:szCs w:val="26"/>
        </w:rPr>
        <w:t>effect</w:t>
      </w:r>
      <w:proofErr w:type="spellEnd"/>
      <w:proofErr w:type="gramEnd"/>
      <w:r>
        <w:rPr>
          <w:rFonts w:ascii="Times New Roman" w:hAnsi="Times New Roman" w:cs="Times New Roman"/>
          <w:sz w:val="26"/>
          <w:szCs w:val="26"/>
        </w:rPr>
        <w:t xml:space="preserve"> </w:t>
      </w:r>
      <w:r w:rsidR="007B7CCA">
        <w:rPr>
          <w:rFonts w:ascii="Times New Roman" w:hAnsi="Times New Roman" w:cs="Times New Roman"/>
          <w:sz w:val="26"/>
          <w:szCs w:val="26"/>
        </w:rPr>
        <w:t xml:space="preserve">system </w:t>
      </w:r>
      <w:r>
        <w:rPr>
          <w:rFonts w:ascii="Times New Roman" w:hAnsi="Times New Roman" w:cs="Times New Roman"/>
          <w:sz w:val="26"/>
          <w:szCs w:val="26"/>
        </w:rPr>
        <w:t xml:space="preserve">reliability potentially resulting in </w:t>
      </w:r>
      <w:r w:rsidR="005908AC">
        <w:rPr>
          <w:rFonts w:ascii="Times New Roman" w:hAnsi="Times New Roman" w:cs="Times New Roman"/>
          <w:sz w:val="26"/>
          <w:szCs w:val="26"/>
        </w:rPr>
        <w:t xml:space="preserve">bulk-power system </w:t>
      </w:r>
      <w:r>
        <w:rPr>
          <w:rFonts w:ascii="Times New Roman" w:hAnsi="Times New Roman" w:cs="Times New Roman"/>
          <w:sz w:val="26"/>
          <w:szCs w:val="26"/>
        </w:rPr>
        <w:t>outages.</w:t>
      </w:r>
    </w:p>
    <w:p w14:paraId="1F0585C8"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EXPLAIN ANY SPECIAL CIRCUMSTANCES RELATING TO THE INFORMATION COLLECTION</w:t>
      </w:r>
    </w:p>
    <w:p w14:paraId="31EA0D18" w14:textId="77777777" w:rsidR="00C4205B" w:rsidRPr="00FC11BA" w:rsidRDefault="00C4205B" w:rsidP="00C4205B">
      <w:pPr>
        <w:rPr>
          <w:rFonts w:ascii="Times New Roman" w:hAnsi="Times New Roman" w:cs="Times New Roman"/>
          <w:b/>
          <w:bCs/>
          <w:sz w:val="26"/>
          <w:szCs w:val="26"/>
        </w:rPr>
      </w:pPr>
    </w:p>
    <w:p w14:paraId="0D628149" w14:textId="19A3399B" w:rsidR="00C4205B" w:rsidRPr="00FC11BA" w:rsidRDefault="00C4205B" w:rsidP="00C4205B">
      <w:pPr>
        <w:rPr>
          <w:rFonts w:ascii="Times New Roman" w:hAnsi="Times New Roman" w:cs="Times New Roman"/>
          <w:sz w:val="26"/>
          <w:szCs w:val="26"/>
        </w:rPr>
      </w:pPr>
      <w:r w:rsidRPr="00FC11BA">
        <w:rPr>
          <w:rFonts w:ascii="Times New Roman" w:hAnsi="Times New Roman" w:cs="Times New Roman"/>
          <w:sz w:val="26"/>
          <w:szCs w:val="26"/>
        </w:rPr>
        <w:lastRenderedPageBreak/>
        <w:t>There are no special circumstances as described in 5 CFR 1320.5(d</w:t>
      </w:r>
      <w:proofErr w:type="gramStart"/>
      <w:r w:rsidRPr="00FC11BA">
        <w:rPr>
          <w:rFonts w:ascii="Times New Roman" w:hAnsi="Times New Roman" w:cs="Times New Roman"/>
          <w:sz w:val="26"/>
          <w:szCs w:val="26"/>
        </w:rPr>
        <w:t>)(</w:t>
      </w:r>
      <w:proofErr w:type="gramEnd"/>
      <w:r w:rsidRPr="00FC11BA">
        <w:rPr>
          <w:rFonts w:ascii="Times New Roman" w:hAnsi="Times New Roman" w:cs="Times New Roman"/>
          <w:sz w:val="26"/>
          <w:szCs w:val="26"/>
        </w:rPr>
        <w:t xml:space="preserve">2) relating to this information collection. </w:t>
      </w:r>
    </w:p>
    <w:p w14:paraId="17067875"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DESCRIBE EFFORTS TO CONSULT OUTSIDE THE AGENCY: SUMMARIZE PUBLIC COMMENTS AND THE AGENCY'S RESPONSE TO THESE COMMENTS</w:t>
      </w:r>
    </w:p>
    <w:p w14:paraId="6E47D70D" w14:textId="77777777" w:rsidR="00C4205B" w:rsidRPr="00FC11BA" w:rsidRDefault="00C4205B" w:rsidP="00C4205B">
      <w:pPr>
        <w:rPr>
          <w:rFonts w:ascii="Times New Roman" w:hAnsi="Times New Roman" w:cs="Times New Roman"/>
          <w:b/>
          <w:bCs/>
          <w:sz w:val="26"/>
          <w:szCs w:val="26"/>
        </w:rPr>
      </w:pPr>
    </w:p>
    <w:p w14:paraId="5511F08D" w14:textId="77777777" w:rsidR="00C4205B" w:rsidRPr="0012731F" w:rsidRDefault="00C4205B" w:rsidP="00C4205B">
      <w:pPr>
        <w:rPr>
          <w:rFonts w:ascii="Times New Roman" w:hAnsi="Times New Roman" w:cs="Times New Roman"/>
          <w:bCs/>
          <w:sz w:val="26"/>
          <w:szCs w:val="26"/>
        </w:rPr>
      </w:pPr>
      <w:r w:rsidRPr="0012731F">
        <w:rPr>
          <w:rFonts w:ascii="Times New Roman" w:hAnsi="Times New Roman" w:cs="Times New Roman"/>
          <w:bCs/>
          <w:sz w:val="26"/>
          <w:szCs w:val="26"/>
        </w:rPr>
        <w:t xml:space="preserve">The ERO process to establish Reliability Standards is a collaborative process with the ERO, Regional Entities and others developing and reviewing drafts, and providing comments, </w:t>
      </w:r>
      <w:r w:rsidR="00FF701F" w:rsidRPr="0012731F">
        <w:rPr>
          <w:rFonts w:ascii="Times New Roman" w:hAnsi="Times New Roman" w:cs="Times New Roman"/>
          <w:bCs/>
          <w:sz w:val="26"/>
          <w:szCs w:val="26"/>
        </w:rPr>
        <w:t xml:space="preserve">and voting, </w:t>
      </w:r>
      <w:r w:rsidRPr="0012731F">
        <w:rPr>
          <w:rFonts w:ascii="Times New Roman" w:hAnsi="Times New Roman" w:cs="Times New Roman"/>
          <w:bCs/>
          <w:sz w:val="26"/>
          <w:szCs w:val="26"/>
        </w:rPr>
        <w:t>with the final proposed standard submitted to the FERC for review and approval.</w:t>
      </w:r>
      <w:r w:rsidRPr="0012731F">
        <w:rPr>
          <w:rFonts w:ascii="Times New Roman" w:hAnsi="Times New Roman" w:cs="Times New Roman"/>
          <w:bCs/>
          <w:sz w:val="26"/>
          <w:szCs w:val="26"/>
          <w:vertAlign w:val="superscript"/>
        </w:rPr>
        <w:footnoteReference w:id="4"/>
      </w:r>
      <w:r w:rsidRPr="0012731F">
        <w:rPr>
          <w:rFonts w:ascii="Times New Roman" w:hAnsi="Times New Roman" w:cs="Times New Roman"/>
          <w:bCs/>
          <w:sz w:val="26"/>
          <w:szCs w:val="26"/>
        </w:rPr>
        <w:t xml:space="preserve">  </w:t>
      </w:r>
    </w:p>
    <w:p w14:paraId="47C26F39" w14:textId="77777777" w:rsidR="005444B3" w:rsidRDefault="0012731F" w:rsidP="0012731F">
      <w:pPr>
        <w:spacing w:after="0"/>
        <w:ind w:firstLine="360"/>
        <w:rPr>
          <w:rFonts w:ascii="Times New Roman" w:hAnsi="Times New Roman" w:cs="Times New Roman"/>
          <w:sz w:val="26"/>
          <w:szCs w:val="26"/>
        </w:rPr>
      </w:pPr>
      <w:r w:rsidRPr="0012731F">
        <w:rPr>
          <w:rFonts w:ascii="Times New Roman" w:hAnsi="Times New Roman" w:cs="Times New Roman"/>
          <w:sz w:val="26"/>
          <w:szCs w:val="26"/>
        </w:rPr>
        <w:t xml:space="preserve">In addition, 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 collections of data.  The proposed rule was published in the Federal Register </w:t>
      </w:r>
      <w:r w:rsidRPr="00042D80">
        <w:rPr>
          <w:rFonts w:ascii="Times New Roman" w:hAnsi="Times New Roman" w:cs="Times New Roman"/>
          <w:sz w:val="26"/>
          <w:szCs w:val="26"/>
        </w:rPr>
        <w:t>on 6/24/2015 (80 FR 36293).</w:t>
      </w:r>
    </w:p>
    <w:p w14:paraId="32C26001" w14:textId="0931C111" w:rsidR="0012731F" w:rsidRPr="0012731F" w:rsidRDefault="0012731F" w:rsidP="0012731F">
      <w:pPr>
        <w:spacing w:after="0"/>
        <w:ind w:firstLine="360"/>
        <w:rPr>
          <w:rFonts w:ascii="Times New Roman" w:hAnsi="Times New Roman" w:cs="Times New Roman"/>
          <w:sz w:val="26"/>
          <w:szCs w:val="26"/>
        </w:rPr>
      </w:pPr>
      <w:r w:rsidRPr="0012731F">
        <w:rPr>
          <w:rFonts w:ascii="Times New Roman" w:hAnsi="Times New Roman" w:cs="Times New Roman"/>
          <w:sz w:val="26"/>
          <w:szCs w:val="26"/>
        </w:rPr>
        <w:t xml:space="preserve">  </w:t>
      </w:r>
    </w:p>
    <w:p w14:paraId="1E4D2FB0"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EXPLAIN ANY PAYMENT OR GIFTS TO RESPONDENTS</w:t>
      </w:r>
    </w:p>
    <w:p w14:paraId="122B43A3" w14:textId="77777777" w:rsidR="00C4205B" w:rsidRPr="00FC11BA" w:rsidRDefault="00C4205B" w:rsidP="005444B3">
      <w:pPr>
        <w:spacing w:after="0"/>
        <w:rPr>
          <w:rFonts w:ascii="Times New Roman" w:hAnsi="Times New Roman" w:cs="Times New Roman"/>
          <w:b/>
          <w:bCs/>
          <w:sz w:val="26"/>
          <w:szCs w:val="26"/>
        </w:rPr>
      </w:pPr>
    </w:p>
    <w:p w14:paraId="54C8571B" w14:textId="24C28DE9" w:rsidR="005444B3" w:rsidRDefault="00C4205B" w:rsidP="005444B3">
      <w:pPr>
        <w:spacing w:after="0"/>
        <w:rPr>
          <w:rFonts w:ascii="Times New Roman" w:hAnsi="Times New Roman" w:cs="Times New Roman"/>
          <w:sz w:val="26"/>
          <w:szCs w:val="26"/>
        </w:rPr>
      </w:pPr>
      <w:r w:rsidRPr="00FC11BA">
        <w:rPr>
          <w:rFonts w:ascii="Times New Roman" w:hAnsi="Times New Roman" w:cs="Times New Roman"/>
          <w:sz w:val="26"/>
          <w:szCs w:val="26"/>
        </w:rPr>
        <w:t>No payments or gifts have been made to respondents.</w:t>
      </w:r>
    </w:p>
    <w:p w14:paraId="56CAFB16" w14:textId="77777777" w:rsidR="005444B3" w:rsidRPr="005444B3" w:rsidRDefault="005444B3" w:rsidP="00042D80">
      <w:pPr>
        <w:rPr>
          <w:rFonts w:ascii="Times New Roman" w:hAnsi="Times New Roman" w:cs="Times New Roman"/>
          <w:sz w:val="26"/>
          <w:szCs w:val="26"/>
        </w:rPr>
      </w:pPr>
    </w:p>
    <w:p w14:paraId="0EA7FAC1"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DESCRIBE ANY ASSURANCE OF CONFIDENTIALITY PROVIDED TO RESPONDENTS</w:t>
      </w:r>
    </w:p>
    <w:p w14:paraId="5D4B6B25" w14:textId="77777777" w:rsidR="00C4205B" w:rsidRPr="00FC11BA" w:rsidRDefault="00C4205B" w:rsidP="00C4205B">
      <w:pPr>
        <w:rPr>
          <w:rFonts w:ascii="Times New Roman" w:hAnsi="Times New Roman" w:cs="Times New Roman"/>
          <w:b/>
          <w:bCs/>
          <w:sz w:val="26"/>
          <w:szCs w:val="26"/>
        </w:rPr>
      </w:pPr>
    </w:p>
    <w:p w14:paraId="315A4AA7" w14:textId="77777777" w:rsidR="00F14924" w:rsidRPr="00FC11BA" w:rsidRDefault="00F14924" w:rsidP="00F14924">
      <w:pPr>
        <w:rPr>
          <w:rFonts w:ascii="Times New Roman" w:hAnsi="Times New Roman" w:cs="Times New Roman"/>
          <w:bCs/>
          <w:sz w:val="26"/>
          <w:szCs w:val="26"/>
        </w:rPr>
      </w:pPr>
      <w:r w:rsidRPr="00FC11BA">
        <w:rPr>
          <w:rFonts w:ascii="Times New Roman" w:hAnsi="Times New Roman" w:cs="Times New Roman"/>
          <w:bCs/>
          <w:sz w:val="26"/>
          <w:szCs w:val="26"/>
        </w:rPr>
        <w:t>According to the NERC Rules of Procedure</w:t>
      </w:r>
      <w:r w:rsidRPr="00FC11BA">
        <w:rPr>
          <w:rFonts w:ascii="Times New Roman" w:hAnsi="Times New Roman" w:cs="Times New Roman"/>
          <w:bCs/>
          <w:sz w:val="26"/>
          <w:szCs w:val="26"/>
          <w:vertAlign w:val="superscript"/>
        </w:rPr>
        <w:footnoteReference w:id="5"/>
      </w:r>
      <w:r w:rsidRPr="00FC11BA">
        <w:rPr>
          <w:rFonts w:ascii="Times New Roman" w:hAnsi="Times New Roman" w:cs="Times New Roman"/>
          <w:bCs/>
          <w:sz w:val="26"/>
          <w:szCs w:val="26"/>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6FEEA4D5" w14:textId="6A4BE6CF" w:rsidR="00F14924" w:rsidRPr="00FC11BA" w:rsidRDefault="00F14924" w:rsidP="00F14924">
      <w:pPr>
        <w:rPr>
          <w:rFonts w:ascii="Times New Roman" w:hAnsi="Times New Roman" w:cs="Times New Roman"/>
          <w:bCs/>
          <w:sz w:val="26"/>
          <w:szCs w:val="26"/>
        </w:rPr>
      </w:pPr>
      <w:r w:rsidRPr="00FC11BA">
        <w:rPr>
          <w:rFonts w:ascii="Times New Roman" w:hAnsi="Times New Roman" w:cs="Times New Roman"/>
          <w:bCs/>
          <w:sz w:val="26"/>
          <w:szCs w:val="26"/>
        </w:rPr>
        <w:lastRenderedPageBreak/>
        <w:t>Responding entities do not submit the information collected due to the Reliability Standards to FERC.  Rather, they submit the information to NERC, the region</w:t>
      </w:r>
      <w:r w:rsidR="00522521" w:rsidRPr="00FC11BA">
        <w:rPr>
          <w:rFonts w:ascii="Times New Roman" w:hAnsi="Times New Roman" w:cs="Times New Roman"/>
          <w:bCs/>
          <w:sz w:val="26"/>
          <w:szCs w:val="26"/>
        </w:rPr>
        <w:t>al entitie</w:t>
      </w:r>
      <w:r w:rsidRPr="00FC11BA">
        <w:rPr>
          <w:rFonts w:ascii="Times New Roman" w:hAnsi="Times New Roman" w:cs="Times New Roman"/>
          <w:bCs/>
          <w:sz w:val="26"/>
          <w:szCs w:val="26"/>
        </w:rPr>
        <w:t xml:space="preserve">s, or maintain it internally.  Since there are no submissions made to FERC, FERC provides no specific provisions in order to protect confidentiality.  </w:t>
      </w:r>
    </w:p>
    <w:p w14:paraId="31367A1D" w14:textId="77777777" w:rsidR="00C4205B" w:rsidRPr="00FC11BA" w:rsidRDefault="00C4205B" w:rsidP="00C4205B">
      <w:pPr>
        <w:ind w:firstLine="720"/>
        <w:rPr>
          <w:rFonts w:ascii="Times New Roman" w:hAnsi="Times New Roman" w:cs="Times New Roman"/>
          <w:sz w:val="24"/>
          <w:szCs w:val="24"/>
        </w:rPr>
      </w:pPr>
    </w:p>
    <w:p w14:paraId="11F7723F" w14:textId="4B2E1B36"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PROVIDE ADDITIONAL JUSTIFICATION FOR ANY QUESTIONS OF A SENSITIVE NATURE</w:t>
      </w:r>
      <w:r w:rsidR="00E0001D" w:rsidRPr="00FC11BA">
        <w:rPr>
          <w:rFonts w:ascii="Times New Roman" w:hAnsi="Times New Roman" w:cs="Times New Roman"/>
          <w:b/>
          <w:bCs/>
          <w:sz w:val="26"/>
          <w:szCs w:val="26"/>
        </w:rPr>
        <w:t>, SUCH AS SEXUAL BEHAVIOR AND ATTITUDES, RELIGIOUS BELIEFS, AND OTHER MATTERS THAT ARE COMMONLY CONSIDERED PRIVATE</w:t>
      </w:r>
    </w:p>
    <w:p w14:paraId="5CE687D8" w14:textId="77777777" w:rsidR="00C4205B" w:rsidRPr="00FC11BA" w:rsidRDefault="00C4205B" w:rsidP="005444B3">
      <w:pPr>
        <w:spacing w:after="0"/>
        <w:rPr>
          <w:rFonts w:ascii="Times New Roman" w:hAnsi="Times New Roman" w:cs="Times New Roman"/>
          <w:b/>
          <w:bCs/>
          <w:sz w:val="26"/>
          <w:szCs w:val="26"/>
        </w:rPr>
      </w:pPr>
    </w:p>
    <w:p w14:paraId="12F642B6" w14:textId="77777777" w:rsidR="00C4205B" w:rsidRPr="00FC11BA" w:rsidRDefault="00F14924" w:rsidP="005444B3">
      <w:pPr>
        <w:spacing w:after="0"/>
        <w:rPr>
          <w:rFonts w:ascii="Times New Roman" w:hAnsi="Times New Roman" w:cs="Times New Roman"/>
          <w:sz w:val="26"/>
          <w:szCs w:val="26"/>
        </w:rPr>
      </w:pPr>
      <w:r w:rsidRPr="00FC11BA">
        <w:rPr>
          <w:rFonts w:ascii="Times New Roman" w:hAnsi="Times New Roman" w:cs="Times New Roman"/>
          <w:sz w:val="26"/>
          <w:szCs w:val="26"/>
        </w:rPr>
        <w:t xml:space="preserve">This collection does not contain any questions of a sensitive nature.  </w:t>
      </w:r>
    </w:p>
    <w:p w14:paraId="437A6933" w14:textId="77777777" w:rsidR="003C19D0" w:rsidRPr="00FC11BA" w:rsidRDefault="003C19D0" w:rsidP="003E599C">
      <w:pPr>
        <w:rPr>
          <w:rFonts w:ascii="Times New Roman" w:hAnsi="Times New Roman" w:cs="Times New Roman"/>
          <w:bCs/>
          <w:sz w:val="26"/>
          <w:szCs w:val="26"/>
        </w:rPr>
      </w:pPr>
    </w:p>
    <w:p w14:paraId="0C6A0069"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ESTIMATED BURDEN OF COLLECTION OF INFORMATION</w:t>
      </w:r>
    </w:p>
    <w:p w14:paraId="45891195" w14:textId="77777777" w:rsidR="00FC11BA" w:rsidRPr="00FC11BA" w:rsidRDefault="00FC11BA" w:rsidP="00FC11BA">
      <w:pPr>
        <w:widowControl w:val="0"/>
        <w:autoSpaceDE w:val="0"/>
        <w:autoSpaceDN w:val="0"/>
        <w:adjustRightInd w:val="0"/>
        <w:spacing w:after="0" w:line="240" w:lineRule="auto"/>
        <w:ind w:left="360"/>
        <w:rPr>
          <w:rFonts w:ascii="Times New Roman" w:hAnsi="Times New Roman" w:cs="Times New Roman"/>
          <w:sz w:val="24"/>
          <w:szCs w:val="24"/>
        </w:rPr>
      </w:pPr>
    </w:p>
    <w:p w14:paraId="1955A7C1" w14:textId="77777777" w:rsidR="00FC11BA" w:rsidRDefault="00FC11BA" w:rsidP="00FC11BA">
      <w:pPr>
        <w:pStyle w:val="FERCparanumber"/>
        <w:numPr>
          <w:ilvl w:val="0"/>
          <w:numId w:val="0"/>
        </w:numPr>
        <w:tabs>
          <w:tab w:val="left" w:pos="720"/>
        </w:tabs>
        <w:rPr>
          <w:rFonts w:ascii="Times New Roman" w:hAnsi="Times New Roman" w:cs="Times New Roman"/>
        </w:rPr>
      </w:pPr>
      <w:r w:rsidRPr="00FC11BA">
        <w:rPr>
          <w:rFonts w:ascii="Times New Roman" w:hAnsi="Times New Roman" w:cs="Times New Roman"/>
        </w:rPr>
        <w:t xml:space="preserve">The Commission estimates the annual reporting burden and cost as follows:  </w:t>
      </w:r>
    </w:p>
    <w:p w14:paraId="36744C6F" w14:textId="77777777" w:rsidR="00FC11BA" w:rsidRPr="00FC11BA" w:rsidRDefault="00FC11BA" w:rsidP="00FC11BA">
      <w:pPr>
        <w:pStyle w:val="FERCparanumber"/>
        <w:numPr>
          <w:ilvl w:val="0"/>
          <w:numId w:val="0"/>
        </w:numPr>
        <w:tabs>
          <w:tab w:val="left" w:pos="720"/>
        </w:tabs>
        <w:rPr>
          <w:rFonts w:ascii="Times New Roman" w:hAnsi="Times New Roman" w:cs="Times New Roman"/>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1393"/>
        <w:gridCol w:w="1258"/>
        <w:gridCol w:w="1192"/>
        <w:gridCol w:w="1342"/>
        <w:gridCol w:w="1521"/>
        <w:gridCol w:w="1258"/>
      </w:tblGrid>
      <w:tr w:rsidR="00FC11BA" w:rsidRPr="00FC11BA" w14:paraId="6343E40B" w14:textId="77777777" w:rsidTr="00E33E65">
        <w:trPr>
          <w:cantSplit/>
        </w:trPr>
        <w:tc>
          <w:tcPr>
            <w:tcW w:w="5000" w:type="pct"/>
            <w:gridSpan w:val="7"/>
            <w:tcBorders>
              <w:bottom w:val="single" w:sz="4" w:space="0" w:color="auto"/>
            </w:tcBorders>
            <w:shd w:val="clear" w:color="auto" w:fill="D9D9D9"/>
          </w:tcPr>
          <w:p w14:paraId="061151B6" w14:textId="77777777" w:rsidR="00FC11BA" w:rsidRPr="005444B3" w:rsidRDefault="00FC11BA" w:rsidP="005444B3">
            <w:pPr>
              <w:spacing w:after="0"/>
              <w:jc w:val="center"/>
              <w:rPr>
                <w:rFonts w:ascii="Times New Roman" w:hAnsi="Times New Roman" w:cs="Times New Roman"/>
                <w:b/>
                <w:szCs w:val="26"/>
              </w:rPr>
            </w:pPr>
            <w:r w:rsidRPr="005444B3">
              <w:rPr>
                <w:rFonts w:ascii="Times New Roman" w:eastAsia="Calibri" w:hAnsi="Times New Roman" w:cs="Times New Roman"/>
                <w:b/>
              </w:rPr>
              <w:t>RM15-16-000 (</w:t>
            </w:r>
            <w:r w:rsidRPr="005444B3">
              <w:rPr>
                <w:rFonts w:ascii="Times New Roman" w:hAnsi="Times New Roman" w:cs="Times New Roman"/>
                <w:b/>
                <w:szCs w:val="26"/>
              </w:rPr>
              <w:t>Transmission Operations Reliability Standards,</w:t>
            </w:r>
          </w:p>
          <w:p w14:paraId="6178683D" w14:textId="77777777" w:rsidR="00FC11BA" w:rsidRPr="005444B3" w:rsidRDefault="00FC11BA" w:rsidP="005444B3">
            <w:pPr>
              <w:pStyle w:val="FERCparanumber"/>
              <w:numPr>
                <w:ilvl w:val="0"/>
                <w:numId w:val="0"/>
              </w:numPr>
              <w:jc w:val="center"/>
              <w:rPr>
                <w:rFonts w:ascii="Times New Roman" w:eastAsia="Calibri" w:hAnsi="Times New Roman" w:cs="Times New Roman"/>
                <w:b/>
              </w:rPr>
            </w:pPr>
            <w:r w:rsidRPr="005444B3">
              <w:rPr>
                <w:rFonts w:ascii="Times New Roman" w:hAnsi="Times New Roman" w:cs="Times New Roman"/>
                <w:b/>
                <w:szCs w:val="26"/>
              </w:rPr>
              <w:t>Interconnection Reliability Operations and Coordination Reliability Standards</w:t>
            </w:r>
            <w:r w:rsidRPr="005444B3">
              <w:rPr>
                <w:rFonts w:ascii="Times New Roman" w:eastAsia="Calibri" w:hAnsi="Times New Roman" w:cs="Times New Roman"/>
                <w:b/>
              </w:rPr>
              <w:t>)</w:t>
            </w:r>
          </w:p>
        </w:tc>
      </w:tr>
      <w:tr w:rsidR="00FC11BA" w:rsidRPr="00FC11BA" w14:paraId="21087FF6" w14:textId="77777777" w:rsidTr="00E33E65">
        <w:trPr>
          <w:cantSplit/>
        </w:trPr>
        <w:tc>
          <w:tcPr>
            <w:tcW w:w="911" w:type="pct"/>
            <w:shd w:val="clear" w:color="auto" w:fill="D9D9D9"/>
          </w:tcPr>
          <w:p w14:paraId="3E906BD0" w14:textId="77777777" w:rsidR="00FC11BA" w:rsidRPr="005444B3" w:rsidRDefault="00FC11BA" w:rsidP="005444B3">
            <w:pPr>
              <w:spacing w:after="0"/>
              <w:jc w:val="center"/>
              <w:rPr>
                <w:rFonts w:ascii="Times New Roman" w:eastAsia="Calibri" w:hAnsi="Times New Roman" w:cs="Times New Roman"/>
                <w:b/>
                <w:sz w:val="20"/>
                <w:szCs w:val="20"/>
              </w:rPr>
            </w:pPr>
          </w:p>
        </w:tc>
        <w:tc>
          <w:tcPr>
            <w:tcW w:w="715" w:type="pct"/>
            <w:shd w:val="clear" w:color="auto" w:fill="D9D9D9"/>
            <w:vAlign w:val="bottom"/>
          </w:tcPr>
          <w:p w14:paraId="4584E108"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Number of Respondents</w:t>
            </w:r>
            <w:r w:rsidRPr="005444B3">
              <w:rPr>
                <w:rStyle w:val="FootnoteReference"/>
                <w:rFonts w:ascii="Times New Roman" w:eastAsia="Calibri" w:hAnsi="Times New Roman" w:cs="Times New Roman"/>
                <w:b/>
              </w:rPr>
              <w:footnoteReference w:id="6"/>
            </w:r>
            <w:r w:rsidRPr="005444B3">
              <w:rPr>
                <w:rFonts w:ascii="Times New Roman" w:eastAsia="Calibri" w:hAnsi="Times New Roman" w:cs="Times New Roman"/>
                <w:b/>
                <w:sz w:val="20"/>
                <w:szCs w:val="20"/>
              </w:rPr>
              <w:br/>
              <w:t>(1)</w:t>
            </w:r>
          </w:p>
        </w:tc>
        <w:tc>
          <w:tcPr>
            <w:tcW w:w="646" w:type="pct"/>
            <w:shd w:val="clear" w:color="auto" w:fill="D9D9D9"/>
            <w:vAlign w:val="bottom"/>
          </w:tcPr>
          <w:p w14:paraId="15B9BAEA"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Annual Number of Responses per Respondent</w:t>
            </w:r>
          </w:p>
          <w:p w14:paraId="11444FAB"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(2)</w:t>
            </w:r>
          </w:p>
        </w:tc>
        <w:tc>
          <w:tcPr>
            <w:tcW w:w="612" w:type="pct"/>
            <w:shd w:val="clear" w:color="auto" w:fill="D9D9D9"/>
            <w:vAlign w:val="bottom"/>
          </w:tcPr>
          <w:p w14:paraId="04B1107E"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Total Number of Responses (1)*(2)=(3)</w:t>
            </w:r>
          </w:p>
        </w:tc>
        <w:tc>
          <w:tcPr>
            <w:tcW w:w="689" w:type="pct"/>
            <w:shd w:val="clear" w:color="auto" w:fill="D9D9D9"/>
            <w:vAlign w:val="bottom"/>
          </w:tcPr>
          <w:p w14:paraId="17D25C30"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Average Burden &amp; Cost Per Response</w:t>
            </w:r>
            <w:bookmarkStart w:id="0" w:name="_Ref419369111"/>
            <w:r w:rsidRPr="005444B3">
              <w:rPr>
                <w:rStyle w:val="FootnoteReference"/>
                <w:rFonts w:ascii="Times New Roman" w:eastAsia="Calibri" w:hAnsi="Times New Roman" w:cs="Times New Roman"/>
                <w:b/>
              </w:rPr>
              <w:footnoteReference w:id="7"/>
            </w:r>
            <w:bookmarkEnd w:id="0"/>
          </w:p>
          <w:p w14:paraId="7C274991"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(4)</w:t>
            </w:r>
          </w:p>
        </w:tc>
        <w:tc>
          <w:tcPr>
            <w:tcW w:w="781" w:type="pct"/>
            <w:shd w:val="clear" w:color="auto" w:fill="D9D9D9"/>
            <w:vAlign w:val="bottom"/>
          </w:tcPr>
          <w:p w14:paraId="0A3E3F5B"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Total Annual Burden Hours &amp; Total Annual Cost</w:t>
            </w:r>
          </w:p>
          <w:p w14:paraId="11114D52"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(3)*(4)=(5)</w:t>
            </w:r>
          </w:p>
        </w:tc>
        <w:tc>
          <w:tcPr>
            <w:tcW w:w="647" w:type="pct"/>
            <w:shd w:val="clear" w:color="auto" w:fill="D9D9D9"/>
            <w:vAlign w:val="bottom"/>
          </w:tcPr>
          <w:p w14:paraId="5FCFEC4C"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Cost per Respondent</w:t>
            </w:r>
          </w:p>
          <w:p w14:paraId="46A91193"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 xml:space="preserve"> ($)</w:t>
            </w:r>
          </w:p>
          <w:p w14:paraId="5F1418CE" w14:textId="77777777" w:rsidR="00FC11BA" w:rsidRPr="005444B3" w:rsidRDefault="00FC11BA" w:rsidP="005444B3">
            <w:pPr>
              <w:spacing w:after="0"/>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(5)÷(1)</w:t>
            </w:r>
          </w:p>
        </w:tc>
      </w:tr>
      <w:tr w:rsidR="00FC11BA" w:rsidRPr="00FC11BA" w14:paraId="52D41F66" w14:textId="77777777" w:rsidTr="00E33E65">
        <w:trPr>
          <w:cantSplit/>
        </w:trPr>
        <w:tc>
          <w:tcPr>
            <w:tcW w:w="5000" w:type="pct"/>
            <w:gridSpan w:val="7"/>
          </w:tcPr>
          <w:p w14:paraId="5E21D423" w14:textId="77777777" w:rsidR="00FC11BA" w:rsidRPr="005444B3" w:rsidRDefault="00FC11BA" w:rsidP="00E33E65">
            <w:pPr>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FERC-725A</w:t>
            </w:r>
          </w:p>
        </w:tc>
      </w:tr>
      <w:tr w:rsidR="00FC11BA" w:rsidRPr="00FC11BA" w14:paraId="25DEF014" w14:textId="77777777" w:rsidTr="00E33E65">
        <w:trPr>
          <w:cantSplit/>
        </w:trPr>
        <w:tc>
          <w:tcPr>
            <w:tcW w:w="911" w:type="pct"/>
          </w:tcPr>
          <w:p w14:paraId="2EC58058"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TOP-001-3</w:t>
            </w:r>
          </w:p>
        </w:tc>
        <w:tc>
          <w:tcPr>
            <w:tcW w:w="715" w:type="pct"/>
          </w:tcPr>
          <w:p w14:paraId="69D98636"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 (TOP &amp; BA)</w:t>
            </w:r>
          </w:p>
        </w:tc>
        <w:tc>
          <w:tcPr>
            <w:tcW w:w="646" w:type="pct"/>
          </w:tcPr>
          <w:p w14:paraId="58FEA214"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3B9CB8A6"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w:t>
            </w:r>
          </w:p>
        </w:tc>
        <w:tc>
          <w:tcPr>
            <w:tcW w:w="689" w:type="pct"/>
          </w:tcPr>
          <w:p w14:paraId="06649AEA"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96 hrs.</w:t>
            </w:r>
          </w:p>
          <w:p w14:paraId="5C97B7F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$6,369.60</w:t>
            </w:r>
          </w:p>
        </w:tc>
        <w:tc>
          <w:tcPr>
            <w:tcW w:w="781" w:type="pct"/>
          </w:tcPr>
          <w:p w14:paraId="437A0222"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 xml:space="preserve">18,816 hrs., $1,248,441.60 </w:t>
            </w:r>
          </w:p>
        </w:tc>
        <w:tc>
          <w:tcPr>
            <w:tcW w:w="647" w:type="pct"/>
          </w:tcPr>
          <w:p w14:paraId="3AB0A60C"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 xml:space="preserve">96 </w:t>
            </w:r>
            <w:proofErr w:type="spellStart"/>
            <w:r w:rsidRPr="00FC11BA">
              <w:rPr>
                <w:rFonts w:ascii="Times New Roman" w:eastAsia="Calibri" w:hAnsi="Times New Roman" w:cs="Times New Roman"/>
                <w:sz w:val="20"/>
                <w:szCs w:val="20"/>
              </w:rPr>
              <w:t>hrs</w:t>
            </w:r>
            <w:proofErr w:type="spellEnd"/>
            <w:r w:rsidRPr="00FC11BA">
              <w:rPr>
                <w:rFonts w:ascii="Times New Roman" w:eastAsia="Calibri" w:hAnsi="Times New Roman" w:cs="Times New Roman"/>
                <w:sz w:val="20"/>
                <w:szCs w:val="20"/>
              </w:rPr>
              <w:t>, $6,369.60</w:t>
            </w:r>
          </w:p>
        </w:tc>
      </w:tr>
      <w:tr w:rsidR="00FC11BA" w:rsidRPr="00FC11BA" w14:paraId="0E21BD6C" w14:textId="77777777" w:rsidTr="00E33E65">
        <w:trPr>
          <w:cantSplit/>
        </w:trPr>
        <w:tc>
          <w:tcPr>
            <w:tcW w:w="911" w:type="pct"/>
          </w:tcPr>
          <w:p w14:paraId="74AD014F"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lastRenderedPageBreak/>
              <w:t>TOP-002-4</w:t>
            </w:r>
          </w:p>
        </w:tc>
        <w:tc>
          <w:tcPr>
            <w:tcW w:w="715" w:type="pct"/>
          </w:tcPr>
          <w:p w14:paraId="2C182FEF"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 (TOP &amp; BA)</w:t>
            </w:r>
          </w:p>
        </w:tc>
        <w:tc>
          <w:tcPr>
            <w:tcW w:w="646" w:type="pct"/>
          </w:tcPr>
          <w:p w14:paraId="36F39D72"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3AEBEC0A"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w:t>
            </w:r>
          </w:p>
        </w:tc>
        <w:tc>
          <w:tcPr>
            <w:tcW w:w="689" w:type="pct"/>
          </w:tcPr>
          <w:p w14:paraId="07CB1C5E"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284 hrs.</w:t>
            </w:r>
          </w:p>
          <w:p w14:paraId="160C08BC"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$18,843.40</w:t>
            </w:r>
          </w:p>
        </w:tc>
        <w:tc>
          <w:tcPr>
            <w:tcW w:w="781" w:type="pct"/>
          </w:tcPr>
          <w:p w14:paraId="66B7CBD1" w14:textId="77777777" w:rsidR="00FC11BA" w:rsidRPr="00FC11BA" w:rsidRDefault="00FC11BA" w:rsidP="00E33E65">
            <w:pPr>
              <w:jc w:val="center"/>
              <w:rPr>
                <w:rFonts w:ascii="Times New Roman" w:eastAsia="Calibri" w:hAnsi="Times New Roman" w:cs="Times New Roman"/>
                <w:sz w:val="20"/>
                <w:szCs w:val="20"/>
              </w:rPr>
            </w:pPr>
            <w:r w:rsidRPr="00FC11BA">
              <w:rPr>
                <w:rFonts w:ascii="Times New Roman" w:eastAsia="Calibri" w:hAnsi="Times New Roman" w:cs="Times New Roman"/>
                <w:sz w:val="20"/>
                <w:szCs w:val="20"/>
              </w:rPr>
              <w:t>55,664hrs., $3,693,306.40</w:t>
            </w:r>
          </w:p>
          <w:p w14:paraId="3413019E" w14:textId="77777777" w:rsidR="00FC11BA" w:rsidRPr="00FC11BA" w:rsidRDefault="00FC11BA" w:rsidP="00E33E65">
            <w:pPr>
              <w:jc w:val="center"/>
              <w:rPr>
                <w:rFonts w:ascii="Times New Roman" w:eastAsia="Calibri" w:hAnsi="Times New Roman" w:cs="Times New Roman"/>
                <w:sz w:val="20"/>
                <w:szCs w:val="20"/>
              </w:rPr>
            </w:pPr>
          </w:p>
        </w:tc>
        <w:tc>
          <w:tcPr>
            <w:tcW w:w="647" w:type="pct"/>
          </w:tcPr>
          <w:p w14:paraId="5831EB6E"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284 hrs., $18,843.40</w:t>
            </w:r>
          </w:p>
        </w:tc>
      </w:tr>
      <w:tr w:rsidR="00FC11BA" w:rsidRPr="00FC11BA" w14:paraId="3A857FA6" w14:textId="77777777" w:rsidTr="00E33E65">
        <w:trPr>
          <w:cantSplit/>
        </w:trPr>
        <w:tc>
          <w:tcPr>
            <w:tcW w:w="911" w:type="pct"/>
          </w:tcPr>
          <w:p w14:paraId="3F6C7F46"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TOP-003-3</w:t>
            </w:r>
          </w:p>
        </w:tc>
        <w:tc>
          <w:tcPr>
            <w:tcW w:w="715" w:type="pct"/>
          </w:tcPr>
          <w:p w14:paraId="405B6C42"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 (TOP &amp; BA)</w:t>
            </w:r>
          </w:p>
        </w:tc>
        <w:tc>
          <w:tcPr>
            <w:tcW w:w="646" w:type="pct"/>
          </w:tcPr>
          <w:p w14:paraId="0E54F2ED"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6BF8247E"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w:t>
            </w:r>
          </w:p>
        </w:tc>
        <w:tc>
          <w:tcPr>
            <w:tcW w:w="689" w:type="pct"/>
          </w:tcPr>
          <w:p w14:paraId="299CF108"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230 hrs.</w:t>
            </w:r>
          </w:p>
          <w:p w14:paraId="04D7921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$15,260.50</w:t>
            </w:r>
          </w:p>
        </w:tc>
        <w:tc>
          <w:tcPr>
            <w:tcW w:w="781" w:type="pct"/>
          </w:tcPr>
          <w:p w14:paraId="5D0CD340"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45,080 hrs., $2,991,058.00</w:t>
            </w:r>
          </w:p>
        </w:tc>
        <w:tc>
          <w:tcPr>
            <w:tcW w:w="647" w:type="pct"/>
          </w:tcPr>
          <w:p w14:paraId="501115FE"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230 hrs., $15,260.50</w:t>
            </w:r>
          </w:p>
        </w:tc>
      </w:tr>
      <w:tr w:rsidR="00FC11BA" w:rsidRPr="00FC11BA" w14:paraId="39F76298" w14:textId="77777777" w:rsidTr="00E33E65">
        <w:trPr>
          <w:cantSplit/>
        </w:trPr>
        <w:tc>
          <w:tcPr>
            <w:tcW w:w="911" w:type="pct"/>
            <w:shd w:val="clear" w:color="auto" w:fill="FFFFFF" w:themeFill="background1"/>
          </w:tcPr>
          <w:p w14:paraId="2E7EDCFF"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Sub-Total for FERC-725A</w:t>
            </w:r>
          </w:p>
        </w:tc>
        <w:tc>
          <w:tcPr>
            <w:tcW w:w="715" w:type="pct"/>
            <w:shd w:val="clear" w:color="auto" w:fill="D9D9D9" w:themeFill="background1" w:themeFillShade="D9"/>
          </w:tcPr>
          <w:p w14:paraId="53F0E65F" w14:textId="77777777" w:rsidR="00FC11BA" w:rsidRPr="00FC11BA" w:rsidRDefault="00FC11BA" w:rsidP="00E33E65">
            <w:pPr>
              <w:jc w:val="right"/>
              <w:rPr>
                <w:rFonts w:ascii="Times New Roman" w:eastAsia="Calibri" w:hAnsi="Times New Roman" w:cs="Times New Roman"/>
                <w:sz w:val="20"/>
                <w:szCs w:val="20"/>
              </w:rPr>
            </w:pPr>
          </w:p>
        </w:tc>
        <w:tc>
          <w:tcPr>
            <w:tcW w:w="646" w:type="pct"/>
            <w:shd w:val="clear" w:color="auto" w:fill="D9D9D9" w:themeFill="background1" w:themeFillShade="D9"/>
          </w:tcPr>
          <w:p w14:paraId="5BC2AC24" w14:textId="77777777" w:rsidR="00FC11BA" w:rsidRPr="00FC11BA" w:rsidRDefault="00FC11BA" w:rsidP="00E33E65">
            <w:pPr>
              <w:jc w:val="right"/>
              <w:rPr>
                <w:rFonts w:ascii="Times New Roman" w:eastAsia="Calibri" w:hAnsi="Times New Roman" w:cs="Times New Roman"/>
                <w:sz w:val="20"/>
                <w:szCs w:val="20"/>
              </w:rPr>
            </w:pPr>
          </w:p>
        </w:tc>
        <w:tc>
          <w:tcPr>
            <w:tcW w:w="612" w:type="pct"/>
            <w:shd w:val="clear" w:color="auto" w:fill="D9D9D9" w:themeFill="background1" w:themeFillShade="D9"/>
          </w:tcPr>
          <w:p w14:paraId="5652D4EB" w14:textId="77777777" w:rsidR="00FC11BA" w:rsidRPr="00FC11BA" w:rsidRDefault="00FC11BA" w:rsidP="00E33E65">
            <w:pPr>
              <w:jc w:val="right"/>
              <w:rPr>
                <w:rFonts w:ascii="Times New Roman" w:eastAsia="Calibri" w:hAnsi="Times New Roman" w:cs="Times New Roman"/>
                <w:sz w:val="20"/>
                <w:szCs w:val="20"/>
              </w:rPr>
            </w:pPr>
          </w:p>
        </w:tc>
        <w:tc>
          <w:tcPr>
            <w:tcW w:w="689" w:type="pct"/>
            <w:shd w:val="clear" w:color="auto" w:fill="D9D9D9" w:themeFill="background1" w:themeFillShade="D9"/>
          </w:tcPr>
          <w:p w14:paraId="42BF0E2B" w14:textId="77777777" w:rsidR="00FC11BA" w:rsidRPr="00FC11BA" w:rsidRDefault="00FC11BA" w:rsidP="00E33E65">
            <w:pPr>
              <w:jc w:val="right"/>
              <w:rPr>
                <w:rFonts w:ascii="Times New Roman" w:eastAsia="Calibri" w:hAnsi="Times New Roman" w:cs="Times New Roman"/>
                <w:sz w:val="20"/>
                <w:szCs w:val="20"/>
              </w:rPr>
            </w:pPr>
          </w:p>
        </w:tc>
        <w:tc>
          <w:tcPr>
            <w:tcW w:w="781" w:type="pct"/>
            <w:shd w:val="clear" w:color="auto" w:fill="FFFFFF" w:themeFill="background1"/>
          </w:tcPr>
          <w:p w14:paraId="368F5672" w14:textId="23007553" w:rsidR="00FC11BA" w:rsidRPr="00FC11BA" w:rsidRDefault="00017D46" w:rsidP="00E33E65">
            <w:pPr>
              <w:jc w:val="right"/>
              <w:rPr>
                <w:rFonts w:ascii="Times New Roman" w:eastAsia="Calibri" w:hAnsi="Times New Roman" w:cs="Times New Roman"/>
                <w:sz w:val="20"/>
                <w:szCs w:val="20"/>
              </w:rPr>
            </w:pPr>
            <w:r>
              <w:rPr>
                <w:rFonts w:ascii="Times New Roman" w:eastAsia="Calibri" w:hAnsi="Times New Roman" w:cs="Times New Roman"/>
                <w:sz w:val="20"/>
                <w:szCs w:val="20"/>
              </w:rPr>
              <w:t>119,560</w:t>
            </w:r>
            <w:bookmarkStart w:id="1" w:name="_Ref425949497"/>
            <w:r w:rsidR="00221A9C" w:rsidRPr="00221A9C">
              <w:rPr>
                <w:rStyle w:val="FootnoteReference"/>
                <w:rFonts w:ascii="Times New Roman" w:eastAsia="Calibri" w:hAnsi="Times New Roman" w:cs="Times New Roman"/>
                <w:sz w:val="20"/>
                <w:szCs w:val="20"/>
                <w:vertAlign w:val="superscript"/>
              </w:rPr>
              <w:footnoteReference w:id="8"/>
            </w:r>
            <w:bookmarkEnd w:id="1"/>
            <w:r w:rsidR="00FC11BA" w:rsidRPr="00221A9C">
              <w:rPr>
                <w:rFonts w:ascii="Times New Roman" w:eastAsia="Calibri" w:hAnsi="Times New Roman" w:cs="Times New Roman"/>
                <w:sz w:val="20"/>
                <w:szCs w:val="20"/>
                <w:vertAlign w:val="superscript"/>
              </w:rPr>
              <w:t xml:space="preserve"> </w:t>
            </w:r>
            <w:r w:rsidR="00FC11BA" w:rsidRPr="00FC11BA">
              <w:rPr>
                <w:rFonts w:ascii="Times New Roman" w:eastAsia="Calibri" w:hAnsi="Times New Roman" w:cs="Times New Roman"/>
                <w:sz w:val="20"/>
                <w:szCs w:val="20"/>
              </w:rPr>
              <w:t>hrs., $7,932,806.00</w:t>
            </w:r>
          </w:p>
        </w:tc>
        <w:tc>
          <w:tcPr>
            <w:tcW w:w="647" w:type="pct"/>
            <w:shd w:val="clear" w:color="auto" w:fill="D9D9D9" w:themeFill="background1" w:themeFillShade="D9"/>
          </w:tcPr>
          <w:p w14:paraId="33F4308D" w14:textId="77777777" w:rsidR="00FC11BA" w:rsidRPr="00FC11BA" w:rsidRDefault="00FC11BA" w:rsidP="00E33E65">
            <w:pPr>
              <w:jc w:val="right"/>
              <w:rPr>
                <w:rFonts w:ascii="Times New Roman" w:eastAsia="Calibri" w:hAnsi="Times New Roman" w:cs="Times New Roman"/>
                <w:sz w:val="20"/>
                <w:szCs w:val="20"/>
              </w:rPr>
            </w:pPr>
          </w:p>
        </w:tc>
      </w:tr>
      <w:tr w:rsidR="00FC11BA" w:rsidRPr="00FC11BA" w14:paraId="06FDAECC" w14:textId="77777777" w:rsidTr="00E33E65">
        <w:trPr>
          <w:cantSplit/>
        </w:trPr>
        <w:tc>
          <w:tcPr>
            <w:tcW w:w="5000" w:type="pct"/>
            <w:gridSpan w:val="7"/>
            <w:shd w:val="clear" w:color="auto" w:fill="FFFFFF" w:themeFill="background1"/>
          </w:tcPr>
          <w:p w14:paraId="628E4519" w14:textId="77777777" w:rsidR="00FC11BA" w:rsidRPr="005444B3" w:rsidRDefault="00FC11BA" w:rsidP="00E33E65">
            <w:pPr>
              <w:jc w:val="center"/>
              <w:rPr>
                <w:rFonts w:ascii="Times New Roman" w:eastAsia="Calibri" w:hAnsi="Times New Roman" w:cs="Times New Roman"/>
                <w:b/>
                <w:sz w:val="20"/>
                <w:szCs w:val="20"/>
              </w:rPr>
            </w:pPr>
            <w:r w:rsidRPr="005444B3">
              <w:rPr>
                <w:rFonts w:ascii="Times New Roman" w:eastAsia="Calibri" w:hAnsi="Times New Roman" w:cs="Times New Roman"/>
                <w:b/>
                <w:sz w:val="20"/>
                <w:szCs w:val="20"/>
              </w:rPr>
              <w:t>FERC-725Z</w:t>
            </w:r>
          </w:p>
        </w:tc>
      </w:tr>
      <w:tr w:rsidR="00FC11BA" w:rsidRPr="00FC11BA" w14:paraId="424C601D" w14:textId="77777777" w:rsidTr="00E33E65">
        <w:trPr>
          <w:cantSplit/>
        </w:trPr>
        <w:tc>
          <w:tcPr>
            <w:tcW w:w="911" w:type="pct"/>
          </w:tcPr>
          <w:p w14:paraId="4D276C00"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IRO-001-4</w:t>
            </w:r>
            <w:r w:rsidRPr="00FC11BA">
              <w:rPr>
                <w:rStyle w:val="FootnoteReference"/>
                <w:rFonts w:ascii="Times New Roman" w:eastAsia="Calibri" w:hAnsi="Times New Roman" w:cs="Times New Roman"/>
              </w:rPr>
              <w:footnoteReference w:id="9"/>
            </w:r>
          </w:p>
        </w:tc>
        <w:tc>
          <w:tcPr>
            <w:tcW w:w="715" w:type="pct"/>
          </w:tcPr>
          <w:p w14:paraId="7C67160F"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177 (RC &amp; TOP)</w:t>
            </w:r>
          </w:p>
        </w:tc>
        <w:tc>
          <w:tcPr>
            <w:tcW w:w="646" w:type="pct"/>
          </w:tcPr>
          <w:p w14:paraId="19C64A64"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6720AB6D"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177</w:t>
            </w:r>
          </w:p>
        </w:tc>
        <w:tc>
          <w:tcPr>
            <w:tcW w:w="689" w:type="pct"/>
          </w:tcPr>
          <w:p w14:paraId="6B5D7147"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 hrs.</w:t>
            </w:r>
          </w:p>
          <w:p w14:paraId="7ACF9438"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w:t>
            </w:r>
          </w:p>
        </w:tc>
        <w:tc>
          <w:tcPr>
            <w:tcW w:w="781" w:type="pct"/>
          </w:tcPr>
          <w:p w14:paraId="08762A0C"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 hrs.</w:t>
            </w:r>
          </w:p>
          <w:p w14:paraId="3837D205"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w:t>
            </w:r>
          </w:p>
        </w:tc>
        <w:tc>
          <w:tcPr>
            <w:tcW w:w="647" w:type="pct"/>
          </w:tcPr>
          <w:p w14:paraId="5080E47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 hrs.</w:t>
            </w:r>
          </w:p>
          <w:p w14:paraId="7BCA1447"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w:t>
            </w:r>
          </w:p>
          <w:p w14:paraId="1278E095" w14:textId="77777777" w:rsidR="00FC11BA" w:rsidRPr="00FC11BA" w:rsidRDefault="00FC11BA" w:rsidP="00E33E65">
            <w:pPr>
              <w:jc w:val="right"/>
              <w:rPr>
                <w:rFonts w:ascii="Times New Roman" w:eastAsia="Calibri" w:hAnsi="Times New Roman" w:cs="Times New Roman"/>
                <w:sz w:val="20"/>
                <w:szCs w:val="20"/>
              </w:rPr>
            </w:pPr>
          </w:p>
        </w:tc>
      </w:tr>
      <w:tr w:rsidR="00FC11BA" w:rsidRPr="00FC11BA" w14:paraId="13FE13D2" w14:textId="77777777" w:rsidTr="00E33E65">
        <w:trPr>
          <w:cantSplit/>
        </w:trPr>
        <w:tc>
          <w:tcPr>
            <w:tcW w:w="911" w:type="pct"/>
          </w:tcPr>
          <w:p w14:paraId="071003EB"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IRO-002-4</w:t>
            </w:r>
          </w:p>
        </w:tc>
        <w:tc>
          <w:tcPr>
            <w:tcW w:w="715" w:type="pct"/>
          </w:tcPr>
          <w:p w14:paraId="0C72F783"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 xml:space="preserve"> 11 (RC)</w:t>
            </w:r>
          </w:p>
        </w:tc>
        <w:tc>
          <w:tcPr>
            <w:tcW w:w="646" w:type="pct"/>
          </w:tcPr>
          <w:p w14:paraId="318E055A"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30702058"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589590D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24 hrs.</w:t>
            </w:r>
          </w:p>
          <w:p w14:paraId="7CE306EF"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$1,592.40</w:t>
            </w:r>
          </w:p>
        </w:tc>
        <w:tc>
          <w:tcPr>
            <w:tcW w:w="781" w:type="pct"/>
          </w:tcPr>
          <w:p w14:paraId="2C8DF5D0"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264 hrs., $17,516.40</w:t>
            </w:r>
          </w:p>
        </w:tc>
        <w:tc>
          <w:tcPr>
            <w:tcW w:w="647" w:type="pct"/>
          </w:tcPr>
          <w:p w14:paraId="5D1BF11F"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24 hrs., $1,592.40</w:t>
            </w:r>
          </w:p>
        </w:tc>
      </w:tr>
      <w:tr w:rsidR="00FC11BA" w:rsidRPr="00FC11BA" w14:paraId="60CD353E" w14:textId="77777777" w:rsidTr="00E33E65">
        <w:trPr>
          <w:cantSplit/>
        </w:trPr>
        <w:tc>
          <w:tcPr>
            <w:tcW w:w="911" w:type="pct"/>
          </w:tcPr>
          <w:p w14:paraId="154B25CD"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IRO-008-2</w:t>
            </w:r>
          </w:p>
        </w:tc>
        <w:tc>
          <w:tcPr>
            <w:tcW w:w="715" w:type="pct"/>
          </w:tcPr>
          <w:p w14:paraId="7EF5DA06"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 (RC)</w:t>
            </w:r>
          </w:p>
        </w:tc>
        <w:tc>
          <w:tcPr>
            <w:tcW w:w="646" w:type="pct"/>
          </w:tcPr>
          <w:p w14:paraId="38BA0CFE"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54914D01"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65440C4F"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228 hrs.</w:t>
            </w:r>
          </w:p>
          <w:p w14:paraId="7E991095"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$15,127.80</w:t>
            </w:r>
          </w:p>
        </w:tc>
        <w:tc>
          <w:tcPr>
            <w:tcW w:w="781" w:type="pct"/>
          </w:tcPr>
          <w:p w14:paraId="511E14D2"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2,508 hrs., $166,405.80</w:t>
            </w:r>
          </w:p>
        </w:tc>
        <w:tc>
          <w:tcPr>
            <w:tcW w:w="647" w:type="pct"/>
          </w:tcPr>
          <w:p w14:paraId="0A119D53"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228 hrs., $15,127.80</w:t>
            </w:r>
          </w:p>
        </w:tc>
      </w:tr>
      <w:tr w:rsidR="00FC11BA" w:rsidRPr="00FC11BA" w14:paraId="1D3491F7" w14:textId="77777777" w:rsidTr="00E33E65">
        <w:trPr>
          <w:cantSplit/>
        </w:trPr>
        <w:tc>
          <w:tcPr>
            <w:tcW w:w="911" w:type="pct"/>
          </w:tcPr>
          <w:p w14:paraId="3B807F4A"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IRO-010-2</w:t>
            </w:r>
          </w:p>
        </w:tc>
        <w:tc>
          <w:tcPr>
            <w:tcW w:w="715" w:type="pct"/>
          </w:tcPr>
          <w:p w14:paraId="4BA005B6"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 (RC)</w:t>
            </w:r>
          </w:p>
        </w:tc>
        <w:tc>
          <w:tcPr>
            <w:tcW w:w="646" w:type="pct"/>
          </w:tcPr>
          <w:p w14:paraId="5507EA10"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2BAB4493"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6472904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36 hrs.</w:t>
            </w:r>
          </w:p>
          <w:p w14:paraId="1A1685BC"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$2,388.60</w:t>
            </w:r>
          </w:p>
        </w:tc>
        <w:tc>
          <w:tcPr>
            <w:tcW w:w="781" w:type="pct"/>
          </w:tcPr>
          <w:p w14:paraId="6D1533C4"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396 hrs., $26,274.60</w:t>
            </w:r>
          </w:p>
        </w:tc>
        <w:tc>
          <w:tcPr>
            <w:tcW w:w="647" w:type="pct"/>
          </w:tcPr>
          <w:p w14:paraId="616FE86D"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36 hrs., $2,388.60</w:t>
            </w:r>
          </w:p>
        </w:tc>
      </w:tr>
      <w:tr w:rsidR="00FC11BA" w:rsidRPr="00FC11BA" w14:paraId="5367E6A8" w14:textId="77777777" w:rsidTr="00E33E65">
        <w:trPr>
          <w:cantSplit/>
        </w:trPr>
        <w:tc>
          <w:tcPr>
            <w:tcW w:w="911" w:type="pct"/>
          </w:tcPr>
          <w:p w14:paraId="04D06795"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IRO-014-3</w:t>
            </w:r>
          </w:p>
        </w:tc>
        <w:tc>
          <w:tcPr>
            <w:tcW w:w="715" w:type="pct"/>
          </w:tcPr>
          <w:p w14:paraId="4A22711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 (RC)</w:t>
            </w:r>
          </w:p>
        </w:tc>
        <w:tc>
          <w:tcPr>
            <w:tcW w:w="646" w:type="pct"/>
          </w:tcPr>
          <w:p w14:paraId="2659F892"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64A1B1C2"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2A2D4C93"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12 hrs.</w:t>
            </w:r>
          </w:p>
          <w:p w14:paraId="26DF68DD"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$796.20</w:t>
            </w:r>
          </w:p>
        </w:tc>
        <w:tc>
          <w:tcPr>
            <w:tcW w:w="781" w:type="pct"/>
          </w:tcPr>
          <w:p w14:paraId="63C6A85F"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132 hrs., $8,758.20</w:t>
            </w:r>
          </w:p>
        </w:tc>
        <w:tc>
          <w:tcPr>
            <w:tcW w:w="647" w:type="pct"/>
          </w:tcPr>
          <w:p w14:paraId="5736264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12 hrs., $796.20</w:t>
            </w:r>
          </w:p>
        </w:tc>
      </w:tr>
      <w:tr w:rsidR="00FC11BA" w:rsidRPr="00FC11BA" w14:paraId="5FBE4962" w14:textId="77777777" w:rsidTr="00E33E65">
        <w:trPr>
          <w:cantSplit/>
        </w:trPr>
        <w:tc>
          <w:tcPr>
            <w:tcW w:w="911" w:type="pct"/>
          </w:tcPr>
          <w:p w14:paraId="5408ABF3"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IRO-017-1</w:t>
            </w:r>
          </w:p>
        </w:tc>
        <w:tc>
          <w:tcPr>
            <w:tcW w:w="715" w:type="pct"/>
          </w:tcPr>
          <w:p w14:paraId="6BB958D9"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180 (RC, PC, &amp; TP)</w:t>
            </w:r>
          </w:p>
        </w:tc>
        <w:tc>
          <w:tcPr>
            <w:tcW w:w="646" w:type="pct"/>
          </w:tcPr>
          <w:p w14:paraId="4092794A"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4E43DA7B"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180</w:t>
            </w:r>
          </w:p>
        </w:tc>
        <w:tc>
          <w:tcPr>
            <w:tcW w:w="689" w:type="pct"/>
          </w:tcPr>
          <w:p w14:paraId="1C218F48"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218 hrs.</w:t>
            </w:r>
          </w:p>
          <w:p w14:paraId="4E827487"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$14,464.30</w:t>
            </w:r>
          </w:p>
        </w:tc>
        <w:tc>
          <w:tcPr>
            <w:tcW w:w="781" w:type="pct"/>
          </w:tcPr>
          <w:p w14:paraId="7DBD41CC"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39,240 hrs., $2,603,574.00</w:t>
            </w:r>
          </w:p>
        </w:tc>
        <w:tc>
          <w:tcPr>
            <w:tcW w:w="647" w:type="pct"/>
          </w:tcPr>
          <w:p w14:paraId="60921862"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218 hrs., $14,464.30</w:t>
            </w:r>
          </w:p>
        </w:tc>
      </w:tr>
      <w:tr w:rsidR="00FC11BA" w:rsidRPr="00FC11BA" w14:paraId="34F5BB44" w14:textId="77777777" w:rsidTr="00E33E65">
        <w:trPr>
          <w:cantSplit/>
        </w:trPr>
        <w:tc>
          <w:tcPr>
            <w:tcW w:w="911" w:type="pct"/>
          </w:tcPr>
          <w:p w14:paraId="22121004"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Sub-Total for FERC-725Z</w:t>
            </w:r>
          </w:p>
        </w:tc>
        <w:tc>
          <w:tcPr>
            <w:tcW w:w="715" w:type="pct"/>
            <w:shd w:val="clear" w:color="auto" w:fill="D9D9D9" w:themeFill="background1" w:themeFillShade="D9"/>
          </w:tcPr>
          <w:p w14:paraId="29FD3402" w14:textId="77777777" w:rsidR="00FC11BA" w:rsidRPr="00FC11BA" w:rsidRDefault="00FC11BA" w:rsidP="00E33E65">
            <w:pPr>
              <w:jc w:val="right"/>
              <w:rPr>
                <w:rFonts w:ascii="Times New Roman" w:eastAsia="Calibri" w:hAnsi="Times New Roman" w:cs="Times New Roman"/>
                <w:sz w:val="20"/>
                <w:szCs w:val="20"/>
              </w:rPr>
            </w:pPr>
          </w:p>
        </w:tc>
        <w:tc>
          <w:tcPr>
            <w:tcW w:w="646" w:type="pct"/>
            <w:shd w:val="clear" w:color="auto" w:fill="D9D9D9" w:themeFill="background1" w:themeFillShade="D9"/>
          </w:tcPr>
          <w:p w14:paraId="71C1004C" w14:textId="77777777" w:rsidR="00FC11BA" w:rsidRPr="00FC11BA" w:rsidRDefault="00FC11BA" w:rsidP="00E33E65">
            <w:pPr>
              <w:jc w:val="right"/>
              <w:rPr>
                <w:rFonts w:ascii="Times New Roman" w:eastAsia="Calibri" w:hAnsi="Times New Roman" w:cs="Times New Roman"/>
                <w:sz w:val="20"/>
                <w:szCs w:val="20"/>
              </w:rPr>
            </w:pPr>
          </w:p>
        </w:tc>
        <w:tc>
          <w:tcPr>
            <w:tcW w:w="612" w:type="pct"/>
            <w:shd w:val="clear" w:color="auto" w:fill="D9D9D9" w:themeFill="background1" w:themeFillShade="D9"/>
          </w:tcPr>
          <w:p w14:paraId="14356011" w14:textId="77777777" w:rsidR="00FC11BA" w:rsidRPr="00FC11BA" w:rsidRDefault="00FC11BA" w:rsidP="00E33E65">
            <w:pPr>
              <w:jc w:val="right"/>
              <w:rPr>
                <w:rFonts w:ascii="Times New Roman" w:eastAsia="Calibri" w:hAnsi="Times New Roman" w:cs="Times New Roman"/>
                <w:sz w:val="20"/>
                <w:szCs w:val="20"/>
              </w:rPr>
            </w:pPr>
          </w:p>
        </w:tc>
        <w:tc>
          <w:tcPr>
            <w:tcW w:w="689" w:type="pct"/>
            <w:shd w:val="clear" w:color="auto" w:fill="D9D9D9" w:themeFill="background1" w:themeFillShade="D9"/>
          </w:tcPr>
          <w:p w14:paraId="5EB33AC6" w14:textId="77777777" w:rsidR="00FC11BA" w:rsidRPr="00FC11BA" w:rsidRDefault="00FC11BA" w:rsidP="00E33E65">
            <w:pPr>
              <w:jc w:val="right"/>
              <w:rPr>
                <w:rFonts w:ascii="Times New Roman" w:eastAsia="Calibri" w:hAnsi="Times New Roman" w:cs="Times New Roman"/>
                <w:sz w:val="20"/>
                <w:szCs w:val="20"/>
              </w:rPr>
            </w:pPr>
          </w:p>
        </w:tc>
        <w:tc>
          <w:tcPr>
            <w:tcW w:w="781" w:type="pct"/>
          </w:tcPr>
          <w:p w14:paraId="1CE2AC87"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42,540 hrs., $2,822,529.00</w:t>
            </w:r>
          </w:p>
        </w:tc>
        <w:tc>
          <w:tcPr>
            <w:tcW w:w="647" w:type="pct"/>
            <w:shd w:val="clear" w:color="auto" w:fill="D9D9D9" w:themeFill="background1" w:themeFillShade="D9"/>
          </w:tcPr>
          <w:p w14:paraId="3F016E6A" w14:textId="77777777" w:rsidR="00FC11BA" w:rsidRPr="00FC11BA" w:rsidRDefault="00FC11BA" w:rsidP="00E33E65">
            <w:pPr>
              <w:jc w:val="right"/>
              <w:rPr>
                <w:rFonts w:ascii="Times New Roman" w:eastAsia="Calibri" w:hAnsi="Times New Roman" w:cs="Times New Roman"/>
                <w:sz w:val="20"/>
                <w:szCs w:val="20"/>
              </w:rPr>
            </w:pPr>
          </w:p>
        </w:tc>
      </w:tr>
      <w:tr w:rsidR="00FC11BA" w:rsidRPr="00FC11BA" w14:paraId="2AF531F8" w14:textId="77777777" w:rsidTr="00E33E65">
        <w:trPr>
          <w:cantSplit/>
        </w:trPr>
        <w:tc>
          <w:tcPr>
            <w:tcW w:w="911" w:type="pct"/>
          </w:tcPr>
          <w:p w14:paraId="521DE29D"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lastRenderedPageBreak/>
              <w:t>Retirement of current standards currently in FERC-725A</w:t>
            </w:r>
          </w:p>
        </w:tc>
        <w:tc>
          <w:tcPr>
            <w:tcW w:w="715" w:type="pct"/>
          </w:tcPr>
          <w:p w14:paraId="5F8B82BD"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457(RC, TOP, BA, TSP, LSE, PSE, &amp; IA)</w:t>
            </w:r>
          </w:p>
        </w:tc>
        <w:tc>
          <w:tcPr>
            <w:tcW w:w="646" w:type="pct"/>
          </w:tcPr>
          <w:p w14:paraId="06238779"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1C10D545"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457</w:t>
            </w:r>
          </w:p>
        </w:tc>
        <w:tc>
          <w:tcPr>
            <w:tcW w:w="689" w:type="pct"/>
          </w:tcPr>
          <w:p w14:paraId="4CD28744"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-223 hrs.</w:t>
            </w:r>
          </w:p>
          <w:p w14:paraId="439C1551"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-$14,796.05</w:t>
            </w:r>
          </w:p>
        </w:tc>
        <w:tc>
          <w:tcPr>
            <w:tcW w:w="781" w:type="pct"/>
          </w:tcPr>
          <w:p w14:paraId="55EAA78E"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-101,911 hrs</w:t>
            </w:r>
            <w:proofErr w:type="gramStart"/>
            <w:r w:rsidRPr="00FC11BA">
              <w:rPr>
                <w:rFonts w:ascii="Times New Roman" w:eastAsia="Calibri" w:hAnsi="Times New Roman" w:cs="Times New Roman"/>
                <w:sz w:val="20"/>
                <w:szCs w:val="20"/>
              </w:rPr>
              <w:t>.,</w:t>
            </w:r>
            <w:proofErr w:type="gramEnd"/>
            <w:r w:rsidRPr="00FC11BA">
              <w:rPr>
                <w:rFonts w:ascii="Times New Roman" w:eastAsia="Calibri" w:hAnsi="Times New Roman" w:cs="Times New Roman"/>
                <w:sz w:val="20"/>
                <w:szCs w:val="20"/>
              </w:rPr>
              <w:t xml:space="preserve"> </w:t>
            </w:r>
          </w:p>
          <w:p w14:paraId="262AD857"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-$6,761,794.85</w:t>
            </w:r>
          </w:p>
        </w:tc>
        <w:tc>
          <w:tcPr>
            <w:tcW w:w="647" w:type="pct"/>
          </w:tcPr>
          <w:p w14:paraId="54BA4EB5" w14:textId="77777777" w:rsidR="00FC11BA" w:rsidRPr="00FC11BA" w:rsidRDefault="00FC11BA" w:rsidP="00E33E65">
            <w:pPr>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-223 hrs.</w:t>
            </w:r>
          </w:p>
          <w:p w14:paraId="0A6A4C13" w14:textId="77777777" w:rsidR="00FC11BA" w:rsidRPr="00FC11BA" w:rsidRDefault="00FC11BA" w:rsidP="00E33E65">
            <w:pPr>
              <w:rPr>
                <w:rFonts w:ascii="Times New Roman" w:eastAsia="Calibri" w:hAnsi="Times New Roman" w:cs="Times New Roman"/>
                <w:sz w:val="20"/>
                <w:szCs w:val="20"/>
              </w:rPr>
            </w:pPr>
            <w:r w:rsidRPr="00FC11BA">
              <w:rPr>
                <w:rFonts w:ascii="Times New Roman" w:eastAsia="Calibri" w:hAnsi="Times New Roman" w:cs="Times New Roman"/>
                <w:sz w:val="20"/>
                <w:szCs w:val="20"/>
              </w:rPr>
              <w:t>-$14,796.05</w:t>
            </w:r>
          </w:p>
        </w:tc>
      </w:tr>
      <w:tr w:rsidR="00FC11BA" w:rsidRPr="00FC11BA" w14:paraId="48D8E298" w14:textId="77777777" w:rsidTr="00E33E65">
        <w:trPr>
          <w:cantSplit/>
          <w:trHeight w:val="485"/>
        </w:trPr>
        <w:tc>
          <w:tcPr>
            <w:tcW w:w="911" w:type="pct"/>
            <w:tcBorders>
              <w:bottom w:val="single" w:sz="4" w:space="0" w:color="auto"/>
            </w:tcBorders>
          </w:tcPr>
          <w:p w14:paraId="1B8AD25C" w14:textId="77777777" w:rsidR="00FC11BA" w:rsidRPr="00FC11BA" w:rsidRDefault="00FC11BA" w:rsidP="00E33E65">
            <w:pPr>
              <w:rPr>
                <w:rFonts w:ascii="Times New Roman" w:eastAsia="Calibri" w:hAnsi="Times New Roman" w:cs="Times New Roman"/>
                <w:b/>
                <w:sz w:val="20"/>
                <w:szCs w:val="20"/>
              </w:rPr>
            </w:pPr>
            <w:r w:rsidRPr="00FC11BA">
              <w:rPr>
                <w:rFonts w:ascii="Times New Roman" w:eastAsia="Calibri" w:hAnsi="Times New Roman" w:cs="Times New Roman"/>
                <w:b/>
                <w:sz w:val="20"/>
                <w:szCs w:val="20"/>
              </w:rPr>
              <w:t>NET TOTAL of NOPR in RM15-16</w:t>
            </w:r>
          </w:p>
        </w:tc>
        <w:tc>
          <w:tcPr>
            <w:tcW w:w="1361" w:type="pct"/>
            <w:gridSpan w:val="2"/>
            <w:tcBorders>
              <w:bottom w:val="single" w:sz="4" w:space="0" w:color="auto"/>
            </w:tcBorders>
            <w:shd w:val="clear" w:color="auto" w:fill="BFBFBF"/>
          </w:tcPr>
          <w:p w14:paraId="37B4D00A" w14:textId="77777777" w:rsidR="00FC11BA" w:rsidRPr="00FC11BA" w:rsidRDefault="00FC11BA" w:rsidP="00E33E65">
            <w:pPr>
              <w:jc w:val="right"/>
              <w:rPr>
                <w:rFonts w:ascii="Times New Roman" w:eastAsia="Calibri" w:hAnsi="Times New Roman" w:cs="Times New Roman"/>
                <w:sz w:val="20"/>
                <w:szCs w:val="20"/>
              </w:rPr>
            </w:pPr>
          </w:p>
        </w:tc>
        <w:tc>
          <w:tcPr>
            <w:tcW w:w="612" w:type="pct"/>
            <w:tcBorders>
              <w:bottom w:val="single" w:sz="4" w:space="0" w:color="auto"/>
            </w:tcBorders>
            <w:shd w:val="clear" w:color="auto" w:fill="auto"/>
          </w:tcPr>
          <w:p w14:paraId="2E9DE773" w14:textId="77777777" w:rsidR="00FC11BA" w:rsidRPr="00FC11BA" w:rsidRDefault="00FC11BA" w:rsidP="00E33E65">
            <w:pPr>
              <w:jc w:val="right"/>
              <w:rPr>
                <w:rFonts w:ascii="Times New Roman" w:eastAsia="Calibri" w:hAnsi="Times New Roman" w:cs="Times New Roman"/>
                <w:b/>
                <w:sz w:val="20"/>
                <w:szCs w:val="20"/>
              </w:rPr>
            </w:pPr>
          </w:p>
        </w:tc>
        <w:tc>
          <w:tcPr>
            <w:tcW w:w="689" w:type="pct"/>
            <w:tcBorders>
              <w:bottom w:val="single" w:sz="4" w:space="0" w:color="auto"/>
            </w:tcBorders>
            <w:shd w:val="clear" w:color="auto" w:fill="BFBFBF"/>
          </w:tcPr>
          <w:p w14:paraId="7AC4FC1E" w14:textId="77777777" w:rsidR="00FC11BA" w:rsidRPr="00FC11BA" w:rsidRDefault="00FC11BA" w:rsidP="00E33E65">
            <w:pPr>
              <w:jc w:val="right"/>
              <w:rPr>
                <w:rFonts w:ascii="Times New Roman" w:eastAsia="Calibri" w:hAnsi="Times New Roman" w:cs="Times New Roman"/>
                <w:sz w:val="20"/>
                <w:szCs w:val="20"/>
              </w:rPr>
            </w:pPr>
          </w:p>
        </w:tc>
        <w:tc>
          <w:tcPr>
            <w:tcW w:w="781" w:type="pct"/>
            <w:tcBorders>
              <w:bottom w:val="single" w:sz="4" w:space="0" w:color="auto"/>
            </w:tcBorders>
          </w:tcPr>
          <w:p w14:paraId="720906D4" w14:textId="63A1C5E5" w:rsidR="00FC11BA" w:rsidRPr="00FC11BA" w:rsidRDefault="00017D46" w:rsidP="00E33E65">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60,189</w:t>
            </w:r>
            <w:r w:rsidR="00221A9C">
              <w:rPr>
                <w:rFonts w:ascii="Times New Roman" w:eastAsia="Calibri" w:hAnsi="Times New Roman" w:cs="Times New Roman"/>
                <w:b/>
                <w:sz w:val="20"/>
                <w:szCs w:val="20"/>
              </w:rPr>
              <w:fldChar w:fldCharType="begin"/>
            </w:r>
            <w:r w:rsidR="00221A9C">
              <w:rPr>
                <w:rFonts w:ascii="Times New Roman" w:eastAsia="Calibri" w:hAnsi="Times New Roman" w:cs="Times New Roman"/>
                <w:b/>
                <w:sz w:val="20"/>
                <w:szCs w:val="20"/>
              </w:rPr>
              <w:instrText xml:space="preserve"> NOTEREF _Ref425949497 \h </w:instrText>
            </w:r>
            <w:r w:rsidR="00221A9C">
              <w:rPr>
                <w:rFonts w:ascii="Times New Roman" w:eastAsia="Calibri" w:hAnsi="Times New Roman" w:cs="Times New Roman"/>
                <w:b/>
                <w:sz w:val="20"/>
                <w:szCs w:val="20"/>
              </w:rPr>
            </w:r>
            <w:r w:rsidR="00221A9C">
              <w:rPr>
                <w:rFonts w:ascii="Times New Roman" w:eastAsia="Calibri" w:hAnsi="Times New Roman" w:cs="Times New Roman"/>
                <w:b/>
                <w:sz w:val="20"/>
                <w:szCs w:val="20"/>
              </w:rPr>
              <w:fldChar w:fldCharType="separate"/>
            </w:r>
            <w:r w:rsidR="00221A9C">
              <w:rPr>
                <w:rFonts w:ascii="Times New Roman" w:eastAsia="Calibri" w:hAnsi="Times New Roman" w:cs="Times New Roman"/>
                <w:b/>
                <w:sz w:val="20"/>
                <w:szCs w:val="20"/>
              </w:rPr>
              <w:t>8</w:t>
            </w:r>
            <w:r w:rsidR="00221A9C">
              <w:rPr>
                <w:rFonts w:ascii="Times New Roman" w:eastAsia="Calibri" w:hAnsi="Times New Roman" w:cs="Times New Roman"/>
                <w:b/>
                <w:sz w:val="20"/>
                <w:szCs w:val="20"/>
              </w:rPr>
              <w:fldChar w:fldCharType="end"/>
            </w:r>
            <w:r w:rsidR="00FC11BA" w:rsidRPr="00FC11BA">
              <w:rPr>
                <w:rFonts w:ascii="Times New Roman" w:eastAsia="Calibri" w:hAnsi="Times New Roman" w:cs="Times New Roman"/>
                <w:b/>
                <w:sz w:val="20"/>
                <w:szCs w:val="20"/>
              </w:rPr>
              <w:t xml:space="preserve"> </w:t>
            </w:r>
            <w:proofErr w:type="spellStart"/>
            <w:r w:rsidR="00FC11BA" w:rsidRPr="00FC11BA">
              <w:rPr>
                <w:rFonts w:ascii="Times New Roman" w:eastAsia="Calibri" w:hAnsi="Times New Roman" w:cs="Times New Roman"/>
                <w:b/>
                <w:sz w:val="20"/>
                <w:szCs w:val="20"/>
              </w:rPr>
              <w:t>hrs</w:t>
            </w:r>
            <w:proofErr w:type="spellEnd"/>
            <w:r w:rsidR="00FC11BA" w:rsidRPr="00FC11BA">
              <w:rPr>
                <w:rFonts w:ascii="Times New Roman" w:eastAsia="Calibri" w:hAnsi="Times New Roman" w:cs="Times New Roman"/>
                <w:b/>
                <w:sz w:val="20"/>
                <w:szCs w:val="20"/>
              </w:rPr>
              <w:t>, $3,993,540.00</w:t>
            </w:r>
          </w:p>
        </w:tc>
        <w:tc>
          <w:tcPr>
            <w:tcW w:w="647" w:type="pct"/>
            <w:tcBorders>
              <w:bottom w:val="single" w:sz="4" w:space="0" w:color="auto"/>
            </w:tcBorders>
            <w:shd w:val="clear" w:color="auto" w:fill="BFBFBF"/>
          </w:tcPr>
          <w:p w14:paraId="5F57DD7D" w14:textId="77777777" w:rsidR="00FC11BA" w:rsidRPr="00FC11BA" w:rsidRDefault="00FC11BA" w:rsidP="00E33E65">
            <w:pPr>
              <w:jc w:val="right"/>
              <w:rPr>
                <w:rFonts w:ascii="Times New Roman" w:eastAsia="Calibri" w:hAnsi="Times New Roman" w:cs="Times New Roman"/>
                <w:b/>
                <w:sz w:val="20"/>
                <w:szCs w:val="20"/>
              </w:rPr>
            </w:pPr>
          </w:p>
        </w:tc>
      </w:tr>
    </w:tbl>
    <w:p w14:paraId="4379C76C" w14:textId="77777777" w:rsidR="00FC11BA" w:rsidRPr="00FC11BA" w:rsidRDefault="00FC11BA" w:rsidP="0012731F">
      <w:pPr>
        <w:pStyle w:val="ListParagraph"/>
        <w:ind w:left="1080"/>
        <w:rPr>
          <w:rFonts w:ascii="Times New Roman" w:hAnsi="Times New Roman" w:cs="Times New Roman"/>
          <w:szCs w:val="26"/>
          <w:u w:val="single"/>
        </w:rPr>
      </w:pPr>
    </w:p>
    <w:p w14:paraId="599E69C6" w14:textId="77777777" w:rsidR="00C4205B" w:rsidRPr="00FC11BA" w:rsidRDefault="00C4205B" w:rsidP="00C4205B">
      <w:pPr>
        <w:pStyle w:val="FERCparanumber"/>
        <w:widowControl/>
        <w:numPr>
          <w:ilvl w:val="0"/>
          <w:numId w:val="0"/>
        </w:numPr>
        <w:tabs>
          <w:tab w:val="left" w:pos="720"/>
        </w:tabs>
        <w:rPr>
          <w:rFonts w:ascii="Times New Roman" w:hAnsi="Times New Roman" w:cs="Times New Roman"/>
          <w:sz w:val="26"/>
          <w:szCs w:val="26"/>
        </w:rPr>
      </w:pPr>
    </w:p>
    <w:p w14:paraId="69298ACF"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ESTIMATE OF THE TOTAL ANNUAL COST BURDEN TO RESPONDENTS</w:t>
      </w:r>
    </w:p>
    <w:p w14:paraId="45A99369" w14:textId="77777777" w:rsidR="002359F6" w:rsidRPr="002359F6" w:rsidRDefault="002359F6" w:rsidP="002359F6">
      <w:pPr>
        <w:spacing w:after="0"/>
        <w:rPr>
          <w:rFonts w:ascii="Times New Roman" w:hAnsi="Times New Roman" w:cs="Times New Roman"/>
          <w:sz w:val="26"/>
          <w:szCs w:val="26"/>
        </w:rPr>
      </w:pPr>
    </w:p>
    <w:p w14:paraId="3A356CA5" w14:textId="77777777" w:rsidR="002359F6" w:rsidRPr="002359F6" w:rsidRDefault="002359F6" w:rsidP="00042D80">
      <w:pPr>
        <w:spacing w:after="0"/>
        <w:rPr>
          <w:rFonts w:ascii="Times New Roman" w:hAnsi="Times New Roman" w:cs="Times New Roman"/>
          <w:sz w:val="26"/>
          <w:szCs w:val="26"/>
        </w:rPr>
      </w:pPr>
      <w:r w:rsidRPr="002359F6">
        <w:rPr>
          <w:rFonts w:ascii="Times New Roman" w:hAnsi="Times New Roman" w:cs="Times New Roman"/>
          <w:sz w:val="26"/>
          <w:szCs w:val="26"/>
        </w:rPr>
        <w:t xml:space="preserve">There </w:t>
      </w:r>
      <w:proofErr w:type="gramStart"/>
      <w:r w:rsidRPr="002359F6">
        <w:rPr>
          <w:rFonts w:ascii="Times New Roman" w:hAnsi="Times New Roman" w:cs="Times New Roman"/>
          <w:sz w:val="26"/>
          <w:szCs w:val="26"/>
        </w:rPr>
        <w:t>are</w:t>
      </w:r>
      <w:proofErr w:type="gramEnd"/>
      <w:r w:rsidRPr="002359F6">
        <w:rPr>
          <w:rFonts w:ascii="Times New Roman" w:hAnsi="Times New Roman" w:cs="Times New Roman"/>
          <w:sz w:val="26"/>
          <w:szCs w:val="26"/>
        </w:rPr>
        <w:t xml:space="preserve"> no start-up or other non-labor costs.</w:t>
      </w:r>
    </w:p>
    <w:p w14:paraId="2E95D613" w14:textId="77777777" w:rsidR="002359F6" w:rsidRPr="002359F6" w:rsidRDefault="002359F6" w:rsidP="002359F6">
      <w:pPr>
        <w:spacing w:after="0"/>
        <w:rPr>
          <w:rFonts w:ascii="Times New Roman" w:hAnsi="Times New Roman" w:cs="Times New Roman"/>
          <w:sz w:val="26"/>
          <w:szCs w:val="26"/>
        </w:rPr>
      </w:pPr>
    </w:p>
    <w:p w14:paraId="45427277" w14:textId="77777777" w:rsidR="002359F6" w:rsidRPr="002359F6" w:rsidRDefault="002359F6" w:rsidP="00042D80">
      <w:pPr>
        <w:spacing w:after="0"/>
        <w:ind w:firstLine="720"/>
        <w:rPr>
          <w:rFonts w:ascii="Times New Roman" w:hAnsi="Times New Roman" w:cs="Times New Roman"/>
          <w:sz w:val="26"/>
          <w:szCs w:val="26"/>
        </w:rPr>
      </w:pPr>
      <w:r w:rsidRPr="002359F6">
        <w:rPr>
          <w:rFonts w:ascii="Times New Roman" w:hAnsi="Times New Roman" w:cs="Times New Roman"/>
          <w:sz w:val="26"/>
          <w:szCs w:val="26"/>
        </w:rPr>
        <w:t>Total Capital and Start-up cost: $0</w:t>
      </w:r>
    </w:p>
    <w:p w14:paraId="212E17B9" w14:textId="77777777" w:rsidR="002359F6" w:rsidRPr="002359F6" w:rsidRDefault="002359F6" w:rsidP="002359F6">
      <w:pPr>
        <w:spacing w:after="0"/>
        <w:ind w:left="720"/>
        <w:rPr>
          <w:rFonts w:ascii="Times New Roman" w:hAnsi="Times New Roman" w:cs="Times New Roman"/>
          <w:sz w:val="26"/>
          <w:szCs w:val="26"/>
        </w:rPr>
      </w:pPr>
      <w:r w:rsidRPr="002359F6">
        <w:rPr>
          <w:rFonts w:ascii="Times New Roman" w:hAnsi="Times New Roman" w:cs="Times New Roman"/>
          <w:sz w:val="26"/>
          <w:szCs w:val="26"/>
        </w:rPr>
        <w:t>Total Operation, Maintenance, and Purchase of Services: $0</w:t>
      </w:r>
    </w:p>
    <w:p w14:paraId="0050DB8B" w14:textId="77777777" w:rsidR="002359F6" w:rsidRPr="002359F6" w:rsidRDefault="002359F6" w:rsidP="002359F6">
      <w:pPr>
        <w:spacing w:after="0"/>
        <w:rPr>
          <w:rFonts w:ascii="Times New Roman" w:hAnsi="Times New Roman" w:cs="Times New Roman"/>
          <w:sz w:val="26"/>
          <w:szCs w:val="26"/>
        </w:rPr>
      </w:pPr>
    </w:p>
    <w:p w14:paraId="390313FA" w14:textId="77777777" w:rsidR="002359F6" w:rsidRPr="002359F6" w:rsidRDefault="002359F6" w:rsidP="002359F6">
      <w:pPr>
        <w:spacing w:after="0"/>
        <w:rPr>
          <w:rFonts w:ascii="Times New Roman" w:hAnsi="Times New Roman" w:cs="Times New Roman"/>
          <w:sz w:val="26"/>
          <w:szCs w:val="26"/>
        </w:rPr>
      </w:pPr>
      <w:r w:rsidRPr="002359F6">
        <w:rPr>
          <w:rFonts w:ascii="Times New Roman" w:hAnsi="Times New Roman" w:cs="Times New Roman"/>
          <w:sz w:val="26"/>
          <w:szCs w:val="26"/>
        </w:rPr>
        <w:t xml:space="preserve">All of the costs in the proposed rule are associated with burden hours (labor) and described in Questions #12 and #15 in this supporting statement. </w:t>
      </w:r>
    </w:p>
    <w:p w14:paraId="4A2294FB" w14:textId="76A59585" w:rsidR="003C19D0" w:rsidRPr="00FC11BA" w:rsidRDefault="003C19D0" w:rsidP="00C4205B">
      <w:pPr>
        <w:rPr>
          <w:rFonts w:ascii="Times New Roman" w:hAnsi="Times New Roman" w:cs="Times New Roman"/>
          <w:sz w:val="26"/>
          <w:szCs w:val="26"/>
        </w:rPr>
      </w:pPr>
    </w:p>
    <w:p w14:paraId="7E6F00DA"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ESTIMATED ANNUALIZED COST TO FEDERAL GOVERNMENT</w:t>
      </w:r>
    </w:p>
    <w:p w14:paraId="0380AC60" w14:textId="77777777" w:rsidR="00C4205B" w:rsidRPr="002359F6" w:rsidRDefault="00C4205B" w:rsidP="00C4205B">
      <w:pPr>
        <w:rPr>
          <w:rFonts w:ascii="Times New Roman" w:hAnsi="Times New Roman" w:cs="Times New Roman"/>
          <w:b/>
          <w:bCs/>
          <w:sz w:val="26"/>
          <w:szCs w:val="26"/>
        </w:rPr>
      </w:pPr>
    </w:p>
    <w:p w14:paraId="65C99D77" w14:textId="014C51FF" w:rsidR="002359F6" w:rsidRPr="002359F6" w:rsidRDefault="002359F6" w:rsidP="002359F6">
      <w:pPr>
        <w:spacing w:after="0"/>
        <w:ind w:firstLine="360"/>
        <w:rPr>
          <w:rFonts w:ascii="Times New Roman" w:hAnsi="Times New Roman"/>
          <w:sz w:val="26"/>
          <w:szCs w:val="26"/>
        </w:rPr>
      </w:pPr>
      <w:r w:rsidRPr="002359F6">
        <w:rPr>
          <w:rFonts w:ascii="Times New Roman" w:hAnsi="Times New Roman"/>
          <w:sz w:val="26"/>
          <w:szCs w:val="26"/>
        </w:rPr>
        <w:t>The Regional Entities and NERC do most of the data processing, monitoring and compliance work for Reliability Standards.  Any involvement by the Commission is covered under the FERC-725 (OMB Control No</w:t>
      </w:r>
      <w:r w:rsidR="000656A0">
        <w:rPr>
          <w:rFonts w:ascii="Times New Roman" w:hAnsi="Times New Roman"/>
          <w:sz w:val="26"/>
          <w:szCs w:val="26"/>
        </w:rPr>
        <w:t>s</w:t>
      </w:r>
      <w:r w:rsidRPr="002359F6">
        <w:rPr>
          <w:rFonts w:ascii="Times New Roman" w:hAnsi="Times New Roman"/>
          <w:sz w:val="26"/>
          <w:szCs w:val="26"/>
        </w:rPr>
        <w:t>. 1902-</w:t>
      </w:r>
      <w:r w:rsidR="00B9619F">
        <w:rPr>
          <w:rFonts w:ascii="Times New Roman" w:hAnsi="Times New Roman"/>
          <w:sz w:val="26"/>
          <w:szCs w:val="26"/>
        </w:rPr>
        <w:t>0225</w:t>
      </w:r>
      <w:r w:rsidRPr="002359F6">
        <w:rPr>
          <w:rFonts w:ascii="Times New Roman" w:hAnsi="Times New Roman"/>
          <w:sz w:val="26"/>
          <w:szCs w:val="26"/>
        </w:rPr>
        <w:t>) and is not part of this request or package.</w:t>
      </w:r>
    </w:p>
    <w:p w14:paraId="02AACBC8" w14:textId="77777777" w:rsidR="002359F6" w:rsidRPr="002359F6" w:rsidRDefault="002359F6" w:rsidP="002359F6">
      <w:pPr>
        <w:spacing w:after="0"/>
        <w:ind w:firstLine="360"/>
        <w:rPr>
          <w:rFonts w:ascii="Times New Roman" w:hAnsi="Times New Roman" w:cs="Times New Roman"/>
          <w:sz w:val="26"/>
          <w:szCs w:val="26"/>
        </w:rPr>
      </w:pPr>
    </w:p>
    <w:p w14:paraId="6D585A32" w14:textId="5497E124" w:rsidR="002359F6" w:rsidRPr="002359F6" w:rsidRDefault="002359F6" w:rsidP="002359F6">
      <w:pPr>
        <w:spacing w:after="0"/>
        <w:ind w:firstLine="360"/>
        <w:rPr>
          <w:rFonts w:ascii="Times New Roman" w:hAnsi="Times New Roman" w:cs="Times New Roman"/>
          <w:sz w:val="26"/>
          <w:szCs w:val="26"/>
        </w:rPr>
      </w:pPr>
      <w:r w:rsidRPr="002359F6">
        <w:rPr>
          <w:rFonts w:ascii="Times New Roman" w:hAnsi="Times New Roman" w:cs="Times New Roman"/>
          <w:sz w:val="26"/>
          <w:szCs w:val="26"/>
        </w:rPr>
        <w:t>The estimated annualized cost to the Federal Government for FERC-725</w:t>
      </w:r>
      <w:r>
        <w:rPr>
          <w:rFonts w:ascii="Times New Roman" w:hAnsi="Times New Roman" w:cs="Times New Roman"/>
          <w:sz w:val="26"/>
          <w:szCs w:val="26"/>
        </w:rPr>
        <w:t>A</w:t>
      </w:r>
      <w:r w:rsidRPr="002359F6">
        <w:rPr>
          <w:rFonts w:ascii="Times New Roman" w:hAnsi="Times New Roman" w:cs="Times New Roman"/>
          <w:sz w:val="26"/>
          <w:szCs w:val="26"/>
        </w:rPr>
        <w:t xml:space="preserve"> and FERC-725</w:t>
      </w:r>
      <w:r>
        <w:rPr>
          <w:rFonts w:ascii="Times New Roman" w:hAnsi="Times New Roman" w:cs="Times New Roman"/>
          <w:sz w:val="26"/>
          <w:szCs w:val="26"/>
        </w:rPr>
        <w:t>Z</w:t>
      </w:r>
      <w:r w:rsidRPr="002359F6">
        <w:rPr>
          <w:rFonts w:ascii="Times New Roman" w:hAnsi="Times New Roman" w:cs="Times New Roman"/>
          <w:sz w:val="26"/>
          <w:szCs w:val="26"/>
        </w:rPr>
        <w:t xml:space="preserve"> as related to the requirements in the NOPR in RM15-</w:t>
      </w:r>
      <w:r>
        <w:rPr>
          <w:rFonts w:ascii="Times New Roman" w:hAnsi="Times New Roman" w:cs="Times New Roman"/>
          <w:sz w:val="26"/>
          <w:szCs w:val="26"/>
        </w:rPr>
        <w:t>16</w:t>
      </w:r>
      <w:r w:rsidRPr="002359F6">
        <w:rPr>
          <w:rFonts w:ascii="Times New Roman" w:hAnsi="Times New Roman" w:cs="Times New Roman"/>
          <w:sz w:val="26"/>
          <w:szCs w:val="26"/>
        </w:rPr>
        <w:t>-</w:t>
      </w:r>
      <w:proofErr w:type="gramStart"/>
      <w:r w:rsidRPr="002359F6">
        <w:rPr>
          <w:rFonts w:ascii="Times New Roman" w:hAnsi="Times New Roman" w:cs="Times New Roman"/>
          <w:sz w:val="26"/>
          <w:szCs w:val="26"/>
        </w:rPr>
        <w:t>000,</w:t>
      </w:r>
      <w:proofErr w:type="gramEnd"/>
      <w:r w:rsidRPr="002359F6">
        <w:rPr>
          <w:rFonts w:ascii="Times New Roman" w:hAnsi="Times New Roman" w:cs="Times New Roman"/>
          <w:sz w:val="26"/>
          <w:szCs w:val="26"/>
        </w:rPr>
        <w:t xml:space="preserve"> </w:t>
      </w:r>
      <w:r w:rsidR="00B9619F">
        <w:rPr>
          <w:rFonts w:ascii="Times New Roman" w:hAnsi="Times New Roman" w:cs="Times New Roman"/>
          <w:sz w:val="26"/>
          <w:szCs w:val="26"/>
        </w:rPr>
        <w:t>is as</w:t>
      </w:r>
      <w:r w:rsidRPr="002359F6">
        <w:rPr>
          <w:rFonts w:ascii="Times New Roman" w:hAnsi="Times New Roman" w:cs="Times New Roman"/>
          <w:sz w:val="26"/>
          <w:szCs w:val="26"/>
        </w:rPr>
        <w:t xml:space="preserve"> follows.</w:t>
      </w:r>
    </w:p>
    <w:p w14:paraId="71892640" w14:textId="77777777" w:rsidR="002359F6" w:rsidRPr="002359F6" w:rsidRDefault="002359F6" w:rsidP="002359F6">
      <w:pPr>
        <w:spacing w:after="0"/>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2359F6" w14:paraId="6F37528F"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358D6035" w14:textId="0AFD46B5" w:rsidR="002359F6" w:rsidRPr="002359F6" w:rsidRDefault="002359F6" w:rsidP="002359F6">
            <w:pPr>
              <w:spacing w:after="0" w:line="240" w:lineRule="auto"/>
              <w:rPr>
                <w:rFonts w:ascii="Times New Roman" w:hAnsi="Times New Roman" w:cs="Times New Roman"/>
                <w:b/>
                <w:sz w:val="26"/>
                <w:szCs w:val="26"/>
              </w:rPr>
            </w:pPr>
            <w:r w:rsidRPr="002359F6">
              <w:rPr>
                <w:rFonts w:ascii="Times New Roman" w:hAnsi="Times New Roman" w:cs="Times New Roman"/>
                <w:b/>
                <w:sz w:val="26"/>
                <w:szCs w:val="26"/>
              </w:rPr>
              <w:t>FERC-725</w:t>
            </w:r>
            <w:r>
              <w:rPr>
                <w:rFonts w:ascii="Times New Roman" w:hAnsi="Times New Roman" w:cs="Times New Roman"/>
                <w:b/>
                <w:sz w:val="26"/>
                <w:szCs w:val="26"/>
              </w:rPr>
              <w:t>A</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0BB0ADF2" w14:textId="77777777" w:rsidR="002359F6" w:rsidRPr="002359F6" w:rsidRDefault="002359F6">
            <w:pPr>
              <w:spacing w:after="0" w:line="240" w:lineRule="auto"/>
              <w:rPr>
                <w:rFonts w:ascii="Times New Roman" w:hAnsi="Times New Roman" w:cs="Times New Roman"/>
                <w:b/>
                <w:sz w:val="26"/>
                <w:szCs w:val="26"/>
              </w:rPr>
            </w:pPr>
            <w:r w:rsidRPr="002359F6">
              <w:rPr>
                <w:rFonts w:ascii="Times New Roman"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40DC47B" w14:textId="77777777" w:rsidR="002359F6" w:rsidRPr="002359F6" w:rsidRDefault="002359F6">
            <w:pPr>
              <w:spacing w:after="0" w:line="240" w:lineRule="auto"/>
              <w:rPr>
                <w:rFonts w:ascii="Times New Roman" w:hAnsi="Times New Roman" w:cs="Times New Roman"/>
                <w:b/>
                <w:sz w:val="26"/>
                <w:szCs w:val="26"/>
              </w:rPr>
            </w:pPr>
            <w:r w:rsidRPr="002359F6">
              <w:rPr>
                <w:rFonts w:ascii="Times New Roman" w:hAnsi="Times New Roman" w:cs="Times New Roman"/>
                <w:b/>
                <w:sz w:val="26"/>
                <w:szCs w:val="26"/>
              </w:rPr>
              <w:t>Estimated Annual Federal Cost</w:t>
            </w:r>
          </w:p>
        </w:tc>
      </w:tr>
      <w:tr w:rsidR="002359F6" w:rsidRPr="002359F6" w14:paraId="23A3C376"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38673AC6" w14:textId="5A54886B" w:rsidR="002359F6" w:rsidRPr="002359F6" w:rsidRDefault="002359F6" w:rsidP="002359F6">
            <w:pPr>
              <w:spacing w:after="0" w:line="240" w:lineRule="auto"/>
              <w:rPr>
                <w:rFonts w:ascii="Times New Roman" w:hAnsi="Times New Roman" w:cs="Times New Roman"/>
                <w:sz w:val="26"/>
                <w:szCs w:val="26"/>
              </w:rPr>
            </w:pPr>
            <w:r w:rsidRPr="002359F6">
              <w:rPr>
                <w:rFonts w:ascii="Times New Roman" w:hAnsi="Times New Roman" w:cs="Times New Roman"/>
                <w:sz w:val="26"/>
                <w:szCs w:val="26"/>
              </w:rPr>
              <w:t>FERC-725</w:t>
            </w:r>
            <w:r>
              <w:rPr>
                <w:rFonts w:ascii="Times New Roman" w:hAnsi="Times New Roman" w:cs="Times New Roman"/>
                <w:sz w:val="26"/>
                <w:szCs w:val="26"/>
              </w:rPr>
              <w:t>A</w:t>
            </w:r>
            <w:r w:rsidRPr="002359F6">
              <w:rPr>
                <w:rFonts w:ascii="Times New Roman" w:hAnsi="Times New Roman" w:cs="Times New Roman"/>
                <w:sz w:val="26"/>
                <w:szCs w:val="26"/>
              </w:rPr>
              <w:t xml:space="preserve"> 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6B469D50" w14:textId="77777777" w:rsidR="002359F6" w:rsidRPr="002359F6" w:rsidRDefault="002359F6">
            <w:pPr>
              <w:spacing w:after="0" w:line="240" w:lineRule="auto"/>
              <w:jc w:val="right"/>
              <w:rPr>
                <w:rFonts w:ascii="Times New Roman" w:hAnsi="Times New Roman" w:cs="Times New Roman"/>
                <w:sz w:val="26"/>
                <w:szCs w:val="26"/>
              </w:rPr>
            </w:pPr>
            <w:r w:rsidRPr="002359F6">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0F0DE8AC" w14:textId="77777777" w:rsidR="002359F6" w:rsidRPr="002359F6" w:rsidRDefault="002359F6">
            <w:pPr>
              <w:spacing w:after="0" w:line="240" w:lineRule="auto"/>
              <w:jc w:val="right"/>
              <w:rPr>
                <w:rFonts w:ascii="Times New Roman" w:hAnsi="Times New Roman" w:cs="Times New Roman"/>
                <w:sz w:val="26"/>
                <w:szCs w:val="26"/>
              </w:rPr>
            </w:pPr>
            <w:r w:rsidRPr="002359F6">
              <w:rPr>
                <w:rFonts w:ascii="Times New Roman" w:hAnsi="Times New Roman" w:cs="Times New Roman"/>
                <w:sz w:val="26"/>
                <w:szCs w:val="26"/>
              </w:rPr>
              <w:t>$0</w:t>
            </w:r>
          </w:p>
        </w:tc>
      </w:tr>
      <w:tr w:rsidR="002359F6" w:rsidRPr="002359F6" w14:paraId="6A6075E9"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5C8E4973" w14:textId="77777777" w:rsidR="002359F6" w:rsidRPr="002359F6" w:rsidRDefault="002359F6">
            <w:pPr>
              <w:spacing w:after="0" w:line="240" w:lineRule="auto"/>
              <w:rPr>
                <w:rFonts w:ascii="Times New Roman" w:hAnsi="Times New Roman" w:cs="Times New Roman"/>
                <w:sz w:val="26"/>
                <w:szCs w:val="26"/>
              </w:rPr>
            </w:pPr>
            <w:r w:rsidRPr="002359F6">
              <w:rPr>
                <w:rFonts w:ascii="Times New Roman" w:hAnsi="Times New Roman" w:cs="Times New Roman"/>
                <w:sz w:val="26"/>
                <w:szCs w:val="26"/>
              </w:rPr>
              <w:lastRenderedPageBreak/>
              <w:t>Paperwork Reduction Act Administrative Cost</w:t>
            </w:r>
            <w:bookmarkStart w:id="2" w:name="_Ref389748397"/>
            <w:r w:rsidRPr="00042D80">
              <w:rPr>
                <w:rFonts w:ascii="Times New Roman" w:eastAsia="Times New Roman" w:hAnsi="Times New Roman" w:cs="Times New Roman"/>
                <w:sz w:val="26"/>
                <w:szCs w:val="26"/>
                <w:vertAlign w:val="superscript"/>
              </w:rPr>
              <w:footnoteReference w:id="10"/>
            </w:r>
            <w:bookmarkEnd w:id="2"/>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4BAD6" w14:textId="77777777" w:rsidR="002359F6" w:rsidRPr="002359F6" w:rsidRDefault="002359F6">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FA07976" w14:textId="77777777" w:rsidR="002359F6" w:rsidRPr="002359F6" w:rsidRDefault="002359F6">
            <w:pPr>
              <w:spacing w:after="0" w:line="240" w:lineRule="auto"/>
              <w:jc w:val="right"/>
              <w:rPr>
                <w:rFonts w:ascii="Times New Roman" w:hAnsi="Times New Roman" w:cs="Times New Roman"/>
                <w:sz w:val="26"/>
                <w:szCs w:val="26"/>
              </w:rPr>
            </w:pPr>
            <w:r w:rsidRPr="002359F6">
              <w:rPr>
                <w:rFonts w:ascii="Times New Roman" w:hAnsi="Times New Roman" w:cs="Times New Roman"/>
                <w:sz w:val="26"/>
                <w:szCs w:val="26"/>
              </w:rPr>
              <w:t>$5,193</w:t>
            </w:r>
          </w:p>
        </w:tc>
      </w:tr>
      <w:tr w:rsidR="002359F6" w:rsidRPr="002359F6" w14:paraId="23774418"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119867E1" w14:textId="77777777" w:rsidR="002359F6" w:rsidRPr="00042D80" w:rsidRDefault="002359F6">
            <w:pPr>
              <w:spacing w:after="0" w:line="240" w:lineRule="auto"/>
              <w:rPr>
                <w:rFonts w:ascii="Times New Roman" w:hAnsi="Times New Roman" w:cs="Times New Roman"/>
                <w:sz w:val="26"/>
                <w:szCs w:val="26"/>
              </w:rPr>
            </w:pPr>
            <w:r w:rsidRPr="00042D80">
              <w:rPr>
                <w:rFonts w:ascii="Times New Roman" w:hAnsi="Times New Roman" w:cs="Times New Roman"/>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5DC5C" w14:textId="77777777" w:rsidR="002359F6" w:rsidRPr="00042D80" w:rsidRDefault="002359F6">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D73830D" w14:textId="77777777" w:rsidR="002359F6" w:rsidRPr="00042D80" w:rsidRDefault="002359F6">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$5,193</w:t>
            </w:r>
          </w:p>
        </w:tc>
      </w:tr>
    </w:tbl>
    <w:p w14:paraId="317C134D" w14:textId="77777777" w:rsidR="002359F6" w:rsidRPr="00042D80" w:rsidRDefault="002359F6" w:rsidP="002359F6">
      <w:pPr>
        <w:spacing w:after="0"/>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2359F6" w14:paraId="541B1C9C"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7FFD4EDB" w14:textId="3DB60D55" w:rsidR="002359F6" w:rsidRPr="00042D80" w:rsidRDefault="002359F6">
            <w:pPr>
              <w:spacing w:after="0" w:line="240" w:lineRule="auto"/>
              <w:rPr>
                <w:rFonts w:ascii="Times New Roman" w:hAnsi="Times New Roman" w:cs="Times New Roman"/>
                <w:b/>
                <w:sz w:val="26"/>
                <w:szCs w:val="26"/>
              </w:rPr>
            </w:pPr>
            <w:r w:rsidRPr="00042D80">
              <w:rPr>
                <w:rFonts w:ascii="Times New Roman" w:hAnsi="Times New Roman" w:cs="Times New Roman"/>
                <w:b/>
                <w:sz w:val="26"/>
                <w:szCs w:val="26"/>
              </w:rPr>
              <w:t>FERC-725</w:t>
            </w:r>
            <w:r>
              <w:rPr>
                <w:rFonts w:ascii="Times New Roman" w:hAnsi="Times New Roman" w:cs="Times New Roman"/>
                <w:b/>
                <w:sz w:val="26"/>
                <w:szCs w:val="26"/>
              </w:rPr>
              <w:t>Z</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3C71840" w14:textId="77777777" w:rsidR="002359F6" w:rsidRPr="00042D80" w:rsidRDefault="002359F6">
            <w:pPr>
              <w:spacing w:after="0" w:line="240" w:lineRule="auto"/>
              <w:rPr>
                <w:rFonts w:ascii="Times New Roman" w:hAnsi="Times New Roman" w:cs="Times New Roman"/>
                <w:b/>
                <w:sz w:val="26"/>
                <w:szCs w:val="26"/>
              </w:rPr>
            </w:pPr>
            <w:r w:rsidRPr="00042D80">
              <w:rPr>
                <w:rFonts w:ascii="Times New Roman"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77FA3047" w14:textId="77777777" w:rsidR="002359F6" w:rsidRPr="00042D80" w:rsidRDefault="002359F6">
            <w:pPr>
              <w:spacing w:after="0" w:line="240" w:lineRule="auto"/>
              <w:rPr>
                <w:rFonts w:ascii="Times New Roman" w:hAnsi="Times New Roman" w:cs="Times New Roman"/>
                <w:b/>
                <w:sz w:val="26"/>
                <w:szCs w:val="26"/>
              </w:rPr>
            </w:pPr>
            <w:r w:rsidRPr="00042D80">
              <w:rPr>
                <w:rFonts w:ascii="Times New Roman" w:hAnsi="Times New Roman" w:cs="Times New Roman"/>
                <w:b/>
                <w:sz w:val="26"/>
                <w:szCs w:val="26"/>
              </w:rPr>
              <w:t>Estimated Annual Federal Cost</w:t>
            </w:r>
          </w:p>
        </w:tc>
      </w:tr>
      <w:tr w:rsidR="002359F6" w:rsidRPr="002359F6" w14:paraId="111BFA52"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2F258070" w14:textId="356CA1F6" w:rsidR="002359F6" w:rsidRPr="00042D80" w:rsidRDefault="002359F6" w:rsidP="002359F6">
            <w:pPr>
              <w:spacing w:after="0" w:line="240" w:lineRule="auto"/>
              <w:rPr>
                <w:rFonts w:ascii="Times New Roman" w:hAnsi="Times New Roman" w:cs="Times New Roman"/>
                <w:sz w:val="26"/>
                <w:szCs w:val="26"/>
              </w:rPr>
            </w:pPr>
            <w:r w:rsidRPr="00042D80">
              <w:rPr>
                <w:rFonts w:ascii="Times New Roman" w:hAnsi="Times New Roman" w:cs="Times New Roman"/>
                <w:sz w:val="26"/>
                <w:szCs w:val="26"/>
              </w:rPr>
              <w:t>FERC-725</w:t>
            </w:r>
            <w:r>
              <w:rPr>
                <w:rFonts w:ascii="Times New Roman" w:hAnsi="Times New Roman" w:cs="Times New Roman"/>
                <w:sz w:val="26"/>
                <w:szCs w:val="26"/>
              </w:rPr>
              <w:t>Z</w:t>
            </w:r>
            <w:r w:rsidRPr="00042D80">
              <w:rPr>
                <w:rFonts w:ascii="Times New Roman" w:hAnsi="Times New Roman" w:cs="Times New Roman"/>
                <w:sz w:val="26"/>
                <w:szCs w:val="26"/>
              </w:rPr>
              <w:t xml:space="preserve"> 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4CBD1484" w14:textId="77777777" w:rsidR="002359F6" w:rsidRPr="00042D80" w:rsidRDefault="002359F6">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0CC8DEE7" w14:textId="77777777" w:rsidR="002359F6" w:rsidRPr="00042D80" w:rsidRDefault="002359F6">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$0</w:t>
            </w:r>
          </w:p>
        </w:tc>
      </w:tr>
      <w:tr w:rsidR="002359F6" w:rsidRPr="002359F6" w14:paraId="7253BA8B"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795ECA51" w14:textId="77777777" w:rsidR="002359F6" w:rsidRPr="00042D80" w:rsidRDefault="002359F6">
            <w:pPr>
              <w:spacing w:after="0" w:line="240" w:lineRule="auto"/>
              <w:rPr>
                <w:rFonts w:ascii="Times New Roman" w:hAnsi="Times New Roman" w:cs="Times New Roman"/>
                <w:sz w:val="26"/>
                <w:szCs w:val="26"/>
              </w:rPr>
            </w:pPr>
            <w:r w:rsidRPr="00042D80">
              <w:rPr>
                <w:rFonts w:ascii="Times New Roman" w:hAnsi="Times New Roman" w:cs="Times New Roman"/>
                <w:sz w:val="26"/>
                <w:szCs w:val="26"/>
              </w:rPr>
              <w:t>Paperwork Reduction Act Administrative Cost</w:t>
            </w:r>
            <w:r w:rsidRPr="00042D80">
              <w:rPr>
                <w:rFonts w:ascii="Times New Roman" w:eastAsia="Times New Roman" w:hAnsi="Times New Roman" w:cs="Times New Roman"/>
                <w:sz w:val="26"/>
                <w:szCs w:val="26"/>
                <w:vertAlign w:val="superscript"/>
              </w:rPr>
              <w:footnoteReference w:id="11"/>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47DE9" w14:textId="77777777" w:rsidR="002359F6" w:rsidRPr="00042D80" w:rsidRDefault="002359F6">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9DF307B" w14:textId="77777777" w:rsidR="002359F6" w:rsidRPr="00042D80" w:rsidRDefault="002359F6">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$5,193</w:t>
            </w:r>
          </w:p>
        </w:tc>
      </w:tr>
      <w:tr w:rsidR="002359F6" w:rsidRPr="002359F6" w14:paraId="2AE8FEF4"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11285ADD" w14:textId="77777777" w:rsidR="002359F6" w:rsidRPr="00042D80" w:rsidRDefault="002359F6">
            <w:pPr>
              <w:spacing w:after="0" w:line="240" w:lineRule="auto"/>
              <w:rPr>
                <w:rFonts w:ascii="Times New Roman" w:hAnsi="Times New Roman" w:cs="Times New Roman"/>
                <w:sz w:val="26"/>
                <w:szCs w:val="26"/>
              </w:rPr>
            </w:pPr>
            <w:r w:rsidRPr="00042D80">
              <w:rPr>
                <w:rFonts w:ascii="Times New Roman" w:hAnsi="Times New Roman" w:cs="Times New Roman"/>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28735" w14:textId="77777777" w:rsidR="002359F6" w:rsidRPr="00042D80" w:rsidRDefault="002359F6">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3179DB90" w14:textId="77777777" w:rsidR="002359F6" w:rsidRPr="00042D80" w:rsidRDefault="002359F6">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$5,193</w:t>
            </w:r>
          </w:p>
        </w:tc>
      </w:tr>
    </w:tbl>
    <w:p w14:paraId="1B46EEC1" w14:textId="54122899" w:rsidR="00C4205B" w:rsidRPr="00FC11BA" w:rsidRDefault="00C4205B" w:rsidP="00C4205B">
      <w:pPr>
        <w:rPr>
          <w:rFonts w:ascii="Times New Roman" w:hAnsi="Times New Roman" w:cs="Times New Roman"/>
          <w:sz w:val="26"/>
          <w:szCs w:val="26"/>
        </w:rPr>
      </w:pPr>
    </w:p>
    <w:p w14:paraId="0B422C39"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REASONS FOR CHANGES IN BURDEN INCLUDING THE NEED FOR ANY INCREASE</w:t>
      </w:r>
    </w:p>
    <w:p w14:paraId="1006A830" w14:textId="77777777" w:rsidR="00B52592" w:rsidRPr="00FC11BA" w:rsidRDefault="00B52592" w:rsidP="000656A0">
      <w:pPr>
        <w:spacing w:after="0"/>
        <w:rPr>
          <w:rFonts w:ascii="Times New Roman" w:hAnsi="Times New Roman" w:cs="Times New Roman"/>
          <w:b/>
          <w:bCs/>
          <w:sz w:val="26"/>
          <w:szCs w:val="26"/>
          <w:highlight w:val="yellow"/>
        </w:rPr>
      </w:pPr>
    </w:p>
    <w:p w14:paraId="6015C169" w14:textId="0CB8EEC1" w:rsidR="00C4205B" w:rsidRDefault="00C615E9" w:rsidP="000656A0">
      <w:pPr>
        <w:spacing w:after="0"/>
        <w:rPr>
          <w:rFonts w:ascii="Times New Roman" w:hAnsi="Times New Roman" w:cs="Times New Roman"/>
          <w:bCs/>
          <w:sz w:val="26"/>
          <w:szCs w:val="26"/>
        </w:rPr>
      </w:pPr>
      <w:r w:rsidRPr="00215FA1">
        <w:rPr>
          <w:rFonts w:ascii="Times New Roman" w:hAnsi="Times New Roman" w:cs="Times New Roman"/>
          <w:color w:val="000000" w:themeColor="text1"/>
          <w:sz w:val="26"/>
          <w:szCs w:val="26"/>
        </w:rPr>
        <w:t>The increase in burden hours is a result of new requirements put in place by the industry to address previously issued Commission directives and blackout report recommendations from recent events.  These new requirements add clarity and additional responsibilities to entities to maintain reliable operations</w:t>
      </w:r>
      <w:r w:rsidR="003B6534" w:rsidRPr="00215FA1">
        <w:rPr>
          <w:rFonts w:ascii="Times New Roman" w:hAnsi="Times New Roman" w:cs="Times New Roman"/>
          <w:bCs/>
          <w:color w:val="000000" w:themeColor="text1"/>
          <w:sz w:val="26"/>
          <w:szCs w:val="26"/>
        </w:rPr>
        <w:t xml:space="preserve">.  </w:t>
      </w:r>
      <w:r w:rsidR="003B6534">
        <w:rPr>
          <w:rFonts w:ascii="Times New Roman" w:hAnsi="Times New Roman" w:cs="Times New Roman"/>
          <w:bCs/>
          <w:sz w:val="26"/>
          <w:szCs w:val="26"/>
        </w:rPr>
        <w:t>The changes were directed in p</w:t>
      </w:r>
      <w:r w:rsidR="005575ED">
        <w:rPr>
          <w:rFonts w:ascii="Times New Roman" w:hAnsi="Times New Roman" w:cs="Times New Roman"/>
          <w:bCs/>
          <w:sz w:val="26"/>
          <w:szCs w:val="26"/>
        </w:rPr>
        <w:t>r</w:t>
      </w:r>
      <w:r w:rsidR="003B6534">
        <w:rPr>
          <w:rFonts w:ascii="Times New Roman" w:hAnsi="Times New Roman" w:cs="Times New Roman"/>
          <w:bCs/>
          <w:sz w:val="26"/>
          <w:szCs w:val="26"/>
        </w:rPr>
        <w:t>evious Commission orders in order to increase reliability of the bulk-power system.  These changes were voted on by the industry as necessary for maintaining reliability.</w:t>
      </w:r>
    </w:p>
    <w:p w14:paraId="68D093F8" w14:textId="77777777" w:rsidR="000656A0" w:rsidRDefault="000656A0" w:rsidP="000656A0">
      <w:pPr>
        <w:spacing w:after="0"/>
        <w:rPr>
          <w:rFonts w:ascii="Times New Roman" w:hAnsi="Times New Roman" w:cs="Times New Roman"/>
          <w:bCs/>
          <w:sz w:val="26"/>
          <w:szCs w:val="26"/>
        </w:rPr>
      </w:pPr>
    </w:p>
    <w:p w14:paraId="2800C85E" w14:textId="616B7672" w:rsidR="000656A0" w:rsidRDefault="000656A0" w:rsidP="000656A0">
      <w:pPr>
        <w:widowControl w:val="0"/>
        <w:autoSpaceDE w:val="0"/>
        <w:autoSpaceDN w:val="0"/>
        <w:adjustRightInd w:val="0"/>
        <w:spacing w:after="0"/>
        <w:rPr>
          <w:rFonts w:ascii="Times New Roman" w:eastAsia="Times New Roman" w:hAnsi="Times New Roman" w:cs="Times New Roman"/>
          <w:sz w:val="26"/>
          <w:szCs w:val="26"/>
        </w:rPr>
      </w:pPr>
      <w:r w:rsidRPr="000656A0">
        <w:rPr>
          <w:rFonts w:ascii="Times New Roman" w:eastAsia="Times New Roman" w:hAnsi="Times New Roman" w:cs="Times New Roman"/>
          <w:sz w:val="26"/>
          <w:szCs w:val="26"/>
        </w:rPr>
        <w:t>The following table</w:t>
      </w:r>
      <w:r>
        <w:rPr>
          <w:rFonts w:ascii="Times New Roman" w:eastAsia="Times New Roman" w:hAnsi="Times New Roman" w:cs="Times New Roman"/>
          <w:sz w:val="26"/>
          <w:szCs w:val="26"/>
        </w:rPr>
        <w:t>s show</w:t>
      </w:r>
      <w:r w:rsidRPr="000656A0">
        <w:rPr>
          <w:rFonts w:ascii="Times New Roman" w:eastAsia="Times New Roman" w:hAnsi="Times New Roman" w:cs="Times New Roman"/>
          <w:sz w:val="26"/>
          <w:szCs w:val="26"/>
        </w:rPr>
        <w:t xml:space="preserve"> the total burden of the collection</w:t>
      </w:r>
      <w:r>
        <w:rPr>
          <w:rFonts w:ascii="Times New Roman" w:eastAsia="Times New Roman" w:hAnsi="Times New Roman" w:cs="Times New Roman"/>
          <w:sz w:val="26"/>
          <w:szCs w:val="26"/>
        </w:rPr>
        <w:t>s</w:t>
      </w:r>
      <w:r w:rsidRPr="000656A0">
        <w:rPr>
          <w:rFonts w:ascii="Times New Roman" w:eastAsia="Times New Roman" w:hAnsi="Times New Roman" w:cs="Times New Roman"/>
          <w:sz w:val="26"/>
          <w:szCs w:val="26"/>
        </w:rPr>
        <w:t xml:space="preserve"> of information.  The format, labels, and definitions of the table follow the ROCIS submission system’s “Information Collection Request Summary of Burden” for the metadata.</w:t>
      </w:r>
    </w:p>
    <w:p w14:paraId="5CC12611" w14:textId="77777777" w:rsidR="000656A0" w:rsidRDefault="000656A0" w:rsidP="000656A0">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0656A0" w:rsidRPr="000656A0" w14:paraId="210E0C0B" w14:textId="77777777" w:rsidTr="00905D2A">
        <w:trPr>
          <w:trHeight w:val="870"/>
          <w:tblHeader/>
        </w:trPr>
        <w:tc>
          <w:tcPr>
            <w:tcW w:w="2648" w:type="dxa"/>
            <w:tcBorders>
              <w:bottom w:val="single" w:sz="4" w:space="0" w:color="auto"/>
            </w:tcBorders>
            <w:shd w:val="clear" w:color="auto" w:fill="D9D9D9"/>
            <w:vAlign w:val="bottom"/>
          </w:tcPr>
          <w:p w14:paraId="0332E474" w14:textId="1DFB15FC" w:rsidR="000656A0" w:rsidRPr="000656A0" w:rsidRDefault="000656A0" w:rsidP="00905D2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FERC-725A</w:t>
            </w:r>
          </w:p>
        </w:tc>
        <w:tc>
          <w:tcPr>
            <w:tcW w:w="1516" w:type="dxa"/>
            <w:tcBorders>
              <w:bottom w:val="single" w:sz="4" w:space="0" w:color="auto"/>
            </w:tcBorders>
            <w:shd w:val="clear" w:color="auto" w:fill="D9D9D9"/>
            <w:vAlign w:val="bottom"/>
          </w:tcPr>
          <w:p w14:paraId="5272D7EF" w14:textId="77777777" w:rsidR="000656A0" w:rsidRPr="000656A0" w:rsidRDefault="000656A0" w:rsidP="00905D2A">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Total Request</w:t>
            </w:r>
          </w:p>
        </w:tc>
        <w:tc>
          <w:tcPr>
            <w:tcW w:w="1614" w:type="dxa"/>
            <w:tcBorders>
              <w:bottom w:val="single" w:sz="4" w:space="0" w:color="auto"/>
            </w:tcBorders>
            <w:shd w:val="clear" w:color="auto" w:fill="D9D9D9"/>
            <w:vAlign w:val="bottom"/>
          </w:tcPr>
          <w:p w14:paraId="1AD2C299" w14:textId="77777777" w:rsidR="000656A0" w:rsidRPr="000656A0" w:rsidRDefault="000656A0" w:rsidP="00905D2A">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Previously Approved</w:t>
            </w:r>
          </w:p>
        </w:tc>
        <w:tc>
          <w:tcPr>
            <w:tcW w:w="1793" w:type="dxa"/>
            <w:tcBorders>
              <w:bottom w:val="single" w:sz="4" w:space="0" w:color="auto"/>
            </w:tcBorders>
            <w:shd w:val="clear" w:color="auto" w:fill="D9D9D9"/>
            <w:vAlign w:val="bottom"/>
          </w:tcPr>
          <w:p w14:paraId="228018BD" w14:textId="77777777" w:rsidR="000656A0" w:rsidRPr="000656A0" w:rsidRDefault="000656A0" w:rsidP="00905D2A">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Change due to Adjustment in Estimate</w:t>
            </w:r>
          </w:p>
        </w:tc>
        <w:tc>
          <w:tcPr>
            <w:tcW w:w="1789" w:type="dxa"/>
            <w:tcBorders>
              <w:bottom w:val="single" w:sz="4" w:space="0" w:color="auto"/>
            </w:tcBorders>
            <w:shd w:val="clear" w:color="auto" w:fill="D9D9D9"/>
            <w:vAlign w:val="bottom"/>
          </w:tcPr>
          <w:p w14:paraId="2741C422" w14:textId="77777777" w:rsidR="000656A0" w:rsidRPr="000656A0" w:rsidRDefault="000656A0" w:rsidP="00905D2A">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Change Due to Agency Discretion</w:t>
            </w:r>
          </w:p>
        </w:tc>
      </w:tr>
      <w:tr w:rsidR="000656A0" w:rsidRPr="000656A0" w14:paraId="0B03B044" w14:textId="77777777" w:rsidTr="00905D2A">
        <w:trPr>
          <w:trHeight w:val="591"/>
        </w:trPr>
        <w:tc>
          <w:tcPr>
            <w:tcW w:w="2648" w:type="dxa"/>
            <w:shd w:val="clear" w:color="auto" w:fill="auto"/>
          </w:tcPr>
          <w:p w14:paraId="32F0C49C" w14:textId="77777777" w:rsidR="000656A0" w:rsidRPr="000656A0" w:rsidRDefault="000656A0" w:rsidP="00905D2A">
            <w:pPr>
              <w:spacing w:after="0" w:line="240" w:lineRule="auto"/>
              <w:jc w:val="center"/>
              <w:rPr>
                <w:rFonts w:ascii="Times New Roman" w:eastAsia="Calibri" w:hAnsi="Times New Roman" w:cs="Times New Roman"/>
                <w:sz w:val="26"/>
                <w:szCs w:val="26"/>
              </w:rPr>
            </w:pPr>
            <w:r w:rsidRPr="000656A0">
              <w:rPr>
                <w:rFonts w:ascii="Times New Roman" w:eastAsia="Calibri" w:hAnsi="Times New Roman" w:cs="Times New Roman"/>
                <w:sz w:val="26"/>
                <w:szCs w:val="26"/>
              </w:rPr>
              <w:t>Annual Number of Responses</w:t>
            </w:r>
          </w:p>
        </w:tc>
        <w:tc>
          <w:tcPr>
            <w:tcW w:w="1516" w:type="dxa"/>
            <w:shd w:val="clear" w:color="auto" w:fill="auto"/>
            <w:vAlign w:val="bottom"/>
          </w:tcPr>
          <w:p w14:paraId="59B35A81" w14:textId="0E890628" w:rsidR="000656A0" w:rsidRPr="000656A0" w:rsidRDefault="000656A0" w:rsidP="00905D2A">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4,358</w:t>
            </w:r>
          </w:p>
        </w:tc>
        <w:tc>
          <w:tcPr>
            <w:tcW w:w="1614" w:type="dxa"/>
            <w:shd w:val="clear" w:color="auto" w:fill="auto"/>
            <w:vAlign w:val="bottom"/>
          </w:tcPr>
          <w:p w14:paraId="50A3EBCA" w14:textId="28D9ACED" w:rsidR="000656A0" w:rsidRPr="000656A0" w:rsidRDefault="000656A0" w:rsidP="000656A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3,770</w:t>
            </w:r>
          </w:p>
        </w:tc>
        <w:tc>
          <w:tcPr>
            <w:tcW w:w="1793" w:type="dxa"/>
            <w:shd w:val="clear" w:color="auto" w:fill="auto"/>
            <w:vAlign w:val="bottom"/>
          </w:tcPr>
          <w:p w14:paraId="3B9997EC" w14:textId="77777777" w:rsidR="000656A0" w:rsidRPr="000656A0" w:rsidRDefault="000656A0" w:rsidP="00905D2A">
            <w:pPr>
              <w:spacing w:after="0" w:line="240" w:lineRule="auto"/>
              <w:jc w:val="right"/>
              <w:rPr>
                <w:rFonts w:ascii="Times New Roman" w:eastAsia="Calibri" w:hAnsi="Times New Roman" w:cs="Times New Roman"/>
                <w:sz w:val="26"/>
                <w:szCs w:val="26"/>
              </w:rPr>
            </w:pPr>
            <w:r w:rsidRPr="000656A0">
              <w:rPr>
                <w:rFonts w:ascii="Times New Roman" w:eastAsia="Calibri" w:hAnsi="Times New Roman" w:cs="Times New Roman"/>
                <w:sz w:val="26"/>
                <w:szCs w:val="26"/>
              </w:rPr>
              <w:t>0</w:t>
            </w:r>
          </w:p>
        </w:tc>
        <w:tc>
          <w:tcPr>
            <w:tcW w:w="1789" w:type="dxa"/>
            <w:shd w:val="clear" w:color="auto" w:fill="auto"/>
            <w:vAlign w:val="bottom"/>
          </w:tcPr>
          <w:p w14:paraId="0E661606" w14:textId="77777777" w:rsidR="000656A0" w:rsidRPr="000656A0" w:rsidRDefault="000656A0" w:rsidP="00905D2A">
            <w:pPr>
              <w:spacing w:after="0" w:line="240" w:lineRule="auto"/>
              <w:jc w:val="right"/>
              <w:rPr>
                <w:rFonts w:ascii="Times New Roman" w:eastAsia="Times New Roman" w:hAnsi="Times New Roman" w:cs="Times New Roman"/>
                <w:sz w:val="26"/>
                <w:szCs w:val="24"/>
              </w:rPr>
            </w:pPr>
          </w:p>
          <w:p w14:paraId="7D679D1F" w14:textId="55D18B96" w:rsidR="000656A0" w:rsidRPr="000656A0" w:rsidRDefault="000656A0" w:rsidP="00905D2A">
            <w:pPr>
              <w:spacing w:after="0" w:line="240" w:lineRule="auto"/>
              <w:jc w:val="right"/>
              <w:rPr>
                <w:rFonts w:ascii="Times New Roman" w:eastAsia="Calibri" w:hAnsi="Times New Roman" w:cs="Times New Roman"/>
                <w:sz w:val="26"/>
                <w:szCs w:val="26"/>
              </w:rPr>
            </w:pPr>
            <w:r>
              <w:rPr>
                <w:rFonts w:ascii="Times New Roman" w:eastAsia="Times New Roman" w:hAnsi="Times New Roman" w:cs="Times New Roman"/>
                <w:sz w:val="26"/>
                <w:szCs w:val="24"/>
              </w:rPr>
              <w:t>588</w:t>
            </w:r>
          </w:p>
        </w:tc>
      </w:tr>
      <w:tr w:rsidR="000656A0" w:rsidRPr="000656A0" w14:paraId="071B088F" w14:textId="77777777" w:rsidTr="00905D2A">
        <w:trPr>
          <w:trHeight w:val="295"/>
        </w:trPr>
        <w:tc>
          <w:tcPr>
            <w:tcW w:w="2648" w:type="dxa"/>
            <w:tcBorders>
              <w:bottom w:val="single" w:sz="4" w:space="0" w:color="auto"/>
            </w:tcBorders>
            <w:shd w:val="clear" w:color="auto" w:fill="auto"/>
          </w:tcPr>
          <w:p w14:paraId="278DD9E0" w14:textId="77777777" w:rsidR="000656A0" w:rsidRPr="000656A0" w:rsidRDefault="000656A0" w:rsidP="00905D2A">
            <w:pPr>
              <w:spacing w:after="0" w:line="240" w:lineRule="auto"/>
              <w:jc w:val="center"/>
              <w:rPr>
                <w:rFonts w:ascii="Times New Roman" w:eastAsia="Calibri" w:hAnsi="Times New Roman" w:cs="Times New Roman"/>
                <w:sz w:val="26"/>
                <w:szCs w:val="26"/>
              </w:rPr>
            </w:pPr>
            <w:r w:rsidRPr="000656A0">
              <w:rPr>
                <w:rFonts w:ascii="Times New Roman" w:eastAsia="Calibri" w:hAnsi="Times New Roman" w:cs="Times New Roman"/>
                <w:sz w:val="26"/>
                <w:szCs w:val="26"/>
              </w:rPr>
              <w:t>Annual Time Burden (Hr.)</w:t>
            </w:r>
            <w:r w:rsidRPr="000656A0" w:rsidDel="000E18C1">
              <w:rPr>
                <w:rFonts w:ascii="Times New Roman" w:eastAsia="Calibri" w:hAnsi="Times New Roman" w:cs="Times New Roman"/>
                <w:sz w:val="26"/>
                <w:szCs w:val="26"/>
                <w:vertAlign w:val="superscript"/>
              </w:rPr>
              <w:t xml:space="preserve"> </w:t>
            </w:r>
          </w:p>
        </w:tc>
        <w:tc>
          <w:tcPr>
            <w:tcW w:w="1516" w:type="dxa"/>
            <w:tcBorders>
              <w:bottom w:val="single" w:sz="4" w:space="0" w:color="auto"/>
            </w:tcBorders>
            <w:shd w:val="clear" w:color="auto" w:fill="auto"/>
            <w:vAlign w:val="bottom"/>
          </w:tcPr>
          <w:p w14:paraId="07EC308F" w14:textId="43E2E2ED" w:rsidR="000656A0" w:rsidRPr="000656A0" w:rsidRDefault="000656A0" w:rsidP="00905D2A">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sz w:val="26"/>
                <w:szCs w:val="26"/>
              </w:rPr>
              <w:t>1,642,395</w:t>
            </w:r>
          </w:p>
        </w:tc>
        <w:tc>
          <w:tcPr>
            <w:tcW w:w="1614" w:type="dxa"/>
            <w:tcBorders>
              <w:bottom w:val="single" w:sz="4" w:space="0" w:color="auto"/>
            </w:tcBorders>
            <w:shd w:val="clear" w:color="auto" w:fill="auto"/>
            <w:vAlign w:val="bottom"/>
          </w:tcPr>
          <w:p w14:paraId="0B0F8AAF" w14:textId="42000526" w:rsidR="000656A0" w:rsidRPr="000656A0" w:rsidRDefault="000656A0" w:rsidP="000656A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1,624,746</w:t>
            </w:r>
          </w:p>
        </w:tc>
        <w:tc>
          <w:tcPr>
            <w:tcW w:w="1793" w:type="dxa"/>
            <w:tcBorders>
              <w:bottom w:val="single" w:sz="4" w:space="0" w:color="auto"/>
            </w:tcBorders>
            <w:shd w:val="clear" w:color="auto" w:fill="auto"/>
            <w:vAlign w:val="bottom"/>
          </w:tcPr>
          <w:p w14:paraId="6E481FE8" w14:textId="77777777" w:rsidR="000656A0" w:rsidRPr="000656A0" w:rsidRDefault="000656A0" w:rsidP="00905D2A">
            <w:pPr>
              <w:spacing w:after="0" w:line="240" w:lineRule="auto"/>
              <w:jc w:val="right"/>
              <w:rPr>
                <w:rFonts w:ascii="Times New Roman" w:eastAsia="Calibri" w:hAnsi="Times New Roman" w:cs="Times New Roman"/>
                <w:sz w:val="26"/>
                <w:szCs w:val="26"/>
              </w:rPr>
            </w:pPr>
            <w:r w:rsidRPr="000656A0">
              <w:rPr>
                <w:rFonts w:ascii="Times New Roman" w:eastAsia="Calibri" w:hAnsi="Times New Roman" w:cs="Times New Roman"/>
                <w:sz w:val="26"/>
                <w:szCs w:val="26"/>
              </w:rPr>
              <w:t>0</w:t>
            </w:r>
          </w:p>
        </w:tc>
        <w:tc>
          <w:tcPr>
            <w:tcW w:w="1789" w:type="dxa"/>
            <w:tcBorders>
              <w:bottom w:val="single" w:sz="4" w:space="0" w:color="auto"/>
            </w:tcBorders>
            <w:shd w:val="clear" w:color="auto" w:fill="auto"/>
            <w:vAlign w:val="bottom"/>
          </w:tcPr>
          <w:p w14:paraId="5FFCFA4B" w14:textId="7F97B508" w:rsidR="000656A0" w:rsidRPr="000656A0" w:rsidRDefault="000656A0" w:rsidP="00905D2A">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sz w:val="26"/>
                <w:szCs w:val="24"/>
              </w:rPr>
              <w:t>17,649</w:t>
            </w:r>
          </w:p>
        </w:tc>
      </w:tr>
      <w:tr w:rsidR="000656A0" w:rsidRPr="000656A0" w14:paraId="494EEC44" w14:textId="77777777" w:rsidTr="00905D2A">
        <w:trPr>
          <w:trHeight w:val="295"/>
        </w:trPr>
        <w:tc>
          <w:tcPr>
            <w:tcW w:w="2648" w:type="dxa"/>
            <w:tcBorders>
              <w:bottom w:val="single" w:sz="4" w:space="0" w:color="auto"/>
            </w:tcBorders>
            <w:shd w:val="clear" w:color="auto" w:fill="auto"/>
          </w:tcPr>
          <w:p w14:paraId="33240C59" w14:textId="77777777" w:rsidR="000656A0" w:rsidRPr="000656A0" w:rsidRDefault="000656A0" w:rsidP="00905D2A">
            <w:pPr>
              <w:spacing w:after="0" w:line="240" w:lineRule="auto"/>
              <w:jc w:val="center"/>
              <w:rPr>
                <w:rFonts w:ascii="Times New Roman" w:eastAsia="Calibri" w:hAnsi="Times New Roman" w:cs="Times New Roman"/>
                <w:sz w:val="26"/>
                <w:szCs w:val="26"/>
              </w:rPr>
            </w:pPr>
            <w:r w:rsidRPr="000656A0">
              <w:rPr>
                <w:rFonts w:ascii="Times New Roman" w:eastAsia="Calibri" w:hAnsi="Times New Roman" w:cs="Times New Roman"/>
                <w:sz w:val="26"/>
                <w:szCs w:val="26"/>
              </w:rPr>
              <w:t>Annual Cost Burden ($)</w:t>
            </w:r>
          </w:p>
        </w:tc>
        <w:tc>
          <w:tcPr>
            <w:tcW w:w="1516" w:type="dxa"/>
            <w:tcBorders>
              <w:bottom w:val="single" w:sz="4" w:space="0" w:color="auto"/>
            </w:tcBorders>
            <w:shd w:val="clear" w:color="auto" w:fill="auto"/>
            <w:vAlign w:val="bottom"/>
          </w:tcPr>
          <w:p w14:paraId="08FA873B" w14:textId="141B348C" w:rsidR="000656A0" w:rsidRPr="000656A0" w:rsidRDefault="000656A0" w:rsidP="00905D2A">
            <w:pPr>
              <w:spacing w:after="0" w:line="240" w:lineRule="auto"/>
              <w:jc w:val="right"/>
              <w:rPr>
                <w:rFonts w:ascii="Times New Roman" w:eastAsia="Calibri" w:hAnsi="Times New Roman" w:cs="Times New Roman"/>
                <w:sz w:val="26"/>
                <w:szCs w:val="26"/>
              </w:rPr>
            </w:pPr>
            <w:r>
              <w:rPr>
                <w:rFonts w:ascii="Times New Roman" w:eastAsia="Times New Roman" w:hAnsi="Times New Roman" w:cs="Times New Roman"/>
                <w:sz w:val="26"/>
                <w:szCs w:val="24"/>
              </w:rPr>
              <w:t>$126,725</w:t>
            </w:r>
          </w:p>
        </w:tc>
        <w:tc>
          <w:tcPr>
            <w:tcW w:w="1614" w:type="dxa"/>
            <w:tcBorders>
              <w:bottom w:val="single" w:sz="4" w:space="0" w:color="auto"/>
            </w:tcBorders>
            <w:shd w:val="clear" w:color="auto" w:fill="auto"/>
            <w:vAlign w:val="bottom"/>
          </w:tcPr>
          <w:p w14:paraId="0E228E32" w14:textId="37B50876" w:rsidR="000656A0" w:rsidRPr="000656A0" w:rsidRDefault="000656A0" w:rsidP="00905D2A">
            <w:pPr>
              <w:spacing w:after="0" w:line="240" w:lineRule="auto"/>
              <w:jc w:val="right"/>
              <w:rPr>
                <w:rFonts w:ascii="Times New Roman" w:eastAsia="Calibri" w:hAnsi="Times New Roman" w:cs="Times New Roman"/>
                <w:sz w:val="26"/>
                <w:szCs w:val="26"/>
              </w:rPr>
            </w:pPr>
            <w:r>
              <w:rPr>
                <w:rFonts w:ascii="Times New Roman" w:eastAsia="Times New Roman" w:hAnsi="Times New Roman" w:cs="Times New Roman"/>
                <w:sz w:val="26"/>
                <w:szCs w:val="24"/>
              </w:rPr>
              <w:t>$126,725</w:t>
            </w:r>
          </w:p>
        </w:tc>
        <w:tc>
          <w:tcPr>
            <w:tcW w:w="1793" w:type="dxa"/>
            <w:tcBorders>
              <w:bottom w:val="single" w:sz="4" w:space="0" w:color="auto"/>
            </w:tcBorders>
            <w:shd w:val="clear" w:color="auto" w:fill="auto"/>
            <w:vAlign w:val="bottom"/>
          </w:tcPr>
          <w:p w14:paraId="5EB5CAA3" w14:textId="77777777" w:rsidR="000656A0" w:rsidRPr="000656A0" w:rsidRDefault="000656A0" w:rsidP="00905D2A">
            <w:pPr>
              <w:spacing w:after="0" w:line="240" w:lineRule="auto"/>
              <w:jc w:val="right"/>
              <w:rPr>
                <w:rFonts w:ascii="Times New Roman" w:eastAsia="Calibri" w:hAnsi="Times New Roman" w:cs="Times New Roman"/>
                <w:sz w:val="26"/>
                <w:szCs w:val="26"/>
              </w:rPr>
            </w:pPr>
            <w:r w:rsidRPr="000656A0">
              <w:rPr>
                <w:rFonts w:ascii="Times New Roman" w:eastAsia="Times New Roman" w:hAnsi="Times New Roman" w:cs="Times New Roman"/>
                <w:sz w:val="26"/>
                <w:szCs w:val="24"/>
              </w:rPr>
              <w:t>$0</w:t>
            </w:r>
          </w:p>
        </w:tc>
        <w:tc>
          <w:tcPr>
            <w:tcW w:w="1789" w:type="dxa"/>
            <w:tcBorders>
              <w:bottom w:val="single" w:sz="4" w:space="0" w:color="auto"/>
            </w:tcBorders>
            <w:shd w:val="clear" w:color="auto" w:fill="auto"/>
            <w:vAlign w:val="bottom"/>
          </w:tcPr>
          <w:p w14:paraId="7F2BAB13" w14:textId="77777777" w:rsidR="000656A0" w:rsidRPr="000656A0" w:rsidRDefault="000656A0" w:rsidP="00905D2A">
            <w:pPr>
              <w:spacing w:after="0" w:line="240" w:lineRule="auto"/>
              <w:jc w:val="right"/>
              <w:rPr>
                <w:rFonts w:ascii="Times New Roman" w:eastAsia="Calibri" w:hAnsi="Times New Roman" w:cs="Times New Roman"/>
                <w:sz w:val="26"/>
                <w:szCs w:val="26"/>
              </w:rPr>
            </w:pPr>
            <w:r w:rsidRPr="000656A0">
              <w:rPr>
                <w:rFonts w:ascii="Times New Roman" w:eastAsia="Times New Roman" w:hAnsi="Times New Roman" w:cs="Times New Roman"/>
                <w:sz w:val="26"/>
                <w:szCs w:val="24"/>
              </w:rPr>
              <w:t>$0</w:t>
            </w:r>
          </w:p>
        </w:tc>
      </w:tr>
    </w:tbl>
    <w:p w14:paraId="78DE4CBD" w14:textId="77777777" w:rsidR="000656A0" w:rsidRDefault="000656A0" w:rsidP="000656A0">
      <w:pPr>
        <w:widowControl w:val="0"/>
        <w:autoSpaceDE w:val="0"/>
        <w:autoSpaceDN w:val="0"/>
        <w:adjustRightInd w:val="0"/>
        <w:spacing w:after="0" w:line="240" w:lineRule="auto"/>
        <w:rPr>
          <w:rFonts w:ascii="Times New Roman" w:eastAsia="Times New Roman" w:hAnsi="Times New Roman" w:cs="Times New Roman"/>
          <w:sz w:val="26"/>
          <w:szCs w:val="26"/>
        </w:rPr>
      </w:pPr>
    </w:p>
    <w:p w14:paraId="3F0E5C15" w14:textId="77777777" w:rsidR="000656A0" w:rsidRDefault="000656A0" w:rsidP="000656A0">
      <w:pPr>
        <w:widowControl w:val="0"/>
        <w:autoSpaceDE w:val="0"/>
        <w:autoSpaceDN w:val="0"/>
        <w:adjustRightInd w:val="0"/>
        <w:spacing w:after="0" w:line="240" w:lineRule="auto"/>
        <w:rPr>
          <w:rFonts w:ascii="Times New Roman" w:eastAsia="Times New Roman" w:hAnsi="Times New Roman" w:cs="Times New Roman"/>
          <w:sz w:val="26"/>
          <w:szCs w:val="26"/>
        </w:rPr>
      </w:pPr>
    </w:p>
    <w:p w14:paraId="24EF7642" w14:textId="77777777" w:rsidR="000656A0" w:rsidRDefault="000656A0" w:rsidP="000656A0">
      <w:pPr>
        <w:widowControl w:val="0"/>
        <w:autoSpaceDE w:val="0"/>
        <w:autoSpaceDN w:val="0"/>
        <w:adjustRightInd w:val="0"/>
        <w:spacing w:after="0" w:line="240" w:lineRule="auto"/>
        <w:rPr>
          <w:rFonts w:ascii="Times New Roman" w:eastAsia="Times New Roman" w:hAnsi="Times New Roman" w:cs="Times New Roman"/>
          <w:sz w:val="26"/>
          <w:szCs w:val="26"/>
        </w:rPr>
      </w:pPr>
    </w:p>
    <w:p w14:paraId="119899A5" w14:textId="77777777" w:rsidR="000656A0" w:rsidRDefault="000656A0" w:rsidP="000656A0">
      <w:pPr>
        <w:widowControl w:val="0"/>
        <w:autoSpaceDE w:val="0"/>
        <w:autoSpaceDN w:val="0"/>
        <w:adjustRightInd w:val="0"/>
        <w:spacing w:after="0" w:line="240" w:lineRule="auto"/>
        <w:rPr>
          <w:rFonts w:ascii="Times New Roman" w:eastAsia="Times New Roman" w:hAnsi="Times New Roman" w:cs="Times New Roman"/>
          <w:sz w:val="26"/>
          <w:szCs w:val="26"/>
        </w:rPr>
      </w:pPr>
    </w:p>
    <w:p w14:paraId="264B165A" w14:textId="77777777" w:rsidR="000656A0" w:rsidRPr="000656A0" w:rsidRDefault="000656A0" w:rsidP="000656A0">
      <w:pPr>
        <w:widowControl w:val="0"/>
        <w:autoSpaceDE w:val="0"/>
        <w:autoSpaceDN w:val="0"/>
        <w:adjustRightInd w:val="0"/>
        <w:spacing w:after="0" w:line="240" w:lineRule="auto"/>
        <w:rPr>
          <w:rFonts w:ascii="Times New Roman" w:eastAsia="Times New Roman" w:hAnsi="Times New Roman" w:cs="Times New Roman"/>
          <w:sz w:val="26"/>
          <w:szCs w:val="26"/>
        </w:rPr>
      </w:pPr>
    </w:p>
    <w:p w14:paraId="41138C60" w14:textId="77777777" w:rsidR="000656A0" w:rsidRPr="000656A0" w:rsidRDefault="000656A0" w:rsidP="000656A0">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0656A0" w:rsidRPr="000656A0" w14:paraId="6D6181E6" w14:textId="77777777" w:rsidTr="00905D2A">
        <w:trPr>
          <w:trHeight w:val="870"/>
          <w:tblHeader/>
        </w:trPr>
        <w:tc>
          <w:tcPr>
            <w:tcW w:w="2648" w:type="dxa"/>
            <w:tcBorders>
              <w:bottom w:val="single" w:sz="4" w:space="0" w:color="auto"/>
            </w:tcBorders>
            <w:shd w:val="clear" w:color="auto" w:fill="D9D9D9"/>
            <w:vAlign w:val="bottom"/>
          </w:tcPr>
          <w:p w14:paraId="25FD0AA1" w14:textId="15D24784" w:rsidR="000656A0" w:rsidRPr="000656A0" w:rsidRDefault="000656A0" w:rsidP="000656A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FERC-725Z</w:t>
            </w:r>
          </w:p>
        </w:tc>
        <w:tc>
          <w:tcPr>
            <w:tcW w:w="1516" w:type="dxa"/>
            <w:tcBorders>
              <w:bottom w:val="single" w:sz="4" w:space="0" w:color="auto"/>
            </w:tcBorders>
            <w:shd w:val="clear" w:color="auto" w:fill="D9D9D9"/>
            <w:vAlign w:val="bottom"/>
          </w:tcPr>
          <w:p w14:paraId="778D8E76" w14:textId="77777777" w:rsidR="000656A0" w:rsidRPr="000656A0" w:rsidRDefault="000656A0" w:rsidP="000656A0">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Total Request</w:t>
            </w:r>
          </w:p>
        </w:tc>
        <w:tc>
          <w:tcPr>
            <w:tcW w:w="1614" w:type="dxa"/>
            <w:tcBorders>
              <w:bottom w:val="single" w:sz="4" w:space="0" w:color="auto"/>
            </w:tcBorders>
            <w:shd w:val="clear" w:color="auto" w:fill="D9D9D9"/>
            <w:vAlign w:val="bottom"/>
          </w:tcPr>
          <w:p w14:paraId="0C9F4C1E" w14:textId="77777777" w:rsidR="000656A0" w:rsidRPr="000656A0" w:rsidRDefault="000656A0" w:rsidP="000656A0">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Previously Approved</w:t>
            </w:r>
          </w:p>
        </w:tc>
        <w:tc>
          <w:tcPr>
            <w:tcW w:w="1793" w:type="dxa"/>
            <w:tcBorders>
              <w:bottom w:val="single" w:sz="4" w:space="0" w:color="auto"/>
            </w:tcBorders>
            <w:shd w:val="clear" w:color="auto" w:fill="D9D9D9"/>
            <w:vAlign w:val="bottom"/>
          </w:tcPr>
          <w:p w14:paraId="5637C921" w14:textId="77777777" w:rsidR="000656A0" w:rsidRPr="000656A0" w:rsidRDefault="000656A0" w:rsidP="000656A0">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Change due to Adjustment in Estimate</w:t>
            </w:r>
          </w:p>
        </w:tc>
        <w:tc>
          <w:tcPr>
            <w:tcW w:w="1789" w:type="dxa"/>
            <w:tcBorders>
              <w:bottom w:val="single" w:sz="4" w:space="0" w:color="auto"/>
            </w:tcBorders>
            <w:shd w:val="clear" w:color="auto" w:fill="D9D9D9"/>
            <w:vAlign w:val="bottom"/>
          </w:tcPr>
          <w:p w14:paraId="352BD39A" w14:textId="77777777" w:rsidR="000656A0" w:rsidRPr="000656A0" w:rsidRDefault="000656A0" w:rsidP="000656A0">
            <w:pPr>
              <w:spacing w:after="0" w:line="240" w:lineRule="auto"/>
              <w:jc w:val="center"/>
              <w:rPr>
                <w:rFonts w:ascii="Times New Roman" w:eastAsia="Calibri" w:hAnsi="Times New Roman" w:cs="Times New Roman"/>
                <w:b/>
                <w:sz w:val="26"/>
                <w:szCs w:val="26"/>
              </w:rPr>
            </w:pPr>
            <w:r w:rsidRPr="000656A0">
              <w:rPr>
                <w:rFonts w:ascii="Times New Roman" w:eastAsia="Calibri" w:hAnsi="Times New Roman" w:cs="Times New Roman"/>
                <w:b/>
                <w:sz w:val="26"/>
                <w:szCs w:val="26"/>
              </w:rPr>
              <w:t>Change Due to Agency Discretion</w:t>
            </w:r>
          </w:p>
        </w:tc>
      </w:tr>
      <w:tr w:rsidR="000656A0" w:rsidRPr="000656A0" w14:paraId="32B9B616" w14:textId="77777777" w:rsidTr="00905D2A">
        <w:trPr>
          <w:trHeight w:val="591"/>
        </w:trPr>
        <w:tc>
          <w:tcPr>
            <w:tcW w:w="2648" w:type="dxa"/>
            <w:shd w:val="clear" w:color="auto" w:fill="auto"/>
          </w:tcPr>
          <w:p w14:paraId="50C15548" w14:textId="77777777" w:rsidR="000656A0" w:rsidRPr="000656A0" w:rsidRDefault="000656A0" w:rsidP="000656A0">
            <w:pPr>
              <w:spacing w:after="0" w:line="240" w:lineRule="auto"/>
              <w:jc w:val="center"/>
              <w:rPr>
                <w:rFonts w:ascii="Times New Roman" w:eastAsia="Calibri" w:hAnsi="Times New Roman" w:cs="Times New Roman"/>
                <w:sz w:val="26"/>
                <w:szCs w:val="26"/>
              </w:rPr>
            </w:pPr>
            <w:r w:rsidRPr="000656A0">
              <w:rPr>
                <w:rFonts w:ascii="Times New Roman" w:eastAsia="Calibri" w:hAnsi="Times New Roman" w:cs="Times New Roman"/>
                <w:sz w:val="26"/>
                <w:szCs w:val="26"/>
              </w:rPr>
              <w:t>Annual Number of Responses</w:t>
            </w:r>
          </w:p>
        </w:tc>
        <w:tc>
          <w:tcPr>
            <w:tcW w:w="1516" w:type="dxa"/>
            <w:shd w:val="clear" w:color="auto" w:fill="auto"/>
            <w:vAlign w:val="bottom"/>
          </w:tcPr>
          <w:p w14:paraId="23F18765" w14:textId="418178CD" w:rsidR="000656A0" w:rsidRPr="000656A0" w:rsidRDefault="000656A0" w:rsidP="000656A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401</w:t>
            </w:r>
          </w:p>
        </w:tc>
        <w:tc>
          <w:tcPr>
            <w:tcW w:w="1614" w:type="dxa"/>
            <w:shd w:val="clear" w:color="auto" w:fill="auto"/>
            <w:vAlign w:val="bottom"/>
          </w:tcPr>
          <w:p w14:paraId="03E3F82D" w14:textId="1B26175D" w:rsidR="000656A0" w:rsidRPr="000656A0" w:rsidRDefault="000656A0" w:rsidP="000656A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6,315</w:t>
            </w:r>
          </w:p>
        </w:tc>
        <w:tc>
          <w:tcPr>
            <w:tcW w:w="1793" w:type="dxa"/>
            <w:shd w:val="clear" w:color="auto" w:fill="auto"/>
            <w:vAlign w:val="bottom"/>
          </w:tcPr>
          <w:p w14:paraId="5BB47897" w14:textId="77777777" w:rsidR="000656A0" w:rsidRPr="000656A0" w:rsidRDefault="000656A0" w:rsidP="000656A0">
            <w:pPr>
              <w:spacing w:after="0" w:line="240" w:lineRule="auto"/>
              <w:jc w:val="right"/>
              <w:rPr>
                <w:rFonts w:ascii="Times New Roman" w:eastAsia="Calibri" w:hAnsi="Times New Roman" w:cs="Times New Roman"/>
                <w:sz w:val="26"/>
                <w:szCs w:val="26"/>
              </w:rPr>
            </w:pPr>
            <w:r w:rsidRPr="000656A0">
              <w:rPr>
                <w:rFonts w:ascii="Times New Roman" w:eastAsia="Calibri" w:hAnsi="Times New Roman" w:cs="Times New Roman"/>
                <w:sz w:val="26"/>
                <w:szCs w:val="26"/>
              </w:rPr>
              <w:t>0</w:t>
            </w:r>
          </w:p>
        </w:tc>
        <w:tc>
          <w:tcPr>
            <w:tcW w:w="1789" w:type="dxa"/>
            <w:shd w:val="clear" w:color="auto" w:fill="auto"/>
            <w:vAlign w:val="bottom"/>
          </w:tcPr>
          <w:p w14:paraId="35831312" w14:textId="77777777" w:rsidR="000656A0" w:rsidRPr="000656A0" w:rsidRDefault="000656A0" w:rsidP="000656A0">
            <w:pPr>
              <w:spacing w:after="0" w:line="240" w:lineRule="auto"/>
              <w:jc w:val="right"/>
              <w:rPr>
                <w:rFonts w:ascii="Times New Roman" w:eastAsia="Times New Roman" w:hAnsi="Times New Roman" w:cs="Times New Roman"/>
                <w:sz w:val="26"/>
                <w:szCs w:val="24"/>
              </w:rPr>
            </w:pPr>
          </w:p>
          <w:p w14:paraId="007F67B2" w14:textId="4443DDC8" w:rsidR="000656A0" w:rsidRPr="000656A0" w:rsidRDefault="000656A0" w:rsidP="000656A0">
            <w:pPr>
              <w:spacing w:after="0" w:line="240" w:lineRule="auto"/>
              <w:jc w:val="right"/>
              <w:rPr>
                <w:rFonts w:ascii="Times New Roman" w:eastAsia="Calibri" w:hAnsi="Times New Roman" w:cs="Times New Roman"/>
                <w:sz w:val="26"/>
                <w:szCs w:val="26"/>
              </w:rPr>
            </w:pPr>
            <w:r>
              <w:rPr>
                <w:rFonts w:ascii="Times New Roman" w:eastAsia="Times New Roman" w:hAnsi="Times New Roman" w:cs="Times New Roman"/>
                <w:sz w:val="26"/>
                <w:szCs w:val="24"/>
              </w:rPr>
              <w:t>-5,914</w:t>
            </w:r>
          </w:p>
        </w:tc>
      </w:tr>
      <w:tr w:rsidR="000656A0" w:rsidRPr="000656A0" w14:paraId="2E64C683" w14:textId="77777777" w:rsidTr="00905D2A">
        <w:trPr>
          <w:trHeight w:val="295"/>
        </w:trPr>
        <w:tc>
          <w:tcPr>
            <w:tcW w:w="2648" w:type="dxa"/>
            <w:tcBorders>
              <w:bottom w:val="single" w:sz="4" w:space="0" w:color="auto"/>
            </w:tcBorders>
            <w:shd w:val="clear" w:color="auto" w:fill="auto"/>
          </w:tcPr>
          <w:p w14:paraId="198B3A18" w14:textId="77777777" w:rsidR="000656A0" w:rsidRPr="000656A0" w:rsidRDefault="000656A0" w:rsidP="000656A0">
            <w:pPr>
              <w:spacing w:after="0" w:line="240" w:lineRule="auto"/>
              <w:jc w:val="center"/>
              <w:rPr>
                <w:rFonts w:ascii="Times New Roman" w:eastAsia="Calibri" w:hAnsi="Times New Roman" w:cs="Times New Roman"/>
                <w:sz w:val="26"/>
                <w:szCs w:val="26"/>
              </w:rPr>
            </w:pPr>
            <w:r w:rsidRPr="000656A0">
              <w:rPr>
                <w:rFonts w:ascii="Times New Roman" w:eastAsia="Calibri" w:hAnsi="Times New Roman" w:cs="Times New Roman"/>
                <w:sz w:val="26"/>
                <w:szCs w:val="26"/>
              </w:rPr>
              <w:t>Annual Time Burden (Hr.)</w:t>
            </w:r>
            <w:r w:rsidRPr="000656A0" w:rsidDel="000E18C1">
              <w:rPr>
                <w:rFonts w:ascii="Times New Roman" w:eastAsia="Calibri" w:hAnsi="Times New Roman" w:cs="Times New Roman"/>
                <w:sz w:val="26"/>
                <w:szCs w:val="26"/>
                <w:vertAlign w:val="superscript"/>
              </w:rPr>
              <w:t xml:space="preserve"> </w:t>
            </w:r>
          </w:p>
        </w:tc>
        <w:tc>
          <w:tcPr>
            <w:tcW w:w="1516" w:type="dxa"/>
            <w:tcBorders>
              <w:bottom w:val="single" w:sz="4" w:space="0" w:color="auto"/>
            </w:tcBorders>
            <w:shd w:val="clear" w:color="auto" w:fill="auto"/>
            <w:vAlign w:val="bottom"/>
          </w:tcPr>
          <w:p w14:paraId="0D40705E" w14:textId="7F8A1D34" w:rsidR="000656A0" w:rsidRPr="000656A0" w:rsidRDefault="000656A0" w:rsidP="000656A0">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sz w:val="26"/>
                <w:szCs w:val="26"/>
              </w:rPr>
              <w:t>42,540</w:t>
            </w:r>
          </w:p>
        </w:tc>
        <w:tc>
          <w:tcPr>
            <w:tcW w:w="1614" w:type="dxa"/>
            <w:tcBorders>
              <w:bottom w:val="single" w:sz="4" w:space="0" w:color="auto"/>
            </w:tcBorders>
            <w:shd w:val="clear" w:color="auto" w:fill="auto"/>
            <w:vAlign w:val="bottom"/>
          </w:tcPr>
          <w:p w14:paraId="7C238679" w14:textId="64073472" w:rsidR="000656A0" w:rsidRPr="000656A0" w:rsidRDefault="000656A0" w:rsidP="000656A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6,315</w:t>
            </w:r>
          </w:p>
        </w:tc>
        <w:tc>
          <w:tcPr>
            <w:tcW w:w="1793" w:type="dxa"/>
            <w:tcBorders>
              <w:bottom w:val="single" w:sz="4" w:space="0" w:color="auto"/>
            </w:tcBorders>
            <w:shd w:val="clear" w:color="auto" w:fill="auto"/>
            <w:vAlign w:val="bottom"/>
          </w:tcPr>
          <w:p w14:paraId="79EABA9D" w14:textId="77777777" w:rsidR="000656A0" w:rsidRPr="000656A0" w:rsidRDefault="000656A0" w:rsidP="000656A0">
            <w:pPr>
              <w:spacing w:after="0" w:line="240" w:lineRule="auto"/>
              <w:jc w:val="right"/>
              <w:rPr>
                <w:rFonts w:ascii="Times New Roman" w:eastAsia="Calibri" w:hAnsi="Times New Roman" w:cs="Times New Roman"/>
                <w:sz w:val="26"/>
                <w:szCs w:val="26"/>
              </w:rPr>
            </w:pPr>
            <w:r w:rsidRPr="000656A0">
              <w:rPr>
                <w:rFonts w:ascii="Times New Roman" w:eastAsia="Calibri" w:hAnsi="Times New Roman" w:cs="Times New Roman"/>
                <w:sz w:val="26"/>
                <w:szCs w:val="26"/>
              </w:rPr>
              <w:t>0</w:t>
            </w:r>
          </w:p>
        </w:tc>
        <w:tc>
          <w:tcPr>
            <w:tcW w:w="1789" w:type="dxa"/>
            <w:tcBorders>
              <w:bottom w:val="single" w:sz="4" w:space="0" w:color="auto"/>
            </w:tcBorders>
            <w:shd w:val="clear" w:color="auto" w:fill="auto"/>
            <w:vAlign w:val="bottom"/>
          </w:tcPr>
          <w:p w14:paraId="3D061BC9" w14:textId="69FE37CF" w:rsidR="000656A0" w:rsidRPr="000656A0" w:rsidRDefault="000656A0" w:rsidP="000656A0">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sz w:val="26"/>
                <w:szCs w:val="24"/>
              </w:rPr>
              <w:t>36,225</w:t>
            </w:r>
          </w:p>
        </w:tc>
      </w:tr>
      <w:tr w:rsidR="000656A0" w:rsidRPr="000656A0" w14:paraId="17301A28" w14:textId="77777777" w:rsidTr="00905D2A">
        <w:trPr>
          <w:trHeight w:val="295"/>
        </w:trPr>
        <w:tc>
          <w:tcPr>
            <w:tcW w:w="2648" w:type="dxa"/>
            <w:tcBorders>
              <w:bottom w:val="single" w:sz="4" w:space="0" w:color="auto"/>
            </w:tcBorders>
            <w:shd w:val="clear" w:color="auto" w:fill="auto"/>
          </w:tcPr>
          <w:p w14:paraId="6B2056EB" w14:textId="77777777" w:rsidR="000656A0" w:rsidRPr="000656A0" w:rsidRDefault="000656A0" w:rsidP="000656A0">
            <w:pPr>
              <w:spacing w:after="0" w:line="240" w:lineRule="auto"/>
              <w:jc w:val="center"/>
              <w:rPr>
                <w:rFonts w:ascii="Times New Roman" w:eastAsia="Calibri" w:hAnsi="Times New Roman" w:cs="Times New Roman"/>
                <w:sz w:val="26"/>
                <w:szCs w:val="26"/>
              </w:rPr>
            </w:pPr>
            <w:r w:rsidRPr="000656A0">
              <w:rPr>
                <w:rFonts w:ascii="Times New Roman" w:eastAsia="Calibri" w:hAnsi="Times New Roman" w:cs="Times New Roman"/>
                <w:sz w:val="26"/>
                <w:szCs w:val="26"/>
              </w:rPr>
              <w:t>Annual Cost Burden ($)</w:t>
            </w:r>
          </w:p>
        </w:tc>
        <w:tc>
          <w:tcPr>
            <w:tcW w:w="1516" w:type="dxa"/>
            <w:tcBorders>
              <w:bottom w:val="single" w:sz="4" w:space="0" w:color="auto"/>
            </w:tcBorders>
            <w:shd w:val="clear" w:color="auto" w:fill="auto"/>
            <w:vAlign w:val="bottom"/>
          </w:tcPr>
          <w:p w14:paraId="52B37293" w14:textId="77777777" w:rsidR="000656A0" w:rsidRPr="000656A0" w:rsidRDefault="000656A0" w:rsidP="000656A0">
            <w:pPr>
              <w:spacing w:after="0" w:line="240" w:lineRule="auto"/>
              <w:jc w:val="right"/>
              <w:rPr>
                <w:rFonts w:ascii="Times New Roman" w:eastAsia="Calibri" w:hAnsi="Times New Roman" w:cs="Times New Roman"/>
                <w:sz w:val="26"/>
                <w:szCs w:val="26"/>
              </w:rPr>
            </w:pPr>
            <w:r w:rsidRPr="000656A0">
              <w:rPr>
                <w:rFonts w:ascii="Times New Roman" w:eastAsia="Times New Roman" w:hAnsi="Times New Roman" w:cs="Times New Roman"/>
                <w:sz w:val="26"/>
                <w:szCs w:val="24"/>
              </w:rPr>
              <w:t>$0</w:t>
            </w:r>
          </w:p>
        </w:tc>
        <w:tc>
          <w:tcPr>
            <w:tcW w:w="1614" w:type="dxa"/>
            <w:tcBorders>
              <w:bottom w:val="single" w:sz="4" w:space="0" w:color="auto"/>
            </w:tcBorders>
            <w:shd w:val="clear" w:color="auto" w:fill="auto"/>
            <w:vAlign w:val="bottom"/>
          </w:tcPr>
          <w:p w14:paraId="493F5F52" w14:textId="77777777" w:rsidR="000656A0" w:rsidRPr="000656A0" w:rsidRDefault="000656A0" w:rsidP="000656A0">
            <w:pPr>
              <w:spacing w:after="0" w:line="240" w:lineRule="auto"/>
              <w:jc w:val="right"/>
              <w:rPr>
                <w:rFonts w:ascii="Times New Roman" w:eastAsia="Calibri" w:hAnsi="Times New Roman" w:cs="Times New Roman"/>
                <w:sz w:val="26"/>
                <w:szCs w:val="26"/>
              </w:rPr>
            </w:pPr>
            <w:r w:rsidRPr="000656A0">
              <w:rPr>
                <w:rFonts w:ascii="Times New Roman" w:eastAsia="Times New Roman" w:hAnsi="Times New Roman" w:cs="Times New Roman"/>
                <w:sz w:val="26"/>
                <w:szCs w:val="24"/>
              </w:rPr>
              <w:t>$0</w:t>
            </w:r>
          </w:p>
        </w:tc>
        <w:tc>
          <w:tcPr>
            <w:tcW w:w="1793" w:type="dxa"/>
            <w:tcBorders>
              <w:bottom w:val="single" w:sz="4" w:space="0" w:color="auto"/>
            </w:tcBorders>
            <w:shd w:val="clear" w:color="auto" w:fill="auto"/>
            <w:vAlign w:val="bottom"/>
          </w:tcPr>
          <w:p w14:paraId="1F38B88A" w14:textId="77777777" w:rsidR="000656A0" w:rsidRPr="000656A0" w:rsidRDefault="000656A0" w:rsidP="000656A0">
            <w:pPr>
              <w:spacing w:after="0" w:line="240" w:lineRule="auto"/>
              <w:jc w:val="right"/>
              <w:rPr>
                <w:rFonts w:ascii="Times New Roman" w:eastAsia="Calibri" w:hAnsi="Times New Roman" w:cs="Times New Roman"/>
                <w:sz w:val="26"/>
                <w:szCs w:val="26"/>
              </w:rPr>
            </w:pPr>
            <w:r w:rsidRPr="000656A0">
              <w:rPr>
                <w:rFonts w:ascii="Times New Roman" w:eastAsia="Times New Roman" w:hAnsi="Times New Roman" w:cs="Times New Roman"/>
                <w:sz w:val="26"/>
                <w:szCs w:val="24"/>
              </w:rPr>
              <w:t>$0</w:t>
            </w:r>
          </w:p>
        </w:tc>
        <w:tc>
          <w:tcPr>
            <w:tcW w:w="1789" w:type="dxa"/>
            <w:tcBorders>
              <w:bottom w:val="single" w:sz="4" w:space="0" w:color="auto"/>
            </w:tcBorders>
            <w:shd w:val="clear" w:color="auto" w:fill="auto"/>
            <w:vAlign w:val="bottom"/>
          </w:tcPr>
          <w:p w14:paraId="5E0C4140" w14:textId="77777777" w:rsidR="000656A0" w:rsidRPr="000656A0" w:rsidRDefault="000656A0" w:rsidP="000656A0">
            <w:pPr>
              <w:spacing w:after="0" w:line="240" w:lineRule="auto"/>
              <w:jc w:val="right"/>
              <w:rPr>
                <w:rFonts w:ascii="Times New Roman" w:eastAsia="Calibri" w:hAnsi="Times New Roman" w:cs="Times New Roman"/>
                <w:sz w:val="26"/>
                <w:szCs w:val="26"/>
              </w:rPr>
            </w:pPr>
            <w:r w:rsidRPr="000656A0">
              <w:rPr>
                <w:rFonts w:ascii="Times New Roman" w:eastAsia="Times New Roman" w:hAnsi="Times New Roman" w:cs="Times New Roman"/>
                <w:sz w:val="26"/>
                <w:szCs w:val="24"/>
              </w:rPr>
              <w:t>$0</w:t>
            </w:r>
          </w:p>
        </w:tc>
      </w:tr>
    </w:tbl>
    <w:p w14:paraId="4DF62D97" w14:textId="77777777" w:rsidR="005444B3" w:rsidRPr="00FC11BA" w:rsidRDefault="005444B3" w:rsidP="00FC11BA">
      <w:pPr>
        <w:rPr>
          <w:rFonts w:ascii="Times New Roman" w:hAnsi="Times New Roman" w:cs="Times New Roman"/>
          <w:sz w:val="24"/>
          <w:szCs w:val="24"/>
        </w:rPr>
      </w:pPr>
    </w:p>
    <w:p w14:paraId="3DA9C39E"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TIME SCHEDULE FOR THE PUBLICATION OF DATA</w:t>
      </w:r>
    </w:p>
    <w:p w14:paraId="34C26282" w14:textId="77777777" w:rsidR="00C4205B" w:rsidRPr="005444B3" w:rsidRDefault="00C4205B" w:rsidP="000656A0">
      <w:pPr>
        <w:spacing w:after="0"/>
        <w:rPr>
          <w:rFonts w:ascii="Times New Roman" w:hAnsi="Times New Roman" w:cs="Times New Roman"/>
          <w:b/>
          <w:bCs/>
          <w:sz w:val="26"/>
          <w:szCs w:val="26"/>
        </w:rPr>
      </w:pPr>
      <w:bookmarkStart w:id="3" w:name="_GoBack"/>
      <w:bookmarkEnd w:id="3"/>
    </w:p>
    <w:p w14:paraId="107F7BEF" w14:textId="77777777" w:rsidR="00042D80" w:rsidRPr="005444B3" w:rsidRDefault="004F3F84" w:rsidP="000656A0">
      <w:pPr>
        <w:spacing w:after="0"/>
        <w:rPr>
          <w:rFonts w:ascii="Times New Roman" w:hAnsi="Times New Roman" w:cs="Times New Roman"/>
          <w:sz w:val="26"/>
          <w:szCs w:val="26"/>
        </w:rPr>
      </w:pPr>
      <w:r w:rsidRPr="005444B3">
        <w:rPr>
          <w:rFonts w:ascii="Times New Roman" w:hAnsi="Times New Roman" w:cs="Times New Roman"/>
          <w:sz w:val="26"/>
          <w:szCs w:val="26"/>
        </w:rPr>
        <w:t xml:space="preserve">There are no tabulating, statistical or tabulating analysis or publication plans for the collection of information. </w:t>
      </w:r>
    </w:p>
    <w:p w14:paraId="50342789" w14:textId="09FCB732" w:rsidR="00C4205B" w:rsidRPr="00FC11BA" w:rsidRDefault="00C4205B" w:rsidP="00042D80">
      <w:pPr>
        <w:spacing w:after="0"/>
        <w:rPr>
          <w:rFonts w:ascii="Times New Roman" w:hAnsi="Times New Roman" w:cs="Times New Roman"/>
          <w:sz w:val="24"/>
          <w:szCs w:val="24"/>
        </w:rPr>
      </w:pPr>
    </w:p>
    <w:p w14:paraId="7BDD9659"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DISPLAY OF THE EXPIRATION DATE</w:t>
      </w:r>
    </w:p>
    <w:p w14:paraId="7EDDBD87" w14:textId="77777777" w:rsidR="00C4205B" w:rsidRPr="00FC11BA" w:rsidRDefault="00C4205B" w:rsidP="000656A0">
      <w:pPr>
        <w:spacing w:after="0"/>
        <w:rPr>
          <w:rFonts w:ascii="Times New Roman" w:hAnsi="Times New Roman" w:cs="Times New Roman"/>
          <w:b/>
          <w:bCs/>
          <w:sz w:val="26"/>
          <w:szCs w:val="26"/>
        </w:rPr>
      </w:pPr>
    </w:p>
    <w:p w14:paraId="38AF9515" w14:textId="1B8E3FF8" w:rsidR="00C4205B" w:rsidRPr="00FC11BA" w:rsidRDefault="008D20D4" w:rsidP="000656A0">
      <w:pPr>
        <w:spacing w:after="0"/>
        <w:rPr>
          <w:rFonts w:ascii="Times New Roman" w:hAnsi="Times New Roman" w:cs="Times New Roman"/>
          <w:sz w:val="26"/>
          <w:szCs w:val="26"/>
        </w:rPr>
      </w:pPr>
      <w:r w:rsidRPr="00FC11BA">
        <w:rPr>
          <w:rFonts w:ascii="Times New Roman" w:hAnsi="Times New Roman" w:cs="Times New Roman"/>
          <w:sz w:val="26"/>
          <w:szCs w:val="26"/>
        </w:rPr>
        <w:t xml:space="preserve">The expiration date is displayed in a table posted on ferc.gov at </w:t>
      </w:r>
      <w:hyperlink r:id="rId13" w:history="1">
        <w:r w:rsidRPr="00FC11BA">
          <w:rPr>
            <w:rStyle w:val="Hyperlink"/>
            <w:rFonts w:ascii="Times New Roman" w:hAnsi="Times New Roman" w:cs="Times New Roman"/>
            <w:sz w:val="26"/>
            <w:szCs w:val="26"/>
          </w:rPr>
          <w:t>http://www.ferc.gov/docs-filing/info-collections.asp</w:t>
        </w:r>
      </w:hyperlink>
      <w:r w:rsidRPr="00FC11BA">
        <w:rPr>
          <w:rFonts w:ascii="Times New Roman" w:hAnsi="Times New Roman" w:cs="Times New Roman"/>
          <w:sz w:val="26"/>
          <w:szCs w:val="26"/>
        </w:rPr>
        <w:t>.</w:t>
      </w:r>
    </w:p>
    <w:p w14:paraId="42F71BE6" w14:textId="77777777" w:rsidR="00C4205B" w:rsidRPr="00FC11BA" w:rsidRDefault="00C4205B" w:rsidP="00C4205B">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EXCEPTIONS TO THE CERTIFICATION STATEMENT</w:t>
      </w:r>
    </w:p>
    <w:p w14:paraId="1CF61528" w14:textId="77777777" w:rsidR="00C4205B" w:rsidRPr="00FC11BA" w:rsidRDefault="00C4205B" w:rsidP="000656A0">
      <w:pPr>
        <w:spacing w:after="0"/>
        <w:rPr>
          <w:rFonts w:ascii="Times New Roman" w:hAnsi="Times New Roman" w:cs="Times New Roman"/>
          <w:sz w:val="26"/>
          <w:szCs w:val="26"/>
        </w:rPr>
      </w:pPr>
    </w:p>
    <w:p w14:paraId="0B887D61" w14:textId="77777777" w:rsidR="004F3F84" w:rsidRPr="00042D80" w:rsidRDefault="004F3F84" w:rsidP="000656A0">
      <w:pPr>
        <w:spacing w:after="0"/>
        <w:rPr>
          <w:rFonts w:ascii="Times New Roman" w:hAnsi="Times New Roman" w:cs="Times New Roman"/>
          <w:sz w:val="26"/>
          <w:szCs w:val="26"/>
        </w:rPr>
      </w:pPr>
      <w:r w:rsidRPr="00042D80">
        <w:rPr>
          <w:rFonts w:ascii="Times New Roman" w:hAnsi="Times New Roman" w:cs="Times New Roman"/>
          <w:sz w:val="26"/>
          <w:szCs w:val="26"/>
        </w:rPr>
        <w:t>The Commission does not use the data collected for this reporting requirement for statistical purposes.</w:t>
      </w:r>
    </w:p>
    <w:p w14:paraId="212F32CF" w14:textId="0F09CA4E" w:rsidR="00D350A8" w:rsidRPr="00FC11BA" w:rsidRDefault="00D350A8" w:rsidP="004F3F84">
      <w:pPr>
        <w:rPr>
          <w:rFonts w:ascii="Times New Roman" w:hAnsi="Times New Roman" w:cs="Times New Roman"/>
          <w:b/>
          <w:sz w:val="26"/>
          <w:szCs w:val="26"/>
        </w:rPr>
      </w:pPr>
    </w:p>
    <w:sectPr w:rsidR="00D350A8" w:rsidRPr="00FC11BA">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5AEF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40F14" w14:textId="77777777" w:rsidR="008142D1" w:rsidRDefault="008142D1" w:rsidP="00D350A8">
      <w:pPr>
        <w:spacing w:after="0" w:line="240" w:lineRule="auto"/>
      </w:pPr>
      <w:r>
        <w:separator/>
      </w:r>
    </w:p>
  </w:endnote>
  <w:endnote w:type="continuationSeparator" w:id="0">
    <w:p w14:paraId="0B571E53" w14:textId="77777777" w:rsidR="008142D1" w:rsidRDefault="008142D1" w:rsidP="00D3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27601837" w14:textId="56EEE285" w:rsidR="00E33E65" w:rsidRDefault="00E33E65">
        <w:pPr>
          <w:pStyle w:val="Footer"/>
          <w:jc w:val="right"/>
        </w:pPr>
        <w:r>
          <w:fldChar w:fldCharType="begin"/>
        </w:r>
        <w:r>
          <w:instrText xml:space="preserve"> PAGE   \* MERGEFORMAT </w:instrText>
        </w:r>
        <w:r>
          <w:fldChar w:fldCharType="separate"/>
        </w:r>
        <w:r w:rsidR="00BF4D43">
          <w:rPr>
            <w:noProof/>
          </w:rPr>
          <w:t>8</w:t>
        </w:r>
        <w:r>
          <w:rPr>
            <w:noProof/>
          </w:rPr>
          <w:fldChar w:fldCharType="end"/>
        </w:r>
      </w:p>
    </w:sdtContent>
  </w:sdt>
  <w:p w14:paraId="157F03A9" w14:textId="77777777" w:rsidR="00E33E65" w:rsidRDefault="00E33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C2334" w14:textId="77777777" w:rsidR="008142D1" w:rsidRDefault="008142D1" w:rsidP="00D350A8">
      <w:pPr>
        <w:spacing w:after="0" w:line="240" w:lineRule="auto"/>
      </w:pPr>
      <w:r>
        <w:separator/>
      </w:r>
    </w:p>
  </w:footnote>
  <w:footnote w:type="continuationSeparator" w:id="0">
    <w:p w14:paraId="69193D91" w14:textId="77777777" w:rsidR="008142D1" w:rsidRDefault="008142D1" w:rsidP="00D350A8">
      <w:pPr>
        <w:spacing w:after="0" w:line="240" w:lineRule="auto"/>
      </w:pPr>
      <w:r>
        <w:continuationSeparator/>
      </w:r>
    </w:p>
  </w:footnote>
  <w:footnote w:id="1">
    <w:p w14:paraId="10856584" w14:textId="77777777" w:rsidR="00E33E65" w:rsidRPr="00342FA3" w:rsidRDefault="00E33E65" w:rsidP="005444B3">
      <w:pPr>
        <w:pStyle w:val="FootnoteText"/>
      </w:pPr>
      <w:r w:rsidRPr="00342FA3">
        <w:rPr>
          <w:rStyle w:val="FootnoteReference"/>
        </w:rPr>
        <w:footnoteRef/>
      </w:r>
      <w:r w:rsidRPr="00342FA3">
        <w:t xml:space="preserve"> </w:t>
      </w:r>
      <w:proofErr w:type="gramStart"/>
      <w:r w:rsidRPr="00342FA3">
        <w:t>16 U.S.C. 824o (2012).</w:t>
      </w:r>
      <w:proofErr w:type="gramEnd"/>
      <w:r w:rsidRPr="00342FA3">
        <w:t xml:space="preserve"> </w:t>
      </w:r>
    </w:p>
  </w:footnote>
  <w:footnote w:id="2">
    <w:p w14:paraId="68944228" w14:textId="77777777" w:rsidR="00E33E65" w:rsidRPr="00342FA3" w:rsidRDefault="00E33E65" w:rsidP="005444B3">
      <w:pPr>
        <w:pStyle w:val="FootnoteText"/>
      </w:pPr>
      <w:r w:rsidRPr="00342FA3">
        <w:rPr>
          <w:rStyle w:val="FootnoteReference"/>
        </w:rPr>
        <w:footnoteRef/>
      </w:r>
      <w:r w:rsidRPr="00342FA3">
        <w:t xml:space="preserve">  </w:t>
      </w:r>
      <w:proofErr w:type="gramStart"/>
      <w:r w:rsidRPr="00342FA3">
        <w:rPr>
          <w:i/>
          <w:szCs w:val="26"/>
        </w:rPr>
        <w:t>Electric Reliability Organization Proposal to Retire Requirements in Reliability Standards</w:t>
      </w:r>
      <w:r w:rsidRPr="00342FA3">
        <w:rPr>
          <w:szCs w:val="26"/>
        </w:rPr>
        <w:t>, Order No. 788, 145 FERC ¶ 61,147 (2013).</w:t>
      </w:r>
      <w:proofErr w:type="gramEnd"/>
      <w:r w:rsidRPr="00342FA3">
        <w:rPr>
          <w:szCs w:val="26"/>
        </w:rPr>
        <w:t xml:space="preserve"> </w:t>
      </w:r>
    </w:p>
  </w:footnote>
  <w:footnote w:id="3">
    <w:p w14:paraId="4A09CAA1" w14:textId="2C9BE64E" w:rsidR="00E33E65" w:rsidRPr="00794A5A" w:rsidRDefault="00E33E65" w:rsidP="005444B3">
      <w:pPr>
        <w:pStyle w:val="FootnoteText"/>
      </w:pPr>
      <w:r w:rsidRPr="00794A5A">
        <w:rPr>
          <w:rStyle w:val="FootnoteReference"/>
        </w:rPr>
        <w:footnoteRef/>
      </w:r>
      <w:r w:rsidRPr="00794A5A">
        <w:t xml:space="preserve"> </w:t>
      </w:r>
      <w:proofErr w:type="gramStart"/>
      <w:r w:rsidRPr="00794A5A">
        <w:t>Available at http://www.nerc.com/FilingsOrders/us/RuleOfProcedureDL/NERC_ROP_Effective_20140701_updated_20140602.pdf.</w:t>
      </w:r>
      <w:proofErr w:type="gramEnd"/>
    </w:p>
  </w:footnote>
  <w:footnote w:id="4">
    <w:p w14:paraId="74AF4C5D" w14:textId="77777777" w:rsidR="00E33E65" w:rsidRPr="00794A5A" w:rsidRDefault="00E33E65" w:rsidP="005444B3">
      <w:pPr>
        <w:pStyle w:val="FootnoteText"/>
      </w:pPr>
      <w:r w:rsidRPr="00794A5A">
        <w:rPr>
          <w:rStyle w:val="FootnoteReference"/>
        </w:rPr>
        <w:footnoteRef/>
      </w:r>
      <w:r w:rsidRPr="00794A5A">
        <w:t xml:space="preserve"> </w:t>
      </w:r>
      <w:r w:rsidRPr="00794A5A">
        <w:rPr>
          <w:szCs w:val="26"/>
        </w:rPr>
        <w:t xml:space="preserve">Details of the ERO standards development process are available on the NERC website at </w:t>
      </w:r>
      <w:hyperlink r:id="rId1" w:history="1">
        <w:r w:rsidRPr="00794A5A">
          <w:rPr>
            <w:rStyle w:val="Hyperlink"/>
            <w:szCs w:val="26"/>
          </w:rPr>
          <w:t>http://www.nerc.com/docs/standards/sc/Standard_Processes_Manual_Approved_May_2010.pdf</w:t>
        </w:r>
      </w:hyperlink>
      <w:r w:rsidRPr="00794A5A">
        <w:rPr>
          <w:szCs w:val="26"/>
        </w:rPr>
        <w:t>.</w:t>
      </w:r>
    </w:p>
  </w:footnote>
  <w:footnote w:id="5">
    <w:p w14:paraId="687BCDEC" w14:textId="77777777" w:rsidR="00E33E65" w:rsidRPr="00794A5A" w:rsidRDefault="00E33E65" w:rsidP="005444B3">
      <w:pPr>
        <w:pStyle w:val="FootnoteText"/>
      </w:pPr>
      <w:r w:rsidRPr="00794A5A">
        <w:rPr>
          <w:rStyle w:val="FootnoteReference"/>
        </w:rPr>
        <w:footnoteRef/>
      </w:r>
      <w:r w:rsidRPr="00794A5A">
        <w:t xml:space="preserve"> Section 1502, Paragraph 2, available at NERCs website</w:t>
      </w:r>
    </w:p>
  </w:footnote>
  <w:footnote w:id="6">
    <w:p w14:paraId="31E44AC9" w14:textId="77777777" w:rsidR="00E33E65" w:rsidRPr="00342FA3" w:rsidRDefault="00E33E65" w:rsidP="005444B3">
      <w:pPr>
        <w:pStyle w:val="FootnoteText"/>
      </w:pPr>
      <w:r w:rsidRPr="00342FA3">
        <w:rPr>
          <w:rStyle w:val="FootnoteReference"/>
        </w:rPr>
        <w:footnoteRef/>
      </w:r>
      <w:r w:rsidRPr="00342FA3">
        <w:t xml:space="preserve"> The number of respondents is the number of entities in which a change in burden from the current standards to the proposed exists, not the total number of entities from the current or proposed standards that are applicable.</w:t>
      </w:r>
    </w:p>
  </w:footnote>
  <w:footnote w:id="7">
    <w:p w14:paraId="1E15BE9D" w14:textId="77777777" w:rsidR="00E33E65" w:rsidRPr="00342FA3" w:rsidRDefault="00E33E65" w:rsidP="005444B3">
      <w:pPr>
        <w:pStyle w:val="FootnoteText"/>
      </w:pPr>
      <w:r w:rsidRPr="00342FA3">
        <w:rPr>
          <w:rStyle w:val="FootnoteReference"/>
        </w:rPr>
        <w:footnoteRef/>
      </w:r>
      <w:r w:rsidRPr="00342FA3">
        <w:t xml:space="preserve"> The estimated hourly costs (salary plus benefits) are based on Bureau of Labor Statistics (BLS) information, as of April 1, 2015, for an electrical engineer ($66.35/hour).  These figures are available at </w:t>
      </w:r>
      <w:hyperlink r:id="rId2" w:anchor="17-0000" w:history="1">
        <w:r w:rsidRPr="00342FA3">
          <w:rPr>
            <w:rStyle w:val="Hyperlink"/>
          </w:rPr>
          <w:t>http://bls.gov/oes/current/naics3_221000.htm#17-0000</w:t>
        </w:r>
      </w:hyperlink>
      <w:r w:rsidRPr="00342FA3">
        <w:t>.</w:t>
      </w:r>
    </w:p>
  </w:footnote>
  <w:footnote w:id="8">
    <w:p w14:paraId="5FB7407D" w14:textId="5031CCBD" w:rsidR="00221A9C" w:rsidRDefault="00221A9C" w:rsidP="005444B3">
      <w:pPr>
        <w:pStyle w:val="FootnoteText"/>
      </w:pPr>
      <w:r>
        <w:rPr>
          <w:rStyle w:val="FootnoteReference"/>
        </w:rPr>
        <w:footnoteRef/>
      </w:r>
      <w:r>
        <w:t xml:space="preserve">  Note that there was an inadvertent mathematical error in the NOPR.  It stated 123,252 hrs. (</w:t>
      </w:r>
      <w:proofErr w:type="gramStart"/>
      <w:r>
        <w:t>rather</w:t>
      </w:r>
      <w:proofErr w:type="gramEnd"/>
      <w:r>
        <w:t xml:space="preserve"> than 119,560 hrs</w:t>
      </w:r>
      <w:r w:rsidR="008D6710">
        <w:t>.</w:t>
      </w:r>
      <w:r>
        <w:t>).  The estimates for burden hours and resulting totals have been corrected in this supporting statement and submittal to OMB.</w:t>
      </w:r>
    </w:p>
  </w:footnote>
  <w:footnote w:id="9">
    <w:p w14:paraId="433E4C5A" w14:textId="77777777" w:rsidR="00E33E65" w:rsidRPr="00342FA3" w:rsidRDefault="00E33E65" w:rsidP="005444B3">
      <w:pPr>
        <w:pStyle w:val="FootnoteText"/>
      </w:pPr>
      <w:r w:rsidRPr="00342FA3">
        <w:rPr>
          <w:rStyle w:val="FootnoteReference"/>
        </w:rPr>
        <w:footnoteRef/>
      </w:r>
      <w:r w:rsidRPr="00342FA3">
        <w:t xml:space="preserve"> IRO-001-4 is a revised standard with no increase in burden.</w:t>
      </w:r>
    </w:p>
  </w:footnote>
  <w:footnote w:id="10">
    <w:p w14:paraId="47898FBC" w14:textId="77777777" w:rsidR="002359F6" w:rsidRDefault="002359F6" w:rsidP="005444B3">
      <w:pPr>
        <w:pStyle w:val="FootnoteText"/>
      </w:pPr>
      <w:r>
        <w:rPr>
          <w:rStyle w:val="FootnoteReference"/>
        </w:rPr>
        <w:footnoteRef/>
      </w:r>
      <w: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NOPR), and other changes to the collection.</w:t>
      </w:r>
    </w:p>
  </w:footnote>
  <w:footnote w:id="11">
    <w:p w14:paraId="035C08E0" w14:textId="77777777" w:rsidR="002359F6" w:rsidRDefault="002359F6" w:rsidP="005444B3">
      <w:pPr>
        <w:pStyle w:val="FootnoteText"/>
      </w:pPr>
      <w:r>
        <w:rPr>
          <w:rStyle w:val="FootnoteReference"/>
        </w:rPr>
        <w:footnoteRef/>
      </w:r>
      <w: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NOPR),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79E05" w14:textId="318993DB" w:rsidR="00E33E65" w:rsidRDefault="00A60E47" w:rsidP="002C70B7">
    <w:pPr>
      <w:tabs>
        <w:tab w:val="right" w:pos="10080"/>
      </w:tabs>
      <w:spacing w:after="0"/>
      <w:rPr>
        <w:rFonts w:ascii="Times New Roman" w:hAnsi="Times New Roman" w:cs="Times New Roman"/>
        <w:b/>
        <w:sz w:val="26"/>
        <w:szCs w:val="26"/>
      </w:rPr>
    </w:pPr>
    <w:r>
      <w:rPr>
        <w:rFonts w:ascii="Times New Roman" w:hAnsi="Times New Roman" w:cs="Times New Roman"/>
        <w:b/>
        <w:bCs/>
        <w:sz w:val="26"/>
        <w:szCs w:val="26"/>
      </w:rPr>
      <w:t xml:space="preserve">NOPR in </w:t>
    </w:r>
    <w:r w:rsidR="00E33E65">
      <w:rPr>
        <w:rFonts w:ascii="Times New Roman" w:hAnsi="Times New Roman" w:cs="Times New Roman"/>
        <w:b/>
        <w:bCs/>
        <w:sz w:val="26"/>
        <w:szCs w:val="26"/>
      </w:rPr>
      <w:t xml:space="preserve">RM15-16 </w:t>
    </w:r>
    <w:r>
      <w:rPr>
        <w:rFonts w:ascii="Times New Roman" w:hAnsi="Times New Roman" w:cs="Times New Roman"/>
        <w:b/>
        <w:bCs/>
        <w:sz w:val="26"/>
        <w:szCs w:val="26"/>
      </w:rPr>
      <w:t>(</w:t>
    </w:r>
    <w:r w:rsidR="00042D80" w:rsidRPr="00FC11BA">
      <w:rPr>
        <w:rFonts w:ascii="Times New Roman" w:hAnsi="Times New Roman" w:cs="Times New Roman"/>
        <w:b/>
        <w:sz w:val="26"/>
        <w:szCs w:val="26"/>
      </w:rPr>
      <w:t>Transmission Operations Reliability Standards and Interconnection Reliability Operations and Coordination Reliability Standards</w:t>
    </w:r>
    <w:r w:rsidR="00E33E65" w:rsidRPr="00D350A8">
      <w:rPr>
        <w:rFonts w:ascii="Times New Roman" w:hAnsi="Times New Roman" w:cs="Times New Roman"/>
        <w:b/>
        <w:bCs/>
        <w:sz w:val="26"/>
        <w:szCs w:val="26"/>
      </w:rPr>
      <w:t>,</w:t>
    </w:r>
    <w:r>
      <w:rPr>
        <w:rFonts w:ascii="Times New Roman" w:hAnsi="Times New Roman" w:cs="Times New Roman"/>
        <w:b/>
        <w:bCs/>
        <w:sz w:val="26"/>
        <w:szCs w:val="26"/>
      </w:rPr>
      <w:t xml:space="preserve"> RIN</w:t>
    </w:r>
    <w:r w:rsidR="00C5285B" w:rsidRPr="00C5285B">
      <w:t xml:space="preserve"> </w:t>
    </w:r>
    <w:r w:rsidR="00C5285B" w:rsidRPr="00C5285B">
      <w:rPr>
        <w:rFonts w:ascii="Times New Roman" w:hAnsi="Times New Roman" w:cs="Times New Roman"/>
        <w:b/>
        <w:bCs/>
        <w:sz w:val="26"/>
        <w:szCs w:val="26"/>
      </w:rPr>
      <w:t>1902-AF05</w:t>
    </w:r>
    <w:r w:rsidR="00C5285B">
      <w:rPr>
        <w:rFonts w:ascii="Times New Roman" w:hAnsi="Times New Roman" w:cs="Times New Roman"/>
        <w:b/>
        <w:bCs/>
        <w:sz w:val="26"/>
        <w:szCs w:val="26"/>
      </w:rPr>
      <w:t>)</w:t>
    </w:r>
    <w:r w:rsidR="00BF4D43">
      <w:rPr>
        <w:rFonts w:ascii="Times New Roman" w:hAnsi="Times New Roman" w:cs="Times New Roman"/>
        <w:b/>
        <w:sz w:val="26"/>
        <w:szCs w:val="26"/>
      </w:rPr>
      <w:t xml:space="preserve"> </w:t>
    </w:r>
    <w:r w:rsidR="00E33E65" w:rsidRPr="00D350A8">
      <w:rPr>
        <w:rFonts w:ascii="Times New Roman" w:hAnsi="Times New Roman" w:cs="Times New Roman"/>
        <w:b/>
        <w:sz w:val="26"/>
        <w:szCs w:val="26"/>
      </w:rPr>
      <w:t>OMB Control N</w:t>
    </w:r>
    <w:r w:rsidR="00E33E65" w:rsidRPr="00042D80">
      <w:rPr>
        <w:rFonts w:ascii="Times New Roman" w:hAnsi="Times New Roman" w:cs="Times New Roman"/>
        <w:b/>
        <w:sz w:val="26"/>
        <w:szCs w:val="26"/>
      </w:rPr>
      <w:t>o</w:t>
    </w:r>
    <w:r w:rsidR="00042D80" w:rsidRPr="00042D80">
      <w:rPr>
        <w:rFonts w:ascii="Times New Roman" w:hAnsi="Times New Roman" w:cs="Times New Roman"/>
        <w:b/>
        <w:sz w:val="26"/>
        <w:szCs w:val="26"/>
      </w:rPr>
      <w:t>s</w:t>
    </w:r>
    <w:r w:rsidR="00E33E65" w:rsidRPr="00042D80">
      <w:rPr>
        <w:rFonts w:ascii="Times New Roman" w:hAnsi="Times New Roman" w:cs="Times New Roman"/>
        <w:b/>
        <w:sz w:val="26"/>
        <w:szCs w:val="26"/>
      </w:rPr>
      <w:t xml:space="preserve">. </w:t>
    </w:r>
    <w:r w:rsidR="00042D80" w:rsidRPr="00042D80">
      <w:rPr>
        <w:rFonts w:ascii="Times New Roman" w:hAnsi="Times New Roman" w:cs="Times New Roman"/>
        <w:b/>
        <w:sz w:val="26"/>
        <w:szCs w:val="26"/>
      </w:rPr>
      <w:t>1902-0276 (FERC-725Z); 1902-0244(FERC-725A)</w:t>
    </w:r>
    <w:r w:rsidR="00BF4D43">
      <w:rPr>
        <w:rFonts w:ascii="Times New Roman" w:hAnsi="Times New Roman" w:cs="Times New Roman"/>
        <w:b/>
        <w:sz w:val="26"/>
        <w:szCs w:val="26"/>
      </w:rPr>
      <w:t>, Updated 11/4/2015</w:t>
    </w:r>
  </w:p>
  <w:p w14:paraId="1237E3AA" w14:textId="26D6C296" w:rsidR="00E33E65" w:rsidRPr="00D350A8" w:rsidRDefault="00E33E65" w:rsidP="002C70B7">
    <w:pPr>
      <w:tabs>
        <w:tab w:val="left" w:pos="8021"/>
      </w:tabs>
      <w:spacing w:after="0"/>
      <w:rPr>
        <w:rFonts w:ascii="Times New Roman" w:hAnsi="Times New Roman" w:cs="Times New Roman"/>
        <w:sz w:val="26"/>
        <w:szCs w:val="26"/>
      </w:rPr>
    </w:pPr>
    <w:r>
      <w:rPr>
        <w:rFonts w:ascii="Times New Roman" w:hAnsi="Times New Roman" w:cs="Times New Roman"/>
        <w:b/>
        <w:sz w:val="26"/>
        <w:szCs w:val="26"/>
      </w:rPr>
      <w:tab/>
    </w:r>
  </w:p>
  <w:p w14:paraId="66860F63" w14:textId="77777777" w:rsidR="00E33E65" w:rsidRDefault="00E33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F65"/>
    <w:multiLevelType w:val="hybridMultilevel"/>
    <w:tmpl w:val="A52636F0"/>
    <w:lvl w:ilvl="0" w:tplc="90BC2A68">
      <w:start w:val="1"/>
      <w:numFmt w:val="decimal"/>
      <w:lvlText w:val="%1."/>
      <w:lvlJc w:val="lef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ick, Richard">
    <w15:presenceInfo w15:providerId="AD" w15:userId="S-1-5-21-1454471165-117609710-725345543-412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27B8"/>
    <w:rsid w:val="00005289"/>
    <w:rsid w:val="000151A0"/>
    <w:rsid w:val="00017D46"/>
    <w:rsid w:val="000302F1"/>
    <w:rsid w:val="0004133D"/>
    <w:rsid w:val="00042D80"/>
    <w:rsid w:val="00055683"/>
    <w:rsid w:val="000656A0"/>
    <w:rsid w:val="000723A8"/>
    <w:rsid w:val="0007589B"/>
    <w:rsid w:val="00094D36"/>
    <w:rsid w:val="000E5E73"/>
    <w:rsid w:val="000F341C"/>
    <w:rsid w:val="00100229"/>
    <w:rsid w:val="00100D18"/>
    <w:rsid w:val="00102F1A"/>
    <w:rsid w:val="001062F8"/>
    <w:rsid w:val="0012731F"/>
    <w:rsid w:val="00131470"/>
    <w:rsid w:val="0015640F"/>
    <w:rsid w:val="001967A9"/>
    <w:rsid w:val="001F049A"/>
    <w:rsid w:val="001F1D83"/>
    <w:rsid w:val="00213195"/>
    <w:rsid w:val="00215FA1"/>
    <w:rsid w:val="00221A9C"/>
    <w:rsid w:val="0022224C"/>
    <w:rsid w:val="002359F6"/>
    <w:rsid w:val="00240C3A"/>
    <w:rsid w:val="0024309E"/>
    <w:rsid w:val="0025270F"/>
    <w:rsid w:val="00257FBE"/>
    <w:rsid w:val="00271EC6"/>
    <w:rsid w:val="00290ACC"/>
    <w:rsid w:val="002A45D0"/>
    <w:rsid w:val="002C70B7"/>
    <w:rsid w:val="002D4CD4"/>
    <w:rsid w:val="002F3DB9"/>
    <w:rsid w:val="00314EBE"/>
    <w:rsid w:val="00345EAE"/>
    <w:rsid w:val="003542FD"/>
    <w:rsid w:val="0035608B"/>
    <w:rsid w:val="00360F81"/>
    <w:rsid w:val="003745F7"/>
    <w:rsid w:val="003976CA"/>
    <w:rsid w:val="003A536E"/>
    <w:rsid w:val="003B6534"/>
    <w:rsid w:val="003C19D0"/>
    <w:rsid w:val="003D09FB"/>
    <w:rsid w:val="003E3D1E"/>
    <w:rsid w:val="003E599C"/>
    <w:rsid w:val="003F77BD"/>
    <w:rsid w:val="0040637D"/>
    <w:rsid w:val="004137F1"/>
    <w:rsid w:val="00416DFC"/>
    <w:rsid w:val="00452265"/>
    <w:rsid w:val="004A1428"/>
    <w:rsid w:val="004C0981"/>
    <w:rsid w:val="004C510E"/>
    <w:rsid w:val="004F3F84"/>
    <w:rsid w:val="00501F21"/>
    <w:rsid w:val="00511A94"/>
    <w:rsid w:val="00522521"/>
    <w:rsid w:val="00526F2F"/>
    <w:rsid w:val="00527AE1"/>
    <w:rsid w:val="005444B3"/>
    <w:rsid w:val="00555094"/>
    <w:rsid w:val="005558F8"/>
    <w:rsid w:val="005575ED"/>
    <w:rsid w:val="00565F74"/>
    <w:rsid w:val="005908AC"/>
    <w:rsid w:val="00597658"/>
    <w:rsid w:val="005A779D"/>
    <w:rsid w:val="005B2D2D"/>
    <w:rsid w:val="005B3351"/>
    <w:rsid w:val="005C0FD7"/>
    <w:rsid w:val="005C28A8"/>
    <w:rsid w:val="005D017F"/>
    <w:rsid w:val="005D054F"/>
    <w:rsid w:val="005D4947"/>
    <w:rsid w:val="005D6E4D"/>
    <w:rsid w:val="005F447E"/>
    <w:rsid w:val="00602096"/>
    <w:rsid w:val="0061754A"/>
    <w:rsid w:val="0065657B"/>
    <w:rsid w:val="00675E52"/>
    <w:rsid w:val="00684FC0"/>
    <w:rsid w:val="0069654D"/>
    <w:rsid w:val="006A7418"/>
    <w:rsid w:val="006B0E50"/>
    <w:rsid w:val="00703213"/>
    <w:rsid w:val="0070345D"/>
    <w:rsid w:val="00707A85"/>
    <w:rsid w:val="00734A9C"/>
    <w:rsid w:val="00737581"/>
    <w:rsid w:val="0078329B"/>
    <w:rsid w:val="00794A5A"/>
    <w:rsid w:val="007A4A94"/>
    <w:rsid w:val="007A6365"/>
    <w:rsid w:val="007B7CCA"/>
    <w:rsid w:val="007D29A0"/>
    <w:rsid w:val="007E67E9"/>
    <w:rsid w:val="007E757F"/>
    <w:rsid w:val="007F0BA4"/>
    <w:rsid w:val="007F1EC9"/>
    <w:rsid w:val="00800E3F"/>
    <w:rsid w:val="00803E7C"/>
    <w:rsid w:val="00810BF9"/>
    <w:rsid w:val="008142D1"/>
    <w:rsid w:val="00814779"/>
    <w:rsid w:val="00820929"/>
    <w:rsid w:val="0084600F"/>
    <w:rsid w:val="008738D6"/>
    <w:rsid w:val="008815BC"/>
    <w:rsid w:val="008A1478"/>
    <w:rsid w:val="008A5C5C"/>
    <w:rsid w:val="008D20D4"/>
    <w:rsid w:val="008D6710"/>
    <w:rsid w:val="008D6AED"/>
    <w:rsid w:val="00900C36"/>
    <w:rsid w:val="00905C29"/>
    <w:rsid w:val="00907AB7"/>
    <w:rsid w:val="00912E58"/>
    <w:rsid w:val="00922818"/>
    <w:rsid w:val="0093400C"/>
    <w:rsid w:val="00950542"/>
    <w:rsid w:val="00960411"/>
    <w:rsid w:val="00970428"/>
    <w:rsid w:val="009C1020"/>
    <w:rsid w:val="009C2A3E"/>
    <w:rsid w:val="009E4A19"/>
    <w:rsid w:val="009F0B95"/>
    <w:rsid w:val="00A13DFB"/>
    <w:rsid w:val="00A175C5"/>
    <w:rsid w:val="00A21CB4"/>
    <w:rsid w:val="00A2591A"/>
    <w:rsid w:val="00A60E47"/>
    <w:rsid w:val="00A7099E"/>
    <w:rsid w:val="00A7121F"/>
    <w:rsid w:val="00A858C8"/>
    <w:rsid w:val="00A86E73"/>
    <w:rsid w:val="00A971CF"/>
    <w:rsid w:val="00B065DF"/>
    <w:rsid w:val="00B231D4"/>
    <w:rsid w:val="00B26E4A"/>
    <w:rsid w:val="00B32AA5"/>
    <w:rsid w:val="00B34A73"/>
    <w:rsid w:val="00B46310"/>
    <w:rsid w:val="00B52592"/>
    <w:rsid w:val="00B53FEB"/>
    <w:rsid w:val="00B61FB5"/>
    <w:rsid w:val="00B63850"/>
    <w:rsid w:val="00B820C3"/>
    <w:rsid w:val="00B85D31"/>
    <w:rsid w:val="00B9619F"/>
    <w:rsid w:val="00B96B00"/>
    <w:rsid w:val="00BC132D"/>
    <w:rsid w:val="00BC4817"/>
    <w:rsid w:val="00BE0F87"/>
    <w:rsid w:val="00BF4D43"/>
    <w:rsid w:val="00C00BD5"/>
    <w:rsid w:val="00C315D8"/>
    <w:rsid w:val="00C360B7"/>
    <w:rsid w:val="00C4205B"/>
    <w:rsid w:val="00C453FF"/>
    <w:rsid w:val="00C5285B"/>
    <w:rsid w:val="00C615E9"/>
    <w:rsid w:val="00C80058"/>
    <w:rsid w:val="00CA6401"/>
    <w:rsid w:val="00CC2775"/>
    <w:rsid w:val="00CF172C"/>
    <w:rsid w:val="00D1124F"/>
    <w:rsid w:val="00D12E12"/>
    <w:rsid w:val="00D17BB7"/>
    <w:rsid w:val="00D215A2"/>
    <w:rsid w:val="00D27D95"/>
    <w:rsid w:val="00D31EFC"/>
    <w:rsid w:val="00D350A8"/>
    <w:rsid w:val="00D400ED"/>
    <w:rsid w:val="00D51DDF"/>
    <w:rsid w:val="00D6422E"/>
    <w:rsid w:val="00DA12D2"/>
    <w:rsid w:val="00DD749B"/>
    <w:rsid w:val="00E0001D"/>
    <w:rsid w:val="00E14C63"/>
    <w:rsid w:val="00E33E65"/>
    <w:rsid w:val="00E454EA"/>
    <w:rsid w:val="00E9729B"/>
    <w:rsid w:val="00EA3968"/>
    <w:rsid w:val="00EB3387"/>
    <w:rsid w:val="00EC7882"/>
    <w:rsid w:val="00EE1D2C"/>
    <w:rsid w:val="00EE22CC"/>
    <w:rsid w:val="00EE4195"/>
    <w:rsid w:val="00EF4AD6"/>
    <w:rsid w:val="00F14924"/>
    <w:rsid w:val="00F44D19"/>
    <w:rsid w:val="00F473FF"/>
    <w:rsid w:val="00F61FC9"/>
    <w:rsid w:val="00F63E0D"/>
    <w:rsid w:val="00F72A8A"/>
    <w:rsid w:val="00F839F8"/>
    <w:rsid w:val="00F97E14"/>
    <w:rsid w:val="00FA0F7B"/>
    <w:rsid w:val="00FB4A38"/>
    <w:rsid w:val="00FC11BA"/>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2026665229">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5466330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bls.gov/oes/current/naics3_221000.htm" TargetMode="External"/><Relationship Id="rId1" Type="http://schemas.openxmlformats.org/officeDocument/2006/relationships/hyperlink" Target="http://www.nerc.com/docs/standards/sc/Standard_Processes_Manual_Approved_May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Proposed Rule</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2015-08-17T00:00:00-04:00</Date>
    <Status xmlns="d6eefc7d-9817-4fa6-84d5-3bc009be21b8">Final</Status>
    <_x0032__x002e__x0020_Docket_x0020_Number xmlns="d6eefc7d-9817-4fa6-84d5-3bc009be21b8" xsi:nil="true"/>
    <_x0032__x002e__x0020_Collection_x0020_Number xmlns="d6eefc7d-9817-4fa6-84d5-3bc009be21b8">725Z</_x0032__x002e__x0020_Collection_x0020_Number>
    <_x0031__x002e__x0020_Docket_x0020_Number xmlns="d6eefc7d-9817-4fa6-84d5-3bc009be21b8">RM15-16</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9DED-8FF9-44B5-849E-7C37BB23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3.xml><?xml version="1.0" encoding="utf-8"?>
<ds:datastoreItem xmlns:ds="http://schemas.openxmlformats.org/officeDocument/2006/customXml" ds:itemID="{05E70F4A-87E6-4221-8D2C-3B3AA38C812D}">
  <ds:schemaRefs>
    <ds:schemaRef ds:uri="http://schemas.microsoft.com/office/2006/metadata/properties"/>
    <ds:schemaRef ds:uri="http://schemas.microsoft.com/office/infopath/2007/PartnerControls"/>
    <ds:schemaRef ds:uri="d6eefc7d-9817-4fa6-84d5-3bc009be21b8"/>
  </ds:schemaRefs>
</ds:datastoreItem>
</file>

<file path=customXml/itemProps4.xml><?xml version="1.0" encoding="utf-8"?>
<ds:datastoreItem xmlns:ds="http://schemas.openxmlformats.org/officeDocument/2006/customXml" ds:itemID="{7F29A0DD-777F-4171-BCBE-A2BB5C60453A}">
  <ds:schemaRefs>
    <ds:schemaRef ds:uri="http://schemas.microsoft.com/office/2006/metadata/customXsn"/>
  </ds:schemaRefs>
</ds:datastoreItem>
</file>

<file path=customXml/itemProps5.xml><?xml version="1.0" encoding="utf-8"?>
<ds:datastoreItem xmlns:ds="http://schemas.openxmlformats.org/officeDocument/2006/customXml" ds:itemID="{9D548DE8-33B8-4106-91A7-B9A81A06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Nader</dc:creator>
  <cp:lastModifiedBy>Camilla Ryan</cp:lastModifiedBy>
  <cp:revision>2</cp:revision>
  <dcterms:created xsi:type="dcterms:W3CDTF">2015-11-04T20:33:00Z</dcterms:created>
  <dcterms:modified xsi:type="dcterms:W3CDTF">2015-11-04T20:33:00Z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