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37" w:rsidRDefault="00201131" w:rsidP="004067A1">
      <w:pPr>
        <w:ind w:firstLine="360"/>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simplePos x="0" y="0"/>
                <wp:positionH relativeFrom="column">
                  <wp:posOffset>2072640</wp:posOffset>
                </wp:positionH>
                <wp:positionV relativeFrom="paragraph">
                  <wp:posOffset>12700</wp:posOffset>
                </wp:positionV>
                <wp:extent cx="43027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18285"/>
                        </a:xfrm>
                        <a:prstGeom prst="rect">
                          <a:avLst/>
                        </a:prstGeom>
                        <a:solidFill>
                          <a:srgbClr val="FFFFFF"/>
                        </a:solidFill>
                        <a:ln w="9525">
                          <a:solidFill>
                            <a:srgbClr val="000000"/>
                          </a:solidFill>
                          <a:miter lim="800000"/>
                          <a:headEnd/>
                          <a:tailEnd/>
                        </a:ln>
                      </wps:spPr>
                      <wps:txbx>
                        <w:txbxContent>
                          <w:p w:rsidR="00326A0F" w:rsidRPr="006139D7" w:rsidRDefault="00326A0F" w:rsidP="00194837">
                            <w:pPr>
                              <w:rPr>
                                <w:b/>
                                <w:sz w:val="28"/>
                                <w:szCs w:val="28"/>
                              </w:rPr>
                            </w:pPr>
                            <w:r w:rsidRPr="006139D7">
                              <w:rPr>
                                <w:b/>
                                <w:sz w:val="28"/>
                                <w:szCs w:val="28"/>
                              </w:rPr>
                              <w:t>U.S. Energy Information Administration</w:t>
                            </w:r>
                          </w:p>
                          <w:p w:rsidR="00326A0F" w:rsidRDefault="00326A0F" w:rsidP="00194837">
                            <w:pPr>
                              <w:rPr>
                                <w:b/>
                                <w:sz w:val="28"/>
                                <w:szCs w:val="28"/>
                              </w:rPr>
                            </w:pPr>
                            <w:r w:rsidRPr="006139D7">
                              <w:rPr>
                                <w:b/>
                                <w:sz w:val="28"/>
                                <w:szCs w:val="28"/>
                              </w:rPr>
                              <w:t>Office of Energy Statistics</w:t>
                            </w:r>
                          </w:p>
                          <w:p w:rsidR="00326A0F" w:rsidRPr="006139D7" w:rsidRDefault="00326A0F" w:rsidP="00ED120D">
                            <w:pPr>
                              <w:jc w:val="left"/>
                              <w:rPr>
                                <w:b/>
                                <w:sz w:val="28"/>
                                <w:szCs w:val="28"/>
                              </w:rPr>
                            </w:pPr>
                            <w:r>
                              <w:rPr>
                                <w:b/>
                                <w:sz w:val="28"/>
                                <w:szCs w:val="28"/>
                              </w:rPr>
                              <w:t>Office of Electricity, Renewables, and Uranium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2pt;margin-top:1pt;width:338.8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">
                <v:textbox>
                  <w:txbxContent>
                    <w:p w:rsidR="00326A0F" w:rsidRPr="006139D7" w:rsidRDefault="00326A0F" w:rsidP="00194837">
                      <w:pPr>
                        <w:rPr>
                          <w:b/>
                          <w:sz w:val="28"/>
                          <w:szCs w:val="28"/>
                        </w:rPr>
                      </w:pPr>
                      <w:r w:rsidRPr="006139D7">
                        <w:rPr>
                          <w:b/>
                          <w:sz w:val="28"/>
                          <w:szCs w:val="28"/>
                        </w:rPr>
                        <w:t>U.S. Energy Information Administration</w:t>
                      </w:r>
                    </w:p>
                    <w:p w:rsidR="00326A0F" w:rsidRDefault="00326A0F" w:rsidP="00194837">
                      <w:pPr>
                        <w:rPr>
                          <w:b/>
                          <w:sz w:val="28"/>
                          <w:szCs w:val="28"/>
                        </w:rPr>
                      </w:pPr>
                      <w:r w:rsidRPr="006139D7">
                        <w:rPr>
                          <w:b/>
                          <w:sz w:val="28"/>
                          <w:szCs w:val="28"/>
                        </w:rPr>
                        <w:t>Office of Energy Statistics</w:t>
                      </w:r>
                    </w:p>
                    <w:p w:rsidR="00326A0F" w:rsidRPr="006139D7" w:rsidRDefault="00326A0F" w:rsidP="00ED120D">
                      <w:pPr>
                        <w:jc w:val="left"/>
                        <w:rPr>
                          <w:b/>
                          <w:sz w:val="28"/>
                          <w:szCs w:val="28"/>
                        </w:rPr>
                      </w:pPr>
                      <w:r>
                        <w:rPr>
                          <w:b/>
                          <w:sz w:val="28"/>
                          <w:szCs w:val="28"/>
                        </w:rPr>
                        <w:t>Office of Electricity, Renewables, and Uranium Statistics</w:t>
                      </w:r>
                    </w:p>
                  </w:txbxContent>
                </v:textbox>
              </v:shape>
            </w:pict>
          </mc:Fallback>
        </mc:AlternateContent>
      </w:r>
      <w:r w:rsidR="0019483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94837" w:rsidRDefault="00194837" w:rsidP="00194837">
      <w:pPr>
        <w:ind w:left="4320"/>
      </w:pPr>
    </w:p>
    <w:p w:rsidR="00194837" w:rsidRDefault="00194837" w:rsidP="00194837">
      <w:pPr>
        <w:rPr>
          <w:rFonts w:ascii="Arial Black" w:hAnsi="Arial Black"/>
          <w:sz w:val="28"/>
        </w:rPr>
      </w:pPr>
    </w:p>
    <w:p w:rsidR="00194837" w:rsidRPr="006139D7" w:rsidRDefault="00194837" w:rsidP="00194837">
      <w:pPr>
        <w:rPr>
          <w:b/>
          <w:sz w:val="36"/>
          <w:szCs w:val="36"/>
        </w:rPr>
      </w:pPr>
      <w:r w:rsidRPr="006139D7">
        <w:rPr>
          <w:b/>
          <w:sz w:val="36"/>
          <w:szCs w:val="36"/>
        </w:rPr>
        <w:t>Supporting Statement for Survey Clearance</w:t>
      </w:r>
    </w:p>
    <w:p w:rsidR="00194837" w:rsidRDefault="00194837" w:rsidP="00194837">
      <w:pPr>
        <w:rPr>
          <w:b/>
          <w:sz w:val="28"/>
          <w:szCs w:val="28"/>
        </w:rPr>
      </w:pPr>
    </w:p>
    <w:p w:rsidR="005C233F" w:rsidRDefault="003020E4" w:rsidP="00194837">
      <w:pPr>
        <w:rPr>
          <w:b/>
          <w:sz w:val="32"/>
          <w:szCs w:val="32"/>
        </w:rPr>
      </w:pPr>
      <w:r>
        <w:rPr>
          <w:b/>
          <w:sz w:val="32"/>
          <w:szCs w:val="32"/>
        </w:rPr>
        <w:t>Uranium Data Program</w:t>
      </w:r>
    </w:p>
    <w:p w:rsidR="007C1C13" w:rsidRDefault="007C1C13" w:rsidP="00194837">
      <w:pPr>
        <w:rPr>
          <w:b/>
          <w:sz w:val="32"/>
          <w:szCs w:val="32"/>
        </w:rPr>
      </w:pPr>
    </w:p>
    <w:p w:rsidR="005C233F" w:rsidRPr="005C233F" w:rsidRDefault="003020E4" w:rsidP="00194837">
      <w:pPr>
        <w:rPr>
          <w:b/>
          <w:sz w:val="32"/>
          <w:szCs w:val="32"/>
        </w:rPr>
      </w:pPr>
      <w:r>
        <w:rPr>
          <w:b/>
          <w:sz w:val="32"/>
          <w:szCs w:val="32"/>
        </w:rPr>
        <w:t>OMB No. 1905-0160</w:t>
      </w:r>
    </w:p>
    <w:p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rsidTr="00A42A18">
        <w:tc>
          <w:tcPr>
            <w:tcW w:w="7488" w:type="dxa"/>
            <w:vAlign w:val="center"/>
          </w:tcPr>
          <w:p w:rsidR="005C233F" w:rsidRDefault="00194837" w:rsidP="00A42A18">
            <w:pPr>
              <w:spacing w:before="360" w:after="360"/>
              <w:rPr>
                <w:b/>
                <w:sz w:val="32"/>
                <w:szCs w:val="32"/>
              </w:rPr>
            </w:pPr>
            <w:r w:rsidRPr="005C233F">
              <w:rPr>
                <w:b/>
                <w:sz w:val="32"/>
                <w:szCs w:val="32"/>
              </w:rPr>
              <w:t>Background and Proposal</w:t>
            </w:r>
          </w:p>
          <w:p w:rsidR="00194837" w:rsidRPr="006139D7" w:rsidRDefault="005C233F" w:rsidP="005C233F">
            <w:pPr>
              <w:spacing w:before="360" w:after="360"/>
              <w:rPr>
                <w:b/>
                <w:sz w:val="32"/>
                <w:szCs w:val="32"/>
              </w:rPr>
            </w:pPr>
            <w:r>
              <w:rPr>
                <w:b/>
                <w:sz w:val="32"/>
                <w:szCs w:val="32"/>
              </w:rPr>
              <w:t>Part A</w:t>
            </w:r>
          </w:p>
        </w:tc>
      </w:tr>
    </w:tbl>
    <w:p w:rsidR="00194837" w:rsidRPr="006139D7" w:rsidRDefault="00194837" w:rsidP="00194837"/>
    <w:p w:rsidR="00194837" w:rsidRPr="006139D7" w:rsidRDefault="00194837" w:rsidP="00194837"/>
    <w:p w:rsidR="00194837" w:rsidRDefault="00194837" w:rsidP="00194837">
      <w:r w:rsidRPr="006139D7">
        <w:t>Original Date:</w:t>
      </w:r>
      <w:r w:rsidR="005C233F">
        <w:t xml:space="preserve"> </w:t>
      </w:r>
      <w:r w:rsidR="0007174B">
        <w:t>July</w:t>
      </w:r>
      <w:r w:rsidR="00F72F85">
        <w:t xml:space="preserve"> </w:t>
      </w:r>
      <w:r w:rsidR="00E43957">
        <w:t>9</w:t>
      </w:r>
      <w:r w:rsidR="00F72F85">
        <w:t>,</w:t>
      </w:r>
      <w:r w:rsidR="003020E4">
        <w:t xml:space="preserve"> 2014</w:t>
      </w:r>
    </w:p>
    <w:p w:rsidR="00205042" w:rsidRPr="006139D7" w:rsidRDefault="003C78F1" w:rsidP="00194837">
      <w:r>
        <w:t xml:space="preserve">Updated </w:t>
      </w:r>
      <w:r w:rsidR="00DF52AF">
        <w:t>7</w:t>
      </w:r>
      <w:r w:rsidR="00B94B0C">
        <w:t>/</w:t>
      </w:r>
      <w:r w:rsidR="00E5293F">
        <w:t>6</w:t>
      </w:r>
      <w:r w:rsidR="00C547CF">
        <w:t>/2015</w:t>
      </w:r>
    </w:p>
    <w:p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rsidR="00E5293F" w:rsidRDefault="00186E52">
          <w:pPr>
            <w:pStyle w:val="TOC1"/>
            <w:tabs>
              <w:tab w:val="right" w:leader="dot" w:pos="8630"/>
            </w:tabs>
            <w:rPr>
              <w:rFonts w:asciiTheme="minorHAnsi" w:eastAsiaTheme="minorEastAsia" w:hAnsiTheme="minorHAnsi" w:cstheme="minorBidi"/>
              <w:noProof/>
              <w:snapToGrid/>
              <w:sz w:val="22"/>
              <w:szCs w:val="22"/>
            </w:rPr>
          </w:pPr>
          <w:r w:rsidRPr="00483744">
            <w:rPr>
              <w:sz w:val="22"/>
              <w:szCs w:val="22"/>
            </w:rPr>
            <w:fldChar w:fldCharType="begin"/>
          </w:r>
          <w:r w:rsidR="00E24060" w:rsidRPr="00483744">
            <w:rPr>
              <w:sz w:val="22"/>
              <w:szCs w:val="22"/>
            </w:rPr>
            <w:instrText xml:space="preserve"> TOC \o "1-3" \h \z \u </w:instrText>
          </w:r>
          <w:r w:rsidRPr="00483744">
            <w:rPr>
              <w:sz w:val="22"/>
              <w:szCs w:val="22"/>
            </w:rPr>
            <w:fldChar w:fldCharType="separate"/>
          </w:r>
          <w:hyperlink w:anchor="_Toc423938203" w:history="1">
            <w:r w:rsidR="00E5293F" w:rsidRPr="005016D3">
              <w:rPr>
                <w:rStyle w:val="Hyperlink"/>
                <w:noProof/>
              </w:rPr>
              <w:t>INTRODUCTION</w:t>
            </w:r>
            <w:r w:rsidR="00E5293F">
              <w:rPr>
                <w:noProof/>
                <w:webHidden/>
              </w:rPr>
              <w:tab/>
            </w:r>
            <w:r w:rsidR="00E5293F">
              <w:rPr>
                <w:noProof/>
                <w:webHidden/>
              </w:rPr>
              <w:fldChar w:fldCharType="begin"/>
            </w:r>
            <w:r w:rsidR="00E5293F">
              <w:rPr>
                <w:noProof/>
                <w:webHidden/>
              </w:rPr>
              <w:instrText xml:space="preserve"> PAGEREF _Toc423938203 \h </w:instrText>
            </w:r>
            <w:r w:rsidR="00E5293F">
              <w:rPr>
                <w:noProof/>
                <w:webHidden/>
              </w:rPr>
            </w:r>
            <w:r w:rsidR="00E5293F">
              <w:rPr>
                <w:noProof/>
                <w:webHidden/>
              </w:rPr>
              <w:fldChar w:fldCharType="separate"/>
            </w:r>
            <w:r w:rsidR="00E5293F">
              <w:rPr>
                <w:noProof/>
                <w:webHidden/>
              </w:rPr>
              <w:t>1</w:t>
            </w:r>
            <w:r w:rsidR="00E5293F">
              <w:rPr>
                <w:noProof/>
                <w:webHidden/>
              </w:rPr>
              <w:fldChar w:fldCharType="end"/>
            </w:r>
          </w:hyperlink>
        </w:p>
        <w:p w:rsidR="00E5293F" w:rsidRDefault="00FB1CF2">
          <w:pPr>
            <w:pStyle w:val="TOC1"/>
            <w:tabs>
              <w:tab w:val="right" w:leader="dot" w:pos="8630"/>
            </w:tabs>
            <w:rPr>
              <w:rFonts w:asciiTheme="minorHAnsi" w:eastAsiaTheme="minorEastAsia" w:hAnsiTheme="minorHAnsi" w:cstheme="minorBidi"/>
              <w:noProof/>
              <w:snapToGrid/>
              <w:sz w:val="22"/>
              <w:szCs w:val="22"/>
            </w:rPr>
          </w:pPr>
          <w:hyperlink w:anchor="_Toc423938204" w:history="1">
            <w:r w:rsidR="00E5293F" w:rsidRPr="005016D3">
              <w:rPr>
                <w:rStyle w:val="Hyperlink"/>
                <w:noProof/>
              </w:rPr>
              <w:t>JUSTIFICATION</w:t>
            </w:r>
            <w:r w:rsidR="00E5293F">
              <w:rPr>
                <w:noProof/>
                <w:webHidden/>
              </w:rPr>
              <w:tab/>
            </w:r>
            <w:r w:rsidR="00E5293F">
              <w:rPr>
                <w:noProof/>
                <w:webHidden/>
              </w:rPr>
              <w:fldChar w:fldCharType="begin"/>
            </w:r>
            <w:r w:rsidR="00E5293F">
              <w:rPr>
                <w:noProof/>
                <w:webHidden/>
              </w:rPr>
              <w:instrText xml:space="preserve"> PAGEREF _Toc423938204 \h </w:instrText>
            </w:r>
            <w:r w:rsidR="00E5293F">
              <w:rPr>
                <w:noProof/>
                <w:webHidden/>
              </w:rPr>
            </w:r>
            <w:r w:rsidR="00E5293F">
              <w:rPr>
                <w:noProof/>
                <w:webHidden/>
              </w:rPr>
              <w:fldChar w:fldCharType="separate"/>
            </w:r>
            <w:r w:rsidR="00E5293F">
              <w:rPr>
                <w:noProof/>
                <w:webHidden/>
              </w:rPr>
              <w:t>3</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05" w:history="1">
            <w:r w:rsidR="00E5293F" w:rsidRPr="005016D3">
              <w:rPr>
                <w:rStyle w:val="Hyperlink"/>
                <w:noProof/>
              </w:rPr>
              <w:t>1.</w:t>
            </w:r>
            <w:r w:rsidR="00E5293F">
              <w:rPr>
                <w:rFonts w:asciiTheme="minorHAnsi" w:eastAsiaTheme="minorEastAsia" w:hAnsiTheme="minorHAnsi" w:cstheme="minorBidi"/>
                <w:noProof/>
                <w:snapToGrid/>
                <w:sz w:val="22"/>
                <w:szCs w:val="22"/>
              </w:rPr>
              <w:tab/>
            </w:r>
            <w:r w:rsidR="00E5293F" w:rsidRPr="005016D3">
              <w:rPr>
                <w:rStyle w:val="Hyperlink"/>
                <w:noProof/>
              </w:rPr>
              <w:t>Legal Authority</w:t>
            </w:r>
            <w:r w:rsidR="00E5293F">
              <w:rPr>
                <w:noProof/>
                <w:webHidden/>
              </w:rPr>
              <w:tab/>
            </w:r>
            <w:r w:rsidR="00E5293F">
              <w:rPr>
                <w:noProof/>
                <w:webHidden/>
              </w:rPr>
              <w:fldChar w:fldCharType="begin"/>
            </w:r>
            <w:r w:rsidR="00E5293F">
              <w:rPr>
                <w:noProof/>
                <w:webHidden/>
              </w:rPr>
              <w:instrText xml:space="preserve"> PAGEREF _Toc423938205 \h </w:instrText>
            </w:r>
            <w:r w:rsidR="00E5293F">
              <w:rPr>
                <w:noProof/>
                <w:webHidden/>
              </w:rPr>
            </w:r>
            <w:r w:rsidR="00E5293F">
              <w:rPr>
                <w:noProof/>
                <w:webHidden/>
              </w:rPr>
              <w:fldChar w:fldCharType="separate"/>
            </w:r>
            <w:r w:rsidR="00E5293F">
              <w:rPr>
                <w:noProof/>
                <w:webHidden/>
              </w:rPr>
              <w:t>3</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06" w:history="1">
            <w:r w:rsidR="00E5293F" w:rsidRPr="005016D3">
              <w:rPr>
                <w:rStyle w:val="Hyperlink"/>
                <w:noProof/>
              </w:rPr>
              <w:t>2.</w:t>
            </w:r>
            <w:r w:rsidR="00E5293F">
              <w:rPr>
                <w:rFonts w:asciiTheme="minorHAnsi" w:eastAsiaTheme="minorEastAsia" w:hAnsiTheme="minorHAnsi" w:cstheme="minorBidi"/>
                <w:noProof/>
                <w:snapToGrid/>
                <w:sz w:val="22"/>
                <w:szCs w:val="22"/>
              </w:rPr>
              <w:tab/>
            </w:r>
            <w:r w:rsidR="00E5293F" w:rsidRPr="005016D3">
              <w:rPr>
                <w:rStyle w:val="Hyperlink"/>
                <w:noProof/>
              </w:rPr>
              <w:t>Needs and Uses of Data</w:t>
            </w:r>
            <w:r w:rsidR="00E5293F">
              <w:rPr>
                <w:noProof/>
                <w:webHidden/>
              </w:rPr>
              <w:tab/>
            </w:r>
            <w:r w:rsidR="00E5293F">
              <w:rPr>
                <w:noProof/>
                <w:webHidden/>
              </w:rPr>
              <w:fldChar w:fldCharType="begin"/>
            </w:r>
            <w:r w:rsidR="00E5293F">
              <w:rPr>
                <w:noProof/>
                <w:webHidden/>
              </w:rPr>
              <w:instrText xml:space="preserve"> PAGEREF _Toc423938206 \h </w:instrText>
            </w:r>
            <w:r w:rsidR="00E5293F">
              <w:rPr>
                <w:noProof/>
                <w:webHidden/>
              </w:rPr>
            </w:r>
            <w:r w:rsidR="00E5293F">
              <w:rPr>
                <w:noProof/>
                <w:webHidden/>
              </w:rPr>
              <w:fldChar w:fldCharType="separate"/>
            </w:r>
            <w:r w:rsidR="00E5293F">
              <w:rPr>
                <w:noProof/>
                <w:webHidden/>
              </w:rPr>
              <w:t>5</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07" w:history="1">
            <w:r w:rsidR="00E5293F" w:rsidRPr="005016D3">
              <w:rPr>
                <w:rStyle w:val="Hyperlink"/>
                <w:noProof/>
              </w:rPr>
              <w:t>3.</w:t>
            </w:r>
            <w:r w:rsidR="00E5293F">
              <w:rPr>
                <w:rFonts w:asciiTheme="minorHAnsi" w:eastAsiaTheme="minorEastAsia" w:hAnsiTheme="minorHAnsi" w:cstheme="minorBidi"/>
                <w:noProof/>
                <w:snapToGrid/>
                <w:sz w:val="22"/>
                <w:szCs w:val="22"/>
              </w:rPr>
              <w:tab/>
            </w:r>
            <w:r w:rsidR="00E5293F" w:rsidRPr="005016D3">
              <w:rPr>
                <w:rStyle w:val="Hyperlink"/>
                <w:noProof/>
              </w:rPr>
              <w:t>Use of Information Technology</w:t>
            </w:r>
            <w:r w:rsidR="00E5293F">
              <w:rPr>
                <w:noProof/>
                <w:webHidden/>
              </w:rPr>
              <w:tab/>
            </w:r>
            <w:r w:rsidR="00E5293F">
              <w:rPr>
                <w:noProof/>
                <w:webHidden/>
              </w:rPr>
              <w:fldChar w:fldCharType="begin"/>
            </w:r>
            <w:r w:rsidR="00E5293F">
              <w:rPr>
                <w:noProof/>
                <w:webHidden/>
              </w:rPr>
              <w:instrText xml:space="preserve"> PAGEREF _Toc423938207 \h </w:instrText>
            </w:r>
            <w:r w:rsidR="00E5293F">
              <w:rPr>
                <w:noProof/>
                <w:webHidden/>
              </w:rPr>
            </w:r>
            <w:r w:rsidR="00E5293F">
              <w:rPr>
                <w:noProof/>
                <w:webHidden/>
              </w:rPr>
              <w:fldChar w:fldCharType="separate"/>
            </w:r>
            <w:r w:rsidR="00E5293F">
              <w:rPr>
                <w:noProof/>
                <w:webHidden/>
              </w:rPr>
              <w:t>7</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08" w:history="1">
            <w:r w:rsidR="00E5293F" w:rsidRPr="005016D3">
              <w:rPr>
                <w:rStyle w:val="Hyperlink"/>
                <w:noProof/>
              </w:rPr>
              <w:t>4.</w:t>
            </w:r>
            <w:r w:rsidR="00E5293F">
              <w:rPr>
                <w:rFonts w:asciiTheme="minorHAnsi" w:eastAsiaTheme="minorEastAsia" w:hAnsiTheme="minorHAnsi" w:cstheme="minorBidi"/>
                <w:noProof/>
                <w:snapToGrid/>
                <w:sz w:val="22"/>
                <w:szCs w:val="22"/>
              </w:rPr>
              <w:tab/>
            </w:r>
            <w:r w:rsidR="00E5293F" w:rsidRPr="005016D3">
              <w:rPr>
                <w:rStyle w:val="Hyperlink"/>
                <w:noProof/>
              </w:rPr>
              <w:t>Technical Considerations to Reduce Burden</w:t>
            </w:r>
            <w:r w:rsidR="00E5293F">
              <w:rPr>
                <w:noProof/>
                <w:webHidden/>
              </w:rPr>
              <w:tab/>
            </w:r>
            <w:r w:rsidR="00E5293F">
              <w:rPr>
                <w:noProof/>
                <w:webHidden/>
              </w:rPr>
              <w:fldChar w:fldCharType="begin"/>
            </w:r>
            <w:r w:rsidR="00E5293F">
              <w:rPr>
                <w:noProof/>
                <w:webHidden/>
              </w:rPr>
              <w:instrText xml:space="preserve"> PAGEREF _Toc423938208 \h </w:instrText>
            </w:r>
            <w:r w:rsidR="00E5293F">
              <w:rPr>
                <w:noProof/>
                <w:webHidden/>
              </w:rPr>
            </w:r>
            <w:r w:rsidR="00E5293F">
              <w:rPr>
                <w:noProof/>
                <w:webHidden/>
              </w:rPr>
              <w:fldChar w:fldCharType="separate"/>
            </w:r>
            <w:r w:rsidR="00E5293F">
              <w:rPr>
                <w:noProof/>
                <w:webHidden/>
              </w:rPr>
              <w:t>9</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09" w:history="1">
            <w:r w:rsidR="00E5293F" w:rsidRPr="005016D3">
              <w:rPr>
                <w:rStyle w:val="Hyperlink"/>
                <w:noProof/>
              </w:rPr>
              <w:t>5.</w:t>
            </w:r>
            <w:r w:rsidR="00E5293F">
              <w:rPr>
                <w:rFonts w:asciiTheme="minorHAnsi" w:eastAsiaTheme="minorEastAsia" w:hAnsiTheme="minorHAnsi" w:cstheme="minorBidi"/>
                <w:noProof/>
                <w:snapToGrid/>
                <w:sz w:val="22"/>
                <w:szCs w:val="22"/>
              </w:rPr>
              <w:tab/>
            </w:r>
            <w:r w:rsidR="00E5293F" w:rsidRPr="005016D3">
              <w:rPr>
                <w:rStyle w:val="Hyperlink"/>
                <w:noProof/>
              </w:rPr>
              <w:t>Efforts to Identify Duplication and Analysis of Similar Existing Information</w:t>
            </w:r>
            <w:r w:rsidR="00E5293F">
              <w:rPr>
                <w:noProof/>
                <w:webHidden/>
              </w:rPr>
              <w:tab/>
            </w:r>
            <w:r w:rsidR="00E5293F">
              <w:rPr>
                <w:noProof/>
                <w:webHidden/>
              </w:rPr>
              <w:fldChar w:fldCharType="begin"/>
            </w:r>
            <w:r w:rsidR="00E5293F">
              <w:rPr>
                <w:noProof/>
                <w:webHidden/>
              </w:rPr>
              <w:instrText xml:space="preserve"> PAGEREF _Toc423938209 \h </w:instrText>
            </w:r>
            <w:r w:rsidR="00E5293F">
              <w:rPr>
                <w:noProof/>
                <w:webHidden/>
              </w:rPr>
            </w:r>
            <w:r w:rsidR="00E5293F">
              <w:rPr>
                <w:noProof/>
                <w:webHidden/>
              </w:rPr>
              <w:fldChar w:fldCharType="separate"/>
            </w:r>
            <w:r w:rsidR="00E5293F">
              <w:rPr>
                <w:noProof/>
                <w:webHidden/>
              </w:rPr>
              <w:t>9</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0" w:history="1">
            <w:r w:rsidR="00E5293F" w:rsidRPr="005016D3">
              <w:rPr>
                <w:rStyle w:val="Hyperlink"/>
                <w:noProof/>
              </w:rPr>
              <w:t>6.</w:t>
            </w:r>
            <w:r w:rsidR="00E5293F">
              <w:rPr>
                <w:rFonts w:asciiTheme="minorHAnsi" w:eastAsiaTheme="minorEastAsia" w:hAnsiTheme="minorHAnsi" w:cstheme="minorBidi"/>
                <w:noProof/>
                <w:snapToGrid/>
                <w:sz w:val="22"/>
                <w:szCs w:val="22"/>
              </w:rPr>
              <w:tab/>
            </w:r>
            <w:r w:rsidR="00E5293F" w:rsidRPr="005016D3">
              <w:rPr>
                <w:rStyle w:val="Hyperlink"/>
                <w:noProof/>
              </w:rPr>
              <w:t>Burden Reduction for Small Businesses and Small Entities</w:t>
            </w:r>
            <w:r w:rsidR="00E5293F">
              <w:rPr>
                <w:noProof/>
                <w:webHidden/>
              </w:rPr>
              <w:tab/>
            </w:r>
            <w:r w:rsidR="00E5293F">
              <w:rPr>
                <w:noProof/>
                <w:webHidden/>
              </w:rPr>
              <w:fldChar w:fldCharType="begin"/>
            </w:r>
            <w:r w:rsidR="00E5293F">
              <w:rPr>
                <w:noProof/>
                <w:webHidden/>
              </w:rPr>
              <w:instrText xml:space="preserve"> PAGEREF _Toc423938210 \h </w:instrText>
            </w:r>
            <w:r w:rsidR="00E5293F">
              <w:rPr>
                <w:noProof/>
                <w:webHidden/>
              </w:rPr>
            </w:r>
            <w:r w:rsidR="00E5293F">
              <w:rPr>
                <w:noProof/>
                <w:webHidden/>
              </w:rPr>
              <w:fldChar w:fldCharType="separate"/>
            </w:r>
            <w:r w:rsidR="00E5293F">
              <w:rPr>
                <w:noProof/>
                <w:webHidden/>
              </w:rPr>
              <w:t>10</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1" w:history="1">
            <w:r w:rsidR="00E5293F" w:rsidRPr="005016D3">
              <w:rPr>
                <w:rStyle w:val="Hyperlink"/>
                <w:noProof/>
              </w:rPr>
              <w:t>7.</w:t>
            </w:r>
            <w:r w:rsidR="00E5293F">
              <w:rPr>
                <w:rFonts w:asciiTheme="minorHAnsi" w:eastAsiaTheme="minorEastAsia" w:hAnsiTheme="minorHAnsi" w:cstheme="minorBidi"/>
                <w:noProof/>
                <w:snapToGrid/>
                <w:sz w:val="22"/>
                <w:szCs w:val="22"/>
              </w:rPr>
              <w:tab/>
            </w:r>
            <w:r w:rsidR="00E5293F" w:rsidRPr="005016D3">
              <w:rPr>
                <w:rStyle w:val="Hyperlink"/>
                <w:noProof/>
              </w:rPr>
              <w:t>Consequences of Less Frequent Reporting</w:t>
            </w:r>
            <w:r w:rsidR="00E5293F">
              <w:rPr>
                <w:noProof/>
                <w:webHidden/>
              </w:rPr>
              <w:tab/>
            </w:r>
            <w:r w:rsidR="00E5293F">
              <w:rPr>
                <w:noProof/>
                <w:webHidden/>
              </w:rPr>
              <w:fldChar w:fldCharType="begin"/>
            </w:r>
            <w:r w:rsidR="00E5293F">
              <w:rPr>
                <w:noProof/>
                <w:webHidden/>
              </w:rPr>
              <w:instrText xml:space="preserve"> PAGEREF _Toc423938211 \h </w:instrText>
            </w:r>
            <w:r w:rsidR="00E5293F">
              <w:rPr>
                <w:noProof/>
                <w:webHidden/>
              </w:rPr>
            </w:r>
            <w:r w:rsidR="00E5293F">
              <w:rPr>
                <w:noProof/>
                <w:webHidden/>
              </w:rPr>
              <w:fldChar w:fldCharType="separate"/>
            </w:r>
            <w:r w:rsidR="00E5293F">
              <w:rPr>
                <w:noProof/>
                <w:webHidden/>
              </w:rPr>
              <w:t>10</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2" w:history="1">
            <w:r w:rsidR="00E5293F" w:rsidRPr="005016D3">
              <w:rPr>
                <w:rStyle w:val="Hyperlink"/>
                <w:noProof/>
              </w:rPr>
              <w:t>8.</w:t>
            </w:r>
            <w:r w:rsidR="00E5293F">
              <w:rPr>
                <w:rFonts w:asciiTheme="minorHAnsi" w:eastAsiaTheme="minorEastAsia" w:hAnsiTheme="minorHAnsi" w:cstheme="minorBidi"/>
                <w:noProof/>
                <w:snapToGrid/>
                <w:sz w:val="22"/>
                <w:szCs w:val="22"/>
              </w:rPr>
              <w:tab/>
            </w:r>
            <w:r w:rsidR="00E5293F" w:rsidRPr="005016D3">
              <w:rPr>
                <w:rStyle w:val="Hyperlink"/>
                <w:noProof/>
              </w:rPr>
              <w:t>Special Circumstances</w:t>
            </w:r>
            <w:r w:rsidR="00E5293F">
              <w:rPr>
                <w:noProof/>
                <w:webHidden/>
              </w:rPr>
              <w:tab/>
            </w:r>
            <w:r w:rsidR="00E5293F">
              <w:rPr>
                <w:noProof/>
                <w:webHidden/>
              </w:rPr>
              <w:fldChar w:fldCharType="begin"/>
            </w:r>
            <w:r w:rsidR="00E5293F">
              <w:rPr>
                <w:noProof/>
                <w:webHidden/>
              </w:rPr>
              <w:instrText xml:space="preserve"> PAGEREF _Toc423938212 \h </w:instrText>
            </w:r>
            <w:r w:rsidR="00E5293F">
              <w:rPr>
                <w:noProof/>
                <w:webHidden/>
              </w:rPr>
            </w:r>
            <w:r w:rsidR="00E5293F">
              <w:rPr>
                <w:noProof/>
                <w:webHidden/>
              </w:rPr>
              <w:fldChar w:fldCharType="separate"/>
            </w:r>
            <w:r w:rsidR="00E5293F">
              <w:rPr>
                <w:noProof/>
                <w:webHidden/>
              </w:rPr>
              <w:t>10</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3" w:history="1">
            <w:r w:rsidR="00E5293F" w:rsidRPr="005016D3">
              <w:rPr>
                <w:rStyle w:val="Hyperlink"/>
                <w:noProof/>
              </w:rPr>
              <w:t>9.</w:t>
            </w:r>
            <w:r w:rsidR="00E5293F">
              <w:rPr>
                <w:rFonts w:asciiTheme="minorHAnsi" w:eastAsiaTheme="minorEastAsia" w:hAnsiTheme="minorHAnsi" w:cstheme="minorBidi"/>
                <w:noProof/>
                <w:snapToGrid/>
                <w:sz w:val="22"/>
                <w:szCs w:val="22"/>
              </w:rPr>
              <w:tab/>
            </w:r>
            <w:r w:rsidR="00E5293F" w:rsidRPr="005016D3">
              <w:rPr>
                <w:rStyle w:val="Hyperlink"/>
                <w:noProof/>
              </w:rPr>
              <w:t>Summary of Consultation Outside EIA</w:t>
            </w:r>
            <w:r w:rsidR="00E5293F">
              <w:rPr>
                <w:noProof/>
                <w:webHidden/>
              </w:rPr>
              <w:tab/>
            </w:r>
            <w:r w:rsidR="00E5293F">
              <w:rPr>
                <w:noProof/>
                <w:webHidden/>
              </w:rPr>
              <w:fldChar w:fldCharType="begin"/>
            </w:r>
            <w:r w:rsidR="00E5293F">
              <w:rPr>
                <w:noProof/>
                <w:webHidden/>
              </w:rPr>
              <w:instrText xml:space="preserve"> PAGEREF _Toc423938213 \h </w:instrText>
            </w:r>
            <w:r w:rsidR="00E5293F">
              <w:rPr>
                <w:noProof/>
                <w:webHidden/>
              </w:rPr>
            </w:r>
            <w:r w:rsidR="00E5293F">
              <w:rPr>
                <w:noProof/>
                <w:webHidden/>
              </w:rPr>
              <w:fldChar w:fldCharType="separate"/>
            </w:r>
            <w:r w:rsidR="00E5293F">
              <w:rPr>
                <w:noProof/>
                <w:webHidden/>
              </w:rPr>
              <w:t>10</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4" w:history="1">
            <w:r w:rsidR="00E5293F" w:rsidRPr="005016D3">
              <w:rPr>
                <w:rStyle w:val="Hyperlink"/>
                <w:noProof/>
              </w:rPr>
              <w:t>10.</w:t>
            </w:r>
            <w:r w:rsidR="00E5293F">
              <w:rPr>
                <w:rFonts w:asciiTheme="minorHAnsi" w:eastAsiaTheme="minorEastAsia" w:hAnsiTheme="minorHAnsi" w:cstheme="minorBidi"/>
                <w:noProof/>
                <w:snapToGrid/>
                <w:sz w:val="22"/>
                <w:szCs w:val="22"/>
              </w:rPr>
              <w:tab/>
            </w:r>
            <w:r w:rsidR="00E5293F" w:rsidRPr="005016D3">
              <w:rPr>
                <w:rStyle w:val="Hyperlink"/>
                <w:noProof/>
              </w:rPr>
              <w:t>Remuneration</w:t>
            </w:r>
            <w:r w:rsidR="00E5293F">
              <w:rPr>
                <w:noProof/>
                <w:webHidden/>
              </w:rPr>
              <w:tab/>
            </w:r>
            <w:r w:rsidR="00E5293F">
              <w:rPr>
                <w:noProof/>
                <w:webHidden/>
              </w:rPr>
              <w:fldChar w:fldCharType="begin"/>
            </w:r>
            <w:r w:rsidR="00E5293F">
              <w:rPr>
                <w:noProof/>
                <w:webHidden/>
              </w:rPr>
              <w:instrText xml:space="preserve"> PAGEREF _Toc423938214 \h </w:instrText>
            </w:r>
            <w:r w:rsidR="00E5293F">
              <w:rPr>
                <w:noProof/>
                <w:webHidden/>
              </w:rPr>
            </w:r>
            <w:r w:rsidR="00E5293F">
              <w:rPr>
                <w:noProof/>
                <w:webHidden/>
              </w:rPr>
              <w:fldChar w:fldCharType="separate"/>
            </w:r>
            <w:r w:rsidR="00E5293F">
              <w:rPr>
                <w:noProof/>
                <w:webHidden/>
              </w:rPr>
              <w:t>11</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5" w:history="1">
            <w:r w:rsidR="00E5293F" w:rsidRPr="005016D3">
              <w:rPr>
                <w:rStyle w:val="Hyperlink"/>
                <w:noProof/>
              </w:rPr>
              <w:t>11.</w:t>
            </w:r>
            <w:r w:rsidR="00E5293F">
              <w:rPr>
                <w:rFonts w:asciiTheme="minorHAnsi" w:eastAsiaTheme="minorEastAsia" w:hAnsiTheme="minorHAnsi" w:cstheme="minorBidi"/>
                <w:noProof/>
                <w:snapToGrid/>
                <w:sz w:val="22"/>
                <w:szCs w:val="22"/>
              </w:rPr>
              <w:tab/>
            </w:r>
            <w:r w:rsidR="00E5293F" w:rsidRPr="005016D3">
              <w:rPr>
                <w:rStyle w:val="Hyperlink"/>
                <w:noProof/>
              </w:rPr>
              <w:t>Confidentiality Provisions</w:t>
            </w:r>
            <w:r w:rsidR="00E5293F">
              <w:rPr>
                <w:noProof/>
                <w:webHidden/>
              </w:rPr>
              <w:tab/>
            </w:r>
            <w:r w:rsidR="00E5293F">
              <w:rPr>
                <w:noProof/>
                <w:webHidden/>
              </w:rPr>
              <w:fldChar w:fldCharType="begin"/>
            </w:r>
            <w:r w:rsidR="00E5293F">
              <w:rPr>
                <w:noProof/>
                <w:webHidden/>
              </w:rPr>
              <w:instrText xml:space="preserve"> PAGEREF _Toc423938215 \h </w:instrText>
            </w:r>
            <w:r w:rsidR="00E5293F">
              <w:rPr>
                <w:noProof/>
                <w:webHidden/>
              </w:rPr>
            </w:r>
            <w:r w:rsidR="00E5293F">
              <w:rPr>
                <w:noProof/>
                <w:webHidden/>
              </w:rPr>
              <w:fldChar w:fldCharType="separate"/>
            </w:r>
            <w:r w:rsidR="00E5293F">
              <w:rPr>
                <w:noProof/>
                <w:webHidden/>
              </w:rPr>
              <w:t>11</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6" w:history="1">
            <w:r w:rsidR="00E5293F" w:rsidRPr="005016D3">
              <w:rPr>
                <w:rStyle w:val="Hyperlink"/>
                <w:noProof/>
              </w:rPr>
              <w:t>12.</w:t>
            </w:r>
            <w:r w:rsidR="00E5293F">
              <w:rPr>
                <w:rFonts w:asciiTheme="minorHAnsi" w:eastAsiaTheme="minorEastAsia" w:hAnsiTheme="minorHAnsi" w:cstheme="minorBidi"/>
                <w:noProof/>
                <w:snapToGrid/>
                <w:sz w:val="22"/>
                <w:szCs w:val="22"/>
              </w:rPr>
              <w:tab/>
            </w:r>
            <w:r w:rsidR="00E5293F" w:rsidRPr="005016D3">
              <w:rPr>
                <w:rStyle w:val="Hyperlink"/>
                <w:noProof/>
              </w:rPr>
              <w:t>Justification for Questions of a Sensitive Nature</w:t>
            </w:r>
            <w:r w:rsidR="00E5293F">
              <w:rPr>
                <w:noProof/>
                <w:webHidden/>
              </w:rPr>
              <w:tab/>
            </w:r>
            <w:r w:rsidR="00E5293F">
              <w:rPr>
                <w:noProof/>
                <w:webHidden/>
              </w:rPr>
              <w:fldChar w:fldCharType="begin"/>
            </w:r>
            <w:r w:rsidR="00E5293F">
              <w:rPr>
                <w:noProof/>
                <w:webHidden/>
              </w:rPr>
              <w:instrText xml:space="preserve"> PAGEREF _Toc423938216 \h </w:instrText>
            </w:r>
            <w:r w:rsidR="00E5293F">
              <w:rPr>
                <w:noProof/>
                <w:webHidden/>
              </w:rPr>
            </w:r>
            <w:r w:rsidR="00E5293F">
              <w:rPr>
                <w:noProof/>
                <w:webHidden/>
              </w:rPr>
              <w:fldChar w:fldCharType="separate"/>
            </w:r>
            <w:r w:rsidR="00E5293F">
              <w:rPr>
                <w:noProof/>
                <w:webHidden/>
              </w:rPr>
              <w:t>13</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7" w:history="1">
            <w:r w:rsidR="00E5293F" w:rsidRPr="005016D3">
              <w:rPr>
                <w:rStyle w:val="Hyperlink"/>
                <w:noProof/>
              </w:rPr>
              <w:t>13.</w:t>
            </w:r>
            <w:r w:rsidR="00E5293F">
              <w:rPr>
                <w:rFonts w:asciiTheme="minorHAnsi" w:eastAsiaTheme="minorEastAsia" w:hAnsiTheme="minorHAnsi" w:cstheme="minorBidi"/>
                <w:noProof/>
                <w:snapToGrid/>
                <w:sz w:val="22"/>
                <w:szCs w:val="22"/>
              </w:rPr>
              <w:tab/>
            </w:r>
            <w:r w:rsidR="00E5293F" w:rsidRPr="005016D3">
              <w:rPr>
                <w:rStyle w:val="Hyperlink"/>
                <w:noProof/>
              </w:rPr>
              <w:t>Estimates of Respondent Burden (Hours and Cost)</w:t>
            </w:r>
            <w:r w:rsidR="00E5293F">
              <w:rPr>
                <w:noProof/>
                <w:webHidden/>
              </w:rPr>
              <w:tab/>
            </w:r>
            <w:r w:rsidR="00E5293F">
              <w:rPr>
                <w:noProof/>
                <w:webHidden/>
              </w:rPr>
              <w:fldChar w:fldCharType="begin"/>
            </w:r>
            <w:r w:rsidR="00E5293F">
              <w:rPr>
                <w:noProof/>
                <w:webHidden/>
              </w:rPr>
              <w:instrText xml:space="preserve"> PAGEREF _Toc423938217 \h </w:instrText>
            </w:r>
            <w:r w:rsidR="00E5293F">
              <w:rPr>
                <w:noProof/>
                <w:webHidden/>
              </w:rPr>
            </w:r>
            <w:r w:rsidR="00E5293F">
              <w:rPr>
                <w:noProof/>
                <w:webHidden/>
              </w:rPr>
              <w:fldChar w:fldCharType="separate"/>
            </w:r>
            <w:r w:rsidR="00E5293F">
              <w:rPr>
                <w:noProof/>
                <w:webHidden/>
              </w:rPr>
              <w:t>13</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8" w:history="1">
            <w:r w:rsidR="00E5293F" w:rsidRPr="005016D3">
              <w:rPr>
                <w:rStyle w:val="Hyperlink"/>
                <w:noProof/>
              </w:rPr>
              <w:t>14.</w:t>
            </w:r>
            <w:r w:rsidR="00E5293F">
              <w:rPr>
                <w:rFonts w:asciiTheme="minorHAnsi" w:eastAsiaTheme="minorEastAsia" w:hAnsiTheme="minorHAnsi" w:cstheme="minorBidi"/>
                <w:noProof/>
                <w:snapToGrid/>
                <w:sz w:val="22"/>
                <w:szCs w:val="22"/>
              </w:rPr>
              <w:tab/>
            </w:r>
            <w:r w:rsidR="00E5293F" w:rsidRPr="005016D3">
              <w:rPr>
                <w:rStyle w:val="Hyperlink"/>
                <w:noProof/>
              </w:rPr>
              <w:t>Estimates of Cost Burden to Respondents</w:t>
            </w:r>
            <w:r w:rsidR="00E5293F">
              <w:rPr>
                <w:noProof/>
                <w:webHidden/>
              </w:rPr>
              <w:tab/>
            </w:r>
            <w:r w:rsidR="00E5293F">
              <w:rPr>
                <w:noProof/>
                <w:webHidden/>
              </w:rPr>
              <w:fldChar w:fldCharType="begin"/>
            </w:r>
            <w:r w:rsidR="00E5293F">
              <w:rPr>
                <w:noProof/>
                <w:webHidden/>
              </w:rPr>
              <w:instrText xml:space="preserve"> PAGEREF _Toc423938218 \h </w:instrText>
            </w:r>
            <w:r w:rsidR="00E5293F">
              <w:rPr>
                <w:noProof/>
                <w:webHidden/>
              </w:rPr>
            </w:r>
            <w:r w:rsidR="00E5293F">
              <w:rPr>
                <w:noProof/>
                <w:webHidden/>
              </w:rPr>
              <w:fldChar w:fldCharType="separate"/>
            </w:r>
            <w:r w:rsidR="00E5293F">
              <w:rPr>
                <w:noProof/>
                <w:webHidden/>
              </w:rPr>
              <w:t>14</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19" w:history="1">
            <w:r w:rsidR="00E5293F" w:rsidRPr="005016D3">
              <w:rPr>
                <w:rStyle w:val="Hyperlink"/>
                <w:noProof/>
              </w:rPr>
              <w:t>15.</w:t>
            </w:r>
            <w:r w:rsidR="00E5293F">
              <w:rPr>
                <w:rFonts w:asciiTheme="minorHAnsi" w:eastAsiaTheme="minorEastAsia" w:hAnsiTheme="minorHAnsi" w:cstheme="minorBidi"/>
                <w:noProof/>
                <w:snapToGrid/>
                <w:sz w:val="22"/>
                <w:szCs w:val="22"/>
              </w:rPr>
              <w:tab/>
            </w:r>
            <w:r w:rsidR="00E5293F" w:rsidRPr="005016D3">
              <w:rPr>
                <w:rStyle w:val="Hyperlink"/>
                <w:noProof/>
              </w:rPr>
              <w:t>Estimates of Annual Cost to the Government</w:t>
            </w:r>
            <w:r w:rsidR="00E5293F">
              <w:rPr>
                <w:noProof/>
                <w:webHidden/>
              </w:rPr>
              <w:tab/>
            </w:r>
            <w:r w:rsidR="00E5293F">
              <w:rPr>
                <w:noProof/>
                <w:webHidden/>
              </w:rPr>
              <w:fldChar w:fldCharType="begin"/>
            </w:r>
            <w:r w:rsidR="00E5293F">
              <w:rPr>
                <w:noProof/>
                <w:webHidden/>
              </w:rPr>
              <w:instrText xml:space="preserve"> PAGEREF _Toc423938219 \h </w:instrText>
            </w:r>
            <w:r w:rsidR="00E5293F">
              <w:rPr>
                <w:noProof/>
                <w:webHidden/>
              </w:rPr>
            </w:r>
            <w:r w:rsidR="00E5293F">
              <w:rPr>
                <w:noProof/>
                <w:webHidden/>
              </w:rPr>
              <w:fldChar w:fldCharType="separate"/>
            </w:r>
            <w:r w:rsidR="00E5293F">
              <w:rPr>
                <w:noProof/>
                <w:webHidden/>
              </w:rPr>
              <w:t>14</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20" w:history="1">
            <w:r w:rsidR="00E5293F" w:rsidRPr="005016D3">
              <w:rPr>
                <w:rStyle w:val="Hyperlink"/>
                <w:noProof/>
              </w:rPr>
              <w:t>16.</w:t>
            </w:r>
            <w:r w:rsidR="00E5293F">
              <w:rPr>
                <w:rFonts w:asciiTheme="minorHAnsi" w:eastAsiaTheme="minorEastAsia" w:hAnsiTheme="minorHAnsi" w:cstheme="minorBidi"/>
                <w:noProof/>
                <w:snapToGrid/>
                <w:sz w:val="22"/>
                <w:szCs w:val="22"/>
              </w:rPr>
              <w:tab/>
            </w:r>
            <w:r w:rsidR="00E5293F" w:rsidRPr="005016D3">
              <w:rPr>
                <w:rStyle w:val="Hyperlink"/>
                <w:noProof/>
              </w:rPr>
              <w:t>Changes in Burden to Respondents</w:t>
            </w:r>
            <w:r w:rsidR="00E5293F">
              <w:rPr>
                <w:noProof/>
                <w:webHidden/>
              </w:rPr>
              <w:tab/>
            </w:r>
            <w:r w:rsidR="00E5293F">
              <w:rPr>
                <w:noProof/>
                <w:webHidden/>
              </w:rPr>
              <w:fldChar w:fldCharType="begin"/>
            </w:r>
            <w:r w:rsidR="00E5293F">
              <w:rPr>
                <w:noProof/>
                <w:webHidden/>
              </w:rPr>
              <w:instrText xml:space="preserve"> PAGEREF _Toc423938220 \h </w:instrText>
            </w:r>
            <w:r w:rsidR="00E5293F">
              <w:rPr>
                <w:noProof/>
                <w:webHidden/>
              </w:rPr>
            </w:r>
            <w:r w:rsidR="00E5293F">
              <w:rPr>
                <w:noProof/>
                <w:webHidden/>
              </w:rPr>
              <w:fldChar w:fldCharType="separate"/>
            </w:r>
            <w:r w:rsidR="00E5293F">
              <w:rPr>
                <w:noProof/>
                <w:webHidden/>
              </w:rPr>
              <w:t>15</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21" w:history="1">
            <w:r w:rsidR="00E5293F" w:rsidRPr="005016D3">
              <w:rPr>
                <w:rStyle w:val="Hyperlink"/>
                <w:noProof/>
              </w:rPr>
              <w:t>17.</w:t>
            </w:r>
            <w:r w:rsidR="00E5293F">
              <w:rPr>
                <w:rFonts w:asciiTheme="minorHAnsi" w:eastAsiaTheme="minorEastAsia" w:hAnsiTheme="minorHAnsi" w:cstheme="minorBidi"/>
                <w:noProof/>
                <w:snapToGrid/>
                <w:sz w:val="22"/>
                <w:szCs w:val="22"/>
              </w:rPr>
              <w:tab/>
            </w:r>
            <w:r w:rsidR="00E5293F" w:rsidRPr="005016D3">
              <w:rPr>
                <w:rStyle w:val="Hyperlink"/>
                <w:noProof/>
              </w:rPr>
              <w:t>Data Collection and Publication</w:t>
            </w:r>
            <w:r w:rsidR="00E5293F">
              <w:rPr>
                <w:noProof/>
                <w:webHidden/>
              </w:rPr>
              <w:tab/>
            </w:r>
            <w:r w:rsidR="00E5293F">
              <w:rPr>
                <w:noProof/>
                <w:webHidden/>
              </w:rPr>
              <w:fldChar w:fldCharType="begin"/>
            </w:r>
            <w:r w:rsidR="00E5293F">
              <w:rPr>
                <w:noProof/>
                <w:webHidden/>
              </w:rPr>
              <w:instrText xml:space="preserve"> PAGEREF _Toc423938221 \h </w:instrText>
            </w:r>
            <w:r w:rsidR="00E5293F">
              <w:rPr>
                <w:noProof/>
                <w:webHidden/>
              </w:rPr>
            </w:r>
            <w:r w:rsidR="00E5293F">
              <w:rPr>
                <w:noProof/>
                <w:webHidden/>
              </w:rPr>
              <w:fldChar w:fldCharType="separate"/>
            </w:r>
            <w:r w:rsidR="00E5293F">
              <w:rPr>
                <w:noProof/>
                <w:webHidden/>
              </w:rPr>
              <w:t>16</w:t>
            </w:r>
            <w:r w:rsidR="00E5293F">
              <w:rPr>
                <w:noProof/>
                <w:webHidden/>
              </w:rPr>
              <w:fldChar w:fldCharType="end"/>
            </w:r>
          </w:hyperlink>
        </w:p>
        <w:p w:rsidR="00E5293F" w:rsidRDefault="00FB1CF2">
          <w:pPr>
            <w:pStyle w:val="TOC2"/>
            <w:rPr>
              <w:rFonts w:asciiTheme="minorHAnsi" w:eastAsiaTheme="minorEastAsia" w:hAnsiTheme="minorHAnsi" w:cstheme="minorBidi"/>
              <w:noProof/>
              <w:snapToGrid/>
              <w:sz w:val="22"/>
              <w:szCs w:val="22"/>
            </w:rPr>
          </w:pPr>
          <w:hyperlink w:anchor="_Toc423938222" w:history="1">
            <w:r w:rsidR="00E5293F" w:rsidRPr="005016D3">
              <w:rPr>
                <w:rStyle w:val="Hyperlink"/>
                <w:noProof/>
              </w:rPr>
              <w:t>18.</w:t>
            </w:r>
            <w:r w:rsidR="00E5293F">
              <w:rPr>
                <w:rFonts w:asciiTheme="minorHAnsi" w:eastAsiaTheme="minorEastAsia" w:hAnsiTheme="minorHAnsi" w:cstheme="minorBidi"/>
                <w:noProof/>
                <w:snapToGrid/>
                <w:sz w:val="22"/>
                <w:szCs w:val="22"/>
              </w:rPr>
              <w:tab/>
            </w:r>
            <w:r w:rsidR="00E5293F" w:rsidRPr="005016D3">
              <w:rPr>
                <w:rStyle w:val="Hyperlink"/>
                <w:noProof/>
              </w:rPr>
              <w:t>Display of Expiration Date and OMB Number</w:t>
            </w:r>
            <w:r w:rsidR="00E5293F">
              <w:rPr>
                <w:noProof/>
                <w:webHidden/>
              </w:rPr>
              <w:tab/>
            </w:r>
            <w:r w:rsidR="00E5293F">
              <w:rPr>
                <w:noProof/>
                <w:webHidden/>
              </w:rPr>
              <w:fldChar w:fldCharType="begin"/>
            </w:r>
            <w:r w:rsidR="00E5293F">
              <w:rPr>
                <w:noProof/>
                <w:webHidden/>
              </w:rPr>
              <w:instrText xml:space="preserve"> PAGEREF _Toc423938222 \h </w:instrText>
            </w:r>
            <w:r w:rsidR="00E5293F">
              <w:rPr>
                <w:noProof/>
                <w:webHidden/>
              </w:rPr>
            </w:r>
            <w:r w:rsidR="00E5293F">
              <w:rPr>
                <w:noProof/>
                <w:webHidden/>
              </w:rPr>
              <w:fldChar w:fldCharType="separate"/>
            </w:r>
            <w:r w:rsidR="00E5293F">
              <w:rPr>
                <w:noProof/>
                <w:webHidden/>
              </w:rPr>
              <w:t>16</w:t>
            </w:r>
            <w:r w:rsidR="00E5293F">
              <w:rPr>
                <w:noProof/>
                <w:webHidden/>
              </w:rPr>
              <w:fldChar w:fldCharType="end"/>
            </w:r>
          </w:hyperlink>
        </w:p>
        <w:p w:rsidR="009828E8" w:rsidRDefault="00186E52" w:rsidP="009828E8">
          <w:pPr>
            <w:rPr>
              <w:b/>
            </w:rPr>
            <w:sectPr w:rsidR="009828E8" w:rsidSect="004D42C7">
              <w:headerReference w:type="default" r:id="rId10"/>
              <w:footerReference w:type="default" r:id="rId11"/>
              <w:endnotePr>
                <w:numFmt w:val="decimal"/>
              </w:endnotePr>
              <w:pgSz w:w="12240" w:h="15840"/>
              <w:pgMar w:top="1440" w:right="1800" w:bottom="1440" w:left="1800" w:header="1440" w:footer="1440" w:gutter="0"/>
              <w:cols w:space="720"/>
              <w:noEndnote/>
              <w:docGrid w:linePitch="326"/>
            </w:sectPr>
          </w:pPr>
          <w:r w:rsidRPr="00483744">
            <w:rPr>
              <w:sz w:val="22"/>
              <w:szCs w:val="22"/>
            </w:rPr>
            <w:fldChar w:fldCharType="end"/>
          </w:r>
        </w:p>
      </w:sdtContent>
    </w:sdt>
    <w:p w:rsidR="009C54E6" w:rsidRPr="00EE0F76" w:rsidRDefault="003B6A8F" w:rsidP="0051520C">
      <w:pPr>
        <w:pStyle w:val="Heading1"/>
      </w:pPr>
      <w:bookmarkStart w:id="0" w:name="_Toc409011774"/>
      <w:bookmarkStart w:id="1" w:name="_Toc409769420"/>
      <w:bookmarkStart w:id="2" w:name="_Toc423938203"/>
      <w:r w:rsidRPr="00EE0F76">
        <w:lastRenderedPageBreak/>
        <w:t>INTRODUCTION</w:t>
      </w:r>
      <w:bookmarkEnd w:id="0"/>
      <w:bookmarkEnd w:id="1"/>
      <w:bookmarkEnd w:id="2"/>
    </w:p>
    <w:p w:rsidR="009C54E6" w:rsidRPr="0066284D" w:rsidRDefault="009C54E6" w:rsidP="00B97952">
      <w:pPr>
        <w:spacing w:before="120" w:beforeAutospacing="0"/>
        <w:rPr>
          <w:szCs w:val="24"/>
        </w:rPr>
      </w:pPr>
      <w:r w:rsidRPr="0066284D">
        <w:rPr>
          <w:szCs w:val="24"/>
        </w:rPr>
        <w:t xml:space="preserve">The U.S. Energy Information Administration (EIA) of the U.S. Department of Energy (DOE) is required to publish, and otherwise make </w:t>
      </w:r>
      <w:r w:rsidR="0066284D">
        <w:rPr>
          <w:szCs w:val="24"/>
        </w:rPr>
        <w:t xml:space="preserve">available </w:t>
      </w:r>
      <w:r w:rsidRPr="0066284D">
        <w:rPr>
          <w:szCs w:val="24"/>
        </w:rPr>
        <w:t xml:space="preserve">independent, high-quality statistical data to </w:t>
      </w:r>
      <w:r w:rsidR="00C84F62">
        <w:rPr>
          <w:szCs w:val="24"/>
        </w:rPr>
        <w:t>f</w:t>
      </w:r>
      <w:r w:rsidRPr="0066284D">
        <w:rPr>
          <w:szCs w:val="24"/>
        </w:rPr>
        <w:t xml:space="preserve">ederal government agencies, </w:t>
      </w:r>
      <w:r w:rsidR="00C84F62">
        <w:rPr>
          <w:szCs w:val="24"/>
        </w:rPr>
        <w:t>s</w:t>
      </w:r>
      <w:r w:rsidRPr="0066284D">
        <w:rPr>
          <w:szCs w:val="24"/>
        </w:rPr>
        <w:t xml:space="preserve">tate and local governments, the </w:t>
      </w:r>
      <w:r w:rsidR="008C0047">
        <w:rPr>
          <w:szCs w:val="24"/>
        </w:rPr>
        <w:t>nuclear and uranium</w:t>
      </w:r>
      <w:r w:rsidRPr="0066284D">
        <w:rPr>
          <w:szCs w:val="24"/>
        </w:rPr>
        <w:t xml:space="preserve"> ind</w:t>
      </w:r>
      <w:r w:rsidR="0066284D">
        <w:rPr>
          <w:szCs w:val="24"/>
        </w:rPr>
        <w:t>ustry, academic researchers, and the general public.</w:t>
      </w:r>
    </w:p>
    <w:p w:rsidR="00C121F1" w:rsidRPr="003B6A8F" w:rsidRDefault="009C54E6" w:rsidP="00B97952">
      <w:pPr>
        <w:spacing w:after="0" w:afterAutospacing="0"/>
        <w:rPr>
          <w:szCs w:val="24"/>
        </w:rPr>
      </w:pPr>
      <w:r w:rsidRPr="0066284D">
        <w:rPr>
          <w:szCs w:val="24"/>
        </w:rPr>
        <w:t xml:space="preserve">To meet this obligation, EIA’s Office of </w:t>
      </w:r>
      <w:r w:rsidR="00A45C45">
        <w:rPr>
          <w:szCs w:val="24"/>
        </w:rPr>
        <w:t>Electricity, Renewables, and Uranium Statistics</w:t>
      </w:r>
      <w:r w:rsidRPr="0066284D">
        <w:rPr>
          <w:szCs w:val="24"/>
        </w:rPr>
        <w:t xml:space="preserve"> (</w:t>
      </w:r>
      <w:r w:rsidR="00A45C45">
        <w:rPr>
          <w:szCs w:val="24"/>
        </w:rPr>
        <w:t>ERUS</w:t>
      </w:r>
      <w:r w:rsidRPr="0066284D">
        <w:rPr>
          <w:szCs w:val="24"/>
        </w:rPr>
        <w:t xml:space="preserve">) maintains the </w:t>
      </w:r>
      <w:r w:rsidR="008C0047">
        <w:rPr>
          <w:szCs w:val="24"/>
        </w:rPr>
        <w:t>Uranium Data Program</w:t>
      </w:r>
      <w:r w:rsidRPr="0066284D">
        <w:rPr>
          <w:szCs w:val="24"/>
        </w:rPr>
        <w:t xml:space="preserve"> (</w:t>
      </w:r>
      <w:r w:rsidR="008C0047">
        <w:rPr>
          <w:szCs w:val="24"/>
        </w:rPr>
        <w:t>UDP</w:t>
      </w:r>
      <w:r w:rsidRPr="0066284D">
        <w:rPr>
          <w:szCs w:val="24"/>
        </w:rPr>
        <w:t xml:space="preserve">) to collect data on </w:t>
      </w:r>
      <w:r w:rsidR="00CF049D">
        <w:rPr>
          <w:szCs w:val="24"/>
        </w:rPr>
        <w:t>uranium</w:t>
      </w:r>
      <w:r w:rsidRPr="0066284D">
        <w:rPr>
          <w:szCs w:val="24"/>
        </w:rPr>
        <w:t xml:space="preserve">.  The </w:t>
      </w:r>
      <w:r w:rsidR="00CF049D">
        <w:rPr>
          <w:szCs w:val="24"/>
        </w:rPr>
        <w:t>UDP</w:t>
      </w:r>
      <w:r w:rsidRPr="0066284D">
        <w:rPr>
          <w:szCs w:val="24"/>
        </w:rPr>
        <w:t xml:space="preserve"> is comprised of </w:t>
      </w:r>
      <w:r w:rsidR="00CF049D">
        <w:rPr>
          <w:szCs w:val="24"/>
        </w:rPr>
        <w:t>a quarterly survey and two annual</w:t>
      </w:r>
      <w:r w:rsidRPr="0066284D">
        <w:rPr>
          <w:szCs w:val="24"/>
        </w:rPr>
        <w:t xml:space="preserve"> surveys</w:t>
      </w:r>
      <w:r w:rsidR="00A42C14">
        <w:rPr>
          <w:szCs w:val="24"/>
        </w:rPr>
        <w:t xml:space="preserve">.  </w:t>
      </w:r>
      <w:r w:rsidR="00C121F1" w:rsidRPr="0066284D">
        <w:rPr>
          <w:szCs w:val="24"/>
        </w:rPr>
        <w:t xml:space="preserve">The following surveys make up the </w:t>
      </w:r>
      <w:r w:rsidR="000A747E">
        <w:rPr>
          <w:szCs w:val="24"/>
        </w:rPr>
        <w:t>UDP</w:t>
      </w:r>
      <w:r w:rsidR="00B97952">
        <w:rPr>
          <w:szCs w:val="24"/>
        </w:rPr>
        <w:t>:</w:t>
      </w:r>
    </w:p>
    <w:p w:rsidR="00A42C14" w:rsidRDefault="00A42C14" w:rsidP="0062318C">
      <w:pPr>
        <w:pStyle w:val="ListParagraph"/>
        <w:numPr>
          <w:ilvl w:val="0"/>
          <w:numId w:val="16"/>
        </w:numPr>
        <w:spacing w:before="120" w:beforeAutospacing="0" w:after="0" w:afterAutospacing="0"/>
        <w:contextualSpacing w:val="0"/>
        <w:jc w:val="left"/>
        <w:rPr>
          <w:sz w:val="24"/>
          <w:szCs w:val="24"/>
        </w:rPr>
      </w:pPr>
      <w:r>
        <w:rPr>
          <w:sz w:val="24"/>
          <w:szCs w:val="24"/>
        </w:rPr>
        <w:t>Form EIA-</w:t>
      </w:r>
      <w:r w:rsidR="000A747E">
        <w:rPr>
          <w:sz w:val="24"/>
          <w:szCs w:val="24"/>
        </w:rPr>
        <w:t>851A</w:t>
      </w:r>
      <w:r>
        <w:rPr>
          <w:sz w:val="24"/>
          <w:szCs w:val="24"/>
        </w:rPr>
        <w:t>, “</w:t>
      </w:r>
      <w:r w:rsidR="000A747E">
        <w:rPr>
          <w:sz w:val="24"/>
          <w:szCs w:val="24"/>
        </w:rPr>
        <w:t>Domestic Uranium Production Report (Annual)</w:t>
      </w:r>
      <w:r>
        <w:rPr>
          <w:sz w:val="24"/>
          <w:szCs w:val="24"/>
        </w:rPr>
        <w:t>”</w:t>
      </w:r>
    </w:p>
    <w:p w:rsidR="00C121F1" w:rsidRDefault="00C121F1" w:rsidP="0062318C">
      <w:pPr>
        <w:pStyle w:val="ListParagraph"/>
        <w:numPr>
          <w:ilvl w:val="0"/>
          <w:numId w:val="16"/>
        </w:numPr>
        <w:spacing w:before="120" w:beforeAutospacing="0" w:after="0" w:afterAutospacing="0"/>
        <w:contextualSpacing w:val="0"/>
        <w:jc w:val="left"/>
        <w:rPr>
          <w:sz w:val="24"/>
          <w:szCs w:val="24"/>
        </w:rPr>
      </w:pPr>
      <w:r w:rsidRPr="006D6F0D">
        <w:rPr>
          <w:sz w:val="24"/>
          <w:szCs w:val="24"/>
        </w:rPr>
        <w:t>Form EIA-8</w:t>
      </w:r>
      <w:r w:rsidR="000A747E">
        <w:rPr>
          <w:sz w:val="24"/>
          <w:szCs w:val="24"/>
        </w:rPr>
        <w:t>51Q</w:t>
      </w:r>
      <w:r w:rsidRPr="006D6F0D">
        <w:rPr>
          <w:sz w:val="24"/>
          <w:szCs w:val="24"/>
        </w:rPr>
        <w:t xml:space="preserve">, </w:t>
      </w:r>
      <w:r w:rsidR="00B97952" w:rsidRPr="006D6F0D">
        <w:rPr>
          <w:sz w:val="24"/>
          <w:szCs w:val="24"/>
        </w:rPr>
        <w:t>“</w:t>
      </w:r>
      <w:r w:rsidR="00FA5E45">
        <w:rPr>
          <w:sz w:val="24"/>
          <w:szCs w:val="24"/>
        </w:rPr>
        <w:t>Domestic Uranium Production Report (Quarterly)</w:t>
      </w:r>
      <w:r w:rsidR="00B97952" w:rsidRPr="006D6F0D">
        <w:rPr>
          <w:sz w:val="24"/>
          <w:szCs w:val="24"/>
        </w:rPr>
        <w:t>”</w:t>
      </w:r>
    </w:p>
    <w:p w:rsidR="007A0D66" w:rsidRPr="006D6F0D" w:rsidRDefault="007A0D66" w:rsidP="0062318C">
      <w:pPr>
        <w:pStyle w:val="ListParagraph"/>
        <w:numPr>
          <w:ilvl w:val="0"/>
          <w:numId w:val="16"/>
        </w:numPr>
        <w:spacing w:before="120" w:beforeAutospacing="0" w:after="0" w:afterAutospacing="0"/>
        <w:contextualSpacing w:val="0"/>
        <w:jc w:val="left"/>
        <w:rPr>
          <w:sz w:val="24"/>
          <w:szCs w:val="24"/>
        </w:rPr>
      </w:pPr>
      <w:r w:rsidRPr="006D6F0D">
        <w:rPr>
          <w:sz w:val="24"/>
          <w:szCs w:val="24"/>
        </w:rPr>
        <w:t>Form EIA-8</w:t>
      </w:r>
      <w:r>
        <w:rPr>
          <w:sz w:val="24"/>
          <w:szCs w:val="24"/>
        </w:rPr>
        <w:t>58</w:t>
      </w:r>
      <w:r w:rsidRPr="006D6F0D">
        <w:rPr>
          <w:sz w:val="24"/>
          <w:szCs w:val="24"/>
        </w:rPr>
        <w:t>, “</w:t>
      </w:r>
      <w:r>
        <w:rPr>
          <w:sz w:val="24"/>
          <w:szCs w:val="24"/>
        </w:rPr>
        <w:t>Uranium Marketing Annual Survey</w:t>
      </w:r>
      <w:r w:rsidRPr="006D6F0D">
        <w:rPr>
          <w:sz w:val="24"/>
          <w:szCs w:val="24"/>
        </w:rPr>
        <w:t>”</w:t>
      </w:r>
    </w:p>
    <w:p w:rsidR="008754F9" w:rsidRDefault="009C54E6" w:rsidP="001D5499">
      <w:pPr>
        <w:rPr>
          <w:szCs w:val="24"/>
        </w:rPr>
      </w:pPr>
      <w:r w:rsidRPr="0066284D">
        <w:rPr>
          <w:szCs w:val="24"/>
        </w:rPr>
        <w:t xml:space="preserve">EIA </w:t>
      </w:r>
      <w:r w:rsidR="0051520C">
        <w:rPr>
          <w:szCs w:val="24"/>
        </w:rPr>
        <w:t>proposes</w:t>
      </w:r>
      <w:r w:rsidR="0051520C" w:rsidRPr="0066284D">
        <w:rPr>
          <w:szCs w:val="24"/>
        </w:rPr>
        <w:t xml:space="preserve"> </w:t>
      </w:r>
      <w:r w:rsidRPr="0066284D">
        <w:rPr>
          <w:szCs w:val="24"/>
        </w:rPr>
        <w:t xml:space="preserve">extension of </w:t>
      </w:r>
      <w:r w:rsidR="00B97952">
        <w:rPr>
          <w:szCs w:val="24"/>
        </w:rPr>
        <w:t xml:space="preserve">the </w:t>
      </w:r>
      <w:r w:rsidR="001D5499">
        <w:rPr>
          <w:szCs w:val="24"/>
        </w:rPr>
        <w:t>UPD</w:t>
      </w:r>
      <w:r w:rsidR="00B97952">
        <w:rPr>
          <w:szCs w:val="24"/>
        </w:rPr>
        <w:t xml:space="preserve"> </w:t>
      </w:r>
      <w:r w:rsidRPr="0066284D">
        <w:rPr>
          <w:szCs w:val="24"/>
        </w:rPr>
        <w:t xml:space="preserve">surveys </w:t>
      </w:r>
      <w:r w:rsidR="00217361">
        <w:rPr>
          <w:szCs w:val="24"/>
        </w:rPr>
        <w:t>for three years</w:t>
      </w:r>
      <w:r w:rsidR="001D5499">
        <w:rPr>
          <w:szCs w:val="24"/>
        </w:rPr>
        <w:t>.</w:t>
      </w:r>
    </w:p>
    <w:p w:rsidR="001D5499" w:rsidRDefault="00CD3375" w:rsidP="001D5499">
      <w:r w:rsidRPr="00405E3B">
        <w:t>EIA requests a three-year clearance to continue the use of Form EIA-851A “Domes</w:t>
      </w:r>
      <w:r>
        <w:t>tic Uranium Production Report (</w:t>
      </w:r>
      <w:r w:rsidRPr="00405E3B">
        <w:t>Annual</w:t>
      </w:r>
      <w:r>
        <w:t>)</w:t>
      </w:r>
      <w:r w:rsidRPr="00405E3B">
        <w:t xml:space="preserve">,” Form EIA-851Q “Domestic Uranium Production Report </w:t>
      </w:r>
      <w:r>
        <w:t>(</w:t>
      </w:r>
      <w:r w:rsidRPr="00405E3B">
        <w:t>Quarterly</w:t>
      </w:r>
      <w:r>
        <w:t>)</w:t>
      </w:r>
      <w:r w:rsidRPr="00405E3B">
        <w:t>,” and the Form EIA-858 “Uranium Marketing Annual Survey</w:t>
      </w:r>
      <w:r w:rsidR="00FB1CF2">
        <w:t>.</w:t>
      </w:r>
      <w:bookmarkStart w:id="3" w:name="_GoBack"/>
      <w:bookmarkEnd w:id="3"/>
      <w:r w:rsidRPr="00405E3B">
        <w:t>”</w:t>
      </w:r>
      <w:r w:rsidR="00916A07">
        <w:t xml:space="preserve"> </w:t>
      </w:r>
      <w:r w:rsidRPr="00405E3B">
        <w:t>These forms were previously cleared under OMB number 1905-0160</w:t>
      </w:r>
      <w:r>
        <w:t xml:space="preserve"> </w:t>
      </w:r>
      <w:r w:rsidRPr="00405E3B">
        <w:t>through 1</w:t>
      </w:r>
      <w:r>
        <w:t>2</w:t>
      </w:r>
      <w:r w:rsidRPr="00405E3B">
        <w:t>/31/201</w:t>
      </w:r>
      <w:r>
        <w:t>5</w:t>
      </w:r>
      <w:r w:rsidRPr="00405E3B">
        <w:t>.</w:t>
      </w:r>
    </w:p>
    <w:p w:rsidR="008754F9" w:rsidRDefault="008754F9" w:rsidP="001D5499">
      <w:r w:rsidRPr="00405E3B">
        <w:t xml:space="preserve">EIA </w:t>
      </w:r>
      <w:r>
        <w:t xml:space="preserve">is </w:t>
      </w:r>
      <w:r w:rsidRPr="00405E3B">
        <w:t>propos</w:t>
      </w:r>
      <w:r>
        <w:t>ing</w:t>
      </w:r>
      <w:r w:rsidRPr="00405E3B">
        <w:t xml:space="preserve"> </w:t>
      </w:r>
      <w:r>
        <w:t>no</w:t>
      </w:r>
      <w:r w:rsidRPr="00405E3B">
        <w:t xml:space="preserve"> changes to </w:t>
      </w:r>
      <w:r>
        <w:t>Form EIA-851A, Form EIA-851Q, Form EIA-858</w:t>
      </w:r>
      <w:r w:rsidR="007D56C9">
        <w:t xml:space="preserve"> </w:t>
      </w:r>
      <w:r w:rsidRPr="00405E3B">
        <w:t>and its reporting instructions</w:t>
      </w:r>
      <w:r>
        <w:t>.</w:t>
      </w:r>
      <w:r w:rsidR="00916A07">
        <w:t xml:space="preserve"> </w:t>
      </w:r>
      <w:r w:rsidR="00916A07" w:rsidRPr="00405E3B">
        <w:t xml:space="preserve">EIA </w:t>
      </w:r>
      <w:r w:rsidR="00916A07">
        <w:t xml:space="preserve">is </w:t>
      </w:r>
      <w:r w:rsidR="00916A07" w:rsidRPr="00405E3B">
        <w:t>propos</w:t>
      </w:r>
      <w:r w:rsidR="00916A07">
        <w:t>ing</w:t>
      </w:r>
      <w:r w:rsidR="00916A07" w:rsidRPr="00405E3B">
        <w:t xml:space="preserve"> </w:t>
      </w:r>
      <w:r w:rsidR="00916A07">
        <w:t xml:space="preserve">a </w:t>
      </w:r>
      <w:r w:rsidR="00916A07" w:rsidRPr="00405E3B">
        <w:t xml:space="preserve">minor change to </w:t>
      </w:r>
      <w:r w:rsidR="00916A07">
        <w:t xml:space="preserve">the reporting instructions of </w:t>
      </w:r>
      <w:r w:rsidR="00916A07" w:rsidRPr="00405E3B">
        <w:t>Form EIA-851</w:t>
      </w:r>
      <w:r w:rsidR="00916A07">
        <w:t>A and Form EIA-851</w:t>
      </w:r>
      <w:r w:rsidR="00916A07" w:rsidRPr="00405E3B">
        <w:t>Q</w:t>
      </w:r>
      <w:r w:rsidR="00916A07">
        <w:t xml:space="preserve">. </w:t>
      </w:r>
      <w:r>
        <w:t xml:space="preserve">This proposal was published </w:t>
      </w:r>
      <w:r w:rsidRPr="00405E3B">
        <w:t xml:space="preserve">on </w:t>
      </w:r>
      <w:r w:rsidR="00E5306C">
        <w:t>February 11, 2015</w:t>
      </w:r>
      <w:r w:rsidRPr="00405E3B">
        <w:t xml:space="preserve"> in </w:t>
      </w:r>
      <w:r>
        <w:t xml:space="preserve">the </w:t>
      </w:r>
      <w:r w:rsidRPr="00D8615C">
        <w:rPr>
          <w:i/>
        </w:rPr>
        <w:t>Federal Register</w:t>
      </w:r>
      <w:r w:rsidRPr="00405E3B">
        <w:t xml:space="preserve"> Vol. </w:t>
      </w:r>
      <w:r w:rsidR="00AC2090">
        <w:t>80</w:t>
      </w:r>
      <w:r w:rsidRPr="00405E3B">
        <w:t xml:space="preserve">, No. </w:t>
      </w:r>
      <w:r w:rsidR="00AC2090">
        <w:t>28</w:t>
      </w:r>
      <w:r w:rsidRPr="00405E3B">
        <w:t xml:space="preserve">. </w:t>
      </w:r>
      <w:r w:rsidR="00BF3804" w:rsidRPr="00632103">
        <w:rPr>
          <w:b/>
        </w:rPr>
        <w:t xml:space="preserve">There were no public comments </w:t>
      </w:r>
      <w:r w:rsidR="00333468" w:rsidRPr="00632103">
        <w:rPr>
          <w:b/>
        </w:rPr>
        <w:t>to</w:t>
      </w:r>
      <w:r w:rsidR="00BF3804" w:rsidRPr="00632103">
        <w:rPr>
          <w:b/>
        </w:rPr>
        <w:t xml:space="preserve"> the proposal.</w:t>
      </w:r>
    </w:p>
    <w:p w:rsidR="00960096" w:rsidRPr="00565747" w:rsidRDefault="0089245E" w:rsidP="00960096">
      <w:pPr>
        <w:rPr>
          <w:szCs w:val="24"/>
        </w:rPr>
      </w:pPr>
      <w:r w:rsidRPr="00960096">
        <w:rPr>
          <w:szCs w:val="24"/>
        </w:rPr>
        <w:t>For Form EIA-851A and Form EIA-851Q, EIA proposes a</w:t>
      </w:r>
      <w:r w:rsidR="00960096" w:rsidRPr="00960096">
        <w:rPr>
          <w:szCs w:val="24"/>
        </w:rPr>
        <w:t xml:space="preserve"> </w:t>
      </w:r>
      <w:r w:rsidRPr="00960096">
        <w:rPr>
          <w:szCs w:val="24"/>
        </w:rPr>
        <w:t>minor change</w:t>
      </w:r>
      <w:r w:rsidR="00960096">
        <w:rPr>
          <w:szCs w:val="24"/>
        </w:rPr>
        <w:t xml:space="preserve"> </w:t>
      </w:r>
      <w:r w:rsidR="00960096" w:rsidRPr="00D13EAF">
        <w:rPr>
          <w:szCs w:val="24"/>
        </w:rPr>
        <w:t>(highlighted below)</w:t>
      </w:r>
      <w:r w:rsidRPr="00960096">
        <w:rPr>
          <w:szCs w:val="24"/>
        </w:rPr>
        <w:t xml:space="preserve"> to </w:t>
      </w:r>
      <w:r w:rsidR="00960096">
        <w:rPr>
          <w:szCs w:val="24"/>
        </w:rPr>
        <w:t xml:space="preserve">include </w:t>
      </w:r>
      <w:r w:rsidR="009009AD">
        <w:rPr>
          <w:szCs w:val="24"/>
        </w:rPr>
        <w:t xml:space="preserve">the rated capacity reporting of </w:t>
      </w:r>
      <w:r w:rsidR="00960096">
        <w:rPr>
          <w:szCs w:val="24"/>
        </w:rPr>
        <w:t>heap leach facilities</w:t>
      </w:r>
      <w:r w:rsidRPr="00960096">
        <w:rPr>
          <w:szCs w:val="24"/>
        </w:rPr>
        <w:t xml:space="preserve"> </w:t>
      </w:r>
      <w:r w:rsidR="009009AD">
        <w:rPr>
          <w:szCs w:val="24"/>
        </w:rPr>
        <w:t xml:space="preserve">in </w:t>
      </w:r>
      <w:r w:rsidRPr="00960096">
        <w:rPr>
          <w:szCs w:val="24"/>
        </w:rPr>
        <w:t xml:space="preserve">the instructions for Item 1, Facility </w:t>
      </w:r>
      <w:r w:rsidRPr="00565747">
        <w:rPr>
          <w:szCs w:val="24"/>
        </w:rPr>
        <w:t>Information.</w:t>
      </w:r>
    </w:p>
    <w:p w:rsidR="00960096" w:rsidRPr="00565747" w:rsidRDefault="001E3C62" w:rsidP="00960096">
      <w:pPr>
        <w:rPr>
          <w:szCs w:val="24"/>
        </w:rPr>
      </w:pPr>
      <w:r w:rsidRPr="00565747">
        <w:rPr>
          <w:b/>
          <w:szCs w:val="24"/>
        </w:rPr>
        <w:tab/>
      </w:r>
      <w:r w:rsidR="00960096" w:rsidRPr="00565747">
        <w:rPr>
          <w:b/>
          <w:szCs w:val="24"/>
        </w:rPr>
        <w:t>Form EIA-851A, Item 1 instructions:</w:t>
      </w:r>
      <w:r w:rsidR="00960096" w:rsidRPr="00565747">
        <w:rPr>
          <w:szCs w:val="24"/>
        </w:rPr>
        <w:t xml:space="preserve"> Provide information about the uranium concentrate processing facility. Rated capacity is synonymous with nominal capacity and nameplate capacity. Indicate operating status at end of the Survey Year. </w:t>
      </w:r>
      <w:r w:rsidR="00960096" w:rsidRPr="00565747">
        <w:rPr>
          <w:color w:val="000000"/>
          <w:szCs w:val="24"/>
        </w:rPr>
        <w:t xml:space="preserve"> </w:t>
      </w:r>
      <w:r w:rsidR="009D0BED" w:rsidRPr="00565747">
        <w:rPr>
          <w:szCs w:val="24"/>
        </w:rPr>
        <w:t xml:space="preserve">Report rated capacity in short tons of ore per day for conventional mills and heap leach facilities.  For in-situ leach </w:t>
      </w:r>
      <w:r w:rsidR="00FF76EB" w:rsidRPr="00565747">
        <w:rPr>
          <w:szCs w:val="24"/>
        </w:rPr>
        <w:t xml:space="preserve">and uranium by-product </w:t>
      </w:r>
      <w:r w:rsidR="009D0BED" w:rsidRPr="00565747">
        <w:rPr>
          <w:szCs w:val="24"/>
        </w:rPr>
        <w:t>facilities, report rated capacity in pounds U</w:t>
      </w:r>
      <w:r w:rsidR="009D0BED" w:rsidRPr="00565747">
        <w:rPr>
          <w:szCs w:val="24"/>
          <w:vertAlign w:val="subscript"/>
        </w:rPr>
        <w:t>3</w:t>
      </w:r>
      <w:r w:rsidR="009D0BED" w:rsidRPr="00565747">
        <w:rPr>
          <w:szCs w:val="24"/>
        </w:rPr>
        <w:t>O</w:t>
      </w:r>
      <w:r w:rsidR="009D0BED" w:rsidRPr="00565747">
        <w:rPr>
          <w:szCs w:val="24"/>
          <w:vertAlign w:val="subscript"/>
        </w:rPr>
        <w:t>8</w:t>
      </w:r>
      <w:r w:rsidR="009D0BED" w:rsidRPr="00565747">
        <w:rPr>
          <w:szCs w:val="24"/>
        </w:rPr>
        <w:t xml:space="preserve"> per year.</w:t>
      </w:r>
    </w:p>
    <w:p w:rsidR="003162D7" w:rsidRPr="00180FE1" w:rsidRDefault="003162D7" w:rsidP="00960096">
      <w:pPr>
        <w:rPr>
          <w:szCs w:val="24"/>
        </w:rPr>
      </w:pPr>
      <w:r w:rsidRPr="00565747">
        <w:rPr>
          <w:b/>
          <w:szCs w:val="24"/>
        </w:rPr>
        <w:tab/>
        <w:t>Form EIA-851Q, Item 1 instructions:</w:t>
      </w:r>
      <w:r w:rsidRPr="00565747">
        <w:rPr>
          <w:szCs w:val="24"/>
        </w:rPr>
        <w:t xml:space="preserve"> </w:t>
      </w:r>
      <w:r w:rsidR="00C8567F" w:rsidRPr="00565747">
        <w:rPr>
          <w:color w:val="000000"/>
        </w:rPr>
        <w:t>Provide information about the uranium concentrate mill/processing facility.  Rated capacity is synonymous with nominal capacity and nameplate capacity</w:t>
      </w:r>
      <w:r w:rsidR="00C8567F" w:rsidRPr="00565747">
        <w:rPr>
          <w:color w:val="000000"/>
          <w:szCs w:val="24"/>
        </w:rPr>
        <w:t xml:space="preserve">. Indicate operating status at end of the Survey Quarter. </w:t>
      </w:r>
      <w:r w:rsidR="009D0BED" w:rsidRPr="00565747">
        <w:rPr>
          <w:szCs w:val="24"/>
        </w:rPr>
        <w:t xml:space="preserve">Report rated capacity in short </w:t>
      </w:r>
      <w:r w:rsidR="009D0BED" w:rsidRPr="00565747">
        <w:rPr>
          <w:szCs w:val="24"/>
        </w:rPr>
        <w:lastRenderedPageBreak/>
        <w:t xml:space="preserve">tons of ore per day for conventional mills and heap leach facilities.  </w:t>
      </w:r>
      <w:r w:rsidR="00745C4B" w:rsidRPr="00565747">
        <w:rPr>
          <w:szCs w:val="24"/>
        </w:rPr>
        <w:t>For in-situ leach and uranium by-product facilities, report rated capacity in pounds U</w:t>
      </w:r>
      <w:r w:rsidR="00745C4B" w:rsidRPr="00565747">
        <w:rPr>
          <w:szCs w:val="24"/>
          <w:vertAlign w:val="subscript"/>
        </w:rPr>
        <w:t>3</w:t>
      </w:r>
      <w:r w:rsidR="00745C4B" w:rsidRPr="00565747">
        <w:rPr>
          <w:szCs w:val="24"/>
        </w:rPr>
        <w:t>O</w:t>
      </w:r>
      <w:r w:rsidR="00745C4B" w:rsidRPr="00565747">
        <w:rPr>
          <w:szCs w:val="24"/>
          <w:vertAlign w:val="subscript"/>
        </w:rPr>
        <w:t>8</w:t>
      </w:r>
      <w:r w:rsidR="00745C4B" w:rsidRPr="00565747">
        <w:rPr>
          <w:szCs w:val="24"/>
        </w:rPr>
        <w:t xml:space="preserve"> per year.</w:t>
      </w:r>
    </w:p>
    <w:p w:rsidR="00394988" w:rsidRPr="0072225C" w:rsidRDefault="00A86664" w:rsidP="004619E3">
      <w:pPr>
        <w:spacing w:before="480" w:beforeAutospacing="0" w:after="0" w:afterAutospacing="0"/>
        <w:rPr>
          <w:b/>
          <w:szCs w:val="24"/>
        </w:rPr>
      </w:pPr>
      <w:r w:rsidRPr="0072225C">
        <w:rPr>
          <w:b/>
          <w:szCs w:val="24"/>
        </w:rPr>
        <w:t xml:space="preserve">Background </w:t>
      </w:r>
      <w:r w:rsidR="00394988" w:rsidRPr="0072225C">
        <w:rPr>
          <w:b/>
          <w:szCs w:val="24"/>
        </w:rPr>
        <w:t xml:space="preserve">of the </w:t>
      </w:r>
      <w:r w:rsidR="00983139" w:rsidRPr="0072225C">
        <w:rPr>
          <w:b/>
          <w:szCs w:val="24"/>
        </w:rPr>
        <w:t>Uranium Data Program</w:t>
      </w:r>
    </w:p>
    <w:p w:rsidR="00F26855" w:rsidRPr="00F26855" w:rsidRDefault="00F26855" w:rsidP="00727483">
      <w:pPr>
        <w:rPr>
          <w:rFonts w:eastAsiaTheme="minorEastAsia"/>
          <w:snapToGrid/>
        </w:rPr>
      </w:pPr>
      <w:r w:rsidRPr="00F26855">
        <w:rPr>
          <w:rFonts w:eastAsiaTheme="minorEastAsia"/>
          <w:snapToGrid/>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F26855" w:rsidRPr="00F26855" w:rsidRDefault="00F26855" w:rsidP="00727483">
      <w:pPr>
        <w:rPr>
          <w:rFonts w:eastAsiaTheme="minorEastAsia"/>
          <w:snapToGrid/>
        </w:rPr>
      </w:pPr>
      <w:r w:rsidRPr="00F26855">
        <w:rPr>
          <w:rFonts w:eastAsiaTheme="minorEastAsia"/>
          <w:snapToGrid/>
        </w:rPr>
        <w:t>The uranium surveys discussed herein constitute EIA’s Uranium Data Program (UDP) and are part of EIA’s comprehensive energy data program.  The surveys are intended to collect high-quality statistical data on domestic uranium supply and demand activities, including production, exploration and development, trade, and purchases and sales available to the U.S.  The audience for these data includes the Congress, other Executive Branch agencies, the nuclear industry, and the public in general.  The specific surveys are:</w:t>
      </w:r>
    </w:p>
    <w:p w:rsidR="00F26855" w:rsidRPr="00727483" w:rsidRDefault="00F26855" w:rsidP="00727483">
      <w:pPr>
        <w:pStyle w:val="ListParagraph"/>
        <w:numPr>
          <w:ilvl w:val="0"/>
          <w:numId w:val="18"/>
        </w:numPr>
        <w:rPr>
          <w:rFonts w:eastAsiaTheme="minorEastAsia"/>
          <w:sz w:val="24"/>
          <w:szCs w:val="24"/>
        </w:rPr>
      </w:pPr>
      <w:r w:rsidRPr="00727483">
        <w:rPr>
          <w:rFonts w:eastAsiaTheme="minorEastAsia"/>
          <w:sz w:val="24"/>
          <w:szCs w:val="24"/>
        </w:rPr>
        <w:t xml:space="preserve">Form EIA-851A “Domestic Uranium Production Report (Annual)” </w:t>
      </w:r>
      <w:r w:rsidRPr="00727483">
        <w:rPr>
          <w:rFonts w:eastAsia="Calibri"/>
          <w:sz w:val="24"/>
          <w:szCs w:val="24"/>
        </w:rPr>
        <w:t>collects annual data from the U.S. uranium industry on uranium milling and processing, uranium feed sources, uranium mining, employment, drilling, expenditures, and uranium reserves.</w:t>
      </w:r>
    </w:p>
    <w:p w:rsidR="00F26855" w:rsidRPr="00727483" w:rsidRDefault="00F26855" w:rsidP="00727483">
      <w:pPr>
        <w:pStyle w:val="ListParagraph"/>
        <w:numPr>
          <w:ilvl w:val="0"/>
          <w:numId w:val="18"/>
        </w:numPr>
        <w:rPr>
          <w:rFonts w:eastAsiaTheme="minorEastAsia"/>
          <w:sz w:val="24"/>
          <w:szCs w:val="24"/>
        </w:rPr>
      </w:pPr>
      <w:r w:rsidRPr="00727483">
        <w:rPr>
          <w:rFonts w:eastAsiaTheme="minorEastAsia"/>
          <w:sz w:val="24"/>
          <w:szCs w:val="24"/>
        </w:rPr>
        <w:t xml:space="preserve">Form EIA-851Q “Domestic Uranium Production Report (Quarterly)” </w:t>
      </w:r>
      <w:r w:rsidRPr="00727483">
        <w:rPr>
          <w:rFonts w:eastAsia="Calibri"/>
          <w:sz w:val="24"/>
          <w:szCs w:val="24"/>
        </w:rPr>
        <w:t>collects monthly data from the U.S. uranium industry on uranium production and sources (mines and other) on a quarterly basis.</w:t>
      </w:r>
    </w:p>
    <w:p w:rsidR="00F26855" w:rsidRPr="00727483" w:rsidRDefault="00F26855" w:rsidP="00727483">
      <w:pPr>
        <w:pStyle w:val="ListParagraph"/>
        <w:numPr>
          <w:ilvl w:val="0"/>
          <w:numId w:val="18"/>
        </w:numPr>
        <w:rPr>
          <w:rFonts w:eastAsiaTheme="minorEastAsia"/>
          <w:sz w:val="24"/>
          <w:szCs w:val="24"/>
        </w:rPr>
      </w:pPr>
      <w:r w:rsidRPr="00727483">
        <w:rPr>
          <w:rFonts w:eastAsiaTheme="minorEastAsia"/>
          <w:sz w:val="24"/>
          <w:szCs w:val="24"/>
        </w:rPr>
        <w:t xml:space="preserve">Form EIA-858 “Uranium Marketing Annual Survey” </w:t>
      </w:r>
      <w:r w:rsidRPr="00727483">
        <w:rPr>
          <w:rFonts w:eastAsia="Calibri"/>
          <w:sz w:val="24"/>
          <w:szCs w:val="24"/>
        </w:rPr>
        <w:t>collects annual data from the U.S. uranium market on uranium contracts and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rsidR="004619E3" w:rsidRDefault="00F26855" w:rsidP="00727483">
      <w:pPr>
        <w:rPr>
          <w:szCs w:val="24"/>
        </w:rPr>
      </w:pPr>
      <w:r w:rsidRPr="00F26855">
        <w:rPr>
          <w:rFonts w:eastAsiaTheme="minorEastAsia"/>
          <w:snapToGrid/>
        </w:rPr>
        <w:t>The information collection proposed in this supporting statement has been reviewed in light of applicable EIA information quality guidelines.  It has been determined that the information would be collected, maintained, and used in a manner consistent with the Office of Management and Budget (OMB), DOE, and EIA information quality guidelines.</w:t>
      </w:r>
      <w:r w:rsidR="00326A0F">
        <w:rPr>
          <w:szCs w:val="24"/>
        </w:rPr>
        <w:t xml:space="preserve"> </w:t>
      </w:r>
      <w:r w:rsidR="00872064" w:rsidRPr="009B6754">
        <w:rPr>
          <w:szCs w:val="24"/>
        </w:rPr>
        <w:t xml:space="preserve">Data from </w:t>
      </w:r>
      <w:r w:rsidR="00326A0F">
        <w:rPr>
          <w:szCs w:val="24"/>
        </w:rPr>
        <w:t>UDP</w:t>
      </w:r>
      <w:r w:rsidR="00872064" w:rsidRPr="009B6754">
        <w:rPr>
          <w:szCs w:val="24"/>
        </w:rPr>
        <w:t xml:space="preserve"> surveys appear in EIA reports</w:t>
      </w:r>
      <w:r w:rsidR="004619E3">
        <w:rPr>
          <w:szCs w:val="24"/>
        </w:rPr>
        <w:t>,</w:t>
      </w:r>
      <w:r w:rsidR="00872064" w:rsidRPr="009B6754">
        <w:rPr>
          <w:szCs w:val="24"/>
        </w:rPr>
        <w:t xml:space="preserve"> including the</w:t>
      </w:r>
      <w:r w:rsidR="004619E3">
        <w:rPr>
          <w:szCs w:val="24"/>
        </w:rPr>
        <w:t xml:space="preserve"> following</w:t>
      </w:r>
      <w:r w:rsidR="005A6D09">
        <w:rPr>
          <w:szCs w:val="24"/>
        </w:rPr>
        <w:t>:</w:t>
      </w:r>
    </w:p>
    <w:p w:rsidR="001A0BDF" w:rsidRPr="001A0BDF" w:rsidRDefault="00326A0F" w:rsidP="00727483">
      <w:pPr>
        <w:pStyle w:val="ListParagraph"/>
        <w:numPr>
          <w:ilvl w:val="0"/>
          <w:numId w:val="19"/>
        </w:numPr>
        <w:jc w:val="left"/>
        <w:rPr>
          <w:sz w:val="24"/>
          <w:szCs w:val="24"/>
        </w:rPr>
      </w:pPr>
      <w:r w:rsidRPr="00727483">
        <w:rPr>
          <w:rFonts w:eastAsiaTheme="minorEastAsia"/>
          <w:i/>
          <w:sz w:val="24"/>
          <w:szCs w:val="24"/>
        </w:rPr>
        <w:t>Domestic Uranium Production Report – Annual</w:t>
      </w:r>
    </w:p>
    <w:p w:rsidR="004619E3" w:rsidRPr="00727483" w:rsidRDefault="00FB1CF2" w:rsidP="001A0BDF">
      <w:pPr>
        <w:pStyle w:val="ListParagraph"/>
        <w:numPr>
          <w:ilvl w:val="1"/>
          <w:numId w:val="19"/>
        </w:numPr>
        <w:jc w:val="left"/>
        <w:rPr>
          <w:sz w:val="24"/>
          <w:szCs w:val="24"/>
        </w:rPr>
      </w:pPr>
      <w:hyperlink r:id="rId12" w:history="1">
        <w:r w:rsidR="00326A0F" w:rsidRPr="00727483">
          <w:rPr>
            <w:rFonts w:eastAsiaTheme="minorEastAsia"/>
            <w:color w:val="0000FF"/>
            <w:sz w:val="24"/>
            <w:szCs w:val="24"/>
            <w:u w:val="single"/>
          </w:rPr>
          <w:t>http://www.eia.gov/uranium/production/annual/</w:t>
        </w:r>
      </w:hyperlink>
    </w:p>
    <w:p w:rsidR="001A0BDF" w:rsidRPr="001A0BDF" w:rsidRDefault="00326A0F" w:rsidP="00727483">
      <w:pPr>
        <w:pStyle w:val="ListParagraph"/>
        <w:numPr>
          <w:ilvl w:val="0"/>
          <w:numId w:val="19"/>
        </w:numPr>
        <w:jc w:val="left"/>
        <w:rPr>
          <w:sz w:val="24"/>
          <w:szCs w:val="24"/>
        </w:rPr>
      </w:pPr>
      <w:r w:rsidRPr="00727483">
        <w:rPr>
          <w:rFonts w:eastAsiaTheme="minorEastAsia"/>
          <w:i/>
          <w:sz w:val="24"/>
          <w:szCs w:val="24"/>
        </w:rPr>
        <w:t xml:space="preserve">Domestic Uranium Production Report </w:t>
      </w:r>
      <w:r w:rsidR="001A0BDF">
        <w:rPr>
          <w:rFonts w:eastAsiaTheme="minorEastAsia"/>
          <w:i/>
          <w:sz w:val="24"/>
          <w:szCs w:val="24"/>
        </w:rPr>
        <w:t>–</w:t>
      </w:r>
      <w:r w:rsidRPr="00727483">
        <w:rPr>
          <w:rFonts w:eastAsiaTheme="minorEastAsia"/>
          <w:i/>
          <w:sz w:val="24"/>
          <w:szCs w:val="24"/>
        </w:rPr>
        <w:t xml:space="preserve"> Quarterly</w:t>
      </w:r>
    </w:p>
    <w:p w:rsidR="004619E3" w:rsidRPr="00727483" w:rsidRDefault="00FB1CF2" w:rsidP="001A0BDF">
      <w:pPr>
        <w:pStyle w:val="ListParagraph"/>
        <w:numPr>
          <w:ilvl w:val="1"/>
          <w:numId w:val="19"/>
        </w:numPr>
        <w:jc w:val="left"/>
        <w:rPr>
          <w:sz w:val="24"/>
          <w:szCs w:val="24"/>
        </w:rPr>
      </w:pPr>
      <w:hyperlink r:id="rId13" w:history="1">
        <w:r w:rsidR="00326A0F" w:rsidRPr="00727483">
          <w:rPr>
            <w:rFonts w:eastAsiaTheme="minorEastAsia"/>
            <w:color w:val="0000FF"/>
            <w:sz w:val="24"/>
            <w:szCs w:val="24"/>
            <w:u w:val="single"/>
          </w:rPr>
          <w:t>http://www.eia.gov/uranium/production/quarterly/</w:t>
        </w:r>
      </w:hyperlink>
    </w:p>
    <w:p w:rsidR="001A0BDF" w:rsidRPr="001A0BDF" w:rsidRDefault="00A03766" w:rsidP="00727483">
      <w:pPr>
        <w:pStyle w:val="ListParagraph"/>
        <w:numPr>
          <w:ilvl w:val="0"/>
          <w:numId w:val="19"/>
        </w:numPr>
        <w:jc w:val="left"/>
        <w:rPr>
          <w:sz w:val="24"/>
          <w:szCs w:val="24"/>
        </w:rPr>
      </w:pPr>
      <w:r w:rsidRPr="001A0BDF">
        <w:rPr>
          <w:rFonts w:eastAsiaTheme="minorEastAsia"/>
          <w:i/>
          <w:sz w:val="24"/>
          <w:szCs w:val="24"/>
        </w:rPr>
        <w:lastRenderedPageBreak/>
        <w:t>Uranium Marketing Annual Repor</w:t>
      </w:r>
      <w:r w:rsidR="00727483" w:rsidRPr="001A0BDF">
        <w:rPr>
          <w:rFonts w:eastAsiaTheme="minorEastAsia"/>
          <w:i/>
          <w:sz w:val="24"/>
          <w:szCs w:val="24"/>
        </w:rPr>
        <w:t>t</w:t>
      </w:r>
    </w:p>
    <w:p w:rsidR="00A03766" w:rsidRPr="001A0BDF" w:rsidRDefault="00A03766" w:rsidP="001A0BDF">
      <w:pPr>
        <w:pStyle w:val="ListParagraph"/>
        <w:numPr>
          <w:ilvl w:val="1"/>
          <w:numId w:val="19"/>
        </w:numPr>
        <w:jc w:val="left"/>
        <w:rPr>
          <w:sz w:val="24"/>
          <w:szCs w:val="24"/>
        </w:rPr>
      </w:pPr>
      <w:r w:rsidRPr="001A0BDF">
        <w:rPr>
          <w:rFonts w:eastAsiaTheme="minorEastAsia"/>
          <w:i/>
          <w:sz w:val="24"/>
          <w:szCs w:val="24"/>
        </w:rPr>
        <w:t xml:space="preserve"> </w:t>
      </w:r>
      <w:hyperlink r:id="rId14" w:history="1">
        <w:r w:rsidRPr="001A0BDF">
          <w:rPr>
            <w:rStyle w:val="Hyperlink"/>
            <w:sz w:val="24"/>
            <w:szCs w:val="24"/>
          </w:rPr>
          <w:t>http://www.eia.gov/uranium/marketing/</w:t>
        </w:r>
      </w:hyperlink>
    </w:p>
    <w:p w:rsidR="000C651B" w:rsidRPr="003B6A8F" w:rsidRDefault="003B6A8F" w:rsidP="003B6A8F">
      <w:pPr>
        <w:pStyle w:val="Heading1"/>
      </w:pPr>
      <w:bookmarkStart w:id="4" w:name="_Toc409011775"/>
      <w:bookmarkStart w:id="5" w:name="_Toc409769421"/>
      <w:bookmarkStart w:id="6" w:name="_Toc423938204"/>
      <w:r w:rsidRPr="003B6A8F">
        <w:t>JUSTIFICATION</w:t>
      </w:r>
      <w:bookmarkEnd w:id="4"/>
      <w:bookmarkEnd w:id="5"/>
      <w:bookmarkEnd w:id="6"/>
    </w:p>
    <w:p w:rsidR="000C651B" w:rsidRPr="0072225C" w:rsidRDefault="003B6A8F" w:rsidP="00F44A02">
      <w:pPr>
        <w:pStyle w:val="Heading2"/>
      </w:pPr>
      <w:bookmarkStart w:id="7" w:name="_Toc409011776"/>
      <w:bookmarkStart w:id="8" w:name="_Toc409769422"/>
      <w:bookmarkStart w:id="9" w:name="_Toc423938205"/>
      <w:r w:rsidRPr="0072225C">
        <w:t>Legal Authority</w:t>
      </w:r>
      <w:bookmarkEnd w:id="7"/>
      <w:bookmarkEnd w:id="8"/>
      <w:bookmarkEnd w:id="9"/>
    </w:p>
    <w:p w:rsidR="000C651B" w:rsidRDefault="000C651B" w:rsidP="00876CB7">
      <w:pPr>
        <w:spacing w:after="0" w:afterAutospacing="0"/>
      </w:pPr>
      <w:r>
        <w:t>The authority for these data collections is provided by the following provisions:</w:t>
      </w:r>
    </w:p>
    <w:p w:rsidR="000C651B" w:rsidRDefault="003D691C" w:rsidP="00876CB7">
      <w:pPr>
        <w:spacing w:before="120" w:beforeAutospacing="0" w:after="0" w:afterAutospacing="0"/>
      </w:pPr>
      <w:r>
        <w:t xml:space="preserve">15 U.S.C. §772(b), </w:t>
      </w:r>
      <w:r w:rsidR="003553C2">
        <w:t xml:space="preserve">Section 13(b) </w:t>
      </w:r>
      <w:r>
        <w:t>of the Federal Energy Administration Act of 1974 (FEA Act), Public Law 93-275, outlines the types of individuals subject to the information collection authority delegated to the [Secretary] and the general parameters of the type of data which can be required.  Section 772(b) states:</w:t>
      </w:r>
    </w:p>
    <w:p w:rsidR="000C651B" w:rsidRDefault="000C651B" w:rsidP="00876CB7">
      <w:pPr>
        <w:spacing w:before="120" w:beforeAutospacing="0"/>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rsidR="003D691C" w:rsidRDefault="003D691C" w:rsidP="00876CB7">
      <w:pPr>
        <w:spacing w:after="0" w:afterAutospacing="0"/>
      </w:pPr>
      <w:r>
        <w:t xml:space="preserve">The functions of the FEA Act are set forth in 15 U.S.C. §764(b), of the FEA Act, which states that the Administrator shall, to the extent he is authorized by Section 764(a) of the FEA Act, </w:t>
      </w:r>
    </w:p>
    <w:p w:rsidR="000C651B" w:rsidRPr="00A61F75" w:rsidRDefault="000A4D98" w:rsidP="00876CB7">
      <w:pPr>
        <w:spacing w:before="120" w:beforeAutospacing="0" w:after="0" w:afterAutospacing="0"/>
        <w:ind w:left="720"/>
        <w:rPr>
          <w:color w:val="000000"/>
        </w:rPr>
      </w:pPr>
      <w:r>
        <w:t>“</w:t>
      </w:r>
      <w:r w:rsidR="000C651B">
        <w:t>(2) assess the adequacy of energy resources to meet demands in the immediate and longer range future for all sectors of the economy and for the general public</w:t>
      </w:r>
      <w:r w:rsidR="000C651B" w:rsidRPr="00A61F75">
        <w:rPr>
          <w:color w:val="000000"/>
        </w:rPr>
        <w:t>;</w:t>
      </w:r>
      <w:r w:rsidR="00876CB7" w:rsidRPr="00876CB7">
        <w:t xml:space="preserve"> </w:t>
      </w:r>
      <w:r w:rsidR="00876CB7">
        <w:t>...</w:t>
      </w:r>
    </w:p>
    <w:p w:rsidR="000C651B" w:rsidRDefault="000C651B" w:rsidP="00876CB7">
      <w:pPr>
        <w:spacing w:before="120" w:beforeAutospacing="0" w:after="0" w:afterAutospacing="0"/>
        <w:ind w:left="720"/>
      </w:pPr>
      <w:r>
        <w:t xml:space="preserve">(4) </w:t>
      </w:r>
      <w:r w:rsidR="00876CB7">
        <w:t>...</w:t>
      </w:r>
      <w:r>
        <w:t>develop plans and programs for dealing with energy production shortages;</w:t>
      </w:r>
    </w:p>
    <w:p w:rsidR="000C651B" w:rsidRDefault="000C651B" w:rsidP="00876CB7">
      <w:pPr>
        <w:spacing w:before="120" w:beforeAutospacing="0" w:after="0" w:afterAutospacing="0"/>
        <w:ind w:left="720"/>
      </w:pPr>
      <w:r>
        <w:t>(5) promote stability in energy prices to the consumer, promote free and open competition in all aspects of the energy field, prevent unreasonable profits within the various segments of the energy industry, and promote free enterprise;</w:t>
      </w:r>
    </w:p>
    <w:p w:rsidR="000C651B" w:rsidRDefault="000C651B" w:rsidP="00876CB7">
      <w:pPr>
        <w:spacing w:before="120" w:beforeAutospacing="0" w:after="0" w:afterAutospacing="0"/>
        <w:ind w:left="720"/>
      </w:pPr>
      <w:r>
        <w:t>(6) assure that energy programs are designed and implemented in a fair and efficient manner so as to minimize hardship and inequity while assuring that the priority needs of the Nation are met;...</w:t>
      </w:r>
    </w:p>
    <w:p w:rsidR="000C651B" w:rsidRDefault="000C651B" w:rsidP="00876CB7">
      <w:pPr>
        <w:spacing w:before="120" w:beforeAutospacing="0" w:after="0" w:afterAutospacing="0"/>
        <w:ind w:left="720"/>
      </w:pPr>
      <w:r>
        <w:t xml:space="preserve">(9) </w:t>
      </w:r>
      <w:r w:rsidR="00876CB7">
        <w:t>...</w:t>
      </w:r>
      <w:r>
        <w:t>collect, evaluate, assemble, and analyze energy information on reserves, production, de</w:t>
      </w:r>
      <w:r w:rsidR="001802BA">
        <w:t>mand, and related economic data.”</w:t>
      </w:r>
    </w:p>
    <w:p w:rsidR="003D691C" w:rsidRDefault="003D691C" w:rsidP="00876CB7">
      <w:pPr>
        <w:spacing w:after="0" w:afterAutospacing="0"/>
      </w:pPr>
      <w:r>
        <w:t>As the authority for invoking Section 764(b)</w:t>
      </w:r>
      <w:r w:rsidR="00876CB7">
        <w:t>, above</w:t>
      </w:r>
      <w:r>
        <w:t>, 15 U.S.C. §764(a), of the FEA Act</w:t>
      </w:r>
      <w:r w:rsidR="00876CB7">
        <w:t>,</w:t>
      </w:r>
      <w:r>
        <w:t xml:space="preserve"> in turn</w:t>
      </w:r>
      <w:r w:rsidR="00876CB7">
        <w:t>,</w:t>
      </w:r>
      <w:r>
        <w:t xml:space="preserve"> states:</w:t>
      </w:r>
    </w:p>
    <w:p w:rsidR="000C651B" w:rsidRDefault="000A4D98" w:rsidP="00876CB7">
      <w:pPr>
        <w:spacing w:before="120" w:beforeAutospacing="0" w:after="0" w:afterAutospacing="0"/>
        <w:ind w:left="720"/>
      </w:pPr>
      <w:r>
        <w:lastRenderedPageBreak/>
        <w:t>“</w:t>
      </w:r>
      <w:r w:rsidR="000C651B">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rsidR="003D691C">
        <w:t>:</w:t>
      </w:r>
    </w:p>
    <w:p w:rsidR="000C651B" w:rsidRDefault="000C651B" w:rsidP="00876CB7">
      <w:pPr>
        <w:spacing w:before="120" w:beforeAutospacing="0" w:after="0" w:afterAutospacing="0"/>
        <w:ind w:firstLine="720"/>
      </w:pPr>
      <w:r>
        <w:t>(1) specifically transferred to or vested in</w:t>
      </w:r>
      <w:r w:rsidR="000A4D98">
        <w:t xml:space="preserve"> him by or pursuant to this Act: </w:t>
      </w:r>
      <w:r w:rsidR="00876CB7">
        <w:t>...</w:t>
      </w:r>
    </w:p>
    <w:p w:rsidR="000C651B" w:rsidRDefault="000C651B" w:rsidP="00876CB7">
      <w:pPr>
        <w:spacing w:before="120" w:beforeAutospacing="0" w:after="0" w:afterAutospacing="0"/>
        <w:ind w:left="720"/>
      </w:pPr>
      <w:r>
        <w:t xml:space="preserve">(3) </w:t>
      </w:r>
      <w:r w:rsidR="00876CB7">
        <w:t>...</w:t>
      </w:r>
      <w:r>
        <w:t xml:space="preserve">otherwise specifically vested in the </w:t>
      </w:r>
      <w:r w:rsidR="003D691C">
        <w:t>Administrator</w:t>
      </w:r>
      <w:r>
        <w:t xml:space="preserve"> by the Congress.</w:t>
      </w:r>
      <w:r w:rsidR="000A4D98">
        <w:t>”</w:t>
      </w:r>
    </w:p>
    <w:p w:rsidR="000C651B" w:rsidRDefault="003D691C" w:rsidP="00876CB7">
      <w:r>
        <w:t>Additional authority for this information collection is provided by 15 U.S.C. §790a of the FEA Act, which states that the Administrator:</w:t>
      </w:r>
    </w:p>
    <w:p w:rsidR="000C651B" w:rsidRDefault="001802BA" w:rsidP="00340991">
      <w:pPr>
        <w:spacing w:before="120" w:beforeAutospacing="0" w:after="0" w:afterAutospacing="0"/>
        <w:ind w:left="720"/>
      </w:pPr>
      <w:r>
        <w:t>“</w:t>
      </w:r>
      <w:r w:rsidR="00AF10BE">
        <w:t>...</w:t>
      </w:r>
      <w:r>
        <w:t xml:space="preserve"> [Shall] es</w:t>
      </w:r>
      <w:r w:rsidR="000C651B">
        <w:t>tablish a National Energy Information System</w:t>
      </w:r>
      <w:r>
        <w:t xml:space="preserve"> </w:t>
      </w:r>
      <w:r w:rsidR="00AF10BE">
        <w:t>...</w:t>
      </w:r>
      <w:r>
        <w:t xml:space="preserve"> [which] shall </w:t>
      </w:r>
      <w:r w:rsidR="000C651B">
        <w:t>contain such information as is required to provide a description of and facilitate analysis of energy supply and consumption within and affecting the United States on the basis of such geographic areas and economic sectors as may be appropriate ...</w:t>
      </w:r>
    </w:p>
    <w:p w:rsidR="000C651B" w:rsidRDefault="000C651B" w:rsidP="00340991">
      <w:pPr>
        <w:spacing w:before="120" w:beforeAutospacing="0" w:after="0" w:afterAutospacing="0"/>
        <w:ind w:left="720"/>
      </w:pPr>
      <w:r>
        <w:t xml:space="preserve">(b) </w:t>
      </w:r>
      <w:r w:rsidR="00AF10BE">
        <w:t>...</w:t>
      </w:r>
      <w:r>
        <w:t>At a minimum, the System shall contain such energy information as is necessary to carry out the Administration's statistical and forecasting activities, and shall include, such energy information as is required to define and permit analysis of:</w:t>
      </w:r>
    </w:p>
    <w:p w:rsidR="000C651B" w:rsidRDefault="000C651B" w:rsidP="00340991">
      <w:pPr>
        <w:spacing w:before="120" w:beforeAutospacing="0" w:after="0" w:afterAutospacing="0"/>
        <w:ind w:left="720"/>
      </w:pPr>
      <w:r>
        <w:t>(1) the institutional structure of the energy supply system including patterns of ownership and control of mineral fuel and nonmineral energy resources and the production, distribution, and marketing of mineral fuels and electricity;</w:t>
      </w:r>
    </w:p>
    <w:p w:rsidR="000C651B" w:rsidRDefault="000C651B" w:rsidP="00340991">
      <w:pPr>
        <w:spacing w:before="120" w:beforeAutospacing="0" w:after="0" w:afterAutospacing="0"/>
        <w:ind w:left="720"/>
      </w:pPr>
      <w:r>
        <w:t>(2) the consumption of mineral fuels, nonmineral energy resources, and electricity by such classes, sectors, and regions as may be appropriate for the purposes of this Act;...</w:t>
      </w:r>
    </w:p>
    <w:p w:rsidR="000C651B" w:rsidRDefault="000C651B" w:rsidP="00340991">
      <w:pPr>
        <w:spacing w:before="120" w:beforeAutospacing="0" w:after="0" w:afterAutospacing="0"/>
        <w:ind w:left="720"/>
      </w:pPr>
      <w:r>
        <w:t xml:space="preserve">(5) </w:t>
      </w:r>
      <w:r w:rsidR="00AF10BE">
        <w:t>...</w:t>
      </w:r>
      <w:r>
        <w:t>industrial, labor, and regional impacts of changes and patterns of energy supply and consumption.</w:t>
      </w:r>
      <w:r w:rsidR="001802BA">
        <w:t>”</w:t>
      </w:r>
    </w:p>
    <w:p w:rsidR="00265B22" w:rsidRPr="00EC1753" w:rsidRDefault="00265B22" w:rsidP="00265B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1753">
        <w:t>Additional authority for collection of uranium information on Form EIA-858 "Uranium Marketing Annual Survey," is provided through the Energy Policy Act of 1992 (EPACT 1992), Public Law 102-486.</w:t>
      </w:r>
      <w:r>
        <w:t xml:space="preserve"> </w:t>
      </w:r>
      <w:r w:rsidRPr="00EC1753">
        <w:t xml:space="preserve"> This law </w:t>
      </w:r>
      <w:r>
        <w:t>states</w:t>
      </w:r>
      <w:r w:rsidRPr="00EC1753">
        <w:t xml:space="preserve"> under Subtitle B, 42 U.S.C. § 2296b-4, S</w:t>
      </w:r>
      <w:r>
        <w:t>EC</w:t>
      </w:r>
      <w:r w:rsidRPr="00EC1753">
        <w:t>. 1015</w:t>
      </w:r>
      <w:r w:rsidR="007C6A8A">
        <w:t xml:space="preserve">, </w:t>
      </w:r>
      <w:r>
        <w:t>ANNUAL URANIUM PURCHASE REPORTS</w:t>
      </w:r>
      <w:r w:rsidR="007C6A8A">
        <w:t xml:space="preserve">, </w:t>
      </w:r>
    </w:p>
    <w:p w:rsidR="00265B22" w:rsidRPr="003276B4" w:rsidRDefault="00265B22" w:rsidP="00265B22">
      <w:pPr>
        <w:pStyle w:val="indent2"/>
        <w:tabs>
          <w:tab w:val="clear" w:pos="730"/>
          <w:tab w:val="left" w:pos="0"/>
          <w:tab w:val="left" w:pos="1440"/>
          <w:tab w:val="left" w:pos="1530"/>
          <w:tab w:val="left" w:pos="1710"/>
          <w:tab w:val="left" w:pos="1890"/>
        </w:tabs>
        <w:rPr>
          <w:rFonts w:ascii="Times New Roman" w:hAnsi="Times New Roman"/>
          <w:i w:val="0"/>
          <w:iCs w:val="0"/>
          <w:sz w:val="24"/>
          <w:szCs w:val="24"/>
        </w:rPr>
      </w:pPr>
      <w:r w:rsidRPr="003276B4">
        <w:rPr>
          <w:rFonts w:ascii="Times New Roman" w:hAnsi="Times New Roman"/>
          <w:i w:val="0"/>
          <w:iCs w:val="0"/>
          <w:sz w:val="24"/>
          <w:szCs w:val="24"/>
        </w:rPr>
        <w:t>“(a) IN GENERAL- By January 1 of each year, the owner or operator of any civilian nuclear power reactor shall report to the Secretary (of Energy), acting through the Administrator of the Energy Information Administration, for activities of the previous fiscal year--</w:t>
      </w:r>
      <w:r w:rsidRPr="003276B4">
        <w:rPr>
          <w:rFonts w:ascii="Times New Roman" w:hAnsi="Times New Roman"/>
          <w:i w:val="0"/>
          <w:iCs w:val="0"/>
          <w:sz w:val="24"/>
          <w:szCs w:val="24"/>
        </w:rPr>
        <w:tab/>
      </w:r>
    </w:p>
    <w:p w:rsidR="00265B22" w:rsidRPr="003276B4" w:rsidRDefault="00265B22" w:rsidP="00265B22">
      <w:pPr>
        <w:pStyle w:val="indent2"/>
        <w:tabs>
          <w:tab w:val="clear" w:pos="730"/>
          <w:tab w:val="left" w:pos="0"/>
          <w:tab w:val="left" w:pos="1710"/>
        </w:tabs>
        <w:ind w:left="1440"/>
        <w:rPr>
          <w:rFonts w:ascii="Times New Roman" w:hAnsi="Times New Roman"/>
          <w:sz w:val="24"/>
          <w:szCs w:val="24"/>
        </w:rPr>
      </w:pPr>
      <w:r w:rsidRPr="003276B4">
        <w:rPr>
          <w:rFonts w:ascii="Times New Roman" w:hAnsi="Times New Roman"/>
          <w:i w:val="0"/>
          <w:iCs w:val="0"/>
          <w:sz w:val="24"/>
          <w:szCs w:val="24"/>
        </w:rPr>
        <w:lastRenderedPageBreak/>
        <w:t>(1) the country of origin and the seller of any uranium or enriched uranium purchased or imported into the United States either directly or indirectly by such owner or operator; and</w:t>
      </w:r>
    </w:p>
    <w:p w:rsidR="00265B22" w:rsidRPr="003276B4" w:rsidRDefault="00265B22" w:rsidP="00265B22">
      <w:pPr>
        <w:pStyle w:val="indent2"/>
        <w:tabs>
          <w:tab w:val="clear" w:pos="730"/>
          <w:tab w:val="left" w:pos="0"/>
          <w:tab w:val="left" w:pos="1710"/>
        </w:tabs>
        <w:ind w:left="1440"/>
        <w:rPr>
          <w:rFonts w:ascii="Times New Roman" w:hAnsi="Times New Roman"/>
          <w:i w:val="0"/>
          <w:iCs w:val="0"/>
          <w:sz w:val="24"/>
          <w:szCs w:val="24"/>
        </w:rPr>
      </w:pPr>
      <w:r w:rsidRPr="003276B4">
        <w:rPr>
          <w:rFonts w:ascii="Times New Roman" w:hAnsi="Times New Roman"/>
          <w:i w:val="0"/>
          <w:iCs w:val="0"/>
          <w:sz w:val="24"/>
          <w:szCs w:val="24"/>
        </w:rPr>
        <w:t>(2) the country of origin and the seller of any enrichment services purchased by such owner or operator.</w:t>
      </w:r>
    </w:p>
    <w:p w:rsidR="00265B22" w:rsidRPr="003276B4" w:rsidRDefault="00265B22" w:rsidP="00265B22">
      <w:pPr>
        <w:pStyle w:val="indent2"/>
        <w:tabs>
          <w:tab w:val="clear" w:pos="730"/>
          <w:tab w:val="left" w:pos="0"/>
          <w:tab w:val="left" w:pos="1710"/>
        </w:tabs>
        <w:rPr>
          <w:rFonts w:ascii="Times New Roman" w:hAnsi="Times New Roman"/>
          <w:sz w:val="24"/>
          <w:szCs w:val="24"/>
        </w:rPr>
      </w:pPr>
      <w:r w:rsidRPr="003276B4">
        <w:rPr>
          <w:rFonts w:ascii="Times New Roman" w:hAnsi="Times New Roman"/>
          <w:i w:val="0"/>
          <w:iCs w:val="0"/>
          <w:sz w:val="24"/>
          <w:szCs w:val="24"/>
        </w:rPr>
        <w:t>(b) CONGRESSIONAL ACCESS- The information provided to the Secretary pursuant to this section shall be made available to the Congress by March 1 of each year.”</w:t>
      </w:r>
    </w:p>
    <w:p w:rsidR="000C651B" w:rsidRPr="00BB36A0" w:rsidRDefault="001802BA" w:rsidP="00F44A02">
      <w:pPr>
        <w:pStyle w:val="Heading2"/>
      </w:pPr>
      <w:bookmarkStart w:id="10" w:name="_Toc409011777"/>
      <w:bookmarkStart w:id="11" w:name="_Toc409769423"/>
      <w:bookmarkStart w:id="12" w:name="_Toc423938206"/>
      <w:r w:rsidRPr="00BB36A0">
        <w:t>Needs and Uses of Data</w:t>
      </w:r>
      <w:bookmarkEnd w:id="10"/>
      <w:bookmarkEnd w:id="11"/>
      <w:bookmarkEnd w:id="12"/>
    </w:p>
    <w:p w:rsidR="00517C4A" w:rsidRDefault="00517C4A" w:rsidP="00517C4A">
      <w:r>
        <w:t xml:space="preserve">The EIA Uranium Data Program (UDP) </w:t>
      </w:r>
      <w:r w:rsidR="00285F88">
        <w:t>is</w:t>
      </w:r>
      <w:r>
        <w:t xml:space="preserve"> intended to collect </w:t>
      </w:r>
      <w:r w:rsidRPr="009134BC">
        <w:t xml:space="preserve">high-quality statistical data </w:t>
      </w:r>
      <w:r>
        <w:t xml:space="preserve">on domestic uranium supply and demand activities, including production, exploration and development, trade, and purchases and sales </w:t>
      </w:r>
      <w:r w:rsidRPr="009134BC">
        <w:t xml:space="preserve">available to </w:t>
      </w:r>
      <w:r>
        <w:t>the U.S.  The audience for these data includes the Congress, other Executive Branch agencies, the nuclear</w:t>
      </w:r>
      <w:r w:rsidR="00C445A9">
        <w:t xml:space="preserve"> and uranium</w:t>
      </w:r>
      <w:r>
        <w:t xml:space="preserve"> industry, and the public in general.  The specific surveys are:</w:t>
      </w:r>
      <w:r w:rsidRPr="009F2C6B">
        <w:t xml:space="preserve">  </w:t>
      </w:r>
    </w:p>
    <w:p w:rsidR="00517C4A" w:rsidRPr="003276B4" w:rsidRDefault="00517C4A" w:rsidP="00517C4A">
      <w:pPr>
        <w:pStyle w:val="ListParagraph"/>
        <w:numPr>
          <w:ilvl w:val="0"/>
          <w:numId w:val="11"/>
        </w:numPr>
        <w:spacing w:before="0" w:beforeAutospacing="0" w:after="200" w:afterAutospacing="0" w:line="276" w:lineRule="auto"/>
        <w:jc w:val="left"/>
        <w:rPr>
          <w:sz w:val="24"/>
          <w:szCs w:val="24"/>
        </w:rPr>
      </w:pPr>
      <w:r w:rsidRPr="003276B4">
        <w:rPr>
          <w:sz w:val="24"/>
          <w:szCs w:val="24"/>
        </w:rPr>
        <w:t>Form EIA-851A “Domestic Uran</w:t>
      </w:r>
      <w:r w:rsidR="002B119D">
        <w:rPr>
          <w:sz w:val="24"/>
          <w:szCs w:val="24"/>
        </w:rPr>
        <w:t>ium Production Report (Annual)”</w:t>
      </w:r>
    </w:p>
    <w:p w:rsidR="00517C4A" w:rsidRPr="003276B4" w:rsidRDefault="00517C4A" w:rsidP="00517C4A">
      <w:pPr>
        <w:pStyle w:val="ListParagraph"/>
        <w:numPr>
          <w:ilvl w:val="0"/>
          <w:numId w:val="11"/>
        </w:numPr>
        <w:spacing w:before="0" w:beforeAutospacing="0" w:after="200" w:afterAutospacing="0" w:line="276" w:lineRule="auto"/>
        <w:jc w:val="left"/>
        <w:rPr>
          <w:sz w:val="24"/>
          <w:szCs w:val="24"/>
        </w:rPr>
      </w:pPr>
      <w:r w:rsidRPr="003276B4">
        <w:rPr>
          <w:sz w:val="24"/>
          <w:szCs w:val="24"/>
        </w:rPr>
        <w:t>Form EIA-851Q “Domestic Uranium</w:t>
      </w:r>
      <w:r w:rsidR="002B119D">
        <w:rPr>
          <w:sz w:val="24"/>
          <w:szCs w:val="24"/>
        </w:rPr>
        <w:t xml:space="preserve"> Production Report (Quarterly)”</w:t>
      </w:r>
    </w:p>
    <w:p w:rsidR="00517C4A" w:rsidRPr="003276B4" w:rsidRDefault="00517C4A" w:rsidP="00517C4A">
      <w:pPr>
        <w:pStyle w:val="ListParagraph"/>
        <w:numPr>
          <w:ilvl w:val="0"/>
          <w:numId w:val="11"/>
        </w:numPr>
        <w:spacing w:before="0" w:beforeAutospacing="0" w:after="200" w:afterAutospacing="0" w:line="276" w:lineRule="auto"/>
        <w:jc w:val="left"/>
        <w:rPr>
          <w:sz w:val="24"/>
          <w:szCs w:val="24"/>
        </w:rPr>
      </w:pPr>
      <w:r w:rsidRPr="003276B4">
        <w:rPr>
          <w:sz w:val="24"/>
          <w:szCs w:val="24"/>
        </w:rPr>
        <w:t>Form EIA-858 “Uranium Marketing Annual Survey”</w:t>
      </w:r>
    </w:p>
    <w:p w:rsidR="00517C4A" w:rsidRPr="00095756" w:rsidRDefault="00517C4A" w:rsidP="00517C4A">
      <w:r w:rsidRPr="009F2C6B">
        <w:t xml:space="preserve">The data collected on these surveys are unique.  Although limited amounts of related or somewhat similar data </w:t>
      </w:r>
      <w:r>
        <w:t>may</w:t>
      </w:r>
      <w:r w:rsidRPr="009F2C6B">
        <w:t xml:space="preserve"> be available from other Federal agencies, industry, and private sources, those data collections are not reasonable alternatives for the data sets obtained th</w:t>
      </w:r>
      <w:r>
        <w:t>rough the UDP</w:t>
      </w:r>
      <w:r w:rsidRPr="009F2C6B">
        <w:t xml:space="preserve"> surveys.</w:t>
      </w:r>
    </w:p>
    <w:p w:rsidR="00517C4A" w:rsidRPr="00095756" w:rsidRDefault="00517C4A" w:rsidP="00517C4A">
      <w:r w:rsidRPr="00095756">
        <w:t>The data collected on the Form EIA-851A are needed for and used to publish annually: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Exploration and development drilling activities in the U.S. uranium production industry including data on number of holes and drilling footage;</w:t>
      </w:r>
    </w:p>
    <w:p w:rsidR="00517C4A" w:rsidRPr="003276B4" w:rsidRDefault="00517C4A" w:rsidP="00517C4A">
      <w:pPr>
        <w:pStyle w:val="ListParagraph"/>
        <w:numPr>
          <w:ilvl w:val="0"/>
          <w:numId w:val="10"/>
        </w:numPr>
        <w:spacing w:before="0" w:beforeAutospacing="0" w:after="200" w:afterAutospacing="0"/>
        <w:jc w:val="left"/>
        <w:rPr>
          <w:sz w:val="24"/>
          <w:szCs w:val="24"/>
        </w:rPr>
      </w:pPr>
      <w:r w:rsidRPr="003276B4">
        <w:rPr>
          <w:sz w:val="24"/>
          <w:szCs w:val="24"/>
        </w:rPr>
        <w:t>U.S. uranium mine production and number of operating mines;</w:t>
      </w:r>
    </w:p>
    <w:p w:rsidR="00517C4A" w:rsidRPr="003276B4" w:rsidRDefault="00517C4A" w:rsidP="00517C4A">
      <w:pPr>
        <w:pStyle w:val="ListParagraph"/>
        <w:numPr>
          <w:ilvl w:val="0"/>
          <w:numId w:val="10"/>
        </w:numPr>
        <w:spacing w:before="0" w:beforeAutospacing="0" w:after="200" w:afterAutospacing="0"/>
        <w:jc w:val="left"/>
        <w:rPr>
          <w:sz w:val="24"/>
          <w:szCs w:val="24"/>
        </w:rPr>
      </w:pPr>
      <w:r w:rsidRPr="003276B4">
        <w:rPr>
          <w:sz w:val="24"/>
          <w:szCs w:val="24"/>
        </w:rPr>
        <w:t>Activities at U.S. uranium mills, heap leach, and in-situ leach plants including uranium concentrate production and shipments;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Owner, location, capacity, and operating status of existing and planned uranium concentrate facilities;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Employment in the U.S. uranium production industry by exploration, mining, milling, processing, and reclamation categories and by State;</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Expenditures for land, exploration, drilling, production, and reclamation in the U.S. uranium production industry;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lastRenderedPageBreak/>
        <w:t>U.S. uranium reserve estimates by mining method, State, and status.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questionnaire input to the </w:t>
      </w:r>
      <w:r w:rsidRPr="003276B4">
        <w:rPr>
          <w:i/>
          <w:sz w:val="24"/>
          <w:szCs w:val="24"/>
        </w:rPr>
        <w:t xml:space="preserve">Uranium Resources, Production and Demand </w:t>
      </w:r>
      <w:r w:rsidRPr="003276B4">
        <w:rPr>
          <w:sz w:val="24"/>
          <w:szCs w:val="24"/>
        </w:rPr>
        <w:t>“Red Book” (OECD/Nuclear Energy Agency and International Atomic Energy Agency);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questionnaire input to the </w:t>
      </w:r>
      <w:r w:rsidRPr="003276B4">
        <w:rPr>
          <w:i/>
          <w:sz w:val="24"/>
          <w:szCs w:val="24"/>
        </w:rPr>
        <w:t>Nuclear Energy Data</w:t>
      </w:r>
      <w:r w:rsidRPr="003276B4">
        <w:rPr>
          <w:sz w:val="24"/>
          <w:szCs w:val="24"/>
        </w:rPr>
        <w:t xml:space="preserve"> “Brown Book” (OECD/Nuclear Energy Agency);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input for the </w:t>
      </w:r>
      <w:r w:rsidRPr="003276B4">
        <w:rPr>
          <w:rFonts w:cs="Tahoma"/>
          <w:i/>
          <w:iCs/>
          <w:color w:val="000000"/>
          <w:sz w:val="24"/>
          <w:szCs w:val="24"/>
        </w:rPr>
        <w:t>U.S. Country Nuclear Power Profile</w:t>
      </w:r>
      <w:r w:rsidRPr="003276B4">
        <w:rPr>
          <w:sz w:val="24"/>
          <w:szCs w:val="24"/>
        </w:rPr>
        <w:t xml:space="preserve"> (International Atomic Energy Agency);</w:t>
      </w:r>
    </w:p>
    <w:p w:rsidR="00517C4A" w:rsidRPr="003276B4" w:rsidRDefault="00EC1F81" w:rsidP="00517C4A">
      <w:pPr>
        <w:pStyle w:val="ListParagraph"/>
        <w:numPr>
          <w:ilvl w:val="0"/>
          <w:numId w:val="10"/>
        </w:numPr>
        <w:spacing w:before="0" w:beforeAutospacing="0" w:after="200" w:afterAutospacing="0" w:line="276" w:lineRule="auto"/>
        <w:jc w:val="left"/>
        <w:rPr>
          <w:sz w:val="24"/>
          <w:szCs w:val="24"/>
        </w:rPr>
      </w:pPr>
      <w:r>
        <w:rPr>
          <w:sz w:val="24"/>
          <w:szCs w:val="24"/>
        </w:rPr>
        <w:t xml:space="preserve">The data provided pursuant to the </w:t>
      </w:r>
      <w:r w:rsidR="00517C4A" w:rsidRPr="003276B4">
        <w:rPr>
          <w:sz w:val="24"/>
          <w:szCs w:val="24"/>
        </w:rPr>
        <w:t xml:space="preserve">Confidential Information Protection and Statistical Efficiency Act of 2002 (CIPSEA) Information Access Agreement signed in March 2012 between </w:t>
      </w:r>
      <w:r w:rsidR="006B2D6F">
        <w:rPr>
          <w:sz w:val="24"/>
          <w:szCs w:val="24"/>
        </w:rPr>
        <w:t>EIA</w:t>
      </w:r>
      <w:r w:rsidR="00517C4A" w:rsidRPr="003276B4">
        <w:rPr>
          <w:sz w:val="24"/>
          <w:szCs w:val="24"/>
        </w:rPr>
        <w:t xml:space="preserve"> and U.S. Geological Survey (USGS), to support USGS studies of domestic uranium resources including undiscovered resource assessments.  Form EIA-851A data will be used by the USGS to calculate grade/tonnage curves of undiscovered uranium resources.  This agreement provides for the disclosure by </w:t>
      </w:r>
      <w:r w:rsidR="006B2D6F">
        <w:rPr>
          <w:sz w:val="24"/>
          <w:szCs w:val="24"/>
        </w:rPr>
        <w:t>EIA</w:t>
      </w:r>
      <w:r w:rsidR="00517C4A" w:rsidRPr="003276B4">
        <w:rPr>
          <w:sz w:val="24"/>
          <w:szCs w:val="24"/>
        </w:rPr>
        <w:t xml:space="preserve"> of individually-identifiable survey information submitted to </w:t>
      </w:r>
      <w:r w:rsidR="006B2D6F">
        <w:rPr>
          <w:sz w:val="24"/>
          <w:szCs w:val="24"/>
        </w:rPr>
        <w:t>EIA</w:t>
      </w:r>
      <w:r w:rsidR="00517C4A" w:rsidRPr="003276B4">
        <w:rPr>
          <w:sz w:val="24"/>
          <w:szCs w:val="24"/>
        </w:rPr>
        <w:t xml:space="preserve">  as confidential and for exclusively statistical purposes in accordance with the Confidential Information Protection and Statistical Efficiency Act of</w:t>
      </w:r>
      <w:r w:rsidR="0090573E">
        <w:rPr>
          <w:sz w:val="24"/>
          <w:szCs w:val="24"/>
        </w:rPr>
        <w:t xml:space="preserve"> 2002 (CIPSEA) to the USGS.  The</w:t>
      </w:r>
      <w:r w:rsidR="00517C4A" w:rsidRPr="003276B4">
        <w:rPr>
          <w:sz w:val="24"/>
          <w:szCs w:val="24"/>
        </w:rPr>
        <w:t>s</w:t>
      </w:r>
      <w:r w:rsidR="0090573E">
        <w:rPr>
          <w:sz w:val="24"/>
          <w:szCs w:val="24"/>
        </w:rPr>
        <w:t>e</w:t>
      </w:r>
      <w:r w:rsidR="00517C4A" w:rsidRPr="003276B4">
        <w:rPr>
          <w:sz w:val="24"/>
          <w:szCs w:val="24"/>
        </w:rPr>
        <w:t xml:space="preserve"> data will be used for statistical purposes only by the USGS.</w:t>
      </w:r>
    </w:p>
    <w:p w:rsidR="00517C4A" w:rsidRPr="003276B4" w:rsidRDefault="00517C4A" w:rsidP="00517C4A">
      <w:pPr>
        <w:rPr>
          <w:szCs w:val="24"/>
        </w:rPr>
      </w:pPr>
      <w:r w:rsidRPr="003276B4">
        <w:rPr>
          <w:szCs w:val="24"/>
        </w:rPr>
        <w:t>The data collected on the Form EIA-851Q are needed for and used to publish quarterly: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U.S. production of uranium concentrate from ore and/or solutions from different methods of mining, including in-situ leaching, open pit, underground, heap leach, and other sources;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Number of U.S. uranium facilities producing uranium concentrate;</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Owner, location, capacity, and operating status of existing and planned uranium concentrate processing facilities.</w:t>
      </w:r>
    </w:p>
    <w:p w:rsidR="00517C4A" w:rsidRPr="003276B4" w:rsidRDefault="00517C4A" w:rsidP="00517C4A">
      <w:pPr>
        <w:rPr>
          <w:szCs w:val="24"/>
        </w:rPr>
      </w:pPr>
      <w:r w:rsidRPr="003276B4">
        <w:rPr>
          <w:szCs w:val="24"/>
        </w:rPr>
        <w:t>The data collected on the Form EIA-858 are needed for and used to publish annually: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Data on the origin countries and sellers of any uranium and enrichment services purchased or imported into the United States by owners or operators of any U.S. civilian nuclear power reactors;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Data on uranium marketing activities in the United States, including quantities, prices and origins of uranium transactions and enrichment services, contract and material types, domestic and foreign purchases and sales, origin and destinations of enrichment feed </w:t>
      </w:r>
      <w:r w:rsidRPr="003276B4">
        <w:rPr>
          <w:sz w:val="24"/>
          <w:szCs w:val="24"/>
        </w:rPr>
        <w:lastRenderedPageBreak/>
        <w:t>deliveries, quantity of uranium loaded into U.S. civilian nuclear power reactors, and uranium inventories;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Data on U.S. uranium market requirements, including future contracted deliveries (filled requirements), unfilled market requirements, and projected enrichment feed deliveries;</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questionnaire input to the </w:t>
      </w:r>
      <w:r w:rsidRPr="003276B4">
        <w:rPr>
          <w:i/>
          <w:sz w:val="24"/>
          <w:szCs w:val="24"/>
        </w:rPr>
        <w:t xml:space="preserve">Uranium Resources, Production and Demand </w:t>
      </w:r>
      <w:r w:rsidRPr="003276B4">
        <w:rPr>
          <w:sz w:val="24"/>
          <w:szCs w:val="24"/>
        </w:rPr>
        <w:t>“Red Book” (OECD/Nuclear Energy Agency and International Atomic Energy Agency);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questionnaire input to the </w:t>
      </w:r>
      <w:r w:rsidRPr="003276B4">
        <w:rPr>
          <w:i/>
          <w:sz w:val="24"/>
          <w:szCs w:val="24"/>
        </w:rPr>
        <w:t>Nuclear Energy Data</w:t>
      </w:r>
      <w:r w:rsidRPr="003276B4">
        <w:rPr>
          <w:sz w:val="24"/>
          <w:szCs w:val="24"/>
        </w:rPr>
        <w:t xml:space="preserve"> “Brown Book” (OECD/Nuclear Energy Agency);</w:t>
      </w:r>
    </w:p>
    <w:p w:rsidR="00517C4A" w:rsidRPr="003276B4" w:rsidRDefault="00517C4A" w:rsidP="00517C4A">
      <w:pPr>
        <w:pStyle w:val="ListParagraph"/>
        <w:numPr>
          <w:ilvl w:val="0"/>
          <w:numId w:val="10"/>
        </w:numPr>
        <w:spacing w:before="0" w:beforeAutospacing="0" w:after="200" w:afterAutospacing="0" w:line="276" w:lineRule="auto"/>
        <w:jc w:val="left"/>
        <w:rPr>
          <w:sz w:val="24"/>
          <w:szCs w:val="24"/>
        </w:rPr>
      </w:pPr>
      <w:r w:rsidRPr="003276B4">
        <w:rPr>
          <w:sz w:val="24"/>
          <w:szCs w:val="24"/>
        </w:rPr>
        <w:t xml:space="preserve">U.S. input for the </w:t>
      </w:r>
      <w:r w:rsidRPr="003276B4">
        <w:rPr>
          <w:rFonts w:cs="Tahoma"/>
          <w:i/>
          <w:iCs/>
          <w:color w:val="000000"/>
          <w:sz w:val="24"/>
          <w:szCs w:val="24"/>
        </w:rPr>
        <w:t>U.S. Country Nuclear Power Profile</w:t>
      </w:r>
      <w:r w:rsidRPr="003276B4">
        <w:rPr>
          <w:sz w:val="24"/>
          <w:szCs w:val="24"/>
        </w:rPr>
        <w:t xml:space="preserve"> (International Atomic Energy Agency).</w:t>
      </w:r>
    </w:p>
    <w:p w:rsidR="008205AD" w:rsidRPr="00A327EC" w:rsidRDefault="008205AD" w:rsidP="00F44A02">
      <w:pPr>
        <w:pStyle w:val="Heading2"/>
      </w:pPr>
      <w:bookmarkStart w:id="13" w:name="_Toc409011778"/>
      <w:bookmarkStart w:id="14" w:name="_Toc409769424"/>
      <w:bookmarkStart w:id="15" w:name="_Toc423938207"/>
      <w:r w:rsidRPr="00A327EC">
        <w:t>Use of Information Technology</w:t>
      </w:r>
      <w:bookmarkEnd w:id="13"/>
      <w:bookmarkEnd w:id="14"/>
      <w:bookmarkEnd w:id="15"/>
    </w:p>
    <w:p w:rsidR="0012646F" w:rsidRDefault="006B2D6F" w:rsidP="006F6B2A">
      <w:r>
        <w:t>EIA</w:t>
      </w:r>
      <w:r w:rsidR="006C0C96" w:rsidRPr="000D6A2A">
        <w:t xml:space="preserve"> is utilizing information technology to improve reporting options for respondents to all </w:t>
      </w:r>
      <w:r w:rsidR="006C0C96">
        <w:t>uranium</w:t>
      </w:r>
      <w:r w:rsidR="006C0C96" w:rsidRPr="000D6A2A">
        <w:t xml:space="preserve"> surveys.  </w:t>
      </w:r>
      <w:r>
        <w:t>EIA</w:t>
      </w:r>
      <w:r w:rsidR="006C0C96" w:rsidRPr="000D6A2A">
        <w:t xml:space="preserve"> provide</w:t>
      </w:r>
      <w:r w:rsidR="006C0C96">
        <w:t xml:space="preserve">s </w:t>
      </w:r>
      <w:r w:rsidR="006C0C96" w:rsidRPr="000D6A2A">
        <w:t xml:space="preserve">an electronic e-filing system that respondents may use to complete and submit the surveys via a secure </w:t>
      </w:r>
      <w:r w:rsidR="00AE1514">
        <w:t>I</w:t>
      </w:r>
      <w:r w:rsidR="006C0C96" w:rsidRPr="000D6A2A">
        <w:t>nternet browser-b</w:t>
      </w:r>
      <w:r w:rsidR="006C0C96">
        <w:t xml:space="preserve">ased system.  </w:t>
      </w:r>
      <w:r w:rsidR="006C0C96" w:rsidRPr="0035736E">
        <w:t>Th</w:t>
      </w:r>
      <w:r w:rsidR="006C0C96">
        <w:t xml:space="preserve">e e-filing </w:t>
      </w:r>
      <w:r w:rsidR="006C0C96" w:rsidRPr="0035736E">
        <w:t>system</w:t>
      </w:r>
      <w:r w:rsidR="006C0C96">
        <w:t xml:space="preserve"> for the Form EIA-85</w:t>
      </w:r>
      <w:r w:rsidR="006C0C96" w:rsidRPr="0035736E">
        <w:t>8</w:t>
      </w:r>
      <w:r w:rsidR="006C0C96">
        <w:t xml:space="preserve"> survey</w:t>
      </w:r>
      <w:r w:rsidR="006C0C96" w:rsidRPr="0035736E">
        <w:t xml:space="preserve"> ha</w:t>
      </w:r>
      <w:r w:rsidR="006C0C96">
        <w:t>s</w:t>
      </w:r>
      <w:r w:rsidR="006C0C96" w:rsidRPr="0035736E">
        <w:t xml:space="preserve"> been in operation since 200</w:t>
      </w:r>
      <w:r w:rsidR="006C0C96">
        <w:t>6 and the e-filing system for the Form EIA-851A and Form EIA-851Q surveys has been in operation since 2008</w:t>
      </w:r>
      <w:r w:rsidR="006C0C96" w:rsidRPr="0035736E">
        <w:t>.</w:t>
      </w:r>
      <w:r w:rsidR="006C0C96" w:rsidRPr="00E95BD8">
        <w:rPr>
          <w:color w:val="FF0000"/>
        </w:rPr>
        <w:t xml:space="preserve">  </w:t>
      </w:r>
      <w:r w:rsidR="006C0C96" w:rsidRPr="000D6A2A">
        <w:t xml:space="preserve">The e-filing system allows respondents to enter their data directly into the EIA survey database. </w:t>
      </w:r>
      <w:r w:rsidR="006C0C96">
        <w:t xml:space="preserve"> </w:t>
      </w:r>
      <w:r w:rsidR="006C0C96" w:rsidRPr="000D6A2A">
        <w:t>The system also allows respondents to make necessary correction</w:t>
      </w:r>
      <w:r w:rsidR="006C0C96">
        <w:t>s</w:t>
      </w:r>
      <w:r w:rsidR="006C0C96" w:rsidRPr="000D6A2A">
        <w:t xml:space="preserve"> or to explain unusual events impacting the rep</w:t>
      </w:r>
      <w:r w:rsidR="006C0C96">
        <w:t xml:space="preserve">orted data prior to submission by identifying </w:t>
      </w:r>
      <w:r w:rsidR="006C0C96" w:rsidRPr="000D6A2A">
        <w:t>data that fails edits prior to submission</w:t>
      </w:r>
      <w:r w:rsidR="006C0C96">
        <w:t xml:space="preserve">.  </w:t>
      </w:r>
      <w:r w:rsidR="006C0C96" w:rsidRPr="000D6A2A">
        <w:t>This reduces respondent burden by reducing the number of times a respondent must resubmit forms prior to acceptance by EIA.</w:t>
      </w:r>
      <w:r w:rsidR="006C0C96">
        <w:t xml:space="preserve"> </w:t>
      </w:r>
      <w:r w:rsidR="006C0C96" w:rsidRPr="000D6A2A">
        <w:t xml:space="preserve"> The only equipment and software the respondent is required to have is a connection to the Internet and a standard web browser.  </w:t>
      </w:r>
      <w:r>
        <w:t>EIA</w:t>
      </w:r>
      <w:r w:rsidR="006C0C96" w:rsidRPr="000D6A2A">
        <w:t xml:space="preserve"> will continue to make all survey forms and instructions available for printing or downloading from the EIA website.</w:t>
      </w:r>
    </w:p>
    <w:p w:rsidR="00170AA6" w:rsidRDefault="00170AA6" w:rsidP="00CF30B2">
      <w:r>
        <w:t>Use of pick-lists (including dynamic lists):</w:t>
      </w:r>
    </w:p>
    <w:p w:rsidR="00CF30B2" w:rsidRPr="00796DF6" w:rsidRDefault="00CF30B2" w:rsidP="00CF30B2">
      <w:r w:rsidRPr="00796DF6">
        <w:t>Pick-lists are a means of limiting a respondent’s answers to a question to a finite set of acceptable choices.  The objectives are to reduce respondent burden and to improve data quality, while reducing the time and effort needed by EIA to edit a response.</w:t>
      </w:r>
    </w:p>
    <w:p w:rsidR="00CF30B2" w:rsidRPr="00796DF6" w:rsidRDefault="00CF30B2" w:rsidP="00CF30B2">
      <w:r w:rsidRPr="00796DF6">
        <w:lastRenderedPageBreak/>
        <w:t>Pick-lists</w:t>
      </w:r>
      <w:r w:rsidRPr="00694500">
        <w:rPr>
          <w:rStyle w:val="FootnoteReference"/>
          <w:vertAlign w:val="superscript"/>
        </w:rPr>
        <w:footnoteReference w:id="2"/>
      </w:r>
      <w:r w:rsidRPr="00796DF6">
        <w:t xml:space="preserve"> are used in software-enabled surveys to:</w:t>
      </w:r>
    </w:p>
    <w:p w:rsidR="00CF30B2" w:rsidRPr="003C7D16" w:rsidRDefault="00CF30B2" w:rsidP="00CF30B2">
      <w:pPr>
        <w:pStyle w:val="ListParagraph"/>
        <w:numPr>
          <w:ilvl w:val="0"/>
          <w:numId w:val="20"/>
        </w:numPr>
        <w:spacing w:before="0" w:beforeAutospacing="0" w:after="200" w:afterAutospacing="0"/>
        <w:contextualSpacing w:val="0"/>
        <w:jc w:val="left"/>
        <w:rPr>
          <w:rFonts w:eastAsia="Calibri"/>
          <w:sz w:val="24"/>
          <w:szCs w:val="24"/>
        </w:rPr>
      </w:pPr>
      <w:r w:rsidRPr="003C7D16">
        <w:rPr>
          <w:rFonts w:eastAsia="Calibri"/>
          <w:sz w:val="24"/>
          <w:szCs w:val="24"/>
        </w:rPr>
        <w:t xml:space="preserve">Avoid typographical errors, such as mistyping the abbreviation for a state or month; </w:t>
      </w:r>
    </w:p>
    <w:p w:rsidR="00CF30B2" w:rsidRPr="003C7D16" w:rsidRDefault="00CF30B2" w:rsidP="00CF30B2">
      <w:pPr>
        <w:pStyle w:val="ListParagraph"/>
        <w:numPr>
          <w:ilvl w:val="0"/>
          <w:numId w:val="20"/>
        </w:numPr>
        <w:spacing w:before="0" w:beforeAutospacing="0" w:after="200" w:afterAutospacing="0"/>
        <w:contextualSpacing w:val="0"/>
        <w:jc w:val="left"/>
        <w:rPr>
          <w:rFonts w:eastAsia="Calibri"/>
          <w:sz w:val="24"/>
          <w:szCs w:val="24"/>
        </w:rPr>
      </w:pPr>
      <w:r w:rsidRPr="003C7D16">
        <w:rPr>
          <w:rFonts w:eastAsia="Calibri"/>
          <w:sz w:val="24"/>
          <w:szCs w:val="24"/>
        </w:rPr>
        <w:t xml:space="preserve">Assure consistent responses to questions asking standard information, such as entering a state as text or a number; </w:t>
      </w:r>
    </w:p>
    <w:p w:rsidR="00CF30B2" w:rsidRPr="003C7D16" w:rsidRDefault="00CF30B2" w:rsidP="00CF30B2">
      <w:pPr>
        <w:pStyle w:val="ListParagraph"/>
        <w:numPr>
          <w:ilvl w:val="0"/>
          <w:numId w:val="20"/>
        </w:numPr>
        <w:spacing w:before="0" w:beforeAutospacing="0" w:after="200" w:afterAutospacing="0"/>
        <w:contextualSpacing w:val="0"/>
        <w:jc w:val="left"/>
        <w:rPr>
          <w:rFonts w:eastAsia="Calibri"/>
          <w:sz w:val="24"/>
          <w:szCs w:val="24"/>
        </w:rPr>
      </w:pPr>
      <w:r w:rsidRPr="003C7D16">
        <w:rPr>
          <w:rFonts w:eastAsia="Calibri"/>
          <w:sz w:val="24"/>
          <w:szCs w:val="24"/>
        </w:rPr>
        <w:t xml:space="preserve">Assure consistent responses to questions asking for technical information when the same concept has multiple monikers (e.g., “short term” and “spot” fuel supply contracts).  </w:t>
      </w:r>
    </w:p>
    <w:p w:rsidR="00CF30B2" w:rsidRPr="00796DF6" w:rsidRDefault="00CF30B2" w:rsidP="00CF30B2">
      <w:r w:rsidRPr="00796DF6">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 is capable of collecting all possible categories when a pick-list is variable.</w:t>
      </w:r>
    </w:p>
    <w:p w:rsidR="00CF30B2" w:rsidRPr="003C7D16" w:rsidRDefault="00CF30B2" w:rsidP="00CF30B2">
      <w:pPr>
        <w:rPr>
          <w:szCs w:val="24"/>
        </w:rPr>
      </w:pPr>
      <w:r w:rsidRPr="003C7D16">
        <w:rPr>
          <w:szCs w:val="24"/>
        </w:rPr>
        <w:t xml:space="preserve"> There are three types of pick-lists that may be used in software-enabled EIA surveys:</w:t>
      </w:r>
    </w:p>
    <w:p w:rsidR="00CF30B2" w:rsidRPr="003C7D16" w:rsidRDefault="00CF30B2" w:rsidP="00CF30B2">
      <w:pPr>
        <w:pStyle w:val="ListParagraph"/>
        <w:numPr>
          <w:ilvl w:val="0"/>
          <w:numId w:val="21"/>
        </w:numPr>
        <w:spacing w:before="0" w:beforeAutospacing="0" w:after="200" w:afterAutospacing="0"/>
        <w:contextualSpacing w:val="0"/>
        <w:jc w:val="left"/>
        <w:rPr>
          <w:rFonts w:eastAsia="Calibri"/>
          <w:sz w:val="24"/>
          <w:szCs w:val="24"/>
        </w:rPr>
      </w:pPr>
      <w:r w:rsidRPr="003C7D16">
        <w:rPr>
          <w:rFonts w:eastAsia="Calibri"/>
          <w:sz w:val="24"/>
          <w:szCs w:val="24"/>
        </w:rPr>
        <w:t xml:space="preserve">Static pick-lists include information </w:t>
      </w:r>
      <w:r w:rsidR="0073724B">
        <w:rPr>
          <w:rFonts w:eastAsia="Calibri"/>
          <w:sz w:val="24"/>
          <w:szCs w:val="24"/>
        </w:rPr>
        <w:t>that</w:t>
      </w:r>
      <w:r w:rsidRPr="003C7D16">
        <w:rPr>
          <w:rFonts w:eastAsia="Calibri"/>
          <w:sz w:val="24"/>
          <w:szCs w:val="24"/>
        </w:rPr>
        <w:t xml:space="preserve"> does not change, such as a list of months.</w:t>
      </w:r>
    </w:p>
    <w:p w:rsidR="00CF30B2" w:rsidRPr="003C7D16" w:rsidRDefault="00CF30B2" w:rsidP="00CF30B2">
      <w:pPr>
        <w:pStyle w:val="ListParagraph"/>
        <w:numPr>
          <w:ilvl w:val="0"/>
          <w:numId w:val="21"/>
        </w:numPr>
        <w:spacing w:before="0" w:beforeAutospacing="0" w:after="200" w:afterAutospacing="0"/>
        <w:contextualSpacing w:val="0"/>
        <w:jc w:val="left"/>
        <w:rPr>
          <w:rFonts w:eastAsia="Calibri"/>
          <w:sz w:val="24"/>
          <w:szCs w:val="24"/>
        </w:rPr>
      </w:pPr>
      <w:r w:rsidRPr="003C7D16">
        <w:rPr>
          <w:rFonts w:eastAsia="Calibri"/>
          <w:sz w:val="24"/>
          <w:szCs w:val="24"/>
        </w:rPr>
        <w:t xml:space="preserve">Variable pick-lists include choices that may be changed by EIA depending on the period of time covered by the survey or another circumstance.  </w:t>
      </w:r>
    </w:p>
    <w:p w:rsidR="00CF30B2" w:rsidRPr="003C7D16" w:rsidRDefault="00CF30B2" w:rsidP="00CF30B2">
      <w:pPr>
        <w:pStyle w:val="ListParagraph"/>
        <w:numPr>
          <w:ilvl w:val="1"/>
          <w:numId w:val="21"/>
        </w:numPr>
        <w:spacing w:before="0" w:beforeAutospacing="0" w:after="200" w:afterAutospacing="0"/>
        <w:contextualSpacing w:val="0"/>
        <w:jc w:val="left"/>
        <w:rPr>
          <w:rFonts w:eastAsia="Calibri"/>
          <w:sz w:val="24"/>
          <w:szCs w:val="24"/>
        </w:rPr>
      </w:pPr>
      <w:r w:rsidRPr="003C7D16">
        <w:rPr>
          <w:rFonts w:eastAsia="Calibri"/>
          <w:b/>
          <w:sz w:val="24"/>
          <w:szCs w:val="24"/>
        </w:rPr>
        <w:t>Time Dependent</w:t>
      </w:r>
      <w:r w:rsidRPr="003C7D16">
        <w:rPr>
          <w:rFonts w:eastAsia="Calibri"/>
          <w:sz w:val="24"/>
          <w:szCs w:val="24"/>
        </w:rPr>
        <w:t xml:space="preserve">: </w:t>
      </w:r>
      <w:r w:rsidRPr="003C7D16">
        <w:rPr>
          <w:sz w:val="24"/>
          <w:szCs w:val="24"/>
        </w:rPr>
        <w:t>In the cas</w:t>
      </w:r>
      <w:r w:rsidR="000415BB">
        <w:rPr>
          <w:sz w:val="24"/>
          <w:szCs w:val="24"/>
        </w:rPr>
        <w:t>e of the EIA-858 Item 6, data are</w:t>
      </w:r>
      <w:r w:rsidRPr="003C7D16">
        <w:rPr>
          <w:sz w:val="24"/>
          <w:szCs w:val="24"/>
        </w:rPr>
        <w:t xml:space="preserve"> collected </w:t>
      </w:r>
      <w:r w:rsidRPr="003C7D16">
        <w:rPr>
          <w:rFonts w:eastAsia="Calibri"/>
          <w:sz w:val="24"/>
          <w:szCs w:val="24"/>
        </w:rPr>
        <w:t>for the following ten years</w:t>
      </w:r>
      <w:r w:rsidRPr="003C7D16">
        <w:rPr>
          <w:sz w:val="24"/>
          <w:szCs w:val="24"/>
        </w:rPr>
        <w:t>.  Therefore, for the 2015 data collection the pick-list of years would be limited to 2016 through 2025.</w:t>
      </w:r>
    </w:p>
    <w:p w:rsidR="00CF30B2" w:rsidRPr="003C7D16" w:rsidRDefault="00CF30B2" w:rsidP="00CF30B2">
      <w:pPr>
        <w:pStyle w:val="ListParagraph"/>
        <w:numPr>
          <w:ilvl w:val="1"/>
          <w:numId w:val="21"/>
        </w:numPr>
        <w:spacing w:before="0" w:beforeAutospacing="0" w:after="200" w:afterAutospacing="0"/>
        <w:contextualSpacing w:val="0"/>
        <w:jc w:val="left"/>
        <w:rPr>
          <w:rFonts w:eastAsia="Calibri"/>
          <w:sz w:val="24"/>
          <w:szCs w:val="24"/>
        </w:rPr>
      </w:pPr>
      <w:r w:rsidRPr="003C7D16">
        <w:rPr>
          <w:rFonts w:eastAsia="Calibri"/>
          <w:b/>
          <w:sz w:val="24"/>
          <w:szCs w:val="24"/>
        </w:rPr>
        <w:t>Circumstance Dependent</w:t>
      </w:r>
      <w:r w:rsidRPr="003C7D16">
        <w:rPr>
          <w:rFonts w:eastAsia="Calibri"/>
          <w:sz w:val="24"/>
          <w:szCs w:val="24"/>
        </w:rPr>
        <w:t>: For instance, t</w:t>
      </w:r>
      <w:r w:rsidRPr="003C7D16">
        <w:rPr>
          <w:sz w:val="24"/>
          <w:szCs w:val="24"/>
        </w:rPr>
        <w:t xml:space="preserve">he EIA-851A and EIA-851Q include a pick-list of </w:t>
      </w:r>
      <w:r w:rsidRPr="003C7D16">
        <w:rPr>
          <w:rFonts w:eastAsia="Calibri"/>
          <w:sz w:val="24"/>
          <w:szCs w:val="24"/>
        </w:rPr>
        <w:t xml:space="preserve">uranium facility types </w:t>
      </w:r>
      <w:r w:rsidRPr="003C7D16">
        <w:rPr>
          <w:sz w:val="24"/>
          <w:szCs w:val="24"/>
        </w:rPr>
        <w:t>(such as in Item 1)</w:t>
      </w:r>
      <w:r w:rsidRPr="003C7D16">
        <w:rPr>
          <w:rFonts w:eastAsia="Calibri"/>
          <w:sz w:val="24"/>
          <w:szCs w:val="24"/>
        </w:rPr>
        <w:t xml:space="preserve">.  Therefore </w:t>
      </w:r>
      <w:r w:rsidRPr="003C7D16">
        <w:rPr>
          <w:sz w:val="24"/>
          <w:szCs w:val="24"/>
        </w:rPr>
        <w:t>the</w:t>
      </w:r>
      <w:r w:rsidRPr="003C7D16">
        <w:rPr>
          <w:rFonts w:eastAsia="Calibri"/>
          <w:sz w:val="24"/>
          <w:szCs w:val="24"/>
        </w:rPr>
        <w:t xml:space="preserve"> pick</w:t>
      </w:r>
      <w:r w:rsidRPr="003C7D16">
        <w:rPr>
          <w:sz w:val="24"/>
          <w:szCs w:val="24"/>
        </w:rPr>
        <w:t>-</w:t>
      </w:r>
      <w:r w:rsidRPr="003C7D16">
        <w:rPr>
          <w:rFonts w:eastAsia="Calibri"/>
          <w:sz w:val="24"/>
          <w:szCs w:val="24"/>
        </w:rPr>
        <w:t xml:space="preserve">list of types included in a survey for 2014 might be shorter </w:t>
      </w:r>
      <w:r w:rsidRPr="003C7D16">
        <w:rPr>
          <w:sz w:val="24"/>
          <w:szCs w:val="24"/>
        </w:rPr>
        <w:t>than the list for 2015</w:t>
      </w:r>
      <w:r w:rsidRPr="003C7D16">
        <w:rPr>
          <w:rFonts w:eastAsia="Calibri"/>
          <w:sz w:val="24"/>
          <w:szCs w:val="24"/>
        </w:rPr>
        <w:t xml:space="preserve"> (i.e., edited by EIA</w:t>
      </w:r>
      <w:r w:rsidRPr="003C7D16">
        <w:rPr>
          <w:sz w:val="24"/>
          <w:szCs w:val="24"/>
        </w:rPr>
        <w:t>, as a routine maintenance function,</w:t>
      </w:r>
      <w:r w:rsidRPr="003C7D16">
        <w:rPr>
          <w:rFonts w:eastAsia="Calibri"/>
          <w:sz w:val="24"/>
          <w:szCs w:val="24"/>
        </w:rPr>
        <w:t xml:space="preserve"> in the software application).</w:t>
      </w:r>
    </w:p>
    <w:p w:rsidR="00CF30B2" w:rsidRPr="003C7D16" w:rsidRDefault="00CF30B2" w:rsidP="00CF30B2">
      <w:pPr>
        <w:pStyle w:val="ListParagraph"/>
        <w:numPr>
          <w:ilvl w:val="0"/>
          <w:numId w:val="21"/>
        </w:numPr>
        <w:spacing w:before="0" w:beforeAutospacing="0" w:after="200" w:afterAutospacing="0"/>
        <w:contextualSpacing w:val="0"/>
        <w:jc w:val="left"/>
        <w:rPr>
          <w:rFonts w:eastAsia="Calibri"/>
          <w:sz w:val="24"/>
          <w:szCs w:val="24"/>
        </w:rPr>
      </w:pPr>
      <w:r w:rsidRPr="003C7D16">
        <w:rPr>
          <w:rFonts w:eastAsia="Calibri"/>
          <w:sz w:val="24"/>
          <w:szCs w:val="24"/>
        </w:rPr>
        <w:t>Dynamic pick-lists include a list of choices that varies depending on the respondent’s answer to another question.</w:t>
      </w:r>
    </w:p>
    <w:p w:rsidR="00CF30B2" w:rsidRDefault="00CF30B2" w:rsidP="00CF30B2">
      <w:r w:rsidRPr="00796DF6">
        <w:t xml:space="preserve">A dynamic pick-list is analogous to another standard technique in software-enabled surveys, the </w:t>
      </w:r>
      <w:r w:rsidRPr="00796DF6">
        <w:lastRenderedPageBreak/>
        <w:t>skip pattern, also used to avoid spurious responses and to reduce respondent burden.  As currently configured the</w:t>
      </w:r>
      <w:r w:rsidRPr="00881FFF">
        <w:t xml:space="preserve"> UDP</w:t>
      </w:r>
      <w:r>
        <w:rPr>
          <w:color w:val="FF0000"/>
        </w:rPr>
        <w:t xml:space="preserve"> </w:t>
      </w:r>
      <w:r>
        <w:t xml:space="preserve">e-filing </w:t>
      </w:r>
      <w:r w:rsidRPr="0035736E">
        <w:t>system</w:t>
      </w:r>
      <w:r>
        <w:t>s</w:t>
      </w:r>
      <w:r w:rsidRPr="00796DF6">
        <w:t xml:space="preserve"> do not include dynamic pick-lists, but this feature may be added to assist respondent data entry as part of routine software maintenance and upgrades.</w:t>
      </w:r>
    </w:p>
    <w:p w:rsidR="002B1C34" w:rsidRPr="00A24B52" w:rsidRDefault="008205AD" w:rsidP="002B1C34">
      <w:pPr>
        <w:pStyle w:val="Heading2"/>
      </w:pPr>
      <w:bookmarkStart w:id="16" w:name="_Toc334544804"/>
      <w:bookmarkStart w:id="17" w:name="_Toc334545000"/>
      <w:bookmarkStart w:id="18" w:name="_Toc334552619"/>
      <w:bookmarkStart w:id="19" w:name="_Toc334544805"/>
      <w:bookmarkStart w:id="20" w:name="_Toc334545001"/>
      <w:bookmarkStart w:id="21" w:name="_Toc334552620"/>
      <w:bookmarkStart w:id="22" w:name="_Toc334544806"/>
      <w:bookmarkStart w:id="23" w:name="_Toc334545002"/>
      <w:bookmarkStart w:id="24" w:name="_Toc334552621"/>
      <w:bookmarkStart w:id="25" w:name="_Toc409011779"/>
      <w:bookmarkStart w:id="26" w:name="_Toc409769425"/>
      <w:bookmarkStart w:id="27" w:name="_Toc423938208"/>
      <w:bookmarkEnd w:id="16"/>
      <w:bookmarkEnd w:id="17"/>
      <w:bookmarkEnd w:id="18"/>
      <w:bookmarkEnd w:id="19"/>
      <w:bookmarkEnd w:id="20"/>
      <w:bookmarkEnd w:id="21"/>
      <w:bookmarkEnd w:id="22"/>
      <w:bookmarkEnd w:id="23"/>
      <w:bookmarkEnd w:id="24"/>
      <w:r w:rsidRPr="00A24B52">
        <w:t>Technical Considerations to Reduce Burden</w:t>
      </w:r>
      <w:bookmarkEnd w:id="25"/>
      <w:bookmarkEnd w:id="26"/>
      <w:bookmarkEnd w:id="27"/>
    </w:p>
    <w:p w:rsidR="008205AD" w:rsidRDefault="0027109A" w:rsidP="00267CD6">
      <w:pPr>
        <w:spacing w:before="120" w:beforeAutospacing="0"/>
      </w:pPr>
      <w:r w:rsidRPr="00DF09A3">
        <w:t xml:space="preserve">There are no additional capital and start-up cost components or operations and maintenance associated with the UDP data collection effort.  The information is maintained in the normal course of business.  Therefore, other than the cost of burden hours, there are no additional costs for generating, maintaining, and providing the information.  EIA’s expectation is that the </w:t>
      </w:r>
      <w:r w:rsidRPr="00DF09A3">
        <w:rPr>
          <w:color w:val="000000"/>
        </w:rPr>
        <w:t>use of electronic data collection, including features such as pick-lists (see A.3., above) will help minimize the burden on respondents.  In addition, by improving data quality these features will reduce the need for respondents to spend time resolving data errors with EIA.</w:t>
      </w:r>
    </w:p>
    <w:p w:rsidR="000C651B" w:rsidRPr="007E7AFC" w:rsidRDefault="000C651B" w:rsidP="00F44A02">
      <w:pPr>
        <w:pStyle w:val="Heading2"/>
      </w:pPr>
      <w:bookmarkStart w:id="28" w:name="_Toc409011780"/>
      <w:bookmarkStart w:id="29" w:name="_Toc409769426"/>
      <w:bookmarkStart w:id="30" w:name="_Toc423938209"/>
      <w:r w:rsidRPr="007E7AFC">
        <w:t xml:space="preserve">Efforts to </w:t>
      </w:r>
      <w:r w:rsidR="00CE3E6E" w:rsidRPr="007E7AFC">
        <w:t>Identify Duplication and Analysis of Similar Existing Information</w:t>
      </w:r>
      <w:bookmarkEnd w:id="28"/>
      <w:bookmarkEnd w:id="29"/>
      <w:bookmarkEnd w:id="30"/>
    </w:p>
    <w:p w:rsidR="00D1341E" w:rsidRPr="001F3954" w:rsidRDefault="00D1341E" w:rsidP="00D1341E">
      <w:pPr>
        <w:rPr>
          <w:rFonts w:cs="Arial"/>
        </w:rPr>
      </w:pPr>
      <w:r w:rsidRPr="00583461">
        <w:rPr>
          <w:szCs w:val="24"/>
        </w:rPr>
        <w:t>Every effort has been made</w:t>
      </w:r>
      <w:r>
        <w:rPr>
          <w:szCs w:val="24"/>
        </w:rPr>
        <w:t xml:space="preserve"> by EIA</w:t>
      </w:r>
      <w:r w:rsidRPr="00583461">
        <w:rPr>
          <w:szCs w:val="24"/>
        </w:rPr>
        <w:t xml:space="preserve"> to ensure that data are not collected by more than one Federal government agency</w:t>
      </w:r>
      <w:r>
        <w:rPr>
          <w:szCs w:val="24"/>
        </w:rPr>
        <w:t xml:space="preserve">. </w:t>
      </w:r>
      <w:r w:rsidRPr="001F3954">
        <w:t xml:space="preserve">EIA is </w:t>
      </w:r>
      <w:r>
        <w:t xml:space="preserve">the only principal </w:t>
      </w:r>
      <w:r w:rsidRPr="001F3954">
        <w:t>statistical agenc</w:t>
      </w:r>
      <w:r>
        <w:t>y</w:t>
      </w:r>
      <w:r w:rsidRPr="001F3954">
        <w:t xml:space="preserve"> that collect</w:t>
      </w:r>
      <w:r>
        <w:t>s</w:t>
      </w:r>
      <w:r w:rsidRPr="001F3954">
        <w:t xml:space="preserve"> and/or maintains uranium </w:t>
      </w:r>
      <w:r>
        <w:t>data in the Federal Government.</w:t>
      </w:r>
    </w:p>
    <w:p w:rsidR="00D1341E" w:rsidRPr="00EF397F" w:rsidRDefault="00D1341E" w:rsidP="00D1341E">
      <w:pPr>
        <w:rPr>
          <w:szCs w:val="24"/>
        </w:rPr>
      </w:pPr>
      <w:r w:rsidRPr="00EF397F">
        <w:rPr>
          <w:szCs w:val="24"/>
        </w:rPr>
        <w:t xml:space="preserve">Non-statistical agencies that collect and/or maintain uranium data in the U.S. Federal Government include: </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Commerce, Bureau of Industry and Security (BIS), U.S. Additional Protocol (AP)</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Commerce, International Trade Administration (ITA)</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Energy, Office of Environmental Management (EM)</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Energy, Office of Legacy Management (LM)</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Energy, Office of Nuclear Energy (NE)</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Energy, National Nuclear Security Administration (NNSA), Nuclear Materials Management &amp; Safeguard System (NMMSS)</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Department of the Interior, Bureau of Land Management (BLM)</w:t>
      </w:r>
    </w:p>
    <w:p w:rsidR="009A1202" w:rsidRPr="00EF397F" w:rsidRDefault="009A1202" w:rsidP="009A1202">
      <w:pPr>
        <w:pStyle w:val="ListParagraph"/>
        <w:numPr>
          <w:ilvl w:val="0"/>
          <w:numId w:val="12"/>
        </w:numPr>
        <w:spacing w:before="0" w:beforeAutospacing="0" w:after="200" w:afterAutospacing="0" w:line="276" w:lineRule="auto"/>
        <w:jc w:val="left"/>
        <w:rPr>
          <w:sz w:val="24"/>
          <w:szCs w:val="24"/>
        </w:rPr>
      </w:pPr>
      <w:r w:rsidRPr="00EF397F">
        <w:rPr>
          <w:sz w:val="24"/>
          <w:szCs w:val="24"/>
        </w:rPr>
        <w:t>Environmental Protection Agency (EPA)</w:t>
      </w:r>
    </w:p>
    <w:p w:rsidR="00D1341E"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Nuclear Regulatory Commission (NRC)</w:t>
      </w:r>
    </w:p>
    <w:p w:rsidR="009A1202" w:rsidRPr="00EF397F" w:rsidRDefault="009A1202" w:rsidP="009A1202">
      <w:pPr>
        <w:pStyle w:val="ListParagraph"/>
        <w:numPr>
          <w:ilvl w:val="0"/>
          <w:numId w:val="12"/>
        </w:numPr>
        <w:spacing w:before="0" w:beforeAutospacing="0" w:after="200" w:afterAutospacing="0" w:line="276" w:lineRule="auto"/>
        <w:jc w:val="left"/>
        <w:rPr>
          <w:sz w:val="24"/>
          <w:szCs w:val="24"/>
        </w:rPr>
      </w:pPr>
      <w:r w:rsidRPr="00EF397F">
        <w:rPr>
          <w:sz w:val="24"/>
          <w:szCs w:val="24"/>
        </w:rPr>
        <w:t>U.S. Geological Survey (USGS)</w:t>
      </w:r>
    </w:p>
    <w:p w:rsidR="00D1341E" w:rsidRPr="00EF397F" w:rsidRDefault="00D1341E" w:rsidP="00D1341E">
      <w:pPr>
        <w:pStyle w:val="ListParagraph"/>
        <w:numPr>
          <w:ilvl w:val="0"/>
          <w:numId w:val="12"/>
        </w:numPr>
        <w:spacing w:before="0" w:beforeAutospacing="0" w:after="200" w:afterAutospacing="0" w:line="276" w:lineRule="auto"/>
        <w:jc w:val="left"/>
        <w:rPr>
          <w:sz w:val="24"/>
          <w:szCs w:val="24"/>
        </w:rPr>
      </w:pPr>
      <w:r w:rsidRPr="00EF397F">
        <w:rPr>
          <w:sz w:val="24"/>
          <w:szCs w:val="24"/>
        </w:rPr>
        <w:t>U.S. International Trade Commission (US ITC)</w:t>
      </w:r>
    </w:p>
    <w:p w:rsidR="000C651B" w:rsidRDefault="00D1341E" w:rsidP="00D1341E">
      <w:r>
        <w:lastRenderedPageBreak/>
        <w:t>EIA evaluated the above sources of publicly available uranium data and found no other source as comprehensive, timely, or detailed as the data collected on Form EIA-851A, Form EIA-851Q, and Form EIA-858.  EIA surveys capture the entire U.S. uranium industry and market, and keep the reporting burden to a minimum.</w:t>
      </w:r>
    </w:p>
    <w:p w:rsidR="000C651B" w:rsidRPr="003D096F" w:rsidRDefault="000C651B" w:rsidP="00F44A02">
      <w:pPr>
        <w:pStyle w:val="Heading2"/>
      </w:pPr>
      <w:bookmarkStart w:id="31" w:name="_Toc409011781"/>
      <w:bookmarkStart w:id="32" w:name="_Toc409769427"/>
      <w:bookmarkStart w:id="33" w:name="_Toc423938210"/>
      <w:r w:rsidRPr="003D096F">
        <w:t>Burden Reduction for Small Businesses and Small Entities</w:t>
      </w:r>
      <w:bookmarkEnd w:id="31"/>
      <w:bookmarkEnd w:id="32"/>
      <w:bookmarkEnd w:id="33"/>
    </w:p>
    <w:p w:rsidR="000C651B" w:rsidRDefault="00704803" w:rsidP="007A7696">
      <w:pPr>
        <w:spacing w:before="120" w:beforeAutospacing="0"/>
      </w:pPr>
      <w:r w:rsidRPr="00A702D3">
        <w:t>Minimizing the burden on small businesses responding to EIA surveys</w:t>
      </w:r>
      <w:r>
        <w:t xml:space="preserve"> </w:t>
      </w:r>
      <w:r w:rsidRPr="00A702D3">
        <w:t xml:space="preserve">is of primary concern to </w:t>
      </w:r>
      <w:r w:rsidR="006B2D6F">
        <w:t>EIA</w:t>
      </w:r>
      <w:r w:rsidRPr="00A702D3">
        <w:t xml:space="preserve">.  </w:t>
      </w:r>
      <w:r w:rsidRPr="00A702D3">
        <w:rPr>
          <w:color w:val="000000"/>
        </w:rPr>
        <w:t xml:space="preserve">To the extent possible EIA designs its data surveys so that small operations are not unduly affected.  </w:t>
      </w:r>
      <w:r>
        <w:t>This is especially important to the UDP as small business constitute</w:t>
      </w:r>
      <w:r w:rsidR="00565747">
        <w:t>s</w:t>
      </w:r>
      <w:r>
        <w:t xml:space="preserve"> a sizeable segment of the U.S. uranium industry.  </w:t>
      </w:r>
      <w:r w:rsidRPr="00A702D3">
        <w:t xml:space="preserve">Companies engaged in the U.S. uranium industry range in size from small firms </w:t>
      </w:r>
      <w:r>
        <w:t xml:space="preserve">to large firms.  The small firms </w:t>
      </w:r>
      <w:r w:rsidRPr="00A702D3">
        <w:t>participate in a limited or full range of industry activities from land acquisition through exploration, drilling, mining, milling, processing, conversion, and U.S. market broker/traders</w:t>
      </w:r>
      <w:r>
        <w:t>.  The large firms</w:t>
      </w:r>
      <w:r w:rsidRPr="00A702D3">
        <w:t xml:space="preserve"> own and operate U.S. nuclear power reactors, enrich uranium, and fabricate nuclear fuel assemblies.  Given the relatively small number of firms in the U.S. uranium industry, it is important that each firm in the industry, regardless of its size, participate in </w:t>
      </w:r>
      <w:r w:rsidR="006B2D6F">
        <w:t>EIA</w:t>
      </w:r>
      <w:r w:rsidRPr="00A702D3">
        <w:t>'s</w:t>
      </w:r>
      <w:r w:rsidR="00280153">
        <w:t xml:space="preserve"> </w:t>
      </w:r>
      <w:r w:rsidRPr="00A702D3">
        <w:t xml:space="preserve">UDP surveys in order for the resulting statistical information to accurately represent the entire U.S. industry and market.  </w:t>
      </w:r>
      <w:r w:rsidRPr="00A702D3">
        <w:rPr>
          <w:color w:val="000000"/>
        </w:rPr>
        <w:t xml:space="preserve">To accomplish this, the </w:t>
      </w:r>
      <w:r w:rsidRPr="00A702D3">
        <w:t xml:space="preserve">UDP survey forms only request data for items that are normally recorded in maintaining any business.  Of the data elements requested, EIA anticipates that little time will be required of small companies in preparing their responses.  </w:t>
      </w:r>
      <w:r w:rsidRPr="00A702D3">
        <w:rPr>
          <w:color w:val="000000"/>
        </w:rPr>
        <w:t>The use of electronic data collection, including features such as pick-</w:t>
      </w:r>
      <w:r w:rsidRPr="005B3E26">
        <w:t xml:space="preserve">lists (see A.3., above) is </w:t>
      </w:r>
      <w:r w:rsidRPr="00A702D3">
        <w:rPr>
          <w:color w:val="000000"/>
        </w:rPr>
        <w:t xml:space="preserve">also intended to reduce the response </w:t>
      </w:r>
      <w:r>
        <w:rPr>
          <w:color w:val="000000"/>
        </w:rPr>
        <w:t xml:space="preserve">burden on </w:t>
      </w:r>
      <w:r w:rsidRPr="00A702D3">
        <w:rPr>
          <w:color w:val="000000"/>
        </w:rPr>
        <w:t>small business.</w:t>
      </w:r>
    </w:p>
    <w:p w:rsidR="000C651B" w:rsidRPr="00A577AC" w:rsidRDefault="00CE3E6E" w:rsidP="00F44A02">
      <w:pPr>
        <w:pStyle w:val="Heading2"/>
      </w:pPr>
      <w:bookmarkStart w:id="34" w:name="_Toc409011782"/>
      <w:bookmarkStart w:id="35" w:name="_Toc409769428"/>
      <w:bookmarkStart w:id="36" w:name="_Toc423938211"/>
      <w:r w:rsidRPr="00A577AC">
        <w:t>Consequences of Less Frequent Reporting</w:t>
      </w:r>
      <w:bookmarkEnd w:id="34"/>
      <w:bookmarkEnd w:id="35"/>
      <w:bookmarkEnd w:id="36"/>
    </w:p>
    <w:p w:rsidR="00CE3E6E" w:rsidRPr="007A4769" w:rsidRDefault="00EC0061" w:rsidP="006F6B2A">
      <w:r w:rsidRPr="00CD6071">
        <w:t>Less frequent reporting would not enable EIA to meet its mandate of providing timely, reliable information on the U.S.</w:t>
      </w:r>
      <w:r>
        <w:t xml:space="preserve"> uranium industry and market to the Congress, other Federal, State and l</w:t>
      </w:r>
      <w:r w:rsidRPr="00CD6071">
        <w:t>ocal governments, industry</w:t>
      </w:r>
      <w:r>
        <w:t>, and the general public.</w:t>
      </w:r>
      <w:r w:rsidR="004E082E">
        <w:t xml:space="preserve"> </w:t>
      </w:r>
      <w:r w:rsidRPr="00CD6071">
        <w:t>Form EIA-851A and Form EIA-858 surveys collect uran</w:t>
      </w:r>
      <w:r>
        <w:t xml:space="preserve">ium data on an annual basis.  </w:t>
      </w:r>
      <w:r w:rsidRPr="00CD6071">
        <w:t xml:space="preserve">Form EIA-851Q survey collects three months of </w:t>
      </w:r>
      <w:r>
        <w:t xml:space="preserve">U.S. </w:t>
      </w:r>
      <w:r w:rsidRPr="00CD6071">
        <w:t xml:space="preserve">uranium production data </w:t>
      </w:r>
      <w:r>
        <w:t>on a quarterly basis</w:t>
      </w:r>
      <w:r w:rsidRPr="00CD6071">
        <w:t>.</w:t>
      </w:r>
    </w:p>
    <w:p w:rsidR="000C651B" w:rsidRPr="009665BD" w:rsidRDefault="000C651B" w:rsidP="00F44A02">
      <w:pPr>
        <w:pStyle w:val="Heading2"/>
      </w:pPr>
      <w:bookmarkStart w:id="37" w:name="_Toc409011783"/>
      <w:bookmarkStart w:id="38" w:name="_Toc409769429"/>
      <w:bookmarkStart w:id="39" w:name="_Toc423938212"/>
      <w:r w:rsidRPr="009665BD">
        <w:t>Special Circumstances</w:t>
      </w:r>
      <w:bookmarkEnd w:id="37"/>
      <w:bookmarkEnd w:id="38"/>
      <w:bookmarkEnd w:id="39"/>
    </w:p>
    <w:p w:rsidR="00CE3E6E" w:rsidRPr="00CE3E6E" w:rsidRDefault="00CE3E6E" w:rsidP="007A4769">
      <w:pPr>
        <w:spacing w:before="120" w:beforeAutospacing="0"/>
      </w:pPr>
      <w:r w:rsidRPr="00CE3E6E">
        <w:t>There are no</w:t>
      </w:r>
      <w:r w:rsidR="008205AD">
        <w:t>t any</w:t>
      </w:r>
      <w:r w:rsidRPr="00CE3E6E">
        <w:t xml:space="preserve"> special circumstances for the</w:t>
      </w:r>
      <w:r w:rsidR="007A4769">
        <w:t xml:space="preserve"> </w:t>
      </w:r>
      <w:r w:rsidR="00C942FA">
        <w:t>UDP</w:t>
      </w:r>
      <w:r w:rsidR="007A4769">
        <w:t xml:space="preserve"> data</w:t>
      </w:r>
      <w:r w:rsidRPr="00CE3E6E">
        <w:t xml:space="preserve"> collection.</w:t>
      </w:r>
    </w:p>
    <w:p w:rsidR="000C651B" w:rsidRPr="009665BD" w:rsidRDefault="000C651B" w:rsidP="00F44A02">
      <w:pPr>
        <w:pStyle w:val="Heading2"/>
      </w:pPr>
      <w:bookmarkStart w:id="40" w:name="_Toc409011784"/>
      <w:bookmarkStart w:id="41" w:name="_Toc409769430"/>
      <w:bookmarkStart w:id="42" w:name="_Toc423938213"/>
      <w:r w:rsidRPr="009665BD">
        <w:t xml:space="preserve">Summary of Consultation Outside </w:t>
      </w:r>
      <w:bookmarkEnd w:id="40"/>
      <w:bookmarkEnd w:id="41"/>
      <w:r w:rsidR="006B2D6F">
        <w:t>EIA</w:t>
      </w:r>
      <w:bookmarkEnd w:id="42"/>
    </w:p>
    <w:p w:rsidR="00834E66" w:rsidRDefault="004E082E" w:rsidP="00143E2F">
      <w:pPr>
        <w:spacing w:before="120" w:beforeAutospacing="0"/>
      </w:pPr>
      <w:r w:rsidRPr="00673DFC">
        <w:t>Consultations were conducted</w:t>
      </w:r>
      <w:r>
        <w:t xml:space="preserve"> by EIA </w:t>
      </w:r>
      <w:r w:rsidRPr="00673DFC">
        <w:t xml:space="preserve">using a </w:t>
      </w:r>
      <w:r w:rsidRPr="008D3600">
        <w:rPr>
          <w:i/>
        </w:rPr>
        <w:t>Federal Register</w:t>
      </w:r>
      <w:r w:rsidRPr="00673DFC">
        <w:t xml:space="preserve"> Notice (FR Vol. </w:t>
      </w:r>
      <w:r w:rsidR="008C0B2A">
        <w:t>80</w:t>
      </w:r>
      <w:r w:rsidRPr="00673DFC">
        <w:t xml:space="preserve">, No. </w:t>
      </w:r>
      <w:r w:rsidR="008C0B2A">
        <w:t>28</w:t>
      </w:r>
      <w:r w:rsidRPr="00673DFC">
        <w:t xml:space="preserve">, p. </w:t>
      </w:r>
      <w:r w:rsidR="008C0B2A">
        <w:lastRenderedPageBreak/>
        <w:t>7583</w:t>
      </w:r>
      <w:r w:rsidR="00692314">
        <w:t>) published on February 11, 2015</w:t>
      </w:r>
      <w:r w:rsidR="00BD368C" w:rsidRPr="00DB5CA7">
        <w:t xml:space="preserve">. </w:t>
      </w:r>
      <w:r w:rsidRPr="00DB5CA7">
        <w:t>Copies of the notice were e-mailed to potential respondents</w:t>
      </w:r>
      <w:r w:rsidR="00447768" w:rsidRPr="00DB5CA7">
        <w:t xml:space="preserve">, industry contacts, </w:t>
      </w:r>
      <w:r w:rsidR="00BD368C" w:rsidRPr="00DB5CA7">
        <w:t>industry trade press,</w:t>
      </w:r>
      <w:r w:rsidRPr="00DB5CA7">
        <w:t xml:space="preserve"> and the Nuclear Energy Institute (NEI) for comment. T</w:t>
      </w:r>
      <w:r w:rsidRPr="00673DFC">
        <w:t xml:space="preserve">his supporting statement will be made available on the EIA website, along with drafts of the proposed </w:t>
      </w:r>
      <w:r>
        <w:t xml:space="preserve">UDP </w:t>
      </w:r>
      <w:r w:rsidRPr="00673DFC">
        <w:t>form</w:t>
      </w:r>
      <w:r>
        <w:t>s and instructions</w:t>
      </w:r>
      <w:r w:rsidR="003603E2">
        <w:t xml:space="preserve">. </w:t>
      </w:r>
      <w:r w:rsidR="00CE3E6E" w:rsidRPr="00B1558B">
        <w:t xml:space="preserve">In addition, the notice and proposed versions of the forms were posted on </w:t>
      </w:r>
      <w:r w:rsidR="001D0A14">
        <w:t xml:space="preserve">the </w:t>
      </w:r>
      <w:r w:rsidR="00E834D8">
        <w:t>EIA website at:</w:t>
      </w:r>
    </w:p>
    <w:p w:rsidR="00E834D8" w:rsidRDefault="00D73B16" w:rsidP="00143E2F">
      <w:pPr>
        <w:spacing w:before="120" w:beforeAutospacing="0"/>
      </w:pPr>
      <w:r>
        <w:tab/>
      </w:r>
      <w:hyperlink r:id="rId15" w:anchor="eia-851a" w:history="1">
        <w:r w:rsidRPr="005B7C55">
          <w:rPr>
            <w:rStyle w:val="Hyperlink"/>
          </w:rPr>
          <w:t>http://www.eia.gov/survey/#eia-851a</w:t>
        </w:r>
      </w:hyperlink>
    </w:p>
    <w:p w:rsidR="00D73B16" w:rsidRDefault="00D73B16" w:rsidP="00143E2F">
      <w:pPr>
        <w:spacing w:before="120" w:beforeAutospacing="0"/>
      </w:pPr>
      <w:r>
        <w:tab/>
      </w:r>
      <w:hyperlink r:id="rId16" w:anchor="eia-851q" w:history="1">
        <w:r w:rsidRPr="005B7C55">
          <w:rPr>
            <w:rStyle w:val="Hyperlink"/>
          </w:rPr>
          <w:t>http://www.eia.gov/survey/#eia-851q</w:t>
        </w:r>
      </w:hyperlink>
    </w:p>
    <w:p w:rsidR="00D73B16" w:rsidRDefault="00D73B16" w:rsidP="00143E2F">
      <w:pPr>
        <w:spacing w:before="120" w:beforeAutospacing="0"/>
      </w:pPr>
      <w:r>
        <w:tab/>
      </w:r>
      <w:hyperlink r:id="rId17" w:anchor="eia-858" w:history="1">
        <w:r w:rsidRPr="005B7C55">
          <w:rPr>
            <w:rStyle w:val="Hyperlink"/>
          </w:rPr>
          <w:t>http://www.eia.gov/survey/#eia-858</w:t>
        </w:r>
      </w:hyperlink>
    </w:p>
    <w:p w:rsidR="007E5559" w:rsidRDefault="00834E66" w:rsidP="00E573C4">
      <w:pPr>
        <w:spacing w:before="480" w:beforeAutospacing="0" w:after="0" w:afterAutospacing="0"/>
        <w:rPr>
          <w:snapToGrid/>
          <w:szCs w:val="24"/>
        </w:rPr>
      </w:pPr>
      <w:r w:rsidRPr="00834E66">
        <w:rPr>
          <w:u w:val="single"/>
        </w:rPr>
        <w:t xml:space="preserve">Summary of Responses to Federal Register Notice of </w:t>
      </w:r>
      <w:r w:rsidR="00C0437D">
        <w:rPr>
          <w:u w:val="single"/>
        </w:rPr>
        <w:t>February 11, 2015</w:t>
      </w:r>
      <w:r>
        <w:t>:</w:t>
      </w:r>
    </w:p>
    <w:p w:rsidR="00833C26" w:rsidRPr="00595F34" w:rsidRDefault="009A400A" w:rsidP="00E573C4">
      <w:pPr>
        <w:spacing w:before="120" w:beforeAutospacing="0"/>
        <w:rPr>
          <w:b/>
          <w:snapToGrid/>
          <w:szCs w:val="24"/>
        </w:rPr>
      </w:pPr>
      <w:r w:rsidRPr="00595F34">
        <w:rPr>
          <w:b/>
          <w:snapToGrid/>
          <w:szCs w:val="24"/>
        </w:rPr>
        <w:t>There</w:t>
      </w:r>
      <w:r w:rsidR="00833C26" w:rsidRPr="00595F34">
        <w:rPr>
          <w:b/>
          <w:snapToGrid/>
          <w:szCs w:val="24"/>
        </w:rPr>
        <w:t xml:space="preserve"> were </w:t>
      </w:r>
      <w:r w:rsidR="00C0437D" w:rsidRPr="00595F34">
        <w:rPr>
          <w:b/>
          <w:snapToGrid/>
          <w:szCs w:val="24"/>
        </w:rPr>
        <w:t>no</w:t>
      </w:r>
      <w:r w:rsidR="00833C26" w:rsidRPr="00595F34">
        <w:rPr>
          <w:b/>
          <w:snapToGrid/>
          <w:szCs w:val="24"/>
        </w:rPr>
        <w:t xml:space="preserve"> </w:t>
      </w:r>
      <w:r w:rsidR="007F7466" w:rsidRPr="00595F34">
        <w:rPr>
          <w:b/>
          <w:snapToGrid/>
          <w:szCs w:val="24"/>
        </w:rPr>
        <w:t>comments</w:t>
      </w:r>
      <w:r w:rsidR="00833C26" w:rsidRPr="00595F34">
        <w:rPr>
          <w:b/>
          <w:snapToGrid/>
          <w:szCs w:val="24"/>
        </w:rPr>
        <w:t xml:space="preserve"> to the Federal Register Notice</w:t>
      </w:r>
      <w:r w:rsidRPr="00595F34">
        <w:rPr>
          <w:b/>
          <w:snapToGrid/>
          <w:szCs w:val="24"/>
        </w:rPr>
        <w:t>.</w:t>
      </w:r>
    </w:p>
    <w:p w:rsidR="008A64E5" w:rsidRPr="00DC1E07" w:rsidRDefault="00505CCA" w:rsidP="00F44A02">
      <w:pPr>
        <w:pStyle w:val="Heading2"/>
      </w:pPr>
      <w:bookmarkStart w:id="43" w:name="_Toc409011785"/>
      <w:bookmarkStart w:id="44" w:name="_Toc409769431"/>
      <w:bookmarkStart w:id="45" w:name="_Toc423938214"/>
      <w:r w:rsidRPr="00DC1E07">
        <w:t>Remuneration</w:t>
      </w:r>
      <w:bookmarkEnd w:id="43"/>
      <w:bookmarkEnd w:id="44"/>
      <w:bookmarkEnd w:id="45"/>
    </w:p>
    <w:p w:rsidR="008A64E5" w:rsidRPr="00F709A9" w:rsidRDefault="002A6E88" w:rsidP="00F371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beforeAutospacing="0"/>
        <w:rPr>
          <w:u w:val="single"/>
        </w:rPr>
      </w:pPr>
      <w:r>
        <w:t xml:space="preserve">No </w:t>
      </w:r>
      <w:r w:rsidRPr="000D6A2A">
        <w:t>payments or gifts are made to the respondents of the</w:t>
      </w:r>
      <w:r>
        <w:t>se</w:t>
      </w:r>
      <w:r w:rsidRPr="000D6A2A">
        <w:t xml:space="preserve"> </w:t>
      </w:r>
      <w:r>
        <w:t xml:space="preserve">UDP </w:t>
      </w:r>
      <w:r w:rsidRPr="000D6A2A">
        <w:t>survey</w:t>
      </w:r>
      <w:r>
        <w:t>s</w:t>
      </w:r>
      <w:r w:rsidRPr="000D6A2A">
        <w:t>.</w:t>
      </w:r>
    </w:p>
    <w:p w:rsidR="008A64E5" w:rsidRPr="005D2833" w:rsidRDefault="00A15D29" w:rsidP="00F44A02">
      <w:pPr>
        <w:pStyle w:val="Heading2"/>
      </w:pPr>
      <w:bookmarkStart w:id="46" w:name="_Toc423938215"/>
      <w:r>
        <w:rPr>
          <w:snapToGrid w:val="0"/>
        </w:rPr>
        <w:t>Confidentiality Provisions</w:t>
      </w:r>
      <w:bookmarkEnd w:id="46"/>
    </w:p>
    <w:p w:rsidR="000F0C02" w:rsidRPr="00B12BD8" w:rsidRDefault="000F0C02" w:rsidP="00B12BD8">
      <w:bookmarkStart w:id="47" w:name="OLE_LINK7"/>
      <w:bookmarkStart w:id="48" w:name="OLE_LINK8"/>
      <w:r w:rsidRPr="00B12BD8">
        <w:t>EIA UDP surveys are collected under the Confidential Information Protection and Statistical Efficiency Act of 2002 (CIPSEA).  CIPSEA provides legal authority for a federal statistical agency to provide a pledge of confidentiality protection to its statistical survey info</w:t>
      </w:r>
      <w:r w:rsidR="008760C5">
        <w:t xml:space="preserve">rmation collection activities. </w:t>
      </w:r>
      <w:r w:rsidRPr="00B12BD8">
        <w:t xml:space="preserve">EIA is required to pledge to respondents that it will keep the provided information confidential and that the information will be exclusively </w:t>
      </w:r>
      <w:r w:rsidR="008760C5">
        <w:t xml:space="preserve">used for statistical purposes. </w:t>
      </w:r>
      <w:r w:rsidRPr="00B12BD8">
        <w:t xml:space="preserve">The appropriate </w:t>
      </w:r>
      <w:r w:rsidR="00E832C9" w:rsidRPr="00B12BD8">
        <w:t>CIPSEA pledge is</w:t>
      </w:r>
      <w:r w:rsidRPr="00B12BD8">
        <w:t xml:space="preserve"> incorporated into the survey instructions and the form include</w:t>
      </w:r>
      <w:r w:rsidR="00E832C9" w:rsidRPr="00B12BD8">
        <w:t>s</w:t>
      </w:r>
      <w:r w:rsidRPr="00B12BD8">
        <w:t xml:space="preserve"> a reference to the instructions for details about confidentiality.  </w:t>
      </w:r>
    </w:p>
    <w:p w:rsidR="000F0C02" w:rsidRPr="00EA2380" w:rsidRDefault="000F0C02" w:rsidP="000F0C0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5F772B">
        <w:rPr>
          <w:u w:val="single"/>
        </w:rPr>
        <w:t>Except for the elements listed below</w:t>
      </w:r>
      <w:r w:rsidRPr="00EA2380">
        <w:t xml:space="preserve">, the information provided </w:t>
      </w:r>
      <w:r>
        <w:t xml:space="preserve">on the EIA UDP forms </w:t>
      </w:r>
      <w:r w:rsidRPr="00EA2380">
        <w:t>will be used for statistical purposes only and kept confidential</w:t>
      </w:r>
      <w:r>
        <w:t xml:space="preserve"> </w:t>
      </w:r>
      <w:r w:rsidRPr="00043DA0">
        <w:t xml:space="preserve">under </w:t>
      </w:r>
      <w:r>
        <w:t>the Confidential Information Protection and Statistical Efficiency Act of 2002 (</w:t>
      </w:r>
      <w:r w:rsidRPr="00043DA0">
        <w:t>CIPSEA</w:t>
      </w:r>
      <w:r>
        <w:t>)</w:t>
      </w:r>
      <w:r w:rsidRPr="00EA2380">
        <w:t xml:space="preserve">. </w:t>
      </w:r>
    </w:p>
    <w:p w:rsidR="000F0C02" w:rsidRPr="00EA2380" w:rsidRDefault="000F0C02" w:rsidP="000F0C0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EA2380">
        <w:t xml:space="preserve">The following elements reported on the </w:t>
      </w:r>
      <w:r>
        <w:t xml:space="preserve">EIA </w:t>
      </w:r>
      <w:r w:rsidRPr="00EA2380">
        <w:t xml:space="preserve">UDP surveys will be </w:t>
      </w:r>
      <w:r w:rsidRPr="00EA2380">
        <w:rPr>
          <w:iCs/>
        </w:rPr>
        <w:t>considered “public information” and may be publicly released in company or individually identifiable form, and will not be protected from disclosure in identifiable form.</w:t>
      </w:r>
    </w:p>
    <w:p w:rsidR="000F0C02" w:rsidRPr="00EA2380" w:rsidRDefault="000F0C02" w:rsidP="00C77B8D">
      <w:pPr>
        <w:rPr>
          <w:u w:val="single"/>
        </w:rPr>
      </w:pPr>
      <w:r w:rsidRPr="00EA2380">
        <w:rPr>
          <w:bCs/>
          <w:u w:val="single"/>
        </w:rPr>
        <w:t>Form EIA-851A (Annual) and Form EIA-851Q (Quarterly)</w:t>
      </w:r>
      <w:r w:rsidRPr="00EA2380">
        <w:rPr>
          <w:u w:val="single"/>
        </w:rPr>
        <w:t>:</w:t>
      </w:r>
    </w:p>
    <w:p w:rsidR="000F0C02" w:rsidRPr="00EA2380" w:rsidRDefault="000F0C02" w:rsidP="00E41247">
      <w:pPr>
        <w:ind w:firstLine="360"/>
      </w:pPr>
      <w:r w:rsidRPr="00EA2380">
        <w:lastRenderedPageBreak/>
        <w:t>Respondent and Contact Information:</w:t>
      </w:r>
    </w:p>
    <w:p w:rsidR="000F0C02" w:rsidRPr="00EA2380" w:rsidRDefault="000F0C02" w:rsidP="00E41247">
      <w:pPr>
        <w:ind w:left="360" w:firstLine="360"/>
      </w:pPr>
      <w:r w:rsidRPr="00EA2380">
        <w:t>- Company Name</w:t>
      </w:r>
    </w:p>
    <w:p w:rsidR="000F0C02" w:rsidRPr="00EA2380" w:rsidRDefault="000F0C02" w:rsidP="00E41247">
      <w:pPr>
        <w:ind w:firstLine="360"/>
      </w:pPr>
      <w:r w:rsidRPr="00EA2380">
        <w:t>Item 1: Facility Information</w:t>
      </w:r>
    </w:p>
    <w:p w:rsidR="000F0C02" w:rsidRPr="00EA2380" w:rsidRDefault="000F0C02" w:rsidP="00E41247">
      <w:pPr>
        <w:ind w:left="360" w:firstLine="360"/>
      </w:pPr>
      <w:r w:rsidRPr="00EA2380">
        <w:t>- Name</w:t>
      </w:r>
    </w:p>
    <w:p w:rsidR="000F0C02" w:rsidRPr="00EA2380" w:rsidRDefault="00E41247" w:rsidP="00E41247">
      <w:r>
        <w:tab/>
      </w:r>
      <w:r>
        <w:tab/>
      </w:r>
      <w:r w:rsidR="000F0C02" w:rsidRPr="00EA2380">
        <w:t>- County</w:t>
      </w:r>
    </w:p>
    <w:p w:rsidR="000F0C02" w:rsidRPr="00EA2380" w:rsidRDefault="000F0C02" w:rsidP="00E41247">
      <w:pPr>
        <w:ind w:left="360" w:firstLine="360"/>
      </w:pPr>
      <w:r w:rsidRPr="00EA2380">
        <w:t>- State</w:t>
      </w:r>
    </w:p>
    <w:p w:rsidR="000F0C02" w:rsidRPr="00EA2380" w:rsidRDefault="00E41247" w:rsidP="00E41247">
      <w:r>
        <w:tab/>
      </w:r>
      <w:r w:rsidR="000F0C02" w:rsidRPr="00EA2380">
        <w:tab/>
        <w:t>- Owner</w:t>
      </w:r>
    </w:p>
    <w:p w:rsidR="000F0C02" w:rsidRPr="00EA2380" w:rsidRDefault="00E41247" w:rsidP="00E41247">
      <w:r>
        <w:tab/>
      </w:r>
      <w:r w:rsidR="000F0C02" w:rsidRPr="00EA2380">
        <w:tab/>
        <w:t>- Rated Capacity</w:t>
      </w:r>
    </w:p>
    <w:p w:rsidR="000F0C02" w:rsidRPr="00EA2380" w:rsidRDefault="00E41247" w:rsidP="00E41247">
      <w:r>
        <w:tab/>
      </w:r>
      <w:r w:rsidR="000F0C02" w:rsidRPr="00EA2380">
        <w:tab/>
        <w:t>- Operating Status</w:t>
      </w:r>
    </w:p>
    <w:p w:rsidR="000F0C02" w:rsidRPr="00EA2380" w:rsidRDefault="000F0C02" w:rsidP="00E41247">
      <w:pPr>
        <w:rPr>
          <w:u w:val="single"/>
        </w:rPr>
      </w:pPr>
      <w:r w:rsidRPr="00EA2380">
        <w:rPr>
          <w:bCs/>
          <w:u w:val="single"/>
        </w:rPr>
        <w:t>Form EIA-858</w:t>
      </w:r>
      <w:r w:rsidRPr="00EA2380">
        <w:rPr>
          <w:u w:val="single"/>
        </w:rPr>
        <w:t>:</w:t>
      </w:r>
    </w:p>
    <w:p w:rsidR="000F0C02" w:rsidRPr="00EA2380" w:rsidRDefault="000F0C02" w:rsidP="00E41247">
      <w:pPr>
        <w:ind w:firstLine="360"/>
      </w:pPr>
      <w:r w:rsidRPr="00EA2380">
        <w:t>Respondent and Contact Information:</w:t>
      </w:r>
    </w:p>
    <w:p w:rsidR="000F0C02" w:rsidRPr="00EA2380" w:rsidRDefault="000F0C02" w:rsidP="00E41247">
      <w:pPr>
        <w:ind w:left="360" w:firstLine="360"/>
      </w:pPr>
      <w:r w:rsidRPr="00EA2380">
        <w:t xml:space="preserve">- Company Name </w:t>
      </w:r>
    </w:p>
    <w:p w:rsidR="000F0C02" w:rsidRPr="00EA2380" w:rsidRDefault="000F0C02" w:rsidP="00E41247">
      <w:pPr>
        <w:ind w:firstLine="360"/>
      </w:pPr>
      <w:r w:rsidRPr="00EA2380">
        <w:t>Item 1: Contract</w:t>
      </w:r>
    </w:p>
    <w:p w:rsidR="000F0C02" w:rsidRPr="00EA2380" w:rsidRDefault="000F0C02" w:rsidP="00E41247">
      <w:pPr>
        <w:ind w:left="360" w:firstLine="360"/>
      </w:pPr>
      <w:r w:rsidRPr="00EA2380">
        <w:t xml:space="preserve">- A. Other Party Name </w:t>
      </w:r>
    </w:p>
    <w:p w:rsidR="000F0C02" w:rsidRPr="00EA2380" w:rsidRDefault="000F0C02" w:rsidP="00E41247">
      <w:pPr>
        <w:ind w:firstLine="360"/>
      </w:pPr>
      <w:r w:rsidRPr="00EA2380">
        <w:t>Item 3, Enrichment Services Purchased by Owners and Operators of Civilian Nuclear Power Reactors</w:t>
      </w:r>
    </w:p>
    <w:p w:rsidR="000F0C02" w:rsidRPr="00EA2380" w:rsidRDefault="000F0C02" w:rsidP="00E41247">
      <w:pPr>
        <w:ind w:left="360" w:firstLine="360"/>
      </w:pPr>
      <w:r w:rsidRPr="00EA2380">
        <w:t>- B. Seller's Name</w:t>
      </w:r>
    </w:p>
    <w:p w:rsidR="000F0C02" w:rsidRPr="00422F75" w:rsidRDefault="000F0C02" w:rsidP="000F0C0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22F75">
        <w:t>For respondents to Form EIA-851A</w:t>
      </w:r>
      <w:r>
        <w:t xml:space="preserve"> and Form EIA-851Q</w:t>
      </w:r>
      <w:r w:rsidRPr="00422F75">
        <w:t xml:space="preserve">, the </w:t>
      </w:r>
      <w:r w:rsidR="007407B5">
        <w:t xml:space="preserve">CIPSEA confidentiality </w:t>
      </w:r>
      <w:r w:rsidRPr="00422F75">
        <w:t>pledge will read:</w:t>
      </w:r>
    </w:p>
    <w:p w:rsidR="000F0C02" w:rsidRDefault="000F0C02" w:rsidP="00C77B8D">
      <w:pPr>
        <w:ind w:left="360"/>
      </w:pPr>
      <w:r w:rsidRPr="001E6862">
        <w:rPr>
          <w:rFonts w:cs="Arial"/>
        </w:rPr>
        <w:t>The information elements (</w:t>
      </w:r>
      <w:r>
        <w:rPr>
          <w:rFonts w:cs="Arial"/>
        </w:rPr>
        <w:t xml:space="preserve">Company name, </w:t>
      </w:r>
      <w:r w:rsidRPr="00EA2380">
        <w:t>Facility Information</w:t>
      </w:r>
      <w:r>
        <w:t xml:space="preserve"> reported in Item including Name, County, State, Owner, Rated Capacity and Operating Status)</w:t>
      </w:r>
      <w:r w:rsidRPr="001E6862">
        <w:rPr>
          <w:rFonts w:cs="Arial"/>
        </w:rPr>
        <w:t xml:space="preserve"> reported on Form EIA-</w:t>
      </w:r>
      <w:r>
        <w:rPr>
          <w:rFonts w:cs="Arial"/>
        </w:rPr>
        <w:t>851A and Form EIA-851Q</w:t>
      </w:r>
      <w:r w:rsidRPr="001E6862">
        <w:rPr>
          <w:rFonts w:cs="Arial"/>
        </w:rPr>
        <w:t xml:space="preserve"> will be treated as </w:t>
      </w:r>
      <w:r>
        <w:rPr>
          <w:rFonts w:cs="Arial"/>
        </w:rPr>
        <w:t xml:space="preserve">public information and released in identifiable form.  </w:t>
      </w:r>
      <w:r>
        <w:rPr>
          <w:b/>
          <w:szCs w:val="24"/>
        </w:rPr>
        <w:t xml:space="preserve"> </w:t>
      </w:r>
      <w:r>
        <w:rPr>
          <w:szCs w:val="24"/>
        </w:rPr>
        <w:t xml:space="preserve">All other information </w:t>
      </w:r>
      <w:r w:rsidRPr="00043DA0">
        <w:t xml:space="preserve">you provide will be used for statistical purposes only.  In accordance with the Confidential Information Protection provisions of Title V, Subtitle A of </w:t>
      </w:r>
      <w:r w:rsidRPr="00043DA0">
        <w:lastRenderedPageBreak/>
        <w:t xml:space="preserve">Public Law 107-347 and other applicable Federal laws, your responses will be kept confidential and will not be disclosed in identifiable form to anyone other than employees or agents </w:t>
      </w:r>
      <w:r w:rsidRPr="001625DC">
        <w:t>without your consent.  By law, every EIA employee, as well as every agent, is subject to a jail term, a fine of up to $250,000, or both if he or she discloses ANY identifiable information about you.</w:t>
      </w:r>
    </w:p>
    <w:p w:rsidR="000F0C02" w:rsidRPr="00CC4CDA" w:rsidRDefault="000F0C02" w:rsidP="000F0C0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C4CDA">
        <w:t xml:space="preserve">For respondents to Form EIA-858, </w:t>
      </w:r>
      <w:r w:rsidR="007407B5" w:rsidRPr="00422F75">
        <w:t xml:space="preserve">the </w:t>
      </w:r>
      <w:r w:rsidR="007407B5">
        <w:t xml:space="preserve">CIPSEA confidentiality </w:t>
      </w:r>
      <w:r w:rsidR="007407B5" w:rsidRPr="00422F75">
        <w:t>pledge</w:t>
      </w:r>
      <w:r w:rsidRPr="00CC4CDA">
        <w:t xml:space="preserve"> will read:</w:t>
      </w:r>
    </w:p>
    <w:p w:rsidR="000C651B" w:rsidRPr="00D22F4C" w:rsidRDefault="000F0C02" w:rsidP="00C77B8D">
      <w:pPr>
        <w:ind w:left="360"/>
        <w:rPr>
          <w:color w:val="000000"/>
        </w:rPr>
      </w:pPr>
      <w:r w:rsidRPr="001E6862">
        <w:rPr>
          <w:rFonts w:cs="Arial"/>
        </w:rPr>
        <w:t>The information elements (</w:t>
      </w:r>
      <w:r>
        <w:rPr>
          <w:rFonts w:cs="Arial"/>
        </w:rPr>
        <w:t>Company name, Other Party Name under Item 1</w:t>
      </w:r>
      <w:r>
        <w:t xml:space="preserve"> and Seller’s Name under Item 3)</w:t>
      </w:r>
      <w:r w:rsidRPr="001E6862">
        <w:rPr>
          <w:rFonts w:cs="Arial"/>
        </w:rPr>
        <w:t xml:space="preserve"> reported on Form EIA-</w:t>
      </w:r>
      <w:r>
        <w:rPr>
          <w:rFonts w:cs="Arial"/>
        </w:rPr>
        <w:t>858</w:t>
      </w:r>
      <w:r w:rsidRPr="001E6862">
        <w:rPr>
          <w:rFonts w:cs="Arial"/>
        </w:rPr>
        <w:t xml:space="preserve"> will be treated as </w:t>
      </w:r>
      <w:r>
        <w:rPr>
          <w:rFonts w:cs="Arial"/>
        </w:rPr>
        <w:t xml:space="preserve">public information and released in identifiable form.  </w:t>
      </w:r>
      <w:r>
        <w:rPr>
          <w:b/>
          <w:szCs w:val="24"/>
        </w:rPr>
        <w:t xml:space="preserve"> </w:t>
      </w:r>
      <w:r>
        <w:rPr>
          <w:szCs w:val="24"/>
        </w:rPr>
        <w:t xml:space="preserve">All other information </w:t>
      </w:r>
      <w:r w:rsidRPr="00043DA0">
        <w:t xml:space="preserve">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t>
      </w:r>
      <w:r w:rsidRPr="001625DC">
        <w:t>without your consent.  By law, every EIA employee, as well as every agent, is subject to a jail term, a fine of up to $250,000, or both if he or she discloses ANY identifiable information about you</w:t>
      </w:r>
      <w:r>
        <w:t>.</w:t>
      </w:r>
    </w:p>
    <w:p w:rsidR="000C651B" w:rsidRPr="00703DD5" w:rsidRDefault="000C651B" w:rsidP="00F44A02">
      <w:pPr>
        <w:pStyle w:val="Heading2"/>
      </w:pPr>
      <w:bookmarkStart w:id="49" w:name="_Toc336849154"/>
      <w:bookmarkStart w:id="50" w:name="_Toc336849598"/>
      <w:bookmarkStart w:id="51" w:name="_Toc409011787"/>
      <w:bookmarkStart w:id="52" w:name="_Toc409769433"/>
      <w:bookmarkStart w:id="53" w:name="_Toc423938216"/>
      <w:bookmarkEnd w:id="47"/>
      <w:bookmarkEnd w:id="48"/>
      <w:bookmarkEnd w:id="49"/>
      <w:bookmarkEnd w:id="50"/>
      <w:r w:rsidRPr="00703DD5">
        <w:t xml:space="preserve">Justification for </w:t>
      </w:r>
      <w:r w:rsidR="00EA2968" w:rsidRPr="00703DD5">
        <w:t>Q</w:t>
      </w:r>
      <w:r w:rsidRPr="00703DD5">
        <w:t>uestions</w:t>
      </w:r>
      <w:r w:rsidR="00EA2968" w:rsidRPr="00703DD5">
        <w:t xml:space="preserve"> of a Sensitive Nature</w:t>
      </w:r>
      <w:bookmarkEnd w:id="51"/>
      <w:bookmarkEnd w:id="52"/>
      <w:bookmarkEnd w:id="53"/>
    </w:p>
    <w:p w:rsidR="00A61316" w:rsidRDefault="000C651B" w:rsidP="00456483">
      <w:pPr>
        <w:spacing w:before="120" w:beforeAutospacing="0"/>
      </w:pPr>
      <w:r>
        <w:t xml:space="preserve">The </w:t>
      </w:r>
      <w:r w:rsidR="00AC7316">
        <w:t>UDP</w:t>
      </w:r>
      <w:r w:rsidR="00212EFE">
        <w:t xml:space="preserve"> data collections</w:t>
      </w:r>
      <w:r>
        <w:t xml:space="preserve"> </w:t>
      </w:r>
      <w:r w:rsidR="00212EFE">
        <w:t xml:space="preserve">do not </w:t>
      </w:r>
      <w:r>
        <w:t>contain questions of a sensitive nature.</w:t>
      </w:r>
    </w:p>
    <w:p w:rsidR="000C651B" w:rsidRPr="00483708" w:rsidRDefault="000C651B" w:rsidP="00F44A02">
      <w:pPr>
        <w:pStyle w:val="Heading2"/>
      </w:pPr>
      <w:bookmarkStart w:id="54" w:name="_Toc409011788"/>
      <w:bookmarkStart w:id="55" w:name="_Toc409769434"/>
      <w:bookmarkStart w:id="56" w:name="_Toc423938217"/>
      <w:r w:rsidRPr="00483708">
        <w:t>Estimates of Respondent Burden (Hours</w:t>
      </w:r>
      <w:r w:rsidR="00EA2968" w:rsidRPr="00483708">
        <w:t xml:space="preserve"> and Cost</w:t>
      </w:r>
      <w:r w:rsidRPr="00483708">
        <w:t>)</w:t>
      </w:r>
      <w:bookmarkEnd w:id="54"/>
      <w:bookmarkEnd w:id="55"/>
      <w:bookmarkEnd w:id="56"/>
    </w:p>
    <w:p w:rsidR="00EA2968" w:rsidRDefault="000C651B" w:rsidP="00456483">
      <w:pPr>
        <w:spacing w:before="120" w:beforeAutospacing="0"/>
      </w:pPr>
      <w:r w:rsidRPr="00A32CCA">
        <w:t>The estimates of respondent burden f</w:t>
      </w:r>
      <w:r w:rsidR="00A61F75" w:rsidRPr="00A32CCA">
        <w:t xml:space="preserve">or the individual forms </w:t>
      </w:r>
      <w:r w:rsidRPr="00A32CCA">
        <w:t xml:space="preserve">contained in this package are listed in </w:t>
      </w:r>
      <w:r w:rsidR="007E5559">
        <w:t>Table A1</w:t>
      </w:r>
      <w:r w:rsidR="00B40029">
        <w:t xml:space="preserve">.  </w:t>
      </w:r>
      <w:r w:rsidRPr="00A32CCA">
        <w:t xml:space="preserve">The overall annual respondent burden is estimated to be </w:t>
      </w:r>
      <w:r w:rsidR="00B407A2" w:rsidRPr="00BA7B35">
        <w:t>1,</w:t>
      </w:r>
      <w:r w:rsidR="00BA7B35" w:rsidRPr="00BA7B35">
        <w:t>207</w:t>
      </w:r>
      <w:r w:rsidRPr="00A32CCA">
        <w:t xml:space="preserve"> hours for </w:t>
      </w:r>
      <w:r w:rsidR="008B6BA2" w:rsidRPr="002E5B3F">
        <w:t>201</w:t>
      </w:r>
      <w:r w:rsidR="00960497">
        <w:t>5</w:t>
      </w:r>
      <w:r w:rsidRPr="00A32CCA">
        <w:t>.</w:t>
      </w:r>
      <w:r w:rsidR="00EA2968">
        <w:rPr>
          <w:color w:val="FF0000"/>
        </w:rPr>
        <w:t xml:space="preserve">  </w:t>
      </w:r>
      <w:r w:rsidR="00EA2968">
        <w:t xml:space="preserve">The estimated costs to respondents for the burden hours are estimated to </w:t>
      </w:r>
      <w:r w:rsidR="00EA2968" w:rsidRPr="00F31A0A">
        <w:rPr>
          <w:szCs w:val="24"/>
        </w:rPr>
        <w:t>be $</w:t>
      </w:r>
      <w:r w:rsidR="00E437D1" w:rsidRPr="00253BB5">
        <w:t>8</w:t>
      </w:r>
      <w:r w:rsidR="00253BB5" w:rsidRPr="00253BB5">
        <w:t>6</w:t>
      </w:r>
      <w:r w:rsidR="008E309A" w:rsidRPr="00253BB5">
        <w:t>,</w:t>
      </w:r>
      <w:r w:rsidR="00253BB5" w:rsidRPr="00253BB5">
        <w:t>86</w:t>
      </w:r>
      <w:r w:rsidR="00FF5954" w:rsidRPr="00253BB5">
        <w:t>8</w:t>
      </w:r>
      <w:r w:rsidR="00EA2968">
        <w:rPr>
          <w:szCs w:val="24"/>
        </w:rPr>
        <w:t xml:space="preserve"> </w:t>
      </w:r>
      <w:r w:rsidR="00EA2968">
        <w:t>(</w:t>
      </w:r>
      <w:r w:rsidR="00E37705" w:rsidRPr="00BA7B35">
        <w:t>1,207</w:t>
      </w:r>
      <w:r w:rsidR="00EA2968">
        <w:t xml:space="preserve"> hours times </w:t>
      </w:r>
      <w:r w:rsidR="00EA2968" w:rsidRPr="002F6AC6">
        <w:rPr>
          <w:color w:val="000000"/>
        </w:rPr>
        <w:t>$</w:t>
      </w:r>
      <w:r w:rsidR="008E309A">
        <w:rPr>
          <w:color w:val="000000"/>
        </w:rPr>
        <w:t>71</w:t>
      </w:r>
      <w:r w:rsidR="00E437D1">
        <w:rPr>
          <w:color w:val="000000"/>
        </w:rPr>
        <w:t>.</w:t>
      </w:r>
      <w:r w:rsidR="008E309A">
        <w:rPr>
          <w:color w:val="000000"/>
        </w:rPr>
        <w:t>97</w:t>
      </w:r>
      <w:r w:rsidR="00EA2968">
        <w:t xml:space="preserve"> per hour) for 20</w:t>
      </w:r>
      <w:r w:rsidR="008B6BA2">
        <w:t>1</w:t>
      </w:r>
      <w:r w:rsidR="0027782C">
        <w:t>5</w:t>
      </w:r>
      <w:r w:rsidR="00EA2968">
        <w:t xml:space="preserve">.  </w:t>
      </w:r>
      <w:r w:rsidR="00EA2968" w:rsidRPr="0009331A">
        <w:t>An average cost per hour of $</w:t>
      </w:r>
      <w:r w:rsidR="008E309A">
        <w:t>71</w:t>
      </w:r>
      <w:r w:rsidR="000E1C78">
        <w:t>.</w:t>
      </w:r>
      <w:r w:rsidR="008E309A">
        <w:t>97</w:t>
      </w:r>
      <w:r w:rsidR="00EA2968" w:rsidRPr="0009331A">
        <w:t xml:space="preserve"> is used because that is the average loaded (salary plus benefits) cost for an EIA employee</w:t>
      </w:r>
      <w:r w:rsidR="00212EFE">
        <w:t xml:space="preserve"> at the time of this writing</w:t>
      </w:r>
      <w:r w:rsidR="00EA2968" w:rsidRPr="0009331A">
        <w:t>.  EIA assumes that the survey respondent workforce completing surveys for EIA is comparable with the EIA workforce.</w:t>
      </w:r>
    </w:p>
    <w:p w:rsidR="005A2E29" w:rsidRDefault="005A2E29" w:rsidP="00D13605">
      <w:pPr>
        <w:widowControl/>
        <w:spacing w:before="0" w:beforeAutospacing="0" w:after="0" w:afterAutospacing="0"/>
        <w:jc w:val="left"/>
        <w:rPr>
          <w:b/>
        </w:rPr>
      </w:pPr>
      <w:r w:rsidRPr="007E5559">
        <w:rPr>
          <w:b/>
        </w:rPr>
        <w:t>T</w:t>
      </w:r>
      <w:r w:rsidR="000345DB">
        <w:rPr>
          <w:b/>
        </w:rPr>
        <w:t>able A1</w:t>
      </w:r>
      <w:r w:rsidRPr="007E5559">
        <w:rPr>
          <w:b/>
        </w:rPr>
        <w:t xml:space="preserve"> Estimated Respondent Burden</w:t>
      </w:r>
    </w:p>
    <w:p w:rsidR="00D64D80" w:rsidRDefault="00D64D80" w:rsidP="00D64D80">
      <w:r w:rsidRPr="003C32DC">
        <w:t xml:space="preserve">The number of respondents </w:t>
      </w:r>
      <w:r>
        <w:t xml:space="preserve">on the EIA UDP surveys </w:t>
      </w:r>
      <w:r w:rsidRPr="003C32DC">
        <w:t xml:space="preserve">can fluctuate </w:t>
      </w:r>
      <w:r w:rsidR="00EB7533">
        <w:t>over</w:t>
      </w:r>
      <w:r w:rsidRPr="003C32DC">
        <w:t xml:space="preserve"> </w:t>
      </w:r>
      <w:r>
        <w:t>time</w:t>
      </w:r>
      <w:r w:rsidRPr="003C32DC">
        <w:t>.</w:t>
      </w:r>
      <w:r w:rsidR="00EB7533">
        <w:t xml:space="preserve"> T</w:t>
      </w:r>
      <w:r w:rsidRPr="00583461">
        <w:t>he burden estimate includes time gathering and maintaining the data needed, and completing and reviewing the collection of information.</w:t>
      </w:r>
    </w:p>
    <w:p w:rsidR="00E738FC" w:rsidRDefault="00E738FC">
      <w:pPr>
        <w:widowControl/>
        <w:spacing w:before="0" w:beforeAutospacing="0" w:after="0" w:afterAutospacing="0"/>
        <w:jc w:val="left"/>
      </w:pPr>
      <w:r>
        <w:br w:type="page"/>
      </w:r>
    </w:p>
    <w:p w:rsidR="00E738FC" w:rsidRPr="00583461" w:rsidRDefault="00E738FC" w:rsidP="00D64D80"/>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2"/>
        <w:gridCol w:w="1400"/>
        <w:gridCol w:w="1781"/>
        <w:gridCol w:w="1653"/>
        <w:gridCol w:w="1781"/>
      </w:tblGrid>
      <w:tr w:rsidR="00D64D80" w:rsidRPr="00583461" w:rsidTr="00326A0F">
        <w:trPr>
          <w:trHeight w:val="531"/>
        </w:trPr>
        <w:tc>
          <w:tcPr>
            <w:tcW w:w="8777" w:type="dxa"/>
            <w:gridSpan w:val="5"/>
            <w:tcBorders>
              <w:bottom w:val="single" w:sz="4" w:space="0" w:color="auto"/>
            </w:tcBorders>
            <w:shd w:val="clear" w:color="auto" w:fill="B3B3B3"/>
            <w:vAlign w:val="center"/>
          </w:tcPr>
          <w:p w:rsidR="00D64D80" w:rsidRPr="00583461" w:rsidRDefault="00D64D80" w:rsidP="00326A0F">
            <w:pPr>
              <w:jc w:val="center"/>
              <w:rPr>
                <w:b/>
                <w:bCs/>
              </w:rPr>
            </w:pPr>
            <w:r w:rsidRPr="00583461">
              <w:rPr>
                <w:b/>
                <w:bCs/>
              </w:rPr>
              <w:t>Form  EIA-</w:t>
            </w:r>
            <w:r>
              <w:rPr>
                <w:b/>
                <w:bCs/>
              </w:rPr>
              <w:t>851A</w:t>
            </w:r>
            <w:r w:rsidRPr="00583461">
              <w:rPr>
                <w:b/>
                <w:bCs/>
              </w:rPr>
              <w:t xml:space="preserve"> “</w:t>
            </w:r>
            <w:r>
              <w:rPr>
                <w:b/>
                <w:bCs/>
              </w:rPr>
              <w:t>Domestic Uranium Production Report (Annual)</w:t>
            </w:r>
            <w:r w:rsidRPr="00583461">
              <w:rPr>
                <w:b/>
                <w:bCs/>
              </w:rPr>
              <w:t>”</w:t>
            </w:r>
          </w:p>
        </w:tc>
      </w:tr>
      <w:tr w:rsidR="00D64D80" w:rsidRPr="00583461" w:rsidTr="00326A0F">
        <w:trPr>
          <w:trHeight w:val="1062"/>
        </w:trPr>
        <w:tc>
          <w:tcPr>
            <w:tcW w:w="2162" w:type="dxa"/>
            <w:shd w:val="clear" w:color="auto" w:fill="auto"/>
            <w:vAlign w:val="bottom"/>
          </w:tcPr>
          <w:p w:rsidR="00D64D80" w:rsidRPr="00583461" w:rsidRDefault="00D64D80" w:rsidP="00326A0F">
            <w:pPr>
              <w:jc w:val="center"/>
              <w:rPr>
                <w:b/>
                <w:bCs/>
                <w:sz w:val="18"/>
                <w:szCs w:val="18"/>
              </w:rPr>
            </w:pPr>
            <w:r w:rsidRPr="00583461">
              <w:rPr>
                <w:b/>
                <w:bCs/>
                <w:sz w:val="18"/>
                <w:szCs w:val="18"/>
              </w:rPr>
              <w:t xml:space="preserve">Number of Respondents Per </w:t>
            </w:r>
            <w:r>
              <w:rPr>
                <w:b/>
                <w:bCs/>
                <w:sz w:val="18"/>
                <w:szCs w:val="18"/>
              </w:rPr>
              <w:t>Year</w:t>
            </w:r>
          </w:p>
        </w:tc>
        <w:tc>
          <w:tcPr>
            <w:tcW w:w="1400" w:type="dxa"/>
            <w:shd w:val="clear" w:color="auto" w:fill="auto"/>
            <w:vAlign w:val="bottom"/>
          </w:tcPr>
          <w:p w:rsidR="00D64D80" w:rsidRPr="00583461" w:rsidRDefault="00D64D80" w:rsidP="00326A0F">
            <w:pPr>
              <w:jc w:val="center"/>
              <w:rPr>
                <w:b/>
                <w:bCs/>
                <w:sz w:val="18"/>
                <w:szCs w:val="18"/>
              </w:rPr>
            </w:pPr>
            <w:r w:rsidRPr="00583461">
              <w:rPr>
                <w:b/>
                <w:bCs/>
                <w:sz w:val="18"/>
                <w:szCs w:val="18"/>
              </w:rPr>
              <w:t>Burden Hours per Response</w:t>
            </w:r>
          </w:p>
        </w:tc>
        <w:tc>
          <w:tcPr>
            <w:tcW w:w="1781" w:type="dxa"/>
            <w:shd w:val="clear" w:color="auto" w:fill="auto"/>
            <w:vAlign w:val="bottom"/>
          </w:tcPr>
          <w:p w:rsidR="00D64D80" w:rsidRPr="00583461" w:rsidRDefault="00D64D80" w:rsidP="00326A0F">
            <w:pPr>
              <w:jc w:val="center"/>
              <w:rPr>
                <w:b/>
                <w:bCs/>
                <w:sz w:val="18"/>
                <w:szCs w:val="18"/>
              </w:rPr>
            </w:pPr>
            <w:r w:rsidRPr="00583461">
              <w:rPr>
                <w:b/>
                <w:bCs/>
                <w:sz w:val="18"/>
                <w:szCs w:val="18"/>
              </w:rPr>
              <w:t xml:space="preserve">Number of Responses per Year per </w:t>
            </w:r>
            <w:r>
              <w:rPr>
                <w:b/>
                <w:bCs/>
                <w:sz w:val="18"/>
                <w:szCs w:val="18"/>
              </w:rPr>
              <w:t>Respondent</w:t>
            </w:r>
          </w:p>
        </w:tc>
        <w:tc>
          <w:tcPr>
            <w:tcW w:w="1653" w:type="dxa"/>
            <w:shd w:val="clear" w:color="auto" w:fill="auto"/>
            <w:vAlign w:val="bottom"/>
          </w:tcPr>
          <w:p w:rsidR="00D64D80" w:rsidRPr="00583461" w:rsidRDefault="00D64D80" w:rsidP="00326A0F">
            <w:pPr>
              <w:jc w:val="center"/>
              <w:rPr>
                <w:b/>
                <w:bCs/>
                <w:sz w:val="18"/>
                <w:szCs w:val="18"/>
              </w:rPr>
            </w:pPr>
          </w:p>
          <w:p w:rsidR="00D64D80" w:rsidRPr="00583461" w:rsidRDefault="00D64D80" w:rsidP="00326A0F">
            <w:pPr>
              <w:jc w:val="center"/>
              <w:rPr>
                <w:b/>
                <w:bCs/>
                <w:sz w:val="18"/>
                <w:szCs w:val="18"/>
              </w:rPr>
            </w:pPr>
            <w:r w:rsidRPr="00583461">
              <w:rPr>
                <w:b/>
                <w:bCs/>
                <w:sz w:val="18"/>
                <w:szCs w:val="18"/>
              </w:rPr>
              <w:t>Annual Number of Responses</w:t>
            </w:r>
          </w:p>
        </w:tc>
        <w:tc>
          <w:tcPr>
            <w:tcW w:w="1781" w:type="dxa"/>
            <w:shd w:val="clear" w:color="auto" w:fill="auto"/>
            <w:vAlign w:val="bottom"/>
          </w:tcPr>
          <w:p w:rsidR="00D64D80" w:rsidRPr="00583461" w:rsidRDefault="00D64D80" w:rsidP="00326A0F">
            <w:pPr>
              <w:jc w:val="center"/>
              <w:rPr>
                <w:b/>
                <w:bCs/>
                <w:sz w:val="18"/>
                <w:szCs w:val="18"/>
              </w:rPr>
            </w:pPr>
            <w:r w:rsidRPr="00583461">
              <w:rPr>
                <w:b/>
                <w:bCs/>
                <w:sz w:val="18"/>
                <w:szCs w:val="18"/>
              </w:rPr>
              <w:t>Annual Burden Hours</w:t>
            </w:r>
          </w:p>
        </w:tc>
      </w:tr>
      <w:tr w:rsidR="00D64D80" w:rsidRPr="00583461" w:rsidTr="00326A0F">
        <w:trPr>
          <w:trHeight w:val="262"/>
        </w:trPr>
        <w:tc>
          <w:tcPr>
            <w:tcW w:w="2162" w:type="dxa"/>
            <w:shd w:val="clear" w:color="auto" w:fill="auto"/>
            <w:vAlign w:val="bottom"/>
          </w:tcPr>
          <w:p w:rsidR="00D64D80" w:rsidRPr="00583461" w:rsidRDefault="00D64D80" w:rsidP="00326A0F">
            <w:pPr>
              <w:spacing w:before="120" w:after="120"/>
              <w:jc w:val="center"/>
            </w:pPr>
            <w:r>
              <w:t>5</w:t>
            </w:r>
            <w:r w:rsidR="00D834C2">
              <w:t>3</w:t>
            </w:r>
          </w:p>
        </w:tc>
        <w:tc>
          <w:tcPr>
            <w:tcW w:w="1400" w:type="dxa"/>
            <w:vAlign w:val="bottom"/>
          </w:tcPr>
          <w:p w:rsidR="00D64D80" w:rsidRPr="00583461" w:rsidRDefault="00D64D80" w:rsidP="00326A0F">
            <w:pPr>
              <w:spacing w:before="120" w:after="120"/>
              <w:jc w:val="center"/>
            </w:pPr>
            <w:r>
              <w:t>5</w:t>
            </w:r>
          </w:p>
        </w:tc>
        <w:tc>
          <w:tcPr>
            <w:tcW w:w="1781" w:type="dxa"/>
            <w:shd w:val="clear" w:color="auto" w:fill="auto"/>
            <w:vAlign w:val="bottom"/>
          </w:tcPr>
          <w:p w:rsidR="00D64D80" w:rsidRPr="00583461" w:rsidRDefault="00D64D80" w:rsidP="00326A0F">
            <w:pPr>
              <w:spacing w:before="120" w:after="120"/>
              <w:jc w:val="center"/>
            </w:pPr>
            <w:r>
              <w:t>1</w:t>
            </w:r>
          </w:p>
        </w:tc>
        <w:tc>
          <w:tcPr>
            <w:tcW w:w="1653" w:type="dxa"/>
            <w:vAlign w:val="bottom"/>
          </w:tcPr>
          <w:p w:rsidR="00D64D80" w:rsidRPr="00583461" w:rsidRDefault="00D64D80" w:rsidP="00326A0F">
            <w:pPr>
              <w:spacing w:before="120" w:after="120"/>
              <w:jc w:val="center"/>
            </w:pPr>
            <w:r>
              <w:t>5</w:t>
            </w:r>
            <w:r w:rsidR="00D834C2">
              <w:t>3</w:t>
            </w:r>
          </w:p>
        </w:tc>
        <w:tc>
          <w:tcPr>
            <w:tcW w:w="1781" w:type="dxa"/>
            <w:shd w:val="clear" w:color="auto" w:fill="auto"/>
            <w:vAlign w:val="bottom"/>
          </w:tcPr>
          <w:p w:rsidR="00D64D80" w:rsidRPr="00583461" w:rsidRDefault="00D834C2" w:rsidP="00326A0F">
            <w:pPr>
              <w:spacing w:before="120" w:after="120"/>
              <w:jc w:val="center"/>
            </w:pPr>
            <w:r>
              <w:t>26</w:t>
            </w:r>
            <w:r w:rsidR="00D64D80">
              <w:t>5</w:t>
            </w:r>
          </w:p>
        </w:tc>
      </w:tr>
    </w:tbl>
    <w:p w:rsidR="00D64D80" w:rsidRDefault="00D64D80" w:rsidP="00D64D80"/>
    <w:p w:rsidR="00D64D80" w:rsidRDefault="00D64D80" w:rsidP="00D64D80"/>
    <w:p w:rsidR="00D64D80" w:rsidRDefault="00D64D80" w:rsidP="00D64D80"/>
    <w:tbl>
      <w:tblPr>
        <w:tblpPr w:leftFromText="180" w:rightFromText="180" w:vertAnchor="text" w:horzAnchor="margin" w:tblpY="451"/>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2"/>
        <w:gridCol w:w="1400"/>
        <w:gridCol w:w="1781"/>
        <w:gridCol w:w="1653"/>
        <w:gridCol w:w="1781"/>
      </w:tblGrid>
      <w:tr w:rsidR="00EB6A44" w:rsidRPr="00583461" w:rsidTr="00EB6A44">
        <w:trPr>
          <w:trHeight w:val="617"/>
        </w:trPr>
        <w:tc>
          <w:tcPr>
            <w:tcW w:w="8777" w:type="dxa"/>
            <w:gridSpan w:val="5"/>
            <w:tcBorders>
              <w:bottom w:val="single" w:sz="4" w:space="0" w:color="auto"/>
            </w:tcBorders>
            <w:shd w:val="clear" w:color="auto" w:fill="B3B3B3"/>
            <w:vAlign w:val="center"/>
          </w:tcPr>
          <w:p w:rsidR="00EB6A44" w:rsidRPr="00583461" w:rsidRDefault="00EB6A44" w:rsidP="00EB6A44">
            <w:pPr>
              <w:jc w:val="center"/>
              <w:rPr>
                <w:b/>
                <w:bCs/>
              </w:rPr>
            </w:pPr>
            <w:r w:rsidRPr="00583461">
              <w:rPr>
                <w:b/>
                <w:bCs/>
              </w:rPr>
              <w:t>Form  EIA-</w:t>
            </w:r>
            <w:r>
              <w:rPr>
                <w:b/>
                <w:bCs/>
              </w:rPr>
              <w:t>851Q</w:t>
            </w:r>
            <w:r w:rsidRPr="00583461">
              <w:rPr>
                <w:b/>
                <w:bCs/>
              </w:rPr>
              <w:t xml:space="preserve"> “</w:t>
            </w:r>
            <w:r>
              <w:rPr>
                <w:b/>
                <w:bCs/>
              </w:rPr>
              <w:t>Domestic Uranium Production Report (Quarterly)</w:t>
            </w:r>
            <w:r w:rsidRPr="00583461">
              <w:rPr>
                <w:b/>
                <w:bCs/>
              </w:rPr>
              <w:t>”</w:t>
            </w:r>
          </w:p>
        </w:tc>
      </w:tr>
      <w:tr w:rsidR="00EB6A44" w:rsidRPr="00583461" w:rsidTr="00EB6A44">
        <w:trPr>
          <w:trHeight w:val="1085"/>
        </w:trPr>
        <w:tc>
          <w:tcPr>
            <w:tcW w:w="2162" w:type="dxa"/>
            <w:shd w:val="clear" w:color="auto" w:fill="auto"/>
            <w:vAlign w:val="bottom"/>
          </w:tcPr>
          <w:p w:rsidR="00EB6A44" w:rsidRPr="00583461" w:rsidRDefault="00EB6A44" w:rsidP="00EB6A44">
            <w:pPr>
              <w:jc w:val="center"/>
              <w:rPr>
                <w:b/>
                <w:bCs/>
                <w:sz w:val="18"/>
                <w:szCs w:val="18"/>
              </w:rPr>
            </w:pPr>
            <w:r w:rsidRPr="00583461">
              <w:rPr>
                <w:b/>
                <w:bCs/>
                <w:sz w:val="18"/>
                <w:szCs w:val="18"/>
              </w:rPr>
              <w:t xml:space="preserve">Number of Respondents Per </w:t>
            </w:r>
            <w:r>
              <w:rPr>
                <w:b/>
                <w:bCs/>
                <w:sz w:val="18"/>
                <w:szCs w:val="18"/>
              </w:rPr>
              <w:t>Quarter</w:t>
            </w:r>
          </w:p>
        </w:tc>
        <w:tc>
          <w:tcPr>
            <w:tcW w:w="1400" w:type="dxa"/>
            <w:shd w:val="clear" w:color="auto" w:fill="auto"/>
            <w:vAlign w:val="bottom"/>
          </w:tcPr>
          <w:p w:rsidR="00EB6A44" w:rsidRPr="00583461" w:rsidRDefault="00EB6A44" w:rsidP="00EB6A44">
            <w:pPr>
              <w:jc w:val="center"/>
              <w:rPr>
                <w:b/>
                <w:bCs/>
                <w:sz w:val="18"/>
                <w:szCs w:val="18"/>
              </w:rPr>
            </w:pPr>
            <w:r w:rsidRPr="00583461">
              <w:rPr>
                <w:b/>
                <w:bCs/>
                <w:sz w:val="18"/>
                <w:szCs w:val="18"/>
              </w:rPr>
              <w:t>Burden Hours per Response</w:t>
            </w:r>
          </w:p>
        </w:tc>
        <w:tc>
          <w:tcPr>
            <w:tcW w:w="1781" w:type="dxa"/>
            <w:shd w:val="clear" w:color="auto" w:fill="auto"/>
            <w:vAlign w:val="bottom"/>
          </w:tcPr>
          <w:p w:rsidR="00EB6A44" w:rsidRPr="00583461" w:rsidRDefault="00EB6A44" w:rsidP="00EB6A44">
            <w:pPr>
              <w:jc w:val="center"/>
              <w:rPr>
                <w:b/>
                <w:bCs/>
                <w:sz w:val="18"/>
                <w:szCs w:val="18"/>
              </w:rPr>
            </w:pPr>
            <w:r w:rsidRPr="00583461">
              <w:rPr>
                <w:b/>
                <w:bCs/>
                <w:sz w:val="18"/>
                <w:szCs w:val="18"/>
              </w:rPr>
              <w:t xml:space="preserve">Number of Responses per Year per </w:t>
            </w:r>
            <w:r>
              <w:rPr>
                <w:b/>
                <w:bCs/>
                <w:sz w:val="18"/>
                <w:szCs w:val="18"/>
              </w:rPr>
              <w:t>Respondent</w:t>
            </w:r>
          </w:p>
        </w:tc>
        <w:tc>
          <w:tcPr>
            <w:tcW w:w="1653" w:type="dxa"/>
            <w:shd w:val="clear" w:color="auto" w:fill="auto"/>
            <w:vAlign w:val="bottom"/>
          </w:tcPr>
          <w:p w:rsidR="00EB6A44" w:rsidRPr="00583461" w:rsidRDefault="00EB6A44" w:rsidP="00EB6A44">
            <w:pPr>
              <w:jc w:val="center"/>
              <w:rPr>
                <w:b/>
                <w:bCs/>
                <w:sz w:val="18"/>
                <w:szCs w:val="18"/>
              </w:rPr>
            </w:pPr>
          </w:p>
          <w:p w:rsidR="00EB6A44" w:rsidRPr="00583461" w:rsidRDefault="00EB6A44" w:rsidP="00EB6A44">
            <w:pPr>
              <w:jc w:val="center"/>
              <w:rPr>
                <w:b/>
                <w:bCs/>
                <w:sz w:val="18"/>
                <w:szCs w:val="18"/>
              </w:rPr>
            </w:pPr>
            <w:r w:rsidRPr="00583461">
              <w:rPr>
                <w:b/>
                <w:bCs/>
                <w:sz w:val="18"/>
                <w:szCs w:val="18"/>
              </w:rPr>
              <w:t>Annual Number of Responses</w:t>
            </w:r>
          </w:p>
        </w:tc>
        <w:tc>
          <w:tcPr>
            <w:tcW w:w="1781" w:type="dxa"/>
            <w:shd w:val="clear" w:color="auto" w:fill="auto"/>
            <w:vAlign w:val="bottom"/>
          </w:tcPr>
          <w:p w:rsidR="00EB6A44" w:rsidRPr="00583461" w:rsidRDefault="00EB6A44" w:rsidP="00EB6A44">
            <w:pPr>
              <w:jc w:val="center"/>
              <w:rPr>
                <w:b/>
                <w:bCs/>
                <w:sz w:val="18"/>
                <w:szCs w:val="18"/>
              </w:rPr>
            </w:pPr>
            <w:r w:rsidRPr="00583461">
              <w:rPr>
                <w:b/>
                <w:bCs/>
                <w:sz w:val="18"/>
                <w:szCs w:val="18"/>
              </w:rPr>
              <w:t>Annual Burden Hours</w:t>
            </w:r>
          </w:p>
        </w:tc>
      </w:tr>
      <w:tr w:rsidR="00EB6A44" w:rsidRPr="00583461" w:rsidTr="00EB6A44">
        <w:trPr>
          <w:trHeight w:val="262"/>
        </w:trPr>
        <w:tc>
          <w:tcPr>
            <w:tcW w:w="2162" w:type="dxa"/>
            <w:shd w:val="clear" w:color="auto" w:fill="auto"/>
            <w:vAlign w:val="bottom"/>
          </w:tcPr>
          <w:p w:rsidR="00EB6A44" w:rsidRPr="00583461" w:rsidRDefault="00EB6A44" w:rsidP="00EB6A44">
            <w:pPr>
              <w:spacing w:before="120" w:after="120"/>
              <w:jc w:val="center"/>
            </w:pPr>
            <w:r>
              <w:t>14</w:t>
            </w:r>
          </w:p>
        </w:tc>
        <w:tc>
          <w:tcPr>
            <w:tcW w:w="1400" w:type="dxa"/>
            <w:vAlign w:val="bottom"/>
          </w:tcPr>
          <w:p w:rsidR="00EB6A44" w:rsidRPr="00583461" w:rsidRDefault="00EB6A44" w:rsidP="00EB6A44">
            <w:pPr>
              <w:spacing w:before="120" w:after="120"/>
              <w:jc w:val="center"/>
            </w:pPr>
            <w:r>
              <w:t>0.75</w:t>
            </w:r>
          </w:p>
        </w:tc>
        <w:tc>
          <w:tcPr>
            <w:tcW w:w="1781" w:type="dxa"/>
            <w:shd w:val="clear" w:color="auto" w:fill="auto"/>
            <w:vAlign w:val="bottom"/>
          </w:tcPr>
          <w:p w:rsidR="00EB6A44" w:rsidRPr="00583461" w:rsidRDefault="00EB6A44" w:rsidP="00EB6A44">
            <w:pPr>
              <w:spacing w:before="120" w:after="120"/>
              <w:jc w:val="center"/>
            </w:pPr>
            <w:r>
              <w:t>4</w:t>
            </w:r>
          </w:p>
        </w:tc>
        <w:tc>
          <w:tcPr>
            <w:tcW w:w="1653" w:type="dxa"/>
            <w:vAlign w:val="bottom"/>
          </w:tcPr>
          <w:p w:rsidR="00EB6A44" w:rsidRPr="00583461" w:rsidRDefault="00EB6A44" w:rsidP="00EB6A44">
            <w:pPr>
              <w:spacing w:before="120" w:after="120"/>
              <w:jc w:val="center"/>
            </w:pPr>
            <w:r>
              <w:t>56</w:t>
            </w:r>
          </w:p>
        </w:tc>
        <w:tc>
          <w:tcPr>
            <w:tcW w:w="1781" w:type="dxa"/>
            <w:shd w:val="clear" w:color="auto" w:fill="auto"/>
            <w:vAlign w:val="bottom"/>
          </w:tcPr>
          <w:p w:rsidR="00EB6A44" w:rsidRPr="00583461" w:rsidRDefault="00EB6A44" w:rsidP="00EB6A44">
            <w:pPr>
              <w:spacing w:before="120" w:after="120"/>
              <w:jc w:val="center"/>
            </w:pPr>
            <w:r>
              <w:t>42</w:t>
            </w:r>
          </w:p>
        </w:tc>
      </w:tr>
    </w:tbl>
    <w:p w:rsidR="00D64D80" w:rsidRDefault="00D64D80" w:rsidP="00D64D80"/>
    <w:p w:rsidR="00D64D80" w:rsidRDefault="00D64D80" w:rsidP="00D64D80"/>
    <w:p w:rsidR="00D64D80" w:rsidRDefault="00D64D80" w:rsidP="00D64D80"/>
    <w:p w:rsidR="00D64D80" w:rsidRDefault="00D64D80" w:rsidP="00D64D80"/>
    <w:tbl>
      <w:tblPr>
        <w:tblpPr w:leftFromText="180" w:rightFromText="180" w:vertAnchor="text" w:horzAnchor="margin" w:tblpY="396"/>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2"/>
        <w:gridCol w:w="1400"/>
        <w:gridCol w:w="1781"/>
        <w:gridCol w:w="1653"/>
        <w:gridCol w:w="1781"/>
      </w:tblGrid>
      <w:tr w:rsidR="00EB6A44" w:rsidRPr="00583461" w:rsidTr="00EB6A44">
        <w:trPr>
          <w:trHeight w:val="621"/>
        </w:trPr>
        <w:tc>
          <w:tcPr>
            <w:tcW w:w="8777" w:type="dxa"/>
            <w:gridSpan w:val="5"/>
            <w:tcBorders>
              <w:bottom w:val="single" w:sz="4" w:space="0" w:color="auto"/>
            </w:tcBorders>
            <w:shd w:val="clear" w:color="auto" w:fill="B3B3B3"/>
            <w:vAlign w:val="center"/>
          </w:tcPr>
          <w:p w:rsidR="00EB6A44" w:rsidRPr="00583461" w:rsidRDefault="00EB6A44" w:rsidP="00EB6A44">
            <w:pPr>
              <w:jc w:val="center"/>
              <w:rPr>
                <w:b/>
                <w:bCs/>
              </w:rPr>
            </w:pPr>
            <w:r w:rsidRPr="00583461">
              <w:rPr>
                <w:b/>
                <w:bCs/>
              </w:rPr>
              <w:t>Form  EIA-</w:t>
            </w:r>
            <w:r>
              <w:rPr>
                <w:b/>
                <w:bCs/>
              </w:rPr>
              <w:t>858</w:t>
            </w:r>
            <w:r w:rsidRPr="00583461">
              <w:rPr>
                <w:b/>
                <w:bCs/>
              </w:rPr>
              <w:t xml:space="preserve"> “</w:t>
            </w:r>
            <w:r>
              <w:rPr>
                <w:b/>
                <w:bCs/>
              </w:rPr>
              <w:t>Uranium Marketing Annual Survey</w:t>
            </w:r>
            <w:r w:rsidRPr="00583461">
              <w:rPr>
                <w:b/>
                <w:bCs/>
              </w:rPr>
              <w:t>”</w:t>
            </w:r>
          </w:p>
        </w:tc>
      </w:tr>
      <w:tr w:rsidR="00EB6A44" w:rsidRPr="00583461" w:rsidTr="00EB6A44">
        <w:trPr>
          <w:trHeight w:val="729"/>
        </w:trPr>
        <w:tc>
          <w:tcPr>
            <w:tcW w:w="2162" w:type="dxa"/>
            <w:shd w:val="clear" w:color="auto" w:fill="auto"/>
            <w:vAlign w:val="bottom"/>
          </w:tcPr>
          <w:p w:rsidR="00EB6A44" w:rsidRPr="00583461" w:rsidRDefault="00EB6A44" w:rsidP="00EB6A44">
            <w:pPr>
              <w:jc w:val="center"/>
              <w:rPr>
                <w:b/>
                <w:bCs/>
                <w:sz w:val="18"/>
                <w:szCs w:val="18"/>
              </w:rPr>
            </w:pPr>
            <w:r w:rsidRPr="00583461">
              <w:rPr>
                <w:b/>
                <w:bCs/>
                <w:sz w:val="18"/>
                <w:szCs w:val="18"/>
              </w:rPr>
              <w:t xml:space="preserve">Number of Respondents Per </w:t>
            </w:r>
            <w:r>
              <w:rPr>
                <w:b/>
                <w:bCs/>
                <w:sz w:val="18"/>
                <w:szCs w:val="18"/>
              </w:rPr>
              <w:t>Year</w:t>
            </w:r>
          </w:p>
        </w:tc>
        <w:tc>
          <w:tcPr>
            <w:tcW w:w="1400" w:type="dxa"/>
            <w:shd w:val="clear" w:color="auto" w:fill="auto"/>
            <w:vAlign w:val="bottom"/>
          </w:tcPr>
          <w:p w:rsidR="00EB6A44" w:rsidRPr="00583461" w:rsidRDefault="00EB6A44" w:rsidP="00EB6A44">
            <w:pPr>
              <w:jc w:val="center"/>
              <w:rPr>
                <w:b/>
                <w:bCs/>
                <w:sz w:val="18"/>
                <w:szCs w:val="18"/>
              </w:rPr>
            </w:pPr>
            <w:r w:rsidRPr="00583461">
              <w:rPr>
                <w:b/>
                <w:bCs/>
                <w:sz w:val="18"/>
                <w:szCs w:val="18"/>
              </w:rPr>
              <w:t>Burden Hours per Response</w:t>
            </w:r>
          </w:p>
        </w:tc>
        <w:tc>
          <w:tcPr>
            <w:tcW w:w="1781" w:type="dxa"/>
            <w:shd w:val="clear" w:color="auto" w:fill="auto"/>
            <w:vAlign w:val="bottom"/>
          </w:tcPr>
          <w:p w:rsidR="00EB6A44" w:rsidRPr="00583461" w:rsidRDefault="00EB6A44" w:rsidP="00EB6A44">
            <w:pPr>
              <w:jc w:val="center"/>
              <w:rPr>
                <w:b/>
                <w:bCs/>
                <w:sz w:val="18"/>
                <w:szCs w:val="18"/>
              </w:rPr>
            </w:pPr>
            <w:r w:rsidRPr="00583461">
              <w:rPr>
                <w:b/>
                <w:bCs/>
                <w:sz w:val="18"/>
                <w:szCs w:val="18"/>
              </w:rPr>
              <w:t xml:space="preserve">Number of Responses per Year per </w:t>
            </w:r>
            <w:r>
              <w:rPr>
                <w:b/>
                <w:bCs/>
                <w:sz w:val="18"/>
                <w:szCs w:val="18"/>
              </w:rPr>
              <w:t>Respondent</w:t>
            </w:r>
          </w:p>
        </w:tc>
        <w:tc>
          <w:tcPr>
            <w:tcW w:w="1653" w:type="dxa"/>
            <w:shd w:val="clear" w:color="auto" w:fill="auto"/>
            <w:vAlign w:val="bottom"/>
          </w:tcPr>
          <w:p w:rsidR="00EB6A44" w:rsidRPr="00583461" w:rsidRDefault="00EB6A44" w:rsidP="00EB6A44">
            <w:pPr>
              <w:jc w:val="center"/>
              <w:rPr>
                <w:b/>
                <w:bCs/>
                <w:sz w:val="18"/>
                <w:szCs w:val="18"/>
              </w:rPr>
            </w:pPr>
          </w:p>
          <w:p w:rsidR="00EB6A44" w:rsidRPr="00583461" w:rsidRDefault="00EB6A44" w:rsidP="00EB6A44">
            <w:pPr>
              <w:jc w:val="center"/>
              <w:rPr>
                <w:b/>
                <w:bCs/>
                <w:sz w:val="18"/>
                <w:szCs w:val="18"/>
              </w:rPr>
            </w:pPr>
            <w:r w:rsidRPr="00583461">
              <w:rPr>
                <w:b/>
                <w:bCs/>
                <w:sz w:val="18"/>
                <w:szCs w:val="18"/>
              </w:rPr>
              <w:t>Annual Number of Responses</w:t>
            </w:r>
          </w:p>
        </w:tc>
        <w:tc>
          <w:tcPr>
            <w:tcW w:w="1781" w:type="dxa"/>
            <w:shd w:val="clear" w:color="auto" w:fill="auto"/>
            <w:vAlign w:val="bottom"/>
          </w:tcPr>
          <w:p w:rsidR="00EB6A44" w:rsidRPr="00583461" w:rsidRDefault="00EB6A44" w:rsidP="00EB6A44">
            <w:pPr>
              <w:jc w:val="center"/>
              <w:rPr>
                <w:b/>
                <w:bCs/>
                <w:sz w:val="18"/>
                <w:szCs w:val="18"/>
              </w:rPr>
            </w:pPr>
            <w:r w:rsidRPr="00583461">
              <w:rPr>
                <w:b/>
                <w:bCs/>
                <w:sz w:val="18"/>
                <w:szCs w:val="18"/>
              </w:rPr>
              <w:t>Annual Burden Hours</w:t>
            </w:r>
          </w:p>
        </w:tc>
      </w:tr>
      <w:tr w:rsidR="00EB6A44" w:rsidRPr="00583461" w:rsidTr="00EB6A44">
        <w:trPr>
          <w:trHeight w:val="262"/>
        </w:trPr>
        <w:tc>
          <w:tcPr>
            <w:tcW w:w="2162" w:type="dxa"/>
            <w:shd w:val="clear" w:color="auto" w:fill="auto"/>
            <w:vAlign w:val="bottom"/>
          </w:tcPr>
          <w:p w:rsidR="00EB6A44" w:rsidRPr="00583461" w:rsidRDefault="00CA16D9" w:rsidP="00EB6A44">
            <w:pPr>
              <w:spacing w:before="120" w:after="120"/>
              <w:jc w:val="center"/>
            </w:pPr>
            <w:r w:rsidRPr="00CA16D9">
              <w:t>60</w:t>
            </w:r>
          </w:p>
        </w:tc>
        <w:tc>
          <w:tcPr>
            <w:tcW w:w="1400" w:type="dxa"/>
            <w:vAlign w:val="bottom"/>
          </w:tcPr>
          <w:p w:rsidR="00EB6A44" w:rsidRPr="00583461" w:rsidRDefault="00EB6A44" w:rsidP="00EB6A44">
            <w:pPr>
              <w:spacing w:before="120" w:after="120"/>
              <w:jc w:val="center"/>
            </w:pPr>
            <w:r>
              <w:t>15</w:t>
            </w:r>
          </w:p>
        </w:tc>
        <w:tc>
          <w:tcPr>
            <w:tcW w:w="1781" w:type="dxa"/>
            <w:shd w:val="clear" w:color="auto" w:fill="auto"/>
            <w:vAlign w:val="bottom"/>
          </w:tcPr>
          <w:p w:rsidR="00EB6A44" w:rsidRPr="00583461" w:rsidRDefault="00EB6A44" w:rsidP="00EB6A44">
            <w:pPr>
              <w:spacing w:before="120" w:after="120"/>
              <w:jc w:val="center"/>
            </w:pPr>
            <w:r>
              <w:t>1</w:t>
            </w:r>
          </w:p>
        </w:tc>
        <w:tc>
          <w:tcPr>
            <w:tcW w:w="1653" w:type="dxa"/>
            <w:vAlign w:val="bottom"/>
          </w:tcPr>
          <w:p w:rsidR="00EB6A44" w:rsidRPr="00583461" w:rsidRDefault="00CA16D9" w:rsidP="00EB6A44">
            <w:pPr>
              <w:spacing w:before="120" w:after="120"/>
              <w:jc w:val="center"/>
            </w:pPr>
            <w:r w:rsidRPr="00CA16D9">
              <w:t>60</w:t>
            </w:r>
          </w:p>
        </w:tc>
        <w:tc>
          <w:tcPr>
            <w:tcW w:w="1781" w:type="dxa"/>
            <w:shd w:val="clear" w:color="auto" w:fill="auto"/>
            <w:vAlign w:val="bottom"/>
          </w:tcPr>
          <w:p w:rsidR="00EB6A44" w:rsidRPr="00583461" w:rsidRDefault="00F3258C" w:rsidP="00EB6A44">
            <w:pPr>
              <w:spacing w:before="120" w:after="120"/>
              <w:jc w:val="center"/>
            </w:pPr>
            <w:r w:rsidRPr="00F3258C">
              <w:t>900</w:t>
            </w:r>
          </w:p>
        </w:tc>
      </w:tr>
    </w:tbl>
    <w:p w:rsidR="00D64D80" w:rsidRDefault="00D64D80" w:rsidP="00D64D80"/>
    <w:p w:rsidR="00D64D80" w:rsidRDefault="00D64D80" w:rsidP="00D64D80"/>
    <w:p w:rsidR="00D64D80" w:rsidRDefault="00D64D80" w:rsidP="00D64D80"/>
    <w:p w:rsidR="00D64D80" w:rsidRDefault="00D64D80" w:rsidP="00D64D80"/>
    <w:p w:rsidR="00D64D80" w:rsidRDefault="00D64D80" w:rsidP="00D64D80"/>
    <w:p w:rsidR="00D64D80" w:rsidRPr="00D64D80" w:rsidRDefault="00D64D80" w:rsidP="00D64D80">
      <w:pPr>
        <w:spacing w:after="120"/>
      </w:pPr>
      <w:r>
        <w:t>The overall total burden</w:t>
      </w:r>
      <w:r w:rsidR="00507831">
        <w:t xml:space="preserve"> for the EIA UDP surveys is </w:t>
      </w:r>
      <w:r w:rsidR="00E37705" w:rsidRPr="00BA7B35">
        <w:t>1,207</w:t>
      </w:r>
      <w:r>
        <w:t xml:space="preserve"> hours annually.  There are a total of </w:t>
      </w:r>
      <w:r w:rsidR="0062447D" w:rsidRPr="003920C5">
        <w:t>10</w:t>
      </w:r>
      <w:r w:rsidR="003920C5" w:rsidRPr="003920C5">
        <w:t>2</w:t>
      </w:r>
      <w:r w:rsidRPr="003920C5">
        <w:t xml:space="preserve"> </w:t>
      </w:r>
      <w:r>
        <w:t xml:space="preserve">respondents who file a total of </w:t>
      </w:r>
      <w:r w:rsidR="00037D1A" w:rsidRPr="00295A7B">
        <w:t>16</w:t>
      </w:r>
      <w:r w:rsidR="00295A7B" w:rsidRPr="00295A7B">
        <w:t>9</w:t>
      </w:r>
      <w:r w:rsidRPr="00295A7B">
        <w:t xml:space="preserve"> </w:t>
      </w:r>
      <w:r>
        <w:t xml:space="preserve">forms annually, as some respondents report on more than one of the UDP </w:t>
      </w:r>
      <w:r w:rsidRPr="00DB0DC3">
        <w:t xml:space="preserve">forms.  This results in an average of </w:t>
      </w:r>
      <w:r w:rsidR="00D953AE" w:rsidRPr="00E61229">
        <w:t>1.6</w:t>
      </w:r>
      <w:r w:rsidR="005E5B99" w:rsidRPr="00E61229">
        <w:t>6</w:t>
      </w:r>
      <w:r w:rsidRPr="00E61229">
        <w:t xml:space="preserve"> </w:t>
      </w:r>
      <w:r w:rsidRPr="00DB0DC3">
        <w:t xml:space="preserve">individual responses (filings of an individual form) per year per respondent with each response averaging </w:t>
      </w:r>
      <w:r w:rsidRPr="00E61229">
        <w:t>7.</w:t>
      </w:r>
      <w:r w:rsidR="00AE6015" w:rsidRPr="00E61229">
        <w:t>1</w:t>
      </w:r>
      <w:r w:rsidR="00E61229" w:rsidRPr="00E61229">
        <w:t>4</w:t>
      </w:r>
      <w:r w:rsidRPr="00E61229">
        <w:t xml:space="preserve"> </w:t>
      </w:r>
      <w:r w:rsidRPr="00DB0DC3">
        <w:t xml:space="preserve">hours, yielding an average annual burden </w:t>
      </w:r>
      <w:r w:rsidRPr="00E61229">
        <w:t xml:space="preserve">of </w:t>
      </w:r>
      <w:r w:rsidR="00AA3824" w:rsidRPr="00E61229">
        <w:t>11.8</w:t>
      </w:r>
      <w:r w:rsidR="00E61229" w:rsidRPr="00E61229">
        <w:t>3</w:t>
      </w:r>
      <w:r w:rsidRPr="00E61229">
        <w:t xml:space="preserve"> </w:t>
      </w:r>
      <w:r w:rsidRPr="00DB0DC3">
        <w:t xml:space="preserve">hours per respondent.  The total </w:t>
      </w:r>
      <w:r w:rsidRPr="00E806CF">
        <w:t>annual cost of the surveys is estimated to be $</w:t>
      </w:r>
      <w:r w:rsidR="00F55A87" w:rsidRPr="00253BB5">
        <w:t>86,868</w:t>
      </w:r>
      <w:r w:rsidRPr="00E806CF">
        <w:t xml:space="preserve"> (burden hours times $</w:t>
      </w:r>
      <w:r w:rsidR="00A819F2">
        <w:t>71.97</w:t>
      </w:r>
      <w:r w:rsidRPr="00E806CF">
        <w:t xml:space="preserve"> per hour.</w:t>
      </w:r>
      <w:r w:rsidR="00DF777E">
        <w:t>)</w:t>
      </w:r>
    </w:p>
    <w:p w:rsidR="007E5559" w:rsidRPr="007C0414" w:rsidRDefault="007E5559" w:rsidP="00F44A02">
      <w:pPr>
        <w:pStyle w:val="Heading2"/>
      </w:pPr>
      <w:bookmarkStart w:id="57" w:name="_Toc409011789"/>
      <w:bookmarkStart w:id="58" w:name="_Toc409769435"/>
      <w:bookmarkStart w:id="59" w:name="_Toc423938218"/>
      <w:r w:rsidRPr="007C0414">
        <w:t>Estimates of Cost Burden to Respondents</w:t>
      </w:r>
      <w:bookmarkEnd w:id="57"/>
      <w:bookmarkEnd w:id="58"/>
      <w:bookmarkEnd w:id="59"/>
    </w:p>
    <w:p w:rsidR="007E5559" w:rsidRDefault="007E5559" w:rsidP="00456483">
      <w:pPr>
        <w:spacing w:before="120" w:beforeAutospacing="0"/>
      </w:pPr>
      <w:r>
        <w:t>EIA estimates that there are no</w:t>
      </w:r>
      <w:r w:rsidR="009638AA">
        <w:t>t any</w:t>
      </w:r>
      <w:r>
        <w:t xml:space="preserve"> additional costs to respondents associated with the surveys in the </w:t>
      </w:r>
      <w:r w:rsidR="0017076C">
        <w:t>UDP</w:t>
      </w:r>
      <w:r>
        <w:t xml:space="preserve"> other than the costs associated with the burden hours as set forth in </w:t>
      </w:r>
      <w:r w:rsidR="00C96622">
        <w:t xml:space="preserve">Item </w:t>
      </w:r>
      <w:r>
        <w:t>1</w:t>
      </w:r>
      <w:r w:rsidR="00697D1B">
        <w:t>3</w:t>
      </w:r>
      <w:r w:rsidR="00C96622">
        <w:t>,</w:t>
      </w:r>
      <w:r>
        <w:t xml:space="preserve"> above.</w:t>
      </w:r>
    </w:p>
    <w:p w:rsidR="007E5559" w:rsidRPr="007C0414" w:rsidRDefault="007E5559" w:rsidP="00F44A02">
      <w:pPr>
        <w:pStyle w:val="Heading2"/>
      </w:pPr>
      <w:bookmarkStart w:id="60" w:name="_Toc409011790"/>
      <w:bookmarkStart w:id="61" w:name="_Toc409769436"/>
      <w:bookmarkStart w:id="62" w:name="_Toc423938219"/>
      <w:r w:rsidRPr="007C0414">
        <w:t>Estimates of Annual Cost to the Government</w:t>
      </w:r>
      <w:bookmarkEnd w:id="60"/>
      <w:bookmarkEnd w:id="61"/>
      <w:bookmarkEnd w:id="62"/>
    </w:p>
    <w:p w:rsidR="007E5559" w:rsidRDefault="007E5559" w:rsidP="00456483">
      <w:pPr>
        <w:spacing w:before="120" w:beforeAutospacing="0"/>
        <w:rPr>
          <w:szCs w:val="24"/>
        </w:rPr>
      </w:pPr>
      <w:r w:rsidRPr="00136679">
        <w:lastRenderedPageBreak/>
        <w:t>The annual costs</w:t>
      </w:r>
      <w:r w:rsidR="00EC068B">
        <w:t xml:space="preserve"> of the </w:t>
      </w:r>
      <w:r w:rsidR="00EB25C7">
        <w:t>UDP</w:t>
      </w:r>
      <w:r w:rsidR="00EC068B">
        <w:t xml:space="preserve"> data collection to the Federal Government</w:t>
      </w:r>
      <w:r w:rsidRPr="00136679">
        <w:t xml:space="preserve">, including personnel, systems development and maintenance, collection, processing, analysis, and publication are estimated to </w:t>
      </w:r>
      <w:r w:rsidRPr="00136679">
        <w:rPr>
          <w:szCs w:val="24"/>
        </w:rPr>
        <w:t>be $</w:t>
      </w:r>
      <w:r w:rsidR="00776C7C">
        <w:rPr>
          <w:szCs w:val="24"/>
        </w:rPr>
        <w:t>144,000</w:t>
      </w:r>
      <w:r w:rsidR="00D82DBD" w:rsidRPr="002D0E02">
        <w:rPr>
          <w:szCs w:val="24"/>
        </w:rPr>
        <w:t>.</w:t>
      </w:r>
    </w:p>
    <w:p w:rsidR="000C651B" w:rsidRPr="007F116D" w:rsidRDefault="000C651B" w:rsidP="00F44A02">
      <w:pPr>
        <w:pStyle w:val="Heading2"/>
      </w:pPr>
      <w:bookmarkStart w:id="63" w:name="_Toc409011791"/>
      <w:bookmarkStart w:id="64" w:name="_Toc409769437"/>
      <w:bookmarkStart w:id="65" w:name="_Toc423938220"/>
      <w:bookmarkStart w:id="66" w:name="OLE_LINK3"/>
      <w:bookmarkStart w:id="67" w:name="OLE_LINK4"/>
      <w:r w:rsidRPr="00B94109">
        <w:t>Changes in Burden to Respondents</w:t>
      </w:r>
      <w:bookmarkEnd w:id="63"/>
      <w:bookmarkEnd w:id="64"/>
      <w:bookmarkEnd w:id="65"/>
    </w:p>
    <w:bookmarkEnd w:id="66"/>
    <w:bookmarkEnd w:id="67"/>
    <w:p w:rsidR="00076CF1" w:rsidRDefault="00076CF1" w:rsidP="00076CF1">
      <w:pPr>
        <w:spacing w:before="120" w:beforeAutospacing="0"/>
        <w:rPr>
          <w:snapToGrid/>
          <w:szCs w:val="24"/>
        </w:rPr>
      </w:pPr>
      <w:r w:rsidRPr="00F6686C">
        <w:t>The currently appro</w:t>
      </w:r>
      <w:r>
        <w:t>ved burden in 2012 for the EIA UDP (OMB Number 1905-0160)</w:t>
      </w:r>
      <w:r w:rsidRPr="00F6686C">
        <w:t xml:space="preserve"> is </w:t>
      </w:r>
      <w:r>
        <w:t>205 responses annually for a total of 1,460</w:t>
      </w:r>
      <w:r w:rsidRPr="00F6686C">
        <w:t xml:space="preserve"> hours</w:t>
      </w:r>
      <w:r>
        <w:t>.  The</w:t>
      </w:r>
      <w:r w:rsidRPr="00F6686C">
        <w:t xml:space="preserve"> proposed burden for this request is </w:t>
      </w:r>
      <w:r w:rsidR="00295A7B" w:rsidRPr="00295A7B">
        <w:t xml:space="preserve">169 </w:t>
      </w:r>
      <w:r>
        <w:t xml:space="preserve">responses annually for a total of </w:t>
      </w:r>
      <w:r w:rsidR="00E37705" w:rsidRPr="00BA7B35">
        <w:t>1,207</w:t>
      </w:r>
      <w:r w:rsidRPr="00F6686C">
        <w:t xml:space="preserve"> hours</w:t>
      </w:r>
      <w:r>
        <w:t>.  This</w:t>
      </w:r>
      <w:r w:rsidRPr="00F6686C">
        <w:t xml:space="preserve"> is a</w:t>
      </w:r>
      <w:r>
        <w:t xml:space="preserve"> de</w:t>
      </w:r>
      <w:r w:rsidRPr="00F6686C">
        <w:t xml:space="preserve">crease </w:t>
      </w:r>
      <w:r w:rsidRPr="00EC6408">
        <w:t xml:space="preserve">of </w:t>
      </w:r>
      <w:r w:rsidR="00EC6408" w:rsidRPr="00EC6408">
        <w:t>3</w:t>
      </w:r>
      <w:r w:rsidR="00CE4365">
        <w:t>6</w:t>
      </w:r>
      <w:r w:rsidRPr="00EC6408">
        <w:t xml:space="preserve"> </w:t>
      </w:r>
      <w:r>
        <w:t xml:space="preserve">responses annually and </w:t>
      </w:r>
      <w:r w:rsidRPr="00EC6408">
        <w:t>2</w:t>
      </w:r>
      <w:r w:rsidR="00EC6408" w:rsidRPr="00EC6408">
        <w:t>53</w:t>
      </w:r>
      <w:r w:rsidRPr="00EC6408">
        <w:t xml:space="preserve"> </w:t>
      </w:r>
      <w:r w:rsidRPr="00F6686C">
        <w:t>hours</w:t>
      </w:r>
      <w:r>
        <w:t xml:space="preserve"> annually</w:t>
      </w:r>
      <w:r w:rsidRPr="00F6686C">
        <w:t xml:space="preserve">, due to </w:t>
      </w:r>
      <w:r>
        <w:t>a</w:t>
      </w:r>
      <w:r w:rsidRPr="007C2C54">
        <w:t xml:space="preserve"> decrease in</w:t>
      </w:r>
      <w:r>
        <w:t xml:space="preserve"> the</w:t>
      </w:r>
      <w:r w:rsidRPr="007C2C54">
        <w:t xml:space="preserve"> number of respondents</w:t>
      </w:r>
      <w:r>
        <w:t xml:space="preserve"> across the surveys</w:t>
      </w:r>
      <w:r w:rsidRPr="007C2C54">
        <w:t xml:space="preserve">.  There is no change </w:t>
      </w:r>
      <w:r>
        <w:t xml:space="preserve">resulting from an EIA program change </w:t>
      </w:r>
      <w:r w:rsidR="007E669F" w:rsidRPr="00CA65CF">
        <w:rPr>
          <w:snapToGrid/>
          <w:szCs w:val="24"/>
        </w:rPr>
        <w:t xml:space="preserve">(See </w:t>
      </w:r>
      <w:r w:rsidR="00555F3F">
        <w:rPr>
          <w:snapToGrid/>
          <w:szCs w:val="24"/>
        </w:rPr>
        <w:t>Table A</w:t>
      </w:r>
      <w:r w:rsidR="00697D1B">
        <w:rPr>
          <w:snapToGrid/>
          <w:szCs w:val="24"/>
        </w:rPr>
        <w:t>2</w:t>
      </w:r>
      <w:r w:rsidR="00555F3F">
        <w:rPr>
          <w:snapToGrid/>
          <w:szCs w:val="24"/>
        </w:rPr>
        <w:t>)</w:t>
      </w:r>
      <w:r w:rsidR="007E669F" w:rsidRPr="00CA65CF">
        <w:rPr>
          <w:snapToGrid/>
          <w:szCs w:val="24"/>
        </w:rPr>
        <w:t>.</w:t>
      </w:r>
    </w:p>
    <w:p w:rsidR="00083F1B" w:rsidRDefault="00A03F63" w:rsidP="00A03F63">
      <w:pPr>
        <w:widowControl/>
        <w:spacing w:before="0" w:beforeAutospacing="0" w:after="0" w:afterAutospacing="0"/>
        <w:jc w:val="left"/>
        <w:rPr>
          <w:b/>
        </w:rPr>
      </w:pPr>
      <w:r>
        <w:rPr>
          <w:snapToGrid/>
          <w:szCs w:val="24"/>
        </w:rPr>
        <w:t xml:space="preserve"> </w:t>
      </w:r>
      <w:r w:rsidR="007E5559" w:rsidRPr="007E5559">
        <w:rPr>
          <w:b/>
        </w:rPr>
        <w:t>Table A</w:t>
      </w:r>
      <w:r w:rsidR="00F273AB">
        <w:rPr>
          <w:b/>
        </w:rPr>
        <w:t>2</w:t>
      </w:r>
      <w:r w:rsidR="007E5559" w:rsidRPr="007E5559">
        <w:rPr>
          <w:b/>
        </w:rPr>
        <w:t>. Change in Burden to Respondents</w:t>
      </w:r>
    </w:p>
    <w:tbl>
      <w:tblPr>
        <w:tblpPr w:leftFromText="187" w:rightFromText="187" w:vertAnchor="page" w:horzAnchor="margin" w:tblpY="708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620"/>
        <w:gridCol w:w="1980"/>
        <w:gridCol w:w="1800"/>
      </w:tblGrid>
      <w:tr w:rsidR="00A03F63" w:rsidRPr="001A0450" w:rsidTr="007940BC">
        <w:trPr>
          <w:trHeight w:val="797"/>
        </w:trPr>
        <w:tc>
          <w:tcPr>
            <w:tcW w:w="1818" w:type="dxa"/>
            <w:shd w:val="pct20" w:color="auto" w:fill="auto"/>
            <w:vAlign w:val="bottom"/>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IA Form Number</w:t>
            </w:r>
          </w:p>
        </w:tc>
        <w:tc>
          <w:tcPr>
            <w:tcW w:w="1530" w:type="dxa"/>
            <w:shd w:val="pct20" w:color="auto" w:fill="auto"/>
            <w:vAlign w:val="bottom"/>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2012 Burden</w:t>
            </w:r>
          </w:p>
        </w:tc>
        <w:tc>
          <w:tcPr>
            <w:tcW w:w="1620" w:type="dxa"/>
            <w:shd w:val="pct20" w:color="auto" w:fill="auto"/>
            <w:vAlign w:val="bottom"/>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2014 Burden</w:t>
            </w:r>
          </w:p>
        </w:tc>
        <w:tc>
          <w:tcPr>
            <w:tcW w:w="1980" w:type="dxa"/>
            <w:shd w:val="pct20" w:color="auto" w:fill="auto"/>
            <w:vAlign w:val="bottom"/>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Adjustment</w:t>
            </w:r>
          </w:p>
        </w:tc>
        <w:tc>
          <w:tcPr>
            <w:tcW w:w="1800" w:type="dxa"/>
            <w:shd w:val="pct20" w:color="auto" w:fill="auto"/>
            <w:vAlign w:val="bottom"/>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Program Change</w:t>
            </w:r>
          </w:p>
        </w:tc>
      </w:tr>
      <w:tr w:rsidR="00A03F63" w:rsidRPr="001A0450" w:rsidTr="007940BC">
        <w:trPr>
          <w:trHeight w:val="518"/>
        </w:trPr>
        <w:tc>
          <w:tcPr>
            <w:tcW w:w="1818" w:type="dxa"/>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EIA-851A</w:t>
            </w:r>
          </w:p>
        </w:tc>
        <w:tc>
          <w:tcPr>
            <w:tcW w:w="153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380 hours</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76  responses</w:t>
            </w:r>
          </w:p>
        </w:tc>
        <w:tc>
          <w:tcPr>
            <w:tcW w:w="162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8E1579">
              <w:t>2</w:t>
            </w:r>
            <w:r w:rsidR="00AE0FD1" w:rsidRPr="008E1579">
              <w:t>6</w:t>
            </w:r>
            <w:r w:rsidRPr="008E1579">
              <w:t xml:space="preserve">5 </w:t>
            </w:r>
            <w:r>
              <w:t>hours</w:t>
            </w:r>
          </w:p>
          <w:p w:rsidR="00A03F63" w:rsidRPr="00F306CC" w:rsidRDefault="00A03F63" w:rsidP="00323F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w:t>
            </w:r>
            <w:r w:rsidR="00323FC3">
              <w:t>3</w:t>
            </w:r>
            <w:r>
              <w:t xml:space="preserve">  responses</w:t>
            </w:r>
          </w:p>
        </w:tc>
        <w:tc>
          <w:tcPr>
            <w:tcW w:w="198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r w:rsidRPr="008E1579">
              <w:t>1</w:t>
            </w:r>
            <w:r w:rsidR="008E1579" w:rsidRPr="008E1579">
              <w:t>1</w:t>
            </w:r>
            <w:r w:rsidRPr="008E1579">
              <w:t xml:space="preserve">5 </w:t>
            </w:r>
            <w:r>
              <w:t>hours</w:t>
            </w:r>
          </w:p>
          <w:p w:rsidR="00A03F63" w:rsidRPr="00F306CC" w:rsidRDefault="00323FC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-23</w:t>
            </w:r>
            <w:r w:rsidR="00A03F63">
              <w:t xml:space="preserve">  responses</w:t>
            </w:r>
          </w:p>
        </w:tc>
        <w:tc>
          <w:tcPr>
            <w:tcW w:w="180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None</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03F63" w:rsidRPr="001A0450" w:rsidTr="007940BC">
        <w:trPr>
          <w:trHeight w:val="392"/>
        </w:trPr>
        <w:tc>
          <w:tcPr>
            <w:tcW w:w="1818" w:type="dxa"/>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EIA-851Q</w:t>
            </w:r>
          </w:p>
        </w:tc>
        <w:tc>
          <w:tcPr>
            <w:tcW w:w="153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45 hours</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60  responses</w:t>
            </w:r>
          </w:p>
        </w:tc>
        <w:tc>
          <w:tcPr>
            <w:tcW w:w="162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42 hours</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  responses</w:t>
            </w:r>
          </w:p>
        </w:tc>
        <w:tc>
          <w:tcPr>
            <w:tcW w:w="198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 hours</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  responses</w:t>
            </w:r>
          </w:p>
        </w:tc>
        <w:tc>
          <w:tcPr>
            <w:tcW w:w="1800" w:type="dxa"/>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None</w:t>
            </w:r>
          </w:p>
        </w:tc>
      </w:tr>
      <w:tr w:rsidR="00A03F63" w:rsidRPr="001A0450" w:rsidTr="007940BC">
        <w:tc>
          <w:tcPr>
            <w:tcW w:w="1818" w:type="dxa"/>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EIA-858</w:t>
            </w:r>
          </w:p>
        </w:tc>
        <w:tc>
          <w:tcPr>
            <w:tcW w:w="153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1,035 hours</w:t>
            </w:r>
          </w:p>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69  responses</w:t>
            </w:r>
          </w:p>
        </w:tc>
        <w:tc>
          <w:tcPr>
            <w:tcW w:w="1620" w:type="dxa"/>
          </w:tcPr>
          <w:p w:rsidR="00A03F63" w:rsidRDefault="00F3258C"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3258C">
              <w:t>900</w:t>
            </w:r>
            <w:r w:rsidR="00A03F63">
              <w:t xml:space="preserve"> hours</w:t>
            </w:r>
          </w:p>
          <w:p w:rsidR="00A03F63" w:rsidRPr="00F306CC" w:rsidRDefault="00794D9D"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CA16D9">
              <w:t>60</w:t>
            </w:r>
            <w:r w:rsidR="00A03F63" w:rsidRPr="00540F6C">
              <w:rPr>
                <w:color w:val="FF0000"/>
              </w:rPr>
              <w:t xml:space="preserve">  </w:t>
            </w:r>
            <w:r w:rsidR="00A03F63">
              <w:t>responses</w:t>
            </w:r>
          </w:p>
        </w:tc>
        <w:tc>
          <w:tcPr>
            <w:tcW w:w="1980" w:type="dxa"/>
          </w:tcPr>
          <w:p w:rsidR="00A03F63"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r w:rsidR="000E33DE" w:rsidRPr="000E33DE">
              <w:t>135</w:t>
            </w:r>
            <w:r>
              <w:t xml:space="preserve"> hours</w:t>
            </w:r>
          </w:p>
          <w:p w:rsidR="00A03F63" w:rsidRPr="00F306CC" w:rsidRDefault="00A03F63" w:rsidP="000E33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0E33DE">
              <w:t>-</w:t>
            </w:r>
            <w:r w:rsidR="000E33DE" w:rsidRPr="000E33DE">
              <w:t>9</w:t>
            </w:r>
            <w:r w:rsidRPr="000E33DE">
              <w:t xml:space="preserve">  </w:t>
            </w:r>
            <w:r>
              <w:t>responses</w:t>
            </w:r>
          </w:p>
        </w:tc>
        <w:tc>
          <w:tcPr>
            <w:tcW w:w="1800" w:type="dxa"/>
          </w:tcPr>
          <w:p w:rsidR="00A03F63" w:rsidRPr="00F306CC"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None</w:t>
            </w:r>
          </w:p>
        </w:tc>
      </w:tr>
      <w:tr w:rsidR="00A03F63" w:rsidRPr="001A0450" w:rsidTr="007940BC">
        <w:trPr>
          <w:trHeight w:val="455"/>
        </w:trPr>
        <w:tc>
          <w:tcPr>
            <w:tcW w:w="1818" w:type="dxa"/>
          </w:tcPr>
          <w:p w:rsidR="00A03F63" w:rsidRPr="00F70CE4" w:rsidRDefault="00A03F63" w:rsidP="00A03F63">
            <w:pPr>
              <w:numPr>
                <w:ilvl w:val="12"/>
                <w:numId w:val="0"/>
              </w:numPr>
              <w:tabs>
                <w:tab w:val="left" w:pos="-1980"/>
                <w:tab w:val="left" w:pos="0"/>
                <w:tab w:val="left" w:pos="1080"/>
                <w:tab w:val="left" w:pos="2880"/>
                <w:tab w:val="left" w:pos="3600"/>
                <w:tab w:val="left" w:pos="4320"/>
                <w:tab w:val="left" w:pos="5040"/>
                <w:tab w:val="left" w:pos="5760"/>
                <w:tab w:val="left" w:pos="6480"/>
                <w:tab w:val="left" w:pos="7200"/>
                <w:tab w:val="left" w:pos="7920"/>
                <w:tab w:val="left" w:pos="8640"/>
              </w:tabs>
              <w:rPr>
                <w:b/>
              </w:rPr>
            </w:pPr>
            <w:r w:rsidRPr="00F70CE4">
              <w:rPr>
                <w:b/>
              </w:rPr>
              <w:t>Total</w:t>
            </w:r>
          </w:p>
        </w:tc>
        <w:tc>
          <w:tcPr>
            <w:tcW w:w="1530" w:type="dxa"/>
          </w:tcPr>
          <w:p w:rsidR="00A03F63" w:rsidRPr="00F70CE4"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F70CE4">
              <w:rPr>
                <w:b/>
              </w:rPr>
              <w:t>1,460 hours</w:t>
            </w:r>
          </w:p>
          <w:p w:rsidR="00A03F63" w:rsidRPr="00F70CE4"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F70CE4">
              <w:rPr>
                <w:b/>
              </w:rPr>
              <w:t>205  responses</w:t>
            </w:r>
          </w:p>
        </w:tc>
        <w:tc>
          <w:tcPr>
            <w:tcW w:w="1620" w:type="dxa"/>
          </w:tcPr>
          <w:p w:rsidR="00A03F63" w:rsidRPr="00F70CE4"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097D94">
              <w:rPr>
                <w:b/>
              </w:rPr>
              <w:t>1,</w:t>
            </w:r>
            <w:r w:rsidR="00097D94" w:rsidRPr="00097D94">
              <w:rPr>
                <w:b/>
              </w:rPr>
              <w:t>207</w:t>
            </w:r>
            <w:r w:rsidRPr="00097D94">
              <w:rPr>
                <w:b/>
              </w:rPr>
              <w:t xml:space="preserve"> </w:t>
            </w:r>
            <w:r w:rsidRPr="00F70CE4">
              <w:rPr>
                <w:b/>
              </w:rPr>
              <w:t>hours</w:t>
            </w:r>
          </w:p>
          <w:p w:rsidR="00A03F63" w:rsidRPr="00F70CE4" w:rsidRDefault="00295A7B"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295A7B">
              <w:rPr>
                <w:b/>
              </w:rPr>
              <w:t>169</w:t>
            </w:r>
            <w:r w:rsidRPr="00295A7B">
              <w:t xml:space="preserve"> </w:t>
            </w:r>
            <w:r w:rsidR="00A03F63" w:rsidRPr="00F70CE4">
              <w:rPr>
                <w:b/>
              </w:rPr>
              <w:t>responses</w:t>
            </w:r>
          </w:p>
        </w:tc>
        <w:tc>
          <w:tcPr>
            <w:tcW w:w="1980" w:type="dxa"/>
          </w:tcPr>
          <w:p w:rsidR="00A03F63" w:rsidRPr="00F70CE4"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F70CE4">
              <w:rPr>
                <w:b/>
              </w:rPr>
              <w:t>-</w:t>
            </w:r>
            <w:r w:rsidRPr="005C5E21">
              <w:rPr>
                <w:b/>
              </w:rPr>
              <w:t>2</w:t>
            </w:r>
            <w:r w:rsidR="005C5E21" w:rsidRPr="005C5E21">
              <w:rPr>
                <w:b/>
              </w:rPr>
              <w:t>53</w:t>
            </w:r>
            <w:r w:rsidRPr="005C5E21">
              <w:rPr>
                <w:b/>
              </w:rPr>
              <w:t xml:space="preserve"> </w:t>
            </w:r>
            <w:r w:rsidRPr="00F70CE4">
              <w:rPr>
                <w:b/>
              </w:rPr>
              <w:t>hours</w:t>
            </w:r>
          </w:p>
          <w:p w:rsidR="00A03F63" w:rsidRPr="00F70CE4" w:rsidRDefault="00A03F63" w:rsidP="00CE43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5C5E21">
              <w:rPr>
                <w:b/>
              </w:rPr>
              <w:t>-</w:t>
            </w:r>
            <w:r w:rsidR="005C5E21" w:rsidRPr="005C5E21">
              <w:rPr>
                <w:b/>
              </w:rPr>
              <w:t>3</w:t>
            </w:r>
            <w:r w:rsidR="00CE4365">
              <w:rPr>
                <w:b/>
              </w:rPr>
              <w:t>6</w:t>
            </w:r>
            <w:r w:rsidRPr="005C5E21">
              <w:rPr>
                <w:b/>
              </w:rPr>
              <w:t xml:space="preserve">  </w:t>
            </w:r>
            <w:r w:rsidRPr="00F70CE4">
              <w:rPr>
                <w:b/>
              </w:rPr>
              <w:t>responses</w:t>
            </w:r>
          </w:p>
        </w:tc>
        <w:tc>
          <w:tcPr>
            <w:tcW w:w="1800" w:type="dxa"/>
          </w:tcPr>
          <w:p w:rsidR="00A03F63" w:rsidRPr="00F70CE4" w:rsidRDefault="00A03F63" w:rsidP="00A03F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F70CE4">
              <w:rPr>
                <w:b/>
              </w:rPr>
              <w:t>None</w:t>
            </w:r>
          </w:p>
        </w:tc>
      </w:tr>
    </w:tbl>
    <w:p w:rsidR="00A119A8" w:rsidRDefault="00A03F63">
      <w:pPr>
        <w:widowControl/>
        <w:spacing w:before="0" w:beforeAutospacing="0" w:after="0" w:afterAutospacing="0"/>
        <w:jc w:val="left"/>
      </w:pPr>
      <w:r>
        <w:t xml:space="preserve"> </w:t>
      </w:r>
      <w:r w:rsidR="00A119A8">
        <w:br w:type="page"/>
      </w:r>
    </w:p>
    <w:p w:rsidR="00F132D6" w:rsidRPr="009E7723" w:rsidRDefault="00F132D6" w:rsidP="00456483">
      <w:pPr>
        <w:pStyle w:val="Heading2"/>
      </w:pPr>
      <w:bookmarkStart w:id="68" w:name="_Toc409011792"/>
      <w:bookmarkStart w:id="69" w:name="_Toc409769438"/>
      <w:bookmarkStart w:id="70" w:name="_Toc423938221"/>
      <w:r w:rsidRPr="009E7723">
        <w:lastRenderedPageBreak/>
        <w:t>Data Collection and Publication</w:t>
      </w:r>
      <w:bookmarkEnd w:id="68"/>
      <w:bookmarkEnd w:id="69"/>
      <w:bookmarkEnd w:id="70"/>
    </w:p>
    <w:p w:rsidR="00F66D47" w:rsidRPr="000D6A2A" w:rsidRDefault="00F66D47" w:rsidP="00F66D4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rPr>
      </w:pPr>
      <w:r>
        <w:rPr>
          <w:rFonts w:cstheme="minorHAnsi"/>
        </w:rPr>
        <w:t xml:space="preserve">The data collected on the UDP </w:t>
      </w:r>
      <w:r w:rsidRPr="000D6A2A">
        <w:rPr>
          <w:rFonts w:cstheme="minorHAnsi"/>
        </w:rPr>
        <w:t>form</w:t>
      </w:r>
      <w:r>
        <w:rPr>
          <w:rFonts w:cstheme="minorHAnsi"/>
        </w:rPr>
        <w:t>s</w:t>
      </w:r>
      <w:r w:rsidRPr="000D6A2A">
        <w:rPr>
          <w:rFonts w:cstheme="minorHAnsi"/>
        </w:rPr>
        <w:t xml:space="preserve"> will be </w:t>
      </w:r>
      <w:r>
        <w:rPr>
          <w:rFonts w:cstheme="minorHAnsi"/>
        </w:rPr>
        <w:t>aggregated</w:t>
      </w:r>
      <w:r w:rsidRPr="000D6A2A">
        <w:rPr>
          <w:rFonts w:cstheme="minorHAnsi"/>
        </w:rPr>
        <w:t xml:space="preserve"> in EIA reports and made available on the EIA website.  </w:t>
      </w:r>
    </w:p>
    <w:p w:rsidR="00F66D47" w:rsidRPr="000D6A2A" w:rsidRDefault="00F66D47" w:rsidP="00F66D47">
      <w:pPr>
        <w:pStyle w:val="Caption"/>
        <w:rPr>
          <w:rFonts w:asciiTheme="minorHAnsi" w:hAnsiTheme="minorHAnsi" w:cstheme="minorHAnsi"/>
          <w:sz w:val="22"/>
          <w:szCs w:val="22"/>
        </w:rPr>
      </w:pPr>
      <w:bookmarkStart w:id="71" w:name="_Toc524420604"/>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260"/>
        <w:gridCol w:w="1260"/>
        <w:gridCol w:w="1080"/>
        <w:gridCol w:w="4500"/>
        <w:gridCol w:w="1170"/>
      </w:tblGrid>
      <w:tr w:rsidR="00F66D47" w:rsidRPr="000D6A2A" w:rsidTr="00326A0F">
        <w:trPr>
          <w:trHeight w:val="259"/>
          <w:tblHeader/>
        </w:trPr>
        <w:tc>
          <w:tcPr>
            <w:tcW w:w="918" w:type="dxa"/>
            <w:shd w:val="clear" w:color="auto" w:fill="CCCCCC"/>
            <w:vAlign w:val="bottom"/>
          </w:tcPr>
          <w:bookmarkEnd w:id="71"/>
          <w:p w:rsidR="00F66D47" w:rsidRPr="00190639" w:rsidRDefault="00F66D47" w:rsidP="00326A0F">
            <w:pPr>
              <w:spacing w:before="120" w:after="120"/>
              <w:jc w:val="center"/>
              <w:rPr>
                <w:b/>
                <w:bCs/>
                <w:sz w:val="22"/>
                <w:szCs w:val="22"/>
              </w:rPr>
            </w:pPr>
            <w:r w:rsidRPr="00190639">
              <w:rPr>
                <w:b/>
                <w:bCs/>
                <w:sz w:val="22"/>
                <w:szCs w:val="22"/>
              </w:rPr>
              <w:t>Form</w:t>
            </w:r>
          </w:p>
        </w:tc>
        <w:tc>
          <w:tcPr>
            <w:tcW w:w="1260" w:type="dxa"/>
            <w:shd w:val="clear" w:color="auto" w:fill="CCCCCC"/>
            <w:vAlign w:val="bottom"/>
          </w:tcPr>
          <w:p w:rsidR="00F66D47" w:rsidRPr="00190639" w:rsidRDefault="00F66D47" w:rsidP="00326A0F">
            <w:pPr>
              <w:spacing w:before="120" w:after="120"/>
              <w:jc w:val="center"/>
              <w:rPr>
                <w:b/>
                <w:bCs/>
                <w:sz w:val="22"/>
                <w:szCs w:val="22"/>
              </w:rPr>
            </w:pPr>
            <w:r w:rsidRPr="00190639">
              <w:rPr>
                <w:b/>
                <w:bCs/>
                <w:sz w:val="22"/>
                <w:szCs w:val="22"/>
              </w:rPr>
              <w:t>Start Date</w:t>
            </w:r>
          </w:p>
        </w:tc>
        <w:tc>
          <w:tcPr>
            <w:tcW w:w="1260" w:type="dxa"/>
            <w:tcBorders>
              <w:bottom w:val="single" w:sz="4" w:space="0" w:color="auto"/>
            </w:tcBorders>
            <w:shd w:val="clear" w:color="auto" w:fill="CCCCCC"/>
            <w:vAlign w:val="bottom"/>
          </w:tcPr>
          <w:p w:rsidR="00F66D47" w:rsidRPr="00190639" w:rsidRDefault="00F66D47" w:rsidP="00326A0F">
            <w:pPr>
              <w:spacing w:before="120" w:after="120"/>
              <w:jc w:val="center"/>
              <w:rPr>
                <w:b/>
                <w:bCs/>
                <w:sz w:val="22"/>
                <w:szCs w:val="22"/>
              </w:rPr>
            </w:pPr>
            <w:r w:rsidRPr="00190639">
              <w:rPr>
                <w:b/>
                <w:bCs/>
                <w:sz w:val="22"/>
                <w:szCs w:val="22"/>
              </w:rPr>
              <w:t>Due Date</w:t>
            </w:r>
          </w:p>
        </w:tc>
        <w:tc>
          <w:tcPr>
            <w:tcW w:w="1080" w:type="dxa"/>
            <w:shd w:val="clear" w:color="auto" w:fill="CCCCCC"/>
            <w:vAlign w:val="bottom"/>
          </w:tcPr>
          <w:p w:rsidR="00F66D47" w:rsidRPr="00190639" w:rsidRDefault="00F66D47" w:rsidP="00326A0F">
            <w:pPr>
              <w:spacing w:before="120" w:after="120"/>
              <w:jc w:val="center"/>
              <w:rPr>
                <w:b/>
                <w:bCs/>
                <w:sz w:val="22"/>
                <w:szCs w:val="22"/>
              </w:rPr>
            </w:pPr>
            <w:r w:rsidRPr="00190639">
              <w:rPr>
                <w:b/>
                <w:bCs/>
                <w:sz w:val="22"/>
                <w:szCs w:val="22"/>
              </w:rPr>
              <w:t>Period</w:t>
            </w:r>
          </w:p>
        </w:tc>
        <w:tc>
          <w:tcPr>
            <w:tcW w:w="4500" w:type="dxa"/>
            <w:shd w:val="clear" w:color="auto" w:fill="CCCCCC"/>
            <w:vAlign w:val="bottom"/>
          </w:tcPr>
          <w:p w:rsidR="00F66D47" w:rsidRPr="00190639" w:rsidRDefault="00F66D47" w:rsidP="00326A0F">
            <w:pPr>
              <w:pStyle w:val="z-BottomofForm"/>
              <w:spacing w:before="120" w:after="120"/>
              <w:rPr>
                <w:bCs/>
                <w:sz w:val="22"/>
                <w:szCs w:val="22"/>
              </w:rPr>
            </w:pPr>
            <w:r w:rsidRPr="00190639">
              <w:rPr>
                <w:bCs/>
                <w:sz w:val="22"/>
                <w:szCs w:val="22"/>
              </w:rPr>
              <w:t>Publication</w:t>
            </w:r>
            <w:r w:rsidR="00FE5483">
              <w:rPr>
                <w:bCs/>
                <w:sz w:val="22"/>
                <w:szCs w:val="22"/>
              </w:rPr>
              <w:t>s</w:t>
            </w:r>
          </w:p>
        </w:tc>
        <w:tc>
          <w:tcPr>
            <w:tcW w:w="1170" w:type="dxa"/>
            <w:shd w:val="clear" w:color="auto" w:fill="CCCCCC"/>
            <w:vAlign w:val="bottom"/>
          </w:tcPr>
          <w:p w:rsidR="00F66D47" w:rsidRPr="00190639" w:rsidRDefault="00F66D47" w:rsidP="00326A0F">
            <w:pPr>
              <w:spacing w:before="120" w:after="120"/>
              <w:jc w:val="center"/>
              <w:rPr>
                <w:b/>
                <w:bCs/>
                <w:sz w:val="22"/>
                <w:szCs w:val="22"/>
              </w:rPr>
            </w:pPr>
            <w:r w:rsidRPr="00190639">
              <w:rPr>
                <w:b/>
                <w:bCs/>
                <w:sz w:val="22"/>
                <w:szCs w:val="22"/>
              </w:rPr>
              <w:t>On EIA website</w:t>
            </w:r>
          </w:p>
        </w:tc>
      </w:tr>
      <w:tr w:rsidR="00F66D47" w:rsidRPr="000D6A2A" w:rsidTr="00326A0F">
        <w:trPr>
          <w:trHeight w:val="259"/>
        </w:trPr>
        <w:tc>
          <w:tcPr>
            <w:tcW w:w="918" w:type="dxa"/>
          </w:tcPr>
          <w:p w:rsidR="00F66D47" w:rsidRPr="00190639" w:rsidRDefault="00F66D47" w:rsidP="00326A0F">
            <w:pPr>
              <w:spacing w:before="120" w:after="120"/>
              <w:rPr>
                <w:sz w:val="22"/>
                <w:szCs w:val="22"/>
              </w:rPr>
            </w:pPr>
            <w:r w:rsidRPr="00190639">
              <w:rPr>
                <w:sz w:val="22"/>
                <w:szCs w:val="22"/>
              </w:rPr>
              <w:t>EIA-851A</w:t>
            </w:r>
          </w:p>
        </w:tc>
        <w:tc>
          <w:tcPr>
            <w:tcW w:w="1260" w:type="dxa"/>
          </w:tcPr>
          <w:p w:rsidR="00F66D47" w:rsidRPr="00190639" w:rsidRDefault="00F66D47" w:rsidP="00326A0F">
            <w:pPr>
              <w:spacing w:before="120" w:after="120"/>
              <w:rPr>
                <w:sz w:val="22"/>
                <w:szCs w:val="22"/>
              </w:rPr>
            </w:pPr>
            <w:r w:rsidRPr="00190639">
              <w:rPr>
                <w:sz w:val="22"/>
                <w:szCs w:val="22"/>
              </w:rPr>
              <w:t xml:space="preserve">January 2  </w:t>
            </w:r>
          </w:p>
        </w:tc>
        <w:tc>
          <w:tcPr>
            <w:tcW w:w="1260" w:type="dxa"/>
          </w:tcPr>
          <w:p w:rsidR="00F66D47" w:rsidRPr="00190639" w:rsidRDefault="00F66D47" w:rsidP="00326A0F">
            <w:pPr>
              <w:spacing w:before="120" w:after="120"/>
              <w:rPr>
                <w:sz w:val="22"/>
                <w:szCs w:val="22"/>
              </w:rPr>
            </w:pPr>
            <w:r w:rsidRPr="00190639">
              <w:rPr>
                <w:sz w:val="22"/>
                <w:szCs w:val="22"/>
              </w:rPr>
              <w:t>March 1</w:t>
            </w:r>
          </w:p>
        </w:tc>
        <w:tc>
          <w:tcPr>
            <w:tcW w:w="1080" w:type="dxa"/>
          </w:tcPr>
          <w:p w:rsidR="00F66D47" w:rsidRPr="00190639" w:rsidRDefault="00F66D47" w:rsidP="00326A0F">
            <w:pPr>
              <w:spacing w:before="120" w:after="120"/>
              <w:rPr>
                <w:sz w:val="22"/>
                <w:szCs w:val="22"/>
              </w:rPr>
            </w:pPr>
            <w:r w:rsidRPr="00190639">
              <w:rPr>
                <w:sz w:val="22"/>
                <w:szCs w:val="22"/>
              </w:rPr>
              <w:t>Annual</w:t>
            </w:r>
          </w:p>
        </w:tc>
        <w:tc>
          <w:tcPr>
            <w:tcW w:w="4500" w:type="dxa"/>
          </w:tcPr>
          <w:p w:rsidR="00F66D47" w:rsidRPr="00190639" w:rsidRDefault="00F66D47" w:rsidP="008D542A">
            <w:pPr>
              <w:spacing w:before="120" w:after="120"/>
              <w:jc w:val="left"/>
              <w:rPr>
                <w:color w:val="FF0000"/>
                <w:sz w:val="22"/>
                <w:szCs w:val="22"/>
              </w:rPr>
            </w:pPr>
            <w:r w:rsidRPr="00190639">
              <w:rPr>
                <w:i/>
                <w:sz w:val="22"/>
                <w:szCs w:val="22"/>
              </w:rPr>
              <w:t xml:space="preserve">Domestic Uranium Production Report – Annual </w:t>
            </w:r>
            <w:hyperlink r:id="rId18" w:history="1">
              <w:r w:rsidRPr="00190639">
                <w:rPr>
                  <w:rStyle w:val="Hyperlink"/>
                  <w:sz w:val="22"/>
                  <w:szCs w:val="22"/>
                </w:rPr>
                <w:t>http://www.eia.gov/uranium/production/annual/</w:t>
              </w:r>
            </w:hyperlink>
          </w:p>
        </w:tc>
        <w:tc>
          <w:tcPr>
            <w:tcW w:w="1170" w:type="dxa"/>
          </w:tcPr>
          <w:p w:rsidR="00F66D47" w:rsidRPr="00190639" w:rsidRDefault="00F66D47" w:rsidP="00326A0F">
            <w:pPr>
              <w:spacing w:before="120" w:after="120"/>
              <w:rPr>
                <w:sz w:val="22"/>
                <w:szCs w:val="22"/>
              </w:rPr>
            </w:pPr>
            <w:r w:rsidRPr="00190639">
              <w:rPr>
                <w:sz w:val="22"/>
                <w:szCs w:val="22"/>
              </w:rPr>
              <w:t>May</w:t>
            </w:r>
          </w:p>
        </w:tc>
      </w:tr>
      <w:tr w:rsidR="00F66D47" w:rsidRPr="000D6A2A" w:rsidTr="00326A0F">
        <w:trPr>
          <w:trHeight w:val="259"/>
        </w:trPr>
        <w:tc>
          <w:tcPr>
            <w:tcW w:w="918" w:type="dxa"/>
          </w:tcPr>
          <w:p w:rsidR="00F66D47" w:rsidRPr="00190639" w:rsidRDefault="00F66D47" w:rsidP="00326A0F">
            <w:pPr>
              <w:spacing w:before="120" w:after="120"/>
              <w:rPr>
                <w:sz w:val="22"/>
                <w:szCs w:val="22"/>
              </w:rPr>
            </w:pPr>
            <w:r w:rsidRPr="00190639">
              <w:rPr>
                <w:sz w:val="22"/>
                <w:szCs w:val="22"/>
              </w:rPr>
              <w:t>EIA-851Q</w:t>
            </w:r>
          </w:p>
        </w:tc>
        <w:tc>
          <w:tcPr>
            <w:tcW w:w="1260" w:type="dxa"/>
          </w:tcPr>
          <w:p w:rsidR="00F66D47" w:rsidRPr="00190639" w:rsidRDefault="00F66D47" w:rsidP="00326A0F">
            <w:pPr>
              <w:spacing w:before="120" w:after="120"/>
              <w:rPr>
                <w:sz w:val="22"/>
                <w:szCs w:val="22"/>
              </w:rPr>
            </w:pPr>
            <w:r w:rsidRPr="00190639">
              <w:rPr>
                <w:sz w:val="22"/>
                <w:szCs w:val="22"/>
              </w:rPr>
              <w:t>January 2;</w:t>
            </w:r>
          </w:p>
          <w:p w:rsidR="00F66D47" w:rsidRPr="00190639" w:rsidRDefault="00F66D47" w:rsidP="00326A0F">
            <w:pPr>
              <w:spacing w:before="120" w:after="120"/>
              <w:rPr>
                <w:sz w:val="22"/>
                <w:szCs w:val="22"/>
              </w:rPr>
            </w:pPr>
            <w:r w:rsidRPr="00190639">
              <w:rPr>
                <w:sz w:val="22"/>
                <w:szCs w:val="22"/>
              </w:rPr>
              <w:t>April 1;</w:t>
            </w:r>
          </w:p>
          <w:p w:rsidR="00F66D47" w:rsidRPr="00190639" w:rsidRDefault="00F66D47" w:rsidP="00326A0F">
            <w:pPr>
              <w:spacing w:before="120" w:after="120"/>
              <w:rPr>
                <w:sz w:val="22"/>
                <w:szCs w:val="22"/>
              </w:rPr>
            </w:pPr>
            <w:r w:rsidRPr="00190639">
              <w:rPr>
                <w:sz w:val="22"/>
                <w:szCs w:val="22"/>
              </w:rPr>
              <w:t>July 1;</w:t>
            </w:r>
          </w:p>
          <w:p w:rsidR="00F66D47" w:rsidRPr="00190639" w:rsidRDefault="00F66D47" w:rsidP="00326A0F">
            <w:pPr>
              <w:spacing w:before="120" w:after="120"/>
              <w:rPr>
                <w:sz w:val="22"/>
                <w:szCs w:val="22"/>
              </w:rPr>
            </w:pPr>
            <w:r w:rsidRPr="00190639">
              <w:rPr>
                <w:sz w:val="22"/>
                <w:szCs w:val="22"/>
              </w:rPr>
              <w:t>October 1</w:t>
            </w:r>
          </w:p>
        </w:tc>
        <w:tc>
          <w:tcPr>
            <w:tcW w:w="1260" w:type="dxa"/>
          </w:tcPr>
          <w:p w:rsidR="00F66D47" w:rsidRPr="00190639" w:rsidRDefault="00F66D47" w:rsidP="00326A0F">
            <w:pPr>
              <w:spacing w:before="120" w:after="120"/>
              <w:rPr>
                <w:sz w:val="22"/>
                <w:szCs w:val="22"/>
              </w:rPr>
            </w:pPr>
            <w:r w:rsidRPr="00190639">
              <w:rPr>
                <w:sz w:val="22"/>
                <w:szCs w:val="22"/>
              </w:rPr>
              <w:t>January 15;</w:t>
            </w:r>
          </w:p>
          <w:p w:rsidR="00F66D47" w:rsidRPr="00190639" w:rsidRDefault="00F66D47" w:rsidP="00326A0F">
            <w:pPr>
              <w:spacing w:before="120" w:after="120"/>
              <w:rPr>
                <w:sz w:val="22"/>
                <w:szCs w:val="22"/>
              </w:rPr>
            </w:pPr>
            <w:r w:rsidRPr="00190639">
              <w:rPr>
                <w:sz w:val="22"/>
                <w:szCs w:val="22"/>
              </w:rPr>
              <w:t>April 15;</w:t>
            </w:r>
          </w:p>
          <w:p w:rsidR="00F66D47" w:rsidRPr="00190639" w:rsidRDefault="00F66D47" w:rsidP="00326A0F">
            <w:pPr>
              <w:spacing w:before="120" w:after="120"/>
              <w:rPr>
                <w:sz w:val="22"/>
                <w:szCs w:val="22"/>
              </w:rPr>
            </w:pPr>
            <w:r w:rsidRPr="00190639">
              <w:rPr>
                <w:sz w:val="22"/>
                <w:szCs w:val="22"/>
              </w:rPr>
              <w:t>July 15;</w:t>
            </w:r>
          </w:p>
          <w:p w:rsidR="00F66D47" w:rsidRPr="00190639" w:rsidRDefault="00F66D47" w:rsidP="00326A0F">
            <w:pPr>
              <w:spacing w:before="120" w:after="120"/>
              <w:rPr>
                <w:sz w:val="22"/>
                <w:szCs w:val="22"/>
              </w:rPr>
            </w:pPr>
            <w:r w:rsidRPr="00190639">
              <w:rPr>
                <w:sz w:val="22"/>
                <w:szCs w:val="22"/>
              </w:rPr>
              <w:t>October 15</w:t>
            </w:r>
          </w:p>
        </w:tc>
        <w:tc>
          <w:tcPr>
            <w:tcW w:w="1080" w:type="dxa"/>
          </w:tcPr>
          <w:p w:rsidR="00F66D47" w:rsidRPr="00190639" w:rsidRDefault="00F66D47" w:rsidP="00326A0F">
            <w:pPr>
              <w:spacing w:before="120" w:after="120"/>
              <w:rPr>
                <w:sz w:val="22"/>
                <w:szCs w:val="22"/>
              </w:rPr>
            </w:pPr>
            <w:r w:rsidRPr="00190639">
              <w:rPr>
                <w:sz w:val="22"/>
                <w:szCs w:val="22"/>
              </w:rPr>
              <w:t>Quarterly</w:t>
            </w:r>
          </w:p>
        </w:tc>
        <w:tc>
          <w:tcPr>
            <w:tcW w:w="4500" w:type="dxa"/>
          </w:tcPr>
          <w:p w:rsidR="00F66D47" w:rsidRPr="00190639" w:rsidRDefault="00F66D47" w:rsidP="008D542A">
            <w:pPr>
              <w:spacing w:before="120" w:after="120"/>
              <w:jc w:val="left"/>
              <w:rPr>
                <w:color w:val="FF0000"/>
                <w:sz w:val="22"/>
                <w:szCs w:val="22"/>
              </w:rPr>
            </w:pPr>
            <w:r w:rsidRPr="00190639">
              <w:rPr>
                <w:i/>
                <w:sz w:val="22"/>
                <w:szCs w:val="22"/>
              </w:rPr>
              <w:t xml:space="preserve">Domestic Uranium Production Report - Quarterly </w:t>
            </w:r>
            <w:hyperlink r:id="rId19" w:history="1">
              <w:r w:rsidRPr="00DB5F5A">
                <w:rPr>
                  <w:rStyle w:val="Hyperlink"/>
                  <w:sz w:val="20"/>
                </w:rPr>
                <w:t>http://www.eia.gov/uranium/production/quarterly/</w:t>
              </w:r>
            </w:hyperlink>
          </w:p>
        </w:tc>
        <w:tc>
          <w:tcPr>
            <w:tcW w:w="1170" w:type="dxa"/>
          </w:tcPr>
          <w:p w:rsidR="00F66D47" w:rsidRPr="00190639" w:rsidRDefault="00F66D47" w:rsidP="00326A0F">
            <w:pPr>
              <w:spacing w:before="120" w:after="120"/>
              <w:rPr>
                <w:sz w:val="22"/>
                <w:szCs w:val="22"/>
              </w:rPr>
            </w:pPr>
            <w:r w:rsidRPr="00190639">
              <w:rPr>
                <w:sz w:val="22"/>
                <w:szCs w:val="22"/>
              </w:rPr>
              <w:t>February;</w:t>
            </w:r>
          </w:p>
          <w:p w:rsidR="00F66D47" w:rsidRPr="00190639" w:rsidRDefault="00F66D47" w:rsidP="00326A0F">
            <w:pPr>
              <w:spacing w:before="120" w:after="120"/>
              <w:rPr>
                <w:sz w:val="22"/>
                <w:szCs w:val="22"/>
              </w:rPr>
            </w:pPr>
            <w:r w:rsidRPr="00190639">
              <w:rPr>
                <w:sz w:val="22"/>
                <w:szCs w:val="22"/>
              </w:rPr>
              <w:t>May;</w:t>
            </w:r>
          </w:p>
          <w:p w:rsidR="00F66D47" w:rsidRPr="00190639" w:rsidRDefault="00F66D47" w:rsidP="00326A0F">
            <w:pPr>
              <w:spacing w:before="120" w:after="120"/>
              <w:rPr>
                <w:sz w:val="22"/>
                <w:szCs w:val="22"/>
              </w:rPr>
            </w:pPr>
            <w:r w:rsidRPr="00190639">
              <w:rPr>
                <w:sz w:val="22"/>
                <w:szCs w:val="22"/>
              </w:rPr>
              <w:t>August;</w:t>
            </w:r>
          </w:p>
          <w:p w:rsidR="00F66D47" w:rsidRPr="00190639" w:rsidRDefault="00F66D47" w:rsidP="00326A0F">
            <w:pPr>
              <w:spacing w:before="120" w:after="120"/>
              <w:rPr>
                <w:sz w:val="22"/>
                <w:szCs w:val="22"/>
              </w:rPr>
            </w:pPr>
            <w:r w:rsidRPr="00190639">
              <w:rPr>
                <w:sz w:val="22"/>
                <w:szCs w:val="22"/>
              </w:rPr>
              <w:t>November</w:t>
            </w:r>
          </w:p>
        </w:tc>
      </w:tr>
      <w:tr w:rsidR="00F66D47" w:rsidRPr="000D6A2A" w:rsidTr="00326A0F">
        <w:trPr>
          <w:trHeight w:val="259"/>
        </w:trPr>
        <w:tc>
          <w:tcPr>
            <w:tcW w:w="918" w:type="dxa"/>
          </w:tcPr>
          <w:p w:rsidR="00F66D47" w:rsidRPr="00190639" w:rsidRDefault="00F66D47" w:rsidP="00326A0F">
            <w:pPr>
              <w:spacing w:before="120" w:after="120"/>
              <w:rPr>
                <w:sz w:val="22"/>
                <w:szCs w:val="22"/>
              </w:rPr>
            </w:pPr>
            <w:r w:rsidRPr="00190639">
              <w:rPr>
                <w:sz w:val="22"/>
                <w:szCs w:val="22"/>
              </w:rPr>
              <w:t>EIA-858</w:t>
            </w:r>
          </w:p>
        </w:tc>
        <w:tc>
          <w:tcPr>
            <w:tcW w:w="1260" w:type="dxa"/>
          </w:tcPr>
          <w:p w:rsidR="00F66D47" w:rsidRPr="00190639" w:rsidRDefault="00F66D47" w:rsidP="00326A0F">
            <w:pPr>
              <w:spacing w:before="120" w:after="120"/>
              <w:rPr>
                <w:sz w:val="22"/>
                <w:szCs w:val="22"/>
              </w:rPr>
            </w:pPr>
            <w:r w:rsidRPr="00190639">
              <w:rPr>
                <w:sz w:val="22"/>
                <w:szCs w:val="22"/>
              </w:rPr>
              <w:t xml:space="preserve">January 2  </w:t>
            </w:r>
          </w:p>
        </w:tc>
        <w:tc>
          <w:tcPr>
            <w:tcW w:w="1260" w:type="dxa"/>
          </w:tcPr>
          <w:p w:rsidR="00F66D47" w:rsidRPr="00190639" w:rsidRDefault="00F66D47" w:rsidP="00326A0F">
            <w:pPr>
              <w:spacing w:before="120" w:after="120"/>
              <w:rPr>
                <w:sz w:val="22"/>
                <w:szCs w:val="22"/>
              </w:rPr>
            </w:pPr>
            <w:r w:rsidRPr="00190639">
              <w:rPr>
                <w:sz w:val="22"/>
                <w:szCs w:val="22"/>
              </w:rPr>
              <w:t>March 1</w:t>
            </w:r>
          </w:p>
        </w:tc>
        <w:tc>
          <w:tcPr>
            <w:tcW w:w="1080" w:type="dxa"/>
          </w:tcPr>
          <w:p w:rsidR="00F66D47" w:rsidRPr="00190639" w:rsidRDefault="00F66D47" w:rsidP="00326A0F">
            <w:pPr>
              <w:spacing w:before="120" w:after="120"/>
              <w:rPr>
                <w:sz w:val="22"/>
                <w:szCs w:val="22"/>
              </w:rPr>
            </w:pPr>
            <w:r w:rsidRPr="00190639">
              <w:rPr>
                <w:sz w:val="22"/>
                <w:szCs w:val="22"/>
              </w:rPr>
              <w:t>Annual</w:t>
            </w:r>
          </w:p>
        </w:tc>
        <w:tc>
          <w:tcPr>
            <w:tcW w:w="4500" w:type="dxa"/>
          </w:tcPr>
          <w:p w:rsidR="00F66D47" w:rsidRDefault="008D542A" w:rsidP="008D54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rStyle w:val="Hyperlink"/>
                <w:sz w:val="22"/>
                <w:szCs w:val="22"/>
              </w:rPr>
            </w:pPr>
            <w:r>
              <w:rPr>
                <w:i/>
                <w:sz w:val="22"/>
                <w:szCs w:val="22"/>
              </w:rPr>
              <w:t>Uranium Marketing Annual Report</w:t>
            </w:r>
            <w:r w:rsidRPr="00190639">
              <w:rPr>
                <w:i/>
                <w:sz w:val="22"/>
                <w:szCs w:val="22"/>
              </w:rPr>
              <w:t xml:space="preserve"> </w:t>
            </w:r>
            <w:hyperlink r:id="rId20" w:history="1">
              <w:r>
                <w:rPr>
                  <w:rStyle w:val="Hyperlink"/>
                  <w:sz w:val="22"/>
                  <w:szCs w:val="22"/>
                </w:rPr>
                <w:t>http://www.eia.gov/uranium/marketing/</w:t>
              </w:r>
            </w:hyperlink>
          </w:p>
          <w:p w:rsidR="008D542A" w:rsidRPr="00190639" w:rsidRDefault="008D542A" w:rsidP="008D54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left"/>
              <w:rPr>
                <w:color w:val="FF0000"/>
                <w:sz w:val="22"/>
                <w:szCs w:val="22"/>
              </w:rPr>
            </w:pPr>
            <w:r w:rsidRPr="00190639">
              <w:rPr>
                <w:i/>
                <w:sz w:val="22"/>
                <w:szCs w:val="22"/>
              </w:rPr>
              <w:t xml:space="preserve">Domestic Uranium Production Report – Annual </w:t>
            </w:r>
            <w:hyperlink r:id="rId21" w:history="1">
              <w:r w:rsidRPr="00190639">
                <w:rPr>
                  <w:rStyle w:val="Hyperlink"/>
                  <w:sz w:val="22"/>
                  <w:szCs w:val="22"/>
                </w:rPr>
                <w:t>http://www.eia.gov/uranium/production/annual/</w:t>
              </w:r>
            </w:hyperlink>
          </w:p>
        </w:tc>
        <w:tc>
          <w:tcPr>
            <w:tcW w:w="1170" w:type="dxa"/>
          </w:tcPr>
          <w:p w:rsidR="00F66D47" w:rsidRPr="00190639" w:rsidRDefault="00F66D47" w:rsidP="00326A0F">
            <w:pPr>
              <w:spacing w:before="120" w:after="120"/>
              <w:rPr>
                <w:sz w:val="22"/>
                <w:szCs w:val="22"/>
              </w:rPr>
            </w:pPr>
            <w:r w:rsidRPr="00190639">
              <w:rPr>
                <w:sz w:val="22"/>
                <w:szCs w:val="22"/>
              </w:rPr>
              <w:t>May</w:t>
            </w:r>
          </w:p>
        </w:tc>
      </w:tr>
    </w:tbl>
    <w:p w:rsidR="000C651B" w:rsidRPr="00F41990" w:rsidRDefault="000C651B" w:rsidP="00F44A02">
      <w:pPr>
        <w:pStyle w:val="Heading2"/>
      </w:pPr>
      <w:bookmarkStart w:id="72" w:name="_Toc409011793"/>
      <w:bookmarkStart w:id="73" w:name="_Toc409769439"/>
      <w:bookmarkStart w:id="74" w:name="_Toc423938222"/>
      <w:r w:rsidRPr="00FD6119">
        <w:t>Display of Expiration Date</w:t>
      </w:r>
      <w:r w:rsidR="00567B35">
        <w:t xml:space="preserve"> and OMB Number</w:t>
      </w:r>
      <w:bookmarkEnd w:id="72"/>
      <w:bookmarkEnd w:id="73"/>
      <w:bookmarkEnd w:id="74"/>
    </w:p>
    <w:p w:rsidR="00D43D71" w:rsidRPr="0070041A" w:rsidRDefault="000C651B" w:rsidP="00050081">
      <w:pPr>
        <w:widowControl/>
        <w:spacing w:before="120" w:beforeAutospacing="0"/>
      </w:pPr>
      <w:r>
        <w:t xml:space="preserve">The </w:t>
      </w:r>
      <w:r w:rsidR="00567B35">
        <w:t xml:space="preserve">OMB Number </w:t>
      </w:r>
      <w:r w:rsidR="00050081">
        <w:t>(1905-016</w:t>
      </w:r>
      <w:r w:rsidR="00900A8F">
        <w:t>0</w:t>
      </w:r>
      <w:r w:rsidR="00050081">
        <w:t xml:space="preserve">) </w:t>
      </w:r>
      <w:r w:rsidR="00567B35">
        <w:t xml:space="preserve">and </w:t>
      </w:r>
      <w:r>
        <w:t xml:space="preserve">expiration date will be displayed on all the </w:t>
      </w:r>
      <w:r w:rsidR="004F5C32">
        <w:t>data collection</w:t>
      </w:r>
      <w:r w:rsidR="008205AD">
        <w:t xml:space="preserve"> </w:t>
      </w:r>
      <w:r>
        <w:t>forms</w:t>
      </w:r>
      <w:r w:rsidR="00567B35">
        <w:t xml:space="preserve"> and instructions</w:t>
      </w:r>
      <w:r>
        <w:t>.</w:t>
      </w:r>
    </w:p>
    <w:sectPr w:rsidR="00D43D71" w:rsidRPr="0070041A" w:rsidSect="00E24060">
      <w:headerReference w:type="default" r:id="rId22"/>
      <w:footerReference w:type="default" r:id="rId2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BF" w:rsidRDefault="006767BF">
      <w:r>
        <w:separator/>
      </w:r>
    </w:p>
  </w:endnote>
  <w:endnote w:type="continuationSeparator" w:id="0">
    <w:p w:rsidR="006767BF" w:rsidRDefault="006767BF">
      <w:r>
        <w:continuationSeparator/>
      </w:r>
    </w:p>
  </w:endnote>
  <w:endnote w:type="continuationNotice" w:id="1">
    <w:p w:rsidR="006767BF" w:rsidRDefault="006767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0F" w:rsidRDefault="00326A0F" w:rsidP="00E24060">
    <w:pPr>
      <w:ind w:right="360"/>
      <w:jc w:val="center"/>
    </w:pPr>
    <w: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326A0F" w:rsidRDefault="00326A0F" w:rsidP="00D059F6">
            <w:pPr>
              <w:pStyle w:val="Footer"/>
              <w:tabs>
                <w:tab w:val="clear" w:pos="8640"/>
                <w:tab w:val="right" w:pos="10080"/>
              </w:tabs>
              <w:jc w:val="center"/>
              <w:rPr>
                <w:sz w:val="20"/>
              </w:rPr>
            </w:pPr>
          </w:p>
          <w:p w:rsidR="00326A0F" w:rsidRPr="00F172C2" w:rsidRDefault="00326A0F" w:rsidP="009B44FA">
            <w:pPr>
              <w:pStyle w:val="Footer"/>
              <w:tabs>
                <w:tab w:val="clear" w:pos="8640"/>
                <w:tab w:val="right" w:pos="10080"/>
              </w:tabs>
              <w:jc w:val="left"/>
              <w:rPr>
                <w:sz w:val="20"/>
              </w:rPr>
            </w:pPr>
            <w:r>
              <w:rPr>
                <w:sz w:val="20"/>
              </w:rPr>
              <w:t>Uranium Data Program</w:t>
            </w:r>
            <w:r w:rsidRPr="00C84F62">
              <w:rPr>
                <w:sz w:val="20"/>
              </w:rPr>
              <w:t xml:space="preserve"> Supporting Statement</w:t>
            </w:r>
            <w:r>
              <w:rPr>
                <w:sz w:val="20"/>
              </w:rPr>
              <w:t>, Part A</w:t>
            </w:r>
            <w:r w:rsidRPr="00C84F62">
              <w:rPr>
                <w:sz w:val="20"/>
              </w:rPr>
              <w:tab/>
            </w:r>
            <w:r>
              <w:rPr>
                <w:sz w:val="20"/>
              </w:rPr>
              <w:tab/>
            </w:r>
            <w:r w:rsidRPr="00C84F62">
              <w:rPr>
                <w:sz w:val="20"/>
              </w:rPr>
              <w:t xml:space="preserve">Page </w:t>
            </w:r>
            <w:r w:rsidRPr="00C84F62">
              <w:rPr>
                <w:sz w:val="20"/>
              </w:rPr>
              <w:fldChar w:fldCharType="begin"/>
            </w:r>
            <w:r w:rsidRPr="00C84F62">
              <w:rPr>
                <w:sz w:val="20"/>
              </w:rPr>
              <w:instrText xml:space="preserve"> PAGE </w:instrText>
            </w:r>
            <w:r w:rsidRPr="00C84F62">
              <w:rPr>
                <w:sz w:val="20"/>
              </w:rPr>
              <w:fldChar w:fldCharType="separate"/>
            </w:r>
            <w:r w:rsidR="00FB1CF2">
              <w:rPr>
                <w:noProof/>
                <w:sz w:val="20"/>
              </w:rPr>
              <w:t>4</w:t>
            </w:r>
            <w:r w:rsidRPr="00C84F62">
              <w:rPr>
                <w:sz w:val="20"/>
              </w:rPr>
              <w:fldChar w:fldCharType="end"/>
            </w:r>
            <w:r w:rsidRPr="00C84F62">
              <w:rPr>
                <w:sz w:val="20"/>
              </w:rPr>
              <w:t xml:space="preserve"> of </w:t>
            </w:r>
            <w:r w:rsidR="00CD3BA0">
              <w:rPr>
                <w:sz w:val="20"/>
              </w:rPr>
              <w:t>16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BF" w:rsidRDefault="006767BF">
      <w:r>
        <w:separator/>
      </w:r>
    </w:p>
  </w:footnote>
  <w:footnote w:type="continuationSeparator" w:id="0">
    <w:p w:rsidR="006767BF" w:rsidRDefault="006767BF">
      <w:r>
        <w:continuationSeparator/>
      </w:r>
    </w:p>
  </w:footnote>
  <w:footnote w:type="continuationNotice" w:id="1">
    <w:p w:rsidR="006767BF" w:rsidRDefault="006767BF">
      <w:pPr>
        <w:spacing w:before="0" w:after="0"/>
      </w:pPr>
    </w:p>
  </w:footnote>
  <w:footnote w:id="2">
    <w:p w:rsidR="00CF30B2" w:rsidRPr="003C7D16" w:rsidRDefault="00CF30B2" w:rsidP="00CF30B2">
      <w:pPr>
        <w:pStyle w:val="FootnoteText"/>
      </w:pPr>
      <w:r w:rsidRPr="00D64AB3">
        <w:rPr>
          <w:rStyle w:val="FootnoteReference"/>
          <w:vertAlign w:val="superscript"/>
        </w:rPr>
        <w:footnoteRef/>
      </w:r>
      <w:r w:rsidRPr="00D64AB3">
        <w:t xml:space="preserve"> Pick-lists are sometimes referred to as “drop-down” lists because of the typical appearance of the list in a software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0F" w:rsidRDefault="00326A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0F" w:rsidRDefault="00326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A6C"/>
    <w:multiLevelType w:val="hybridMultilevel"/>
    <w:tmpl w:val="98627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D6B6BE08">
      <w:start w:val="1"/>
      <w:numFmt w:val="bullet"/>
      <w:lvlText w:val="∙"/>
      <w:lvlJc w:val="left"/>
      <w:pPr>
        <w:ind w:left="720" w:hanging="360"/>
      </w:pPr>
      <w:rPr>
        <w:rFonts w:ascii="Calibri" w:hAnsi="Calibri"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00FD0733"/>
    <w:multiLevelType w:val="hybridMultilevel"/>
    <w:tmpl w:val="02A02AD4"/>
    <w:lvl w:ilvl="0" w:tplc="7D860CA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B2F22"/>
    <w:multiLevelType w:val="hybridMultilevel"/>
    <w:tmpl w:val="E0F0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52D93"/>
    <w:multiLevelType w:val="hybridMultilevel"/>
    <w:tmpl w:val="35F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B49DA"/>
    <w:multiLevelType w:val="hybridMultilevel"/>
    <w:tmpl w:val="082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20DD2"/>
    <w:multiLevelType w:val="hybridMultilevel"/>
    <w:tmpl w:val="C4CE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65057"/>
    <w:multiLevelType w:val="hybridMultilevel"/>
    <w:tmpl w:val="DD2C7D9C"/>
    <w:lvl w:ilvl="0" w:tplc="12721836">
      <w:start w:val="1"/>
      <w:numFmt w:val="bullet"/>
      <w:lvlText w:val="—"/>
      <w:lvlJc w:val="left"/>
      <w:pPr>
        <w:ind w:left="720" w:hanging="360"/>
      </w:pPr>
      <w:rPr>
        <w:rFonts w:ascii="Calibri" w:hAnsi="Calibri" w:hint="default"/>
      </w:rPr>
    </w:lvl>
    <w:lvl w:ilvl="1" w:tplc="04090003">
      <w:start w:val="1"/>
      <w:numFmt w:val="bullet"/>
      <w:lvlText w:val="o"/>
      <w:lvlJc w:val="left"/>
      <w:pPr>
        <w:ind w:left="0" w:hanging="360"/>
      </w:pPr>
      <w:rPr>
        <w:rFonts w:ascii="Courier New" w:hAnsi="Courier New" w:cs="Courier New" w:hint="default"/>
      </w:rPr>
    </w:lvl>
    <w:lvl w:ilvl="2" w:tplc="D6B6BE08">
      <w:start w:val="1"/>
      <w:numFmt w:val="bullet"/>
      <w:lvlText w:val="∙"/>
      <w:lvlJc w:val="left"/>
      <w:pPr>
        <w:ind w:left="720" w:hanging="360"/>
      </w:pPr>
      <w:rPr>
        <w:rFonts w:ascii="Calibri" w:hAnsi="Calibri"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79505C"/>
    <w:multiLevelType w:val="hybridMultilevel"/>
    <w:tmpl w:val="C0A2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76443"/>
    <w:multiLevelType w:val="hybridMultilevel"/>
    <w:tmpl w:val="634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3758D"/>
    <w:multiLevelType w:val="hybridMultilevel"/>
    <w:tmpl w:val="CCC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BF224A"/>
    <w:multiLevelType w:val="hybridMultilevel"/>
    <w:tmpl w:val="621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1"/>
  </w:num>
  <w:num w:numId="4">
    <w:abstractNumId w:val="3"/>
  </w:num>
  <w:num w:numId="5">
    <w:abstractNumId w:val="7"/>
  </w:num>
  <w:num w:numId="6">
    <w:abstractNumId w:val="1"/>
  </w:num>
  <w:num w:numId="7">
    <w:abstractNumId w:val="12"/>
  </w:num>
  <w:num w:numId="8">
    <w:abstractNumId w:val="10"/>
  </w:num>
  <w:num w:numId="9">
    <w:abstractNumId w:val="18"/>
  </w:num>
  <w:num w:numId="10">
    <w:abstractNumId w:val="13"/>
  </w:num>
  <w:num w:numId="11">
    <w:abstractNumId w:val="16"/>
  </w:num>
  <w:num w:numId="12">
    <w:abstractNumId w:val="4"/>
  </w:num>
  <w:num w:numId="13">
    <w:abstractNumId w:val="5"/>
  </w:num>
  <w:num w:numId="14">
    <w:abstractNumId w:val="14"/>
  </w:num>
  <w:num w:numId="15">
    <w:abstractNumId w:val="15"/>
  </w:num>
  <w:num w:numId="16">
    <w:abstractNumId w:val="0"/>
  </w:num>
  <w:num w:numId="17">
    <w:abstractNumId w:val="2"/>
  </w:num>
  <w:num w:numId="18">
    <w:abstractNumId w:val="19"/>
  </w:num>
  <w:num w:numId="19">
    <w:abstractNumId w:val="8"/>
  </w:num>
  <w:num w:numId="20">
    <w:abstractNumId w:val="17"/>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1"/>
    <w:rsid w:val="00000552"/>
    <w:rsid w:val="0000111E"/>
    <w:rsid w:val="00004C4D"/>
    <w:rsid w:val="00011E90"/>
    <w:rsid w:val="000120E1"/>
    <w:rsid w:val="00012725"/>
    <w:rsid w:val="0001365C"/>
    <w:rsid w:val="00015069"/>
    <w:rsid w:val="00020C25"/>
    <w:rsid w:val="00024C21"/>
    <w:rsid w:val="0002598A"/>
    <w:rsid w:val="00026357"/>
    <w:rsid w:val="0002717B"/>
    <w:rsid w:val="00032378"/>
    <w:rsid w:val="000324C0"/>
    <w:rsid w:val="00032B0B"/>
    <w:rsid w:val="000345DB"/>
    <w:rsid w:val="0003605B"/>
    <w:rsid w:val="00037A63"/>
    <w:rsid w:val="00037D1A"/>
    <w:rsid w:val="00040CFB"/>
    <w:rsid w:val="000415BB"/>
    <w:rsid w:val="00041E54"/>
    <w:rsid w:val="00042214"/>
    <w:rsid w:val="00042A1A"/>
    <w:rsid w:val="00043F96"/>
    <w:rsid w:val="00046318"/>
    <w:rsid w:val="00046407"/>
    <w:rsid w:val="00050081"/>
    <w:rsid w:val="00053DBD"/>
    <w:rsid w:val="00054945"/>
    <w:rsid w:val="00055C6E"/>
    <w:rsid w:val="000563CC"/>
    <w:rsid w:val="00056DAD"/>
    <w:rsid w:val="00056F38"/>
    <w:rsid w:val="00063F41"/>
    <w:rsid w:val="00064B41"/>
    <w:rsid w:val="0006579A"/>
    <w:rsid w:val="000661F5"/>
    <w:rsid w:val="00067870"/>
    <w:rsid w:val="00070754"/>
    <w:rsid w:val="0007174B"/>
    <w:rsid w:val="00071B2E"/>
    <w:rsid w:val="00073D11"/>
    <w:rsid w:val="00073E19"/>
    <w:rsid w:val="000747AD"/>
    <w:rsid w:val="00076CF1"/>
    <w:rsid w:val="000775C2"/>
    <w:rsid w:val="00077893"/>
    <w:rsid w:val="000820F2"/>
    <w:rsid w:val="000837A0"/>
    <w:rsid w:val="00083F1B"/>
    <w:rsid w:val="000865D3"/>
    <w:rsid w:val="00090CFE"/>
    <w:rsid w:val="000918BB"/>
    <w:rsid w:val="00091C3E"/>
    <w:rsid w:val="000926CF"/>
    <w:rsid w:val="0009331A"/>
    <w:rsid w:val="00093396"/>
    <w:rsid w:val="00097D94"/>
    <w:rsid w:val="000A2C3D"/>
    <w:rsid w:val="000A46BB"/>
    <w:rsid w:val="000A4A67"/>
    <w:rsid w:val="000A4D98"/>
    <w:rsid w:val="000A673F"/>
    <w:rsid w:val="000A747E"/>
    <w:rsid w:val="000B1230"/>
    <w:rsid w:val="000B5994"/>
    <w:rsid w:val="000B642B"/>
    <w:rsid w:val="000C077E"/>
    <w:rsid w:val="000C46CB"/>
    <w:rsid w:val="000C5FD3"/>
    <w:rsid w:val="000C651B"/>
    <w:rsid w:val="000C7DBF"/>
    <w:rsid w:val="000D0DB7"/>
    <w:rsid w:val="000D208E"/>
    <w:rsid w:val="000D499F"/>
    <w:rsid w:val="000D69D3"/>
    <w:rsid w:val="000D7497"/>
    <w:rsid w:val="000E1C45"/>
    <w:rsid w:val="000E1C78"/>
    <w:rsid w:val="000E1DDB"/>
    <w:rsid w:val="000E33DE"/>
    <w:rsid w:val="000E4398"/>
    <w:rsid w:val="000E5695"/>
    <w:rsid w:val="000E5E58"/>
    <w:rsid w:val="000E63D2"/>
    <w:rsid w:val="000E792B"/>
    <w:rsid w:val="000F0C02"/>
    <w:rsid w:val="000F39B9"/>
    <w:rsid w:val="000F3B53"/>
    <w:rsid w:val="000F5BD2"/>
    <w:rsid w:val="000F5D14"/>
    <w:rsid w:val="001020CF"/>
    <w:rsid w:val="00102CA3"/>
    <w:rsid w:val="00103F81"/>
    <w:rsid w:val="00107365"/>
    <w:rsid w:val="00111583"/>
    <w:rsid w:val="00111BD1"/>
    <w:rsid w:val="001160F8"/>
    <w:rsid w:val="001179E1"/>
    <w:rsid w:val="00125B95"/>
    <w:rsid w:val="0012646F"/>
    <w:rsid w:val="0012653B"/>
    <w:rsid w:val="0013068F"/>
    <w:rsid w:val="00130778"/>
    <w:rsid w:val="00131E0A"/>
    <w:rsid w:val="001343F2"/>
    <w:rsid w:val="00135104"/>
    <w:rsid w:val="00136679"/>
    <w:rsid w:val="00136D15"/>
    <w:rsid w:val="0014024F"/>
    <w:rsid w:val="00140E5E"/>
    <w:rsid w:val="001418E3"/>
    <w:rsid w:val="00142A46"/>
    <w:rsid w:val="0014392E"/>
    <w:rsid w:val="00143E2F"/>
    <w:rsid w:val="00147089"/>
    <w:rsid w:val="001517E0"/>
    <w:rsid w:val="00162737"/>
    <w:rsid w:val="00162934"/>
    <w:rsid w:val="00163E9C"/>
    <w:rsid w:val="00164FE3"/>
    <w:rsid w:val="0017076C"/>
    <w:rsid w:val="00170AA6"/>
    <w:rsid w:val="001722E6"/>
    <w:rsid w:val="00173A02"/>
    <w:rsid w:val="001801D9"/>
    <w:rsid w:val="001802BA"/>
    <w:rsid w:val="00180FE1"/>
    <w:rsid w:val="00181E8A"/>
    <w:rsid w:val="001823DB"/>
    <w:rsid w:val="00184E10"/>
    <w:rsid w:val="00186433"/>
    <w:rsid w:val="00186A65"/>
    <w:rsid w:val="00186E52"/>
    <w:rsid w:val="0018745F"/>
    <w:rsid w:val="001905A7"/>
    <w:rsid w:val="00190639"/>
    <w:rsid w:val="00191719"/>
    <w:rsid w:val="0019185C"/>
    <w:rsid w:val="00191C50"/>
    <w:rsid w:val="00194837"/>
    <w:rsid w:val="001966DD"/>
    <w:rsid w:val="0019714A"/>
    <w:rsid w:val="00197BED"/>
    <w:rsid w:val="001A0BDF"/>
    <w:rsid w:val="001A3206"/>
    <w:rsid w:val="001A7F5E"/>
    <w:rsid w:val="001B0424"/>
    <w:rsid w:val="001B0A1F"/>
    <w:rsid w:val="001B2841"/>
    <w:rsid w:val="001B3261"/>
    <w:rsid w:val="001B40AA"/>
    <w:rsid w:val="001B55A7"/>
    <w:rsid w:val="001B70D3"/>
    <w:rsid w:val="001B74CF"/>
    <w:rsid w:val="001B7952"/>
    <w:rsid w:val="001C2B9A"/>
    <w:rsid w:val="001C2F7D"/>
    <w:rsid w:val="001C48E1"/>
    <w:rsid w:val="001D0A14"/>
    <w:rsid w:val="001D5499"/>
    <w:rsid w:val="001D67EB"/>
    <w:rsid w:val="001D7665"/>
    <w:rsid w:val="001E3C62"/>
    <w:rsid w:val="001E4C1F"/>
    <w:rsid w:val="001E7683"/>
    <w:rsid w:val="001E7C45"/>
    <w:rsid w:val="001F07D8"/>
    <w:rsid w:val="001F1B73"/>
    <w:rsid w:val="00200577"/>
    <w:rsid w:val="00201131"/>
    <w:rsid w:val="00205042"/>
    <w:rsid w:val="00206052"/>
    <w:rsid w:val="00207231"/>
    <w:rsid w:val="00211350"/>
    <w:rsid w:val="0021199F"/>
    <w:rsid w:val="00212EFE"/>
    <w:rsid w:val="002145F2"/>
    <w:rsid w:val="00214C43"/>
    <w:rsid w:val="002169C4"/>
    <w:rsid w:val="00217361"/>
    <w:rsid w:val="0022168E"/>
    <w:rsid w:val="00221D64"/>
    <w:rsid w:val="00221F6C"/>
    <w:rsid w:val="00222B6C"/>
    <w:rsid w:val="00223457"/>
    <w:rsid w:val="002259C2"/>
    <w:rsid w:val="00227966"/>
    <w:rsid w:val="00227CD1"/>
    <w:rsid w:val="002353C2"/>
    <w:rsid w:val="00235C48"/>
    <w:rsid w:val="00237329"/>
    <w:rsid w:val="00237FD0"/>
    <w:rsid w:val="0024035B"/>
    <w:rsid w:val="00241ED3"/>
    <w:rsid w:val="002457B9"/>
    <w:rsid w:val="002459FA"/>
    <w:rsid w:val="00246FCA"/>
    <w:rsid w:val="00247613"/>
    <w:rsid w:val="00251B52"/>
    <w:rsid w:val="00252845"/>
    <w:rsid w:val="00252930"/>
    <w:rsid w:val="00253BB5"/>
    <w:rsid w:val="00255DE3"/>
    <w:rsid w:val="002570E1"/>
    <w:rsid w:val="00260833"/>
    <w:rsid w:val="002638CF"/>
    <w:rsid w:val="00264A21"/>
    <w:rsid w:val="00264F03"/>
    <w:rsid w:val="00265452"/>
    <w:rsid w:val="00265B22"/>
    <w:rsid w:val="00266AA0"/>
    <w:rsid w:val="00267355"/>
    <w:rsid w:val="00267CD6"/>
    <w:rsid w:val="0027109A"/>
    <w:rsid w:val="0027303B"/>
    <w:rsid w:val="00275CFB"/>
    <w:rsid w:val="0027782C"/>
    <w:rsid w:val="00280153"/>
    <w:rsid w:val="00281C5C"/>
    <w:rsid w:val="00283626"/>
    <w:rsid w:val="00285F88"/>
    <w:rsid w:val="00291117"/>
    <w:rsid w:val="00292EBB"/>
    <w:rsid w:val="00292F9B"/>
    <w:rsid w:val="0029376E"/>
    <w:rsid w:val="00293AFC"/>
    <w:rsid w:val="00293B2C"/>
    <w:rsid w:val="00295177"/>
    <w:rsid w:val="00295A7B"/>
    <w:rsid w:val="002A2975"/>
    <w:rsid w:val="002A3AFF"/>
    <w:rsid w:val="002A646C"/>
    <w:rsid w:val="002A6E88"/>
    <w:rsid w:val="002B0B28"/>
    <w:rsid w:val="002B119D"/>
    <w:rsid w:val="002B16C1"/>
    <w:rsid w:val="002B1C34"/>
    <w:rsid w:val="002B22FF"/>
    <w:rsid w:val="002B4C8D"/>
    <w:rsid w:val="002B778D"/>
    <w:rsid w:val="002C0BBD"/>
    <w:rsid w:val="002C24A8"/>
    <w:rsid w:val="002C4CF4"/>
    <w:rsid w:val="002D0B5E"/>
    <w:rsid w:val="002D0E02"/>
    <w:rsid w:val="002D1A3E"/>
    <w:rsid w:val="002D1AFB"/>
    <w:rsid w:val="002D5B73"/>
    <w:rsid w:val="002D5CA3"/>
    <w:rsid w:val="002E568A"/>
    <w:rsid w:val="002E5B3F"/>
    <w:rsid w:val="002E6FBD"/>
    <w:rsid w:val="002E747E"/>
    <w:rsid w:val="002F0589"/>
    <w:rsid w:val="002F5C97"/>
    <w:rsid w:val="002F6AC6"/>
    <w:rsid w:val="002F7412"/>
    <w:rsid w:val="002F7E7C"/>
    <w:rsid w:val="003016CD"/>
    <w:rsid w:val="003018C3"/>
    <w:rsid w:val="003020E4"/>
    <w:rsid w:val="00304F29"/>
    <w:rsid w:val="0030566A"/>
    <w:rsid w:val="00312DAE"/>
    <w:rsid w:val="00315B6B"/>
    <w:rsid w:val="003162D7"/>
    <w:rsid w:val="00316C6F"/>
    <w:rsid w:val="00317BEB"/>
    <w:rsid w:val="003224D0"/>
    <w:rsid w:val="00322A5E"/>
    <w:rsid w:val="003238D7"/>
    <w:rsid w:val="00323FC3"/>
    <w:rsid w:val="00324FD9"/>
    <w:rsid w:val="00326A0F"/>
    <w:rsid w:val="00326AF4"/>
    <w:rsid w:val="003276B4"/>
    <w:rsid w:val="00331E1F"/>
    <w:rsid w:val="00332CF7"/>
    <w:rsid w:val="00333468"/>
    <w:rsid w:val="00340991"/>
    <w:rsid w:val="00341238"/>
    <w:rsid w:val="0034505C"/>
    <w:rsid w:val="003450EC"/>
    <w:rsid w:val="00352C22"/>
    <w:rsid w:val="003548C7"/>
    <w:rsid w:val="003553C2"/>
    <w:rsid w:val="00356177"/>
    <w:rsid w:val="00357987"/>
    <w:rsid w:val="00357D54"/>
    <w:rsid w:val="003603E2"/>
    <w:rsid w:val="003623AD"/>
    <w:rsid w:val="003634CC"/>
    <w:rsid w:val="00366B75"/>
    <w:rsid w:val="00380AA1"/>
    <w:rsid w:val="00382A3F"/>
    <w:rsid w:val="003839CD"/>
    <w:rsid w:val="003863FF"/>
    <w:rsid w:val="0038688A"/>
    <w:rsid w:val="003920C5"/>
    <w:rsid w:val="00394988"/>
    <w:rsid w:val="00394C30"/>
    <w:rsid w:val="003A0316"/>
    <w:rsid w:val="003A267B"/>
    <w:rsid w:val="003A335A"/>
    <w:rsid w:val="003A6A01"/>
    <w:rsid w:val="003B21CC"/>
    <w:rsid w:val="003B59EB"/>
    <w:rsid w:val="003B662B"/>
    <w:rsid w:val="003B6A8F"/>
    <w:rsid w:val="003C161F"/>
    <w:rsid w:val="003C41DE"/>
    <w:rsid w:val="003C620B"/>
    <w:rsid w:val="003C78F1"/>
    <w:rsid w:val="003C7D16"/>
    <w:rsid w:val="003D009D"/>
    <w:rsid w:val="003D096F"/>
    <w:rsid w:val="003D29D4"/>
    <w:rsid w:val="003D2AA7"/>
    <w:rsid w:val="003D691C"/>
    <w:rsid w:val="003E33CC"/>
    <w:rsid w:val="003E35E8"/>
    <w:rsid w:val="003E5F34"/>
    <w:rsid w:val="003F4044"/>
    <w:rsid w:val="003F4076"/>
    <w:rsid w:val="003F5E0C"/>
    <w:rsid w:val="00401116"/>
    <w:rsid w:val="0040170F"/>
    <w:rsid w:val="00401EC9"/>
    <w:rsid w:val="00404FEE"/>
    <w:rsid w:val="004056AD"/>
    <w:rsid w:val="004062A4"/>
    <w:rsid w:val="004067A1"/>
    <w:rsid w:val="004071F3"/>
    <w:rsid w:val="0041132F"/>
    <w:rsid w:val="004153C8"/>
    <w:rsid w:val="00415CCB"/>
    <w:rsid w:val="00416391"/>
    <w:rsid w:val="0041775F"/>
    <w:rsid w:val="00421476"/>
    <w:rsid w:val="00422230"/>
    <w:rsid w:val="00422289"/>
    <w:rsid w:val="004229BF"/>
    <w:rsid w:val="00422CA7"/>
    <w:rsid w:val="004248A7"/>
    <w:rsid w:val="00431AEF"/>
    <w:rsid w:val="00431D88"/>
    <w:rsid w:val="004354D8"/>
    <w:rsid w:val="00436D9C"/>
    <w:rsid w:val="004373FA"/>
    <w:rsid w:val="004439A8"/>
    <w:rsid w:val="004452D4"/>
    <w:rsid w:val="00447768"/>
    <w:rsid w:val="0045364C"/>
    <w:rsid w:val="00454988"/>
    <w:rsid w:val="00456483"/>
    <w:rsid w:val="00457A79"/>
    <w:rsid w:val="00457BB1"/>
    <w:rsid w:val="0046015B"/>
    <w:rsid w:val="004619E3"/>
    <w:rsid w:val="00463D8B"/>
    <w:rsid w:val="0047089E"/>
    <w:rsid w:val="004717D8"/>
    <w:rsid w:val="00471FEB"/>
    <w:rsid w:val="00473C85"/>
    <w:rsid w:val="00475A93"/>
    <w:rsid w:val="00475EDB"/>
    <w:rsid w:val="00477A5B"/>
    <w:rsid w:val="00482D20"/>
    <w:rsid w:val="004834A7"/>
    <w:rsid w:val="00483708"/>
    <w:rsid w:val="00483744"/>
    <w:rsid w:val="00485D02"/>
    <w:rsid w:val="00487F28"/>
    <w:rsid w:val="00487F3E"/>
    <w:rsid w:val="0049314F"/>
    <w:rsid w:val="004953AC"/>
    <w:rsid w:val="004967E9"/>
    <w:rsid w:val="004A2547"/>
    <w:rsid w:val="004A425E"/>
    <w:rsid w:val="004A5076"/>
    <w:rsid w:val="004A57AA"/>
    <w:rsid w:val="004A68DF"/>
    <w:rsid w:val="004A73E1"/>
    <w:rsid w:val="004B020F"/>
    <w:rsid w:val="004B0548"/>
    <w:rsid w:val="004B113F"/>
    <w:rsid w:val="004B16A2"/>
    <w:rsid w:val="004B19D1"/>
    <w:rsid w:val="004B1B73"/>
    <w:rsid w:val="004B32C9"/>
    <w:rsid w:val="004B33FD"/>
    <w:rsid w:val="004B5776"/>
    <w:rsid w:val="004B71A5"/>
    <w:rsid w:val="004C0C8E"/>
    <w:rsid w:val="004C31D5"/>
    <w:rsid w:val="004C60CB"/>
    <w:rsid w:val="004D11DD"/>
    <w:rsid w:val="004D1763"/>
    <w:rsid w:val="004D42C7"/>
    <w:rsid w:val="004D4442"/>
    <w:rsid w:val="004D4793"/>
    <w:rsid w:val="004D4BEC"/>
    <w:rsid w:val="004D4E8B"/>
    <w:rsid w:val="004E082E"/>
    <w:rsid w:val="004E237C"/>
    <w:rsid w:val="004E277C"/>
    <w:rsid w:val="004E3F51"/>
    <w:rsid w:val="004F2733"/>
    <w:rsid w:val="004F4CAC"/>
    <w:rsid w:val="004F5A4D"/>
    <w:rsid w:val="004F5C32"/>
    <w:rsid w:val="004F63BE"/>
    <w:rsid w:val="004F70F9"/>
    <w:rsid w:val="0050130A"/>
    <w:rsid w:val="0050376A"/>
    <w:rsid w:val="00503B14"/>
    <w:rsid w:val="00505B73"/>
    <w:rsid w:val="00505CCA"/>
    <w:rsid w:val="005069AE"/>
    <w:rsid w:val="00507831"/>
    <w:rsid w:val="00510A14"/>
    <w:rsid w:val="0051173D"/>
    <w:rsid w:val="00511937"/>
    <w:rsid w:val="00512995"/>
    <w:rsid w:val="00514898"/>
    <w:rsid w:val="0051520C"/>
    <w:rsid w:val="005163CA"/>
    <w:rsid w:val="005179EE"/>
    <w:rsid w:val="00517C4A"/>
    <w:rsid w:val="0052171A"/>
    <w:rsid w:val="005235BE"/>
    <w:rsid w:val="0052373C"/>
    <w:rsid w:val="00526DC6"/>
    <w:rsid w:val="00527A8A"/>
    <w:rsid w:val="005310BB"/>
    <w:rsid w:val="00531976"/>
    <w:rsid w:val="00531D9F"/>
    <w:rsid w:val="00537B30"/>
    <w:rsid w:val="00540F6C"/>
    <w:rsid w:val="005445D6"/>
    <w:rsid w:val="00544937"/>
    <w:rsid w:val="00545C21"/>
    <w:rsid w:val="00547F04"/>
    <w:rsid w:val="005523C9"/>
    <w:rsid w:val="005534FE"/>
    <w:rsid w:val="00554959"/>
    <w:rsid w:val="00555F3F"/>
    <w:rsid w:val="0055600B"/>
    <w:rsid w:val="005655D3"/>
    <w:rsid w:val="00565747"/>
    <w:rsid w:val="00566DEA"/>
    <w:rsid w:val="00567B35"/>
    <w:rsid w:val="00572D66"/>
    <w:rsid w:val="00573EDC"/>
    <w:rsid w:val="00576474"/>
    <w:rsid w:val="005778F8"/>
    <w:rsid w:val="005803B8"/>
    <w:rsid w:val="0058087D"/>
    <w:rsid w:val="00580FAC"/>
    <w:rsid w:val="00581169"/>
    <w:rsid w:val="00586D78"/>
    <w:rsid w:val="00590C38"/>
    <w:rsid w:val="00593373"/>
    <w:rsid w:val="00595F34"/>
    <w:rsid w:val="005961B0"/>
    <w:rsid w:val="005A1398"/>
    <w:rsid w:val="005A2E29"/>
    <w:rsid w:val="005A6D09"/>
    <w:rsid w:val="005B160C"/>
    <w:rsid w:val="005B2C8F"/>
    <w:rsid w:val="005B312D"/>
    <w:rsid w:val="005B3E26"/>
    <w:rsid w:val="005B44CE"/>
    <w:rsid w:val="005B5453"/>
    <w:rsid w:val="005B5901"/>
    <w:rsid w:val="005B7A8E"/>
    <w:rsid w:val="005B7DED"/>
    <w:rsid w:val="005C11B5"/>
    <w:rsid w:val="005C19AC"/>
    <w:rsid w:val="005C233F"/>
    <w:rsid w:val="005C5E21"/>
    <w:rsid w:val="005C691E"/>
    <w:rsid w:val="005C716B"/>
    <w:rsid w:val="005D049B"/>
    <w:rsid w:val="005D133D"/>
    <w:rsid w:val="005D137A"/>
    <w:rsid w:val="005D2833"/>
    <w:rsid w:val="005D32C9"/>
    <w:rsid w:val="005D6373"/>
    <w:rsid w:val="005D6B93"/>
    <w:rsid w:val="005E2F67"/>
    <w:rsid w:val="005E3FB6"/>
    <w:rsid w:val="005E5ADA"/>
    <w:rsid w:val="005E5B99"/>
    <w:rsid w:val="005E6422"/>
    <w:rsid w:val="005E78CB"/>
    <w:rsid w:val="005F014B"/>
    <w:rsid w:val="005F1E2B"/>
    <w:rsid w:val="005F2149"/>
    <w:rsid w:val="005F253B"/>
    <w:rsid w:val="005F35F3"/>
    <w:rsid w:val="005F4BDD"/>
    <w:rsid w:val="005F5586"/>
    <w:rsid w:val="005F68A9"/>
    <w:rsid w:val="005F71D0"/>
    <w:rsid w:val="005F7CEC"/>
    <w:rsid w:val="0060121C"/>
    <w:rsid w:val="0060222E"/>
    <w:rsid w:val="00602560"/>
    <w:rsid w:val="006054E5"/>
    <w:rsid w:val="00605D4A"/>
    <w:rsid w:val="006061F9"/>
    <w:rsid w:val="00611164"/>
    <w:rsid w:val="00614B74"/>
    <w:rsid w:val="00614F04"/>
    <w:rsid w:val="0061584D"/>
    <w:rsid w:val="00615AD4"/>
    <w:rsid w:val="00620EF5"/>
    <w:rsid w:val="0062318C"/>
    <w:rsid w:val="0062447D"/>
    <w:rsid w:val="00631CDB"/>
    <w:rsid w:val="00632103"/>
    <w:rsid w:val="00632CD8"/>
    <w:rsid w:val="00634271"/>
    <w:rsid w:val="0063695E"/>
    <w:rsid w:val="00641EDC"/>
    <w:rsid w:val="00643529"/>
    <w:rsid w:val="00643EB3"/>
    <w:rsid w:val="0065097A"/>
    <w:rsid w:val="00650E1E"/>
    <w:rsid w:val="0065191A"/>
    <w:rsid w:val="00652A86"/>
    <w:rsid w:val="0065547F"/>
    <w:rsid w:val="006559DF"/>
    <w:rsid w:val="006560E2"/>
    <w:rsid w:val="00657254"/>
    <w:rsid w:val="0065736E"/>
    <w:rsid w:val="0066284D"/>
    <w:rsid w:val="00665211"/>
    <w:rsid w:val="006702EF"/>
    <w:rsid w:val="00672F2F"/>
    <w:rsid w:val="00673853"/>
    <w:rsid w:val="006744D8"/>
    <w:rsid w:val="006767BF"/>
    <w:rsid w:val="00681F8A"/>
    <w:rsid w:val="006845FF"/>
    <w:rsid w:val="006851DC"/>
    <w:rsid w:val="00690549"/>
    <w:rsid w:val="006909DF"/>
    <w:rsid w:val="00690F17"/>
    <w:rsid w:val="00692314"/>
    <w:rsid w:val="0069378A"/>
    <w:rsid w:val="00694500"/>
    <w:rsid w:val="0069491F"/>
    <w:rsid w:val="006951A2"/>
    <w:rsid w:val="006961FE"/>
    <w:rsid w:val="00697604"/>
    <w:rsid w:val="00697703"/>
    <w:rsid w:val="00697D1B"/>
    <w:rsid w:val="006A0400"/>
    <w:rsid w:val="006A15DC"/>
    <w:rsid w:val="006A3609"/>
    <w:rsid w:val="006A61CE"/>
    <w:rsid w:val="006A7272"/>
    <w:rsid w:val="006B01EA"/>
    <w:rsid w:val="006B0CFB"/>
    <w:rsid w:val="006B1057"/>
    <w:rsid w:val="006B292D"/>
    <w:rsid w:val="006B2D6F"/>
    <w:rsid w:val="006B2D8A"/>
    <w:rsid w:val="006B451D"/>
    <w:rsid w:val="006B6872"/>
    <w:rsid w:val="006B70DF"/>
    <w:rsid w:val="006C0C96"/>
    <w:rsid w:val="006C1642"/>
    <w:rsid w:val="006C3F86"/>
    <w:rsid w:val="006D1640"/>
    <w:rsid w:val="006D3847"/>
    <w:rsid w:val="006D6F0D"/>
    <w:rsid w:val="006E12D4"/>
    <w:rsid w:val="006E13F0"/>
    <w:rsid w:val="006E1997"/>
    <w:rsid w:val="006E3F18"/>
    <w:rsid w:val="006E40BD"/>
    <w:rsid w:val="006E561F"/>
    <w:rsid w:val="006E7D30"/>
    <w:rsid w:val="006F0AB3"/>
    <w:rsid w:val="006F1138"/>
    <w:rsid w:val="006F5ADF"/>
    <w:rsid w:val="006F6B2A"/>
    <w:rsid w:val="0070041A"/>
    <w:rsid w:val="00700EE2"/>
    <w:rsid w:val="00701D82"/>
    <w:rsid w:val="00703DD5"/>
    <w:rsid w:val="00704803"/>
    <w:rsid w:val="00706884"/>
    <w:rsid w:val="007118B5"/>
    <w:rsid w:val="00712C38"/>
    <w:rsid w:val="00713F20"/>
    <w:rsid w:val="00717375"/>
    <w:rsid w:val="0072048E"/>
    <w:rsid w:val="00721EE4"/>
    <w:rsid w:val="0072225C"/>
    <w:rsid w:val="00722782"/>
    <w:rsid w:val="0072344C"/>
    <w:rsid w:val="00723FC0"/>
    <w:rsid w:val="00727483"/>
    <w:rsid w:val="0073617E"/>
    <w:rsid w:val="00736BCF"/>
    <w:rsid w:val="0073724B"/>
    <w:rsid w:val="007405BF"/>
    <w:rsid w:val="007407B5"/>
    <w:rsid w:val="00740C70"/>
    <w:rsid w:val="007416B9"/>
    <w:rsid w:val="00741B7B"/>
    <w:rsid w:val="0074251E"/>
    <w:rsid w:val="0074329D"/>
    <w:rsid w:val="00745C4B"/>
    <w:rsid w:val="00750ED8"/>
    <w:rsid w:val="007571EC"/>
    <w:rsid w:val="00761D61"/>
    <w:rsid w:val="007653B5"/>
    <w:rsid w:val="007666D2"/>
    <w:rsid w:val="0076701B"/>
    <w:rsid w:val="00770AA5"/>
    <w:rsid w:val="007754DA"/>
    <w:rsid w:val="0077557F"/>
    <w:rsid w:val="00776C7C"/>
    <w:rsid w:val="00780005"/>
    <w:rsid w:val="007808B3"/>
    <w:rsid w:val="00780CB7"/>
    <w:rsid w:val="00784CA1"/>
    <w:rsid w:val="00785009"/>
    <w:rsid w:val="007858AD"/>
    <w:rsid w:val="00785DCE"/>
    <w:rsid w:val="00792222"/>
    <w:rsid w:val="00792E32"/>
    <w:rsid w:val="00793B77"/>
    <w:rsid w:val="007940BC"/>
    <w:rsid w:val="00794D9D"/>
    <w:rsid w:val="00796E8B"/>
    <w:rsid w:val="007A0D66"/>
    <w:rsid w:val="007A4769"/>
    <w:rsid w:val="007A5CBB"/>
    <w:rsid w:val="007A7696"/>
    <w:rsid w:val="007B0491"/>
    <w:rsid w:val="007B0DDF"/>
    <w:rsid w:val="007B14A0"/>
    <w:rsid w:val="007C0414"/>
    <w:rsid w:val="007C0D3B"/>
    <w:rsid w:val="007C1C13"/>
    <w:rsid w:val="007C3610"/>
    <w:rsid w:val="007C4E3C"/>
    <w:rsid w:val="007C62FC"/>
    <w:rsid w:val="007C6A8A"/>
    <w:rsid w:val="007C6D71"/>
    <w:rsid w:val="007C7494"/>
    <w:rsid w:val="007D30AC"/>
    <w:rsid w:val="007D365E"/>
    <w:rsid w:val="007D476E"/>
    <w:rsid w:val="007D48C1"/>
    <w:rsid w:val="007D56C9"/>
    <w:rsid w:val="007E02AC"/>
    <w:rsid w:val="007E0CB7"/>
    <w:rsid w:val="007E14AE"/>
    <w:rsid w:val="007E5559"/>
    <w:rsid w:val="007E669F"/>
    <w:rsid w:val="007E7AFC"/>
    <w:rsid w:val="007F116D"/>
    <w:rsid w:val="007F3631"/>
    <w:rsid w:val="007F713B"/>
    <w:rsid w:val="007F7466"/>
    <w:rsid w:val="007F77F3"/>
    <w:rsid w:val="007F7A40"/>
    <w:rsid w:val="008029D9"/>
    <w:rsid w:val="0080495C"/>
    <w:rsid w:val="00805D24"/>
    <w:rsid w:val="00807A3A"/>
    <w:rsid w:val="008155EE"/>
    <w:rsid w:val="0081573C"/>
    <w:rsid w:val="00816094"/>
    <w:rsid w:val="008205AD"/>
    <w:rsid w:val="00820AFA"/>
    <w:rsid w:val="00821EA7"/>
    <w:rsid w:val="00822D1B"/>
    <w:rsid w:val="0082375E"/>
    <w:rsid w:val="008260D9"/>
    <w:rsid w:val="00831819"/>
    <w:rsid w:val="00831BED"/>
    <w:rsid w:val="00833452"/>
    <w:rsid w:val="00833C26"/>
    <w:rsid w:val="00834E66"/>
    <w:rsid w:val="0083608F"/>
    <w:rsid w:val="00841FF0"/>
    <w:rsid w:val="00843F04"/>
    <w:rsid w:val="008448DC"/>
    <w:rsid w:val="00844DB1"/>
    <w:rsid w:val="00844F4F"/>
    <w:rsid w:val="0084616B"/>
    <w:rsid w:val="00847244"/>
    <w:rsid w:val="00847830"/>
    <w:rsid w:val="008503A5"/>
    <w:rsid w:val="00851103"/>
    <w:rsid w:val="00851899"/>
    <w:rsid w:val="00852989"/>
    <w:rsid w:val="008534DE"/>
    <w:rsid w:val="008575C1"/>
    <w:rsid w:val="00857B33"/>
    <w:rsid w:val="00861BD7"/>
    <w:rsid w:val="008710A3"/>
    <w:rsid w:val="00872064"/>
    <w:rsid w:val="008754F9"/>
    <w:rsid w:val="008760C5"/>
    <w:rsid w:val="008765B3"/>
    <w:rsid w:val="00876CB7"/>
    <w:rsid w:val="0087762F"/>
    <w:rsid w:val="008816A5"/>
    <w:rsid w:val="0088178E"/>
    <w:rsid w:val="008839BE"/>
    <w:rsid w:val="008844BD"/>
    <w:rsid w:val="00885AB0"/>
    <w:rsid w:val="0088790A"/>
    <w:rsid w:val="00887C3E"/>
    <w:rsid w:val="0089245E"/>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0047"/>
    <w:rsid w:val="008C0B2A"/>
    <w:rsid w:val="008C1B3B"/>
    <w:rsid w:val="008C21EA"/>
    <w:rsid w:val="008C6141"/>
    <w:rsid w:val="008D09C3"/>
    <w:rsid w:val="008D542A"/>
    <w:rsid w:val="008D5CA8"/>
    <w:rsid w:val="008E0B3B"/>
    <w:rsid w:val="008E1579"/>
    <w:rsid w:val="008E282B"/>
    <w:rsid w:val="008E309A"/>
    <w:rsid w:val="008E371D"/>
    <w:rsid w:val="008E5E4D"/>
    <w:rsid w:val="008F2B3E"/>
    <w:rsid w:val="008F59EF"/>
    <w:rsid w:val="009009AD"/>
    <w:rsid w:val="00900A8F"/>
    <w:rsid w:val="0090197E"/>
    <w:rsid w:val="00902C9A"/>
    <w:rsid w:val="00904598"/>
    <w:rsid w:val="00905315"/>
    <w:rsid w:val="00905722"/>
    <w:rsid w:val="0090573E"/>
    <w:rsid w:val="00905EDA"/>
    <w:rsid w:val="00907A9E"/>
    <w:rsid w:val="009113A3"/>
    <w:rsid w:val="009115C6"/>
    <w:rsid w:val="00911C1A"/>
    <w:rsid w:val="009126F1"/>
    <w:rsid w:val="00913A74"/>
    <w:rsid w:val="00913B1A"/>
    <w:rsid w:val="0091536E"/>
    <w:rsid w:val="00916A07"/>
    <w:rsid w:val="00920447"/>
    <w:rsid w:val="00920F3B"/>
    <w:rsid w:val="00921361"/>
    <w:rsid w:val="00921AD1"/>
    <w:rsid w:val="00921B4C"/>
    <w:rsid w:val="00921C01"/>
    <w:rsid w:val="0092252C"/>
    <w:rsid w:val="00924BF4"/>
    <w:rsid w:val="00924CD3"/>
    <w:rsid w:val="00926610"/>
    <w:rsid w:val="00930D07"/>
    <w:rsid w:val="00935AFE"/>
    <w:rsid w:val="00936B6A"/>
    <w:rsid w:val="00940DC6"/>
    <w:rsid w:val="00941055"/>
    <w:rsid w:val="009420E3"/>
    <w:rsid w:val="00943632"/>
    <w:rsid w:val="00943795"/>
    <w:rsid w:val="009448FF"/>
    <w:rsid w:val="00945BFD"/>
    <w:rsid w:val="00953387"/>
    <w:rsid w:val="009534CF"/>
    <w:rsid w:val="00955849"/>
    <w:rsid w:val="00956B3E"/>
    <w:rsid w:val="00960096"/>
    <w:rsid w:val="00960497"/>
    <w:rsid w:val="0096071E"/>
    <w:rsid w:val="00962CA1"/>
    <w:rsid w:val="009638AA"/>
    <w:rsid w:val="00964B92"/>
    <w:rsid w:val="0096548C"/>
    <w:rsid w:val="009665BD"/>
    <w:rsid w:val="00967561"/>
    <w:rsid w:val="00973865"/>
    <w:rsid w:val="0098179C"/>
    <w:rsid w:val="009828E8"/>
    <w:rsid w:val="00982F0B"/>
    <w:rsid w:val="00983139"/>
    <w:rsid w:val="00983372"/>
    <w:rsid w:val="00984D9A"/>
    <w:rsid w:val="0098612C"/>
    <w:rsid w:val="009870A4"/>
    <w:rsid w:val="0099125D"/>
    <w:rsid w:val="0099243E"/>
    <w:rsid w:val="00994063"/>
    <w:rsid w:val="009940E3"/>
    <w:rsid w:val="00994AA7"/>
    <w:rsid w:val="00997840"/>
    <w:rsid w:val="009A00CE"/>
    <w:rsid w:val="009A1202"/>
    <w:rsid w:val="009A2741"/>
    <w:rsid w:val="009A38DC"/>
    <w:rsid w:val="009A400A"/>
    <w:rsid w:val="009A4ADF"/>
    <w:rsid w:val="009B05C5"/>
    <w:rsid w:val="009B18A5"/>
    <w:rsid w:val="009B3B5A"/>
    <w:rsid w:val="009B44FA"/>
    <w:rsid w:val="009C070B"/>
    <w:rsid w:val="009C21E8"/>
    <w:rsid w:val="009C3A30"/>
    <w:rsid w:val="009C54E6"/>
    <w:rsid w:val="009C5A35"/>
    <w:rsid w:val="009C6B72"/>
    <w:rsid w:val="009D07DF"/>
    <w:rsid w:val="009D0BED"/>
    <w:rsid w:val="009D14FE"/>
    <w:rsid w:val="009D2543"/>
    <w:rsid w:val="009D3B77"/>
    <w:rsid w:val="009D4214"/>
    <w:rsid w:val="009D6A74"/>
    <w:rsid w:val="009E1AFE"/>
    <w:rsid w:val="009E28FA"/>
    <w:rsid w:val="009E2974"/>
    <w:rsid w:val="009E6319"/>
    <w:rsid w:val="009E7723"/>
    <w:rsid w:val="009F237F"/>
    <w:rsid w:val="009F2DC7"/>
    <w:rsid w:val="009F305D"/>
    <w:rsid w:val="009F79B5"/>
    <w:rsid w:val="00A00A21"/>
    <w:rsid w:val="00A03766"/>
    <w:rsid w:val="00A03F63"/>
    <w:rsid w:val="00A0405D"/>
    <w:rsid w:val="00A0664C"/>
    <w:rsid w:val="00A1059C"/>
    <w:rsid w:val="00A119A8"/>
    <w:rsid w:val="00A15086"/>
    <w:rsid w:val="00A15D29"/>
    <w:rsid w:val="00A15D6A"/>
    <w:rsid w:val="00A16B0A"/>
    <w:rsid w:val="00A2129A"/>
    <w:rsid w:val="00A21770"/>
    <w:rsid w:val="00A23C9E"/>
    <w:rsid w:val="00A24B52"/>
    <w:rsid w:val="00A25777"/>
    <w:rsid w:val="00A27C71"/>
    <w:rsid w:val="00A31208"/>
    <w:rsid w:val="00A327EC"/>
    <w:rsid w:val="00A32CCA"/>
    <w:rsid w:val="00A32DA4"/>
    <w:rsid w:val="00A3439C"/>
    <w:rsid w:val="00A35D09"/>
    <w:rsid w:val="00A36EA8"/>
    <w:rsid w:val="00A40207"/>
    <w:rsid w:val="00A42A18"/>
    <w:rsid w:val="00A42C14"/>
    <w:rsid w:val="00A45C45"/>
    <w:rsid w:val="00A54690"/>
    <w:rsid w:val="00A5686B"/>
    <w:rsid w:val="00A577AC"/>
    <w:rsid w:val="00A57C81"/>
    <w:rsid w:val="00A61316"/>
    <w:rsid w:val="00A61F75"/>
    <w:rsid w:val="00A635AD"/>
    <w:rsid w:val="00A64B16"/>
    <w:rsid w:val="00A7123D"/>
    <w:rsid w:val="00A719A9"/>
    <w:rsid w:val="00A75089"/>
    <w:rsid w:val="00A767E6"/>
    <w:rsid w:val="00A76A54"/>
    <w:rsid w:val="00A76E73"/>
    <w:rsid w:val="00A819F2"/>
    <w:rsid w:val="00A86664"/>
    <w:rsid w:val="00A86DB2"/>
    <w:rsid w:val="00A91FC9"/>
    <w:rsid w:val="00A92B1A"/>
    <w:rsid w:val="00A96D7F"/>
    <w:rsid w:val="00AA1793"/>
    <w:rsid w:val="00AA3824"/>
    <w:rsid w:val="00AB094A"/>
    <w:rsid w:val="00AB35D3"/>
    <w:rsid w:val="00AB6092"/>
    <w:rsid w:val="00AB65F0"/>
    <w:rsid w:val="00AB69A7"/>
    <w:rsid w:val="00AC2090"/>
    <w:rsid w:val="00AC2EA5"/>
    <w:rsid w:val="00AC3A81"/>
    <w:rsid w:val="00AC5F00"/>
    <w:rsid w:val="00AC7316"/>
    <w:rsid w:val="00AC75EE"/>
    <w:rsid w:val="00AD03DD"/>
    <w:rsid w:val="00AD384E"/>
    <w:rsid w:val="00AD5BAB"/>
    <w:rsid w:val="00AD7E19"/>
    <w:rsid w:val="00AE09B1"/>
    <w:rsid w:val="00AE0FD1"/>
    <w:rsid w:val="00AE10E2"/>
    <w:rsid w:val="00AE1514"/>
    <w:rsid w:val="00AE35AC"/>
    <w:rsid w:val="00AE46E4"/>
    <w:rsid w:val="00AE47E1"/>
    <w:rsid w:val="00AE5645"/>
    <w:rsid w:val="00AE6015"/>
    <w:rsid w:val="00AE77A6"/>
    <w:rsid w:val="00AF0253"/>
    <w:rsid w:val="00AF10BE"/>
    <w:rsid w:val="00AF3A52"/>
    <w:rsid w:val="00B02243"/>
    <w:rsid w:val="00B03109"/>
    <w:rsid w:val="00B0467A"/>
    <w:rsid w:val="00B04D18"/>
    <w:rsid w:val="00B06DBB"/>
    <w:rsid w:val="00B07AB7"/>
    <w:rsid w:val="00B11FAC"/>
    <w:rsid w:val="00B12BD8"/>
    <w:rsid w:val="00B1558B"/>
    <w:rsid w:val="00B160BD"/>
    <w:rsid w:val="00B243F8"/>
    <w:rsid w:val="00B264DF"/>
    <w:rsid w:val="00B26635"/>
    <w:rsid w:val="00B30665"/>
    <w:rsid w:val="00B328D3"/>
    <w:rsid w:val="00B331C0"/>
    <w:rsid w:val="00B34F3A"/>
    <w:rsid w:val="00B364E7"/>
    <w:rsid w:val="00B40029"/>
    <w:rsid w:val="00B407A2"/>
    <w:rsid w:val="00B410EB"/>
    <w:rsid w:val="00B43C33"/>
    <w:rsid w:val="00B4421E"/>
    <w:rsid w:val="00B51DDD"/>
    <w:rsid w:val="00B5224B"/>
    <w:rsid w:val="00B53484"/>
    <w:rsid w:val="00B5655F"/>
    <w:rsid w:val="00B612BD"/>
    <w:rsid w:val="00B614F4"/>
    <w:rsid w:val="00B61A03"/>
    <w:rsid w:val="00B62C41"/>
    <w:rsid w:val="00B64763"/>
    <w:rsid w:val="00B64AEF"/>
    <w:rsid w:val="00B67A12"/>
    <w:rsid w:val="00B76DF3"/>
    <w:rsid w:val="00B82D24"/>
    <w:rsid w:val="00B87A2D"/>
    <w:rsid w:val="00B902F8"/>
    <w:rsid w:val="00B9055F"/>
    <w:rsid w:val="00B91793"/>
    <w:rsid w:val="00B91E36"/>
    <w:rsid w:val="00B94109"/>
    <w:rsid w:val="00B94B0C"/>
    <w:rsid w:val="00B9503B"/>
    <w:rsid w:val="00B97952"/>
    <w:rsid w:val="00B97B5C"/>
    <w:rsid w:val="00B97EC7"/>
    <w:rsid w:val="00BA3C9C"/>
    <w:rsid w:val="00BA3E21"/>
    <w:rsid w:val="00BA44C3"/>
    <w:rsid w:val="00BA77EA"/>
    <w:rsid w:val="00BA7B35"/>
    <w:rsid w:val="00BB1808"/>
    <w:rsid w:val="00BB25DC"/>
    <w:rsid w:val="00BB36A0"/>
    <w:rsid w:val="00BB5714"/>
    <w:rsid w:val="00BC13DB"/>
    <w:rsid w:val="00BC3875"/>
    <w:rsid w:val="00BD071E"/>
    <w:rsid w:val="00BD24C9"/>
    <w:rsid w:val="00BD2DF1"/>
    <w:rsid w:val="00BD368C"/>
    <w:rsid w:val="00BD70C2"/>
    <w:rsid w:val="00BE47DB"/>
    <w:rsid w:val="00BF25A9"/>
    <w:rsid w:val="00BF356A"/>
    <w:rsid w:val="00BF3804"/>
    <w:rsid w:val="00BF4359"/>
    <w:rsid w:val="00BF62DA"/>
    <w:rsid w:val="00BF7B23"/>
    <w:rsid w:val="00C00E68"/>
    <w:rsid w:val="00C0437D"/>
    <w:rsid w:val="00C121F1"/>
    <w:rsid w:val="00C15E03"/>
    <w:rsid w:val="00C22399"/>
    <w:rsid w:val="00C24055"/>
    <w:rsid w:val="00C2540D"/>
    <w:rsid w:val="00C265C7"/>
    <w:rsid w:val="00C26F4D"/>
    <w:rsid w:val="00C30F0F"/>
    <w:rsid w:val="00C31794"/>
    <w:rsid w:val="00C32BA8"/>
    <w:rsid w:val="00C32F9E"/>
    <w:rsid w:val="00C336C8"/>
    <w:rsid w:val="00C35060"/>
    <w:rsid w:val="00C41479"/>
    <w:rsid w:val="00C41EA5"/>
    <w:rsid w:val="00C43508"/>
    <w:rsid w:val="00C445A9"/>
    <w:rsid w:val="00C46879"/>
    <w:rsid w:val="00C53908"/>
    <w:rsid w:val="00C541A6"/>
    <w:rsid w:val="00C547CF"/>
    <w:rsid w:val="00C5592D"/>
    <w:rsid w:val="00C56E43"/>
    <w:rsid w:val="00C603C6"/>
    <w:rsid w:val="00C60F05"/>
    <w:rsid w:val="00C617C7"/>
    <w:rsid w:val="00C62386"/>
    <w:rsid w:val="00C63430"/>
    <w:rsid w:val="00C656ED"/>
    <w:rsid w:val="00C65EFD"/>
    <w:rsid w:val="00C66314"/>
    <w:rsid w:val="00C66378"/>
    <w:rsid w:val="00C74D41"/>
    <w:rsid w:val="00C7541A"/>
    <w:rsid w:val="00C7663F"/>
    <w:rsid w:val="00C77B8D"/>
    <w:rsid w:val="00C83CF4"/>
    <w:rsid w:val="00C84C48"/>
    <w:rsid w:val="00C84F62"/>
    <w:rsid w:val="00C8503E"/>
    <w:rsid w:val="00C85631"/>
    <w:rsid w:val="00C8567F"/>
    <w:rsid w:val="00C931E4"/>
    <w:rsid w:val="00C942FA"/>
    <w:rsid w:val="00C96622"/>
    <w:rsid w:val="00C975FF"/>
    <w:rsid w:val="00CA02D6"/>
    <w:rsid w:val="00CA0C39"/>
    <w:rsid w:val="00CA16D9"/>
    <w:rsid w:val="00CA2195"/>
    <w:rsid w:val="00CA5342"/>
    <w:rsid w:val="00CA5E46"/>
    <w:rsid w:val="00CA6295"/>
    <w:rsid w:val="00CA7EF1"/>
    <w:rsid w:val="00CB0726"/>
    <w:rsid w:val="00CB073B"/>
    <w:rsid w:val="00CB097F"/>
    <w:rsid w:val="00CB0F46"/>
    <w:rsid w:val="00CB468D"/>
    <w:rsid w:val="00CB6373"/>
    <w:rsid w:val="00CC00EC"/>
    <w:rsid w:val="00CC02B2"/>
    <w:rsid w:val="00CC3D83"/>
    <w:rsid w:val="00CC4441"/>
    <w:rsid w:val="00CD1F78"/>
    <w:rsid w:val="00CD3375"/>
    <w:rsid w:val="00CD3BA0"/>
    <w:rsid w:val="00CD685A"/>
    <w:rsid w:val="00CD6A62"/>
    <w:rsid w:val="00CE01BD"/>
    <w:rsid w:val="00CE060B"/>
    <w:rsid w:val="00CE3E6E"/>
    <w:rsid w:val="00CE4365"/>
    <w:rsid w:val="00CE5B9A"/>
    <w:rsid w:val="00CE78F8"/>
    <w:rsid w:val="00CF049D"/>
    <w:rsid w:val="00CF30B2"/>
    <w:rsid w:val="00CF38E2"/>
    <w:rsid w:val="00CF6419"/>
    <w:rsid w:val="00CF78B7"/>
    <w:rsid w:val="00D0199B"/>
    <w:rsid w:val="00D0364C"/>
    <w:rsid w:val="00D059F6"/>
    <w:rsid w:val="00D0669C"/>
    <w:rsid w:val="00D070B0"/>
    <w:rsid w:val="00D1341E"/>
    <w:rsid w:val="00D13605"/>
    <w:rsid w:val="00D13EAF"/>
    <w:rsid w:val="00D158CD"/>
    <w:rsid w:val="00D15D35"/>
    <w:rsid w:val="00D164F1"/>
    <w:rsid w:val="00D17D9F"/>
    <w:rsid w:val="00D20852"/>
    <w:rsid w:val="00D21DC0"/>
    <w:rsid w:val="00D22F4C"/>
    <w:rsid w:val="00D24A70"/>
    <w:rsid w:val="00D275F2"/>
    <w:rsid w:val="00D3368B"/>
    <w:rsid w:val="00D339CA"/>
    <w:rsid w:val="00D35A86"/>
    <w:rsid w:val="00D36721"/>
    <w:rsid w:val="00D405EC"/>
    <w:rsid w:val="00D42313"/>
    <w:rsid w:val="00D42521"/>
    <w:rsid w:val="00D43A57"/>
    <w:rsid w:val="00D43D71"/>
    <w:rsid w:val="00D443E6"/>
    <w:rsid w:val="00D45AD3"/>
    <w:rsid w:val="00D47A4B"/>
    <w:rsid w:val="00D54701"/>
    <w:rsid w:val="00D54A30"/>
    <w:rsid w:val="00D54C3B"/>
    <w:rsid w:val="00D55845"/>
    <w:rsid w:val="00D55BBC"/>
    <w:rsid w:val="00D57800"/>
    <w:rsid w:val="00D62467"/>
    <w:rsid w:val="00D6368E"/>
    <w:rsid w:val="00D63A46"/>
    <w:rsid w:val="00D64AB3"/>
    <w:rsid w:val="00D64D80"/>
    <w:rsid w:val="00D72A3D"/>
    <w:rsid w:val="00D72D87"/>
    <w:rsid w:val="00D733BB"/>
    <w:rsid w:val="00D73B16"/>
    <w:rsid w:val="00D74527"/>
    <w:rsid w:val="00D772A8"/>
    <w:rsid w:val="00D82DBD"/>
    <w:rsid w:val="00D834C2"/>
    <w:rsid w:val="00D841CE"/>
    <w:rsid w:val="00D8516B"/>
    <w:rsid w:val="00D86DA1"/>
    <w:rsid w:val="00D87E8B"/>
    <w:rsid w:val="00D9015D"/>
    <w:rsid w:val="00D913E4"/>
    <w:rsid w:val="00D91936"/>
    <w:rsid w:val="00D92CFF"/>
    <w:rsid w:val="00D953AE"/>
    <w:rsid w:val="00D95564"/>
    <w:rsid w:val="00D96997"/>
    <w:rsid w:val="00D970DE"/>
    <w:rsid w:val="00DA0342"/>
    <w:rsid w:val="00DA0546"/>
    <w:rsid w:val="00DA3690"/>
    <w:rsid w:val="00DA42B1"/>
    <w:rsid w:val="00DA46A4"/>
    <w:rsid w:val="00DA4E7A"/>
    <w:rsid w:val="00DA5179"/>
    <w:rsid w:val="00DA5820"/>
    <w:rsid w:val="00DA6A44"/>
    <w:rsid w:val="00DA6F7D"/>
    <w:rsid w:val="00DA769A"/>
    <w:rsid w:val="00DB03A8"/>
    <w:rsid w:val="00DB0DC3"/>
    <w:rsid w:val="00DB1495"/>
    <w:rsid w:val="00DB27CB"/>
    <w:rsid w:val="00DB5CA7"/>
    <w:rsid w:val="00DB5F5A"/>
    <w:rsid w:val="00DB783F"/>
    <w:rsid w:val="00DC1E07"/>
    <w:rsid w:val="00DC56CA"/>
    <w:rsid w:val="00DD0D8E"/>
    <w:rsid w:val="00DE2F4D"/>
    <w:rsid w:val="00DE3DFD"/>
    <w:rsid w:val="00DE43F2"/>
    <w:rsid w:val="00DE51A7"/>
    <w:rsid w:val="00DE5A79"/>
    <w:rsid w:val="00DF0C8C"/>
    <w:rsid w:val="00DF12E2"/>
    <w:rsid w:val="00DF1C47"/>
    <w:rsid w:val="00DF52AF"/>
    <w:rsid w:val="00DF55F6"/>
    <w:rsid w:val="00DF607E"/>
    <w:rsid w:val="00DF75F3"/>
    <w:rsid w:val="00DF777E"/>
    <w:rsid w:val="00E04200"/>
    <w:rsid w:val="00E05A4E"/>
    <w:rsid w:val="00E05C80"/>
    <w:rsid w:val="00E07E13"/>
    <w:rsid w:val="00E15D0F"/>
    <w:rsid w:val="00E170C5"/>
    <w:rsid w:val="00E20192"/>
    <w:rsid w:val="00E21966"/>
    <w:rsid w:val="00E2373A"/>
    <w:rsid w:val="00E24060"/>
    <w:rsid w:val="00E253C5"/>
    <w:rsid w:val="00E257FE"/>
    <w:rsid w:val="00E25DD4"/>
    <w:rsid w:val="00E26417"/>
    <w:rsid w:val="00E30277"/>
    <w:rsid w:val="00E34CFC"/>
    <w:rsid w:val="00E36675"/>
    <w:rsid w:val="00E37190"/>
    <w:rsid w:val="00E37705"/>
    <w:rsid w:val="00E41247"/>
    <w:rsid w:val="00E42183"/>
    <w:rsid w:val="00E42BCC"/>
    <w:rsid w:val="00E42D01"/>
    <w:rsid w:val="00E432F7"/>
    <w:rsid w:val="00E437D1"/>
    <w:rsid w:val="00E43957"/>
    <w:rsid w:val="00E45336"/>
    <w:rsid w:val="00E5293F"/>
    <w:rsid w:val="00E5306C"/>
    <w:rsid w:val="00E552C2"/>
    <w:rsid w:val="00E573C4"/>
    <w:rsid w:val="00E61229"/>
    <w:rsid w:val="00E6173C"/>
    <w:rsid w:val="00E61F05"/>
    <w:rsid w:val="00E62D85"/>
    <w:rsid w:val="00E65160"/>
    <w:rsid w:val="00E678EA"/>
    <w:rsid w:val="00E6793C"/>
    <w:rsid w:val="00E738FC"/>
    <w:rsid w:val="00E73B06"/>
    <w:rsid w:val="00E74A77"/>
    <w:rsid w:val="00E75D5F"/>
    <w:rsid w:val="00E772A3"/>
    <w:rsid w:val="00E806CF"/>
    <w:rsid w:val="00E832C9"/>
    <w:rsid w:val="00E832FF"/>
    <w:rsid w:val="00E834D8"/>
    <w:rsid w:val="00E8582A"/>
    <w:rsid w:val="00E86240"/>
    <w:rsid w:val="00E8766D"/>
    <w:rsid w:val="00E90BB8"/>
    <w:rsid w:val="00E91041"/>
    <w:rsid w:val="00E91FDF"/>
    <w:rsid w:val="00EA2968"/>
    <w:rsid w:val="00EA423F"/>
    <w:rsid w:val="00EA5771"/>
    <w:rsid w:val="00EA5F5B"/>
    <w:rsid w:val="00EA6C2F"/>
    <w:rsid w:val="00EA732D"/>
    <w:rsid w:val="00EB0275"/>
    <w:rsid w:val="00EB1D5C"/>
    <w:rsid w:val="00EB25C7"/>
    <w:rsid w:val="00EB26C4"/>
    <w:rsid w:val="00EB2B89"/>
    <w:rsid w:val="00EB4343"/>
    <w:rsid w:val="00EB6A44"/>
    <w:rsid w:val="00EB7533"/>
    <w:rsid w:val="00EC0061"/>
    <w:rsid w:val="00EC03C5"/>
    <w:rsid w:val="00EC068B"/>
    <w:rsid w:val="00EC1F81"/>
    <w:rsid w:val="00EC2F01"/>
    <w:rsid w:val="00EC6408"/>
    <w:rsid w:val="00EC6BDC"/>
    <w:rsid w:val="00EC6D62"/>
    <w:rsid w:val="00EC79E0"/>
    <w:rsid w:val="00ED120D"/>
    <w:rsid w:val="00ED437E"/>
    <w:rsid w:val="00ED4B5E"/>
    <w:rsid w:val="00ED6722"/>
    <w:rsid w:val="00EE0F76"/>
    <w:rsid w:val="00EE2BA2"/>
    <w:rsid w:val="00EE5CFD"/>
    <w:rsid w:val="00EE6C5A"/>
    <w:rsid w:val="00EE7526"/>
    <w:rsid w:val="00EF397F"/>
    <w:rsid w:val="00EF6370"/>
    <w:rsid w:val="00EF6844"/>
    <w:rsid w:val="00F0020A"/>
    <w:rsid w:val="00F013DE"/>
    <w:rsid w:val="00F04CFF"/>
    <w:rsid w:val="00F0648E"/>
    <w:rsid w:val="00F06C2A"/>
    <w:rsid w:val="00F06D51"/>
    <w:rsid w:val="00F1227A"/>
    <w:rsid w:val="00F132D6"/>
    <w:rsid w:val="00F1703B"/>
    <w:rsid w:val="00F172C2"/>
    <w:rsid w:val="00F17E73"/>
    <w:rsid w:val="00F2168C"/>
    <w:rsid w:val="00F218D7"/>
    <w:rsid w:val="00F23D87"/>
    <w:rsid w:val="00F26855"/>
    <w:rsid w:val="00F26B96"/>
    <w:rsid w:val="00F273AB"/>
    <w:rsid w:val="00F27614"/>
    <w:rsid w:val="00F31A0A"/>
    <w:rsid w:val="00F3258C"/>
    <w:rsid w:val="00F36E0F"/>
    <w:rsid w:val="00F36FA6"/>
    <w:rsid w:val="00F3718E"/>
    <w:rsid w:val="00F374A2"/>
    <w:rsid w:val="00F3787D"/>
    <w:rsid w:val="00F379D5"/>
    <w:rsid w:val="00F40DC0"/>
    <w:rsid w:val="00F41990"/>
    <w:rsid w:val="00F41B8E"/>
    <w:rsid w:val="00F42DDE"/>
    <w:rsid w:val="00F44A02"/>
    <w:rsid w:val="00F51682"/>
    <w:rsid w:val="00F54FD0"/>
    <w:rsid w:val="00F55857"/>
    <w:rsid w:val="00F558AE"/>
    <w:rsid w:val="00F55A87"/>
    <w:rsid w:val="00F61812"/>
    <w:rsid w:val="00F653D1"/>
    <w:rsid w:val="00F65D3F"/>
    <w:rsid w:val="00F66D47"/>
    <w:rsid w:val="00F709A9"/>
    <w:rsid w:val="00F72E8B"/>
    <w:rsid w:val="00F72F85"/>
    <w:rsid w:val="00F74F69"/>
    <w:rsid w:val="00F7531E"/>
    <w:rsid w:val="00F76E04"/>
    <w:rsid w:val="00F77056"/>
    <w:rsid w:val="00F77169"/>
    <w:rsid w:val="00F772DA"/>
    <w:rsid w:val="00F8112C"/>
    <w:rsid w:val="00F915F6"/>
    <w:rsid w:val="00F91F34"/>
    <w:rsid w:val="00F93456"/>
    <w:rsid w:val="00F937BE"/>
    <w:rsid w:val="00F9390D"/>
    <w:rsid w:val="00F9417A"/>
    <w:rsid w:val="00F951C7"/>
    <w:rsid w:val="00F95AC9"/>
    <w:rsid w:val="00F96660"/>
    <w:rsid w:val="00FA0DB2"/>
    <w:rsid w:val="00FA1BA8"/>
    <w:rsid w:val="00FA27C4"/>
    <w:rsid w:val="00FA32C7"/>
    <w:rsid w:val="00FA36A5"/>
    <w:rsid w:val="00FA53CB"/>
    <w:rsid w:val="00FA5E45"/>
    <w:rsid w:val="00FB1CF2"/>
    <w:rsid w:val="00FB206F"/>
    <w:rsid w:val="00FB7139"/>
    <w:rsid w:val="00FB78A0"/>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483"/>
    <w:rsid w:val="00FE573D"/>
    <w:rsid w:val="00FE6130"/>
    <w:rsid w:val="00FF130F"/>
    <w:rsid w:val="00FF4DF1"/>
    <w:rsid w:val="00FF5954"/>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B97B5C"/>
    <w:pPr>
      <w:tabs>
        <w:tab w:val="left" w:pos="880"/>
        <w:tab w:val="right" w:leader="dot" w:pos="8630"/>
      </w:tabs>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paragraph" w:styleId="z-BottomofForm">
    <w:name w:val="HTML Bottom of Form"/>
    <w:basedOn w:val="Normal"/>
    <w:link w:val="z-BottomofFormChar"/>
    <w:rsid w:val="00F66D47"/>
    <w:pPr>
      <w:widowControl/>
      <w:spacing w:before="0" w:beforeAutospacing="0" w:after="0" w:afterAutospacing="0"/>
      <w:jc w:val="center"/>
    </w:pPr>
    <w:rPr>
      <w:b/>
      <w:snapToGrid/>
      <w:sz w:val="20"/>
    </w:rPr>
  </w:style>
  <w:style w:type="character" w:customStyle="1" w:styleId="z-BottomofFormChar">
    <w:name w:val="z-Bottom of Form Char"/>
    <w:basedOn w:val="DefaultParagraphFont"/>
    <w:link w:val="z-BottomofForm"/>
    <w:rsid w:val="00F66D47"/>
    <w:rPr>
      <w:b/>
    </w:rPr>
  </w:style>
  <w:style w:type="paragraph" w:styleId="Caption">
    <w:name w:val="caption"/>
    <w:basedOn w:val="Normal"/>
    <w:next w:val="Normal"/>
    <w:qFormat/>
    <w:rsid w:val="00F66D47"/>
    <w:pPr>
      <w:widowControl/>
      <w:tabs>
        <w:tab w:val="left" w:pos="144"/>
        <w:tab w:val="left" w:pos="1440"/>
        <w:tab w:val="left" w:pos="2304"/>
        <w:tab w:val="left" w:pos="3744"/>
        <w:tab w:val="left" w:pos="5904"/>
        <w:tab w:val="left" w:pos="7056"/>
        <w:tab w:val="left" w:pos="8640"/>
      </w:tabs>
      <w:spacing w:before="0" w:beforeAutospacing="0" w:after="0" w:afterAutospacing="0"/>
      <w:jc w:val="left"/>
    </w:pPr>
    <w:rPr>
      <w:b/>
      <w:snapToGrid/>
    </w:rPr>
  </w:style>
  <w:style w:type="paragraph" w:customStyle="1" w:styleId="indent2">
    <w:name w:val="indent2"/>
    <w:rsid w:val="00326A0F"/>
    <w:pPr>
      <w:tabs>
        <w:tab w:val="left" w:pos="730"/>
        <w:tab w:val="left" w:pos="6840"/>
        <w:tab w:val="left" w:pos="7200"/>
        <w:tab w:val="left" w:pos="7920"/>
        <w:tab w:val="left" w:pos="8640"/>
      </w:tabs>
      <w:autoSpaceDE w:val="0"/>
      <w:autoSpaceDN w:val="0"/>
      <w:adjustRightInd w:val="0"/>
      <w:ind w:left="720"/>
      <w:jc w:val="both"/>
    </w:pPr>
    <w:rPr>
      <w:rFonts w:ascii="Courier New" w:hAnsi="Courier New"/>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B97B5C"/>
    <w:pPr>
      <w:tabs>
        <w:tab w:val="left" w:pos="880"/>
        <w:tab w:val="right" w:leader="dot" w:pos="8630"/>
      </w:tabs>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paragraph" w:styleId="z-BottomofForm">
    <w:name w:val="HTML Bottom of Form"/>
    <w:basedOn w:val="Normal"/>
    <w:link w:val="z-BottomofFormChar"/>
    <w:rsid w:val="00F66D47"/>
    <w:pPr>
      <w:widowControl/>
      <w:spacing w:before="0" w:beforeAutospacing="0" w:after="0" w:afterAutospacing="0"/>
      <w:jc w:val="center"/>
    </w:pPr>
    <w:rPr>
      <w:b/>
      <w:snapToGrid/>
      <w:sz w:val="20"/>
    </w:rPr>
  </w:style>
  <w:style w:type="character" w:customStyle="1" w:styleId="z-BottomofFormChar">
    <w:name w:val="z-Bottom of Form Char"/>
    <w:basedOn w:val="DefaultParagraphFont"/>
    <w:link w:val="z-BottomofForm"/>
    <w:rsid w:val="00F66D47"/>
    <w:rPr>
      <w:b/>
    </w:rPr>
  </w:style>
  <w:style w:type="paragraph" w:styleId="Caption">
    <w:name w:val="caption"/>
    <w:basedOn w:val="Normal"/>
    <w:next w:val="Normal"/>
    <w:qFormat/>
    <w:rsid w:val="00F66D47"/>
    <w:pPr>
      <w:widowControl/>
      <w:tabs>
        <w:tab w:val="left" w:pos="144"/>
        <w:tab w:val="left" w:pos="1440"/>
        <w:tab w:val="left" w:pos="2304"/>
        <w:tab w:val="left" w:pos="3744"/>
        <w:tab w:val="left" w:pos="5904"/>
        <w:tab w:val="left" w:pos="7056"/>
        <w:tab w:val="left" w:pos="8640"/>
      </w:tabs>
      <w:spacing w:before="0" w:beforeAutospacing="0" w:after="0" w:afterAutospacing="0"/>
      <w:jc w:val="left"/>
    </w:pPr>
    <w:rPr>
      <w:b/>
      <w:snapToGrid/>
    </w:rPr>
  </w:style>
  <w:style w:type="paragraph" w:customStyle="1" w:styleId="indent2">
    <w:name w:val="indent2"/>
    <w:rsid w:val="00326A0F"/>
    <w:pPr>
      <w:tabs>
        <w:tab w:val="left" w:pos="730"/>
        <w:tab w:val="left" w:pos="6840"/>
        <w:tab w:val="left" w:pos="7200"/>
        <w:tab w:val="left" w:pos="7920"/>
        <w:tab w:val="left" w:pos="8640"/>
      </w:tabs>
      <w:autoSpaceDE w:val="0"/>
      <w:autoSpaceDN w:val="0"/>
      <w:adjustRightInd w:val="0"/>
      <w:ind w:left="720"/>
      <w:jc w:val="both"/>
    </w:pPr>
    <w:rPr>
      <w:rFonts w:ascii="Courier New" w:hAnsi="Courier New"/>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uranium/production/quarterly/" TargetMode="External"/><Relationship Id="rId18" Type="http://schemas.openxmlformats.org/officeDocument/2006/relationships/hyperlink" Target="http://www.eia.gov/uranium/production/annual/" TargetMode="External"/><Relationship Id="rId3" Type="http://schemas.openxmlformats.org/officeDocument/2006/relationships/styles" Target="styles.xml"/><Relationship Id="rId21" Type="http://schemas.openxmlformats.org/officeDocument/2006/relationships/hyperlink" Target="http://www.eia.gov/uranium/production/annual/" TargetMode="External"/><Relationship Id="rId7" Type="http://schemas.openxmlformats.org/officeDocument/2006/relationships/footnotes" Target="footnotes.xml"/><Relationship Id="rId12" Type="http://schemas.openxmlformats.org/officeDocument/2006/relationships/hyperlink" Target="http://www.eia.gov/uranium/production/annual/" TargetMode="External"/><Relationship Id="rId17" Type="http://schemas.openxmlformats.org/officeDocument/2006/relationships/hyperlink" Target="http://www.eia.gov/surve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a.gov/survey/" TargetMode="External"/><Relationship Id="rId20" Type="http://schemas.openxmlformats.org/officeDocument/2006/relationships/hyperlink" Target="http://www.eia.gov/uranium/marke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ia.gov/survey/"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eia.gov/uranium/production/quarterl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ia.gov/uranium/marketin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32E4-51ED-4F84-B8AB-16E022C5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4809</Words>
  <Characters>29165</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33907</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Stroud, Lawrence</cp:lastModifiedBy>
  <cp:revision>6</cp:revision>
  <cp:lastPrinted>2015-01-12T21:53:00Z</cp:lastPrinted>
  <dcterms:created xsi:type="dcterms:W3CDTF">2015-07-24T20:40:00Z</dcterms:created>
  <dcterms:modified xsi:type="dcterms:W3CDTF">2015-07-28T18:48:00Z</dcterms:modified>
</cp:coreProperties>
</file>