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jc w:val="both"/>
        <w:rPr>
          <w:rFonts w:ascii="Times New Roman" w:hAnsi="Times New Roman"/>
          <w:b/>
          <w:bCs/>
        </w:rPr>
      </w:pPr>
    </w:p>
    <w:p w:rsidR="007B3E3C" w:rsidRDefault="007B3E3C">
      <w:pPr>
        <w:tabs>
          <w:tab w:val="center" w:pos="4680"/>
          <w:tab w:val="left" w:pos="6480"/>
        </w:tabs>
        <w:jc w:val="both"/>
        <w:rPr>
          <w:rFonts w:ascii="Times New Roman" w:hAnsi="Times New Roman"/>
        </w:rPr>
      </w:pPr>
      <w:r>
        <w:rPr>
          <w:rFonts w:ascii="Times New Roman" w:hAnsi="Times New Roman"/>
          <w:b/>
          <w:bCs/>
        </w:rPr>
        <w:tab/>
        <w:t>SUPPORTING STATEMENT</w:t>
      </w:r>
    </w:p>
    <w:p w:rsidR="00071A02" w:rsidRDefault="007B3E3C">
      <w:pPr>
        <w:tabs>
          <w:tab w:val="center" w:pos="4680"/>
          <w:tab w:val="left" w:pos="6480"/>
        </w:tabs>
        <w:jc w:val="both"/>
        <w:rPr>
          <w:rFonts w:ascii="Times New Roman" w:hAnsi="Times New Roman"/>
          <w:b/>
          <w:bCs/>
        </w:rPr>
      </w:pPr>
      <w:r>
        <w:rPr>
          <w:rFonts w:ascii="Times New Roman" w:hAnsi="Times New Roman"/>
        </w:rPr>
        <w:tab/>
      </w:r>
      <w:r>
        <w:rPr>
          <w:rFonts w:ascii="Times New Roman" w:hAnsi="Times New Roman"/>
          <w:b/>
          <w:bCs/>
        </w:rPr>
        <w:t>A Guide to Reporting Highway Statistics (Guide)</w:t>
      </w:r>
      <w:r w:rsidR="00071A02">
        <w:rPr>
          <w:rFonts w:ascii="Times New Roman" w:hAnsi="Times New Roman"/>
          <w:b/>
          <w:bCs/>
        </w:rPr>
        <w:t xml:space="preserve"> </w:t>
      </w:r>
    </w:p>
    <w:p w:rsidR="007B3E3C" w:rsidRDefault="00071A02" w:rsidP="00071A02">
      <w:pPr>
        <w:tabs>
          <w:tab w:val="center" w:pos="4680"/>
          <w:tab w:val="left" w:pos="6480"/>
        </w:tabs>
        <w:jc w:val="center"/>
        <w:rPr>
          <w:rFonts w:ascii="Times New Roman" w:hAnsi="Times New Roman"/>
        </w:rPr>
      </w:pPr>
      <w:r>
        <w:rPr>
          <w:rFonts w:ascii="Times New Roman" w:hAnsi="Times New Roman"/>
          <w:b/>
          <w:bCs/>
        </w:rPr>
        <w:t>(2125-0032)</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jc w:val="both"/>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u w:val="single"/>
        </w:rPr>
        <w:t>INTRODUCTION</w:t>
      </w:r>
      <w:r>
        <w:rPr>
          <w:rFonts w:ascii="Times New Roman" w:hAnsi="Times New Roman"/>
          <w:b/>
          <w:bCs/>
        </w:rPr>
        <w:t>:</w:t>
      </w:r>
      <w:r>
        <w:rPr>
          <w:rFonts w:ascii="Times New Roman" w:hAnsi="Times New Roman"/>
        </w:rPr>
        <w:t xml:space="preserve">  This request is for the Office of Management and Budget (OMB) clearance for </w:t>
      </w:r>
      <w:r w:rsidRPr="00F368D3">
        <w:rPr>
          <w:rFonts w:ascii="Times New Roman" w:hAnsi="Times New Roman"/>
          <w:bCs/>
          <w:i/>
        </w:rPr>
        <w:t>A Guide to Reporting Highway Statistics</w:t>
      </w:r>
      <w:r>
        <w:rPr>
          <w:rFonts w:ascii="Times New Roman" w:hAnsi="Times New Roman"/>
          <w:b/>
          <w:bCs/>
        </w:rPr>
        <w:t xml:space="preserve"> </w:t>
      </w:r>
      <w:r>
        <w:rPr>
          <w:rFonts w:ascii="Times New Roman" w:hAnsi="Times New Roman"/>
        </w:rPr>
        <w:t>(</w:t>
      </w:r>
      <w:r w:rsidRPr="00F368D3">
        <w:rPr>
          <w:rFonts w:ascii="Times New Roman" w:hAnsi="Times New Roman"/>
          <w:i/>
        </w:rPr>
        <w:t>Guide</w:t>
      </w:r>
      <w:r>
        <w:rPr>
          <w:rFonts w:ascii="Times New Roman" w:hAnsi="Times New Roman"/>
        </w:rPr>
        <w:t xml:space="preserve">) </w:t>
      </w:r>
      <w:r w:rsidRPr="007F69A9">
        <w:rPr>
          <w:rFonts w:ascii="Times New Roman" w:hAnsi="Times New Roman"/>
        </w:rPr>
        <w:t xml:space="preserve">information collection, OMB No. 2125-0032.  This information collection was last cleared </w:t>
      </w:r>
      <w:r w:rsidR="007F69A9" w:rsidRPr="007F69A9">
        <w:rPr>
          <w:rFonts w:ascii="Times New Roman" w:hAnsi="Times New Roman"/>
        </w:rPr>
        <w:t>on</w:t>
      </w:r>
      <w:r w:rsidRPr="007F69A9">
        <w:rPr>
          <w:rFonts w:ascii="Times New Roman" w:hAnsi="Times New Roman"/>
        </w:rPr>
        <w:t xml:space="preserve"> </w:t>
      </w:r>
      <w:r w:rsidR="007F69A9" w:rsidRPr="007F69A9">
        <w:rPr>
          <w:rFonts w:ascii="Times New Roman" w:hAnsi="Times New Roman"/>
        </w:rPr>
        <w:t>June 26, 2012</w:t>
      </w:r>
      <w:r w:rsidRPr="007F69A9">
        <w:rPr>
          <w:rFonts w:ascii="Times New Roman" w:hAnsi="Times New Roman"/>
        </w:rPr>
        <w:t xml:space="preserve">, and is due to expire on </w:t>
      </w:r>
      <w:r w:rsidR="00071A02">
        <w:rPr>
          <w:rFonts w:ascii="Times New Roman" w:hAnsi="Times New Roman"/>
        </w:rPr>
        <w:t>August 31</w:t>
      </w:r>
      <w:r w:rsidRPr="007F69A9">
        <w:rPr>
          <w:rFonts w:ascii="Times New Roman" w:hAnsi="Times New Roman"/>
        </w:rPr>
        <w:t>, 20</w:t>
      </w:r>
      <w:r w:rsidR="007F69A9" w:rsidRPr="007F69A9">
        <w:rPr>
          <w:rFonts w:ascii="Times New Roman" w:hAnsi="Times New Roman"/>
        </w:rPr>
        <w:t>15</w:t>
      </w:r>
      <w:r w:rsidRPr="007F69A9">
        <w:rPr>
          <w:rFonts w:ascii="Times New Roman" w:hAnsi="Times New Roman"/>
        </w:rPr>
        <w:t xml:space="preserve">.  The </w:t>
      </w:r>
      <w:r w:rsidRPr="007F69A9">
        <w:rPr>
          <w:rFonts w:ascii="Times New Roman" w:hAnsi="Times New Roman"/>
          <w:i/>
        </w:rPr>
        <w:t>Guide</w:t>
      </w:r>
      <w:r w:rsidRPr="007F69A9">
        <w:rPr>
          <w:rFonts w:ascii="Times New Roman" w:hAnsi="Times New Roman"/>
        </w:rPr>
        <w:t xml:space="preserve"> describes policies and procedures for assembling statistical information from</w:t>
      </w:r>
      <w:r>
        <w:rPr>
          <w:rFonts w:ascii="Times New Roman" w:hAnsi="Times New Roman"/>
        </w:rPr>
        <w:t xml:space="preserve"> the existing files of State agencies on motor-vehicle registration and fees, motor-fuel use and taxation, driver licensing, highway taxation and finance, and other related subjects, and the reporting of these data to the Federal Highway Administration (FHWA).</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A.</w:t>
      </w:r>
      <w:r>
        <w:rPr>
          <w:rFonts w:ascii="Times New Roman" w:hAnsi="Times New Roman"/>
          <w:b/>
          <w:bCs/>
        </w:rPr>
        <w:tab/>
        <w:t>Justification</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   </w:t>
      </w:r>
      <w:r>
        <w:rPr>
          <w:rFonts w:ascii="Times New Roman" w:hAnsi="Times New Roman"/>
          <w:b/>
          <w:bCs/>
          <w:u w:val="single"/>
        </w:rPr>
        <w:t>Circumstances that make the collection of information necessary</w:t>
      </w:r>
      <w:r>
        <w:rPr>
          <w:rFonts w:ascii="Times New Roman" w:hAnsi="Times New Roman"/>
        </w:rPr>
        <w:t xml:space="preserve">. </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information collected in accordance with the </w:t>
      </w:r>
      <w:r w:rsidRPr="00F368D3">
        <w:rPr>
          <w:rFonts w:ascii="Times New Roman" w:hAnsi="Times New Roman"/>
          <w:i/>
        </w:rPr>
        <w:t>Guide</w:t>
      </w:r>
      <w:r>
        <w:rPr>
          <w:rFonts w:ascii="Times New Roman" w:hAnsi="Times New Roman"/>
        </w:rPr>
        <w:t xml:space="preserve"> is</w:t>
      </w:r>
      <w:r w:rsidR="00071A02">
        <w:rPr>
          <w:rFonts w:ascii="Times New Roman" w:hAnsi="Times New Roman"/>
        </w:rPr>
        <w:t xml:space="preserve"> authorized under 23 U.S.C. 315,</w:t>
      </w:r>
      <w:r>
        <w:rPr>
          <w:rFonts w:ascii="Times New Roman" w:hAnsi="Times New Roman"/>
        </w:rPr>
        <w:t xml:space="preserve"> which places the responsibility on the Secretary of Transportation for management decisions which affect transportation.  In addition, 23 CFR 1.5 provides the FHWA with authority to request such information deemed necessary to administer the Federal-aid highway program.  Data are used for relating highway system performance to investment under FHWA’s strategic planning and performance reporting process in accordance with requirements of the Government Performance and Results Act (GPRA, Sections 3 and 4).  </w:t>
      </w:r>
      <w:r w:rsidR="00881EC8">
        <w:rPr>
          <w:rFonts w:ascii="Times New Roman" w:hAnsi="Times New Roman"/>
        </w:rPr>
        <w:t xml:space="preserve">In addition, </w:t>
      </w:r>
      <w:r>
        <w:rPr>
          <w:rFonts w:ascii="Times New Roman" w:hAnsi="Times New Roman"/>
        </w:rPr>
        <w:t xml:space="preserve">23 CFR 420.105(b) requires States to provide data that support FHWA’s responsibilities </w:t>
      </w:r>
      <w:r w:rsidR="00071A02">
        <w:rPr>
          <w:rFonts w:ascii="Times New Roman" w:hAnsi="Times New Roman"/>
        </w:rPr>
        <w:t>to the Congress and the public.</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data are also collected to support the Departmental strategic goals for Mobility, Productivity, and Safety as well as the FHWA’s Vital Few (Safety, Environmental Stewardship and Streamlining, and Congestion Mitigation).  The data is used by FHWA to assess the policies and programs to ensure performance of the Nation’s highway transportation system as well as identify future highway system investment needs.  Among other things, the data is used as a basis for Federal policies and programs to support overall highway system performance.  The resulting policies and programs facilitate the mobility, and safety of the highway users while enhancing the productivity opportunities on the part of providers of goods and services and consumers. </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2.   </w:t>
      </w:r>
      <w:r>
        <w:rPr>
          <w:rFonts w:ascii="Times New Roman" w:hAnsi="Times New Roman"/>
          <w:b/>
          <w:bCs/>
          <w:u w:val="single"/>
        </w:rPr>
        <w:t>How, by whom, and for what purpose is the information used</w:t>
      </w:r>
      <w:r>
        <w:rPr>
          <w:rFonts w:ascii="Times New Roman" w:hAnsi="Times New Roman"/>
        </w:rPr>
        <w:t>.</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 </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Data collected under </w:t>
      </w:r>
      <w:r w:rsidRPr="00F368D3">
        <w:rPr>
          <w:rFonts w:ascii="Times New Roman" w:hAnsi="Times New Roman"/>
          <w:i/>
        </w:rPr>
        <w:t>Guide</w:t>
      </w:r>
      <w:r>
        <w:rPr>
          <w:rFonts w:ascii="Times New Roman" w:hAnsi="Times New Roman"/>
        </w:rPr>
        <w:t xml:space="preserve"> instructions are extensively used by various agencies of the Federal, State, and local governments, including offices from within the Department of Transportation, Department of Defense, </w:t>
      </w:r>
      <w:r w:rsidR="00425BB5">
        <w:rPr>
          <w:rFonts w:ascii="Times New Roman" w:hAnsi="Times New Roman"/>
        </w:rPr>
        <w:t>State governors and legislators,</w:t>
      </w:r>
      <w:r>
        <w:rPr>
          <w:rFonts w:ascii="Times New Roman" w:hAnsi="Times New Roman"/>
        </w:rPr>
        <w:t xml:space="preserve"> Congress</w:t>
      </w:r>
      <w:r w:rsidR="00425BB5">
        <w:rPr>
          <w:rFonts w:ascii="Times New Roman" w:hAnsi="Times New Roman"/>
        </w:rPr>
        <w:t>,</w:t>
      </w:r>
      <w:r>
        <w:rPr>
          <w:rFonts w:ascii="Times New Roman" w:hAnsi="Times New Roman"/>
        </w:rPr>
        <w:t xml:space="preserve"> institutions of higher learning, industry, consultants, professional organizations, and the general public for a host of purposes.  The data collected in accordance with the </w:t>
      </w:r>
      <w:r w:rsidRPr="00F368D3">
        <w:rPr>
          <w:rFonts w:ascii="Times New Roman" w:hAnsi="Times New Roman"/>
          <w:i/>
        </w:rPr>
        <w:t>Guide</w:t>
      </w:r>
      <w:r>
        <w:rPr>
          <w:rFonts w:ascii="Times New Roman" w:hAnsi="Times New Roman"/>
        </w:rPr>
        <w:t xml:space="preserve"> is fundamental to the program and policy needs of the FHWA.  It is extensively used as the primary data source for a wide range of program development and policy analysis, such as:</w:t>
      </w:r>
    </w:p>
    <w:p w:rsidR="007B3E3C" w:rsidRDefault="007B3E3C" w:rsidP="00C43A84">
      <w:pPr>
        <w:numPr>
          <w:ilvl w:val="0"/>
          <w:numId w:val="2"/>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lastRenderedPageBreak/>
        <w:t>To assess highway system performance under FHWA’s strategic planning and performance reporting process developed in accordance with requirements of the GPRA;</w:t>
      </w:r>
    </w:p>
    <w:p w:rsidR="007B3E3C" w:rsidRDefault="007B3E3C" w:rsidP="00C43A84">
      <w:pPr>
        <w:numPr>
          <w:ilvl w:val="0"/>
          <w:numId w:val="2"/>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To develop and evaluate Federal legislation;</w:t>
      </w:r>
    </w:p>
    <w:p w:rsidR="007B3E3C" w:rsidRDefault="007B3E3C" w:rsidP="00C43A84">
      <w:pPr>
        <w:numPr>
          <w:ilvl w:val="0"/>
          <w:numId w:val="2"/>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To evaluate the effectiveness of the Federal-aid highway program, providing the motor-fuel-related components of apportionment formulae;</w:t>
      </w:r>
    </w:p>
    <w:p w:rsidR="007B3E3C" w:rsidRDefault="007B3E3C" w:rsidP="00C43A84">
      <w:pPr>
        <w:numPr>
          <w:ilvl w:val="0"/>
          <w:numId w:val="2"/>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To develop and implement legislation;</w:t>
      </w:r>
    </w:p>
    <w:p w:rsidR="007B3E3C" w:rsidRDefault="007B3E3C" w:rsidP="00C43A84">
      <w:pPr>
        <w:numPr>
          <w:ilvl w:val="0"/>
          <w:numId w:val="2"/>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To adequately plan, finance, and administer effective, safe, and efficient transportation systems by State and Federal transportation officials.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data collected under the </w:t>
      </w:r>
      <w:r w:rsidRPr="00F368D3">
        <w:rPr>
          <w:rFonts w:ascii="Times New Roman" w:hAnsi="Times New Roman"/>
          <w:i/>
        </w:rPr>
        <w:t>Guide</w:t>
      </w:r>
      <w:r>
        <w:rPr>
          <w:rFonts w:ascii="Times New Roman" w:hAnsi="Times New Roman"/>
        </w:rPr>
        <w:t xml:space="preserve"> comprise the continuing source of data used to support Federal transportation programs, legislatively required studies, special studies, operational functions and decision-making.  Some activities that rely on </w:t>
      </w:r>
      <w:r w:rsidRPr="00F368D3">
        <w:rPr>
          <w:rFonts w:ascii="Times New Roman" w:hAnsi="Times New Roman"/>
          <w:i/>
        </w:rPr>
        <w:t>Guide</w:t>
      </w:r>
      <w:r>
        <w:rPr>
          <w:rFonts w:ascii="Times New Roman" w:hAnsi="Times New Roman"/>
        </w:rPr>
        <w:t xml:space="preserve"> data include: </w:t>
      </w:r>
    </w:p>
    <w:p w:rsidR="007B3E3C" w:rsidRDefault="007B3E3C" w:rsidP="00C43A84">
      <w:pPr>
        <w:numPr>
          <w:ilvl w:val="0"/>
          <w:numId w:val="3"/>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legislatively mandated biennial report to Congress, </w:t>
      </w:r>
      <w:r>
        <w:rPr>
          <w:rFonts w:ascii="Times New Roman" w:hAnsi="Times New Roman"/>
          <w:i/>
          <w:iCs/>
        </w:rPr>
        <w:t>Status of the Nation's Surface Transportation System:  Condition and Performance</w:t>
      </w:r>
      <w:r>
        <w:rPr>
          <w:rFonts w:ascii="Times New Roman" w:hAnsi="Times New Roman"/>
        </w:rPr>
        <w:t xml:space="preserve"> and related legislative development;</w:t>
      </w:r>
    </w:p>
    <w:p w:rsidR="007B3E3C" w:rsidRDefault="007B3E3C" w:rsidP="00C43A84">
      <w:pPr>
        <w:numPr>
          <w:ilvl w:val="0"/>
          <w:numId w:val="3"/>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FHWA publications including </w:t>
      </w:r>
      <w:r>
        <w:rPr>
          <w:rFonts w:ascii="Times New Roman" w:hAnsi="Times New Roman"/>
          <w:i/>
          <w:iCs/>
        </w:rPr>
        <w:t>Highway Statistics</w:t>
      </w:r>
      <w:r>
        <w:rPr>
          <w:rFonts w:ascii="Times New Roman" w:hAnsi="Times New Roman"/>
        </w:rPr>
        <w:t xml:space="preserve"> and </w:t>
      </w:r>
      <w:r>
        <w:rPr>
          <w:rFonts w:ascii="Times New Roman" w:hAnsi="Times New Roman"/>
          <w:i/>
          <w:iCs/>
        </w:rPr>
        <w:t>Our Nation's Highways;</w:t>
      </w:r>
    </w:p>
    <w:p w:rsidR="007B3E3C" w:rsidRDefault="007B3E3C" w:rsidP="00C43A84">
      <w:pPr>
        <w:numPr>
          <w:ilvl w:val="0"/>
          <w:numId w:val="3"/>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Various </w:t>
      </w:r>
      <w:r w:rsidR="00C43A84">
        <w:rPr>
          <w:rFonts w:ascii="Times New Roman" w:hAnsi="Times New Roman"/>
        </w:rPr>
        <w:t xml:space="preserve">Federal, </w:t>
      </w:r>
      <w:r w:rsidR="00F90B51">
        <w:rPr>
          <w:rFonts w:ascii="Times New Roman" w:hAnsi="Times New Roman"/>
        </w:rPr>
        <w:t>S</w:t>
      </w:r>
      <w:r>
        <w:rPr>
          <w:rFonts w:ascii="Times New Roman" w:hAnsi="Times New Roman"/>
        </w:rPr>
        <w:t>tate</w:t>
      </w:r>
      <w:r w:rsidR="00C43A84">
        <w:rPr>
          <w:rFonts w:ascii="Times New Roman" w:hAnsi="Times New Roman"/>
        </w:rPr>
        <w:t xml:space="preserve">, </w:t>
      </w:r>
      <w:r w:rsidR="00F90B51">
        <w:rPr>
          <w:rFonts w:ascii="Times New Roman" w:hAnsi="Times New Roman"/>
        </w:rPr>
        <w:t>and independent</w:t>
      </w:r>
      <w:r w:rsidR="00994AD1">
        <w:rPr>
          <w:rFonts w:ascii="Times New Roman" w:hAnsi="Times New Roman"/>
        </w:rPr>
        <w:t xml:space="preserve"> studies and analyses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highway finance data collected under </w:t>
      </w:r>
      <w:r w:rsidRPr="00F368D3">
        <w:rPr>
          <w:rFonts w:ascii="Times New Roman" w:hAnsi="Times New Roman"/>
          <w:i/>
        </w:rPr>
        <w:t>Guide</w:t>
      </w:r>
      <w:r>
        <w:rPr>
          <w:rFonts w:ascii="Times New Roman" w:hAnsi="Times New Roman"/>
        </w:rPr>
        <w:t xml:space="preserve"> instructions are essential to FHWA and Congress in evaluating the effectiveness of Federal-aid highway programs by providing </w:t>
      </w:r>
      <w:r w:rsidR="00F90B51">
        <w:rPr>
          <w:rFonts w:ascii="Times New Roman" w:hAnsi="Times New Roman"/>
        </w:rPr>
        <w:t xml:space="preserve">highway-related </w:t>
      </w:r>
      <w:r>
        <w:rPr>
          <w:rFonts w:ascii="Times New Roman" w:hAnsi="Times New Roman"/>
        </w:rPr>
        <w:t>financial data at all levels of government.  This information is used by FHWA in the development and implementation of legislation and in the resolution of inquiries, including those of Congress.</w:t>
      </w:r>
    </w:p>
    <w:p w:rsidR="007B7DAB" w:rsidRDefault="007B7DAB" w:rsidP="007B7DAB">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7DAB">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Motor-vehicle registration and driver license data are used by FHWA in a wide variety of planning activities.  They provide an understanding of the numbers and types of vehicles, which our highway system and highway programs must serve.  </w:t>
      </w:r>
      <w:r w:rsidR="007B3E3C">
        <w:rPr>
          <w:rFonts w:ascii="Times New Roman" w:hAnsi="Times New Roman"/>
        </w:rPr>
        <w:t xml:space="preserve">Using registration and license data, numerous reports are prepared in response to requests from within the FHWA, National Highway Traffic Safety Administration (NHTSA) and </w:t>
      </w:r>
      <w:r w:rsidR="00F90B51">
        <w:rPr>
          <w:rFonts w:ascii="Times New Roman" w:hAnsi="Times New Roman"/>
        </w:rPr>
        <w:t>Bureau of Transportation Statistics (</w:t>
      </w:r>
      <w:r w:rsidR="007B3E3C">
        <w:rPr>
          <w:rFonts w:ascii="Times New Roman" w:hAnsi="Times New Roman"/>
        </w:rPr>
        <w:t>BTS</w:t>
      </w:r>
      <w:r w:rsidR="00F90B51">
        <w:rPr>
          <w:rFonts w:ascii="Times New Roman" w:hAnsi="Times New Roman"/>
        </w:rPr>
        <w:t>)</w:t>
      </w:r>
      <w:r w:rsidR="007B3E3C">
        <w:rPr>
          <w:rFonts w:ascii="Times New Roman" w:hAnsi="Times New Roman"/>
        </w:rPr>
        <w:t>.  The vehicle registration data and the driver license data serve a wide range of analytical and study purposes.  For example, these data are used in safety analyses to calculate “exposure” rate</w:t>
      </w:r>
      <w:r w:rsidR="00BD12AE">
        <w:rPr>
          <w:rFonts w:ascii="Times New Roman" w:hAnsi="Times New Roman"/>
        </w:rPr>
        <w:t>s</w:t>
      </w:r>
      <w:r w:rsidR="007B3E3C">
        <w:rPr>
          <w:rFonts w:ascii="Times New Roman" w:hAnsi="Times New Roman"/>
        </w:rPr>
        <w:t>.  Additionally, the vehicle registration data when related to travel data serves several critical purposes.  The vehicle-miles of travel data, which represent annual travel on the Nation's highways, serve as the basis for FHWA estimation of annual travel (use) by truck type and for highway allocation among the various vehicle classes.  Travel by all vehicles and heavy truck travel is used in the development of accident statistic</w:t>
      </w:r>
      <w:r w:rsidR="00BD12AE">
        <w:rPr>
          <w:rFonts w:ascii="Times New Roman" w:hAnsi="Times New Roman"/>
        </w:rPr>
        <w:t>s</w:t>
      </w:r>
      <w:r w:rsidR="007B3E3C">
        <w:rPr>
          <w:rFonts w:ascii="Times New Roman" w:hAnsi="Times New Roman"/>
        </w:rPr>
        <w:t>.  Estimates of travel by vehicle type and vehicular weight are also the basis for the estimation of pavement loadings (equivalent axle loadings) and are the fundamental input to pavement design, pavement management and administration of vehicular weight enforcement laws.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One important use of the highway finance data is for the preparation of the legislatively mandated biennial report to Congress, </w:t>
      </w:r>
      <w:r>
        <w:rPr>
          <w:rFonts w:ascii="Times New Roman" w:hAnsi="Times New Roman"/>
          <w:i/>
          <w:iCs/>
        </w:rPr>
        <w:t>Status of the Nation's Surface Transportation System:  Condition and Performance</w:t>
      </w:r>
      <w:r>
        <w:rPr>
          <w:rFonts w:ascii="Times New Roman" w:hAnsi="Times New Roman"/>
        </w:rPr>
        <w:t xml:space="preserve">.   This report to Congress from the DOT Secretary includes information on highway performance, condition, and needs.  Data collected under the </w:t>
      </w:r>
      <w:r w:rsidRPr="00F368D3">
        <w:rPr>
          <w:rFonts w:ascii="Times New Roman" w:hAnsi="Times New Roman"/>
          <w:i/>
        </w:rPr>
        <w:t>Guide</w:t>
      </w:r>
      <w:r>
        <w:rPr>
          <w:rFonts w:ascii="Times New Roman" w:hAnsi="Times New Roman"/>
        </w:rPr>
        <w:t xml:space="preserve"> are used in developing the finance portion of this report, which includes a detailed analysis of </w:t>
      </w:r>
      <w:r>
        <w:rPr>
          <w:rFonts w:ascii="Times New Roman" w:hAnsi="Times New Roman"/>
        </w:rPr>
        <w:lastRenderedPageBreak/>
        <w:t>highway revenue and disbursement trends by jurisdiction, an examination of the effects of inflation on the highway dollar, trends in road-user versus nonuser revenue by jurisdiction, and a graphic description of intergovernmental transfers of highway revenue.  This information is also used extensively to project State and local investment in future highway development.</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fuel consumption data collected under the </w:t>
      </w:r>
      <w:r w:rsidRPr="00F368D3">
        <w:rPr>
          <w:rFonts w:ascii="Times New Roman" w:hAnsi="Times New Roman"/>
          <w:i/>
        </w:rPr>
        <w:t>Guide</w:t>
      </w:r>
      <w:r>
        <w:rPr>
          <w:rFonts w:ascii="Times New Roman" w:hAnsi="Times New Roman"/>
        </w:rPr>
        <w:t xml:space="preserve"> are widely considered to be the most complete and accurate information on gasoline </w:t>
      </w:r>
      <w:r w:rsidR="007B7DAB">
        <w:rPr>
          <w:rFonts w:ascii="Times New Roman" w:hAnsi="Times New Roman"/>
        </w:rPr>
        <w:t xml:space="preserve">consumption and </w:t>
      </w:r>
      <w:r>
        <w:rPr>
          <w:rFonts w:ascii="Times New Roman" w:hAnsi="Times New Roman"/>
        </w:rPr>
        <w:t xml:space="preserve">usage available from any source.  FHWA, the Department of Energy (DOE), and other Federal agencies </w:t>
      </w:r>
      <w:r w:rsidR="007B7DAB">
        <w:rPr>
          <w:rFonts w:ascii="Times New Roman" w:hAnsi="Times New Roman"/>
        </w:rPr>
        <w:t xml:space="preserve">use these data </w:t>
      </w:r>
      <w:r w:rsidR="007B7DAB" w:rsidRPr="007B7DAB">
        <w:rPr>
          <w:rFonts w:ascii="Times New Roman" w:hAnsi="Times New Roman"/>
        </w:rPr>
        <w:t xml:space="preserve">extensively </w:t>
      </w:r>
      <w:r>
        <w:rPr>
          <w:rFonts w:ascii="Times New Roman" w:hAnsi="Times New Roman"/>
        </w:rPr>
        <w:t>to monitor the demand for petroleum products and the sector distribution of that demand.  Fuel use is of interest not only in terms of gallons consumed, but also in terms of the revenues generated by the taxes on the fuel.  The taxes on motor fuel at both the Federal and State levels are a primary source of highway funds.  Currently, Federal and State highway-user taxes fund about 50 percent of the highway program.  Motor-fuel taxes account for more than half of the highway user taxes.  Fuel consumption is also used as an indicator of the amount of highway travel.</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hanging="450"/>
        <w:rPr>
          <w:rFonts w:ascii="Times New Roman" w:hAnsi="Times New Roman"/>
          <w:b/>
          <w:bCs/>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hanging="450"/>
        <w:rPr>
          <w:rFonts w:ascii="Times New Roman" w:hAnsi="Times New Roman"/>
        </w:rPr>
      </w:pPr>
      <w:r>
        <w:rPr>
          <w:rFonts w:ascii="Times New Roman" w:hAnsi="Times New Roman"/>
          <w:b/>
          <w:bCs/>
        </w:rPr>
        <w:t>3.</w:t>
      </w:r>
      <w:r>
        <w:rPr>
          <w:rFonts w:ascii="Times New Roman" w:hAnsi="Times New Roman"/>
          <w:b/>
          <w:bCs/>
        </w:rPr>
        <w:tab/>
      </w:r>
      <w:r>
        <w:rPr>
          <w:rFonts w:ascii="Times New Roman" w:hAnsi="Times New Roman"/>
          <w:b/>
          <w:bCs/>
          <w:u w:val="single"/>
        </w:rPr>
        <w:t>Extent of automated information collection</w:t>
      </w:r>
      <w:r>
        <w:rPr>
          <w:rFonts w:ascii="Times New Roman" w:hAnsi="Times New Roman"/>
        </w:rPr>
        <w:t>.</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69453E"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FHWA ha</w:t>
      </w:r>
      <w:r w:rsidR="00E25A7D">
        <w:rPr>
          <w:rFonts w:ascii="Times New Roman" w:hAnsi="Times New Roman"/>
        </w:rPr>
        <w:t>s</w:t>
      </w:r>
      <w:r>
        <w:rPr>
          <w:rFonts w:ascii="Times New Roman" w:hAnsi="Times New Roman"/>
        </w:rPr>
        <w:t xml:space="preserve"> developed and implemented a FUEL</w:t>
      </w:r>
      <w:r w:rsidR="00E25A7D">
        <w:rPr>
          <w:rFonts w:ascii="Times New Roman" w:hAnsi="Times New Roman"/>
        </w:rPr>
        <w:t>S</w:t>
      </w:r>
      <w:r>
        <w:rPr>
          <w:rFonts w:ascii="Times New Roman" w:hAnsi="Times New Roman"/>
        </w:rPr>
        <w:t xml:space="preserve"> and FASH (Financial Analysis </w:t>
      </w:r>
      <w:r w:rsidR="00E25A7D">
        <w:rPr>
          <w:rFonts w:ascii="Times New Roman" w:hAnsi="Times New Roman"/>
        </w:rPr>
        <w:t>S</w:t>
      </w:r>
      <w:r>
        <w:rPr>
          <w:rFonts w:ascii="Times New Roman" w:hAnsi="Times New Roman"/>
        </w:rPr>
        <w:t>ystem—Highways), a motor fuels and highway finance data processing system.  This system allow</w:t>
      </w:r>
      <w:r w:rsidR="0069453E">
        <w:rPr>
          <w:rFonts w:ascii="Times New Roman" w:hAnsi="Times New Roman"/>
        </w:rPr>
        <w:t>s</w:t>
      </w:r>
      <w:r>
        <w:rPr>
          <w:rFonts w:ascii="Times New Roman" w:hAnsi="Times New Roman"/>
        </w:rPr>
        <w:t xml:space="preserve"> the State Departments of Transportation to </w:t>
      </w:r>
      <w:r w:rsidR="0069453E">
        <w:rPr>
          <w:rFonts w:ascii="Times New Roman" w:hAnsi="Times New Roman"/>
        </w:rPr>
        <w:t>process and</w:t>
      </w:r>
      <w:r>
        <w:rPr>
          <w:rFonts w:ascii="Times New Roman" w:hAnsi="Times New Roman"/>
        </w:rPr>
        <w:t xml:space="preserve"> report motor fuel and highway finance data to an </w:t>
      </w:r>
      <w:r w:rsidR="0069453E">
        <w:rPr>
          <w:rFonts w:ascii="Times New Roman" w:hAnsi="Times New Roman"/>
        </w:rPr>
        <w:t xml:space="preserve">internal FHWA database with </w:t>
      </w:r>
      <w:r>
        <w:rPr>
          <w:rFonts w:ascii="Times New Roman" w:hAnsi="Times New Roman"/>
        </w:rPr>
        <w:t>automatic validat</w:t>
      </w:r>
      <w:r w:rsidR="0069453E">
        <w:rPr>
          <w:rFonts w:ascii="Times New Roman" w:hAnsi="Times New Roman"/>
        </w:rPr>
        <w:t>ion and checking procedures</w:t>
      </w:r>
      <w:r>
        <w:rPr>
          <w:rFonts w:ascii="Times New Roman" w:hAnsi="Times New Roman"/>
        </w:rPr>
        <w:t xml:space="preserve">.  </w:t>
      </w:r>
      <w:r w:rsidR="0069453E">
        <w:rPr>
          <w:rFonts w:ascii="Times New Roman" w:hAnsi="Times New Roman"/>
        </w:rPr>
        <w:t>T</w:t>
      </w:r>
      <w:r>
        <w:rPr>
          <w:rFonts w:ascii="Times New Roman" w:hAnsi="Times New Roman"/>
        </w:rPr>
        <w:t xml:space="preserve">hese tools </w:t>
      </w:r>
      <w:r w:rsidR="0069453E">
        <w:rPr>
          <w:rFonts w:ascii="Times New Roman" w:hAnsi="Times New Roman"/>
        </w:rPr>
        <w:t>have</w:t>
      </w:r>
      <w:r>
        <w:rPr>
          <w:rFonts w:ascii="Times New Roman" w:hAnsi="Times New Roman"/>
        </w:rPr>
        <w:t xml:space="preserve"> </w:t>
      </w:r>
      <w:r w:rsidR="0069453E">
        <w:rPr>
          <w:rFonts w:ascii="Times New Roman" w:hAnsi="Times New Roman"/>
        </w:rPr>
        <w:t xml:space="preserve">significantly </w:t>
      </w:r>
      <w:r>
        <w:rPr>
          <w:rFonts w:ascii="Times New Roman" w:hAnsi="Times New Roman"/>
        </w:rPr>
        <w:t>reduce</w:t>
      </w:r>
      <w:r w:rsidR="0069453E">
        <w:rPr>
          <w:rFonts w:ascii="Times New Roman" w:hAnsi="Times New Roman"/>
        </w:rPr>
        <w:t>d</w:t>
      </w:r>
      <w:r>
        <w:rPr>
          <w:rFonts w:ascii="Times New Roman" w:hAnsi="Times New Roman"/>
        </w:rPr>
        <w:t xml:space="preserve"> error</w:t>
      </w:r>
      <w:r w:rsidR="0069453E">
        <w:rPr>
          <w:rFonts w:ascii="Times New Roman" w:hAnsi="Times New Roman"/>
        </w:rPr>
        <w:t>s</w:t>
      </w:r>
      <w:r>
        <w:rPr>
          <w:rFonts w:ascii="Times New Roman" w:hAnsi="Times New Roman"/>
        </w:rPr>
        <w:t>, redundancy, and streamline</w:t>
      </w:r>
      <w:r w:rsidR="0069453E">
        <w:rPr>
          <w:rFonts w:ascii="Times New Roman" w:hAnsi="Times New Roman"/>
        </w:rPr>
        <w:t xml:space="preserve">d State data reporting.  Much </w:t>
      </w:r>
      <w:r>
        <w:rPr>
          <w:rFonts w:ascii="Times New Roman" w:hAnsi="Times New Roman"/>
        </w:rPr>
        <w:t xml:space="preserve">of the information collected under </w:t>
      </w:r>
      <w:r w:rsidRPr="00F368D3">
        <w:rPr>
          <w:rFonts w:ascii="Times New Roman" w:hAnsi="Times New Roman"/>
          <w:i/>
        </w:rPr>
        <w:t>Guide</w:t>
      </w:r>
      <w:r>
        <w:rPr>
          <w:rFonts w:ascii="Times New Roman" w:hAnsi="Times New Roman"/>
        </w:rPr>
        <w:t xml:space="preserve"> instructions consists of year-end summaries drawn from automated records of various State agencies.  </w:t>
      </w:r>
    </w:p>
    <w:p w:rsidR="0069453E" w:rsidRDefault="0069453E">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Provisions have been made to allow transmittal to the FHWA of many forms required in the </w:t>
      </w:r>
      <w:r w:rsidRPr="00F368D3">
        <w:rPr>
          <w:rFonts w:ascii="Times New Roman" w:hAnsi="Times New Roman"/>
          <w:i/>
        </w:rPr>
        <w:t>Guide</w:t>
      </w:r>
      <w:r>
        <w:rPr>
          <w:rFonts w:ascii="Times New Roman" w:hAnsi="Times New Roman"/>
        </w:rPr>
        <w:t xml:space="preserve"> via more secure environment called </w:t>
      </w:r>
      <w:r w:rsidR="0069453E">
        <w:rPr>
          <w:rFonts w:ascii="Times New Roman" w:hAnsi="Times New Roman"/>
        </w:rPr>
        <w:t>the User Profile and Access Control System (</w:t>
      </w:r>
      <w:r>
        <w:rPr>
          <w:rFonts w:ascii="Times New Roman" w:hAnsi="Times New Roman"/>
        </w:rPr>
        <w:t>UPACS</w:t>
      </w:r>
      <w:r w:rsidR="0069453E">
        <w:rPr>
          <w:rFonts w:ascii="Times New Roman" w:hAnsi="Times New Roman"/>
        </w:rPr>
        <w:t>)</w:t>
      </w:r>
      <w:r>
        <w:rPr>
          <w:rFonts w:ascii="Times New Roman" w:hAnsi="Times New Roman"/>
        </w:rPr>
        <w:t xml:space="preserve">.  Each </w:t>
      </w:r>
      <w:r w:rsidR="00C15A69">
        <w:rPr>
          <w:rFonts w:ascii="Times New Roman" w:hAnsi="Times New Roman"/>
        </w:rPr>
        <w:t>State data provider uses th</w:t>
      </w:r>
      <w:r>
        <w:rPr>
          <w:rFonts w:ascii="Times New Roman" w:hAnsi="Times New Roman"/>
        </w:rPr>
        <w:t xml:space="preserve">e web-enabled system </w:t>
      </w:r>
      <w:r w:rsidR="00C15A69">
        <w:rPr>
          <w:rFonts w:ascii="Times New Roman" w:hAnsi="Times New Roman"/>
        </w:rPr>
        <w:t>with</w:t>
      </w:r>
      <w:r>
        <w:rPr>
          <w:rFonts w:ascii="Times New Roman" w:hAnsi="Times New Roman"/>
        </w:rPr>
        <w:t xml:space="preserve"> a unique UPACS identification number </w:t>
      </w:r>
      <w:r w:rsidR="000E4CF6">
        <w:rPr>
          <w:rFonts w:ascii="Times New Roman" w:hAnsi="Times New Roman"/>
        </w:rPr>
        <w:t>and</w:t>
      </w:r>
      <w:r>
        <w:rPr>
          <w:rFonts w:ascii="Times New Roman" w:hAnsi="Times New Roman"/>
        </w:rPr>
        <w:t xml:space="preserve"> password.  The creation of </w:t>
      </w:r>
      <w:r w:rsidR="00C15A69">
        <w:rPr>
          <w:rFonts w:ascii="Times New Roman" w:hAnsi="Times New Roman"/>
        </w:rPr>
        <w:t>u</w:t>
      </w:r>
      <w:r>
        <w:rPr>
          <w:rFonts w:ascii="Times New Roman" w:hAnsi="Times New Roman"/>
        </w:rPr>
        <w:t xml:space="preserve">ser </w:t>
      </w:r>
      <w:r w:rsidR="00C15A69">
        <w:rPr>
          <w:rFonts w:ascii="Times New Roman" w:hAnsi="Times New Roman"/>
        </w:rPr>
        <w:t>identifications</w:t>
      </w:r>
      <w:r>
        <w:rPr>
          <w:rFonts w:ascii="Times New Roman" w:hAnsi="Times New Roman"/>
        </w:rPr>
        <w:t xml:space="preserve"> </w:t>
      </w:r>
      <w:r w:rsidR="00C15A69">
        <w:rPr>
          <w:rFonts w:ascii="Times New Roman" w:hAnsi="Times New Roman"/>
        </w:rPr>
        <w:t>and p</w:t>
      </w:r>
      <w:r>
        <w:rPr>
          <w:rFonts w:ascii="Times New Roman" w:hAnsi="Times New Roman"/>
        </w:rPr>
        <w:t xml:space="preserve">asswords follow common UPACS rules and protocols.  These procedures have been implemented </w:t>
      </w:r>
      <w:r w:rsidR="00C15A69">
        <w:rPr>
          <w:rFonts w:ascii="Times New Roman" w:hAnsi="Times New Roman"/>
        </w:rPr>
        <w:t>by all</w:t>
      </w:r>
      <w:r>
        <w:rPr>
          <w:rFonts w:ascii="Times New Roman" w:hAnsi="Times New Roman"/>
        </w:rPr>
        <w:t xml:space="preserve"> States</w:t>
      </w:r>
      <w:r w:rsidR="00C15A69">
        <w:rPr>
          <w:rFonts w:ascii="Times New Roman" w:hAnsi="Times New Roman"/>
        </w:rPr>
        <w:t>,</w:t>
      </w:r>
      <w:r>
        <w:rPr>
          <w:rFonts w:ascii="Times New Roman" w:hAnsi="Times New Roman"/>
        </w:rPr>
        <w:t xml:space="preserve"> and ensure</w:t>
      </w:r>
      <w:r w:rsidR="00755DB7">
        <w:rPr>
          <w:rFonts w:ascii="Times New Roman" w:hAnsi="Times New Roman"/>
        </w:rPr>
        <w:t xml:space="preserve"> </w:t>
      </w:r>
      <w:r>
        <w:rPr>
          <w:rFonts w:ascii="Times New Roman" w:hAnsi="Times New Roman"/>
        </w:rPr>
        <w:t>data security</w:t>
      </w:r>
      <w:r w:rsidR="00C15A69">
        <w:rPr>
          <w:rFonts w:ascii="Times New Roman" w:hAnsi="Times New Roman"/>
        </w:rPr>
        <w:t>.  A</w:t>
      </w:r>
      <w:r>
        <w:rPr>
          <w:rFonts w:ascii="Times New Roman" w:hAnsi="Times New Roman"/>
        </w:rPr>
        <w:t xml:space="preserve">s part of an overall </w:t>
      </w:r>
      <w:r w:rsidR="00C15A69">
        <w:rPr>
          <w:rFonts w:ascii="Times New Roman" w:hAnsi="Times New Roman"/>
        </w:rPr>
        <w:t>d</w:t>
      </w:r>
      <w:r>
        <w:rPr>
          <w:rFonts w:ascii="Times New Roman" w:hAnsi="Times New Roman"/>
        </w:rPr>
        <w:t xml:space="preserve">ata </w:t>
      </w:r>
      <w:r w:rsidR="00C15A69">
        <w:rPr>
          <w:rFonts w:ascii="Times New Roman" w:hAnsi="Times New Roman"/>
        </w:rPr>
        <w:t>q</w:t>
      </w:r>
      <w:r>
        <w:rPr>
          <w:rFonts w:ascii="Times New Roman" w:hAnsi="Times New Roman"/>
        </w:rPr>
        <w:t>uality effort, modern software technology will continue to be introduced to replace obsolete data collection methods</w:t>
      </w:r>
      <w:r w:rsidR="00643C7B">
        <w:rPr>
          <w:rFonts w:ascii="Times New Roman" w:hAnsi="Times New Roman"/>
        </w:rPr>
        <w:t xml:space="preserve"> as funding permits</w:t>
      </w:r>
      <w:r>
        <w:rPr>
          <w:rFonts w:ascii="Times New Roman" w:hAnsi="Times New Roman"/>
        </w:rPr>
        <w:t>.</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hanging="450"/>
        <w:rPr>
          <w:rFonts w:ascii="Times New Roman" w:hAnsi="Times New Roman"/>
          <w:u w:val="single"/>
        </w:rPr>
      </w:pPr>
      <w:r>
        <w:rPr>
          <w:rFonts w:ascii="Times New Roman" w:hAnsi="Times New Roman"/>
          <w:b/>
          <w:bCs/>
        </w:rPr>
        <w:t>4.</w:t>
      </w:r>
      <w:r>
        <w:rPr>
          <w:rFonts w:ascii="Times New Roman" w:hAnsi="Times New Roman"/>
          <w:b/>
          <w:bCs/>
        </w:rPr>
        <w:tab/>
      </w:r>
      <w:r>
        <w:rPr>
          <w:rFonts w:ascii="Times New Roman" w:hAnsi="Times New Roman"/>
          <w:b/>
          <w:bCs/>
          <w:u w:val="single"/>
        </w:rPr>
        <w:t>Describe efforts to identify duplication</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Continuous coordination with other Federal, State, and industry data collectors has ensured that needless duplication does not occur.</w:t>
      </w:r>
      <w:r w:rsidR="00755DB7">
        <w:rPr>
          <w:rFonts w:ascii="Times New Roman" w:hAnsi="Times New Roman"/>
        </w:rPr>
        <w:t xml:space="preserve">  As noted above, the FUELS and FASH software application was designed to reduce internal data duplication.</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hanging="450"/>
        <w:rPr>
          <w:rFonts w:ascii="Times New Roman" w:hAnsi="Times New Roman"/>
        </w:rPr>
      </w:pPr>
      <w:r>
        <w:rPr>
          <w:rFonts w:ascii="Times New Roman" w:hAnsi="Times New Roman"/>
          <w:b/>
          <w:bCs/>
        </w:rPr>
        <w:t>5.</w:t>
      </w:r>
      <w:r>
        <w:rPr>
          <w:rFonts w:ascii="Times New Roman" w:hAnsi="Times New Roman"/>
          <w:b/>
          <w:bCs/>
        </w:rPr>
        <w:tab/>
      </w:r>
      <w:r>
        <w:rPr>
          <w:rFonts w:ascii="Times New Roman" w:hAnsi="Times New Roman"/>
          <w:b/>
          <w:bCs/>
          <w:u w:val="single"/>
        </w:rPr>
        <w:t>Efforts to minimize the burden on small businesses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This information collection does not impose a burden on small businesses.  All respondents are State or local government agencies.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hanging="450"/>
        <w:rPr>
          <w:rFonts w:ascii="Times New Roman" w:hAnsi="Times New Roman"/>
        </w:rPr>
      </w:pPr>
      <w:r>
        <w:rPr>
          <w:rFonts w:ascii="Times New Roman" w:hAnsi="Times New Roman"/>
          <w:b/>
          <w:bCs/>
        </w:rPr>
        <w:t>6.</w:t>
      </w:r>
      <w:r>
        <w:rPr>
          <w:rFonts w:ascii="Times New Roman" w:hAnsi="Times New Roman"/>
          <w:b/>
          <w:bCs/>
        </w:rPr>
        <w:tab/>
      </w:r>
      <w:r>
        <w:rPr>
          <w:rFonts w:ascii="Times New Roman" w:hAnsi="Times New Roman"/>
          <w:b/>
          <w:bCs/>
          <w:u w:val="single"/>
        </w:rPr>
        <w:t>Impact of less frequent collection of information</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142FB8"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It is essential that the </w:t>
      </w:r>
      <w:r w:rsidRPr="00F368D3">
        <w:rPr>
          <w:rFonts w:ascii="Times New Roman" w:hAnsi="Times New Roman"/>
          <w:i/>
        </w:rPr>
        <w:t>Guide</w:t>
      </w:r>
      <w:r>
        <w:rPr>
          <w:rFonts w:ascii="Times New Roman" w:hAnsi="Times New Roman"/>
        </w:rPr>
        <w:t xml:space="preserve"> data continue to be collected on an annual basis rather than less frequently.  The annual collection of data is required to facilitate the FHWA’s continuous addressing of highway program issues. Without the annual reports included in this </w:t>
      </w:r>
      <w:r w:rsidRPr="00F368D3">
        <w:rPr>
          <w:rFonts w:ascii="Times New Roman" w:hAnsi="Times New Roman"/>
          <w:i/>
        </w:rPr>
        <w:t>Guide</w:t>
      </w:r>
      <w:r>
        <w:rPr>
          <w:rFonts w:ascii="Times New Roman" w:hAnsi="Times New Roman"/>
        </w:rPr>
        <w:t>, FHWA would be unable to adequately monitor and evaluat</w:t>
      </w:r>
      <w:r w:rsidR="00755DB7">
        <w:rPr>
          <w:rFonts w:ascii="Times New Roman" w:hAnsi="Times New Roman"/>
        </w:rPr>
        <w:t xml:space="preserve">e the implementation of the </w:t>
      </w:r>
      <w:r w:rsidR="00425BB5">
        <w:rPr>
          <w:rFonts w:ascii="Times New Roman" w:hAnsi="Times New Roman"/>
        </w:rPr>
        <w:t>MAP-21</w:t>
      </w:r>
      <w:r>
        <w:rPr>
          <w:rFonts w:ascii="Times New Roman" w:hAnsi="Times New Roman"/>
        </w:rPr>
        <w:t xml:space="preserve"> legislation, or to analyze the likely effects of changes in the program for future legislative cycles.  Many of the variables affecting the success of the program are</w:t>
      </w:r>
      <w:r w:rsidR="00755DB7">
        <w:rPr>
          <w:rFonts w:ascii="Times New Roman" w:hAnsi="Times New Roman"/>
        </w:rPr>
        <w:t xml:space="preserve"> determined</w:t>
      </w:r>
      <w:r>
        <w:rPr>
          <w:rFonts w:ascii="Times New Roman" w:hAnsi="Times New Roman"/>
        </w:rPr>
        <w:t xml:space="preserve"> at the State level.  </w:t>
      </w:r>
      <w:r w:rsidR="00353733">
        <w:rPr>
          <w:rFonts w:ascii="Times New Roman" w:hAnsi="Times New Roman"/>
        </w:rPr>
        <w:t xml:space="preserve">Highway </w:t>
      </w:r>
      <w:r w:rsidR="00994AD1">
        <w:rPr>
          <w:rFonts w:ascii="Times New Roman" w:hAnsi="Times New Roman"/>
        </w:rPr>
        <w:t>conditions,</w:t>
      </w:r>
      <w:r w:rsidR="00353733">
        <w:rPr>
          <w:rFonts w:ascii="Times New Roman" w:hAnsi="Times New Roman"/>
        </w:rPr>
        <w:t xml:space="preserve"> travel, and many other highway use and performance indicators and statistics are constantly changing.  </w:t>
      </w:r>
      <w:r>
        <w:rPr>
          <w:rFonts w:ascii="Times New Roman" w:hAnsi="Times New Roman"/>
        </w:rPr>
        <w:t xml:space="preserve">The area of State highway finance is especially volatile as many States seek to address transportation needs and experiment with innovative means of financing their highway programs. </w:t>
      </w:r>
      <w:r w:rsidR="00142FB8">
        <w:rPr>
          <w:rFonts w:ascii="Times New Roman" w:hAnsi="Times New Roman"/>
        </w:rPr>
        <w:t xml:space="preserve"> </w:t>
      </w:r>
      <w:r>
        <w:rPr>
          <w:rFonts w:ascii="Times New Roman" w:hAnsi="Times New Roman"/>
        </w:rPr>
        <w:t xml:space="preserve">Trends in State and local highway finance are critical since they determine the availability of matching funds for Federal dollars and the priorities (within the limits of the Federal program) for highway expenditures.  </w:t>
      </w:r>
    </w:p>
    <w:p w:rsidR="00142FB8" w:rsidRDefault="00142FB8">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DB194E" w:rsidRDefault="00DB194E">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Only the motor fuel volume data is collected on a monthly basis.  This is necessary for several reasons:</w:t>
      </w:r>
    </w:p>
    <w:p w:rsidR="00DB194E" w:rsidRDefault="00DB194E" w:rsidP="00DB194E">
      <w:pPr>
        <w:numPr>
          <w:ilvl w:val="0"/>
          <w:numId w:val="4"/>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Quick turnaround times for this data are essential for up-to-date analysis of changes in the economy.  It is very useful for noting turning points in the business cycle</w:t>
      </w:r>
      <w:r w:rsidR="00353733">
        <w:rPr>
          <w:rFonts w:ascii="Times New Roman" w:hAnsi="Times New Roman"/>
        </w:rPr>
        <w:t xml:space="preserve"> or in times of fuel shortages</w:t>
      </w:r>
      <w:r>
        <w:rPr>
          <w:rFonts w:ascii="Times New Roman" w:hAnsi="Times New Roman"/>
        </w:rPr>
        <w:t>.</w:t>
      </w:r>
      <w:r w:rsidR="00353733">
        <w:rPr>
          <w:rFonts w:ascii="Times New Roman" w:hAnsi="Times New Roman"/>
        </w:rPr>
        <w:t xml:space="preserve"> </w:t>
      </w:r>
      <w:r w:rsidR="00353733" w:rsidRPr="00353733">
        <w:rPr>
          <w:rFonts w:ascii="Times New Roman" w:hAnsi="Times New Roman"/>
        </w:rPr>
        <w:t xml:space="preserve"> </w:t>
      </w:r>
      <w:r w:rsidR="00353733">
        <w:rPr>
          <w:rFonts w:ascii="Times New Roman" w:hAnsi="Times New Roman"/>
        </w:rPr>
        <w:t>Form FHWA-551M was developed to include the information needed by the Departments of Energy and Transportation to respond to such situations.  Experience with previous fuel shortages proved that a workable reporting system must be in place before the data are needed in order to be helpful.</w:t>
      </w:r>
    </w:p>
    <w:p w:rsidR="00DB194E" w:rsidRDefault="00DB194E" w:rsidP="00DB194E">
      <w:pPr>
        <w:numPr>
          <w:ilvl w:val="0"/>
          <w:numId w:val="4"/>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Improves FHWA’s ability to develop </w:t>
      </w:r>
      <w:r w:rsidR="00994AD1">
        <w:rPr>
          <w:rFonts w:ascii="Times New Roman" w:hAnsi="Times New Roman"/>
        </w:rPr>
        <w:t>short-term</w:t>
      </w:r>
      <w:r>
        <w:rPr>
          <w:rFonts w:ascii="Times New Roman" w:hAnsi="Times New Roman"/>
        </w:rPr>
        <w:t xml:space="preserve"> forecasts of revenue int</w:t>
      </w:r>
      <w:r w:rsidR="00994AD1">
        <w:rPr>
          <w:rFonts w:ascii="Times New Roman" w:hAnsi="Times New Roman"/>
        </w:rPr>
        <w:t>o the Highway Trust Fund (HTF)</w:t>
      </w:r>
    </w:p>
    <w:p w:rsidR="00DB194E" w:rsidRDefault="00DB194E" w:rsidP="00DB194E">
      <w:pPr>
        <w:numPr>
          <w:ilvl w:val="0"/>
          <w:numId w:val="4"/>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Provides FHWA with the </w:t>
      </w:r>
      <w:r w:rsidR="00353733">
        <w:rPr>
          <w:rFonts w:ascii="Times New Roman" w:hAnsi="Times New Roman"/>
        </w:rPr>
        <w:t>ability</w:t>
      </w:r>
      <w:r>
        <w:rPr>
          <w:rFonts w:ascii="Times New Roman" w:hAnsi="Times New Roman"/>
        </w:rPr>
        <w:t xml:space="preserve"> to double</w:t>
      </w:r>
      <w:r w:rsidR="00353733">
        <w:rPr>
          <w:rFonts w:ascii="Times New Roman" w:hAnsi="Times New Roman"/>
        </w:rPr>
        <w:t>-</w:t>
      </w:r>
      <w:r>
        <w:rPr>
          <w:rFonts w:ascii="Times New Roman" w:hAnsi="Times New Roman"/>
        </w:rPr>
        <w:t xml:space="preserve">check </w:t>
      </w:r>
      <w:r w:rsidR="00353733">
        <w:rPr>
          <w:rFonts w:ascii="Times New Roman" w:hAnsi="Times New Roman"/>
        </w:rPr>
        <w:t>Department</w:t>
      </w:r>
      <w:r>
        <w:rPr>
          <w:rFonts w:ascii="Times New Roman" w:hAnsi="Times New Roman"/>
        </w:rPr>
        <w:t xml:space="preserve"> of Treasury reporting of funds pla</w:t>
      </w:r>
      <w:r w:rsidR="00353733">
        <w:rPr>
          <w:rFonts w:ascii="Times New Roman" w:hAnsi="Times New Roman"/>
        </w:rPr>
        <w:t>c</w:t>
      </w:r>
      <w:r w:rsidR="00994AD1">
        <w:rPr>
          <w:rFonts w:ascii="Times New Roman" w:hAnsi="Times New Roman"/>
        </w:rPr>
        <w:t>ed in the HTF</w:t>
      </w:r>
    </w:p>
    <w:p w:rsidR="00353733" w:rsidRDefault="00353733" w:rsidP="00DB194E">
      <w:pPr>
        <w:numPr>
          <w:ilvl w:val="0"/>
          <w:numId w:val="4"/>
        </w:num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Provides FHWA with the ability to double-check reporting of State revenue derived </w:t>
      </w:r>
      <w:r w:rsidR="00994AD1">
        <w:rPr>
          <w:rFonts w:ascii="Times New Roman" w:hAnsi="Times New Roman"/>
        </w:rPr>
        <w:t>from the State-level fuel taxes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Consequently, it is imperative that we continually monitor changes in </w:t>
      </w:r>
      <w:r w:rsidR="00353733">
        <w:rPr>
          <w:rFonts w:ascii="Times New Roman" w:hAnsi="Times New Roman"/>
        </w:rPr>
        <w:t>all these data areas</w:t>
      </w:r>
      <w:r>
        <w:rPr>
          <w:rFonts w:ascii="Times New Roman" w:hAnsi="Times New Roman"/>
        </w:rPr>
        <w:t xml:space="preserve"> to determine the effectiveness of Federal-aid highway programs.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rsidP="00755DB7">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7.</w:t>
      </w:r>
      <w:r>
        <w:rPr>
          <w:rFonts w:ascii="Times New Roman" w:hAnsi="Times New Roman"/>
          <w:b/>
          <w:bCs/>
        </w:rPr>
        <w:tab/>
      </w:r>
      <w:r>
        <w:rPr>
          <w:rFonts w:ascii="Times New Roman" w:hAnsi="Times New Roman"/>
          <w:b/>
          <w:bCs/>
          <w:u w:val="single"/>
        </w:rPr>
        <w:t>Special circumstances</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There are no special circumstances related to this information collection.</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hanging="450"/>
        <w:rPr>
          <w:rFonts w:ascii="Times New Roman" w:hAnsi="Times New Roman"/>
          <w:u w:val="single"/>
        </w:rPr>
      </w:pPr>
      <w:r>
        <w:rPr>
          <w:rFonts w:ascii="Times New Roman" w:hAnsi="Times New Roman"/>
          <w:b/>
          <w:bCs/>
        </w:rPr>
        <w:t>8.</w:t>
      </w:r>
      <w:r>
        <w:rPr>
          <w:rFonts w:ascii="Times New Roman" w:hAnsi="Times New Roman"/>
          <w:b/>
          <w:bCs/>
        </w:rPr>
        <w:tab/>
      </w:r>
      <w:r>
        <w:rPr>
          <w:rFonts w:ascii="Times New Roman" w:hAnsi="Times New Roman"/>
          <w:b/>
          <w:bCs/>
          <w:u w:val="single"/>
        </w:rPr>
        <w:t>Compliance with 5 CFR 1320.8</w:t>
      </w:r>
    </w:p>
    <w:p w:rsidR="007B3E3C" w:rsidRDefault="007B3E3C">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rPr>
          <w:rFonts w:ascii="Times New Roman" w:hAnsi="Times New Roman"/>
        </w:rPr>
      </w:pPr>
    </w:p>
    <w:p w:rsidR="00630B8F" w:rsidRDefault="00D55C80" w:rsidP="001D6964">
      <w:pPr>
        <w:pStyle w:val="BodyText2"/>
      </w:pPr>
      <w:r w:rsidRPr="00F155E2">
        <w:rPr>
          <w:color w:val="auto"/>
        </w:rPr>
        <w:t xml:space="preserve">The FHWA published a 60-day Federal Register Notice on </w:t>
      </w:r>
      <w:r w:rsidR="001D6964">
        <w:rPr>
          <w:color w:val="auto"/>
        </w:rPr>
        <w:t>February 24, 2015</w:t>
      </w:r>
      <w:r w:rsidRPr="00F155E2">
        <w:rPr>
          <w:color w:val="auto"/>
        </w:rPr>
        <w:t xml:space="preserve"> (Volume </w:t>
      </w:r>
      <w:r w:rsidR="001D6964">
        <w:rPr>
          <w:color w:val="auto"/>
        </w:rPr>
        <w:t>80</w:t>
      </w:r>
      <w:r w:rsidRPr="00F155E2">
        <w:rPr>
          <w:color w:val="auto"/>
        </w:rPr>
        <w:t xml:space="preserve">, No: </w:t>
      </w:r>
      <w:r w:rsidR="001D6964">
        <w:rPr>
          <w:color w:val="auto"/>
        </w:rPr>
        <w:t>36</w:t>
      </w:r>
      <w:r w:rsidRPr="00F155E2">
        <w:rPr>
          <w:color w:val="auto"/>
        </w:rPr>
        <w:t xml:space="preserve">, page </w:t>
      </w:r>
      <w:r w:rsidR="001D6964">
        <w:rPr>
          <w:color w:val="auto"/>
        </w:rPr>
        <w:t>9848-9849</w:t>
      </w:r>
      <w:r w:rsidR="00071A02">
        <w:rPr>
          <w:color w:val="auto"/>
        </w:rPr>
        <w:t>).</w:t>
      </w:r>
      <w:r w:rsidR="007B3E3C" w:rsidRPr="00F155E2">
        <w:rPr>
          <w:color w:val="auto"/>
        </w:rPr>
        <w:t xml:space="preserve">  </w:t>
      </w:r>
      <w:r w:rsidR="001D6964">
        <w:rPr>
          <w:color w:val="auto"/>
        </w:rPr>
        <w:t>No</w:t>
      </w:r>
      <w:r w:rsidR="00F155E2" w:rsidRPr="00CD263A">
        <w:rPr>
          <w:color w:val="auto"/>
        </w:rPr>
        <w:t xml:space="preserve"> </w:t>
      </w:r>
      <w:r w:rsidR="00F155E2" w:rsidRPr="00F97D6C">
        <w:rPr>
          <w:color w:val="auto"/>
        </w:rPr>
        <w:t>response</w:t>
      </w:r>
      <w:r w:rsidR="001D6964">
        <w:rPr>
          <w:color w:val="auto"/>
        </w:rPr>
        <w:t>s</w:t>
      </w:r>
      <w:r w:rsidR="00F155E2" w:rsidRPr="00F97D6C">
        <w:rPr>
          <w:color w:val="auto"/>
        </w:rPr>
        <w:t xml:space="preserve"> to the Notice </w:t>
      </w:r>
      <w:r w:rsidR="001D6964">
        <w:rPr>
          <w:color w:val="auto"/>
        </w:rPr>
        <w:t>were</w:t>
      </w:r>
      <w:r w:rsidR="00F155E2" w:rsidRPr="00F97D6C">
        <w:rPr>
          <w:color w:val="auto"/>
        </w:rPr>
        <w:t xml:space="preserve"> received</w:t>
      </w:r>
      <w:r w:rsidR="001D6964">
        <w:rPr>
          <w:color w:val="auto"/>
        </w:rPr>
        <w:t>.</w:t>
      </w:r>
      <w:r w:rsidR="00F155E2" w:rsidRPr="00F155E2">
        <w:rPr>
          <w:color w:val="auto"/>
        </w:rPr>
        <w:t xml:space="preserve"> </w:t>
      </w:r>
    </w:p>
    <w:p w:rsidR="00630B8F" w:rsidRDefault="00630B8F" w:rsidP="00630B8F">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jc w:val="center"/>
        <w:rPr>
          <w:rFonts w:ascii="Times New Roman" w:hAnsi="Times New Roman"/>
        </w:rPr>
      </w:pPr>
      <w:r>
        <w:rPr>
          <w:rFonts w:ascii="Times New Roman" w:hAnsi="Times New Roman"/>
        </w:rPr>
        <w:br w:type="page"/>
      </w:r>
    </w:p>
    <w:p w:rsidR="00630B8F" w:rsidRDefault="00630B8F" w:rsidP="00630B8F">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jc w:val="center"/>
        <w:rPr>
          <w:rFonts w:ascii="Times New Roman" w:hAnsi="Times New Roman"/>
        </w:rPr>
      </w:pPr>
    </w:p>
    <w:p w:rsidR="00630B8F" w:rsidRDefault="00630B8F" w:rsidP="00630B8F">
      <w:pPr>
        <w:tabs>
          <w:tab w:val="left" w:pos="-1152"/>
          <w:tab w:val="left" w:pos="-720"/>
          <w:tab w:val="left" w:pos="0"/>
          <w:tab w:val="left" w:pos="450"/>
          <w:tab w:val="left" w:pos="900"/>
          <w:tab w:val="left" w:pos="1440"/>
          <w:tab w:val="left" w:pos="1800"/>
          <w:tab w:val="left" w:pos="2340"/>
          <w:tab w:val="left" w:pos="2880"/>
          <w:tab w:val="left" w:pos="3420"/>
          <w:tab w:val="left" w:pos="3960"/>
          <w:tab w:val="left" w:pos="6480"/>
        </w:tabs>
        <w:ind w:left="450"/>
        <w:rPr>
          <w:rFonts w:ascii="Times New Roman" w:hAnsi="Times New Roman"/>
          <w:b/>
          <w:bCs/>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ind w:left="360" w:hanging="360"/>
        <w:rPr>
          <w:rFonts w:ascii="Times New Roman" w:hAnsi="Times New Roman"/>
        </w:rPr>
      </w:pPr>
      <w:r>
        <w:rPr>
          <w:rFonts w:ascii="Times New Roman" w:hAnsi="Times New Roman"/>
          <w:b/>
          <w:bCs/>
        </w:rPr>
        <w:t>9</w:t>
      </w:r>
      <w:r>
        <w:rPr>
          <w:rFonts w:ascii="Times New Roman" w:hAnsi="Times New Roman"/>
        </w:rPr>
        <w:t>.</w:t>
      </w:r>
      <w:r>
        <w:rPr>
          <w:rFonts w:ascii="Times New Roman" w:hAnsi="Times New Roman"/>
        </w:rPr>
        <w:tab/>
      </w:r>
      <w:r>
        <w:rPr>
          <w:rFonts w:ascii="Times New Roman" w:hAnsi="Times New Roman"/>
          <w:b/>
          <w:bCs/>
          <w:u w:val="single"/>
        </w:rPr>
        <w:t>Payment or gifts to respondents</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A672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Provision of funds to the States to assist in the collection of the data comes</w:t>
      </w:r>
      <w:r w:rsidR="009D22C4">
        <w:rPr>
          <w:rFonts w:ascii="Times New Roman" w:hAnsi="Times New Roman"/>
        </w:rPr>
        <w:t xml:space="preserve"> under a federal highway program called State Planning and Research (SPR) Funds.  Data collection activities are one of many eligible items un</w:t>
      </w:r>
      <w:r w:rsidR="00AB37F2">
        <w:rPr>
          <w:rFonts w:ascii="Times New Roman" w:hAnsi="Times New Roman"/>
        </w:rPr>
        <w:t>der this program.  States may or</w:t>
      </w:r>
      <w:r w:rsidR="009D22C4">
        <w:rPr>
          <w:rFonts w:ascii="Times New Roman" w:hAnsi="Times New Roman"/>
        </w:rPr>
        <w:t xml:space="preserve"> may not use the funds for these purposes.  </w:t>
      </w:r>
      <w:r w:rsidR="007B3E3C">
        <w:rPr>
          <w:rFonts w:ascii="Times New Roman" w:hAnsi="Times New Roman"/>
        </w:rPr>
        <w:t xml:space="preserve">There </w:t>
      </w:r>
      <w:r w:rsidR="009D22C4">
        <w:rPr>
          <w:rFonts w:ascii="Times New Roman" w:hAnsi="Times New Roman"/>
        </w:rPr>
        <w:t>are</w:t>
      </w:r>
      <w:r w:rsidR="007B3E3C">
        <w:rPr>
          <w:rFonts w:ascii="Times New Roman" w:hAnsi="Times New Roman"/>
        </w:rPr>
        <w:t xml:space="preserve"> no gifts to the State and local government respondents.</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10.   </w:t>
      </w:r>
      <w:r>
        <w:rPr>
          <w:rFonts w:ascii="Times New Roman" w:hAnsi="Times New Roman"/>
          <w:b/>
          <w:bCs/>
          <w:u w:val="single"/>
        </w:rPr>
        <w:t>Assurance of confidentiality</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The information to be collected is not confidential in nature; there is no need for an assurance of confidentiality.</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b/>
          <w:bCs/>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11.    </w:t>
      </w:r>
      <w:r>
        <w:rPr>
          <w:rFonts w:ascii="Times New Roman" w:hAnsi="Times New Roman"/>
          <w:b/>
          <w:bCs/>
          <w:u w:val="single"/>
        </w:rPr>
        <w:t>Justification for collection of sensitive information</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line="120" w:lineRule="auto"/>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The information collected is not sensitive in nature.</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12.   </w:t>
      </w:r>
      <w:r>
        <w:rPr>
          <w:rFonts w:ascii="Times New Roman" w:hAnsi="Times New Roman"/>
          <w:b/>
          <w:bCs/>
          <w:u w:val="single"/>
        </w:rPr>
        <w:t>Estimate of burden hours for information requested</w:t>
      </w:r>
    </w:p>
    <w:p w:rsidR="007A6727" w:rsidRDefault="007A672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3060"/>
        <w:gridCol w:w="2124"/>
        <w:gridCol w:w="1584"/>
        <w:gridCol w:w="1296"/>
        <w:gridCol w:w="1296"/>
      </w:tblGrid>
      <w:tr w:rsidR="007A6727" w:rsidTr="00C0397C">
        <w:trPr>
          <w:tblHeader/>
        </w:trPr>
        <w:tc>
          <w:tcPr>
            <w:tcW w:w="3060" w:type="dxa"/>
            <w:tcBorders>
              <w:top w:val="single" w:sz="7" w:space="0" w:color="000000"/>
              <w:left w:val="single" w:sz="7" w:space="0" w:color="000000"/>
              <w:bottom w:val="single" w:sz="7" w:space="0" w:color="000000"/>
              <w:right w:val="single" w:sz="7" w:space="0" w:color="000000"/>
            </w:tcBorders>
            <w:shd w:val="pct5" w:color="000000" w:fill="FFFFFF"/>
            <w:vAlign w:val="center"/>
          </w:tcPr>
          <w:p w:rsidR="007A6727" w:rsidRDefault="007A6727" w:rsidP="00C0397C">
            <w:pPr>
              <w:spacing w:line="120" w:lineRule="exact"/>
              <w:jc w:val="center"/>
              <w:rPr>
                <w:rFonts w:ascii="Times New Roman" w:hAnsi="Times New Roman"/>
              </w:rPr>
            </w:pP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rPr>
            </w:pPr>
            <w:r>
              <w:rPr>
                <w:rFonts w:ascii="Times New Roman" w:hAnsi="Times New Roman"/>
              </w:rPr>
              <w:t>Respondent</w:t>
            </w:r>
          </w:p>
        </w:tc>
        <w:tc>
          <w:tcPr>
            <w:tcW w:w="2124" w:type="dxa"/>
            <w:tcBorders>
              <w:top w:val="single" w:sz="7" w:space="0" w:color="000000"/>
              <w:left w:val="single" w:sz="7" w:space="0" w:color="000000"/>
              <w:bottom w:val="single" w:sz="7" w:space="0" w:color="000000"/>
              <w:right w:val="single" w:sz="7" w:space="0" w:color="000000"/>
            </w:tcBorders>
            <w:shd w:val="pct5" w:color="000000" w:fill="FFFFFF"/>
            <w:vAlign w:val="center"/>
          </w:tcPr>
          <w:p w:rsidR="007A6727" w:rsidRDefault="007A6727" w:rsidP="00C0397C">
            <w:pPr>
              <w:spacing w:line="120" w:lineRule="exact"/>
              <w:jc w:val="center"/>
              <w:rPr>
                <w:rFonts w:ascii="Times New Roman" w:hAnsi="Times New Roman"/>
              </w:rPr>
            </w:pP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No. of</w:t>
            </w:r>
          </w:p>
          <w:p w:rsidR="007A6727" w:rsidRDefault="00C0397C"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rPr>
            </w:pPr>
            <w:r>
              <w:rPr>
                <w:rFonts w:ascii="Times New Roman" w:hAnsi="Times New Roman"/>
              </w:rPr>
              <w:t>Respon</w:t>
            </w:r>
            <w:r w:rsidR="007A6727">
              <w:rPr>
                <w:rFonts w:ascii="Times New Roman" w:hAnsi="Times New Roman"/>
              </w:rPr>
              <w:t>dents</w:t>
            </w:r>
          </w:p>
        </w:tc>
        <w:tc>
          <w:tcPr>
            <w:tcW w:w="1584" w:type="dxa"/>
            <w:tcBorders>
              <w:top w:val="single" w:sz="7" w:space="0" w:color="000000"/>
              <w:left w:val="single" w:sz="7" w:space="0" w:color="000000"/>
              <w:bottom w:val="single" w:sz="7" w:space="0" w:color="000000"/>
              <w:right w:val="single" w:sz="7" w:space="0" w:color="000000"/>
            </w:tcBorders>
            <w:shd w:val="pct5" w:color="000000" w:fill="FFFFFF"/>
            <w:vAlign w:val="center"/>
          </w:tcPr>
          <w:p w:rsidR="007A6727" w:rsidRDefault="007A6727" w:rsidP="00C0397C">
            <w:pPr>
              <w:spacing w:line="120" w:lineRule="exact"/>
              <w:jc w:val="center"/>
              <w:rPr>
                <w:rFonts w:ascii="Times New Roman" w:hAnsi="Times New Roman"/>
              </w:rPr>
            </w:pP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Frequency</w:t>
            </w: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rPr>
            </w:pPr>
            <w:r>
              <w:rPr>
                <w:rFonts w:ascii="Times New Roman" w:hAnsi="Times New Roman"/>
              </w:rPr>
              <w:t>of Responses</w:t>
            </w:r>
          </w:p>
        </w:tc>
        <w:tc>
          <w:tcPr>
            <w:tcW w:w="1296" w:type="dxa"/>
            <w:tcBorders>
              <w:top w:val="single" w:sz="7" w:space="0" w:color="000000"/>
              <w:left w:val="single" w:sz="7" w:space="0" w:color="000000"/>
              <w:bottom w:val="single" w:sz="7" w:space="0" w:color="000000"/>
              <w:right w:val="single" w:sz="7" w:space="0" w:color="000000"/>
            </w:tcBorders>
            <w:shd w:val="pct5" w:color="000000" w:fill="FFFFFF"/>
            <w:vAlign w:val="center"/>
          </w:tcPr>
          <w:p w:rsidR="007A6727" w:rsidRDefault="007A6727" w:rsidP="00C0397C">
            <w:pPr>
              <w:spacing w:line="120" w:lineRule="exact"/>
              <w:jc w:val="center"/>
              <w:rPr>
                <w:rFonts w:ascii="Times New Roman" w:hAnsi="Times New Roman"/>
              </w:rPr>
            </w:pP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Annual</w:t>
            </w: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Hour</w:t>
            </w: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rPr>
            </w:pPr>
            <w:r>
              <w:rPr>
                <w:rFonts w:ascii="Times New Roman" w:hAnsi="Times New Roman"/>
              </w:rPr>
              <w:t>Burden</w:t>
            </w:r>
          </w:p>
        </w:tc>
        <w:tc>
          <w:tcPr>
            <w:tcW w:w="1296" w:type="dxa"/>
            <w:tcBorders>
              <w:top w:val="single" w:sz="7" w:space="0" w:color="000000"/>
              <w:left w:val="single" w:sz="7" w:space="0" w:color="000000"/>
              <w:bottom w:val="single" w:sz="7" w:space="0" w:color="000000"/>
              <w:right w:val="single" w:sz="7" w:space="0" w:color="000000"/>
            </w:tcBorders>
            <w:shd w:val="pct5" w:color="000000" w:fill="FFFFFF"/>
            <w:vAlign w:val="center"/>
          </w:tcPr>
          <w:p w:rsidR="007A6727" w:rsidRDefault="007A6727" w:rsidP="00C0397C">
            <w:pPr>
              <w:spacing w:line="120" w:lineRule="exact"/>
              <w:jc w:val="center"/>
              <w:rPr>
                <w:rFonts w:ascii="Times New Roman" w:hAnsi="Times New Roman"/>
              </w:rPr>
            </w:pP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Total Annual</w:t>
            </w:r>
          </w:p>
          <w:p w:rsidR="007A6727" w:rsidRDefault="007A6727" w:rsidP="00C0397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rPr>
            </w:pPr>
            <w:r>
              <w:rPr>
                <w:rFonts w:ascii="Times New Roman" w:hAnsi="Times New Roman"/>
              </w:rPr>
              <w:t>Hour Burden</w:t>
            </w:r>
          </w:p>
        </w:tc>
      </w:tr>
      <w:tr w:rsidR="007A6727" w:rsidTr="00A70CB3">
        <w:tc>
          <w:tcPr>
            <w:tcW w:w="3060" w:type="dxa"/>
            <w:tcBorders>
              <w:top w:val="single" w:sz="7" w:space="0" w:color="000000"/>
              <w:left w:val="single" w:sz="7" w:space="0" w:color="000000"/>
              <w:bottom w:val="single" w:sz="7" w:space="0" w:color="000000"/>
              <w:right w:val="single" w:sz="7" w:space="0" w:color="000000"/>
            </w:tcBorders>
          </w:tcPr>
          <w:p w:rsidR="007A6727" w:rsidRPr="00A70CB3" w:rsidRDefault="007A6727"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sidRPr="00A70CB3">
              <w:rPr>
                <w:rFonts w:ascii="Times New Roman" w:hAnsi="Times New Roman"/>
              </w:rPr>
              <w:t>State Agencies, District of Columbia, Puerto Rico, Guam, American Samoa, the Northern Marianas, and the US Virgin Islands</w:t>
            </w:r>
          </w:p>
          <w:p w:rsidR="00A70CB3" w:rsidRPr="00A70CB3" w:rsidRDefault="00A70CB3"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1203BE" w:rsidRDefault="001203BE" w:rsidP="00521389">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bookmarkStart w:id="0" w:name="_GoBack"/>
            <w:bookmarkEnd w:id="0"/>
          </w:p>
        </w:tc>
        <w:tc>
          <w:tcPr>
            <w:tcW w:w="2124" w:type="dxa"/>
            <w:tcBorders>
              <w:top w:val="single" w:sz="7" w:space="0" w:color="000000"/>
              <w:left w:val="single" w:sz="7" w:space="0" w:color="000000"/>
              <w:bottom w:val="single" w:sz="7" w:space="0" w:color="000000"/>
              <w:right w:val="single" w:sz="7" w:space="0" w:color="000000"/>
            </w:tcBorders>
          </w:tcPr>
          <w:p w:rsidR="00A70CB3" w:rsidRDefault="00A70CB3"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7A6727" w:rsidRDefault="007A6727"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56</w:t>
            </w:r>
          </w:p>
          <w:p w:rsidR="00A70CB3" w:rsidRDefault="00A70CB3"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A70CB3" w:rsidRDefault="00A70CB3"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A70CB3" w:rsidRDefault="00A70CB3"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A70CB3" w:rsidRDefault="00A70CB3" w:rsidP="00A70CB3">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rPr>
            </w:pPr>
          </w:p>
        </w:tc>
        <w:tc>
          <w:tcPr>
            <w:tcW w:w="1584" w:type="dxa"/>
            <w:tcBorders>
              <w:top w:val="single" w:sz="7" w:space="0" w:color="000000"/>
              <w:left w:val="single" w:sz="7" w:space="0" w:color="000000"/>
              <w:bottom w:val="single" w:sz="7" w:space="0" w:color="000000"/>
              <w:right w:val="single" w:sz="7" w:space="0" w:color="000000"/>
            </w:tcBorders>
          </w:tcPr>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7A6727" w:rsidRDefault="007A6727"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Annually</w:t>
            </w: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tc>
        <w:tc>
          <w:tcPr>
            <w:tcW w:w="1296" w:type="dxa"/>
            <w:tcBorders>
              <w:top w:val="single" w:sz="7" w:space="0" w:color="000000"/>
              <w:left w:val="single" w:sz="7" w:space="0" w:color="000000"/>
              <w:bottom w:val="single" w:sz="7" w:space="0" w:color="000000"/>
              <w:right w:val="single" w:sz="7" w:space="0" w:color="000000"/>
            </w:tcBorders>
          </w:tcPr>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7A6727" w:rsidRDefault="00C0531B"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579</w:t>
            </w: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Pr="00A42E0B"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tc>
        <w:tc>
          <w:tcPr>
            <w:tcW w:w="1296" w:type="dxa"/>
            <w:tcBorders>
              <w:top w:val="single" w:sz="7" w:space="0" w:color="000000"/>
              <w:left w:val="single" w:sz="7" w:space="0" w:color="000000"/>
              <w:bottom w:val="single" w:sz="7" w:space="0" w:color="000000"/>
              <w:right w:val="single" w:sz="7" w:space="0" w:color="000000"/>
            </w:tcBorders>
          </w:tcPr>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C0531B" w:rsidRDefault="00C0531B"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r>
              <w:rPr>
                <w:rFonts w:ascii="Times New Roman" w:hAnsi="Times New Roman"/>
              </w:rPr>
              <w:t>32,424</w:t>
            </w: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p w:rsidR="001203BE" w:rsidRPr="00A42E0B" w:rsidRDefault="001203BE" w:rsidP="001203BE">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rPr>
            </w:pPr>
          </w:p>
        </w:tc>
      </w:tr>
      <w:tr w:rsidR="00521389" w:rsidTr="00C0531B">
        <w:tc>
          <w:tcPr>
            <w:tcW w:w="3060" w:type="dxa"/>
            <w:tcBorders>
              <w:top w:val="single" w:sz="7" w:space="0" w:color="000000"/>
              <w:left w:val="single" w:sz="7" w:space="0" w:color="000000"/>
              <w:bottom w:val="single" w:sz="7" w:space="0" w:color="000000"/>
              <w:right w:val="single" w:sz="7" w:space="0" w:color="000000"/>
            </w:tcBorders>
          </w:tcPr>
          <w:p w:rsidR="00521389" w:rsidRPr="001203BE" w:rsidRDefault="00521389" w:rsidP="007A6727">
            <w:pPr>
              <w:pStyle w:val="Heading2"/>
              <w:rPr>
                <w:b/>
              </w:rPr>
            </w:pPr>
          </w:p>
        </w:tc>
        <w:tc>
          <w:tcPr>
            <w:tcW w:w="2124" w:type="dxa"/>
            <w:tcBorders>
              <w:top w:val="single" w:sz="7" w:space="0" w:color="000000"/>
              <w:left w:val="single" w:sz="7" w:space="0" w:color="000000"/>
              <w:bottom w:val="single" w:sz="7" w:space="0" w:color="000000"/>
              <w:right w:val="single" w:sz="7" w:space="0" w:color="000000"/>
            </w:tcBorders>
            <w:vAlign w:val="center"/>
          </w:tcPr>
          <w:p w:rsidR="00521389" w:rsidRPr="001203BE" w:rsidRDefault="00521389" w:rsidP="00C0531B">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b/>
              </w:rPr>
            </w:pPr>
          </w:p>
        </w:tc>
        <w:tc>
          <w:tcPr>
            <w:tcW w:w="1584" w:type="dxa"/>
            <w:tcBorders>
              <w:top w:val="single" w:sz="7" w:space="0" w:color="000000"/>
              <w:left w:val="single" w:sz="7" w:space="0" w:color="000000"/>
              <w:bottom w:val="single" w:sz="7" w:space="0" w:color="000000"/>
              <w:right w:val="single" w:sz="7" w:space="0" w:color="000000"/>
            </w:tcBorders>
            <w:vAlign w:val="center"/>
          </w:tcPr>
          <w:p w:rsidR="00521389" w:rsidRPr="001203BE" w:rsidRDefault="00521389" w:rsidP="00C0531B">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b/>
                <w:color w:val="FF0000"/>
              </w:rPr>
            </w:pPr>
          </w:p>
        </w:tc>
        <w:tc>
          <w:tcPr>
            <w:tcW w:w="1296" w:type="dxa"/>
            <w:tcBorders>
              <w:top w:val="single" w:sz="7" w:space="0" w:color="000000"/>
              <w:left w:val="single" w:sz="7" w:space="0" w:color="000000"/>
              <w:bottom w:val="single" w:sz="7" w:space="0" w:color="000000"/>
              <w:right w:val="single" w:sz="7" w:space="0" w:color="000000"/>
            </w:tcBorders>
            <w:vAlign w:val="center"/>
          </w:tcPr>
          <w:p w:rsidR="00521389" w:rsidRPr="001203BE" w:rsidRDefault="00521389" w:rsidP="00C0531B">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b/>
              </w:rPr>
            </w:pPr>
          </w:p>
        </w:tc>
        <w:tc>
          <w:tcPr>
            <w:tcW w:w="1296" w:type="dxa"/>
            <w:tcBorders>
              <w:top w:val="single" w:sz="7" w:space="0" w:color="000000"/>
              <w:left w:val="single" w:sz="7" w:space="0" w:color="000000"/>
              <w:bottom w:val="single" w:sz="7" w:space="0" w:color="000000"/>
              <w:right w:val="single" w:sz="7" w:space="0" w:color="000000"/>
            </w:tcBorders>
            <w:vAlign w:val="center"/>
          </w:tcPr>
          <w:p w:rsidR="00521389" w:rsidRPr="001203BE" w:rsidRDefault="00521389" w:rsidP="00C0531B">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rFonts w:ascii="Times New Roman" w:hAnsi="Times New Roman"/>
                <w:b/>
              </w:rPr>
            </w:pPr>
          </w:p>
        </w:tc>
      </w:tr>
    </w:tbl>
    <w:p w:rsidR="007A6727" w:rsidRDefault="007A672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overall annual burden is estimated to be </w:t>
      </w:r>
      <w:r w:rsidR="00B13C16">
        <w:rPr>
          <w:rFonts w:ascii="Times New Roman" w:hAnsi="Times New Roman"/>
        </w:rPr>
        <w:t>51,</w:t>
      </w:r>
      <w:r w:rsidR="001203BE">
        <w:rPr>
          <w:rFonts w:ascii="Times New Roman" w:hAnsi="Times New Roman"/>
        </w:rPr>
        <w:t>304</w:t>
      </w:r>
      <w:r>
        <w:rPr>
          <w:rFonts w:ascii="Times New Roman" w:hAnsi="Times New Roman"/>
        </w:rPr>
        <w:t xml:space="preserve"> hours.  The 50 States, the District of Columbia, Puerto Rico, Guam, American Samoa, the Northern Marianas, and the Virgin Islands share this burden</w:t>
      </w:r>
      <w:r w:rsidR="00C0531B">
        <w:rPr>
          <w:rFonts w:ascii="Times New Roman" w:hAnsi="Times New Roman"/>
        </w:rPr>
        <w:t xml:space="preserve">.  </w:t>
      </w:r>
      <w:r>
        <w:rPr>
          <w:rFonts w:ascii="Times New Roman" w:hAnsi="Times New Roman"/>
        </w:rPr>
        <w:t>The estimated hourly salary rate of the State employees who would provide the data is based on an average of $</w:t>
      </w:r>
      <w:r w:rsidR="001203BE">
        <w:rPr>
          <w:rFonts w:ascii="Times New Roman" w:hAnsi="Times New Roman"/>
        </w:rPr>
        <w:t xml:space="preserve"> 3</w:t>
      </w:r>
      <w:r w:rsidR="006B5919">
        <w:rPr>
          <w:rFonts w:ascii="Times New Roman" w:hAnsi="Times New Roman"/>
        </w:rPr>
        <w:t>5</w:t>
      </w:r>
      <w:r w:rsidR="001203BE">
        <w:rPr>
          <w:rFonts w:ascii="Times New Roman" w:hAnsi="Times New Roman"/>
        </w:rPr>
        <w:t>.</w:t>
      </w:r>
      <w:r w:rsidR="006B5919">
        <w:rPr>
          <w:rFonts w:ascii="Times New Roman" w:hAnsi="Times New Roman"/>
        </w:rPr>
        <w:t>52</w:t>
      </w:r>
      <w:r>
        <w:rPr>
          <w:rFonts w:ascii="Times New Roman" w:hAnsi="Times New Roman"/>
        </w:rPr>
        <w:t xml:space="preserve"> per hour, as indicated in </w:t>
      </w:r>
      <w:r w:rsidR="001203BE">
        <w:rPr>
          <w:rFonts w:ascii="Times New Roman" w:hAnsi="Times New Roman"/>
        </w:rPr>
        <w:t xml:space="preserve">Table </w:t>
      </w:r>
      <w:r w:rsidR="001203BE" w:rsidRPr="008515F5">
        <w:rPr>
          <w:rFonts w:ascii="Times New Roman" w:hAnsi="Times New Roman"/>
        </w:rPr>
        <w:t>3</w:t>
      </w:r>
      <w:r w:rsidR="001203BE">
        <w:rPr>
          <w:rFonts w:ascii="Times New Roman" w:hAnsi="Times New Roman"/>
        </w:rPr>
        <w:t xml:space="preserve"> of the</w:t>
      </w:r>
      <w:r w:rsidR="006B5919">
        <w:rPr>
          <w:rFonts w:ascii="Times New Roman" w:hAnsi="Times New Roman"/>
        </w:rPr>
        <w:t xml:space="preserve"> U.S. Department of Labor, Bureau of Labor Statistics, Employer Costs for Employee Compensation – December 2014 report.</w:t>
      </w:r>
      <w:r>
        <w:rPr>
          <w:rFonts w:ascii="Times New Roman" w:hAnsi="Times New Roman"/>
        </w:rPr>
        <w:t xml:space="preserve">  Accordingly, the estimated annual salary costs associated with the burden hours to the 56 responding agencies is $</w:t>
      </w:r>
      <w:r w:rsidR="001203BE">
        <w:rPr>
          <w:rFonts w:ascii="Times New Roman" w:hAnsi="Times New Roman"/>
        </w:rPr>
        <w:t xml:space="preserve"> 1,</w:t>
      </w:r>
      <w:r w:rsidR="006B5919">
        <w:rPr>
          <w:rFonts w:ascii="Times New Roman" w:hAnsi="Times New Roman"/>
        </w:rPr>
        <w:t>151,700.48</w:t>
      </w:r>
      <w:r w:rsidR="001203BE">
        <w:rPr>
          <w:rFonts w:ascii="Times New Roman" w:hAnsi="Times New Roman"/>
        </w:rPr>
        <w:t xml:space="preserve"> (32,424 </w:t>
      </w:r>
      <w:r>
        <w:rPr>
          <w:rFonts w:ascii="Times New Roman" w:hAnsi="Times New Roman"/>
        </w:rPr>
        <w:t xml:space="preserve">total annual </w:t>
      </w:r>
      <w:r w:rsidR="00D9153F">
        <w:rPr>
          <w:rFonts w:ascii="Times New Roman" w:hAnsi="Times New Roman"/>
        </w:rPr>
        <w:t>hrs.</w:t>
      </w:r>
      <w:r>
        <w:rPr>
          <w:rFonts w:ascii="Times New Roman" w:hAnsi="Times New Roman"/>
        </w:rPr>
        <w:t xml:space="preserve"> x $</w:t>
      </w:r>
      <w:r w:rsidR="006B5919">
        <w:rPr>
          <w:rFonts w:ascii="Times New Roman" w:hAnsi="Times New Roman"/>
        </w:rPr>
        <w:t>35.52</w:t>
      </w:r>
      <w:r>
        <w:rPr>
          <w:rFonts w:ascii="Times New Roman" w:hAnsi="Times New Roman"/>
        </w:rPr>
        <w:t>.)</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13.    </w:t>
      </w:r>
      <w:r>
        <w:rPr>
          <w:rFonts w:ascii="Times New Roman" w:hAnsi="Times New Roman"/>
          <w:b/>
          <w:bCs/>
          <w:u w:val="single"/>
        </w:rPr>
        <w:t>Estimate of total annual costs to respondents</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 </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Other than the salary costs indicated in item 12, there are no additional cost burdens to the </w:t>
      </w:r>
      <w:r>
        <w:rPr>
          <w:rFonts w:ascii="Times New Roman" w:hAnsi="Times New Roman"/>
        </w:rPr>
        <w:lastRenderedPageBreak/>
        <w:t xml:space="preserve">responding agencies since the </w:t>
      </w:r>
      <w:r w:rsidRPr="00F368D3">
        <w:rPr>
          <w:rFonts w:ascii="Times New Roman" w:hAnsi="Times New Roman"/>
          <w:i/>
        </w:rPr>
        <w:t>Guide</w:t>
      </w:r>
      <w:r>
        <w:rPr>
          <w:rFonts w:ascii="Times New Roman" w:hAnsi="Times New Roman"/>
        </w:rPr>
        <w:t xml:space="preserve"> data are obtained from the normal business records maintained by the State and local governments that are a basic part of their day-to-day business activities.</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14.    </w:t>
      </w:r>
      <w:r>
        <w:rPr>
          <w:rFonts w:ascii="Times New Roman" w:hAnsi="Times New Roman"/>
          <w:b/>
          <w:bCs/>
          <w:u w:val="single"/>
        </w:rPr>
        <w:t>Estimate of annualized cost to the Federal government</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The estimated annual cost to the Federal government for this information collection is $</w:t>
      </w:r>
      <w:r w:rsidR="005F1930">
        <w:rPr>
          <w:rFonts w:ascii="Times New Roman" w:hAnsi="Times New Roman"/>
        </w:rPr>
        <w:t>749,007.36</w:t>
      </w:r>
      <w:r>
        <w:rPr>
          <w:rFonts w:ascii="Times New Roman" w:hAnsi="Times New Roman"/>
        </w:rPr>
        <w:t>, which is calculated as follows:</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tbl>
      <w:tblPr>
        <w:tblStyle w:val="TableGrid"/>
        <w:tblW w:w="0" w:type="auto"/>
        <w:tblInd w:w="198" w:type="dxa"/>
        <w:tblLook w:val="04A0" w:firstRow="1" w:lastRow="0" w:firstColumn="1" w:lastColumn="0" w:noHBand="0" w:noVBand="1"/>
      </w:tblPr>
      <w:tblGrid>
        <w:gridCol w:w="4307"/>
        <w:gridCol w:w="1578"/>
        <w:gridCol w:w="1732"/>
        <w:gridCol w:w="1761"/>
      </w:tblGrid>
      <w:tr w:rsidR="00B13C16" w:rsidTr="00A2690D">
        <w:tc>
          <w:tcPr>
            <w:tcW w:w="4307" w:type="dxa"/>
            <w:shd w:val="clear" w:color="auto" w:fill="D9D9D9" w:themeFill="background1" w:themeFillShade="D9"/>
            <w:vAlign w:val="center"/>
          </w:tcPr>
          <w:p w:rsidR="00B13C16" w:rsidRPr="00A2690D" w:rsidRDefault="00B13C16" w:rsidP="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b/>
              </w:rPr>
            </w:pPr>
            <w:r w:rsidRPr="00A2690D">
              <w:rPr>
                <w:rFonts w:ascii="Times New Roman" w:hAnsi="Times New Roman"/>
                <w:b/>
              </w:rPr>
              <w:t>Labor Group</w:t>
            </w:r>
          </w:p>
        </w:tc>
        <w:tc>
          <w:tcPr>
            <w:tcW w:w="1578" w:type="dxa"/>
            <w:shd w:val="clear" w:color="auto" w:fill="D9D9D9" w:themeFill="background1" w:themeFillShade="D9"/>
            <w:vAlign w:val="center"/>
          </w:tcPr>
          <w:p w:rsidR="00B13C16" w:rsidRPr="00A2690D" w:rsidRDefault="00B13C16" w:rsidP="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b/>
              </w:rPr>
            </w:pPr>
            <w:r w:rsidRPr="00A2690D">
              <w:rPr>
                <w:rFonts w:ascii="Times New Roman" w:hAnsi="Times New Roman"/>
                <w:b/>
              </w:rPr>
              <w:t># of Hours Each</w:t>
            </w:r>
          </w:p>
        </w:tc>
        <w:tc>
          <w:tcPr>
            <w:tcW w:w="1732" w:type="dxa"/>
            <w:shd w:val="clear" w:color="auto" w:fill="D9D9D9" w:themeFill="background1" w:themeFillShade="D9"/>
            <w:vAlign w:val="center"/>
          </w:tcPr>
          <w:p w:rsidR="00B13C16" w:rsidRPr="00A2690D" w:rsidRDefault="00B13C16" w:rsidP="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b/>
              </w:rPr>
            </w:pPr>
            <w:r w:rsidRPr="00A2690D">
              <w:rPr>
                <w:rFonts w:ascii="Times New Roman" w:hAnsi="Times New Roman"/>
                <w:b/>
              </w:rPr>
              <w:t>Hourly Rate</w:t>
            </w:r>
          </w:p>
        </w:tc>
        <w:tc>
          <w:tcPr>
            <w:tcW w:w="1761" w:type="dxa"/>
            <w:shd w:val="clear" w:color="auto" w:fill="D9D9D9" w:themeFill="background1" w:themeFillShade="D9"/>
            <w:vAlign w:val="center"/>
          </w:tcPr>
          <w:p w:rsidR="00B13C16" w:rsidRPr="00A2690D" w:rsidRDefault="00B13C16" w:rsidP="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rFonts w:ascii="Times New Roman" w:hAnsi="Times New Roman"/>
                <w:b/>
              </w:rPr>
            </w:pPr>
            <w:r w:rsidRPr="00A2690D">
              <w:rPr>
                <w:rFonts w:ascii="Times New Roman" w:hAnsi="Times New Roman"/>
                <w:b/>
              </w:rPr>
              <w:t>Cost</w:t>
            </w:r>
          </w:p>
        </w:tc>
      </w:tr>
      <w:tr w:rsidR="00B13C16" w:rsidTr="00A2690D">
        <w:tc>
          <w:tcPr>
            <w:tcW w:w="4307" w:type="dxa"/>
            <w:tcBorders>
              <w:bottom w:val="single" w:sz="4" w:space="0" w:color="auto"/>
            </w:tcBorders>
          </w:tcPr>
          <w:p w:rsidR="00B13C16" w:rsidRDefault="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Eight (8) FHWA HQ Staff</w:t>
            </w:r>
          </w:p>
        </w:tc>
        <w:tc>
          <w:tcPr>
            <w:tcW w:w="1578" w:type="dxa"/>
            <w:tcBorders>
              <w:bottom w:val="single" w:sz="4" w:space="0" w:color="auto"/>
            </w:tcBorders>
          </w:tcPr>
          <w:p w:rsidR="00B13C16" w:rsidRDefault="00B13C16"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2,000</w:t>
            </w:r>
          </w:p>
        </w:tc>
        <w:tc>
          <w:tcPr>
            <w:tcW w:w="1732" w:type="dxa"/>
            <w:tcBorders>
              <w:bottom w:val="single" w:sz="4" w:space="0" w:color="auto"/>
            </w:tcBorders>
          </w:tcPr>
          <w:p w:rsidR="00B13C16" w:rsidRDefault="005F1930" w:rsidP="006B5919">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 xml:space="preserve">$ </w:t>
            </w:r>
            <w:r w:rsidR="006B5919">
              <w:rPr>
                <w:rFonts w:ascii="Times New Roman" w:hAnsi="Times New Roman"/>
              </w:rPr>
              <w:t>35.52</w:t>
            </w:r>
          </w:p>
        </w:tc>
        <w:tc>
          <w:tcPr>
            <w:tcW w:w="1761" w:type="dxa"/>
            <w:tcBorders>
              <w:bottom w:val="single" w:sz="4" w:space="0" w:color="auto"/>
            </w:tcBorders>
          </w:tcPr>
          <w:p w:rsidR="00B13C16" w:rsidRDefault="00B13C16" w:rsidP="006B5919">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 xml:space="preserve">$ </w:t>
            </w:r>
            <w:r w:rsidR="005F1930">
              <w:rPr>
                <w:rFonts w:ascii="Times New Roman" w:hAnsi="Times New Roman"/>
              </w:rPr>
              <w:t xml:space="preserve"> </w:t>
            </w:r>
            <w:r w:rsidR="006B5919">
              <w:rPr>
                <w:rFonts w:ascii="Times New Roman" w:hAnsi="Times New Roman"/>
              </w:rPr>
              <w:t>568,320</w:t>
            </w:r>
            <w:r w:rsidR="00A2690D">
              <w:rPr>
                <w:rFonts w:ascii="Times New Roman" w:hAnsi="Times New Roman"/>
              </w:rPr>
              <w:t>.00</w:t>
            </w:r>
          </w:p>
        </w:tc>
      </w:tr>
      <w:tr w:rsidR="00B13C16" w:rsidTr="00A2690D">
        <w:tc>
          <w:tcPr>
            <w:tcW w:w="4307" w:type="dxa"/>
            <w:tcBorders>
              <w:bottom w:val="single" w:sz="18" w:space="0" w:color="auto"/>
            </w:tcBorders>
          </w:tcPr>
          <w:p w:rsidR="00B13C16" w:rsidRDefault="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Sixty (60) FHWA Field Staff</w:t>
            </w:r>
          </w:p>
        </w:tc>
        <w:tc>
          <w:tcPr>
            <w:tcW w:w="1578" w:type="dxa"/>
            <w:tcBorders>
              <w:bottom w:val="single" w:sz="18" w:space="0" w:color="auto"/>
            </w:tcBorders>
          </w:tcPr>
          <w:p w:rsidR="00B13C16" w:rsidRDefault="00B13C16"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48</w:t>
            </w:r>
          </w:p>
        </w:tc>
        <w:tc>
          <w:tcPr>
            <w:tcW w:w="1732" w:type="dxa"/>
            <w:tcBorders>
              <w:bottom w:val="single" w:sz="18" w:space="0" w:color="auto"/>
            </w:tcBorders>
          </w:tcPr>
          <w:p w:rsidR="00B13C16" w:rsidRDefault="005F1930"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 xml:space="preserve">$ </w:t>
            </w:r>
            <w:r w:rsidR="00B13C16">
              <w:rPr>
                <w:rFonts w:ascii="Times New Roman" w:hAnsi="Times New Roman"/>
              </w:rPr>
              <w:t>3</w:t>
            </w:r>
            <w:r w:rsidR="006B5919">
              <w:rPr>
                <w:rFonts w:ascii="Times New Roman" w:hAnsi="Times New Roman"/>
              </w:rPr>
              <w:t>5.52</w:t>
            </w:r>
          </w:p>
        </w:tc>
        <w:tc>
          <w:tcPr>
            <w:tcW w:w="1761" w:type="dxa"/>
            <w:tcBorders>
              <w:bottom w:val="single" w:sz="18" w:space="0" w:color="auto"/>
            </w:tcBorders>
          </w:tcPr>
          <w:p w:rsidR="00B13C16" w:rsidRDefault="005F1930" w:rsidP="006B5919">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 xml:space="preserve">$    </w:t>
            </w:r>
            <w:r w:rsidR="006B5919">
              <w:rPr>
                <w:rFonts w:ascii="Times New Roman" w:hAnsi="Times New Roman"/>
              </w:rPr>
              <w:t>102,297</w:t>
            </w:r>
            <w:r w:rsidR="00A2690D">
              <w:rPr>
                <w:rFonts w:ascii="Times New Roman" w:hAnsi="Times New Roman"/>
              </w:rPr>
              <w:t>.</w:t>
            </w:r>
            <w:r w:rsidR="006B5919">
              <w:rPr>
                <w:rFonts w:ascii="Times New Roman" w:hAnsi="Times New Roman"/>
              </w:rPr>
              <w:t>6</w:t>
            </w:r>
            <w:r w:rsidR="00A2690D">
              <w:rPr>
                <w:rFonts w:ascii="Times New Roman" w:hAnsi="Times New Roman"/>
              </w:rPr>
              <w:t>0</w:t>
            </w:r>
          </w:p>
        </w:tc>
      </w:tr>
      <w:tr w:rsidR="00B13C16" w:rsidTr="00A2690D">
        <w:tc>
          <w:tcPr>
            <w:tcW w:w="4307" w:type="dxa"/>
            <w:tcBorders>
              <w:top w:val="single" w:sz="18" w:space="0" w:color="auto"/>
              <w:bottom w:val="single" w:sz="4" w:space="0" w:color="auto"/>
            </w:tcBorders>
          </w:tcPr>
          <w:p w:rsidR="00B13C16" w:rsidRDefault="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Subtotal</w:t>
            </w:r>
          </w:p>
        </w:tc>
        <w:tc>
          <w:tcPr>
            <w:tcW w:w="1578" w:type="dxa"/>
            <w:tcBorders>
              <w:top w:val="single" w:sz="18" w:space="0" w:color="auto"/>
              <w:bottom w:val="single" w:sz="4" w:space="0" w:color="auto"/>
            </w:tcBorders>
          </w:tcPr>
          <w:p w:rsidR="00B13C16" w:rsidRDefault="00B13C16"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p>
        </w:tc>
        <w:tc>
          <w:tcPr>
            <w:tcW w:w="1732" w:type="dxa"/>
            <w:tcBorders>
              <w:top w:val="single" w:sz="18" w:space="0" w:color="auto"/>
              <w:bottom w:val="single" w:sz="4" w:space="0" w:color="auto"/>
            </w:tcBorders>
          </w:tcPr>
          <w:p w:rsidR="00B13C16" w:rsidRDefault="00B13C16"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p>
        </w:tc>
        <w:tc>
          <w:tcPr>
            <w:tcW w:w="1761" w:type="dxa"/>
            <w:tcBorders>
              <w:top w:val="single" w:sz="18" w:space="0" w:color="auto"/>
              <w:bottom w:val="single" w:sz="4" w:space="0" w:color="auto"/>
            </w:tcBorders>
          </w:tcPr>
          <w:p w:rsidR="00B13C16" w:rsidRDefault="00A2690D" w:rsidP="006B5919">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w:t>
            </w:r>
            <w:r w:rsidR="005F1930">
              <w:rPr>
                <w:rFonts w:ascii="Times New Roman" w:hAnsi="Times New Roman"/>
              </w:rPr>
              <w:t xml:space="preserve"> </w:t>
            </w:r>
            <w:r>
              <w:rPr>
                <w:rFonts w:ascii="Times New Roman" w:hAnsi="Times New Roman"/>
              </w:rPr>
              <w:t xml:space="preserve"> </w:t>
            </w:r>
            <w:r w:rsidR="006B5919">
              <w:rPr>
                <w:rFonts w:ascii="Times New Roman" w:hAnsi="Times New Roman"/>
              </w:rPr>
              <w:t>670,617.60</w:t>
            </w:r>
          </w:p>
        </w:tc>
      </w:tr>
      <w:tr w:rsidR="00B13C16" w:rsidTr="00A2690D">
        <w:tc>
          <w:tcPr>
            <w:tcW w:w="4307" w:type="dxa"/>
            <w:tcBorders>
              <w:bottom w:val="double" w:sz="4" w:space="0" w:color="auto"/>
            </w:tcBorders>
          </w:tcPr>
          <w:p w:rsidR="00B13C16" w:rsidRDefault="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Overhead @20%</w:t>
            </w:r>
          </w:p>
        </w:tc>
        <w:tc>
          <w:tcPr>
            <w:tcW w:w="1578" w:type="dxa"/>
            <w:tcBorders>
              <w:bottom w:val="double" w:sz="4" w:space="0" w:color="auto"/>
            </w:tcBorders>
          </w:tcPr>
          <w:p w:rsidR="00B13C16" w:rsidRDefault="00B13C16"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p>
        </w:tc>
        <w:tc>
          <w:tcPr>
            <w:tcW w:w="1732" w:type="dxa"/>
            <w:tcBorders>
              <w:bottom w:val="double" w:sz="4" w:space="0" w:color="auto"/>
            </w:tcBorders>
          </w:tcPr>
          <w:p w:rsidR="00B13C16" w:rsidRDefault="00B13C16"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p>
        </w:tc>
        <w:tc>
          <w:tcPr>
            <w:tcW w:w="1761" w:type="dxa"/>
            <w:tcBorders>
              <w:bottom w:val="double" w:sz="4" w:space="0" w:color="auto"/>
            </w:tcBorders>
          </w:tcPr>
          <w:p w:rsidR="00B13C16" w:rsidRDefault="00A2690D" w:rsidP="006B5919">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rPr>
            </w:pPr>
            <w:r>
              <w:rPr>
                <w:rFonts w:ascii="Times New Roman" w:hAnsi="Times New Roman"/>
              </w:rPr>
              <w:t xml:space="preserve">$ </w:t>
            </w:r>
            <w:r w:rsidR="005F1930">
              <w:rPr>
                <w:rFonts w:ascii="Times New Roman" w:hAnsi="Times New Roman"/>
              </w:rPr>
              <w:t xml:space="preserve"> </w:t>
            </w:r>
            <w:r w:rsidR="006B5919">
              <w:rPr>
                <w:rFonts w:ascii="Times New Roman" w:hAnsi="Times New Roman"/>
              </w:rPr>
              <w:t>134,123.52</w:t>
            </w:r>
          </w:p>
        </w:tc>
      </w:tr>
      <w:tr w:rsidR="00A2690D" w:rsidTr="00A2690D">
        <w:tc>
          <w:tcPr>
            <w:tcW w:w="4307" w:type="dxa"/>
            <w:tcBorders>
              <w:top w:val="double" w:sz="4" w:space="0" w:color="auto"/>
            </w:tcBorders>
          </w:tcPr>
          <w:p w:rsidR="00A2690D" w:rsidRPr="00A2690D" w:rsidRDefault="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b/>
              </w:rPr>
            </w:pPr>
            <w:r w:rsidRPr="00A2690D">
              <w:rPr>
                <w:rFonts w:ascii="Times New Roman" w:hAnsi="Times New Roman"/>
                <w:b/>
              </w:rPr>
              <w:t>Total</w:t>
            </w:r>
          </w:p>
        </w:tc>
        <w:tc>
          <w:tcPr>
            <w:tcW w:w="1578" w:type="dxa"/>
            <w:tcBorders>
              <w:top w:val="double" w:sz="4" w:space="0" w:color="auto"/>
            </w:tcBorders>
          </w:tcPr>
          <w:p w:rsidR="00A2690D" w:rsidRPr="00A2690D" w:rsidRDefault="00A2690D"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b/>
              </w:rPr>
            </w:pPr>
          </w:p>
        </w:tc>
        <w:tc>
          <w:tcPr>
            <w:tcW w:w="1732" w:type="dxa"/>
            <w:tcBorders>
              <w:top w:val="double" w:sz="4" w:space="0" w:color="auto"/>
            </w:tcBorders>
          </w:tcPr>
          <w:p w:rsidR="00A2690D" w:rsidRPr="00A2690D" w:rsidRDefault="00A2690D" w:rsidP="00B13C16">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b/>
              </w:rPr>
            </w:pPr>
          </w:p>
        </w:tc>
        <w:tc>
          <w:tcPr>
            <w:tcW w:w="1761" w:type="dxa"/>
            <w:tcBorders>
              <w:top w:val="double" w:sz="4" w:space="0" w:color="auto"/>
            </w:tcBorders>
          </w:tcPr>
          <w:p w:rsidR="00A2690D" w:rsidRPr="00A2690D" w:rsidRDefault="00A2690D" w:rsidP="006B5919">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right"/>
              <w:rPr>
                <w:rFonts w:ascii="Times New Roman" w:hAnsi="Times New Roman"/>
                <w:b/>
              </w:rPr>
            </w:pPr>
            <w:r>
              <w:rPr>
                <w:rFonts w:ascii="Times New Roman" w:hAnsi="Times New Roman"/>
                <w:b/>
              </w:rPr>
              <w:t xml:space="preserve">$ </w:t>
            </w:r>
            <w:r w:rsidR="005F1930">
              <w:rPr>
                <w:rFonts w:ascii="Times New Roman" w:hAnsi="Times New Roman"/>
                <w:b/>
              </w:rPr>
              <w:t xml:space="preserve"> </w:t>
            </w:r>
            <w:r w:rsidR="006B5919">
              <w:rPr>
                <w:rFonts w:ascii="Times New Roman" w:hAnsi="Times New Roman"/>
                <w:b/>
              </w:rPr>
              <w:t>804,741.12</w:t>
            </w:r>
          </w:p>
        </w:tc>
      </w:tr>
    </w:tbl>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15.   </w:t>
      </w:r>
      <w:r>
        <w:rPr>
          <w:rFonts w:ascii="Times New Roman" w:hAnsi="Times New Roman"/>
          <w:b/>
          <w:bCs/>
          <w:u w:val="single"/>
        </w:rPr>
        <w:t>Explanation of program changes or adjustments</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line="120" w:lineRule="auto"/>
        <w:rPr>
          <w:rFonts w:ascii="Times New Roman" w:hAnsi="Times New Roman"/>
        </w:rPr>
      </w:pPr>
    </w:p>
    <w:p w:rsidR="00A2690D" w:rsidRDefault="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sidRPr="00A2690D">
        <w:rPr>
          <w:rFonts w:ascii="Times New Roman" w:hAnsi="Times New Roman"/>
        </w:rPr>
        <w:t xml:space="preserve">The estimated cost to the data respondents and the Federal Government </w:t>
      </w:r>
      <w:r w:rsidR="005F1930">
        <w:rPr>
          <w:rFonts w:ascii="Times New Roman" w:hAnsi="Times New Roman"/>
        </w:rPr>
        <w:t xml:space="preserve">has </w:t>
      </w:r>
      <w:r w:rsidR="00D9153F">
        <w:rPr>
          <w:rFonts w:ascii="Times New Roman" w:hAnsi="Times New Roman"/>
        </w:rPr>
        <w:t>increased</w:t>
      </w:r>
      <w:r w:rsidRPr="00A2690D">
        <w:rPr>
          <w:rFonts w:ascii="Times New Roman" w:hAnsi="Times New Roman"/>
        </w:rPr>
        <w:t xml:space="preserve"> per the updating of the average hourly salary</w:t>
      </w:r>
      <w:r w:rsidR="005F1930">
        <w:rPr>
          <w:rFonts w:ascii="Times New Roman" w:hAnsi="Times New Roman"/>
        </w:rPr>
        <w:t xml:space="preserve"> in the </w:t>
      </w:r>
      <w:r w:rsidR="00D9153F">
        <w:rPr>
          <w:rFonts w:ascii="Times New Roman" w:hAnsi="Times New Roman"/>
        </w:rPr>
        <w:t xml:space="preserve">2014 BLS report </w:t>
      </w:r>
      <w:r w:rsidR="005F1930">
        <w:rPr>
          <w:rFonts w:ascii="Times New Roman" w:hAnsi="Times New Roman"/>
        </w:rPr>
        <w:t>from the vers</w:t>
      </w:r>
      <w:r w:rsidR="00D9153F">
        <w:rPr>
          <w:rFonts w:ascii="Times New Roman" w:hAnsi="Times New Roman"/>
        </w:rPr>
        <w:t>ion used in the last report (2012</w:t>
      </w:r>
      <w:r w:rsidR="005F1930">
        <w:rPr>
          <w:rFonts w:ascii="Times New Roman" w:hAnsi="Times New Roman"/>
        </w:rPr>
        <w:t>)</w:t>
      </w:r>
      <w:r w:rsidRPr="00A2690D">
        <w:rPr>
          <w:rFonts w:ascii="Times New Roman" w:hAnsi="Times New Roman"/>
        </w:rPr>
        <w:t>.</w:t>
      </w:r>
      <w:r w:rsidR="005F1930">
        <w:rPr>
          <w:rFonts w:ascii="Times New Roman" w:hAnsi="Times New Roman"/>
        </w:rPr>
        <w:t xml:space="preserve">  It is expected that due to the conversion of some of the required forms to electronic versions in the near future that the estimated costs will further reduce due in part to the built-in edit checks in such </w:t>
      </w:r>
      <w:r w:rsidR="00994AD1">
        <w:rPr>
          <w:rFonts w:ascii="Times New Roman" w:hAnsi="Times New Roman"/>
        </w:rPr>
        <w:t>systems, which result in less follow up,</w:t>
      </w:r>
      <w:r w:rsidR="005F1930">
        <w:rPr>
          <w:rFonts w:ascii="Times New Roman" w:hAnsi="Times New Roman"/>
        </w:rPr>
        <w:t xml:space="preserve"> needed.</w:t>
      </w:r>
    </w:p>
    <w:p w:rsidR="007B3E3C" w:rsidRDefault="00A2690D">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sidRPr="00A2690D">
        <w:rPr>
          <w:rFonts w:ascii="Times New Roman" w:hAnsi="Times New Roman"/>
        </w:rPr>
        <w:t xml:space="preserve">  </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16.   </w:t>
      </w:r>
      <w:r>
        <w:rPr>
          <w:rFonts w:ascii="Times New Roman" w:hAnsi="Times New Roman"/>
          <w:b/>
          <w:bCs/>
          <w:u w:val="single"/>
        </w:rPr>
        <w:t>Publication of results of data collection</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 xml:space="preserve">The results of the data collected are published in required reports to Congress; in the </w:t>
      </w:r>
      <w:r>
        <w:rPr>
          <w:rFonts w:ascii="Times New Roman" w:hAnsi="Times New Roman"/>
          <w:i/>
          <w:iCs/>
        </w:rPr>
        <w:t>Highway Statistics</w:t>
      </w:r>
      <w:r>
        <w:rPr>
          <w:rFonts w:ascii="Times New Roman" w:hAnsi="Times New Roman"/>
        </w:rPr>
        <w:t xml:space="preserve">; and posted on the Internet.  The data is assembled and/or collected by the States to reflect previous year’s data. The data received is processed by FHWA between January 1 and September 1 of each year, with final data tables, charts, and graphs being readied for </w:t>
      </w:r>
      <w:r w:rsidR="00D9153F">
        <w:rPr>
          <w:rFonts w:ascii="Times New Roman" w:hAnsi="Times New Roman"/>
        </w:rPr>
        <w:t xml:space="preserve">electronic </w:t>
      </w:r>
      <w:r>
        <w:rPr>
          <w:rFonts w:ascii="Times New Roman" w:hAnsi="Times New Roman"/>
        </w:rPr>
        <w:t xml:space="preserve">publication by October 1.  The </w:t>
      </w:r>
      <w:r w:rsidR="00D9153F">
        <w:rPr>
          <w:rFonts w:ascii="Times New Roman" w:hAnsi="Times New Roman"/>
        </w:rPr>
        <w:t>print version is only produced on limited basis</w:t>
      </w:r>
      <w:r>
        <w:rPr>
          <w:rFonts w:ascii="Times New Roman" w:hAnsi="Times New Roman"/>
        </w:rPr>
        <w:t>.  This is a cyclical, annual activity.</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17.   </w:t>
      </w:r>
      <w:r>
        <w:rPr>
          <w:rFonts w:ascii="Times New Roman" w:hAnsi="Times New Roman"/>
          <w:b/>
          <w:bCs/>
          <w:u w:val="single"/>
        </w:rPr>
        <w:t>Approval for not displaying the expiration date for OMB approval</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No such approval is being requested for this information collection.</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b/>
          <w:bCs/>
        </w:rPr>
        <w:t xml:space="preserve">18.   </w:t>
      </w:r>
      <w:r>
        <w:rPr>
          <w:rFonts w:ascii="Times New Roman" w:hAnsi="Times New Roman"/>
          <w:b/>
          <w:bCs/>
          <w:u w:val="single"/>
        </w:rPr>
        <w:t>Exceptions to the certification statement</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r>
        <w:rPr>
          <w:rFonts w:ascii="Times New Roman" w:hAnsi="Times New Roman"/>
        </w:rPr>
        <w:t>No exceptions to the certification statement are being requested.</w:t>
      </w:r>
    </w:p>
    <w:p w:rsidR="007B3E3C" w:rsidRDefault="007B3E3C">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rFonts w:ascii="Times New Roman" w:hAnsi="Times New Roman"/>
        </w:rPr>
      </w:pPr>
    </w:p>
    <w:p w:rsidR="005F1930" w:rsidRDefault="005F1930" w:rsidP="001A2609">
      <w:pPr>
        <w:widowControl/>
        <w:autoSpaceDE/>
        <w:autoSpaceDN/>
        <w:adjustRightInd/>
        <w:rPr>
          <w:rFonts w:ascii="Times New Roman" w:hAnsi="Times New Roman"/>
        </w:rPr>
      </w:pPr>
    </w:p>
    <w:sectPr w:rsidR="005F1930" w:rsidSect="000A15AA">
      <w:footerReference w:type="default" r:id="rId8"/>
      <w:endnotePr>
        <w:numFmt w:val="decimal"/>
      </w:endnotePr>
      <w:type w:val="continuous"/>
      <w:pgSz w:w="12240" w:h="15840"/>
      <w:pgMar w:top="1440" w:right="1440" w:bottom="990" w:left="1440" w:header="1440" w:footer="9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00" w:rsidRDefault="00D22500">
      <w:r>
        <w:separator/>
      </w:r>
    </w:p>
  </w:endnote>
  <w:endnote w:type="continuationSeparator" w:id="0">
    <w:p w:rsidR="00D22500" w:rsidRDefault="00D2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96F" w:rsidRDefault="001D696F">
    <w:pPr>
      <w:spacing w:line="240" w:lineRule="exact"/>
    </w:pPr>
  </w:p>
  <w:p w:rsidR="001D696F" w:rsidRDefault="00C45FE4">
    <w:pPr>
      <w:framePr w:w="9361" w:wrap="notBeside" w:vAnchor="text" w:hAnchor="text" w:x="1" w:y="1"/>
      <w:jc w:val="center"/>
    </w:pPr>
    <w:r>
      <w:fldChar w:fldCharType="begin"/>
    </w:r>
    <w:r>
      <w:instrText xml:space="preserve">PAGE </w:instrText>
    </w:r>
    <w:r>
      <w:fldChar w:fldCharType="separate"/>
    </w:r>
    <w:r w:rsidR="00521389">
      <w:rPr>
        <w:noProof/>
      </w:rPr>
      <w:t>5</w:t>
    </w:r>
    <w:r>
      <w:rPr>
        <w:noProof/>
      </w:rPr>
      <w:fldChar w:fldCharType="end"/>
    </w:r>
  </w:p>
  <w:p w:rsidR="001D696F" w:rsidRDefault="001D69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00" w:rsidRDefault="00D22500">
      <w:r>
        <w:separator/>
      </w:r>
    </w:p>
  </w:footnote>
  <w:footnote w:type="continuationSeparator" w:id="0">
    <w:p w:rsidR="00D22500" w:rsidRDefault="00D22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F6C"/>
    <w:multiLevelType w:val="hybridMultilevel"/>
    <w:tmpl w:val="E65022A6"/>
    <w:lvl w:ilvl="0" w:tplc="6262DF72">
      <w:start w:val="1"/>
      <w:numFmt w:val="bullet"/>
      <w:lvlText w:val=""/>
      <w:lvlJc w:val="left"/>
      <w:pPr>
        <w:tabs>
          <w:tab w:val="num" w:pos="720"/>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536B71"/>
    <w:multiLevelType w:val="hybridMultilevel"/>
    <w:tmpl w:val="435695DC"/>
    <w:lvl w:ilvl="0" w:tplc="6262DF72">
      <w:start w:val="1"/>
      <w:numFmt w:val="bullet"/>
      <w:lvlText w:val=""/>
      <w:lvlJc w:val="left"/>
      <w:pPr>
        <w:tabs>
          <w:tab w:val="num" w:pos="720"/>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BD4C62"/>
    <w:multiLevelType w:val="hybridMultilevel"/>
    <w:tmpl w:val="C80636E0"/>
    <w:lvl w:ilvl="0" w:tplc="B2CA8800">
      <w:start w:val="6"/>
      <w:numFmt w:val="upperLetter"/>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90305F"/>
    <w:multiLevelType w:val="hybridMultilevel"/>
    <w:tmpl w:val="C6FE7F74"/>
    <w:lvl w:ilvl="0" w:tplc="6262DF72">
      <w:start w:val="1"/>
      <w:numFmt w:val="bullet"/>
      <w:lvlText w:val=""/>
      <w:lvlJc w:val="left"/>
      <w:pPr>
        <w:tabs>
          <w:tab w:val="num" w:pos="720"/>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F7"/>
    <w:rsid w:val="00053B29"/>
    <w:rsid w:val="00071A02"/>
    <w:rsid w:val="0008271C"/>
    <w:rsid w:val="000A15AA"/>
    <w:rsid w:val="000E4CF6"/>
    <w:rsid w:val="00102C82"/>
    <w:rsid w:val="0011593B"/>
    <w:rsid w:val="001203BE"/>
    <w:rsid w:val="00142FB8"/>
    <w:rsid w:val="001A2609"/>
    <w:rsid w:val="001D6964"/>
    <w:rsid w:val="001D696F"/>
    <w:rsid w:val="001F1BD5"/>
    <w:rsid w:val="002D36B5"/>
    <w:rsid w:val="002F3006"/>
    <w:rsid w:val="003051CD"/>
    <w:rsid w:val="00353733"/>
    <w:rsid w:val="003A703D"/>
    <w:rsid w:val="003F4D54"/>
    <w:rsid w:val="00413B95"/>
    <w:rsid w:val="00425BB5"/>
    <w:rsid w:val="0043303D"/>
    <w:rsid w:val="00433D85"/>
    <w:rsid w:val="00464458"/>
    <w:rsid w:val="00514CA7"/>
    <w:rsid w:val="00521389"/>
    <w:rsid w:val="005946E7"/>
    <w:rsid w:val="005F1930"/>
    <w:rsid w:val="00630B8F"/>
    <w:rsid w:val="00643C7B"/>
    <w:rsid w:val="00644623"/>
    <w:rsid w:val="0069453E"/>
    <w:rsid w:val="006B5919"/>
    <w:rsid w:val="007004EF"/>
    <w:rsid w:val="00704EED"/>
    <w:rsid w:val="0071077E"/>
    <w:rsid w:val="00755DB7"/>
    <w:rsid w:val="007573C7"/>
    <w:rsid w:val="007A6727"/>
    <w:rsid w:val="007B3E3C"/>
    <w:rsid w:val="007B7DAB"/>
    <w:rsid w:val="007F69A9"/>
    <w:rsid w:val="008109B7"/>
    <w:rsid w:val="00876976"/>
    <w:rsid w:val="00881EC8"/>
    <w:rsid w:val="00924DFA"/>
    <w:rsid w:val="00994AD1"/>
    <w:rsid w:val="009B090D"/>
    <w:rsid w:val="009D22C4"/>
    <w:rsid w:val="00A2690D"/>
    <w:rsid w:val="00A70CB3"/>
    <w:rsid w:val="00A751F4"/>
    <w:rsid w:val="00A92DC7"/>
    <w:rsid w:val="00AB37F2"/>
    <w:rsid w:val="00AF2A17"/>
    <w:rsid w:val="00B13C16"/>
    <w:rsid w:val="00B20A3F"/>
    <w:rsid w:val="00B20ADC"/>
    <w:rsid w:val="00BA5DB7"/>
    <w:rsid w:val="00BD12AE"/>
    <w:rsid w:val="00C0397C"/>
    <w:rsid w:val="00C0531B"/>
    <w:rsid w:val="00C15A69"/>
    <w:rsid w:val="00C43A84"/>
    <w:rsid w:val="00C45FE4"/>
    <w:rsid w:val="00CB754B"/>
    <w:rsid w:val="00D019BD"/>
    <w:rsid w:val="00D22500"/>
    <w:rsid w:val="00D50E5A"/>
    <w:rsid w:val="00D55C80"/>
    <w:rsid w:val="00D9153F"/>
    <w:rsid w:val="00D931F7"/>
    <w:rsid w:val="00DB194E"/>
    <w:rsid w:val="00E25A7D"/>
    <w:rsid w:val="00EA0140"/>
    <w:rsid w:val="00F155E2"/>
    <w:rsid w:val="00F368D3"/>
    <w:rsid w:val="00F9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5AA"/>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924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6727"/>
    <w:pPr>
      <w:keepNext/>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15AA"/>
  </w:style>
  <w:style w:type="paragraph" w:styleId="BalloonText">
    <w:name w:val="Balloon Text"/>
    <w:basedOn w:val="Normal"/>
    <w:link w:val="BalloonTextChar"/>
    <w:rsid w:val="00D55C80"/>
    <w:rPr>
      <w:rFonts w:ascii="Tahoma" w:hAnsi="Tahoma" w:cs="Tahoma"/>
      <w:sz w:val="16"/>
      <w:szCs w:val="16"/>
    </w:rPr>
  </w:style>
  <w:style w:type="character" w:customStyle="1" w:styleId="BalloonTextChar">
    <w:name w:val="Balloon Text Char"/>
    <w:basedOn w:val="DefaultParagraphFont"/>
    <w:link w:val="BalloonText"/>
    <w:rsid w:val="00D55C80"/>
    <w:rPr>
      <w:rFonts w:ascii="Tahoma" w:hAnsi="Tahoma" w:cs="Tahoma"/>
      <w:sz w:val="16"/>
      <w:szCs w:val="16"/>
    </w:rPr>
  </w:style>
  <w:style w:type="paragraph" w:styleId="BodyText2">
    <w:name w:val="Body Text 2"/>
    <w:basedOn w:val="Normal"/>
    <w:link w:val="BodyText2Char"/>
    <w:rsid w:val="00F155E2"/>
    <w:pPr>
      <w:tabs>
        <w:tab w:val="left" w:pos="-1152"/>
        <w:tab w:val="left" w:pos="-720"/>
        <w:tab w:val="left" w:pos="0"/>
        <w:tab w:val="left" w:pos="270"/>
        <w:tab w:val="left" w:pos="900"/>
        <w:tab w:val="left" w:pos="1440"/>
        <w:tab w:val="left" w:pos="1800"/>
        <w:tab w:val="left" w:pos="2340"/>
        <w:tab w:val="left" w:pos="2880"/>
        <w:tab w:val="left" w:pos="3420"/>
        <w:tab w:val="left" w:pos="3960"/>
        <w:tab w:val="left" w:pos="6480"/>
      </w:tabs>
    </w:pPr>
    <w:rPr>
      <w:rFonts w:ascii="Times New Roman" w:hAnsi="Times New Roman"/>
      <w:color w:val="FF0000"/>
    </w:rPr>
  </w:style>
  <w:style w:type="character" w:customStyle="1" w:styleId="BodyText2Char">
    <w:name w:val="Body Text 2 Char"/>
    <w:basedOn w:val="DefaultParagraphFont"/>
    <w:link w:val="BodyText2"/>
    <w:rsid w:val="00F155E2"/>
    <w:rPr>
      <w:color w:val="FF0000"/>
      <w:sz w:val="24"/>
      <w:szCs w:val="24"/>
    </w:rPr>
  </w:style>
  <w:style w:type="character" w:styleId="Hyperlink">
    <w:name w:val="Hyperlink"/>
    <w:basedOn w:val="DefaultParagraphFont"/>
    <w:rsid w:val="00630B8F"/>
    <w:rPr>
      <w:color w:val="0000FF" w:themeColor="hyperlink"/>
      <w:u w:val="single"/>
    </w:rPr>
  </w:style>
  <w:style w:type="table" w:styleId="TableGrid">
    <w:name w:val="Table Grid"/>
    <w:basedOn w:val="TableNormal"/>
    <w:rsid w:val="0063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A6727"/>
    <w:rPr>
      <w:sz w:val="24"/>
      <w:szCs w:val="24"/>
    </w:rPr>
  </w:style>
  <w:style w:type="character" w:customStyle="1" w:styleId="Heading1Char">
    <w:name w:val="Heading 1 Char"/>
    <w:basedOn w:val="DefaultParagraphFont"/>
    <w:link w:val="Heading1"/>
    <w:rsid w:val="00924D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24DFA"/>
    <w:pPr>
      <w:spacing w:after="120"/>
    </w:pPr>
  </w:style>
  <w:style w:type="character" w:customStyle="1" w:styleId="BodyTextChar">
    <w:name w:val="Body Text Char"/>
    <w:basedOn w:val="DefaultParagraphFont"/>
    <w:link w:val="BodyText"/>
    <w:rsid w:val="00924DF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5AA"/>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924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6727"/>
    <w:pPr>
      <w:keepNext/>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15AA"/>
  </w:style>
  <w:style w:type="paragraph" w:styleId="BalloonText">
    <w:name w:val="Balloon Text"/>
    <w:basedOn w:val="Normal"/>
    <w:link w:val="BalloonTextChar"/>
    <w:rsid w:val="00D55C80"/>
    <w:rPr>
      <w:rFonts w:ascii="Tahoma" w:hAnsi="Tahoma" w:cs="Tahoma"/>
      <w:sz w:val="16"/>
      <w:szCs w:val="16"/>
    </w:rPr>
  </w:style>
  <w:style w:type="character" w:customStyle="1" w:styleId="BalloonTextChar">
    <w:name w:val="Balloon Text Char"/>
    <w:basedOn w:val="DefaultParagraphFont"/>
    <w:link w:val="BalloonText"/>
    <w:rsid w:val="00D55C80"/>
    <w:rPr>
      <w:rFonts w:ascii="Tahoma" w:hAnsi="Tahoma" w:cs="Tahoma"/>
      <w:sz w:val="16"/>
      <w:szCs w:val="16"/>
    </w:rPr>
  </w:style>
  <w:style w:type="paragraph" w:styleId="BodyText2">
    <w:name w:val="Body Text 2"/>
    <w:basedOn w:val="Normal"/>
    <w:link w:val="BodyText2Char"/>
    <w:rsid w:val="00F155E2"/>
    <w:pPr>
      <w:tabs>
        <w:tab w:val="left" w:pos="-1152"/>
        <w:tab w:val="left" w:pos="-720"/>
        <w:tab w:val="left" w:pos="0"/>
        <w:tab w:val="left" w:pos="270"/>
        <w:tab w:val="left" w:pos="900"/>
        <w:tab w:val="left" w:pos="1440"/>
        <w:tab w:val="left" w:pos="1800"/>
        <w:tab w:val="left" w:pos="2340"/>
        <w:tab w:val="left" w:pos="2880"/>
        <w:tab w:val="left" w:pos="3420"/>
        <w:tab w:val="left" w:pos="3960"/>
        <w:tab w:val="left" w:pos="6480"/>
      </w:tabs>
    </w:pPr>
    <w:rPr>
      <w:rFonts w:ascii="Times New Roman" w:hAnsi="Times New Roman"/>
      <w:color w:val="FF0000"/>
    </w:rPr>
  </w:style>
  <w:style w:type="character" w:customStyle="1" w:styleId="BodyText2Char">
    <w:name w:val="Body Text 2 Char"/>
    <w:basedOn w:val="DefaultParagraphFont"/>
    <w:link w:val="BodyText2"/>
    <w:rsid w:val="00F155E2"/>
    <w:rPr>
      <w:color w:val="FF0000"/>
      <w:sz w:val="24"/>
      <w:szCs w:val="24"/>
    </w:rPr>
  </w:style>
  <w:style w:type="character" w:styleId="Hyperlink">
    <w:name w:val="Hyperlink"/>
    <w:basedOn w:val="DefaultParagraphFont"/>
    <w:rsid w:val="00630B8F"/>
    <w:rPr>
      <w:color w:val="0000FF" w:themeColor="hyperlink"/>
      <w:u w:val="single"/>
    </w:rPr>
  </w:style>
  <w:style w:type="table" w:styleId="TableGrid">
    <w:name w:val="Table Grid"/>
    <w:basedOn w:val="TableNormal"/>
    <w:rsid w:val="0063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A6727"/>
    <w:rPr>
      <w:sz w:val="24"/>
      <w:szCs w:val="24"/>
    </w:rPr>
  </w:style>
  <w:style w:type="character" w:customStyle="1" w:styleId="Heading1Char">
    <w:name w:val="Heading 1 Char"/>
    <w:basedOn w:val="DefaultParagraphFont"/>
    <w:link w:val="Heading1"/>
    <w:rsid w:val="00924D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24DFA"/>
    <w:pPr>
      <w:spacing w:after="120"/>
    </w:pPr>
  </w:style>
  <w:style w:type="character" w:customStyle="1" w:styleId="BodyTextChar">
    <w:name w:val="Body Text Char"/>
    <w:basedOn w:val="DefaultParagraphFont"/>
    <w:link w:val="BodyText"/>
    <w:rsid w:val="00924DF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2318</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ECOLES</dc:creator>
  <cp:lastModifiedBy>USDOT_User</cp:lastModifiedBy>
  <cp:revision>4</cp:revision>
  <cp:lastPrinted>2012-02-13T19:56:00Z</cp:lastPrinted>
  <dcterms:created xsi:type="dcterms:W3CDTF">2015-06-26T13:01:00Z</dcterms:created>
  <dcterms:modified xsi:type="dcterms:W3CDTF">2015-07-22T12:10:00Z</dcterms:modified>
</cp:coreProperties>
</file>