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3C4" w:rsidRDefault="00FD03C4" w:rsidP="00FD0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FD03C4" w:rsidRDefault="00FD03C4" w:rsidP="00FD03C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8"/>
        </w:rPr>
      </w:pPr>
    </w:p>
    <w:p w:rsidR="00FD03C4" w:rsidRDefault="00FD03C4" w:rsidP="00FD03C4">
      <w:pPr>
        <w:jc w:val="center"/>
        <w:rPr>
          <w:b/>
          <w:bCs/>
          <w:sz w:val="28"/>
        </w:rPr>
      </w:pPr>
      <w:r>
        <w:rPr>
          <w:b/>
          <w:bCs/>
          <w:sz w:val="28"/>
        </w:rPr>
        <w:t xml:space="preserve">Builder’s Certification </w:t>
      </w:r>
      <w:proofErr w:type="gramStart"/>
      <w:r>
        <w:rPr>
          <w:b/>
          <w:bCs/>
          <w:sz w:val="28"/>
        </w:rPr>
        <w:t>Of</w:t>
      </w:r>
      <w:proofErr w:type="gramEnd"/>
      <w:r>
        <w:rPr>
          <w:b/>
          <w:bCs/>
          <w:sz w:val="28"/>
        </w:rPr>
        <w:t xml:space="preserve"> Plans, Specifications, &amp; Site</w:t>
      </w:r>
    </w:p>
    <w:p w:rsidR="00FD03C4" w:rsidRDefault="00FD03C4" w:rsidP="00FD03C4">
      <w:pPr>
        <w:pStyle w:val="Heading2"/>
      </w:pPr>
      <w:r>
        <w:t>OMB Control Number 2502-0496</w:t>
      </w:r>
    </w:p>
    <w:p w:rsidR="00FD03C4" w:rsidRDefault="00FD03C4" w:rsidP="00FD03C4">
      <w:pPr>
        <w:jc w:val="center"/>
        <w:rPr>
          <w:b/>
          <w:bCs/>
          <w:sz w:val="28"/>
        </w:rPr>
      </w:pPr>
      <w:r>
        <w:rPr>
          <w:b/>
          <w:bCs/>
          <w:sz w:val="28"/>
        </w:rPr>
        <w:t>(Form HUD-92541)</w:t>
      </w:r>
    </w:p>
    <w:p w:rsidR="00FD03C4" w:rsidRDefault="00FD03C4" w:rsidP="00FD03C4">
      <w:pPr>
        <w:rPr>
          <w:b/>
          <w:bCs/>
          <w:sz w:val="24"/>
        </w:rPr>
      </w:pPr>
    </w:p>
    <w:p w:rsidR="00FD03C4" w:rsidRDefault="00FD03C4" w:rsidP="00FD03C4">
      <w:pPr>
        <w:pStyle w:val="Heading1"/>
      </w:pPr>
      <w:proofErr w:type="gramStart"/>
      <w:r>
        <w:t>PART A.</w:t>
      </w:r>
      <w:proofErr w:type="gramEnd"/>
      <w:r>
        <w:t xml:space="preserve">  Justification</w:t>
      </w:r>
    </w:p>
    <w:p w:rsidR="00FD03C4" w:rsidRDefault="00FD03C4" w:rsidP="00FD03C4">
      <w:pPr>
        <w:rPr>
          <w:sz w:val="24"/>
        </w:rPr>
      </w:pPr>
    </w:p>
    <w:p w:rsidR="00FD03C4" w:rsidRDefault="00FD03C4" w:rsidP="00FD03C4">
      <w:pPr>
        <w:numPr>
          <w:ilvl w:val="0"/>
          <w:numId w:val="10"/>
        </w:numPr>
        <w:rPr>
          <w:sz w:val="24"/>
        </w:rPr>
      </w:pPr>
      <w:r w:rsidRPr="00F568F9">
        <w:rPr>
          <w:sz w:val="24"/>
        </w:rPr>
        <w:t xml:space="preserve">Executive Order 11988 (Flood Plain Management) and HUD environmental regulations at 24 CFR 51, 24 CFR 51, and 24 CFR 55 require builders of newly constructed properties to assure that the property is not affected by flood hazards, and newly constructed multifamily housing is not affected by (1) noise; (2) runway clear zones; (3) explosive/flammable materials storage hazards; (4) toxic waste hazards; and (5) other foreseeable hazards that may affect the site (i.e., ground water level, surface drainage, sinkholes, excessive slopes, expansive/collapsible/erosional soils and inadequate fill materials).  </w:t>
      </w:r>
    </w:p>
    <w:p w:rsidR="00FD03C4" w:rsidRDefault="00FD03C4" w:rsidP="00FD03C4">
      <w:pPr>
        <w:ind w:left="360"/>
        <w:rPr>
          <w:sz w:val="24"/>
        </w:rPr>
      </w:pPr>
    </w:p>
    <w:p w:rsidR="00FD03C4" w:rsidRDefault="00FD03C4" w:rsidP="00FD03C4">
      <w:pPr>
        <w:pStyle w:val="ListParagraph"/>
        <w:numPr>
          <w:ilvl w:val="0"/>
          <w:numId w:val="10"/>
        </w:numPr>
        <w:rPr>
          <w:sz w:val="24"/>
        </w:rPr>
      </w:pPr>
      <w:r w:rsidRPr="00B21CBF">
        <w:rPr>
          <w:sz w:val="24"/>
        </w:rPr>
        <w:t>The form has undergone a slight revision for this</w:t>
      </w:r>
      <w:r>
        <w:rPr>
          <w:sz w:val="24"/>
        </w:rPr>
        <w:t xml:space="preserve"> submission.  The form requires the builder to certify that the house has been built according to the 2009 International Energy Conservation Code (IECC)</w:t>
      </w:r>
      <w:r w:rsidRPr="00B21CBF">
        <w:rPr>
          <w:sz w:val="24"/>
        </w:rPr>
        <w:t>.</w:t>
      </w:r>
      <w:r>
        <w:rPr>
          <w:sz w:val="24"/>
        </w:rPr>
        <w:t xml:space="preserve">  HUD published a Final Affordability Determination –Energy Efficiency Standards in the Federal Register on May 5, 2015; following a preliminary determination and request for comments on April 15, 2014.  HUD adopted the 2009 IEEC as the single family standard with the Final Affordability Determination.  The Builder’s Certification (HUD 92541) is the primary way that the Department ensures compliance with the code.</w:t>
      </w:r>
    </w:p>
    <w:p w:rsidR="00FD03C4" w:rsidRPr="00B21CBF" w:rsidRDefault="00FD03C4" w:rsidP="00FD03C4">
      <w:pPr>
        <w:rPr>
          <w:sz w:val="24"/>
        </w:rPr>
      </w:pPr>
    </w:p>
    <w:p w:rsidR="00FD03C4" w:rsidRDefault="00FD03C4" w:rsidP="00FD03C4">
      <w:pPr>
        <w:ind w:left="360"/>
        <w:rPr>
          <w:sz w:val="24"/>
        </w:rPr>
      </w:pPr>
      <w:r>
        <w:rPr>
          <w:sz w:val="24"/>
        </w:rPr>
        <w:t xml:space="preserve">The builder or the builder’s agent completes the site analysis and submits it to the lender using the pdf fillable form.  The site analysis includes noting the proximity </w:t>
      </w:r>
      <w:proofErr w:type="gramStart"/>
      <w:r>
        <w:rPr>
          <w:sz w:val="24"/>
        </w:rPr>
        <w:t>of  the</w:t>
      </w:r>
      <w:proofErr w:type="gramEnd"/>
      <w:r>
        <w:rPr>
          <w:sz w:val="24"/>
        </w:rPr>
        <w:t xml:space="preserve"> property to sites that might affect the value or marketability of the property.  The builder also must indicate that the dwelling was constructed according to certain building codes and indicate which building code the builder adhered to in a different section.  The information must be collected on each case submitted for mortgage insurance that involves new construction so HUD is assured that no site/location factors will adversely affect the dwelling or homeowner.  The information will be shared with the appraiser in order to ensure the appraiser has adequate information regarding the site to perform a proper appraisal analysis.  For condominiums, the form will be used to determine the eligibility of the project.  HUD may review the information on the builder certification on a sampling of cases to assure that the lender has properly considered the siting/location factors during the underwriting of the loan.  Borrower and their attorneys who have complaints against builders for not properly mitigating the problems of a site can also use the form.  </w:t>
      </w:r>
    </w:p>
    <w:p w:rsidR="00FD03C4" w:rsidRDefault="00FD03C4" w:rsidP="00FD03C4">
      <w:pPr>
        <w:pStyle w:val="ListParagraph"/>
        <w:rPr>
          <w:sz w:val="24"/>
        </w:rPr>
      </w:pPr>
    </w:p>
    <w:p w:rsidR="00FD03C4" w:rsidRDefault="00FD03C4" w:rsidP="00FD03C4">
      <w:pPr>
        <w:overflowPunct/>
        <w:ind w:left="360"/>
        <w:textAlignment w:val="auto"/>
        <w:rPr>
          <w:sz w:val="24"/>
          <w:szCs w:val="24"/>
        </w:rPr>
      </w:pPr>
    </w:p>
    <w:p w:rsidR="00FD03C4" w:rsidRDefault="00FD03C4" w:rsidP="00FD03C4">
      <w:pPr>
        <w:numPr>
          <w:ilvl w:val="0"/>
          <w:numId w:val="10"/>
        </w:numPr>
        <w:overflowPunct/>
        <w:textAlignment w:val="auto"/>
        <w:rPr>
          <w:sz w:val="24"/>
          <w:szCs w:val="24"/>
        </w:rPr>
      </w:pPr>
      <w:r w:rsidRPr="003823E0">
        <w:rPr>
          <w:sz w:val="24"/>
          <w:szCs w:val="24"/>
        </w:rPr>
        <w:t xml:space="preserve">The collection of the requested information is 95% automated through the use of the fillable form.  </w:t>
      </w:r>
    </w:p>
    <w:p w:rsidR="00FD03C4" w:rsidRPr="003823E0" w:rsidRDefault="00FD03C4" w:rsidP="00FD03C4">
      <w:pPr>
        <w:overflowPunct/>
        <w:textAlignment w:val="auto"/>
        <w:rPr>
          <w:sz w:val="24"/>
          <w:szCs w:val="24"/>
        </w:rPr>
      </w:pPr>
    </w:p>
    <w:p w:rsidR="00FD03C4" w:rsidRPr="00E537D7" w:rsidRDefault="00FD03C4" w:rsidP="00FD03C4">
      <w:pPr>
        <w:ind w:left="360"/>
        <w:rPr>
          <w:sz w:val="24"/>
          <w:szCs w:val="24"/>
        </w:rPr>
      </w:pPr>
      <w:r w:rsidRPr="00E537D7">
        <w:rPr>
          <w:sz w:val="24"/>
          <w:szCs w:val="24"/>
        </w:rPr>
        <w:t xml:space="preserve">Builders submit the </w:t>
      </w:r>
      <w:r>
        <w:rPr>
          <w:sz w:val="24"/>
          <w:szCs w:val="24"/>
        </w:rPr>
        <w:t>pdf fillable</w:t>
      </w:r>
      <w:r w:rsidRPr="00E537D7">
        <w:rPr>
          <w:sz w:val="24"/>
          <w:szCs w:val="24"/>
        </w:rPr>
        <w:t xml:space="preserve"> to the lenders.  Under FHA-Single Family’s current insurance endorsement policy, a Direct Endorsement (DE) lender may apply for FHA insurance based upon its internal underwriting of the loan.  During the closing process, most lenders log on to a Web-based application, FHA Connection (FHAC), to establish and update a case, log the appraisal, and complete the Insurance Application.  The data entered are subsequently transferred to the Computerized Homes Underwriting Management System (CHUMS), the system of record for the endorsement process.  </w:t>
      </w:r>
    </w:p>
    <w:p w:rsidR="00FD03C4" w:rsidRPr="00E537D7" w:rsidRDefault="00FD03C4" w:rsidP="00FD03C4">
      <w:pPr>
        <w:ind w:left="360"/>
        <w:rPr>
          <w:sz w:val="24"/>
          <w:szCs w:val="24"/>
        </w:rPr>
      </w:pPr>
    </w:p>
    <w:p w:rsidR="00FD03C4" w:rsidRPr="00E537D7" w:rsidRDefault="00FD03C4" w:rsidP="00FD03C4">
      <w:pPr>
        <w:ind w:left="360"/>
        <w:rPr>
          <w:sz w:val="24"/>
          <w:szCs w:val="24"/>
        </w:rPr>
      </w:pPr>
      <w:r w:rsidRPr="00E537D7">
        <w:rPr>
          <w:sz w:val="24"/>
          <w:szCs w:val="24"/>
        </w:rPr>
        <w:t xml:space="preserve">Direct Endorsement Mortgage Lenders who elect to participate in Business-to-Government (B2G) electronically submit the data to HUD using the Electronic Case Binder.  Large lenders with Loan Origination Systems (LOS) transmit data from their LOS or use third party software to send data to CHUMS via a telecommunications method known as B2G (Business to Government).  </w:t>
      </w:r>
      <w:proofErr w:type="gramStart"/>
      <w:r w:rsidRPr="00E537D7">
        <w:rPr>
          <w:sz w:val="24"/>
          <w:szCs w:val="24"/>
        </w:rPr>
        <w:t>CHUMS is</w:t>
      </w:r>
      <w:proofErr w:type="gramEnd"/>
      <w:r w:rsidRPr="00E537D7">
        <w:rPr>
          <w:sz w:val="24"/>
          <w:szCs w:val="24"/>
        </w:rPr>
        <w:t xml:space="preserve"> subsequently updated with the same data elements that other lenders enter into FHAC.</w:t>
      </w:r>
    </w:p>
    <w:p w:rsidR="00FD03C4" w:rsidRPr="00E537D7" w:rsidRDefault="00FD03C4" w:rsidP="00FD03C4">
      <w:pPr>
        <w:ind w:left="360"/>
        <w:rPr>
          <w:sz w:val="24"/>
          <w:szCs w:val="24"/>
        </w:rPr>
      </w:pPr>
    </w:p>
    <w:p w:rsidR="00FD03C4" w:rsidRDefault="00FD03C4" w:rsidP="00FD03C4">
      <w:pPr>
        <w:ind w:left="420"/>
        <w:rPr>
          <w:sz w:val="24"/>
        </w:rPr>
      </w:pPr>
      <w:r w:rsidRPr="00E537D7">
        <w:rPr>
          <w:sz w:val="24"/>
        </w:rPr>
        <w:lastRenderedPageBreak/>
        <w:t xml:space="preserve">After the builders and lenders review the collected information </w:t>
      </w:r>
      <w:r>
        <w:rPr>
          <w:sz w:val="24"/>
        </w:rPr>
        <w:t>it is electronically preserved in the lender’s loan file after Lender Endorsement or provided to HUD either electronically or in a paper file for HUD Endorsement</w:t>
      </w:r>
      <w:r w:rsidRPr="00E537D7">
        <w:rPr>
          <w:sz w:val="24"/>
        </w:rPr>
        <w:t xml:space="preserve">.  </w:t>
      </w:r>
    </w:p>
    <w:p w:rsidR="00FD03C4" w:rsidRDefault="00FD03C4" w:rsidP="00FD03C4">
      <w:pPr>
        <w:ind w:left="420"/>
        <w:rPr>
          <w:sz w:val="24"/>
        </w:rPr>
      </w:pPr>
    </w:p>
    <w:p w:rsidR="00FD03C4" w:rsidRDefault="00FD03C4" w:rsidP="00FD03C4">
      <w:pPr>
        <w:ind w:left="420"/>
        <w:rPr>
          <w:sz w:val="24"/>
        </w:rPr>
      </w:pPr>
      <w:r>
        <w:rPr>
          <w:sz w:val="24"/>
        </w:rPr>
        <w:t>For addition information or questions please call 202-402-2657.</w:t>
      </w:r>
    </w:p>
    <w:p w:rsidR="00FD03C4" w:rsidRPr="00E537D7" w:rsidRDefault="00FD03C4" w:rsidP="00FD03C4">
      <w:pPr>
        <w:ind w:left="420"/>
        <w:rPr>
          <w:sz w:val="24"/>
        </w:rPr>
      </w:pPr>
    </w:p>
    <w:p w:rsidR="00FD03C4" w:rsidRDefault="00FD03C4" w:rsidP="00FD03C4">
      <w:pPr>
        <w:numPr>
          <w:ilvl w:val="0"/>
          <w:numId w:val="11"/>
        </w:numPr>
        <w:rPr>
          <w:sz w:val="24"/>
        </w:rPr>
      </w:pPr>
      <w:r>
        <w:rPr>
          <w:sz w:val="24"/>
        </w:rPr>
        <w:t xml:space="preserve">There is no duplication of information.  The information is not collected elsewhere by HUD for the specific property involved.  </w:t>
      </w:r>
    </w:p>
    <w:p w:rsidR="00FD03C4" w:rsidRDefault="00FD03C4" w:rsidP="00FD03C4">
      <w:pPr>
        <w:ind w:left="60"/>
        <w:rPr>
          <w:sz w:val="24"/>
        </w:rPr>
      </w:pPr>
    </w:p>
    <w:p w:rsidR="00FD03C4" w:rsidRDefault="00FD03C4" w:rsidP="00FD03C4">
      <w:pPr>
        <w:numPr>
          <w:ilvl w:val="0"/>
          <w:numId w:val="11"/>
        </w:numPr>
        <w:rPr>
          <w:sz w:val="24"/>
        </w:rPr>
      </w:pPr>
      <w:r>
        <w:rPr>
          <w:sz w:val="24"/>
        </w:rPr>
        <w:t xml:space="preserve">The information has some impact small businesses or other small entities.  The certification is required of all builders seeking FHA mortgage insurance for newly constructed homes.  According to the National Association of Homebuilders there are more than 35,000 single family homebuilders in the United States and more than 60% of these have gross receipts of less than $1,000,000 a year.  Although small businesses are impacted by this collection the impact is minimal and the information is critical for HUD to collect to insure that builders are in compliance with federal environmental regulations and federal, state and local building codes.  The burden hours are not being reduced at this time because the methods used to provide HUD with the required information have not changed since the last collection period. </w:t>
      </w:r>
    </w:p>
    <w:p w:rsidR="00FD03C4" w:rsidRDefault="00FD03C4" w:rsidP="00FD03C4">
      <w:pPr>
        <w:rPr>
          <w:sz w:val="24"/>
        </w:rPr>
      </w:pPr>
    </w:p>
    <w:p w:rsidR="00FD03C4" w:rsidRDefault="00FD03C4" w:rsidP="00FD03C4">
      <w:pPr>
        <w:numPr>
          <w:ilvl w:val="0"/>
          <w:numId w:val="11"/>
        </w:numPr>
        <w:rPr>
          <w:sz w:val="24"/>
        </w:rPr>
      </w:pPr>
      <w:r>
        <w:rPr>
          <w:sz w:val="24"/>
        </w:rPr>
        <w:t xml:space="preserve">If this form was not used and the collection of the information was not conducted it could pose a health and/or safety risk to borrowers and increase the risk of borrower’s default, adversely impacting the insurance fund.  </w:t>
      </w:r>
    </w:p>
    <w:p w:rsidR="00FD03C4" w:rsidRDefault="00FD03C4" w:rsidP="00FD03C4">
      <w:pPr>
        <w:ind w:left="60"/>
        <w:rPr>
          <w:sz w:val="24"/>
        </w:rPr>
      </w:pPr>
    </w:p>
    <w:p w:rsidR="00FD03C4" w:rsidRDefault="00FD03C4" w:rsidP="00FD03C4">
      <w:pPr>
        <w:numPr>
          <w:ilvl w:val="0"/>
          <w:numId w:val="11"/>
        </w:numPr>
        <w:rPr>
          <w:sz w:val="24"/>
        </w:rPr>
      </w:pPr>
      <w:r>
        <w:rPr>
          <w:sz w:val="24"/>
        </w:rPr>
        <w:t>The builder provides the information to the lender.  The lender places the information in the insured loan case file.  The lender must maintain the case file for the duration of the insured mortgage loan, which could be in excess of 30 years.</w:t>
      </w:r>
    </w:p>
    <w:p w:rsidR="00FD03C4" w:rsidRDefault="00FD03C4" w:rsidP="00FD03C4">
      <w:pPr>
        <w:ind w:left="60"/>
        <w:rPr>
          <w:sz w:val="24"/>
        </w:rPr>
      </w:pPr>
    </w:p>
    <w:p w:rsidR="00FD03C4" w:rsidRPr="00B7657D" w:rsidRDefault="00FD03C4" w:rsidP="00FD03C4">
      <w:pPr>
        <w:numPr>
          <w:ilvl w:val="0"/>
          <w:numId w:val="11"/>
        </w:numPr>
      </w:pPr>
      <w:r>
        <w:rPr>
          <w:sz w:val="24"/>
        </w:rPr>
        <w:t xml:space="preserve">In accordance with 5 CFR 1320.8(d), the agency’s notice soliciting public comments was announced in the </w:t>
      </w:r>
      <w:r w:rsidRPr="00B7657D">
        <w:rPr>
          <w:i/>
          <w:iCs/>
          <w:sz w:val="24"/>
        </w:rPr>
        <w:t>Federal Register</w:t>
      </w:r>
      <w:r w:rsidR="00E14D29">
        <w:rPr>
          <w:sz w:val="24"/>
        </w:rPr>
        <w:t xml:space="preserve"> on Monday, August 24, 2015, (Vol. 80; No. 163, page 51296) No comments were received. </w:t>
      </w:r>
      <w:bookmarkStart w:id="0" w:name="_GoBack"/>
      <w:bookmarkEnd w:id="0"/>
      <w:r>
        <w:rPr>
          <w:sz w:val="24"/>
        </w:rPr>
        <w:t xml:space="preserve">  </w:t>
      </w:r>
    </w:p>
    <w:p w:rsidR="00FD03C4" w:rsidRDefault="00FD03C4" w:rsidP="00FD03C4">
      <w:pPr>
        <w:pStyle w:val="ListParagraph"/>
      </w:pPr>
    </w:p>
    <w:p w:rsidR="00FD03C4" w:rsidRDefault="00FD03C4" w:rsidP="00FD03C4">
      <w:pPr>
        <w:numPr>
          <w:ilvl w:val="0"/>
          <w:numId w:val="11"/>
        </w:numPr>
      </w:pPr>
    </w:p>
    <w:p w:rsidR="00FD03C4" w:rsidRDefault="00FD03C4" w:rsidP="00FD03C4">
      <w:pPr>
        <w:pStyle w:val="BodyTextIndent"/>
      </w:pPr>
      <w:r>
        <w:t>HUD consulted with three HUD staff from the HUD’s Homeownership Centers on the Builder’s Certification availability of data and frequency of collection.</w:t>
      </w:r>
    </w:p>
    <w:p w:rsidR="00FD03C4" w:rsidRPr="0084781D" w:rsidRDefault="00FD03C4" w:rsidP="00FD03C4">
      <w:pPr>
        <w:ind w:left="420"/>
        <w:rPr>
          <w:sz w:val="24"/>
        </w:rPr>
      </w:pPr>
      <w:proofErr w:type="gramStart"/>
      <w:r>
        <w:rPr>
          <w:sz w:val="24"/>
        </w:rPr>
        <w:t>a</w:t>
      </w:r>
      <w:proofErr w:type="gramEnd"/>
      <w:r>
        <w:rPr>
          <w:sz w:val="24"/>
        </w:rPr>
        <w:t>.</w:t>
      </w:r>
      <w:r>
        <w:rPr>
          <w:sz w:val="24"/>
        </w:rPr>
        <w:tab/>
        <w:t>Malcolm Jefferson, Branch Chief,</w:t>
      </w:r>
      <w:r w:rsidRPr="0084781D">
        <w:rPr>
          <w:sz w:val="24"/>
        </w:rPr>
        <w:t xml:space="preserve"> of the Atlanta, GA Hom</w:t>
      </w:r>
      <w:r>
        <w:rPr>
          <w:sz w:val="24"/>
        </w:rPr>
        <w:t>eownership Center (678) 732-2668</w:t>
      </w:r>
      <w:r w:rsidRPr="0084781D">
        <w:rPr>
          <w:sz w:val="24"/>
        </w:rPr>
        <w:t>;</w:t>
      </w:r>
    </w:p>
    <w:p w:rsidR="00FD03C4" w:rsidRPr="0084781D" w:rsidRDefault="00FD03C4" w:rsidP="00FD03C4">
      <w:pPr>
        <w:ind w:left="420"/>
        <w:rPr>
          <w:sz w:val="24"/>
        </w:rPr>
      </w:pPr>
      <w:proofErr w:type="gramStart"/>
      <w:r w:rsidRPr="0084781D">
        <w:rPr>
          <w:sz w:val="24"/>
        </w:rPr>
        <w:t>b</w:t>
      </w:r>
      <w:proofErr w:type="gramEnd"/>
      <w:r w:rsidRPr="0084781D">
        <w:rPr>
          <w:sz w:val="24"/>
        </w:rPr>
        <w:t>.</w:t>
      </w:r>
      <w:r w:rsidRPr="0084781D">
        <w:rPr>
          <w:sz w:val="24"/>
        </w:rPr>
        <w:tab/>
        <w:t>Krish Raja Branch Chief of the Philadelphia, PA Homeownership Center (215) 861-7539; and</w:t>
      </w:r>
    </w:p>
    <w:p w:rsidR="00FD03C4" w:rsidRPr="0084781D" w:rsidRDefault="00FD03C4" w:rsidP="00FD03C4">
      <w:pPr>
        <w:ind w:left="420"/>
        <w:rPr>
          <w:sz w:val="24"/>
        </w:rPr>
      </w:pPr>
      <w:proofErr w:type="gramStart"/>
      <w:r w:rsidRPr="0084781D">
        <w:rPr>
          <w:sz w:val="24"/>
        </w:rPr>
        <w:t>c.</w:t>
      </w:r>
      <w:r w:rsidRPr="0084781D">
        <w:rPr>
          <w:sz w:val="24"/>
        </w:rPr>
        <w:tab/>
        <w:t>Bill</w:t>
      </w:r>
      <w:proofErr w:type="gramEnd"/>
      <w:r w:rsidRPr="0084781D">
        <w:rPr>
          <w:sz w:val="24"/>
        </w:rPr>
        <w:t xml:space="preserve"> Schuler Branch Chief of the Santa Ana, CA Homeownership Center (714) 796-1200 </w:t>
      </w:r>
      <w:proofErr w:type="spellStart"/>
      <w:r w:rsidRPr="0084781D">
        <w:rPr>
          <w:sz w:val="24"/>
        </w:rPr>
        <w:t>ext</w:t>
      </w:r>
      <w:proofErr w:type="spellEnd"/>
      <w:r w:rsidRPr="0084781D">
        <w:rPr>
          <w:sz w:val="24"/>
        </w:rPr>
        <w:t xml:space="preserve"> 3449</w:t>
      </w:r>
    </w:p>
    <w:p w:rsidR="00FD03C4" w:rsidRDefault="00FD03C4" w:rsidP="00FD03C4">
      <w:pPr>
        <w:ind w:left="420"/>
        <w:rPr>
          <w:sz w:val="24"/>
        </w:rPr>
      </w:pPr>
    </w:p>
    <w:p w:rsidR="00FD03C4" w:rsidRDefault="00FD03C4" w:rsidP="00FD03C4">
      <w:pPr>
        <w:ind w:left="420"/>
        <w:rPr>
          <w:sz w:val="24"/>
        </w:rPr>
      </w:pPr>
      <w:r>
        <w:rPr>
          <w:sz w:val="24"/>
        </w:rPr>
        <w:t>All HUD staff concurred that the Builder’s Certification forms are reviewed on post technical reviews in endorsed case binders for new properties.</w:t>
      </w:r>
    </w:p>
    <w:p w:rsidR="00FD03C4" w:rsidRDefault="00FD03C4" w:rsidP="00FD03C4">
      <w:pPr>
        <w:rPr>
          <w:sz w:val="24"/>
        </w:rPr>
      </w:pPr>
    </w:p>
    <w:p w:rsidR="00FD03C4" w:rsidRDefault="00FD03C4" w:rsidP="00FD03C4">
      <w:pPr>
        <w:numPr>
          <w:ilvl w:val="0"/>
          <w:numId w:val="11"/>
        </w:numPr>
        <w:rPr>
          <w:sz w:val="24"/>
        </w:rPr>
      </w:pPr>
      <w:r>
        <w:rPr>
          <w:sz w:val="24"/>
        </w:rPr>
        <w:t>There have not been any decisions to provide any payment or gifts to respondents.</w:t>
      </w:r>
    </w:p>
    <w:p w:rsidR="00FD03C4" w:rsidRDefault="00FD03C4" w:rsidP="00FD03C4">
      <w:pPr>
        <w:rPr>
          <w:sz w:val="24"/>
        </w:rPr>
      </w:pPr>
    </w:p>
    <w:p w:rsidR="00FD03C4" w:rsidRDefault="00FD03C4" w:rsidP="00FD03C4">
      <w:pPr>
        <w:numPr>
          <w:ilvl w:val="0"/>
          <w:numId w:val="11"/>
        </w:numPr>
        <w:rPr>
          <w:sz w:val="24"/>
        </w:rPr>
      </w:pPr>
      <w:r>
        <w:rPr>
          <w:sz w:val="24"/>
        </w:rPr>
        <w:t>The information is part of the underwriting package and is not confidential.</w:t>
      </w:r>
    </w:p>
    <w:p w:rsidR="00FD03C4" w:rsidRPr="00301737" w:rsidRDefault="00FD03C4" w:rsidP="00FD03C4">
      <w:pPr>
        <w:rPr>
          <w:sz w:val="24"/>
        </w:rPr>
      </w:pPr>
    </w:p>
    <w:p w:rsidR="00FD03C4" w:rsidRDefault="00FD03C4" w:rsidP="00FD03C4">
      <w:pPr>
        <w:numPr>
          <w:ilvl w:val="0"/>
          <w:numId w:val="11"/>
        </w:numPr>
        <w:rPr>
          <w:sz w:val="24"/>
        </w:rPr>
      </w:pPr>
      <w:r>
        <w:rPr>
          <w:sz w:val="24"/>
        </w:rPr>
        <w:t>There are no questions of a sensitive nature involved in this collection.</w:t>
      </w:r>
    </w:p>
    <w:p w:rsidR="00FD03C4" w:rsidRDefault="00FD03C4" w:rsidP="00FD03C4">
      <w:pPr>
        <w:ind w:left="60"/>
        <w:rPr>
          <w:sz w:val="24"/>
        </w:rPr>
      </w:pPr>
    </w:p>
    <w:p w:rsidR="005706E6" w:rsidRDefault="005706E6" w:rsidP="00FD03C4">
      <w:pPr>
        <w:ind w:left="60"/>
        <w:rPr>
          <w:sz w:val="24"/>
        </w:rPr>
      </w:pPr>
    </w:p>
    <w:p w:rsidR="005706E6" w:rsidRDefault="005706E6" w:rsidP="00FD03C4">
      <w:pPr>
        <w:ind w:left="60"/>
        <w:rPr>
          <w:sz w:val="24"/>
        </w:rPr>
      </w:pPr>
    </w:p>
    <w:p w:rsidR="005706E6" w:rsidRDefault="005706E6" w:rsidP="00FD03C4">
      <w:pPr>
        <w:ind w:left="60"/>
        <w:rPr>
          <w:sz w:val="24"/>
        </w:rPr>
      </w:pPr>
    </w:p>
    <w:p w:rsidR="005706E6" w:rsidRDefault="005706E6" w:rsidP="00FD03C4">
      <w:pPr>
        <w:ind w:left="60"/>
        <w:rPr>
          <w:sz w:val="24"/>
        </w:rPr>
      </w:pPr>
    </w:p>
    <w:p w:rsidR="005706E6" w:rsidRDefault="005706E6" w:rsidP="00FD03C4">
      <w:pPr>
        <w:ind w:left="60"/>
        <w:rPr>
          <w:sz w:val="24"/>
        </w:rPr>
      </w:pPr>
    </w:p>
    <w:p w:rsidR="005706E6" w:rsidRDefault="005706E6" w:rsidP="00FD03C4">
      <w:pPr>
        <w:ind w:left="60"/>
        <w:rPr>
          <w:sz w:val="24"/>
        </w:rPr>
      </w:pPr>
    </w:p>
    <w:p w:rsidR="005706E6" w:rsidRDefault="005706E6" w:rsidP="00FD03C4">
      <w:pPr>
        <w:ind w:left="60"/>
        <w:rPr>
          <w:sz w:val="24"/>
        </w:rPr>
      </w:pPr>
    </w:p>
    <w:p w:rsidR="00FD03C4" w:rsidRDefault="00FD03C4" w:rsidP="00FD03C4">
      <w:pPr>
        <w:numPr>
          <w:ilvl w:val="0"/>
          <w:numId w:val="11"/>
        </w:numPr>
        <w:rPr>
          <w:sz w:val="24"/>
        </w:rPr>
      </w:pPr>
      <w:r>
        <w:rPr>
          <w:sz w:val="24"/>
        </w:rPr>
        <w:t>Estimates of public burden and costs to respondents:</w:t>
      </w:r>
    </w:p>
    <w:p w:rsidR="00FD03C4" w:rsidRDefault="00FD03C4" w:rsidP="00FD03C4">
      <w:pPr>
        <w:rPr>
          <w:sz w:val="24"/>
        </w:rPr>
      </w:pPr>
    </w:p>
    <w:p w:rsidR="00FD03C4" w:rsidRDefault="00FD03C4" w:rsidP="00FD03C4">
      <w:pPr>
        <w:ind w:left="420"/>
      </w:pPr>
    </w:p>
    <w:tbl>
      <w:tblPr>
        <w:tblW w:w="106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1395"/>
        <w:gridCol w:w="1428"/>
        <w:gridCol w:w="1260"/>
        <w:gridCol w:w="1530"/>
        <w:gridCol w:w="1530"/>
        <w:gridCol w:w="900"/>
        <w:gridCol w:w="1260"/>
      </w:tblGrid>
      <w:tr w:rsidR="00FD03C4" w:rsidTr="001F3848">
        <w:tc>
          <w:tcPr>
            <w:tcW w:w="1317" w:type="dxa"/>
            <w:vAlign w:val="center"/>
          </w:tcPr>
          <w:p w:rsidR="00FD03C4" w:rsidRDefault="00FD03C4" w:rsidP="001F3848">
            <w:pPr>
              <w:jc w:val="center"/>
              <w:rPr>
                <w:rFonts w:ascii="Arial" w:hAnsi="Arial" w:cs="Arial"/>
              </w:rPr>
            </w:pPr>
            <w:r>
              <w:rPr>
                <w:rFonts w:ascii="Arial" w:hAnsi="Arial" w:cs="Arial"/>
              </w:rPr>
              <w:t>Information Collection</w:t>
            </w:r>
          </w:p>
        </w:tc>
        <w:tc>
          <w:tcPr>
            <w:tcW w:w="1395" w:type="dxa"/>
          </w:tcPr>
          <w:p w:rsidR="00FD03C4" w:rsidRDefault="00FD03C4" w:rsidP="001F3848">
            <w:pPr>
              <w:jc w:val="center"/>
              <w:rPr>
                <w:rFonts w:ascii="Arial" w:hAnsi="Arial" w:cs="Arial"/>
              </w:rPr>
            </w:pPr>
            <w:r>
              <w:rPr>
                <w:rFonts w:ascii="Arial" w:hAnsi="Arial" w:cs="Arial"/>
              </w:rPr>
              <w:t>Number of Respondents</w:t>
            </w:r>
          </w:p>
        </w:tc>
        <w:tc>
          <w:tcPr>
            <w:tcW w:w="1428" w:type="dxa"/>
          </w:tcPr>
          <w:p w:rsidR="00FD03C4" w:rsidRDefault="00FD03C4" w:rsidP="001F3848">
            <w:pPr>
              <w:jc w:val="center"/>
              <w:rPr>
                <w:rFonts w:ascii="Arial" w:hAnsi="Arial" w:cs="Arial"/>
              </w:rPr>
            </w:pPr>
            <w:r>
              <w:rPr>
                <w:rFonts w:ascii="Arial" w:hAnsi="Arial" w:cs="Arial"/>
              </w:rPr>
              <w:t>Frequency of Response</w:t>
            </w:r>
          </w:p>
        </w:tc>
        <w:tc>
          <w:tcPr>
            <w:tcW w:w="1260" w:type="dxa"/>
          </w:tcPr>
          <w:p w:rsidR="00FD03C4" w:rsidRDefault="00FD03C4" w:rsidP="001F3848">
            <w:pPr>
              <w:jc w:val="center"/>
              <w:rPr>
                <w:rFonts w:ascii="Arial" w:hAnsi="Arial" w:cs="Arial"/>
              </w:rPr>
            </w:pPr>
            <w:r>
              <w:rPr>
                <w:rFonts w:ascii="Arial" w:hAnsi="Arial" w:cs="Arial"/>
              </w:rPr>
              <w:t>Responses Per Annum</w:t>
            </w:r>
          </w:p>
        </w:tc>
        <w:tc>
          <w:tcPr>
            <w:tcW w:w="1530" w:type="dxa"/>
          </w:tcPr>
          <w:p w:rsidR="00FD03C4" w:rsidRDefault="00FD03C4" w:rsidP="001F3848">
            <w:pPr>
              <w:jc w:val="center"/>
              <w:rPr>
                <w:rFonts w:ascii="Arial" w:hAnsi="Arial" w:cs="Arial"/>
              </w:rPr>
            </w:pPr>
            <w:r>
              <w:rPr>
                <w:rFonts w:ascii="Arial" w:hAnsi="Arial" w:cs="Arial"/>
              </w:rPr>
              <w:t>Burden Hour Per Response</w:t>
            </w:r>
          </w:p>
        </w:tc>
        <w:tc>
          <w:tcPr>
            <w:tcW w:w="1530" w:type="dxa"/>
          </w:tcPr>
          <w:p w:rsidR="00FD03C4" w:rsidRDefault="00FD03C4" w:rsidP="001F3848">
            <w:pPr>
              <w:jc w:val="center"/>
              <w:rPr>
                <w:rFonts w:ascii="Arial" w:hAnsi="Arial" w:cs="Arial"/>
              </w:rPr>
            </w:pPr>
            <w:r>
              <w:rPr>
                <w:rFonts w:ascii="Arial" w:hAnsi="Arial" w:cs="Arial"/>
              </w:rPr>
              <w:t>Annual Burden Hours</w:t>
            </w:r>
          </w:p>
        </w:tc>
        <w:tc>
          <w:tcPr>
            <w:tcW w:w="900" w:type="dxa"/>
          </w:tcPr>
          <w:p w:rsidR="00FD03C4" w:rsidRDefault="00FD03C4" w:rsidP="001F3848">
            <w:pPr>
              <w:jc w:val="center"/>
              <w:rPr>
                <w:rFonts w:ascii="Arial" w:hAnsi="Arial" w:cs="Arial"/>
              </w:rPr>
            </w:pPr>
            <w:r>
              <w:rPr>
                <w:rFonts w:ascii="Arial" w:hAnsi="Arial" w:cs="Arial"/>
              </w:rPr>
              <w:t>Hourly Cost</w:t>
            </w:r>
          </w:p>
        </w:tc>
        <w:tc>
          <w:tcPr>
            <w:tcW w:w="1260" w:type="dxa"/>
          </w:tcPr>
          <w:p w:rsidR="00FD03C4" w:rsidRDefault="00FD03C4" w:rsidP="001F3848">
            <w:pPr>
              <w:jc w:val="center"/>
              <w:rPr>
                <w:rFonts w:ascii="Arial" w:hAnsi="Arial" w:cs="Arial"/>
              </w:rPr>
            </w:pPr>
            <w:r>
              <w:rPr>
                <w:rFonts w:ascii="Arial" w:hAnsi="Arial" w:cs="Arial"/>
              </w:rPr>
              <w:t>Annual Cost</w:t>
            </w:r>
          </w:p>
        </w:tc>
      </w:tr>
      <w:tr w:rsidR="00FD03C4" w:rsidTr="001F3848">
        <w:trPr>
          <w:cantSplit/>
        </w:trPr>
        <w:tc>
          <w:tcPr>
            <w:tcW w:w="10620" w:type="dxa"/>
            <w:gridSpan w:val="8"/>
          </w:tcPr>
          <w:p w:rsidR="00FD03C4" w:rsidRDefault="00FD03C4" w:rsidP="001F3848">
            <w:pPr>
              <w:pStyle w:val="Heading4"/>
            </w:pPr>
            <w:r>
              <w:t>HUD-92541</w:t>
            </w:r>
          </w:p>
        </w:tc>
      </w:tr>
      <w:tr w:rsidR="00FD03C4" w:rsidRPr="006634A9" w:rsidTr="001F3848">
        <w:tc>
          <w:tcPr>
            <w:tcW w:w="1317" w:type="dxa"/>
          </w:tcPr>
          <w:p w:rsidR="00FD03C4" w:rsidRPr="006634A9" w:rsidRDefault="00FD03C4" w:rsidP="001F3848">
            <w:pPr>
              <w:rPr>
                <w:rFonts w:ascii="Arial" w:hAnsi="Arial" w:cs="Arial"/>
                <w:sz w:val="18"/>
              </w:rPr>
            </w:pPr>
            <w:r w:rsidRPr="006634A9">
              <w:rPr>
                <w:rFonts w:ascii="Arial" w:hAnsi="Arial" w:cs="Arial"/>
                <w:sz w:val="18"/>
              </w:rPr>
              <w:t>Builder’s submission</w:t>
            </w:r>
          </w:p>
        </w:tc>
        <w:tc>
          <w:tcPr>
            <w:tcW w:w="1395" w:type="dxa"/>
            <w:vAlign w:val="center"/>
          </w:tcPr>
          <w:p w:rsidR="00FD03C4" w:rsidRPr="006634A9" w:rsidRDefault="00FD03C4" w:rsidP="001F3848">
            <w:pPr>
              <w:jc w:val="center"/>
              <w:rPr>
                <w:rFonts w:ascii="Arial" w:hAnsi="Arial" w:cs="Arial"/>
                <w:sz w:val="18"/>
              </w:rPr>
            </w:pPr>
            <w:r>
              <w:rPr>
                <w:rFonts w:ascii="Arial" w:hAnsi="Arial" w:cs="Arial"/>
                <w:sz w:val="18"/>
              </w:rPr>
              <w:t>35,000</w:t>
            </w:r>
          </w:p>
        </w:tc>
        <w:tc>
          <w:tcPr>
            <w:tcW w:w="1428" w:type="dxa"/>
            <w:vAlign w:val="center"/>
          </w:tcPr>
          <w:p w:rsidR="00FD03C4" w:rsidRPr="006634A9" w:rsidRDefault="00FD03C4" w:rsidP="001F3848">
            <w:pPr>
              <w:jc w:val="center"/>
              <w:rPr>
                <w:rFonts w:ascii="Arial" w:hAnsi="Arial" w:cs="Arial"/>
                <w:sz w:val="18"/>
              </w:rPr>
            </w:pPr>
            <w:r>
              <w:rPr>
                <w:rFonts w:ascii="Arial" w:hAnsi="Arial" w:cs="Arial"/>
                <w:sz w:val="18"/>
              </w:rPr>
              <w:t>.86</w:t>
            </w:r>
            <w:r w:rsidRPr="006634A9">
              <w:rPr>
                <w:rFonts w:ascii="Arial" w:hAnsi="Arial" w:cs="Arial"/>
                <w:sz w:val="18"/>
              </w:rPr>
              <w:t xml:space="preserve"> avg.</w:t>
            </w:r>
          </w:p>
        </w:tc>
        <w:tc>
          <w:tcPr>
            <w:tcW w:w="1260" w:type="dxa"/>
            <w:vAlign w:val="center"/>
          </w:tcPr>
          <w:p w:rsidR="00FD03C4" w:rsidRPr="006634A9" w:rsidRDefault="00FD03C4" w:rsidP="001F3848">
            <w:pPr>
              <w:jc w:val="center"/>
              <w:rPr>
                <w:rFonts w:ascii="Arial" w:hAnsi="Arial" w:cs="Arial"/>
                <w:sz w:val="18"/>
              </w:rPr>
            </w:pPr>
            <w:r w:rsidRPr="006634A9">
              <w:rPr>
                <w:rFonts w:ascii="Arial" w:hAnsi="Arial" w:cs="Arial"/>
                <w:sz w:val="18"/>
              </w:rPr>
              <w:t>30,000</w:t>
            </w:r>
          </w:p>
        </w:tc>
        <w:tc>
          <w:tcPr>
            <w:tcW w:w="1530" w:type="dxa"/>
            <w:vAlign w:val="center"/>
          </w:tcPr>
          <w:p w:rsidR="00FD03C4" w:rsidRPr="006634A9" w:rsidRDefault="00FD03C4" w:rsidP="001F3848">
            <w:pPr>
              <w:jc w:val="center"/>
              <w:rPr>
                <w:rFonts w:ascii="Arial" w:hAnsi="Arial" w:cs="Arial"/>
                <w:sz w:val="18"/>
              </w:rPr>
            </w:pPr>
            <w:r w:rsidRPr="006634A9">
              <w:rPr>
                <w:rFonts w:ascii="Arial" w:hAnsi="Arial" w:cs="Arial"/>
                <w:sz w:val="18"/>
              </w:rPr>
              <w:t>.10</w:t>
            </w:r>
          </w:p>
        </w:tc>
        <w:tc>
          <w:tcPr>
            <w:tcW w:w="1530" w:type="dxa"/>
            <w:vAlign w:val="center"/>
          </w:tcPr>
          <w:p w:rsidR="00FD03C4" w:rsidRPr="006634A9" w:rsidRDefault="00FD03C4" w:rsidP="001F3848">
            <w:pPr>
              <w:ind w:right="252"/>
              <w:jc w:val="right"/>
              <w:rPr>
                <w:rFonts w:ascii="Arial" w:hAnsi="Arial" w:cs="Arial"/>
                <w:sz w:val="18"/>
              </w:rPr>
            </w:pPr>
            <w:r w:rsidRPr="006634A9">
              <w:rPr>
                <w:rFonts w:ascii="Arial" w:hAnsi="Arial" w:cs="Arial"/>
                <w:sz w:val="18"/>
              </w:rPr>
              <w:t>3,000</w:t>
            </w:r>
          </w:p>
        </w:tc>
        <w:tc>
          <w:tcPr>
            <w:tcW w:w="900" w:type="dxa"/>
            <w:vAlign w:val="center"/>
          </w:tcPr>
          <w:p w:rsidR="00FD03C4" w:rsidRPr="006634A9" w:rsidRDefault="00FD03C4" w:rsidP="001F3848">
            <w:pPr>
              <w:jc w:val="center"/>
              <w:rPr>
                <w:rFonts w:ascii="Arial" w:hAnsi="Arial" w:cs="Arial"/>
                <w:sz w:val="18"/>
              </w:rPr>
            </w:pPr>
            <w:r w:rsidRPr="006634A9">
              <w:rPr>
                <w:rFonts w:ascii="Arial" w:hAnsi="Arial" w:cs="Arial"/>
                <w:sz w:val="18"/>
              </w:rPr>
              <w:t>$33.43</w:t>
            </w:r>
          </w:p>
        </w:tc>
        <w:tc>
          <w:tcPr>
            <w:tcW w:w="1260" w:type="dxa"/>
            <w:vAlign w:val="center"/>
          </w:tcPr>
          <w:p w:rsidR="00FD03C4" w:rsidRPr="006634A9" w:rsidRDefault="00FD03C4" w:rsidP="001F3848">
            <w:pPr>
              <w:jc w:val="right"/>
              <w:rPr>
                <w:rFonts w:ascii="Arial" w:hAnsi="Arial" w:cs="Arial"/>
                <w:sz w:val="18"/>
              </w:rPr>
            </w:pPr>
            <w:r w:rsidRPr="006634A9">
              <w:rPr>
                <w:rFonts w:ascii="Arial" w:hAnsi="Arial" w:cs="Arial"/>
                <w:sz w:val="18"/>
              </w:rPr>
              <w:t>$100,290</w:t>
            </w:r>
          </w:p>
        </w:tc>
      </w:tr>
      <w:tr w:rsidR="00FD03C4" w:rsidRPr="006634A9" w:rsidTr="001F3848">
        <w:tc>
          <w:tcPr>
            <w:tcW w:w="1317" w:type="dxa"/>
          </w:tcPr>
          <w:p w:rsidR="00FD03C4" w:rsidRPr="006634A9" w:rsidRDefault="00FD03C4" w:rsidP="001F3848">
            <w:pPr>
              <w:rPr>
                <w:rFonts w:ascii="Arial" w:hAnsi="Arial" w:cs="Arial"/>
                <w:sz w:val="18"/>
              </w:rPr>
            </w:pPr>
            <w:r w:rsidRPr="006634A9">
              <w:rPr>
                <w:rFonts w:ascii="Arial" w:hAnsi="Arial" w:cs="Arial"/>
                <w:sz w:val="18"/>
              </w:rPr>
              <w:t>Lender’s review</w:t>
            </w:r>
          </w:p>
        </w:tc>
        <w:tc>
          <w:tcPr>
            <w:tcW w:w="1395" w:type="dxa"/>
            <w:vAlign w:val="center"/>
          </w:tcPr>
          <w:p w:rsidR="00FD03C4" w:rsidRPr="006634A9" w:rsidRDefault="00FD03C4" w:rsidP="001F3848">
            <w:pPr>
              <w:jc w:val="center"/>
              <w:rPr>
                <w:rFonts w:ascii="Arial" w:hAnsi="Arial" w:cs="Arial"/>
                <w:sz w:val="18"/>
              </w:rPr>
            </w:pPr>
            <w:r w:rsidRPr="006634A9">
              <w:rPr>
                <w:rFonts w:ascii="Arial" w:hAnsi="Arial" w:cs="Arial"/>
                <w:sz w:val="18"/>
              </w:rPr>
              <w:t>3,035</w:t>
            </w:r>
          </w:p>
        </w:tc>
        <w:tc>
          <w:tcPr>
            <w:tcW w:w="1428" w:type="dxa"/>
            <w:vAlign w:val="center"/>
          </w:tcPr>
          <w:p w:rsidR="00FD03C4" w:rsidRPr="006634A9" w:rsidRDefault="00FD03C4" w:rsidP="001F3848">
            <w:pPr>
              <w:jc w:val="center"/>
              <w:rPr>
                <w:rFonts w:ascii="Arial" w:hAnsi="Arial" w:cs="Arial"/>
                <w:sz w:val="18"/>
              </w:rPr>
            </w:pPr>
            <w:r w:rsidRPr="006634A9">
              <w:rPr>
                <w:rFonts w:ascii="Arial" w:hAnsi="Arial" w:cs="Arial"/>
                <w:sz w:val="18"/>
              </w:rPr>
              <w:t>9.83 avg.</w:t>
            </w:r>
          </w:p>
        </w:tc>
        <w:tc>
          <w:tcPr>
            <w:tcW w:w="1260" w:type="dxa"/>
            <w:vAlign w:val="center"/>
          </w:tcPr>
          <w:p w:rsidR="00FD03C4" w:rsidRPr="006634A9" w:rsidRDefault="00FD03C4" w:rsidP="001F3848">
            <w:pPr>
              <w:jc w:val="center"/>
              <w:rPr>
                <w:rFonts w:ascii="Arial" w:hAnsi="Arial" w:cs="Arial"/>
                <w:sz w:val="18"/>
              </w:rPr>
            </w:pPr>
            <w:r w:rsidRPr="006634A9">
              <w:rPr>
                <w:rFonts w:ascii="Arial" w:hAnsi="Arial" w:cs="Arial"/>
                <w:sz w:val="18"/>
              </w:rPr>
              <w:t>30,000</w:t>
            </w:r>
          </w:p>
        </w:tc>
        <w:tc>
          <w:tcPr>
            <w:tcW w:w="1530" w:type="dxa"/>
            <w:vAlign w:val="center"/>
          </w:tcPr>
          <w:p w:rsidR="00FD03C4" w:rsidRPr="006634A9" w:rsidRDefault="00FD03C4" w:rsidP="001F3848">
            <w:pPr>
              <w:jc w:val="center"/>
              <w:rPr>
                <w:rFonts w:ascii="Arial" w:hAnsi="Arial" w:cs="Arial"/>
                <w:sz w:val="18"/>
              </w:rPr>
            </w:pPr>
            <w:r w:rsidRPr="006634A9">
              <w:rPr>
                <w:rFonts w:ascii="Arial" w:hAnsi="Arial" w:cs="Arial"/>
                <w:sz w:val="18"/>
              </w:rPr>
              <w:t>.05</w:t>
            </w:r>
          </w:p>
        </w:tc>
        <w:tc>
          <w:tcPr>
            <w:tcW w:w="1530" w:type="dxa"/>
            <w:vAlign w:val="center"/>
          </w:tcPr>
          <w:p w:rsidR="00FD03C4" w:rsidRPr="006634A9" w:rsidRDefault="00FD03C4" w:rsidP="001F3848">
            <w:pPr>
              <w:ind w:right="252"/>
              <w:jc w:val="right"/>
              <w:rPr>
                <w:rFonts w:ascii="Arial" w:hAnsi="Arial" w:cs="Arial"/>
                <w:sz w:val="18"/>
              </w:rPr>
            </w:pPr>
            <w:r w:rsidRPr="006634A9">
              <w:rPr>
                <w:rFonts w:ascii="Arial" w:hAnsi="Arial" w:cs="Arial"/>
                <w:sz w:val="18"/>
              </w:rPr>
              <w:t>1,500</w:t>
            </w:r>
          </w:p>
        </w:tc>
        <w:tc>
          <w:tcPr>
            <w:tcW w:w="900" w:type="dxa"/>
            <w:vAlign w:val="center"/>
          </w:tcPr>
          <w:p w:rsidR="00FD03C4" w:rsidRPr="006634A9" w:rsidRDefault="00FD03C4" w:rsidP="001F3848">
            <w:pPr>
              <w:jc w:val="center"/>
              <w:rPr>
                <w:rFonts w:ascii="Arial" w:hAnsi="Arial" w:cs="Arial"/>
                <w:sz w:val="18"/>
              </w:rPr>
            </w:pPr>
            <w:r w:rsidRPr="006634A9">
              <w:rPr>
                <w:rFonts w:ascii="Arial" w:hAnsi="Arial" w:cs="Arial"/>
                <w:sz w:val="18"/>
              </w:rPr>
              <w:t>$23.05</w:t>
            </w:r>
          </w:p>
        </w:tc>
        <w:tc>
          <w:tcPr>
            <w:tcW w:w="1260" w:type="dxa"/>
            <w:vAlign w:val="center"/>
          </w:tcPr>
          <w:p w:rsidR="00FD03C4" w:rsidRPr="006634A9" w:rsidRDefault="00FD03C4" w:rsidP="001F3848">
            <w:pPr>
              <w:jc w:val="right"/>
              <w:rPr>
                <w:rFonts w:ascii="Arial" w:hAnsi="Arial" w:cs="Arial"/>
                <w:sz w:val="18"/>
              </w:rPr>
            </w:pPr>
            <w:r w:rsidRPr="006634A9">
              <w:rPr>
                <w:rFonts w:ascii="Arial" w:hAnsi="Arial" w:cs="Arial"/>
                <w:sz w:val="18"/>
              </w:rPr>
              <w:t>$34,575</w:t>
            </w:r>
          </w:p>
        </w:tc>
      </w:tr>
      <w:tr w:rsidR="00FD03C4" w:rsidRPr="006634A9" w:rsidTr="001F3848">
        <w:tc>
          <w:tcPr>
            <w:tcW w:w="1317" w:type="dxa"/>
          </w:tcPr>
          <w:p w:rsidR="00FD03C4" w:rsidRPr="006634A9" w:rsidRDefault="00FD03C4" w:rsidP="001F3848">
            <w:pPr>
              <w:pStyle w:val="Heading3"/>
              <w:rPr>
                <w:rFonts w:ascii="Arial" w:hAnsi="Arial" w:cs="Arial"/>
                <w:sz w:val="20"/>
              </w:rPr>
            </w:pPr>
            <w:r w:rsidRPr="006634A9">
              <w:rPr>
                <w:rFonts w:ascii="Arial" w:hAnsi="Arial" w:cs="Arial"/>
                <w:sz w:val="20"/>
              </w:rPr>
              <w:t xml:space="preserve">   Totals</w:t>
            </w:r>
          </w:p>
        </w:tc>
        <w:tc>
          <w:tcPr>
            <w:tcW w:w="1395" w:type="dxa"/>
            <w:vAlign w:val="center"/>
          </w:tcPr>
          <w:p w:rsidR="00FD03C4" w:rsidRPr="006634A9" w:rsidRDefault="00FD03C4" w:rsidP="001F3848">
            <w:pPr>
              <w:jc w:val="center"/>
              <w:rPr>
                <w:rFonts w:ascii="Arial" w:hAnsi="Arial" w:cs="Arial"/>
                <w:b/>
                <w:bCs/>
              </w:rPr>
            </w:pPr>
            <w:r>
              <w:rPr>
                <w:rFonts w:ascii="Arial" w:hAnsi="Arial" w:cs="Arial"/>
                <w:b/>
                <w:bCs/>
              </w:rPr>
              <w:t>3</w:t>
            </w:r>
            <w:r w:rsidRPr="006634A9">
              <w:rPr>
                <w:rFonts w:ascii="Arial" w:hAnsi="Arial" w:cs="Arial"/>
                <w:b/>
                <w:bCs/>
              </w:rPr>
              <w:t>8,035</w:t>
            </w:r>
          </w:p>
        </w:tc>
        <w:tc>
          <w:tcPr>
            <w:tcW w:w="1428" w:type="dxa"/>
            <w:vAlign w:val="center"/>
          </w:tcPr>
          <w:p w:rsidR="00FD03C4" w:rsidRPr="006634A9" w:rsidRDefault="00FD03C4" w:rsidP="001F3848">
            <w:pPr>
              <w:jc w:val="center"/>
              <w:rPr>
                <w:rFonts w:ascii="Arial" w:hAnsi="Arial" w:cs="Arial"/>
                <w:b/>
                <w:bCs/>
              </w:rPr>
            </w:pPr>
          </w:p>
        </w:tc>
        <w:tc>
          <w:tcPr>
            <w:tcW w:w="1260" w:type="dxa"/>
            <w:vAlign w:val="center"/>
          </w:tcPr>
          <w:p w:rsidR="00FD03C4" w:rsidRPr="006634A9" w:rsidRDefault="00FD03C4" w:rsidP="001F3848">
            <w:pPr>
              <w:jc w:val="center"/>
              <w:rPr>
                <w:rFonts w:ascii="Arial" w:hAnsi="Arial" w:cs="Arial"/>
                <w:b/>
                <w:bCs/>
              </w:rPr>
            </w:pPr>
            <w:r w:rsidRPr="006634A9">
              <w:rPr>
                <w:rFonts w:ascii="Arial" w:hAnsi="Arial" w:cs="Arial"/>
                <w:b/>
                <w:bCs/>
              </w:rPr>
              <w:t>60,000</w:t>
            </w:r>
          </w:p>
        </w:tc>
        <w:tc>
          <w:tcPr>
            <w:tcW w:w="1530" w:type="dxa"/>
            <w:vAlign w:val="center"/>
          </w:tcPr>
          <w:p w:rsidR="00FD03C4" w:rsidRPr="006634A9" w:rsidRDefault="00FD03C4" w:rsidP="001F3848">
            <w:pPr>
              <w:jc w:val="center"/>
              <w:rPr>
                <w:rFonts w:ascii="Arial" w:hAnsi="Arial" w:cs="Arial"/>
                <w:b/>
                <w:bCs/>
              </w:rPr>
            </w:pPr>
          </w:p>
        </w:tc>
        <w:tc>
          <w:tcPr>
            <w:tcW w:w="1530" w:type="dxa"/>
            <w:vAlign w:val="center"/>
          </w:tcPr>
          <w:p w:rsidR="00FD03C4" w:rsidRPr="006634A9" w:rsidRDefault="00FD03C4" w:rsidP="001F3848">
            <w:pPr>
              <w:ind w:right="252"/>
              <w:jc w:val="right"/>
              <w:rPr>
                <w:rFonts w:ascii="Arial" w:hAnsi="Arial" w:cs="Arial"/>
                <w:b/>
                <w:bCs/>
              </w:rPr>
            </w:pPr>
            <w:r w:rsidRPr="006634A9">
              <w:rPr>
                <w:rFonts w:ascii="Arial" w:hAnsi="Arial" w:cs="Arial"/>
                <w:b/>
                <w:bCs/>
              </w:rPr>
              <w:t>4,500</w:t>
            </w:r>
          </w:p>
        </w:tc>
        <w:tc>
          <w:tcPr>
            <w:tcW w:w="900" w:type="dxa"/>
            <w:vAlign w:val="center"/>
          </w:tcPr>
          <w:p w:rsidR="00FD03C4" w:rsidRPr="006634A9" w:rsidRDefault="00FD03C4" w:rsidP="001F3848">
            <w:pPr>
              <w:jc w:val="center"/>
              <w:rPr>
                <w:rFonts w:ascii="Arial" w:hAnsi="Arial" w:cs="Arial"/>
                <w:b/>
                <w:bCs/>
              </w:rPr>
            </w:pPr>
          </w:p>
        </w:tc>
        <w:tc>
          <w:tcPr>
            <w:tcW w:w="1260" w:type="dxa"/>
            <w:vAlign w:val="center"/>
          </w:tcPr>
          <w:p w:rsidR="00FD03C4" w:rsidRPr="006634A9" w:rsidRDefault="00FD03C4" w:rsidP="001F3848">
            <w:pPr>
              <w:jc w:val="right"/>
              <w:rPr>
                <w:rFonts w:ascii="Arial" w:hAnsi="Arial" w:cs="Arial"/>
                <w:b/>
                <w:bCs/>
              </w:rPr>
            </w:pPr>
            <w:r w:rsidRPr="006634A9">
              <w:rPr>
                <w:rFonts w:ascii="Arial" w:hAnsi="Arial" w:cs="Arial"/>
                <w:b/>
                <w:bCs/>
              </w:rPr>
              <w:t>$134,865</w:t>
            </w:r>
          </w:p>
        </w:tc>
      </w:tr>
    </w:tbl>
    <w:p w:rsidR="00FD03C4" w:rsidRDefault="00FD03C4" w:rsidP="00FD03C4">
      <w:pPr>
        <w:ind w:left="420"/>
      </w:pPr>
      <w:r w:rsidRPr="006634A9">
        <w:t>The hourly rate is based on estimates of the average annual salaries of builder and lender staff.</w:t>
      </w:r>
    </w:p>
    <w:p w:rsidR="00FD03C4" w:rsidRDefault="00FD03C4" w:rsidP="00FD03C4">
      <w:pPr>
        <w:ind w:left="420"/>
      </w:pPr>
    </w:p>
    <w:p w:rsidR="00FD03C4" w:rsidRDefault="00FD03C4" w:rsidP="00FD03C4">
      <w:pPr>
        <w:numPr>
          <w:ilvl w:val="0"/>
          <w:numId w:val="11"/>
        </w:numPr>
        <w:rPr>
          <w:sz w:val="24"/>
        </w:rPr>
      </w:pPr>
      <w:r>
        <w:rPr>
          <w:sz w:val="24"/>
        </w:rPr>
        <w:t>There are no capital/start-up costs or ongoing operation/maintenance costs associated with this information collection.  Lenders utilize systems to submit forms that are in existence and communicate with HUD systems based on other requirements, particularly those of collection 2502-0059.</w:t>
      </w:r>
    </w:p>
    <w:p w:rsidR="00FD03C4" w:rsidRDefault="00FD03C4" w:rsidP="00FD03C4">
      <w:pPr>
        <w:rPr>
          <w:sz w:val="24"/>
        </w:rPr>
      </w:pPr>
    </w:p>
    <w:p w:rsidR="00FD03C4" w:rsidRDefault="00FD03C4" w:rsidP="00FD03C4">
      <w:pPr>
        <w:numPr>
          <w:ilvl w:val="0"/>
          <w:numId w:val="11"/>
        </w:numPr>
        <w:rPr>
          <w:sz w:val="24"/>
        </w:rPr>
      </w:pPr>
      <w:r w:rsidRPr="00E7682C">
        <w:rPr>
          <w:sz w:val="24"/>
        </w:rPr>
        <w:t>The costs to the Federal government are minimal, the main cost is ensuring the document is in the loan file, but HUD only reviews the document in a random sampling of cases (</w:t>
      </w:r>
      <w:r>
        <w:rPr>
          <w:sz w:val="24"/>
        </w:rPr>
        <w:t xml:space="preserve">approximately </w:t>
      </w:r>
      <w:r w:rsidRPr="00E7682C">
        <w:rPr>
          <w:sz w:val="24"/>
        </w:rPr>
        <w:t xml:space="preserve">2.4% of those received.) </w:t>
      </w:r>
    </w:p>
    <w:p w:rsidR="00FD03C4" w:rsidRDefault="00FD03C4" w:rsidP="00FD03C4">
      <w:pPr>
        <w:pStyle w:val="ListParagraph"/>
        <w:rPr>
          <w:sz w:val="24"/>
        </w:rPr>
      </w:pPr>
    </w:p>
    <w:p w:rsidR="00FD03C4" w:rsidRPr="00E7682C" w:rsidRDefault="00FD03C4" w:rsidP="00FD03C4">
      <w:pPr>
        <w:ind w:left="420"/>
        <w:rPr>
          <w:sz w:val="24"/>
        </w:rPr>
      </w:pPr>
    </w:p>
    <w:tbl>
      <w:tblPr>
        <w:tblW w:w="106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1395"/>
        <w:gridCol w:w="1428"/>
        <w:gridCol w:w="1260"/>
        <w:gridCol w:w="1530"/>
        <w:gridCol w:w="1530"/>
        <w:gridCol w:w="900"/>
        <w:gridCol w:w="1260"/>
      </w:tblGrid>
      <w:tr w:rsidR="00FD03C4" w:rsidTr="001F3848">
        <w:tc>
          <w:tcPr>
            <w:tcW w:w="1317" w:type="dxa"/>
            <w:vAlign w:val="center"/>
          </w:tcPr>
          <w:p w:rsidR="00FD03C4" w:rsidRDefault="00FD03C4" w:rsidP="001F3848">
            <w:pPr>
              <w:jc w:val="center"/>
              <w:rPr>
                <w:rFonts w:ascii="Arial" w:hAnsi="Arial" w:cs="Arial"/>
              </w:rPr>
            </w:pPr>
            <w:r>
              <w:rPr>
                <w:rFonts w:ascii="Arial" w:hAnsi="Arial" w:cs="Arial"/>
              </w:rPr>
              <w:t>Information Collection</w:t>
            </w:r>
          </w:p>
        </w:tc>
        <w:tc>
          <w:tcPr>
            <w:tcW w:w="1395" w:type="dxa"/>
          </w:tcPr>
          <w:p w:rsidR="00FD03C4" w:rsidRDefault="00FD03C4" w:rsidP="001F3848">
            <w:pPr>
              <w:jc w:val="center"/>
              <w:rPr>
                <w:rFonts w:ascii="Arial" w:hAnsi="Arial" w:cs="Arial"/>
              </w:rPr>
            </w:pPr>
            <w:r>
              <w:rPr>
                <w:rFonts w:ascii="Arial" w:hAnsi="Arial" w:cs="Arial"/>
              </w:rPr>
              <w:t>Number of Respondents</w:t>
            </w:r>
          </w:p>
        </w:tc>
        <w:tc>
          <w:tcPr>
            <w:tcW w:w="1428" w:type="dxa"/>
          </w:tcPr>
          <w:p w:rsidR="00FD03C4" w:rsidRDefault="00FD03C4" w:rsidP="001F3848">
            <w:pPr>
              <w:jc w:val="center"/>
              <w:rPr>
                <w:rFonts w:ascii="Arial" w:hAnsi="Arial" w:cs="Arial"/>
              </w:rPr>
            </w:pPr>
            <w:r>
              <w:rPr>
                <w:rFonts w:ascii="Arial" w:hAnsi="Arial" w:cs="Arial"/>
              </w:rPr>
              <w:t>Frequency of Response</w:t>
            </w:r>
          </w:p>
        </w:tc>
        <w:tc>
          <w:tcPr>
            <w:tcW w:w="1260" w:type="dxa"/>
          </w:tcPr>
          <w:p w:rsidR="00FD03C4" w:rsidRDefault="00FD03C4" w:rsidP="001F3848">
            <w:pPr>
              <w:jc w:val="center"/>
              <w:rPr>
                <w:rFonts w:ascii="Arial" w:hAnsi="Arial" w:cs="Arial"/>
              </w:rPr>
            </w:pPr>
            <w:r>
              <w:rPr>
                <w:rFonts w:ascii="Arial" w:hAnsi="Arial" w:cs="Arial"/>
              </w:rPr>
              <w:t>Responses Per Annum</w:t>
            </w:r>
          </w:p>
        </w:tc>
        <w:tc>
          <w:tcPr>
            <w:tcW w:w="1530" w:type="dxa"/>
          </w:tcPr>
          <w:p w:rsidR="00FD03C4" w:rsidRDefault="00FD03C4" w:rsidP="001F3848">
            <w:pPr>
              <w:jc w:val="center"/>
              <w:rPr>
                <w:rFonts w:ascii="Arial" w:hAnsi="Arial" w:cs="Arial"/>
              </w:rPr>
            </w:pPr>
            <w:r>
              <w:rPr>
                <w:rFonts w:ascii="Arial" w:hAnsi="Arial" w:cs="Arial"/>
              </w:rPr>
              <w:t>Burden Hour Per Response</w:t>
            </w:r>
          </w:p>
        </w:tc>
        <w:tc>
          <w:tcPr>
            <w:tcW w:w="1530" w:type="dxa"/>
          </w:tcPr>
          <w:p w:rsidR="00FD03C4" w:rsidRDefault="00FD03C4" w:rsidP="001F3848">
            <w:pPr>
              <w:jc w:val="center"/>
              <w:rPr>
                <w:rFonts w:ascii="Arial" w:hAnsi="Arial" w:cs="Arial"/>
              </w:rPr>
            </w:pPr>
            <w:r>
              <w:rPr>
                <w:rFonts w:ascii="Arial" w:hAnsi="Arial" w:cs="Arial"/>
              </w:rPr>
              <w:t>Annual Burden Hours</w:t>
            </w:r>
          </w:p>
        </w:tc>
        <w:tc>
          <w:tcPr>
            <w:tcW w:w="900" w:type="dxa"/>
          </w:tcPr>
          <w:p w:rsidR="00FD03C4" w:rsidRDefault="00FD03C4" w:rsidP="001F3848">
            <w:pPr>
              <w:jc w:val="center"/>
              <w:rPr>
                <w:rFonts w:ascii="Arial" w:hAnsi="Arial" w:cs="Arial"/>
              </w:rPr>
            </w:pPr>
            <w:r>
              <w:rPr>
                <w:rFonts w:ascii="Arial" w:hAnsi="Arial" w:cs="Arial"/>
              </w:rPr>
              <w:t>Hourly Cost</w:t>
            </w:r>
          </w:p>
        </w:tc>
        <w:tc>
          <w:tcPr>
            <w:tcW w:w="1260" w:type="dxa"/>
          </w:tcPr>
          <w:p w:rsidR="00FD03C4" w:rsidRDefault="00FD03C4" w:rsidP="001F3848">
            <w:pPr>
              <w:jc w:val="center"/>
              <w:rPr>
                <w:rFonts w:ascii="Arial" w:hAnsi="Arial" w:cs="Arial"/>
              </w:rPr>
            </w:pPr>
            <w:r>
              <w:rPr>
                <w:rFonts w:ascii="Arial" w:hAnsi="Arial" w:cs="Arial"/>
              </w:rPr>
              <w:t>Annual Cost</w:t>
            </w:r>
          </w:p>
        </w:tc>
      </w:tr>
      <w:tr w:rsidR="00FD03C4" w:rsidTr="001F3848">
        <w:trPr>
          <w:cantSplit/>
        </w:trPr>
        <w:tc>
          <w:tcPr>
            <w:tcW w:w="10620" w:type="dxa"/>
            <w:gridSpan w:val="8"/>
          </w:tcPr>
          <w:p w:rsidR="00FD03C4" w:rsidRDefault="00FD03C4" w:rsidP="001F3848">
            <w:pPr>
              <w:pStyle w:val="Heading4"/>
            </w:pPr>
            <w:r>
              <w:t>HUD-92541</w:t>
            </w:r>
          </w:p>
        </w:tc>
      </w:tr>
      <w:tr w:rsidR="00FD03C4" w:rsidRPr="006634A9" w:rsidTr="001F3848">
        <w:tc>
          <w:tcPr>
            <w:tcW w:w="1317" w:type="dxa"/>
          </w:tcPr>
          <w:p w:rsidR="00FD03C4" w:rsidRPr="006634A9" w:rsidRDefault="00FD03C4" w:rsidP="001F3848">
            <w:pPr>
              <w:rPr>
                <w:rFonts w:ascii="Arial" w:hAnsi="Arial" w:cs="Arial"/>
                <w:sz w:val="18"/>
              </w:rPr>
            </w:pPr>
            <w:r>
              <w:rPr>
                <w:rFonts w:ascii="Arial" w:hAnsi="Arial" w:cs="Arial"/>
                <w:sz w:val="18"/>
              </w:rPr>
              <w:t>HUD check</w:t>
            </w:r>
          </w:p>
        </w:tc>
        <w:tc>
          <w:tcPr>
            <w:tcW w:w="1395" w:type="dxa"/>
            <w:vAlign w:val="center"/>
          </w:tcPr>
          <w:p w:rsidR="00FD03C4" w:rsidRPr="006634A9" w:rsidRDefault="00FD03C4" w:rsidP="001F3848">
            <w:pPr>
              <w:jc w:val="center"/>
              <w:rPr>
                <w:rFonts w:ascii="Arial" w:hAnsi="Arial" w:cs="Arial"/>
                <w:sz w:val="18"/>
              </w:rPr>
            </w:pPr>
            <w:r>
              <w:rPr>
                <w:rFonts w:ascii="Arial" w:hAnsi="Arial" w:cs="Arial"/>
                <w:sz w:val="18"/>
              </w:rPr>
              <w:t>n/a</w:t>
            </w:r>
          </w:p>
        </w:tc>
        <w:tc>
          <w:tcPr>
            <w:tcW w:w="1428" w:type="dxa"/>
            <w:vAlign w:val="center"/>
          </w:tcPr>
          <w:p w:rsidR="00FD03C4" w:rsidRPr="006634A9" w:rsidRDefault="00FD03C4" w:rsidP="001F3848">
            <w:pPr>
              <w:jc w:val="center"/>
              <w:rPr>
                <w:rFonts w:ascii="Arial" w:hAnsi="Arial" w:cs="Arial"/>
                <w:sz w:val="18"/>
              </w:rPr>
            </w:pPr>
          </w:p>
        </w:tc>
        <w:tc>
          <w:tcPr>
            <w:tcW w:w="1260" w:type="dxa"/>
            <w:vAlign w:val="center"/>
          </w:tcPr>
          <w:p w:rsidR="00FD03C4" w:rsidRPr="006634A9" w:rsidRDefault="00FD03C4" w:rsidP="001F3848">
            <w:pPr>
              <w:jc w:val="center"/>
              <w:rPr>
                <w:rFonts w:ascii="Arial" w:hAnsi="Arial" w:cs="Arial"/>
                <w:sz w:val="18"/>
              </w:rPr>
            </w:pPr>
            <w:r w:rsidRPr="006634A9">
              <w:rPr>
                <w:rFonts w:ascii="Arial" w:hAnsi="Arial" w:cs="Arial"/>
                <w:sz w:val="18"/>
              </w:rPr>
              <w:t>30,000</w:t>
            </w:r>
          </w:p>
        </w:tc>
        <w:tc>
          <w:tcPr>
            <w:tcW w:w="1530" w:type="dxa"/>
            <w:vAlign w:val="center"/>
          </w:tcPr>
          <w:p w:rsidR="00FD03C4" w:rsidRPr="006634A9" w:rsidRDefault="00FD03C4" w:rsidP="001F3848">
            <w:pPr>
              <w:jc w:val="center"/>
              <w:rPr>
                <w:rFonts w:ascii="Arial" w:hAnsi="Arial" w:cs="Arial"/>
                <w:sz w:val="18"/>
              </w:rPr>
            </w:pPr>
            <w:r>
              <w:rPr>
                <w:rFonts w:ascii="Arial" w:hAnsi="Arial" w:cs="Arial"/>
                <w:sz w:val="18"/>
              </w:rPr>
              <w:t>.05</w:t>
            </w:r>
          </w:p>
        </w:tc>
        <w:tc>
          <w:tcPr>
            <w:tcW w:w="1530" w:type="dxa"/>
            <w:vAlign w:val="center"/>
          </w:tcPr>
          <w:p w:rsidR="00FD03C4" w:rsidRPr="006634A9" w:rsidRDefault="00FD03C4" w:rsidP="001F3848">
            <w:pPr>
              <w:ind w:right="252"/>
              <w:jc w:val="right"/>
              <w:rPr>
                <w:rFonts w:ascii="Arial" w:hAnsi="Arial" w:cs="Arial"/>
                <w:sz w:val="18"/>
              </w:rPr>
            </w:pPr>
            <w:r>
              <w:rPr>
                <w:rFonts w:ascii="Arial" w:hAnsi="Arial" w:cs="Arial"/>
                <w:sz w:val="18"/>
              </w:rPr>
              <w:t>1,500</w:t>
            </w:r>
          </w:p>
        </w:tc>
        <w:tc>
          <w:tcPr>
            <w:tcW w:w="900" w:type="dxa"/>
            <w:vAlign w:val="center"/>
          </w:tcPr>
          <w:p w:rsidR="00FD03C4" w:rsidRPr="006634A9" w:rsidRDefault="00FD03C4" w:rsidP="001F3848">
            <w:pPr>
              <w:jc w:val="center"/>
              <w:rPr>
                <w:rFonts w:ascii="Arial" w:hAnsi="Arial" w:cs="Arial"/>
                <w:sz w:val="18"/>
              </w:rPr>
            </w:pPr>
            <w:r w:rsidRPr="006634A9">
              <w:rPr>
                <w:rFonts w:ascii="Arial" w:hAnsi="Arial" w:cs="Arial"/>
                <w:sz w:val="18"/>
              </w:rPr>
              <w:t>$</w:t>
            </w:r>
            <w:r>
              <w:rPr>
                <w:rFonts w:ascii="Arial" w:hAnsi="Arial" w:cs="Arial"/>
                <w:sz w:val="18"/>
              </w:rPr>
              <w:t>24.74</w:t>
            </w:r>
          </w:p>
        </w:tc>
        <w:tc>
          <w:tcPr>
            <w:tcW w:w="1260" w:type="dxa"/>
            <w:vAlign w:val="center"/>
          </w:tcPr>
          <w:p w:rsidR="00FD03C4" w:rsidRPr="006634A9" w:rsidRDefault="00FD03C4" w:rsidP="001F3848">
            <w:pPr>
              <w:jc w:val="right"/>
              <w:rPr>
                <w:rFonts w:ascii="Arial" w:hAnsi="Arial" w:cs="Arial"/>
                <w:sz w:val="18"/>
              </w:rPr>
            </w:pPr>
            <w:r>
              <w:rPr>
                <w:rFonts w:ascii="Arial" w:hAnsi="Arial" w:cs="Arial"/>
                <w:sz w:val="18"/>
              </w:rPr>
              <w:t>$37,110</w:t>
            </w:r>
          </w:p>
        </w:tc>
      </w:tr>
      <w:tr w:rsidR="00FD03C4" w:rsidRPr="006634A9" w:rsidTr="001F3848">
        <w:tc>
          <w:tcPr>
            <w:tcW w:w="1317" w:type="dxa"/>
          </w:tcPr>
          <w:p w:rsidR="00FD03C4" w:rsidRPr="006634A9" w:rsidRDefault="00FD03C4" w:rsidP="001F3848">
            <w:pPr>
              <w:rPr>
                <w:rFonts w:ascii="Arial" w:hAnsi="Arial" w:cs="Arial"/>
                <w:sz w:val="18"/>
              </w:rPr>
            </w:pPr>
            <w:r>
              <w:rPr>
                <w:rFonts w:ascii="Arial" w:hAnsi="Arial" w:cs="Arial"/>
                <w:sz w:val="18"/>
              </w:rPr>
              <w:t>HUD review</w:t>
            </w:r>
          </w:p>
        </w:tc>
        <w:tc>
          <w:tcPr>
            <w:tcW w:w="1395" w:type="dxa"/>
            <w:vAlign w:val="center"/>
          </w:tcPr>
          <w:p w:rsidR="00FD03C4" w:rsidRPr="006634A9" w:rsidRDefault="00FD03C4" w:rsidP="001F3848">
            <w:pPr>
              <w:jc w:val="center"/>
              <w:rPr>
                <w:rFonts w:ascii="Arial" w:hAnsi="Arial" w:cs="Arial"/>
                <w:sz w:val="18"/>
              </w:rPr>
            </w:pPr>
            <w:r>
              <w:rPr>
                <w:rFonts w:ascii="Arial" w:hAnsi="Arial" w:cs="Arial"/>
                <w:sz w:val="18"/>
              </w:rPr>
              <w:t>n/a</w:t>
            </w:r>
          </w:p>
        </w:tc>
        <w:tc>
          <w:tcPr>
            <w:tcW w:w="1428" w:type="dxa"/>
            <w:vAlign w:val="center"/>
          </w:tcPr>
          <w:p w:rsidR="00FD03C4" w:rsidRPr="006634A9" w:rsidRDefault="00FD03C4" w:rsidP="001F3848">
            <w:pPr>
              <w:jc w:val="center"/>
              <w:rPr>
                <w:rFonts w:ascii="Arial" w:hAnsi="Arial" w:cs="Arial"/>
                <w:sz w:val="18"/>
              </w:rPr>
            </w:pPr>
          </w:p>
        </w:tc>
        <w:tc>
          <w:tcPr>
            <w:tcW w:w="1260" w:type="dxa"/>
            <w:vAlign w:val="center"/>
          </w:tcPr>
          <w:p w:rsidR="00FD03C4" w:rsidRPr="006634A9" w:rsidRDefault="00FD03C4" w:rsidP="001F3848">
            <w:pPr>
              <w:jc w:val="center"/>
              <w:rPr>
                <w:rFonts w:ascii="Arial" w:hAnsi="Arial" w:cs="Arial"/>
                <w:sz w:val="18"/>
              </w:rPr>
            </w:pPr>
            <w:r>
              <w:rPr>
                <w:rFonts w:ascii="Arial" w:hAnsi="Arial" w:cs="Arial"/>
                <w:sz w:val="18"/>
              </w:rPr>
              <w:t>720</w:t>
            </w:r>
          </w:p>
        </w:tc>
        <w:tc>
          <w:tcPr>
            <w:tcW w:w="1530" w:type="dxa"/>
            <w:vAlign w:val="center"/>
          </w:tcPr>
          <w:p w:rsidR="00FD03C4" w:rsidRPr="006634A9" w:rsidRDefault="00FD03C4" w:rsidP="001F3848">
            <w:pPr>
              <w:jc w:val="center"/>
              <w:rPr>
                <w:rFonts w:ascii="Arial" w:hAnsi="Arial" w:cs="Arial"/>
                <w:sz w:val="18"/>
              </w:rPr>
            </w:pPr>
            <w:r>
              <w:rPr>
                <w:rFonts w:ascii="Arial" w:hAnsi="Arial" w:cs="Arial"/>
                <w:sz w:val="18"/>
              </w:rPr>
              <w:t>.10</w:t>
            </w:r>
          </w:p>
        </w:tc>
        <w:tc>
          <w:tcPr>
            <w:tcW w:w="1530" w:type="dxa"/>
            <w:vAlign w:val="center"/>
          </w:tcPr>
          <w:p w:rsidR="00FD03C4" w:rsidRPr="006634A9" w:rsidRDefault="00FD03C4" w:rsidP="001F3848">
            <w:pPr>
              <w:ind w:right="252"/>
              <w:jc w:val="right"/>
              <w:rPr>
                <w:rFonts w:ascii="Arial" w:hAnsi="Arial" w:cs="Arial"/>
                <w:sz w:val="18"/>
              </w:rPr>
            </w:pPr>
            <w:r>
              <w:rPr>
                <w:rFonts w:ascii="Arial" w:hAnsi="Arial" w:cs="Arial"/>
                <w:sz w:val="18"/>
              </w:rPr>
              <w:t>72</w:t>
            </w:r>
          </w:p>
        </w:tc>
        <w:tc>
          <w:tcPr>
            <w:tcW w:w="900" w:type="dxa"/>
            <w:vAlign w:val="center"/>
          </w:tcPr>
          <w:p w:rsidR="00FD03C4" w:rsidRPr="006634A9" w:rsidRDefault="00FD03C4" w:rsidP="001F3848">
            <w:pPr>
              <w:jc w:val="center"/>
              <w:rPr>
                <w:rFonts w:ascii="Arial" w:hAnsi="Arial" w:cs="Arial"/>
                <w:sz w:val="18"/>
              </w:rPr>
            </w:pPr>
            <w:r w:rsidRPr="006634A9">
              <w:rPr>
                <w:rFonts w:ascii="Arial" w:hAnsi="Arial" w:cs="Arial"/>
                <w:sz w:val="18"/>
              </w:rPr>
              <w:t>$</w:t>
            </w:r>
            <w:r>
              <w:rPr>
                <w:rFonts w:ascii="Arial" w:hAnsi="Arial" w:cs="Arial"/>
                <w:sz w:val="18"/>
              </w:rPr>
              <w:t>40.88</w:t>
            </w:r>
          </w:p>
        </w:tc>
        <w:tc>
          <w:tcPr>
            <w:tcW w:w="1260" w:type="dxa"/>
            <w:vAlign w:val="center"/>
          </w:tcPr>
          <w:p w:rsidR="00FD03C4" w:rsidRPr="006634A9" w:rsidRDefault="00FD03C4" w:rsidP="001F3848">
            <w:pPr>
              <w:jc w:val="right"/>
              <w:rPr>
                <w:rFonts w:ascii="Arial" w:hAnsi="Arial" w:cs="Arial"/>
                <w:sz w:val="18"/>
              </w:rPr>
            </w:pPr>
            <w:r>
              <w:rPr>
                <w:rFonts w:ascii="Arial" w:hAnsi="Arial" w:cs="Arial"/>
                <w:sz w:val="18"/>
              </w:rPr>
              <w:t>$2,943</w:t>
            </w:r>
          </w:p>
        </w:tc>
      </w:tr>
      <w:tr w:rsidR="00FD03C4" w:rsidRPr="006634A9" w:rsidTr="001F3848">
        <w:tc>
          <w:tcPr>
            <w:tcW w:w="1317" w:type="dxa"/>
          </w:tcPr>
          <w:p w:rsidR="00FD03C4" w:rsidRPr="006634A9" w:rsidRDefault="00FD03C4" w:rsidP="001F3848">
            <w:pPr>
              <w:pStyle w:val="Heading3"/>
              <w:rPr>
                <w:rFonts w:ascii="Arial" w:hAnsi="Arial" w:cs="Arial"/>
                <w:sz w:val="20"/>
              </w:rPr>
            </w:pPr>
            <w:r w:rsidRPr="006634A9">
              <w:rPr>
                <w:rFonts w:ascii="Arial" w:hAnsi="Arial" w:cs="Arial"/>
                <w:sz w:val="20"/>
              </w:rPr>
              <w:t xml:space="preserve">   Totals</w:t>
            </w:r>
          </w:p>
        </w:tc>
        <w:tc>
          <w:tcPr>
            <w:tcW w:w="1395" w:type="dxa"/>
            <w:vAlign w:val="center"/>
          </w:tcPr>
          <w:p w:rsidR="00FD03C4" w:rsidRPr="006634A9" w:rsidRDefault="00FD03C4" w:rsidP="001F3848">
            <w:pPr>
              <w:jc w:val="center"/>
              <w:rPr>
                <w:rFonts w:ascii="Arial" w:hAnsi="Arial" w:cs="Arial"/>
                <w:b/>
                <w:bCs/>
              </w:rPr>
            </w:pPr>
            <w:r>
              <w:rPr>
                <w:rFonts w:ascii="Arial" w:hAnsi="Arial" w:cs="Arial"/>
                <w:b/>
                <w:bCs/>
              </w:rPr>
              <w:t>n/a</w:t>
            </w:r>
          </w:p>
        </w:tc>
        <w:tc>
          <w:tcPr>
            <w:tcW w:w="1428" w:type="dxa"/>
            <w:vAlign w:val="center"/>
          </w:tcPr>
          <w:p w:rsidR="00FD03C4" w:rsidRPr="006634A9" w:rsidRDefault="00FD03C4" w:rsidP="001F3848">
            <w:pPr>
              <w:jc w:val="center"/>
              <w:rPr>
                <w:rFonts w:ascii="Arial" w:hAnsi="Arial" w:cs="Arial"/>
                <w:b/>
                <w:bCs/>
              </w:rPr>
            </w:pPr>
          </w:p>
        </w:tc>
        <w:tc>
          <w:tcPr>
            <w:tcW w:w="1260" w:type="dxa"/>
            <w:vAlign w:val="center"/>
          </w:tcPr>
          <w:p w:rsidR="00FD03C4" w:rsidRPr="006634A9" w:rsidRDefault="00FD03C4" w:rsidP="001F3848">
            <w:pPr>
              <w:jc w:val="center"/>
              <w:rPr>
                <w:rFonts w:ascii="Arial" w:hAnsi="Arial" w:cs="Arial"/>
                <w:b/>
                <w:bCs/>
              </w:rPr>
            </w:pPr>
            <w:r>
              <w:rPr>
                <w:rFonts w:ascii="Arial" w:hAnsi="Arial" w:cs="Arial"/>
                <w:b/>
                <w:bCs/>
              </w:rPr>
              <w:t>30,720</w:t>
            </w:r>
          </w:p>
        </w:tc>
        <w:tc>
          <w:tcPr>
            <w:tcW w:w="1530" w:type="dxa"/>
            <w:vAlign w:val="center"/>
          </w:tcPr>
          <w:p w:rsidR="00FD03C4" w:rsidRPr="006634A9" w:rsidRDefault="00FD03C4" w:rsidP="001F3848">
            <w:pPr>
              <w:jc w:val="center"/>
              <w:rPr>
                <w:rFonts w:ascii="Arial" w:hAnsi="Arial" w:cs="Arial"/>
                <w:b/>
                <w:bCs/>
              </w:rPr>
            </w:pPr>
          </w:p>
        </w:tc>
        <w:tc>
          <w:tcPr>
            <w:tcW w:w="1530" w:type="dxa"/>
            <w:vAlign w:val="center"/>
          </w:tcPr>
          <w:p w:rsidR="00FD03C4" w:rsidRPr="006634A9" w:rsidRDefault="00FD03C4" w:rsidP="001F3848">
            <w:pPr>
              <w:ind w:right="252"/>
              <w:jc w:val="right"/>
              <w:rPr>
                <w:rFonts w:ascii="Arial" w:hAnsi="Arial" w:cs="Arial"/>
                <w:b/>
                <w:bCs/>
              </w:rPr>
            </w:pPr>
            <w:r>
              <w:rPr>
                <w:rFonts w:ascii="Arial" w:hAnsi="Arial" w:cs="Arial"/>
                <w:b/>
                <w:bCs/>
              </w:rPr>
              <w:t>1,572</w:t>
            </w:r>
          </w:p>
        </w:tc>
        <w:tc>
          <w:tcPr>
            <w:tcW w:w="900" w:type="dxa"/>
            <w:vAlign w:val="center"/>
          </w:tcPr>
          <w:p w:rsidR="00FD03C4" w:rsidRPr="006634A9" w:rsidRDefault="00FD03C4" w:rsidP="001F3848">
            <w:pPr>
              <w:jc w:val="center"/>
              <w:rPr>
                <w:rFonts w:ascii="Arial" w:hAnsi="Arial" w:cs="Arial"/>
                <w:b/>
                <w:bCs/>
              </w:rPr>
            </w:pPr>
          </w:p>
        </w:tc>
        <w:tc>
          <w:tcPr>
            <w:tcW w:w="1260" w:type="dxa"/>
            <w:vAlign w:val="center"/>
          </w:tcPr>
          <w:p w:rsidR="00FD03C4" w:rsidRPr="006634A9" w:rsidRDefault="00FD03C4" w:rsidP="001F3848">
            <w:pPr>
              <w:jc w:val="right"/>
              <w:rPr>
                <w:rFonts w:ascii="Arial" w:hAnsi="Arial" w:cs="Arial"/>
                <w:b/>
                <w:bCs/>
              </w:rPr>
            </w:pPr>
            <w:r>
              <w:rPr>
                <w:rFonts w:ascii="Arial" w:hAnsi="Arial" w:cs="Arial"/>
                <w:b/>
                <w:bCs/>
              </w:rPr>
              <w:t>$40,053</w:t>
            </w:r>
          </w:p>
        </w:tc>
      </w:tr>
    </w:tbl>
    <w:p w:rsidR="00FD03C4" w:rsidRDefault="00FD03C4" w:rsidP="00FD03C4">
      <w:pPr>
        <w:ind w:left="420"/>
        <w:rPr>
          <w:sz w:val="24"/>
        </w:rPr>
      </w:pPr>
      <w:r>
        <w:rPr>
          <w:sz w:val="24"/>
        </w:rPr>
        <w:t>The hourly cost to check that the form is in the package is based on the cost of a GS-9 equivalent contractor and the cost of a review is based on a GS-12 HUD staff reviewer.</w:t>
      </w:r>
    </w:p>
    <w:p w:rsidR="00FD03C4" w:rsidRDefault="00FD03C4" w:rsidP="00FD03C4">
      <w:pPr>
        <w:rPr>
          <w:sz w:val="24"/>
        </w:rPr>
      </w:pPr>
    </w:p>
    <w:p w:rsidR="00FD03C4" w:rsidRDefault="00FD03C4" w:rsidP="00FD03C4">
      <w:pPr>
        <w:numPr>
          <w:ilvl w:val="0"/>
          <w:numId w:val="11"/>
        </w:numPr>
        <w:rPr>
          <w:sz w:val="24"/>
        </w:rPr>
      </w:pPr>
      <w:r>
        <w:rPr>
          <w:sz w:val="24"/>
        </w:rPr>
        <w:t xml:space="preserve">This is a revision of a currently approved collection.  There are approximately 35,000 builders and 3,035 lenders involved in this information collection.  The builder will take about 6 minutes to complete the Builder’s Certification (form HUD-92541) based on information and data the builder gets from its engineers prior to the property being developed.  </w:t>
      </w:r>
    </w:p>
    <w:p w:rsidR="00FD03C4" w:rsidRDefault="00FD03C4" w:rsidP="00FD03C4">
      <w:pPr>
        <w:ind w:left="420"/>
        <w:rPr>
          <w:sz w:val="24"/>
        </w:rPr>
      </w:pPr>
    </w:p>
    <w:p w:rsidR="00FD03C4" w:rsidRPr="00E537D7" w:rsidRDefault="00FD03C4" w:rsidP="00FD03C4">
      <w:pPr>
        <w:ind w:left="420"/>
        <w:rPr>
          <w:sz w:val="24"/>
        </w:rPr>
      </w:pPr>
      <w:r>
        <w:rPr>
          <w:sz w:val="24"/>
        </w:rPr>
        <w:t xml:space="preserve">The lender should be able to review the builder’s entries in about 3 minutes.  Accordingly, HUD estimates that the entire information collection burden will be 9 minutes per case.  Based upon an average of approximately 30,000 new construction cases per year, the total burden hours will be 4,500.  While the information collected regarding floodplains may (at the option of the builder) be different, there are no expected changes in the burden hours.  </w:t>
      </w:r>
      <w:r w:rsidRPr="00E537D7">
        <w:rPr>
          <w:sz w:val="24"/>
        </w:rPr>
        <w:t xml:space="preserve">The decrease in the number burden hours results from </w:t>
      </w:r>
      <w:r>
        <w:rPr>
          <w:sz w:val="24"/>
        </w:rPr>
        <w:t>fewer new construction loans being insured and expected to be insured during the collection period</w:t>
      </w:r>
      <w:r w:rsidRPr="00E537D7">
        <w:rPr>
          <w:sz w:val="24"/>
        </w:rPr>
        <w:t>.</w:t>
      </w:r>
    </w:p>
    <w:p w:rsidR="00FD03C4" w:rsidRPr="00E537D7" w:rsidRDefault="00FD03C4" w:rsidP="00FD03C4">
      <w:pPr>
        <w:ind w:left="420"/>
        <w:rPr>
          <w:sz w:val="24"/>
        </w:rPr>
      </w:pPr>
    </w:p>
    <w:p w:rsidR="00FD03C4" w:rsidRPr="00E537D7" w:rsidRDefault="00FD03C4" w:rsidP="00FD03C4">
      <w:pPr>
        <w:ind w:left="420"/>
        <w:rPr>
          <w:sz w:val="24"/>
        </w:rPr>
      </w:pPr>
      <w:r w:rsidRPr="00E537D7">
        <w:rPr>
          <w:sz w:val="24"/>
        </w:rPr>
        <w:t>Although most lenders now submit the case file electronically after the builders and lenders reviews the collected information to HUD, when requested, other lenders are on test case bases and mail case file to the Homeownership Centers, the burden hours for the lenders remains the same.</w:t>
      </w:r>
    </w:p>
    <w:p w:rsidR="00FD03C4" w:rsidRDefault="00FD03C4" w:rsidP="00FD03C4">
      <w:pPr>
        <w:rPr>
          <w:sz w:val="24"/>
        </w:rPr>
      </w:pPr>
    </w:p>
    <w:p w:rsidR="00FD03C4" w:rsidRDefault="00FD03C4" w:rsidP="00FD03C4">
      <w:pPr>
        <w:numPr>
          <w:ilvl w:val="0"/>
          <w:numId w:val="11"/>
        </w:numPr>
        <w:rPr>
          <w:sz w:val="24"/>
        </w:rPr>
      </w:pPr>
      <w:r>
        <w:rPr>
          <w:sz w:val="24"/>
        </w:rPr>
        <w:t>The results from this collection will not be published.</w:t>
      </w:r>
    </w:p>
    <w:p w:rsidR="00FD03C4" w:rsidRDefault="00FD03C4" w:rsidP="00FD03C4">
      <w:pPr>
        <w:rPr>
          <w:sz w:val="24"/>
        </w:rPr>
      </w:pPr>
    </w:p>
    <w:p w:rsidR="00FD03C4" w:rsidRDefault="00FD03C4" w:rsidP="00FD03C4">
      <w:pPr>
        <w:numPr>
          <w:ilvl w:val="0"/>
          <w:numId w:val="11"/>
        </w:numPr>
        <w:rPr>
          <w:sz w:val="24"/>
        </w:rPr>
      </w:pPr>
      <w:r>
        <w:rPr>
          <w:sz w:val="24"/>
        </w:rPr>
        <w:t>HUD does not request approval not to display the expiration date.</w:t>
      </w:r>
    </w:p>
    <w:p w:rsidR="00FD03C4" w:rsidRDefault="00FD03C4" w:rsidP="00FD03C4">
      <w:pPr>
        <w:rPr>
          <w:sz w:val="24"/>
        </w:rPr>
      </w:pPr>
    </w:p>
    <w:p w:rsidR="00FD03C4" w:rsidRDefault="00FD03C4" w:rsidP="00FD03C4">
      <w:pPr>
        <w:numPr>
          <w:ilvl w:val="0"/>
          <w:numId w:val="11"/>
        </w:numPr>
        <w:rPr>
          <w:sz w:val="24"/>
        </w:rPr>
      </w:pPr>
      <w:r>
        <w:rPr>
          <w:sz w:val="24"/>
        </w:rPr>
        <w:t>The agency is able to certify compliance with all provisions under item 19 of OMB Form 83-I</w:t>
      </w:r>
    </w:p>
    <w:p w:rsidR="00FD03C4" w:rsidRDefault="00FD03C4" w:rsidP="00FD03C4">
      <w:pPr>
        <w:rPr>
          <w:sz w:val="24"/>
        </w:rPr>
      </w:pPr>
    </w:p>
    <w:p w:rsidR="00FD03C4" w:rsidRDefault="00FD03C4" w:rsidP="00FD03C4">
      <w:pPr>
        <w:pStyle w:val="Heading1"/>
        <w:tabs>
          <w:tab w:val="clear" w:pos="6300"/>
        </w:tabs>
      </w:pPr>
    </w:p>
    <w:p w:rsidR="005706E6" w:rsidRPr="005706E6" w:rsidRDefault="005706E6" w:rsidP="005706E6"/>
    <w:p w:rsidR="00FD03C4" w:rsidRDefault="00FD03C4" w:rsidP="00FD03C4">
      <w:pPr>
        <w:rPr>
          <w:b/>
          <w:bCs/>
          <w:sz w:val="24"/>
        </w:rPr>
      </w:pPr>
      <w:r>
        <w:rPr>
          <w:b/>
          <w:bCs/>
          <w:sz w:val="24"/>
        </w:rPr>
        <w:t>B.  Collections of Information Employing Statistical Methods</w:t>
      </w:r>
    </w:p>
    <w:p w:rsidR="00FD03C4" w:rsidRDefault="00FD03C4" w:rsidP="00FD03C4">
      <w:pPr>
        <w:rPr>
          <w:b/>
          <w:bCs/>
          <w:sz w:val="24"/>
        </w:rPr>
      </w:pPr>
    </w:p>
    <w:p w:rsidR="00FD03C4" w:rsidRDefault="00FD03C4" w:rsidP="00FD03C4">
      <w:pPr>
        <w:rPr>
          <w:sz w:val="24"/>
        </w:rPr>
      </w:pPr>
      <w:r>
        <w:rPr>
          <w:sz w:val="24"/>
        </w:rPr>
        <w:tab/>
        <w:t>This information collection does not employ statistical methods.</w:t>
      </w:r>
    </w:p>
    <w:p w:rsidR="00055557" w:rsidRDefault="00055557">
      <w:pPr>
        <w:rPr>
          <w:sz w:val="24"/>
        </w:rPr>
      </w:pPr>
    </w:p>
    <w:sectPr w:rsidR="00055557" w:rsidSect="0024770F">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82C" w:rsidRDefault="00E7682C">
      <w:r>
        <w:separator/>
      </w:r>
    </w:p>
  </w:endnote>
  <w:endnote w:type="continuationSeparator" w:id="0">
    <w:p w:rsidR="00E7682C" w:rsidRDefault="00E76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82C" w:rsidRDefault="00E7682C">
      <w:r>
        <w:separator/>
      </w:r>
    </w:p>
  </w:footnote>
  <w:footnote w:type="continuationSeparator" w:id="0">
    <w:p w:rsidR="00E7682C" w:rsidRDefault="00E768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8AA0C38"/>
    <w:multiLevelType w:val="hybridMultilevel"/>
    <w:tmpl w:val="7A34B55C"/>
    <w:lvl w:ilvl="0" w:tplc="108AC6A6">
      <w:start w:val="4"/>
      <w:numFmt w:val="decimal"/>
      <w:lvlText w:val="%1."/>
      <w:lvlJc w:val="left"/>
      <w:pPr>
        <w:tabs>
          <w:tab w:val="num" w:pos="420"/>
        </w:tabs>
        <w:ind w:left="420" w:hanging="360"/>
      </w:pPr>
      <w:rPr>
        <w:rFonts w:hint="default"/>
      </w:rPr>
    </w:lvl>
    <w:lvl w:ilvl="1" w:tplc="3304AF2C">
      <w:start w:val="2"/>
      <w:numFmt w:val="upperLetter"/>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5">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9">
    <w:nsid w:val="7DED4E31"/>
    <w:multiLevelType w:val="hybridMultilevel"/>
    <w:tmpl w:val="E4EA87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8"/>
  </w:num>
  <w:num w:numId="3">
    <w:abstractNumId w:val="2"/>
  </w:num>
  <w:num w:numId="4">
    <w:abstractNumId w:val="7"/>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4"/>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5"/>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557"/>
    <w:rsid w:val="00021C82"/>
    <w:rsid w:val="00044BD6"/>
    <w:rsid w:val="000528D7"/>
    <w:rsid w:val="00055557"/>
    <w:rsid w:val="00057EDC"/>
    <w:rsid w:val="000B3480"/>
    <w:rsid w:val="000C1C0A"/>
    <w:rsid w:val="0011698C"/>
    <w:rsid w:val="00136122"/>
    <w:rsid w:val="001669CE"/>
    <w:rsid w:val="00170C9F"/>
    <w:rsid w:val="001A65E4"/>
    <w:rsid w:val="002179E7"/>
    <w:rsid w:val="0024770F"/>
    <w:rsid w:val="00251527"/>
    <w:rsid w:val="002600EA"/>
    <w:rsid w:val="0028647D"/>
    <w:rsid w:val="002C1999"/>
    <w:rsid w:val="002E136E"/>
    <w:rsid w:val="002E385D"/>
    <w:rsid w:val="002E7E8F"/>
    <w:rsid w:val="00301092"/>
    <w:rsid w:val="00301737"/>
    <w:rsid w:val="003823E0"/>
    <w:rsid w:val="003F7BE1"/>
    <w:rsid w:val="00415A72"/>
    <w:rsid w:val="004B514F"/>
    <w:rsid w:val="004E6780"/>
    <w:rsid w:val="00500946"/>
    <w:rsid w:val="00512BD6"/>
    <w:rsid w:val="005706E6"/>
    <w:rsid w:val="00581EC3"/>
    <w:rsid w:val="005F2428"/>
    <w:rsid w:val="006049A2"/>
    <w:rsid w:val="0060781C"/>
    <w:rsid w:val="00627359"/>
    <w:rsid w:val="00650EAE"/>
    <w:rsid w:val="006634A9"/>
    <w:rsid w:val="00677F8C"/>
    <w:rsid w:val="006A586D"/>
    <w:rsid w:val="006B09AF"/>
    <w:rsid w:val="006C0C8E"/>
    <w:rsid w:val="006C4535"/>
    <w:rsid w:val="006E75FA"/>
    <w:rsid w:val="00725A20"/>
    <w:rsid w:val="00735ADE"/>
    <w:rsid w:val="00740896"/>
    <w:rsid w:val="007952EB"/>
    <w:rsid w:val="007A1B19"/>
    <w:rsid w:val="00831437"/>
    <w:rsid w:val="00840B81"/>
    <w:rsid w:val="0084781D"/>
    <w:rsid w:val="008D145F"/>
    <w:rsid w:val="00927509"/>
    <w:rsid w:val="00943693"/>
    <w:rsid w:val="00961813"/>
    <w:rsid w:val="009D1566"/>
    <w:rsid w:val="00A074C6"/>
    <w:rsid w:val="00A31005"/>
    <w:rsid w:val="00A40E9A"/>
    <w:rsid w:val="00AA3DFB"/>
    <w:rsid w:val="00AA6FEB"/>
    <w:rsid w:val="00AB0A31"/>
    <w:rsid w:val="00AD1522"/>
    <w:rsid w:val="00B050DC"/>
    <w:rsid w:val="00B579BC"/>
    <w:rsid w:val="00B7029F"/>
    <w:rsid w:val="00BF0647"/>
    <w:rsid w:val="00BF502B"/>
    <w:rsid w:val="00C0594E"/>
    <w:rsid w:val="00C53DD9"/>
    <w:rsid w:val="00C62A16"/>
    <w:rsid w:val="00CA4A5B"/>
    <w:rsid w:val="00CA7F98"/>
    <w:rsid w:val="00CD1344"/>
    <w:rsid w:val="00D32BA2"/>
    <w:rsid w:val="00D90DA5"/>
    <w:rsid w:val="00DB2F25"/>
    <w:rsid w:val="00DC4645"/>
    <w:rsid w:val="00DE7FE7"/>
    <w:rsid w:val="00E14D29"/>
    <w:rsid w:val="00E14F91"/>
    <w:rsid w:val="00E3543A"/>
    <w:rsid w:val="00E537D7"/>
    <w:rsid w:val="00E64F4D"/>
    <w:rsid w:val="00E7682C"/>
    <w:rsid w:val="00E8053E"/>
    <w:rsid w:val="00E96228"/>
    <w:rsid w:val="00EC115D"/>
    <w:rsid w:val="00EC7817"/>
    <w:rsid w:val="00F12EFE"/>
    <w:rsid w:val="00F54CA3"/>
    <w:rsid w:val="00FD03C4"/>
    <w:rsid w:val="00FE0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70F"/>
    <w:pPr>
      <w:overflowPunct w:val="0"/>
      <w:autoSpaceDE w:val="0"/>
      <w:autoSpaceDN w:val="0"/>
      <w:adjustRightInd w:val="0"/>
      <w:textAlignment w:val="baseline"/>
    </w:pPr>
  </w:style>
  <w:style w:type="paragraph" w:styleId="Heading1">
    <w:name w:val="heading 1"/>
    <w:basedOn w:val="Normal"/>
    <w:next w:val="Normal"/>
    <w:qFormat/>
    <w:rsid w:val="0024770F"/>
    <w:pPr>
      <w:keepNext/>
      <w:tabs>
        <w:tab w:val="left" w:pos="6300"/>
      </w:tabs>
      <w:overflowPunct/>
      <w:autoSpaceDE/>
      <w:autoSpaceDN/>
      <w:adjustRightInd/>
      <w:textAlignment w:val="auto"/>
      <w:outlineLvl w:val="0"/>
    </w:pPr>
    <w:rPr>
      <w:b/>
      <w:bCs/>
      <w:sz w:val="24"/>
      <w:szCs w:val="24"/>
    </w:rPr>
  </w:style>
  <w:style w:type="paragraph" w:styleId="Heading2">
    <w:name w:val="heading 2"/>
    <w:basedOn w:val="Normal"/>
    <w:next w:val="Normal"/>
    <w:qFormat/>
    <w:rsid w:val="0024770F"/>
    <w:pPr>
      <w:keepNext/>
      <w:jc w:val="center"/>
      <w:outlineLvl w:val="1"/>
    </w:pPr>
    <w:rPr>
      <w:b/>
      <w:bCs/>
      <w:sz w:val="28"/>
    </w:rPr>
  </w:style>
  <w:style w:type="paragraph" w:styleId="Heading3">
    <w:name w:val="heading 3"/>
    <w:basedOn w:val="Normal"/>
    <w:next w:val="Normal"/>
    <w:link w:val="Heading3Char"/>
    <w:qFormat/>
    <w:rsid w:val="0024770F"/>
    <w:pPr>
      <w:keepNext/>
      <w:outlineLvl w:val="2"/>
    </w:pPr>
    <w:rPr>
      <w:b/>
      <w:bCs/>
      <w:sz w:val="22"/>
    </w:rPr>
  </w:style>
  <w:style w:type="paragraph" w:styleId="Heading4">
    <w:name w:val="heading 4"/>
    <w:basedOn w:val="Normal"/>
    <w:next w:val="Normal"/>
    <w:link w:val="Heading4Char"/>
    <w:qFormat/>
    <w:rsid w:val="0024770F"/>
    <w:pPr>
      <w:keepNext/>
      <w:outlineLvl w:val="3"/>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4770F"/>
    <w:pPr>
      <w:tabs>
        <w:tab w:val="center" w:pos="4320"/>
        <w:tab w:val="right" w:pos="8640"/>
      </w:tabs>
    </w:pPr>
  </w:style>
  <w:style w:type="paragraph" w:styleId="Footer">
    <w:name w:val="footer"/>
    <w:basedOn w:val="Normal"/>
    <w:semiHidden/>
    <w:rsid w:val="0024770F"/>
    <w:pPr>
      <w:tabs>
        <w:tab w:val="center" w:pos="4320"/>
        <w:tab w:val="right" w:pos="8640"/>
      </w:tabs>
    </w:pPr>
  </w:style>
  <w:style w:type="character" w:styleId="PageNumber">
    <w:name w:val="page number"/>
    <w:basedOn w:val="DefaultParagraphFont"/>
    <w:semiHidden/>
    <w:rsid w:val="0024770F"/>
  </w:style>
  <w:style w:type="paragraph" w:styleId="Title">
    <w:name w:val="Title"/>
    <w:basedOn w:val="Normal"/>
    <w:qFormat/>
    <w:rsid w:val="0024770F"/>
    <w:pPr>
      <w:jc w:val="center"/>
    </w:pPr>
    <w:rPr>
      <w:rFonts w:ascii="Helvetica" w:hAnsi="Helvetica"/>
      <w:b/>
      <w:sz w:val="28"/>
    </w:rPr>
  </w:style>
  <w:style w:type="paragraph" w:styleId="BodyTextIndent">
    <w:name w:val="Body Text Indent"/>
    <w:basedOn w:val="Normal"/>
    <w:semiHidden/>
    <w:rsid w:val="0024770F"/>
    <w:pPr>
      <w:ind w:left="420"/>
    </w:pPr>
    <w:rPr>
      <w:sz w:val="24"/>
    </w:rPr>
  </w:style>
  <w:style w:type="paragraph" w:styleId="NormalWeb">
    <w:name w:val="Normal (Web)"/>
    <w:basedOn w:val="Normal"/>
    <w:semiHidden/>
    <w:rsid w:val="0024770F"/>
    <w:pPr>
      <w:overflowPunct/>
      <w:autoSpaceDE/>
      <w:autoSpaceDN/>
      <w:adjustRightInd/>
      <w:spacing w:before="100" w:beforeAutospacing="1" w:after="100" w:afterAutospacing="1"/>
      <w:textAlignment w:val="auto"/>
    </w:pPr>
    <w:rPr>
      <w:rFonts w:ascii="Arial" w:hAnsi="Arial" w:cs="Arial"/>
      <w:sz w:val="18"/>
      <w:szCs w:val="18"/>
    </w:rPr>
  </w:style>
  <w:style w:type="paragraph" w:styleId="ListParagraph">
    <w:name w:val="List Paragraph"/>
    <w:basedOn w:val="Normal"/>
    <w:uiPriority w:val="34"/>
    <w:qFormat/>
    <w:rsid w:val="00136122"/>
    <w:pPr>
      <w:ind w:left="720"/>
    </w:pPr>
  </w:style>
  <w:style w:type="character" w:customStyle="1" w:styleId="Heading3Char">
    <w:name w:val="Heading 3 Char"/>
    <w:basedOn w:val="DefaultParagraphFont"/>
    <w:link w:val="Heading3"/>
    <w:rsid w:val="00DE7FE7"/>
    <w:rPr>
      <w:b/>
      <w:bCs/>
      <w:sz w:val="22"/>
    </w:rPr>
  </w:style>
  <w:style w:type="character" w:customStyle="1" w:styleId="Heading4Char">
    <w:name w:val="Heading 4 Char"/>
    <w:basedOn w:val="DefaultParagraphFont"/>
    <w:link w:val="Heading4"/>
    <w:rsid w:val="00DE7FE7"/>
    <w:rPr>
      <w:rFonts w:ascii="Arial" w:hAnsi="Arial" w:cs="Arial"/>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70F"/>
    <w:pPr>
      <w:overflowPunct w:val="0"/>
      <w:autoSpaceDE w:val="0"/>
      <w:autoSpaceDN w:val="0"/>
      <w:adjustRightInd w:val="0"/>
      <w:textAlignment w:val="baseline"/>
    </w:pPr>
  </w:style>
  <w:style w:type="paragraph" w:styleId="Heading1">
    <w:name w:val="heading 1"/>
    <w:basedOn w:val="Normal"/>
    <w:next w:val="Normal"/>
    <w:qFormat/>
    <w:rsid w:val="0024770F"/>
    <w:pPr>
      <w:keepNext/>
      <w:tabs>
        <w:tab w:val="left" w:pos="6300"/>
      </w:tabs>
      <w:overflowPunct/>
      <w:autoSpaceDE/>
      <w:autoSpaceDN/>
      <w:adjustRightInd/>
      <w:textAlignment w:val="auto"/>
      <w:outlineLvl w:val="0"/>
    </w:pPr>
    <w:rPr>
      <w:b/>
      <w:bCs/>
      <w:sz w:val="24"/>
      <w:szCs w:val="24"/>
    </w:rPr>
  </w:style>
  <w:style w:type="paragraph" w:styleId="Heading2">
    <w:name w:val="heading 2"/>
    <w:basedOn w:val="Normal"/>
    <w:next w:val="Normal"/>
    <w:qFormat/>
    <w:rsid w:val="0024770F"/>
    <w:pPr>
      <w:keepNext/>
      <w:jc w:val="center"/>
      <w:outlineLvl w:val="1"/>
    </w:pPr>
    <w:rPr>
      <w:b/>
      <w:bCs/>
      <w:sz w:val="28"/>
    </w:rPr>
  </w:style>
  <w:style w:type="paragraph" w:styleId="Heading3">
    <w:name w:val="heading 3"/>
    <w:basedOn w:val="Normal"/>
    <w:next w:val="Normal"/>
    <w:link w:val="Heading3Char"/>
    <w:qFormat/>
    <w:rsid w:val="0024770F"/>
    <w:pPr>
      <w:keepNext/>
      <w:outlineLvl w:val="2"/>
    </w:pPr>
    <w:rPr>
      <w:b/>
      <w:bCs/>
      <w:sz w:val="22"/>
    </w:rPr>
  </w:style>
  <w:style w:type="paragraph" w:styleId="Heading4">
    <w:name w:val="heading 4"/>
    <w:basedOn w:val="Normal"/>
    <w:next w:val="Normal"/>
    <w:link w:val="Heading4Char"/>
    <w:qFormat/>
    <w:rsid w:val="0024770F"/>
    <w:pPr>
      <w:keepNext/>
      <w:outlineLvl w:val="3"/>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4770F"/>
    <w:pPr>
      <w:tabs>
        <w:tab w:val="center" w:pos="4320"/>
        <w:tab w:val="right" w:pos="8640"/>
      </w:tabs>
    </w:pPr>
  </w:style>
  <w:style w:type="paragraph" w:styleId="Footer">
    <w:name w:val="footer"/>
    <w:basedOn w:val="Normal"/>
    <w:semiHidden/>
    <w:rsid w:val="0024770F"/>
    <w:pPr>
      <w:tabs>
        <w:tab w:val="center" w:pos="4320"/>
        <w:tab w:val="right" w:pos="8640"/>
      </w:tabs>
    </w:pPr>
  </w:style>
  <w:style w:type="character" w:styleId="PageNumber">
    <w:name w:val="page number"/>
    <w:basedOn w:val="DefaultParagraphFont"/>
    <w:semiHidden/>
    <w:rsid w:val="0024770F"/>
  </w:style>
  <w:style w:type="paragraph" w:styleId="Title">
    <w:name w:val="Title"/>
    <w:basedOn w:val="Normal"/>
    <w:qFormat/>
    <w:rsid w:val="0024770F"/>
    <w:pPr>
      <w:jc w:val="center"/>
    </w:pPr>
    <w:rPr>
      <w:rFonts w:ascii="Helvetica" w:hAnsi="Helvetica"/>
      <w:b/>
      <w:sz w:val="28"/>
    </w:rPr>
  </w:style>
  <w:style w:type="paragraph" w:styleId="BodyTextIndent">
    <w:name w:val="Body Text Indent"/>
    <w:basedOn w:val="Normal"/>
    <w:semiHidden/>
    <w:rsid w:val="0024770F"/>
    <w:pPr>
      <w:ind w:left="420"/>
    </w:pPr>
    <w:rPr>
      <w:sz w:val="24"/>
    </w:rPr>
  </w:style>
  <w:style w:type="paragraph" w:styleId="NormalWeb">
    <w:name w:val="Normal (Web)"/>
    <w:basedOn w:val="Normal"/>
    <w:semiHidden/>
    <w:rsid w:val="0024770F"/>
    <w:pPr>
      <w:overflowPunct/>
      <w:autoSpaceDE/>
      <w:autoSpaceDN/>
      <w:adjustRightInd/>
      <w:spacing w:before="100" w:beforeAutospacing="1" w:after="100" w:afterAutospacing="1"/>
      <w:textAlignment w:val="auto"/>
    </w:pPr>
    <w:rPr>
      <w:rFonts w:ascii="Arial" w:hAnsi="Arial" w:cs="Arial"/>
      <w:sz w:val="18"/>
      <w:szCs w:val="18"/>
    </w:rPr>
  </w:style>
  <w:style w:type="paragraph" w:styleId="ListParagraph">
    <w:name w:val="List Paragraph"/>
    <w:basedOn w:val="Normal"/>
    <w:uiPriority w:val="34"/>
    <w:qFormat/>
    <w:rsid w:val="00136122"/>
    <w:pPr>
      <w:ind w:left="720"/>
    </w:pPr>
  </w:style>
  <w:style w:type="character" w:customStyle="1" w:styleId="Heading3Char">
    <w:name w:val="Heading 3 Char"/>
    <w:basedOn w:val="DefaultParagraphFont"/>
    <w:link w:val="Heading3"/>
    <w:rsid w:val="00DE7FE7"/>
    <w:rPr>
      <w:b/>
      <w:bCs/>
      <w:sz w:val="22"/>
    </w:rPr>
  </w:style>
  <w:style w:type="character" w:customStyle="1" w:styleId="Heading4Char">
    <w:name w:val="Heading 4 Char"/>
    <w:basedOn w:val="DefaultParagraphFont"/>
    <w:link w:val="Heading4"/>
    <w:rsid w:val="00DE7FE7"/>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6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13318-7586-4E43-962E-7C0D86249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1489</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HUD User</cp:lastModifiedBy>
  <cp:revision>3</cp:revision>
  <cp:lastPrinted>2015-08-13T18:12:00Z</cp:lastPrinted>
  <dcterms:created xsi:type="dcterms:W3CDTF">2015-10-23T18:40:00Z</dcterms:created>
  <dcterms:modified xsi:type="dcterms:W3CDTF">2015-10-23T18:46:00Z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303462995</vt:i4>
  </property>
  <property fmtid="{D5CDD505-2E9C-101B-9397-08002B2CF9AE}" pid="3" name="_NewReviewCycle">
    <vt:lpwstr/>
  </property>
  <property fmtid="{D5CDD505-2E9C-101B-9397-08002B2CF9AE}" pid="4" name="_EmailSubject">
    <vt:lpwstr>Time to renew: 2502-0496</vt:lpwstr>
  </property>
  <property fmtid="{D5CDD505-2E9C-101B-9397-08002B2CF9AE}" pid="5" name="_AuthorEmail">
    <vt:lpwstr>Ada.L.Bohorfoush@hud.gov</vt:lpwstr>
  </property>
  <property fmtid="{D5CDD505-2E9C-101B-9397-08002B2CF9AE}" pid="6" name="_AuthorEmailDisplayName">
    <vt:lpwstr>Bohorfoush, Ada L</vt:lpwstr>
  </property>
  <property fmtid="{D5CDD505-2E9C-101B-9397-08002B2CF9AE}" pid="7" name="_PreviousAdHocReviewCycleID">
    <vt:i4>946950589</vt:i4>
  </property>
  <property fmtid="{D5CDD505-2E9C-101B-9397-08002B2CF9AE}" pid="8" name="_ReviewingToolsShownOnce">
    <vt:lpwstr/>
  </property>
</Properties>
</file>