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31" w:rsidRDefault="009E5931">
      <w:pPr>
        <w:rPr>
          <w:sz w:val="24"/>
        </w:rPr>
      </w:pPr>
    </w:p>
    <w:p w:rsidR="009E5931" w:rsidRDefault="009E5931">
      <w:pPr>
        <w:pStyle w:val="Heading4"/>
        <w:rPr>
          <w:b/>
          <w:bCs/>
        </w:rPr>
      </w:pPr>
      <w:r>
        <w:rPr>
          <w:b/>
          <w:bCs/>
        </w:rPr>
        <w:t>Attachment A</w:t>
      </w:r>
    </w:p>
    <w:p w:rsidR="009E5931" w:rsidRDefault="009E5931">
      <w:pPr>
        <w:pStyle w:val="Heading5"/>
      </w:pPr>
      <w:r>
        <w:t xml:space="preserve">TITLE I INFORMATION COLLECTION </w:t>
      </w:r>
    </w:p>
    <w:p w:rsidR="009E5931" w:rsidRDefault="009E5931">
      <w:pPr>
        <w:jc w:val="center"/>
        <w:rPr>
          <w:b/>
        </w:rPr>
      </w:pPr>
      <w:r>
        <w:rPr>
          <w:b/>
        </w:rPr>
        <w:t>REQUIREMENTS IN 24 CFR PART 201</w:t>
      </w:r>
    </w:p>
    <w:p w:rsidR="009E5931" w:rsidRDefault="009E5931">
      <w:pPr>
        <w:jc w:val="center"/>
        <w:rPr>
          <w:b/>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720"/>
      </w:tblGrid>
      <w:tr w:rsidR="009E5931" w:rsidTr="00F94F78">
        <w:trPr>
          <w:tblHeader/>
        </w:trPr>
        <w:tc>
          <w:tcPr>
            <w:tcW w:w="1548" w:type="dxa"/>
            <w:vAlign w:val="center"/>
          </w:tcPr>
          <w:p w:rsidR="009E5931" w:rsidRDefault="009E5931">
            <w:pPr>
              <w:jc w:val="center"/>
              <w:rPr>
                <w:b/>
                <w:sz w:val="24"/>
              </w:rPr>
            </w:pPr>
            <w:r>
              <w:rPr>
                <w:b/>
                <w:sz w:val="24"/>
              </w:rPr>
              <w:t>CFR Section</w:t>
            </w:r>
          </w:p>
        </w:tc>
        <w:tc>
          <w:tcPr>
            <w:tcW w:w="9720" w:type="dxa"/>
            <w:vAlign w:val="center"/>
          </w:tcPr>
          <w:p w:rsidR="009E5931" w:rsidRDefault="009E5931">
            <w:pPr>
              <w:pStyle w:val="Heading1"/>
              <w:tabs>
                <w:tab w:val="clear" w:pos="6300"/>
              </w:tabs>
              <w:overflowPunct w:val="0"/>
              <w:autoSpaceDE w:val="0"/>
              <w:autoSpaceDN w:val="0"/>
              <w:adjustRightInd w:val="0"/>
              <w:jc w:val="center"/>
              <w:textAlignment w:val="baseline"/>
              <w:rPr>
                <w:bCs w:val="0"/>
                <w:szCs w:val="20"/>
              </w:rPr>
            </w:pPr>
            <w:r>
              <w:rPr>
                <w:bCs w:val="0"/>
                <w:szCs w:val="20"/>
              </w:rPr>
              <w:t>Description &amp; Need</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pStyle w:val="Header"/>
              <w:tabs>
                <w:tab w:val="clear" w:pos="4320"/>
                <w:tab w:val="clear" w:pos="8640"/>
              </w:tabs>
              <w:rPr>
                <w:sz w:val="24"/>
              </w:rPr>
            </w:pPr>
            <w:r>
              <w:rPr>
                <w:sz w:val="24"/>
              </w:rPr>
              <w:t xml:space="preserve">Manufacturer’s Wholesale Price List, to provide a basis for the wholesale invoice used in calculating the maximum loan </w:t>
            </w:r>
            <w:r w:rsidR="00E60200">
              <w:rPr>
                <w:sz w:val="24"/>
              </w:rPr>
              <w:t>a</w:t>
            </w:r>
            <w:r>
              <w:rPr>
                <w:sz w:val="24"/>
              </w:rPr>
              <w:t>mount for a new manufactured home.</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rPr>
                <w:sz w:val="24"/>
              </w:rPr>
            </w:pPr>
            <w:r>
              <w:rPr>
                <w:sz w:val="24"/>
              </w:rPr>
              <w:t>Manufacturer’s Invoice outlining the actual costs of the manufactured home.</w:t>
            </w:r>
          </w:p>
        </w:tc>
      </w:tr>
      <w:tr w:rsidR="009E5931" w:rsidTr="00C47A7C">
        <w:trPr>
          <w:trHeight w:val="365"/>
        </w:trPr>
        <w:tc>
          <w:tcPr>
            <w:tcW w:w="1548" w:type="dxa"/>
            <w:vAlign w:val="center"/>
          </w:tcPr>
          <w:p w:rsidR="009E5931" w:rsidRDefault="009E5931">
            <w:pPr>
              <w:jc w:val="center"/>
              <w:rPr>
                <w:sz w:val="24"/>
              </w:rPr>
            </w:pPr>
            <w:r>
              <w:rPr>
                <w:sz w:val="24"/>
              </w:rPr>
              <w:t>201.6</w:t>
            </w:r>
          </w:p>
        </w:tc>
        <w:tc>
          <w:tcPr>
            <w:tcW w:w="9720" w:type="dxa"/>
            <w:vAlign w:val="center"/>
          </w:tcPr>
          <w:p w:rsidR="009E5931" w:rsidRDefault="009E5931">
            <w:pPr>
              <w:rPr>
                <w:sz w:val="24"/>
              </w:rPr>
            </w:pPr>
            <w:r>
              <w:rPr>
                <w:sz w:val="24"/>
              </w:rPr>
              <w:t>Verification of borrower’s Social Security Number (a customary and usual practice).</w:t>
            </w:r>
          </w:p>
        </w:tc>
      </w:tr>
      <w:tr w:rsidR="009E5931">
        <w:tc>
          <w:tcPr>
            <w:tcW w:w="1548" w:type="dxa"/>
            <w:vAlign w:val="center"/>
          </w:tcPr>
          <w:p w:rsidR="009E5931" w:rsidRDefault="009E5931">
            <w:pPr>
              <w:jc w:val="center"/>
              <w:rPr>
                <w:sz w:val="24"/>
              </w:rPr>
            </w:pPr>
            <w:r>
              <w:rPr>
                <w:sz w:val="24"/>
              </w:rPr>
              <w:t>201.10(a)(1)</w:t>
            </w:r>
          </w:p>
        </w:tc>
        <w:tc>
          <w:tcPr>
            <w:tcW w:w="9720" w:type="dxa"/>
            <w:vAlign w:val="center"/>
          </w:tcPr>
          <w:p w:rsidR="009E5931" w:rsidRDefault="009E5931">
            <w:pPr>
              <w:rPr>
                <w:sz w:val="24"/>
              </w:rPr>
            </w:pPr>
            <w:r>
              <w:rPr>
                <w:sz w:val="24"/>
              </w:rPr>
              <w:t>Establishes maximum amounts for different types of loans.  Lenders must request prior approval of HUD to exceed loan limits.</w:t>
            </w:r>
          </w:p>
        </w:tc>
      </w:tr>
      <w:tr w:rsidR="009E5931">
        <w:tc>
          <w:tcPr>
            <w:tcW w:w="1548" w:type="dxa"/>
            <w:vAlign w:val="center"/>
          </w:tcPr>
          <w:p w:rsidR="009E5931" w:rsidRDefault="009E5931">
            <w:pPr>
              <w:jc w:val="center"/>
              <w:rPr>
                <w:sz w:val="24"/>
              </w:rPr>
            </w:pPr>
            <w:r>
              <w:rPr>
                <w:sz w:val="24"/>
              </w:rPr>
              <w:t>201.10(b)(2)</w:t>
            </w:r>
          </w:p>
        </w:tc>
        <w:tc>
          <w:tcPr>
            <w:tcW w:w="9720" w:type="dxa"/>
            <w:vAlign w:val="center"/>
          </w:tcPr>
          <w:p w:rsidR="009E5931" w:rsidRDefault="00DD3327" w:rsidP="00DD3327">
            <w:pPr>
              <w:rPr>
                <w:sz w:val="24"/>
              </w:rPr>
            </w:pPr>
            <w:r>
              <w:rPr>
                <w:sz w:val="24"/>
              </w:rPr>
              <w:t>Information required in order to calculate the maximum loan amount f</w:t>
            </w:r>
            <w:r w:rsidR="009E5931">
              <w:rPr>
                <w:sz w:val="24"/>
              </w:rPr>
              <w:t>or an existing manufactured home.</w:t>
            </w:r>
          </w:p>
        </w:tc>
      </w:tr>
      <w:tr w:rsidR="009E5931">
        <w:tc>
          <w:tcPr>
            <w:tcW w:w="1548" w:type="dxa"/>
            <w:vAlign w:val="center"/>
          </w:tcPr>
          <w:p w:rsidR="009E5931" w:rsidRDefault="009E5931">
            <w:pPr>
              <w:jc w:val="center"/>
              <w:rPr>
                <w:sz w:val="24"/>
              </w:rPr>
            </w:pPr>
            <w:r>
              <w:rPr>
                <w:sz w:val="24"/>
              </w:rPr>
              <w:t>201.15</w:t>
            </w:r>
          </w:p>
        </w:tc>
        <w:tc>
          <w:tcPr>
            <w:tcW w:w="9720" w:type="dxa"/>
            <w:vAlign w:val="center"/>
          </w:tcPr>
          <w:p w:rsidR="009E5931" w:rsidRDefault="009E5931">
            <w:pPr>
              <w:rPr>
                <w:sz w:val="24"/>
              </w:rPr>
            </w:pPr>
            <w:r>
              <w:rPr>
                <w:sz w:val="24"/>
              </w:rPr>
              <w:t>Permits late charges to be assessed by the lender to ensure that loan payments are made when due (a customary and usual industry practice).  Record of paid late charges must be in file if an insurance claim is submitted.</w:t>
            </w:r>
          </w:p>
        </w:tc>
      </w:tr>
      <w:tr w:rsidR="009E5931">
        <w:tc>
          <w:tcPr>
            <w:tcW w:w="1548" w:type="dxa"/>
            <w:vAlign w:val="center"/>
          </w:tcPr>
          <w:p w:rsidR="009E5931" w:rsidRDefault="009E5931">
            <w:pPr>
              <w:jc w:val="center"/>
              <w:rPr>
                <w:sz w:val="24"/>
              </w:rPr>
            </w:pPr>
            <w:r>
              <w:rPr>
                <w:sz w:val="24"/>
              </w:rPr>
              <w:t>201.20(a)(3)</w:t>
            </w:r>
          </w:p>
        </w:tc>
        <w:tc>
          <w:tcPr>
            <w:tcW w:w="9720" w:type="dxa"/>
            <w:vAlign w:val="center"/>
          </w:tcPr>
          <w:p w:rsidR="009E5931" w:rsidRDefault="009E5931">
            <w:pPr>
              <w:rPr>
                <w:sz w:val="24"/>
              </w:rPr>
            </w:pPr>
            <w:r>
              <w:rPr>
                <w:sz w:val="24"/>
              </w:rPr>
              <w:t>Requires that the borrower have equity in the property being improved at least equal to the loan amount (a customary and usual industry practice).</w:t>
            </w:r>
          </w:p>
        </w:tc>
      </w:tr>
      <w:tr w:rsidR="009E5931">
        <w:tc>
          <w:tcPr>
            <w:tcW w:w="1548" w:type="dxa"/>
            <w:vAlign w:val="center"/>
          </w:tcPr>
          <w:p w:rsidR="009E5931" w:rsidRDefault="009E5931">
            <w:pPr>
              <w:jc w:val="center"/>
              <w:rPr>
                <w:sz w:val="24"/>
              </w:rPr>
            </w:pPr>
            <w:r>
              <w:rPr>
                <w:sz w:val="24"/>
              </w:rPr>
              <w:t>201.20(c)(1)</w:t>
            </w:r>
          </w:p>
        </w:tc>
        <w:tc>
          <w:tcPr>
            <w:tcW w:w="9720" w:type="dxa"/>
            <w:vAlign w:val="center"/>
          </w:tcPr>
          <w:p w:rsidR="009E5931" w:rsidRDefault="009E5931">
            <w:pPr>
              <w:rPr>
                <w:sz w:val="24"/>
              </w:rPr>
            </w:pPr>
            <w:r>
              <w:rPr>
                <w:sz w:val="24"/>
              </w:rPr>
              <w:t>Requires that, to eligible for a historic preservation loan, the proposed improvements must be reviewed and approved by the State Historic Preservation Officer.</w:t>
            </w:r>
          </w:p>
        </w:tc>
      </w:tr>
      <w:tr w:rsidR="009E5931">
        <w:tc>
          <w:tcPr>
            <w:tcW w:w="1548" w:type="dxa"/>
            <w:vAlign w:val="center"/>
          </w:tcPr>
          <w:p w:rsidR="009E5931" w:rsidRDefault="009E5931">
            <w:pPr>
              <w:jc w:val="center"/>
              <w:rPr>
                <w:sz w:val="24"/>
              </w:rPr>
            </w:pPr>
            <w:r>
              <w:rPr>
                <w:sz w:val="24"/>
              </w:rPr>
              <w:t>201.21(d)</w:t>
            </w:r>
          </w:p>
        </w:tc>
        <w:tc>
          <w:tcPr>
            <w:tcW w:w="9720" w:type="dxa"/>
            <w:vAlign w:val="center"/>
          </w:tcPr>
          <w:p w:rsidR="009E5931" w:rsidRDefault="009E5931">
            <w:pPr>
              <w:rPr>
                <w:sz w:val="24"/>
              </w:rPr>
            </w:pPr>
            <w:r>
              <w:rPr>
                <w:sz w:val="24"/>
              </w:rPr>
              <w:t>Warranty for New Manufactured Home, HUD-55014</w:t>
            </w:r>
          </w:p>
        </w:tc>
      </w:tr>
      <w:tr w:rsidR="009E5931">
        <w:tc>
          <w:tcPr>
            <w:tcW w:w="1548" w:type="dxa"/>
            <w:vAlign w:val="center"/>
          </w:tcPr>
          <w:p w:rsidR="009E5931" w:rsidRDefault="009E5931">
            <w:pPr>
              <w:jc w:val="center"/>
              <w:rPr>
                <w:sz w:val="24"/>
              </w:rPr>
            </w:pPr>
            <w:r>
              <w:rPr>
                <w:sz w:val="24"/>
              </w:rPr>
              <w:t>201.21(d)(4)</w:t>
            </w:r>
          </w:p>
        </w:tc>
        <w:tc>
          <w:tcPr>
            <w:tcW w:w="9720" w:type="dxa"/>
            <w:vAlign w:val="center"/>
          </w:tcPr>
          <w:p w:rsidR="009E5931" w:rsidRDefault="009E5931">
            <w:pPr>
              <w:rPr>
                <w:sz w:val="24"/>
              </w:rPr>
            </w:pPr>
            <w:r>
              <w:rPr>
                <w:sz w:val="24"/>
              </w:rPr>
              <w:t>Requires that the lender notify HUD if it finds that a manufacturer is not honoring its warranties.</w:t>
            </w:r>
          </w:p>
        </w:tc>
      </w:tr>
      <w:tr w:rsidR="009E5931">
        <w:tc>
          <w:tcPr>
            <w:tcW w:w="1548" w:type="dxa"/>
            <w:vAlign w:val="center"/>
          </w:tcPr>
          <w:p w:rsidR="009E5931" w:rsidRDefault="009E5931">
            <w:pPr>
              <w:jc w:val="center"/>
              <w:rPr>
                <w:sz w:val="24"/>
              </w:rPr>
            </w:pPr>
            <w:r>
              <w:rPr>
                <w:sz w:val="24"/>
              </w:rPr>
              <w:t>201.21(e)</w:t>
            </w:r>
          </w:p>
        </w:tc>
        <w:tc>
          <w:tcPr>
            <w:tcW w:w="9720" w:type="dxa"/>
            <w:vAlign w:val="center"/>
          </w:tcPr>
          <w:p w:rsidR="009E5931" w:rsidRDefault="009E5931">
            <w:pPr>
              <w:rPr>
                <w:sz w:val="24"/>
              </w:rPr>
            </w:pPr>
            <w:r>
              <w:rPr>
                <w:sz w:val="24"/>
              </w:rPr>
              <w:t>Requires that lenders obtain certifications from local governmental officials for manufactured home park standards.</w:t>
            </w:r>
          </w:p>
        </w:tc>
      </w:tr>
      <w:tr w:rsidR="009E5931">
        <w:tc>
          <w:tcPr>
            <w:tcW w:w="1548" w:type="dxa"/>
            <w:vAlign w:val="center"/>
          </w:tcPr>
          <w:p w:rsidR="009E5931" w:rsidRDefault="009E5931">
            <w:pPr>
              <w:jc w:val="center"/>
              <w:rPr>
                <w:sz w:val="24"/>
              </w:rPr>
            </w:pPr>
            <w:r>
              <w:rPr>
                <w:sz w:val="24"/>
              </w:rPr>
              <w:t>201.22(a)(2)</w:t>
            </w:r>
          </w:p>
        </w:tc>
        <w:tc>
          <w:tcPr>
            <w:tcW w:w="9720" w:type="dxa"/>
            <w:vAlign w:val="center"/>
          </w:tcPr>
          <w:p w:rsidR="009E5931" w:rsidRDefault="009E5931">
            <w:pPr>
              <w:rPr>
                <w:sz w:val="24"/>
              </w:rPr>
            </w:pPr>
            <w:r>
              <w:rPr>
                <w:sz w:val="24"/>
              </w:rPr>
              <w:t>Credit application for Property Improvement Loan, HUD-56001.</w:t>
            </w:r>
          </w:p>
          <w:p w:rsidR="009E5931" w:rsidRDefault="009E5931">
            <w:pPr>
              <w:rPr>
                <w:sz w:val="24"/>
              </w:rPr>
            </w:pPr>
            <w:r>
              <w:rPr>
                <w:sz w:val="24"/>
              </w:rPr>
              <w:t>Credit application for Manufactured Home Loan, HUD-MH.</w:t>
            </w:r>
          </w:p>
        </w:tc>
      </w:tr>
      <w:tr w:rsidR="009E5931">
        <w:tc>
          <w:tcPr>
            <w:tcW w:w="1548" w:type="dxa"/>
            <w:vAlign w:val="center"/>
          </w:tcPr>
          <w:p w:rsidR="009E5931" w:rsidRDefault="009E5931">
            <w:pPr>
              <w:jc w:val="center"/>
              <w:rPr>
                <w:sz w:val="24"/>
              </w:rPr>
            </w:pPr>
            <w:r>
              <w:rPr>
                <w:sz w:val="24"/>
              </w:rPr>
              <w:t>201.22(a)(3)</w:t>
            </w:r>
          </w:p>
        </w:tc>
        <w:tc>
          <w:tcPr>
            <w:tcW w:w="9720" w:type="dxa"/>
            <w:vAlign w:val="center"/>
          </w:tcPr>
          <w:p w:rsidR="009E5931" w:rsidRDefault="009E5931">
            <w:pPr>
              <w:rPr>
                <w:sz w:val="24"/>
              </w:rPr>
            </w:pPr>
            <w:r>
              <w:rPr>
                <w:sz w:val="24"/>
              </w:rPr>
              <w:t>Request for Verification of Employment, FM-1005 (a customary and usual industry practice).</w:t>
            </w:r>
          </w:p>
        </w:tc>
      </w:tr>
      <w:tr w:rsidR="009E5931">
        <w:tc>
          <w:tcPr>
            <w:tcW w:w="1548" w:type="dxa"/>
            <w:vAlign w:val="center"/>
          </w:tcPr>
          <w:p w:rsidR="009E5931" w:rsidRDefault="009E5931">
            <w:pPr>
              <w:jc w:val="center"/>
              <w:rPr>
                <w:sz w:val="24"/>
              </w:rPr>
            </w:pPr>
            <w:r>
              <w:rPr>
                <w:sz w:val="24"/>
              </w:rPr>
              <w:t>201.22(a)(5)</w:t>
            </w:r>
          </w:p>
        </w:tc>
        <w:tc>
          <w:tcPr>
            <w:tcW w:w="9720" w:type="dxa"/>
            <w:vAlign w:val="center"/>
          </w:tcPr>
          <w:p w:rsidR="009E5931" w:rsidRDefault="009E5931">
            <w:pPr>
              <w:rPr>
                <w:sz w:val="24"/>
              </w:rPr>
            </w:pPr>
            <w:r>
              <w:rPr>
                <w:sz w:val="24"/>
              </w:rPr>
              <w:t>Requires that the lender obtain a consumer credit report on the borrower (a customary and usual industry practice).</w:t>
            </w:r>
          </w:p>
        </w:tc>
      </w:tr>
      <w:tr w:rsidR="009E5931">
        <w:tc>
          <w:tcPr>
            <w:tcW w:w="1548" w:type="dxa"/>
            <w:vAlign w:val="center"/>
          </w:tcPr>
          <w:p w:rsidR="009E5931" w:rsidRDefault="009E5931">
            <w:pPr>
              <w:jc w:val="center"/>
              <w:rPr>
                <w:sz w:val="24"/>
              </w:rPr>
            </w:pPr>
            <w:r>
              <w:rPr>
                <w:sz w:val="24"/>
              </w:rPr>
              <w:t>201.22(a)(8)</w:t>
            </w:r>
          </w:p>
        </w:tc>
        <w:tc>
          <w:tcPr>
            <w:tcW w:w="9720" w:type="dxa"/>
            <w:vAlign w:val="center"/>
          </w:tcPr>
          <w:p w:rsidR="009E5931" w:rsidRDefault="009E5931">
            <w:pPr>
              <w:rPr>
                <w:sz w:val="24"/>
              </w:rPr>
            </w:pPr>
            <w:r>
              <w:rPr>
                <w:sz w:val="24"/>
              </w:rPr>
              <w:t>Request for Verification of Deposit, FM-1006, to verify the source of funds for the borrower’s initial payment (a customary and usual industry practice).</w:t>
            </w:r>
          </w:p>
        </w:tc>
      </w:tr>
      <w:tr w:rsidR="009E5931">
        <w:tc>
          <w:tcPr>
            <w:tcW w:w="1548" w:type="dxa"/>
            <w:vAlign w:val="center"/>
          </w:tcPr>
          <w:p w:rsidR="009E5931" w:rsidRDefault="009E5931">
            <w:pPr>
              <w:jc w:val="center"/>
              <w:rPr>
                <w:sz w:val="24"/>
              </w:rPr>
            </w:pPr>
            <w:r>
              <w:rPr>
                <w:sz w:val="24"/>
              </w:rPr>
              <w:t>201.26(a)(1)</w:t>
            </w:r>
          </w:p>
        </w:tc>
        <w:tc>
          <w:tcPr>
            <w:tcW w:w="9720" w:type="dxa"/>
            <w:vAlign w:val="center"/>
          </w:tcPr>
          <w:p w:rsidR="009E5931" w:rsidRDefault="009E5931">
            <w:pPr>
              <w:rPr>
                <w:sz w:val="24"/>
              </w:rPr>
            </w:pPr>
            <w:r>
              <w:rPr>
                <w:sz w:val="24"/>
              </w:rPr>
              <w:t>Requires that the lender assure that the borrower is eligible and the borrower’s interest in the property is valid (a customary and usual industry practice).</w:t>
            </w:r>
          </w:p>
        </w:tc>
      </w:tr>
      <w:tr w:rsidR="009E5931">
        <w:tc>
          <w:tcPr>
            <w:tcW w:w="1548" w:type="dxa"/>
            <w:vAlign w:val="center"/>
          </w:tcPr>
          <w:p w:rsidR="009E5931" w:rsidRDefault="009E5931">
            <w:pPr>
              <w:jc w:val="center"/>
              <w:rPr>
                <w:sz w:val="24"/>
              </w:rPr>
            </w:pPr>
            <w:r>
              <w:rPr>
                <w:sz w:val="24"/>
              </w:rPr>
              <w:t>201.26(a)(2)</w:t>
            </w:r>
          </w:p>
        </w:tc>
        <w:tc>
          <w:tcPr>
            <w:tcW w:w="9720" w:type="dxa"/>
            <w:vAlign w:val="center"/>
          </w:tcPr>
          <w:p w:rsidR="009E5931" w:rsidRDefault="009E5931">
            <w:pPr>
              <w:rPr>
                <w:sz w:val="24"/>
              </w:rPr>
            </w:pPr>
            <w:r>
              <w:rPr>
                <w:sz w:val="24"/>
              </w:rPr>
              <w:t>Requires that the borrower furnish either a detailed contract proposal or a detailed statement of work and the estimated cost (a customary and usual industry practice).</w:t>
            </w:r>
          </w:p>
        </w:tc>
      </w:tr>
      <w:tr w:rsidR="009E5931">
        <w:tc>
          <w:tcPr>
            <w:tcW w:w="1548" w:type="dxa"/>
            <w:vAlign w:val="center"/>
          </w:tcPr>
          <w:p w:rsidR="009E5931" w:rsidRDefault="009E5931">
            <w:pPr>
              <w:jc w:val="center"/>
              <w:rPr>
                <w:sz w:val="24"/>
              </w:rPr>
            </w:pPr>
            <w:r>
              <w:rPr>
                <w:sz w:val="24"/>
              </w:rPr>
              <w:t>201.26(a)(5)</w:t>
            </w:r>
          </w:p>
        </w:tc>
        <w:tc>
          <w:tcPr>
            <w:tcW w:w="9720" w:type="dxa"/>
            <w:vAlign w:val="center"/>
          </w:tcPr>
          <w:p w:rsidR="009E5931" w:rsidRDefault="009E5931">
            <w:pPr>
              <w:rPr>
                <w:sz w:val="24"/>
              </w:rPr>
            </w:pPr>
            <w:r>
              <w:rPr>
                <w:sz w:val="24"/>
              </w:rPr>
              <w:t>Completion Certificate for Property Improvements, HUD-56002, to be completed for all dealer property improvement loans prior to disbursement.</w:t>
            </w:r>
          </w:p>
        </w:tc>
      </w:tr>
      <w:tr w:rsidR="009E5931">
        <w:tc>
          <w:tcPr>
            <w:tcW w:w="1548" w:type="dxa"/>
            <w:vAlign w:val="center"/>
          </w:tcPr>
          <w:p w:rsidR="009E5931" w:rsidRDefault="009E5931">
            <w:pPr>
              <w:jc w:val="center"/>
              <w:rPr>
                <w:sz w:val="24"/>
              </w:rPr>
            </w:pPr>
            <w:r>
              <w:rPr>
                <w:sz w:val="24"/>
              </w:rPr>
              <w:t>201.26(a)(6)</w:t>
            </w:r>
          </w:p>
        </w:tc>
        <w:tc>
          <w:tcPr>
            <w:tcW w:w="9720" w:type="dxa"/>
            <w:vAlign w:val="center"/>
          </w:tcPr>
          <w:p w:rsidR="009E5931" w:rsidRDefault="009E5931">
            <w:pPr>
              <w:rPr>
                <w:sz w:val="24"/>
              </w:rPr>
            </w:pPr>
            <w:r>
              <w:rPr>
                <w:sz w:val="24"/>
              </w:rPr>
              <w:t>Requires that the lender provide the borrower with a written notice of HUD’s role in the property improvement loan and the actions HUD may take if a claim is paid.</w:t>
            </w:r>
          </w:p>
        </w:tc>
      </w:tr>
      <w:tr w:rsidR="009E5931">
        <w:tc>
          <w:tcPr>
            <w:tcW w:w="1548" w:type="dxa"/>
            <w:vAlign w:val="center"/>
          </w:tcPr>
          <w:p w:rsidR="009E5931" w:rsidRDefault="009E5931">
            <w:pPr>
              <w:jc w:val="center"/>
              <w:rPr>
                <w:sz w:val="24"/>
              </w:rPr>
            </w:pPr>
            <w:r>
              <w:rPr>
                <w:sz w:val="24"/>
              </w:rPr>
              <w:t>201.26(b)(1)</w:t>
            </w:r>
          </w:p>
        </w:tc>
        <w:tc>
          <w:tcPr>
            <w:tcW w:w="9720" w:type="dxa"/>
            <w:vAlign w:val="center"/>
          </w:tcPr>
          <w:p w:rsidR="009E5931" w:rsidRDefault="009E5931">
            <w:pPr>
              <w:rPr>
                <w:sz w:val="24"/>
              </w:rPr>
            </w:pPr>
            <w:r>
              <w:rPr>
                <w:sz w:val="24"/>
              </w:rPr>
              <w:t>Requires that the lender assure that the borrower is eligible and the loan file is complete, with copies of the purchase contract, manufacturer’s invoice, and itemized statements of other costs (a customary and usual industry practice).</w:t>
            </w:r>
          </w:p>
        </w:tc>
      </w:tr>
      <w:tr w:rsidR="009E5931">
        <w:tc>
          <w:tcPr>
            <w:tcW w:w="1548" w:type="dxa"/>
            <w:vAlign w:val="center"/>
          </w:tcPr>
          <w:p w:rsidR="009E5931" w:rsidRDefault="009E5931">
            <w:pPr>
              <w:jc w:val="center"/>
              <w:rPr>
                <w:sz w:val="24"/>
              </w:rPr>
            </w:pPr>
            <w:r>
              <w:rPr>
                <w:sz w:val="24"/>
              </w:rPr>
              <w:t>201.26(b)(4)</w:t>
            </w:r>
          </w:p>
        </w:tc>
        <w:tc>
          <w:tcPr>
            <w:tcW w:w="9720" w:type="dxa"/>
            <w:vAlign w:val="center"/>
          </w:tcPr>
          <w:p w:rsidR="009E5931" w:rsidRDefault="009E5931">
            <w:pPr>
              <w:rPr>
                <w:sz w:val="24"/>
              </w:rPr>
            </w:pPr>
            <w:r>
              <w:rPr>
                <w:sz w:val="24"/>
              </w:rPr>
              <w:t>Placement Certificate for Manufactured Home, HUD-56002-MH.</w:t>
            </w:r>
          </w:p>
        </w:tc>
      </w:tr>
      <w:tr w:rsidR="009E5931">
        <w:tc>
          <w:tcPr>
            <w:tcW w:w="1548" w:type="dxa"/>
            <w:vAlign w:val="center"/>
          </w:tcPr>
          <w:p w:rsidR="009E5931" w:rsidRDefault="009E5931">
            <w:pPr>
              <w:jc w:val="center"/>
              <w:rPr>
                <w:sz w:val="24"/>
              </w:rPr>
            </w:pPr>
            <w:r>
              <w:rPr>
                <w:sz w:val="24"/>
              </w:rPr>
              <w:t>201.26(b)(7)</w:t>
            </w:r>
          </w:p>
        </w:tc>
        <w:tc>
          <w:tcPr>
            <w:tcW w:w="9720" w:type="dxa"/>
            <w:vAlign w:val="center"/>
          </w:tcPr>
          <w:p w:rsidR="009E5931" w:rsidRDefault="009E5931">
            <w:pPr>
              <w:rPr>
                <w:sz w:val="24"/>
              </w:rPr>
            </w:pPr>
            <w:r>
              <w:rPr>
                <w:sz w:val="24"/>
              </w:rPr>
              <w:t>Requires that the lender provide the borrower with a written notice of HUD’s role in the manufactured home loan and the actions HUD may take if a claim is paid.</w:t>
            </w:r>
          </w:p>
        </w:tc>
      </w:tr>
      <w:tr w:rsidR="009E5931">
        <w:tc>
          <w:tcPr>
            <w:tcW w:w="1548" w:type="dxa"/>
            <w:vAlign w:val="center"/>
          </w:tcPr>
          <w:p w:rsidR="009E5931" w:rsidRDefault="009E5931">
            <w:pPr>
              <w:jc w:val="center"/>
              <w:rPr>
                <w:sz w:val="24"/>
              </w:rPr>
            </w:pPr>
            <w:r>
              <w:rPr>
                <w:sz w:val="24"/>
              </w:rPr>
              <w:t>201.26(b)(8)</w:t>
            </w:r>
          </w:p>
        </w:tc>
        <w:tc>
          <w:tcPr>
            <w:tcW w:w="9720" w:type="dxa"/>
            <w:vAlign w:val="center"/>
          </w:tcPr>
          <w:p w:rsidR="009E5931" w:rsidRDefault="009E5931">
            <w:pPr>
              <w:rPr>
                <w:sz w:val="24"/>
              </w:rPr>
            </w:pPr>
            <w:r>
              <w:rPr>
                <w:sz w:val="24"/>
              </w:rPr>
              <w:t>Requires that, if a manufactured home is to be located on Indian lands, the lender must obtain written permission from the trustee or tribal authority to repossess the home in the event of default (a customary and usual industry practice).</w:t>
            </w:r>
          </w:p>
        </w:tc>
      </w:tr>
      <w:tr w:rsidR="009E5931">
        <w:tc>
          <w:tcPr>
            <w:tcW w:w="1548" w:type="dxa"/>
            <w:vAlign w:val="center"/>
          </w:tcPr>
          <w:p w:rsidR="009E5931" w:rsidRDefault="009E5931">
            <w:pPr>
              <w:jc w:val="center"/>
              <w:rPr>
                <w:sz w:val="24"/>
              </w:rPr>
            </w:pPr>
            <w:r>
              <w:rPr>
                <w:sz w:val="24"/>
              </w:rPr>
              <w:t>201.27(a)(2)</w:t>
            </w:r>
          </w:p>
        </w:tc>
        <w:tc>
          <w:tcPr>
            <w:tcW w:w="9720" w:type="dxa"/>
            <w:vAlign w:val="center"/>
          </w:tcPr>
          <w:p w:rsidR="009E5931" w:rsidRDefault="009E5931">
            <w:pPr>
              <w:rPr>
                <w:sz w:val="24"/>
              </w:rPr>
            </w:pPr>
            <w:r>
              <w:rPr>
                <w:sz w:val="24"/>
              </w:rPr>
              <w:t>Dealer/Contractor Application, HUD-55013, to be used for all property improvement and manufactured home dealer approvals.</w:t>
            </w:r>
          </w:p>
        </w:tc>
      </w:tr>
      <w:tr w:rsidR="009E5931">
        <w:tc>
          <w:tcPr>
            <w:tcW w:w="1548" w:type="dxa"/>
            <w:vAlign w:val="center"/>
          </w:tcPr>
          <w:p w:rsidR="009E5931" w:rsidRDefault="009E5931">
            <w:pPr>
              <w:jc w:val="center"/>
              <w:rPr>
                <w:sz w:val="24"/>
              </w:rPr>
            </w:pPr>
            <w:r>
              <w:rPr>
                <w:sz w:val="24"/>
              </w:rPr>
              <w:t>201.27(a)(5)</w:t>
            </w:r>
          </w:p>
        </w:tc>
        <w:tc>
          <w:tcPr>
            <w:tcW w:w="9720" w:type="dxa"/>
            <w:vAlign w:val="center"/>
          </w:tcPr>
          <w:p w:rsidR="009E5931" w:rsidRDefault="009E5931">
            <w:pPr>
              <w:rPr>
                <w:sz w:val="24"/>
              </w:rPr>
            </w:pPr>
            <w:r>
              <w:rPr>
                <w:sz w:val="24"/>
              </w:rPr>
              <w:t>Requires that the lender provide HUD with written notification upon termination of a dealer.</w:t>
            </w:r>
          </w:p>
        </w:tc>
      </w:tr>
      <w:tr w:rsidR="009E5931">
        <w:tc>
          <w:tcPr>
            <w:tcW w:w="1548" w:type="dxa"/>
            <w:vAlign w:val="center"/>
          </w:tcPr>
          <w:p w:rsidR="009E5931" w:rsidRDefault="009E5931">
            <w:pPr>
              <w:jc w:val="center"/>
              <w:rPr>
                <w:sz w:val="24"/>
              </w:rPr>
            </w:pPr>
            <w:r>
              <w:rPr>
                <w:sz w:val="24"/>
              </w:rPr>
              <w:t>201.27(a)(6)</w:t>
            </w:r>
          </w:p>
        </w:tc>
        <w:tc>
          <w:tcPr>
            <w:tcW w:w="9720" w:type="dxa"/>
            <w:vAlign w:val="center"/>
          </w:tcPr>
          <w:p w:rsidR="009E5931" w:rsidRDefault="009E5931">
            <w:pPr>
              <w:rPr>
                <w:sz w:val="24"/>
              </w:rPr>
            </w:pPr>
            <w:r>
              <w:rPr>
                <w:sz w:val="24"/>
              </w:rPr>
              <w:t xml:space="preserve">Requires written notification to the lender of any material change in a dealer’s trade name, place </w:t>
            </w:r>
            <w:r>
              <w:rPr>
                <w:sz w:val="24"/>
              </w:rPr>
              <w:lastRenderedPageBreak/>
              <w:t>of business, ownership, etc.</w:t>
            </w:r>
          </w:p>
        </w:tc>
      </w:tr>
      <w:tr w:rsidR="009E5931">
        <w:tc>
          <w:tcPr>
            <w:tcW w:w="1548" w:type="dxa"/>
            <w:vAlign w:val="center"/>
          </w:tcPr>
          <w:p w:rsidR="009E5931" w:rsidRDefault="009E5931">
            <w:pPr>
              <w:jc w:val="center"/>
              <w:rPr>
                <w:sz w:val="24"/>
              </w:rPr>
            </w:pPr>
            <w:r>
              <w:rPr>
                <w:sz w:val="24"/>
              </w:rPr>
              <w:lastRenderedPageBreak/>
              <w:t>201.30</w:t>
            </w:r>
          </w:p>
        </w:tc>
        <w:tc>
          <w:tcPr>
            <w:tcW w:w="9720" w:type="dxa"/>
            <w:vAlign w:val="center"/>
          </w:tcPr>
          <w:p w:rsidR="009E5931" w:rsidRDefault="009E5931">
            <w:pPr>
              <w:rPr>
                <w:sz w:val="24"/>
              </w:rPr>
            </w:pPr>
            <w:r>
              <w:rPr>
                <w:sz w:val="24"/>
              </w:rPr>
              <w:t>Title I New Loan Reporting Manifest, HUD-56004</w:t>
            </w:r>
          </w:p>
          <w:p w:rsidR="009E5931" w:rsidRDefault="009E5931">
            <w:pPr>
              <w:rPr>
                <w:sz w:val="24"/>
              </w:rPr>
            </w:pPr>
            <w:r>
              <w:rPr>
                <w:sz w:val="24"/>
              </w:rPr>
              <w:t>Title I Refinancing Report, HUD 27029</w:t>
            </w:r>
          </w:p>
          <w:p w:rsidR="009E5931" w:rsidRDefault="009E5931">
            <w:pPr>
              <w:rPr>
                <w:sz w:val="24"/>
              </w:rPr>
            </w:pPr>
            <w:r>
              <w:rPr>
                <w:sz w:val="24"/>
              </w:rPr>
              <w:t>Title I Transfer of Note Report, HUD-27030.</w:t>
            </w:r>
          </w:p>
        </w:tc>
      </w:tr>
      <w:tr w:rsidR="009E5931">
        <w:tc>
          <w:tcPr>
            <w:tcW w:w="1548" w:type="dxa"/>
            <w:vAlign w:val="center"/>
          </w:tcPr>
          <w:p w:rsidR="009E5931" w:rsidRDefault="009E5931">
            <w:pPr>
              <w:jc w:val="center"/>
              <w:rPr>
                <w:sz w:val="24"/>
              </w:rPr>
            </w:pPr>
            <w:r>
              <w:rPr>
                <w:sz w:val="24"/>
              </w:rPr>
              <w:t>201.40(a)</w:t>
            </w:r>
          </w:p>
        </w:tc>
        <w:tc>
          <w:tcPr>
            <w:tcW w:w="9720" w:type="dxa"/>
            <w:vAlign w:val="center"/>
          </w:tcPr>
          <w:p w:rsidR="009E5931" w:rsidRDefault="009E5931">
            <w:pPr>
              <w:rPr>
                <w:sz w:val="24"/>
              </w:rPr>
            </w:pPr>
            <w:r>
              <w:rPr>
                <w:sz w:val="24"/>
              </w:rPr>
              <w:t>Requires that the lender report to HUD any material misstatements of fact or misuse of loan proceeds.</w:t>
            </w:r>
          </w:p>
        </w:tc>
      </w:tr>
      <w:tr w:rsidR="009E5931">
        <w:tc>
          <w:tcPr>
            <w:tcW w:w="1548" w:type="dxa"/>
            <w:vAlign w:val="center"/>
          </w:tcPr>
          <w:p w:rsidR="009E5931" w:rsidRDefault="009E5931">
            <w:pPr>
              <w:jc w:val="center"/>
              <w:rPr>
                <w:sz w:val="24"/>
              </w:rPr>
            </w:pPr>
            <w:r>
              <w:rPr>
                <w:sz w:val="24"/>
              </w:rPr>
              <w:t>201.40(b)</w:t>
            </w:r>
          </w:p>
        </w:tc>
        <w:tc>
          <w:tcPr>
            <w:tcW w:w="9720" w:type="dxa"/>
            <w:vAlign w:val="center"/>
          </w:tcPr>
          <w:p w:rsidR="009E5931" w:rsidRDefault="009E5931">
            <w:pPr>
              <w:rPr>
                <w:sz w:val="24"/>
              </w:rPr>
            </w:pPr>
            <w:r>
              <w:rPr>
                <w:sz w:val="24"/>
              </w:rPr>
              <w:t>Completion Certificate for Property Improvements, HUD-56002, to be completed for all direct property improvement loans after completion of improvements.</w:t>
            </w:r>
          </w:p>
        </w:tc>
      </w:tr>
      <w:tr w:rsidR="009E5931">
        <w:tc>
          <w:tcPr>
            <w:tcW w:w="1548" w:type="dxa"/>
            <w:vAlign w:val="center"/>
          </w:tcPr>
          <w:p w:rsidR="009E5931" w:rsidRDefault="009E5931">
            <w:pPr>
              <w:jc w:val="center"/>
              <w:rPr>
                <w:sz w:val="24"/>
              </w:rPr>
            </w:pPr>
            <w:r>
              <w:rPr>
                <w:sz w:val="24"/>
              </w:rPr>
              <w:t>201.40(c)</w:t>
            </w:r>
          </w:p>
        </w:tc>
        <w:tc>
          <w:tcPr>
            <w:tcW w:w="9720" w:type="dxa"/>
            <w:vAlign w:val="center"/>
          </w:tcPr>
          <w:p w:rsidR="009E5931" w:rsidRDefault="009E5931">
            <w:pPr>
              <w:rPr>
                <w:sz w:val="24"/>
              </w:rPr>
            </w:pPr>
            <w:r>
              <w:rPr>
                <w:sz w:val="24"/>
              </w:rPr>
              <w:t>Requires that the lender conduct an on-site inspection on all property improvement loans over $7,500 to verify that the improvements are eligible and the work is completed (a customary and usual industry practice).</w:t>
            </w:r>
          </w:p>
        </w:tc>
      </w:tr>
      <w:tr w:rsidR="009E5931">
        <w:tc>
          <w:tcPr>
            <w:tcW w:w="1548" w:type="dxa"/>
            <w:vAlign w:val="center"/>
          </w:tcPr>
          <w:p w:rsidR="009E5931" w:rsidRDefault="009E5931">
            <w:pPr>
              <w:jc w:val="center"/>
              <w:rPr>
                <w:sz w:val="24"/>
              </w:rPr>
            </w:pPr>
            <w:r>
              <w:rPr>
                <w:sz w:val="24"/>
              </w:rPr>
              <w:t>201.40(d)</w:t>
            </w:r>
          </w:p>
        </w:tc>
        <w:tc>
          <w:tcPr>
            <w:tcW w:w="9720" w:type="dxa"/>
            <w:vAlign w:val="center"/>
          </w:tcPr>
          <w:p w:rsidR="009E5931" w:rsidRDefault="009E5931">
            <w:pPr>
              <w:rPr>
                <w:sz w:val="24"/>
              </w:rPr>
            </w:pPr>
            <w:r>
              <w:rPr>
                <w:sz w:val="24"/>
              </w:rPr>
              <w:t>Requires that the lender conduct an on-site inspection on all manufactured home loans involving a dealer, to determine that the home has been satisfactorily delivered and installed.</w:t>
            </w:r>
          </w:p>
        </w:tc>
      </w:tr>
      <w:tr w:rsidR="009E5931">
        <w:tc>
          <w:tcPr>
            <w:tcW w:w="1548" w:type="dxa"/>
            <w:vAlign w:val="center"/>
          </w:tcPr>
          <w:p w:rsidR="009E5931" w:rsidRDefault="009E5931">
            <w:pPr>
              <w:jc w:val="center"/>
              <w:rPr>
                <w:sz w:val="24"/>
              </w:rPr>
            </w:pPr>
            <w:r>
              <w:rPr>
                <w:sz w:val="24"/>
              </w:rPr>
              <w:t>201.41</w:t>
            </w:r>
          </w:p>
        </w:tc>
        <w:tc>
          <w:tcPr>
            <w:tcW w:w="9720" w:type="dxa"/>
            <w:vAlign w:val="center"/>
          </w:tcPr>
          <w:p w:rsidR="009E5931" w:rsidRDefault="009E5931">
            <w:pPr>
              <w:rPr>
                <w:sz w:val="24"/>
              </w:rPr>
            </w:pPr>
            <w:r>
              <w:rPr>
                <w:sz w:val="24"/>
              </w:rPr>
              <w:t>Requires that the lender conduct diligent and prudent loan servicing, including organized methods for identifying delinquent loans and pursuing collection activities (a customary and usual industry practice.)</w:t>
            </w:r>
          </w:p>
        </w:tc>
      </w:tr>
      <w:tr w:rsidR="009E5931">
        <w:tc>
          <w:tcPr>
            <w:tcW w:w="1548" w:type="dxa"/>
            <w:vAlign w:val="center"/>
          </w:tcPr>
          <w:p w:rsidR="009E5931" w:rsidRDefault="009E5931">
            <w:pPr>
              <w:jc w:val="center"/>
              <w:rPr>
                <w:sz w:val="24"/>
              </w:rPr>
            </w:pPr>
            <w:r>
              <w:rPr>
                <w:sz w:val="24"/>
              </w:rPr>
              <w:t>201.42</w:t>
            </w:r>
          </w:p>
        </w:tc>
        <w:tc>
          <w:tcPr>
            <w:tcW w:w="9720" w:type="dxa"/>
            <w:vAlign w:val="center"/>
          </w:tcPr>
          <w:p w:rsidR="009E5931" w:rsidRDefault="009E5931">
            <w:pPr>
              <w:rPr>
                <w:sz w:val="24"/>
              </w:rPr>
            </w:pPr>
            <w:r>
              <w:rPr>
                <w:sz w:val="24"/>
              </w:rPr>
              <w:t>Requires that the lender file a proof of claim in any bankruptcy, insolvency or probate hearing, and take all steps necessary to protect the interests of the holder of the note (a customary and usual industry practice).</w:t>
            </w:r>
          </w:p>
        </w:tc>
      </w:tr>
      <w:tr w:rsidR="009E5931">
        <w:tc>
          <w:tcPr>
            <w:tcW w:w="1548" w:type="dxa"/>
            <w:vAlign w:val="center"/>
          </w:tcPr>
          <w:p w:rsidR="009E5931" w:rsidRDefault="009E5931">
            <w:pPr>
              <w:jc w:val="center"/>
              <w:rPr>
                <w:sz w:val="24"/>
              </w:rPr>
            </w:pPr>
            <w:r>
              <w:rPr>
                <w:sz w:val="24"/>
              </w:rPr>
              <w:t>201.50(b)</w:t>
            </w:r>
          </w:p>
        </w:tc>
        <w:tc>
          <w:tcPr>
            <w:tcW w:w="9720" w:type="dxa"/>
            <w:vAlign w:val="center"/>
          </w:tcPr>
          <w:p w:rsidR="009E5931" w:rsidRDefault="009E5931">
            <w:pPr>
              <w:rPr>
                <w:sz w:val="24"/>
              </w:rPr>
            </w:pPr>
            <w:r>
              <w:rPr>
                <w:sz w:val="24"/>
              </w:rPr>
              <w:t>Requires that the lender provide the borrower with a written notice of default and acceleration (a customary and usual industry practice).</w:t>
            </w:r>
          </w:p>
        </w:tc>
      </w:tr>
      <w:tr w:rsidR="009E5931">
        <w:tc>
          <w:tcPr>
            <w:tcW w:w="1548" w:type="dxa"/>
            <w:vAlign w:val="center"/>
          </w:tcPr>
          <w:p w:rsidR="009E5931" w:rsidRDefault="009E5931">
            <w:pPr>
              <w:jc w:val="center"/>
              <w:rPr>
                <w:sz w:val="24"/>
              </w:rPr>
            </w:pPr>
            <w:r>
              <w:rPr>
                <w:sz w:val="24"/>
              </w:rPr>
              <w:t>201.51(b)(2)</w:t>
            </w:r>
          </w:p>
        </w:tc>
        <w:tc>
          <w:tcPr>
            <w:tcW w:w="9720" w:type="dxa"/>
            <w:vAlign w:val="center"/>
          </w:tcPr>
          <w:p w:rsidR="009E5931" w:rsidRDefault="009E5931">
            <w:pPr>
              <w:rPr>
                <w:sz w:val="24"/>
              </w:rPr>
            </w:pPr>
            <w:r>
              <w:rPr>
                <w:sz w:val="24"/>
              </w:rPr>
              <w:t>Requires that, prior to repossession, the lender shall make a visual inspection of the property and prepare a report on its condition (a customary and usual industry practice).</w:t>
            </w:r>
          </w:p>
        </w:tc>
      </w:tr>
      <w:tr w:rsidR="009E5931">
        <w:tc>
          <w:tcPr>
            <w:tcW w:w="1548" w:type="dxa"/>
            <w:vAlign w:val="center"/>
          </w:tcPr>
          <w:p w:rsidR="009E5931" w:rsidRDefault="009E5931">
            <w:pPr>
              <w:jc w:val="center"/>
              <w:rPr>
                <w:sz w:val="24"/>
              </w:rPr>
            </w:pPr>
            <w:r>
              <w:rPr>
                <w:sz w:val="24"/>
              </w:rPr>
              <w:t>201.51(b)(3)</w:t>
            </w:r>
          </w:p>
        </w:tc>
        <w:tc>
          <w:tcPr>
            <w:tcW w:w="9720" w:type="dxa"/>
            <w:vAlign w:val="center"/>
          </w:tcPr>
          <w:p w:rsidR="009E5931" w:rsidRDefault="001777F0" w:rsidP="001777F0">
            <w:pPr>
              <w:rPr>
                <w:sz w:val="24"/>
              </w:rPr>
            </w:pPr>
            <w:r>
              <w:rPr>
                <w:sz w:val="24"/>
              </w:rPr>
              <w:t>For manufactured home</w:t>
            </w:r>
            <w:r w:rsidR="00710D66">
              <w:rPr>
                <w:sz w:val="24"/>
              </w:rPr>
              <w:t>s</w:t>
            </w:r>
            <w:r>
              <w:rPr>
                <w:sz w:val="24"/>
              </w:rPr>
              <w:t xml:space="preserve"> repossessed, l</w:t>
            </w:r>
            <w:r w:rsidR="00D673CA">
              <w:rPr>
                <w:sz w:val="24"/>
              </w:rPr>
              <w:t xml:space="preserve">enders must obtain a </w:t>
            </w:r>
            <w:r>
              <w:rPr>
                <w:sz w:val="24"/>
              </w:rPr>
              <w:t>HUD-approved a</w:t>
            </w:r>
            <w:r w:rsidR="009E5931">
              <w:rPr>
                <w:sz w:val="24"/>
              </w:rPr>
              <w:t>ppraisal</w:t>
            </w:r>
            <w:r w:rsidR="00D673CA">
              <w:rPr>
                <w:sz w:val="24"/>
              </w:rPr>
              <w:t xml:space="preserve">, to </w:t>
            </w:r>
            <w:r w:rsidR="009E5931">
              <w:rPr>
                <w:sz w:val="24"/>
              </w:rPr>
              <w:t xml:space="preserve">establish the </w:t>
            </w:r>
            <w:r>
              <w:rPr>
                <w:sz w:val="24"/>
              </w:rPr>
              <w:t xml:space="preserve">retail value of comparable manufactured homes in similar condition and in the same geographic area </w:t>
            </w:r>
            <w:r w:rsidR="009E5931">
              <w:rPr>
                <w:sz w:val="24"/>
              </w:rPr>
              <w:t>best price obtainable for the repossessed manufactured home.</w:t>
            </w:r>
          </w:p>
        </w:tc>
      </w:tr>
      <w:tr w:rsidR="009E5931">
        <w:tc>
          <w:tcPr>
            <w:tcW w:w="1548" w:type="dxa"/>
            <w:vAlign w:val="center"/>
          </w:tcPr>
          <w:p w:rsidR="009E5931" w:rsidRDefault="009E5931">
            <w:pPr>
              <w:jc w:val="center"/>
              <w:rPr>
                <w:sz w:val="24"/>
              </w:rPr>
            </w:pPr>
            <w:r>
              <w:rPr>
                <w:sz w:val="24"/>
              </w:rPr>
              <w:t>201.54(a)</w:t>
            </w:r>
          </w:p>
        </w:tc>
        <w:tc>
          <w:tcPr>
            <w:tcW w:w="9720" w:type="dxa"/>
            <w:vAlign w:val="center"/>
          </w:tcPr>
          <w:p w:rsidR="009E5931" w:rsidRDefault="009E5931">
            <w:pPr>
              <w:rPr>
                <w:sz w:val="24"/>
              </w:rPr>
            </w:pPr>
            <w:r>
              <w:rPr>
                <w:sz w:val="24"/>
              </w:rPr>
              <w:t>Title I Claim for Loss Application, HUD-637.</w:t>
            </w:r>
          </w:p>
        </w:tc>
      </w:tr>
      <w:tr w:rsidR="009E5931">
        <w:tc>
          <w:tcPr>
            <w:tcW w:w="1548" w:type="dxa"/>
            <w:vAlign w:val="center"/>
          </w:tcPr>
          <w:p w:rsidR="009E5931" w:rsidRDefault="009E5931">
            <w:pPr>
              <w:jc w:val="center"/>
              <w:rPr>
                <w:sz w:val="24"/>
              </w:rPr>
            </w:pPr>
            <w:r>
              <w:rPr>
                <w:sz w:val="24"/>
              </w:rPr>
              <w:t>201.54(b)(2)</w:t>
            </w:r>
          </w:p>
        </w:tc>
        <w:tc>
          <w:tcPr>
            <w:tcW w:w="9720" w:type="dxa"/>
            <w:vAlign w:val="center"/>
          </w:tcPr>
          <w:p w:rsidR="009E5931" w:rsidRDefault="009E5931">
            <w:pPr>
              <w:rPr>
                <w:sz w:val="24"/>
              </w:rPr>
            </w:pPr>
            <w:r>
              <w:rPr>
                <w:sz w:val="24"/>
              </w:rPr>
              <w:t>Requires that, for HUD to extend the claim filing period, the lender must furnish clear evidence that the delay in claim filing was in HUD’s interest or was beyond the lender’s control.</w:t>
            </w:r>
          </w:p>
        </w:tc>
      </w:tr>
    </w:tbl>
    <w:p w:rsidR="00F94F78" w:rsidRDefault="00F94F78">
      <w:pPr>
        <w:jc w:val="center"/>
      </w:pPr>
    </w:p>
    <w:p w:rsidR="00F94F78" w:rsidRDefault="00F94F78">
      <w:pPr>
        <w:overflowPunct/>
        <w:autoSpaceDE/>
        <w:autoSpaceDN/>
        <w:adjustRightInd/>
        <w:textAlignment w:val="auto"/>
      </w:pPr>
      <w:r>
        <w:br w:type="page"/>
      </w:r>
    </w:p>
    <w:p w:rsidR="009E5931" w:rsidRDefault="009E5931">
      <w:pPr>
        <w:jc w:val="center"/>
      </w:pPr>
    </w:p>
    <w:p w:rsidR="009E5931" w:rsidRDefault="009E5931"/>
    <w:tbl>
      <w:tblPr>
        <w:tblW w:w="10680" w:type="dxa"/>
        <w:tblInd w:w="93" w:type="dxa"/>
        <w:tblLook w:val="04A0"/>
      </w:tblPr>
      <w:tblGrid>
        <w:gridCol w:w="1340"/>
        <w:gridCol w:w="7740"/>
        <w:gridCol w:w="1600"/>
      </w:tblGrid>
      <w:tr w:rsidR="00A45CC0" w:rsidRPr="00E06ED7" w:rsidTr="0045756C">
        <w:trPr>
          <w:trHeight w:val="63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5CC0" w:rsidRPr="00E06ED7" w:rsidRDefault="00A45CC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Section of the Act</w:t>
            </w:r>
          </w:p>
        </w:tc>
        <w:tc>
          <w:tcPr>
            <w:tcW w:w="7740" w:type="dxa"/>
            <w:tcBorders>
              <w:top w:val="single" w:sz="4" w:space="0" w:color="auto"/>
              <w:left w:val="nil"/>
              <w:bottom w:val="single" w:sz="4" w:space="0" w:color="auto"/>
              <w:right w:val="single" w:sz="4" w:space="0" w:color="auto"/>
            </w:tcBorders>
            <w:shd w:val="clear" w:color="auto" w:fill="auto"/>
            <w:noWrap/>
            <w:vAlign w:val="center"/>
            <w:hideMark/>
          </w:tcPr>
          <w:p w:rsidR="00A74B60" w:rsidRPr="00E06ED7" w:rsidRDefault="008F0F03" w:rsidP="00A45CC0">
            <w:pPr>
              <w:overflowPunct/>
              <w:autoSpaceDE/>
              <w:autoSpaceDN/>
              <w:adjustRightInd/>
              <w:textAlignment w:val="auto"/>
              <w:rPr>
                <w:rFonts w:ascii="Bookman Old Style" w:hAnsi="Bookman Old Style"/>
                <w:b/>
                <w:bCs/>
                <w:color w:val="000000"/>
                <w:sz w:val="22"/>
                <w:szCs w:val="24"/>
              </w:rPr>
            </w:pPr>
            <w:r>
              <w:rPr>
                <w:rFonts w:ascii="Bookman Old Style" w:hAnsi="Bookman Old Style"/>
                <w:b/>
                <w:bCs/>
                <w:color w:val="000000"/>
                <w:sz w:val="22"/>
                <w:szCs w:val="24"/>
              </w:rPr>
              <w:t>HERA 2008 Legislative Provision with PRA impact</w:t>
            </w:r>
          </w:p>
          <w:p w:rsidR="00A45CC0" w:rsidRPr="00E06ED7" w:rsidRDefault="00A74B6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 xml:space="preserve">(Applicable only to Manufactured Housing) </w:t>
            </w:r>
          </w:p>
        </w:tc>
        <w:tc>
          <w:tcPr>
            <w:tcW w:w="1600" w:type="dxa"/>
            <w:tcBorders>
              <w:top w:val="single" w:sz="4" w:space="0" w:color="auto"/>
              <w:left w:val="nil"/>
              <w:bottom w:val="single" w:sz="4" w:space="0" w:color="auto"/>
              <w:right w:val="single" w:sz="4" w:space="0" w:color="000000"/>
            </w:tcBorders>
            <w:shd w:val="clear" w:color="auto" w:fill="auto"/>
            <w:noWrap/>
            <w:hideMark/>
          </w:tcPr>
          <w:p w:rsidR="00A45CC0" w:rsidRPr="00E06ED7" w:rsidRDefault="00A45CC0" w:rsidP="00A45CC0">
            <w:pPr>
              <w:overflowPunct/>
              <w:autoSpaceDE/>
              <w:autoSpaceDN/>
              <w:adjustRightInd/>
              <w:jc w:val="center"/>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Key Word(s)</w:t>
            </w:r>
          </w:p>
        </w:tc>
      </w:tr>
      <w:tr w:rsidR="0045756C" w:rsidRPr="00A45CC0" w:rsidTr="0045756C">
        <w:trPr>
          <w:trHeight w:val="315"/>
        </w:trPr>
        <w:tc>
          <w:tcPr>
            <w:tcW w:w="13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756C" w:rsidRPr="004E7EC2" w:rsidRDefault="0045756C" w:rsidP="00A45CC0">
            <w:pPr>
              <w:overflowPunct/>
              <w:autoSpaceDE/>
              <w:autoSpaceDN/>
              <w:adjustRightInd/>
              <w:jc w:val="center"/>
              <w:textAlignment w:val="auto"/>
              <w:rPr>
                <w:rFonts w:ascii="Bookman Old Style" w:hAnsi="Bookman Old Style"/>
                <w:color w:val="000000"/>
                <w:sz w:val="22"/>
                <w:szCs w:val="24"/>
              </w:rPr>
            </w:pPr>
            <w:r w:rsidRPr="004E7EC2">
              <w:rPr>
                <w:rFonts w:ascii="Bookman Old Style" w:hAnsi="Bookman Old Style"/>
                <w:color w:val="000000"/>
                <w:sz w:val="22"/>
                <w:szCs w:val="24"/>
              </w:rPr>
              <w:t xml:space="preserve">2150  </w:t>
            </w:r>
            <w:r w:rsidRPr="004E7EC2">
              <w:rPr>
                <w:rFonts w:ascii="Bookman Old Style" w:hAnsi="Bookman Old Style"/>
                <w:color w:val="000000"/>
                <w:sz w:val="22"/>
              </w:rPr>
              <w:t xml:space="preserve">(Appendix 5 in TI-481) </w:t>
            </w:r>
          </w:p>
        </w:tc>
        <w:tc>
          <w:tcPr>
            <w:tcW w:w="7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56C" w:rsidRPr="004E7EC2" w:rsidRDefault="0045756C" w:rsidP="00A45CC0">
            <w:pPr>
              <w:overflowPunct/>
              <w:autoSpaceDE/>
              <w:autoSpaceDN/>
              <w:adjustRightInd/>
              <w:spacing w:after="240"/>
              <w:textAlignment w:val="auto"/>
              <w:rPr>
                <w:rFonts w:ascii="Bookman Old Style" w:hAnsi="Bookman Old Style"/>
                <w:color w:val="000000"/>
                <w:sz w:val="22"/>
                <w:szCs w:val="24"/>
              </w:rPr>
            </w:pPr>
            <w:r w:rsidRPr="004E7EC2">
              <w:rPr>
                <w:rFonts w:ascii="Bookman Old Style" w:hAnsi="Bookman Old Style"/>
                <w:color w:val="000000"/>
                <w:sz w:val="22"/>
                <w:szCs w:val="24"/>
              </w:rPr>
              <w:t>Requires that if a manufactured home loan is for the purpose of financing a manufactured home unit to be situated in a manufactured home community pursuant to a lease, the lease must:</w:t>
            </w:r>
            <w:r w:rsidRPr="004E7EC2">
              <w:rPr>
                <w:rFonts w:ascii="Bookman Old Style" w:hAnsi="Bookman Old Style"/>
                <w:color w:val="000000"/>
                <w:sz w:val="22"/>
                <w:szCs w:val="24"/>
              </w:rPr>
              <w:br/>
              <w:t>• not expire before three (3) years after the origination date of the obligation;</w:t>
            </w:r>
            <w:r w:rsidRPr="004E7EC2">
              <w:rPr>
                <w:rFonts w:ascii="Bookman Old Style" w:hAnsi="Bookman Old Style"/>
                <w:color w:val="000000"/>
                <w:sz w:val="22"/>
                <w:szCs w:val="24"/>
              </w:rPr>
              <w:br/>
              <w:t>• be renewable upon the expiration of the original 3-year term by successive one (1) year    terms;</w:t>
            </w:r>
            <w:r w:rsidRPr="004E7EC2">
              <w:rPr>
                <w:rFonts w:ascii="Bookman Old Style" w:hAnsi="Bookman Old Style"/>
                <w:color w:val="000000"/>
                <w:sz w:val="22"/>
                <w:szCs w:val="24"/>
              </w:rPr>
              <w:br/>
              <w:t xml:space="preserve">• requires the </w:t>
            </w:r>
            <w:proofErr w:type="spellStart"/>
            <w:r w:rsidRPr="004E7EC2">
              <w:rPr>
                <w:rFonts w:ascii="Bookman Old Style" w:hAnsi="Bookman Old Style"/>
                <w:color w:val="000000"/>
                <w:sz w:val="22"/>
                <w:szCs w:val="24"/>
              </w:rPr>
              <w:t>lessor</w:t>
            </w:r>
            <w:proofErr w:type="spellEnd"/>
            <w:r w:rsidRPr="004E7EC2">
              <w:rPr>
                <w:rFonts w:ascii="Bookman Old Style" w:hAnsi="Bookman Old Style"/>
                <w:color w:val="000000"/>
                <w:sz w:val="22"/>
                <w:szCs w:val="24"/>
              </w:rPr>
              <w:t xml:space="preserve">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  </w:t>
            </w:r>
          </w:p>
        </w:tc>
        <w:tc>
          <w:tcPr>
            <w:tcW w:w="16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5756C" w:rsidRPr="00A45CC0" w:rsidRDefault="0045756C" w:rsidP="00A45CC0">
            <w:pPr>
              <w:overflowPunct/>
              <w:autoSpaceDE/>
              <w:autoSpaceDN/>
              <w:adjustRightInd/>
              <w:textAlignment w:val="auto"/>
              <w:rPr>
                <w:rFonts w:ascii="Bookman Old Style" w:hAnsi="Bookman Old Style"/>
                <w:color w:val="000000"/>
              </w:rPr>
            </w:pPr>
            <w:r w:rsidRPr="00A45CC0">
              <w:rPr>
                <w:rFonts w:ascii="Bookman Old Style" w:hAnsi="Bookman Old Style"/>
                <w:color w:val="000000"/>
              </w:rPr>
              <w:t>Site Lease Requirements</w:t>
            </w: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E7EC2">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E06ED7">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FC3E7F">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bl>
    <w:p w:rsidR="009E5931" w:rsidRDefault="00A120C9" w:rsidP="00A120C9">
      <w:pPr>
        <w:pStyle w:val="Heading4"/>
        <w:jc w:val="left"/>
        <w:rPr>
          <w:rFonts w:ascii="Tms Rmn" w:hAnsi="Tms Rmn"/>
          <w:szCs w:val="24"/>
        </w:rPr>
      </w:pPr>
      <w:r>
        <w:rPr>
          <w:rFonts w:ascii="Tms Rmn" w:hAnsi="Tms Rmn"/>
          <w:szCs w:val="24"/>
        </w:rPr>
        <w:t xml:space="preserve"> </w:t>
      </w:r>
    </w:p>
    <w:p w:rsidR="009E5931" w:rsidRDefault="009E5931">
      <w:pPr>
        <w:rPr>
          <w:sz w:val="24"/>
        </w:rPr>
      </w:pPr>
    </w:p>
    <w:sectPr w:rsidR="009E5931" w:rsidSect="00C608AD">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50" w:rsidRDefault="00A55F50">
      <w:r>
        <w:separator/>
      </w:r>
    </w:p>
  </w:endnote>
  <w:endnote w:type="continuationSeparator" w:id="0">
    <w:p w:rsidR="00A55F50" w:rsidRDefault="00A55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7F" w:rsidRDefault="0013341F">
    <w:pPr>
      <w:pStyle w:val="Footer"/>
      <w:framePr w:wrap="around" w:vAnchor="text" w:hAnchor="margin" w:xAlign="center" w:y="1"/>
      <w:rPr>
        <w:rStyle w:val="PageNumber"/>
      </w:rPr>
    </w:pPr>
    <w:r>
      <w:rPr>
        <w:rStyle w:val="PageNumber"/>
      </w:rPr>
      <w:fldChar w:fldCharType="begin"/>
    </w:r>
    <w:r w:rsidR="00FC3E7F">
      <w:rPr>
        <w:rStyle w:val="PageNumber"/>
      </w:rPr>
      <w:instrText xml:space="preserve">PAGE  </w:instrText>
    </w:r>
    <w:r>
      <w:rPr>
        <w:rStyle w:val="PageNumber"/>
      </w:rPr>
      <w:fldChar w:fldCharType="separate"/>
    </w:r>
    <w:r w:rsidR="00A120C9">
      <w:rPr>
        <w:rStyle w:val="PageNumber"/>
        <w:noProof/>
      </w:rPr>
      <w:t>3</w:t>
    </w:r>
    <w:r>
      <w:rPr>
        <w:rStyle w:val="PageNumber"/>
      </w:rPr>
      <w:fldChar w:fldCharType="end"/>
    </w:r>
  </w:p>
  <w:p w:rsidR="00FC3E7F" w:rsidRDefault="00FC3E7F">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50" w:rsidRDefault="00A55F50">
      <w:r>
        <w:separator/>
      </w:r>
    </w:p>
  </w:footnote>
  <w:footnote w:type="continuationSeparator" w:id="0">
    <w:p w:rsidR="00A55F50" w:rsidRDefault="00A55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6">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1">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4"/>
  </w:num>
  <w:num w:numId="3">
    <w:abstractNumId w:val="2"/>
  </w:num>
  <w:num w:numId="4">
    <w:abstractNumId w:val="23"/>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25"/>
  </w:num>
  <w:num w:numId="11">
    <w:abstractNumId w:val="20"/>
  </w:num>
  <w:num w:numId="12">
    <w:abstractNumId w:val="8"/>
  </w:num>
  <w:num w:numId="13">
    <w:abstractNumId w:val="6"/>
  </w:num>
  <w:num w:numId="14">
    <w:abstractNumId w:val="19"/>
  </w:num>
  <w:num w:numId="15">
    <w:abstractNumId w:val="18"/>
  </w:num>
  <w:num w:numId="16">
    <w:abstractNumId w:val="9"/>
  </w:num>
  <w:num w:numId="17">
    <w:abstractNumId w:val="11"/>
  </w:num>
  <w:num w:numId="18">
    <w:abstractNumId w:val="17"/>
  </w:num>
  <w:num w:numId="19">
    <w:abstractNumId w:val="13"/>
  </w:num>
  <w:num w:numId="20">
    <w:abstractNumId w:val="22"/>
  </w:num>
  <w:num w:numId="21">
    <w:abstractNumId w:val="15"/>
  </w:num>
  <w:num w:numId="22">
    <w:abstractNumId w:val="1"/>
  </w:num>
  <w:num w:numId="23">
    <w:abstractNumId w:val="5"/>
  </w:num>
  <w:num w:numId="24">
    <w:abstractNumId w:val="10"/>
  </w:num>
  <w:num w:numId="25">
    <w:abstractNumId w:val="3"/>
  </w:num>
  <w:num w:numId="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AC1526"/>
    <w:rsid w:val="000159E4"/>
    <w:rsid w:val="00016E7E"/>
    <w:rsid w:val="00025C7D"/>
    <w:rsid w:val="00036A3D"/>
    <w:rsid w:val="00036C37"/>
    <w:rsid w:val="0004526C"/>
    <w:rsid w:val="00061B81"/>
    <w:rsid w:val="000638EF"/>
    <w:rsid w:val="00065153"/>
    <w:rsid w:val="000724FC"/>
    <w:rsid w:val="00086073"/>
    <w:rsid w:val="00095A8E"/>
    <w:rsid w:val="000A0E2C"/>
    <w:rsid w:val="000C4CFB"/>
    <w:rsid w:val="000D06C7"/>
    <w:rsid w:val="000E6C9D"/>
    <w:rsid w:val="000F6990"/>
    <w:rsid w:val="00107F31"/>
    <w:rsid w:val="001105FF"/>
    <w:rsid w:val="00110960"/>
    <w:rsid w:val="0011123F"/>
    <w:rsid w:val="0013341F"/>
    <w:rsid w:val="00151924"/>
    <w:rsid w:val="00173291"/>
    <w:rsid w:val="001777F0"/>
    <w:rsid w:val="00191177"/>
    <w:rsid w:val="001B5FAB"/>
    <w:rsid w:val="001D2293"/>
    <w:rsid w:val="001D5587"/>
    <w:rsid w:val="001D5656"/>
    <w:rsid w:val="001D6A9A"/>
    <w:rsid w:val="001E1F2C"/>
    <w:rsid w:val="00220093"/>
    <w:rsid w:val="00243AB6"/>
    <w:rsid w:val="00276B23"/>
    <w:rsid w:val="0029456E"/>
    <w:rsid w:val="002A15E9"/>
    <w:rsid w:val="002B7179"/>
    <w:rsid w:val="002C0030"/>
    <w:rsid w:val="002C4287"/>
    <w:rsid w:val="002C5454"/>
    <w:rsid w:val="002D05BA"/>
    <w:rsid w:val="002F44CA"/>
    <w:rsid w:val="00326B2F"/>
    <w:rsid w:val="00336426"/>
    <w:rsid w:val="00343053"/>
    <w:rsid w:val="003617E6"/>
    <w:rsid w:val="0036253B"/>
    <w:rsid w:val="00373D4A"/>
    <w:rsid w:val="0039679F"/>
    <w:rsid w:val="003B1052"/>
    <w:rsid w:val="003D7EDD"/>
    <w:rsid w:val="0045756C"/>
    <w:rsid w:val="00484EA5"/>
    <w:rsid w:val="004B61A2"/>
    <w:rsid w:val="004E7EC2"/>
    <w:rsid w:val="00505437"/>
    <w:rsid w:val="00515CBF"/>
    <w:rsid w:val="005172DD"/>
    <w:rsid w:val="005365D7"/>
    <w:rsid w:val="00554F2D"/>
    <w:rsid w:val="00555B78"/>
    <w:rsid w:val="005624B4"/>
    <w:rsid w:val="00581783"/>
    <w:rsid w:val="00582DE0"/>
    <w:rsid w:val="005864F1"/>
    <w:rsid w:val="0059246B"/>
    <w:rsid w:val="005A3F3D"/>
    <w:rsid w:val="005B63AA"/>
    <w:rsid w:val="005D51B9"/>
    <w:rsid w:val="005F1129"/>
    <w:rsid w:val="00601FDB"/>
    <w:rsid w:val="00613698"/>
    <w:rsid w:val="006167C6"/>
    <w:rsid w:val="00625F73"/>
    <w:rsid w:val="00664251"/>
    <w:rsid w:val="006B5D06"/>
    <w:rsid w:val="006C6271"/>
    <w:rsid w:val="006E5A73"/>
    <w:rsid w:val="006F15E6"/>
    <w:rsid w:val="00710D66"/>
    <w:rsid w:val="00713EB6"/>
    <w:rsid w:val="00733FA5"/>
    <w:rsid w:val="00752918"/>
    <w:rsid w:val="007A2F05"/>
    <w:rsid w:val="007A46E2"/>
    <w:rsid w:val="007A4C28"/>
    <w:rsid w:val="007B7D39"/>
    <w:rsid w:val="007C0A08"/>
    <w:rsid w:val="007C151F"/>
    <w:rsid w:val="007C4B58"/>
    <w:rsid w:val="007C64C9"/>
    <w:rsid w:val="007D68F5"/>
    <w:rsid w:val="007D70E8"/>
    <w:rsid w:val="00810811"/>
    <w:rsid w:val="0081261C"/>
    <w:rsid w:val="008174EB"/>
    <w:rsid w:val="00836583"/>
    <w:rsid w:val="00863600"/>
    <w:rsid w:val="0088566C"/>
    <w:rsid w:val="008A249A"/>
    <w:rsid w:val="008B0319"/>
    <w:rsid w:val="008D268A"/>
    <w:rsid w:val="008E7C90"/>
    <w:rsid w:val="008F0F03"/>
    <w:rsid w:val="009067F3"/>
    <w:rsid w:val="0091409E"/>
    <w:rsid w:val="00964204"/>
    <w:rsid w:val="009855F7"/>
    <w:rsid w:val="00993365"/>
    <w:rsid w:val="009A72B2"/>
    <w:rsid w:val="009D7847"/>
    <w:rsid w:val="009E5931"/>
    <w:rsid w:val="00A120C9"/>
    <w:rsid w:val="00A12F4D"/>
    <w:rsid w:val="00A2084E"/>
    <w:rsid w:val="00A41D09"/>
    <w:rsid w:val="00A45CC0"/>
    <w:rsid w:val="00A5225D"/>
    <w:rsid w:val="00A55F50"/>
    <w:rsid w:val="00A74132"/>
    <w:rsid w:val="00A74B60"/>
    <w:rsid w:val="00A75DB2"/>
    <w:rsid w:val="00A90018"/>
    <w:rsid w:val="00A912E3"/>
    <w:rsid w:val="00AB46E1"/>
    <w:rsid w:val="00AC1526"/>
    <w:rsid w:val="00AE1E48"/>
    <w:rsid w:val="00B01CB0"/>
    <w:rsid w:val="00B04C60"/>
    <w:rsid w:val="00B1408D"/>
    <w:rsid w:val="00B7075B"/>
    <w:rsid w:val="00B91FD5"/>
    <w:rsid w:val="00B92523"/>
    <w:rsid w:val="00BA2475"/>
    <w:rsid w:val="00BE27B7"/>
    <w:rsid w:val="00BF797E"/>
    <w:rsid w:val="00C02724"/>
    <w:rsid w:val="00C058CA"/>
    <w:rsid w:val="00C118B7"/>
    <w:rsid w:val="00C12ACC"/>
    <w:rsid w:val="00C15BD9"/>
    <w:rsid w:val="00C20FEE"/>
    <w:rsid w:val="00C21691"/>
    <w:rsid w:val="00C47A7C"/>
    <w:rsid w:val="00C608AD"/>
    <w:rsid w:val="00C841D4"/>
    <w:rsid w:val="00C87A09"/>
    <w:rsid w:val="00C93574"/>
    <w:rsid w:val="00CA483C"/>
    <w:rsid w:val="00CA4D06"/>
    <w:rsid w:val="00CB400A"/>
    <w:rsid w:val="00CB4786"/>
    <w:rsid w:val="00CC1E51"/>
    <w:rsid w:val="00CC337B"/>
    <w:rsid w:val="00CC54E9"/>
    <w:rsid w:val="00CD43AA"/>
    <w:rsid w:val="00CD4C11"/>
    <w:rsid w:val="00CE63BA"/>
    <w:rsid w:val="00D10D49"/>
    <w:rsid w:val="00D1725E"/>
    <w:rsid w:val="00D4742D"/>
    <w:rsid w:val="00D54EB2"/>
    <w:rsid w:val="00D55617"/>
    <w:rsid w:val="00D673CA"/>
    <w:rsid w:val="00D67E04"/>
    <w:rsid w:val="00D77B17"/>
    <w:rsid w:val="00DA23EE"/>
    <w:rsid w:val="00DC4AF4"/>
    <w:rsid w:val="00DD3327"/>
    <w:rsid w:val="00DD561D"/>
    <w:rsid w:val="00E06BAF"/>
    <w:rsid w:val="00E06ED7"/>
    <w:rsid w:val="00E446DF"/>
    <w:rsid w:val="00E60200"/>
    <w:rsid w:val="00E61EE4"/>
    <w:rsid w:val="00E63872"/>
    <w:rsid w:val="00E66BB5"/>
    <w:rsid w:val="00E85819"/>
    <w:rsid w:val="00EB451E"/>
    <w:rsid w:val="00EC3BD3"/>
    <w:rsid w:val="00ED341D"/>
    <w:rsid w:val="00EE127E"/>
    <w:rsid w:val="00EF21F7"/>
    <w:rsid w:val="00F014BB"/>
    <w:rsid w:val="00F0685E"/>
    <w:rsid w:val="00F3021F"/>
    <w:rsid w:val="00F46853"/>
    <w:rsid w:val="00F66E42"/>
    <w:rsid w:val="00F76CD6"/>
    <w:rsid w:val="00F94F78"/>
    <w:rsid w:val="00F97D93"/>
    <w:rsid w:val="00FC2F7B"/>
    <w:rsid w:val="00FC3E7F"/>
    <w:rsid w:val="00FE44D4"/>
    <w:rsid w:val="00FF5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20755-7EB5-4E1A-BD99-5A6428C1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atpotts</cp:lastModifiedBy>
  <cp:revision>4</cp:revision>
  <cp:lastPrinted>2012-09-10T15:54:00Z</cp:lastPrinted>
  <dcterms:created xsi:type="dcterms:W3CDTF">2012-09-27T19:34:00Z</dcterms:created>
  <dcterms:modified xsi:type="dcterms:W3CDTF">2012-09-27T19:39:00Z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1320928694</vt:i4>
  </property>
  <property fmtid="{D5CDD505-2E9C-101B-9397-08002B2CF9AE}" pid="3" name="_NewReviewCycle">
    <vt:lpwstr/>
  </property>
  <property fmtid="{D5CDD505-2E9C-101B-9397-08002B2CF9AE}" pid="4" name="_EmailSubject">
    <vt:lpwstr>PRA 2502-0328 Title I - Final Approved Submission</vt:lpwstr>
  </property>
  <property fmtid="{D5CDD505-2E9C-101B-9397-08002B2CF9AE}" pid="5" name="_AuthorEmail">
    <vt:lpwstr>Deanna.B.Dimarino@hud.gov</vt:lpwstr>
  </property>
  <property fmtid="{D5CDD505-2E9C-101B-9397-08002B2CF9AE}" pid="6" name="_AuthorEmailDisplayName">
    <vt:lpwstr>DiMarino, Deanna B</vt:lpwstr>
  </property>
  <property fmtid="{D5CDD505-2E9C-101B-9397-08002B2CF9AE}" pid="7" name="_PreviousAdHocReviewCycleID">
    <vt:i4>1053608493</vt:i4>
  </property>
  <property fmtid="{D5CDD505-2E9C-101B-9397-08002B2CF9AE}" pid="8" name="_ReviewingToolsShownOnce">
    <vt:lpwstr/>
  </property>
</Properties>
</file>