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525" w:rsidRDefault="00C53525">
      <w:pPr>
        <w:jc w:val="center"/>
      </w:pPr>
      <w:r>
        <w:rPr>
          <w:rFonts w:ascii="Helvetica" w:hAnsi="Helvetica"/>
          <w:b/>
          <w:sz w:val="28"/>
        </w:rPr>
        <w:t>Paperwork Reduction Act Submission</w:t>
      </w:r>
    </w:p>
    <w:p w:rsidR="00C53525" w:rsidRDefault="00C5352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C53525">
        <w:tc>
          <w:tcPr>
            <w:tcW w:w="7428" w:type="dxa"/>
            <w:gridSpan w:val="2"/>
            <w:tcBorders>
              <w:top w:val="single" w:sz="6" w:space="0" w:color="auto"/>
            </w:tcBorders>
          </w:tcPr>
          <w:p w:rsidR="00C53525" w:rsidRDefault="00C53525">
            <w:pPr>
              <w:ind w:left="-120"/>
              <w:rPr>
                <w:rFonts w:ascii="Helvetica" w:hAnsi="Helvetica"/>
                <w:sz w:val="14"/>
              </w:rPr>
            </w:pPr>
            <w:r>
              <w:rPr>
                <w:rFonts w:ascii="Helvetica" w:hAnsi="Helvetica"/>
                <w:sz w:val="14"/>
              </w:rPr>
              <w:t>1. Agency/Subagency Originating Request:</w:t>
            </w:r>
          </w:p>
          <w:p w:rsidR="00C53525" w:rsidRDefault="00C53525">
            <w:pPr>
              <w:ind w:left="120"/>
              <w:rPr>
                <w:rFonts w:ascii="Helvetica" w:hAnsi="Helvetica"/>
                <w:bCs/>
                <w:sz w:val="18"/>
              </w:rPr>
            </w:pPr>
            <w:r>
              <w:rPr>
                <w:rFonts w:ascii="Helvetica" w:hAnsi="Helvetica"/>
                <w:bCs/>
                <w:sz w:val="18"/>
              </w:rPr>
              <w:t>U.S. Department of Housing and Urban Development</w:t>
            </w:r>
            <w:r w:rsidR="0031500B">
              <w:rPr>
                <w:rFonts w:ascii="Helvetica" w:hAnsi="Helvetica"/>
                <w:bCs/>
                <w:sz w:val="18"/>
              </w:rPr>
              <w:t xml:space="preserve">- </w:t>
            </w:r>
            <w:r w:rsidR="00E0029E">
              <w:rPr>
                <w:rFonts w:ascii="Helvetica" w:hAnsi="Helvetica"/>
                <w:bCs/>
                <w:sz w:val="18"/>
              </w:rPr>
              <w:t xml:space="preserve">Office of Public and Indian Housing and </w:t>
            </w:r>
            <w:r w:rsidR="0031500B">
              <w:rPr>
                <w:rFonts w:ascii="Helvetica" w:hAnsi="Helvetica"/>
                <w:bCs/>
                <w:sz w:val="18"/>
              </w:rPr>
              <w:t>Office of Housing</w:t>
            </w:r>
            <w:r w:rsidR="00E0029E">
              <w:rPr>
                <w:rFonts w:ascii="Helvetica" w:hAnsi="Helvetica"/>
                <w:bCs/>
                <w:sz w:val="18"/>
              </w:rPr>
              <w:t>-Federal Housing Commissioner</w:t>
            </w:r>
          </w:p>
          <w:p w:rsidR="00C53525" w:rsidRDefault="00C53525">
            <w:pPr>
              <w:spacing w:before="40" w:after="40"/>
              <w:ind w:left="120"/>
              <w:rPr>
                <w:rFonts w:ascii="Helvetica" w:hAnsi="Helvetica"/>
                <w:sz w:val="16"/>
              </w:rPr>
            </w:pPr>
          </w:p>
        </w:tc>
        <w:tc>
          <w:tcPr>
            <w:tcW w:w="1800" w:type="dxa"/>
            <w:tcBorders>
              <w:top w:val="single" w:sz="6" w:space="0" w:color="auto"/>
              <w:left w:val="single" w:sz="6" w:space="0" w:color="auto"/>
            </w:tcBorders>
          </w:tcPr>
          <w:p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rsidR="00C53525" w:rsidRDefault="00020DC4">
            <w:pPr>
              <w:spacing w:before="40" w:after="40"/>
              <w:ind w:left="132"/>
              <w:rPr>
                <w:rFonts w:ascii="Helvetica" w:hAnsi="Helvetica"/>
                <w:sz w:val="16"/>
              </w:rPr>
            </w:pPr>
            <w:r>
              <w:rPr>
                <w:rFonts w:ascii="Helvetica" w:hAnsi="Helvetica"/>
                <w:sz w:val="16"/>
              </w:rPr>
              <w:t xml:space="preserve">a.  </w:t>
            </w:r>
          </w:p>
          <w:p w:rsidR="00C53525" w:rsidRDefault="00C53525">
            <w:pPr>
              <w:spacing w:before="40" w:after="40"/>
              <w:ind w:left="132"/>
              <w:rPr>
                <w:rFonts w:ascii="Helvetica" w:hAnsi="Helvetica"/>
                <w:sz w:val="16"/>
              </w:rPr>
            </w:pPr>
            <w:r>
              <w:rPr>
                <w:rFonts w:ascii="Helvetica" w:hAnsi="Helvetica"/>
                <w:sz w:val="16"/>
              </w:rPr>
              <w:t xml:space="preserve">b.  </w:t>
            </w:r>
            <w:r w:rsidR="00D6626A">
              <w:rPr>
                <w:rFonts w:ascii="Helvetica" w:hAnsi="Helvetica"/>
                <w:b/>
              </w:rPr>
              <w:t>2577-0278</w:t>
            </w:r>
          </w:p>
          <w:p w:rsidR="00C53525" w:rsidRDefault="00C53525">
            <w:pPr>
              <w:ind w:left="-120"/>
              <w:rPr>
                <w:rFonts w:ascii="Helvetica" w:hAnsi="Helvetica"/>
                <w:sz w:val="16"/>
              </w:rPr>
            </w:pPr>
          </w:p>
        </w:tc>
        <w:tc>
          <w:tcPr>
            <w:tcW w:w="1788" w:type="dxa"/>
            <w:tcBorders>
              <w:top w:val="single" w:sz="6" w:space="0" w:color="auto"/>
            </w:tcBorders>
          </w:tcPr>
          <w:p w:rsidR="00C53525" w:rsidRDefault="00C53525">
            <w:pPr>
              <w:spacing w:before="40" w:after="40"/>
              <w:rPr>
                <w:rFonts w:ascii="Helvetica" w:hAnsi="Helvetica"/>
                <w:sz w:val="16"/>
              </w:rPr>
            </w:pPr>
          </w:p>
        </w:tc>
      </w:tr>
      <w:tr w:rsidR="00C53525">
        <w:tc>
          <w:tcPr>
            <w:tcW w:w="5508" w:type="dxa"/>
            <w:tcBorders>
              <w:top w:val="single" w:sz="6" w:space="0" w:color="auto"/>
            </w:tcBorders>
          </w:tcPr>
          <w:p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C53525" w:rsidRDefault="00D6626A">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0" w:name="Check3"/>
            <w:r>
              <w:rPr>
                <w:rFonts w:ascii="Helvetica" w:hAnsi="Helvetica"/>
                <w:b/>
              </w:rPr>
              <w:instrText xml:space="preserve"> FORMCHECKBOX </w:instrText>
            </w:r>
            <w:r w:rsidR="000256F3">
              <w:rPr>
                <w:rFonts w:ascii="Helvetica" w:hAnsi="Helvetica"/>
                <w:b/>
              </w:rPr>
            </w:r>
            <w:r w:rsidR="000256F3">
              <w:rPr>
                <w:rFonts w:ascii="Helvetica" w:hAnsi="Helvetica"/>
                <w:b/>
              </w:rPr>
              <w:fldChar w:fldCharType="separate"/>
            </w:r>
            <w:r>
              <w:rPr>
                <w:rFonts w:ascii="Helvetica" w:hAnsi="Helvetica"/>
                <w:b/>
              </w:rPr>
              <w:fldChar w:fldCharType="end"/>
            </w:r>
            <w:bookmarkEnd w:id="0"/>
            <w:r w:rsidR="00C53525">
              <w:rPr>
                <w:rFonts w:ascii="Helvetica" w:hAnsi="Helvetica"/>
                <w:sz w:val="16"/>
              </w:rPr>
              <w:t xml:space="preserve"> New Collection </w:t>
            </w:r>
          </w:p>
          <w:p w:rsidR="00C53525" w:rsidRDefault="000256F3">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sidR="008B3681">
              <w:rPr>
                <w:rFonts w:ascii="Helvetica" w:hAnsi="Helvetica"/>
                <w:sz w:val="16"/>
              </w:rPr>
              <w:t xml:space="preserve"> </w:t>
            </w:r>
            <w:r w:rsidR="00585225">
              <w:rPr>
                <w:rFonts w:ascii="Helvetica" w:hAnsi="Helvetica"/>
                <w:b/>
              </w:rPr>
              <w:t xml:space="preserve"> </w:t>
            </w:r>
            <w:r w:rsidR="00C53525">
              <w:rPr>
                <w:rFonts w:ascii="Helvetica" w:hAnsi="Helvetica"/>
                <w:sz w:val="16"/>
              </w:rPr>
              <w:t>Revision of a currently approved collection</w:t>
            </w:r>
          </w:p>
          <w:p w:rsidR="00C53525" w:rsidRDefault="008B3681">
            <w:pPr>
              <w:numPr>
                <w:ilvl w:val="0"/>
                <w:numId w:val="1"/>
              </w:numPr>
              <w:tabs>
                <w:tab w:val="left" w:pos="480"/>
                <w:tab w:val="left" w:pos="720"/>
              </w:tabs>
              <w:rPr>
                <w:rFonts w:ascii="Helvetica" w:hAnsi="Helvetica"/>
                <w:sz w:val="16"/>
              </w:rPr>
            </w:pPr>
            <w:r>
              <w:rPr>
                <w:rFonts w:ascii="Helvetica" w:hAnsi="Helvetica"/>
                <w:sz w:val="16"/>
              </w:rPr>
              <w:t xml:space="preserve"> </w:t>
            </w:r>
            <w:r w:rsidR="00C53525">
              <w:rPr>
                <w:rFonts w:ascii="Helvetica" w:hAnsi="Helvetica"/>
                <w:sz w:val="16"/>
              </w:rPr>
              <w:t>Extension of a currently approved collection</w:t>
            </w:r>
          </w:p>
          <w:p w:rsidR="00C53525" w:rsidRDefault="00C53525">
            <w:pPr>
              <w:numPr>
                <w:ilvl w:val="0"/>
                <w:numId w:val="1"/>
              </w:numPr>
              <w:tabs>
                <w:tab w:val="left" w:pos="480"/>
                <w:tab w:val="left" w:pos="720"/>
              </w:tabs>
              <w:rPr>
                <w:rFonts w:ascii="Helvetica" w:hAnsi="Helvetica"/>
                <w:sz w:val="16"/>
              </w:rPr>
            </w:pP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C53525" w:rsidRDefault="000256F3">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C53525" w:rsidRDefault="00954D17">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1" w:name="Check7"/>
            <w:r w:rsidR="00C53525">
              <w:rPr>
                <w:rFonts w:ascii="Helvetica" w:hAnsi="Helvetica"/>
                <w:b/>
              </w:rPr>
              <w:instrText xml:space="preserve"> FORMCHECKBOX </w:instrText>
            </w:r>
            <w:r w:rsidR="000256F3">
              <w:rPr>
                <w:rFonts w:ascii="Helvetica" w:hAnsi="Helvetica"/>
                <w:b/>
              </w:rPr>
            </w:r>
            <w:r w:rsidR="000256F3">
              <w:rPr>
                <w:rFonts w:ascii="Helvetica" w:hAnsi="Helvetica"/>
                <w:b/>
              </w:rPr>
              <w:fldChar w:fldCharType="separate"/>
            </w:r>
            <w:r>
              <w:rPr>
                <w:rFonts w:ascii="Helvetica" w:hAnsi="Helvetica"/>
                <w:b/>
              </w:rPr>
              <w:fldChar w:fldCharType="end"/>
            </w:r>
            <w:bookmarkEnd w:id="1"/>
            <w:r w:rsidR="00C53525">
              <w:rPr>
                <w:rFonts w:ascii="Helvetica" w:hAnsi="Helvetica"/>
                <w:sz w:val="16"/>
              </w:rPr>
              <w:t xml:space="preserve"> Existing collection in use without an OMB control number</w:t>
            </w:r>
          </w:p>
          <w:p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sidR="00AC1E30">
              <w:rPr>
                <w:rFonts w:ascii="Helvetica" w:hAnsi="Helvetica"/>
                <w:sz w:val="16"/>
              </w:rPr>
              <w:t xml:space="preserve">  4</w:t>
            </w:r>
            <w:r>
              <w:rPr>
                <w:rFonts w:ascii="Helvetica" w:hAnsi="Helvetica"/>
                <w:sz w:val="16"/>
              </w:rPr>
              <w:tab/>
            </w:r>
            <w:r>
              <w:rPr>
                <w:rFonts w:ascii="Helvetica" w:hAnsi="Helvetica"/>
                <w:sz w:val="14"/>
              </w:rPr>
              <w:t>Type of review requested: (check one)</w:t>
            </w:r>
          </w:p>
          <w:p w:rsidR="00C53525" w:rsidRDefault="00954D17">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C53525">
              <w:rPr>
                <w:rFonts w:ascii="Helvetica" w:hAnsi="Helvetica"/>
                <w:b/>
              </w:rPr>
              <w:instrText xml:space="preserve"> FORMCHECKBOX </w:instrText>
            </w:r>
            <w:r w:rsidR="000256F3">
              <w:rPr>
                <w:rFonts w:ascii="Helvetica" w:hAnsi="Helvetica"/>
                <w:b/>
              </w:rPr>
            </w:r>
            <w:r w:rsidR="000256F3">
              <w:rPr>
                <w:rFonts w:ascii="Helvetica" w:hAnsi="Helvetica"/>
                <w:b/>
              </w:rPr>
              <w:fldChar w:fldCharType="separate"/>
            </w:r>
            <w:r>
              <w:rPr>
                <w:rFonts w:ascii="Helvetica" w:hAnsi="Helvetica"/>
                <w:b/>
              </w:rPr>
              <w:fldChar w:fldCharType="end"/>
            </w:r>
            <w:r w:rsidR="00C53525">
              <w:rPr>
                <w:rFonts w:ascii="Helvetica" w:hAnsi="Helvetica"/>
                <w:sz w:val="16"/>
              </w:rPr>
              <w:t xml:space="preserve"> Regular</w:t>
            </w:r>
          </w:p>
          <w:p w:rsidR="00C53525" w:rsidRDefault="00954D1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2" w:name="Check9"/>
            <w:r w:rsidR="00C53525">
              <w:rPr>
                <w:rFonts w:ascii="Helvetica" w:hAnsi="Helvetica"/>
                <w:b/>
                <w:sz w:val="18"/>
              </w:rPr>
              <w:instrText xml:space="preserve"> FORMCHECKBOX </w:instrText>
            </w:r>
            <w:r w:rsidR="000256F3">
              <w:rPr>
                <w:rFonts w:ascii="Helvetica" w:hAnsi="Helvetica"/>
                <w:b/>
                <w:sz w:val="18"/>
              </w:rPr>
            </w:r>
            <w:r w:rsidR="000256F3">
              <w:rPr>
                <w:rFonts w:ascii="Helvetica" w:hAnsi="Helvetica"/>
                <w:b/>
                <w:sz w:val="18"/>
              </w:rPr>
              <w:fldChar w:fldCharType="separate"/>
            </w:r>
            <w:r>
              <w:rPr>
                <w:rFonts w:ascii="Helvetica" w:hAnsi="Helvetica"/>
                <w:b/>
                <w:sz w:val="18"/>
              </w:rPr>
              <w:fldChar w:fldCharType="end"/>
            </w:r>
            <w:bookmarkEnd w:id="2"/>
            <w:r w:rsidR="00C5352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3" w:name="Text4"/>
            <w:r w:rsidR="00C5352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Pr>
                <w:rFonts w:ascii="Helvetica" w:hAnsi="Helvetica"/>
                <w:sz w:val="18"/>
              </w:rPr>
              <w:fldChar w:fldCharType="end"/>
            </w:r>
            <w:bookmarkEnd w:id="3"/>
          </w:p>
          <w:p w:rsidR="00C53525" w:rsidRDefault="00954D1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4" w:name="Check10"/>
            <w:r w:rsidR="00C53525">
              <w:rPr>
                <w:rFonts w:ascii="Helvetica" w:hAnsi="Helvetica"/>
                <w:b/>
                <w:sz w:val="18"/>
              </w:rPr>
              <w:instrText xml:space="preserve"> FORMCHECKBOX </w:instrText>
            </w:r>
            <w:r w:rsidR="000256F3">
              <w:rPr>
                <w:rFonts w:ascii="Helvetica" w:hAnsi="Helvetica"/>
                <w:b/>
                <w:sz w:val="18"/>
              </w:rPr>
            </w:r>
            <w:r w:rsidR="000256F3">
              <w:rPr>
                <w:rFonts w:ascii="Helvetica" w:hAnsi="Helvetica"/>
                <w:b/>
                <w:sz w:val="18"/>
              </w:rPr>
              <w:fldChar w:fldCharType="separate"/>
            </w:r>
            <w:r>
              <w:rPr>
                <w:rFonts w:ascii="Helvetica" w:hAnsi="Helvetica"/>
                <w:b/>
                <w:sz w:val="18"/>
              </w:rPr>
              <w:fldChar w:fldCharType="end"/>
            </w:r>
            <w:bookmarkEnd w:id="4"/>
            <w:r w:rsidR="00C53525">
              <w:rPr>
                <w:rFonts w:ascii="Helvetica" w:hAnsi="Helvetica"/>
                <w:sz w:val="18"/>
              </w:rPr>
              <w:t xml:space="preserve"> </w:t>
            </w:r>
            <w:r w:rsidR="00C53525">
              <w:rPr>
                <w:rFonts w:ascii="Helvetica" w:hAnsi="Helvetica"/>
                <w:sz w:val="16"/>
              </w:rPr>
              <w:t>Delegated</w:t>
            </w:r>
          </w:p>
          <w:p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No</w:t>
            </w:r>
            <w:r>
              <w:rPr>
                <w:rFonts w:ascii="Helvetica" w:hAnsi="Helvetica"/>
                <w:sz w:val="18"/>
              </w:rPr>
              <w:t xml:space="preserve"> X</w:t>
            </w:r>
          </w:p>
          <w:p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954D17">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sidR="000256F3">
              <w:rPr>
                <w:rFonts w:ascii="Helvetica" w:hAnsi="Helvetica"/>
                <w:b/>
              </w:rPr>
            </w:r>
            <w:r w:rsidR="000256F3">
              <w:rPr>
                <w:rFonts w:ascii="Helvetica" w:hAnsi="Helvetica"/>
                <w:b/>
              </w:rPr>
              <w:fldChar w:fldCharType="separate"/>
            </w:r>
            <w:r w:rsidR="00954D17">
              <w:rPr>
                <w:rFonts w:ascii="Helvetica" w:hAnsi="Helvetica"/>
                <w:b/>
              </w:rPr>
              <w:fldChar w:fldCharType="end"/>
            </w:r>
            <w:r>
              <w:rPr>
                <w:rFonts w:ascii="Helvetica" w:hAnsi="Helvetica"/>
                <w:sz w:val="16"/>
              </w:rPr>
              <w:t xml:space="preserve"> Three years </w:t>
            </w:r>
            <w:r w:rsidR="00240828">
              <w:rPr>
                <w:rFonts w:ascii="Helvetica" w:hAnsi="Helvetica"/>
                <w:sz w:val="16"/>
              </w:rPr>
              <w:t>from</w:t>
            </w:r>
            <w:r>
              <w:rPr>
                <w:rFonts w:ascii="Helvetica" w:hAnsi="Helvetica"/>
                <w:sz w:val="16"/>
              </w:rPr>
              <w:t xml:space="preserve"> approval date  </w:t>
            </w:r>
            <w:r>
              <w:rPr>
                <w:rFonts w:ascii="Helvetica" w:hAnsi="Helvetica"/>
                <w:sz w:val="16"/>
              </w:rPr>
              <w:tab/>
              <w:t xml:space="preserve">b. </w:t>
            </w:r>
            <w:r w:rsidR="00954D17">
              <w:rPr>
                <w:rFonts w:ascii="Helvetica" w:hAnsi="Helvetica"/>
                <w:b/>
                <w:sz w:val="18"/>
              </w:rPr>
              <w:fldChar w:fldCharType="begin">
                <w:ffData>
                  <w:name w:val="Check15"/>
                  <w:enabled/>
                  <w:calcOnExit w:val="0"/>
                  <w:checkBox>
                    <w:sizeAuto/>
                    <w:default w:val="0"/>
                  </w:checkBox>
                </w:ffData>
              </w:fldChar>
            </w:r>
            <w:bookmarkStart w:id="5" w:name="Check15"/>
            <w:r>
              <w:rPr>
                <w:rFonts w:ascii="Helvetica" w:hAnsi="Helvetica"/>
                <w:b/>
                <w:sz w:val="18"/>
              </w:rPr>
              <w:instrText xml:space="preserve"> FORMCHECKBOX </w:instrText>
            </w:r>
            <w:r w:rsidR="000256F3">
              <w:rPr>
                <w:rFonts w:ascii="Helvetica" w:hAnsi="Helvetica"/>
                <w:b/>
                <w:sz w:val="18"/>
              </w:rPr>
            </w:r>
            <w:r w:rsidR="000256F3">
              <w:rPr>
                <w:rFonts w:ascii="Helvetica" w:hAnsi="Helvetica"/>
                <w:b/>
                <w:sz w:val="18"/>
              </w:rPr>
              <w:fldChar w:fldCharType="separate"/>
            </w:r>
            <w:r w:rsidR="00954D17">
              <w:rPr>
                <w:rFonts w:ascii="Helvetica" w:hAnsi="Helvetica"/>
                <w:b/>
                <w:sz w:val="18"/>
              </w:rPr>
              <w:fldChar w:fldCharType="end"/>
            </w:r>
            <w:bookmarkEnd w:id="5"/>
            <w:r>
              <w:rPr>
                <w:rFonts w:ascii="Helvetica" w:hAnsi="Helvetica"/>
                <w:sz w:val="16"/>
              </w:rPr>
              <w:t xml:space="preserve"> Other (specify)</w:t>
            </w:r>
          </w:p>
          <w:p w:rsidR="00C53525" w:rsidRDefault="00C53525">
            <w:pPr>
              <w:tabs>
                <w:tab w:val="left" w:pos="3252"/>
              </w:tabs>
              <w:spacing w:after="60"/>
              <w:rPr>
                <w:rFonts w:ascii="Helvetica" w:hAnsi="Helvetica"/>
                <w:sz w:val="16"/>
              </w:rPr>
            </w:pPr>
            <w:r>
              <w:rPr>
                <w:rFonts w:ascii="Helvetica" w:hAnsi="Helvetica"/>
                <w:sz w:val="18"/>
              </w:rPr>
              <w:tab/>
              <w:t xml:space="preserve"> </w:t>
            </w:r>
            <w:r w:rsidR="00954D17">
              <w:rPr>
                <w:rFonts w:ascii="Helvetica" w:hAnsi="Helvetica"/>
                <w:sz w:val="18"/>
              </w:rPr>
              <w:fldChar w:fldCharType="begin">
                <w:ffData>
                  <w:name w:val="Text5"/>
                  <w:enabled/>
                  <w:calcOnExit w:val="0"/>
                  <w:textInput/>
                </w:ffData>
              </w:fldChar>
            </w:r>
            <w:bookmarkStart w:id="6" w:name="Text5"/>
            <w:r>
              <w:rPr>
                <w:rFonts w:ascii="Helvetica" w:hAnsi="Helvetica"/>
                <w:sz w:val="18"/>
              </w:rPr>
              <w:instrText xml:space="preserve"> FORMTEXT </w:instrText>
            </w:r>
            <w:r w:rsidR="00954D17">
              <w:rPr>
                <w:rFonts w:ascii="Helvetica" w:hAnsi="Helvetica"/>
                <w:sz w:val="18"/>
              </w:rPr>
            </w:r>
            <w:r w:rsidR="00954D1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954D17">
              <w:rPr>
                <w:rFonts w:ascii="Helvetica" w:hAnsi="Helvetica"/>
                <w:sz w:val="18"/>
              </w:rPr>
              <w:fldChar w:fldCharType="end"/>
            </w:r>
            <w:bookmarkEnd w:id="6"/>
          </w:p>
        </w:tc>
      </w:tr>
    </w:tbl>
    <w:p w:rsidR="00C53525" w:rsidRDefault="00C53525">
      <w:pPr>
        <w:pBdr>
          <w:top w:val="single" w:sz="6" w:space="0" w:color="auto"/>
        </w:pBdr>
        <w:tabs>
          <w:tab w:val="left" w:pos="240"/>
        </w:tabs>
        <w:ind w:left="-120" w:right="-120"/>
        <w:rPr>
          <w:sz w:val="24"/>
          <w:szCs w:val="24"/>
        </w:rPr>
      </w:pPr>
      <w:r>
        <w:rPr>
          <w:rFonts w:ascii="Helvetica" w:hAnsi="Helvetica"/>
          <w:sz w:val="16"/>
        </w:rPr>
        <w:t xml:space="preserve">7. </w:t>
      </w:r>
      <w:r w:rsidRPr="0031500B">
        <w:rPr>
          <w:sz w:val="24"/>
          <w:szCs w:val="24"/>
        </w:rPr>
        <w:t xml:space="preserve">Title:  </w:t>
      </w:r>
      <w:r w:rsidR="0031500B" w:rsidRPr="0031500B">
        <w:rPr>
          <w:sz w:val="24"/>
          <w:szCs w:val="24"/>
        </w:rPr>
        <w:t>Rental Assi</w:t>
      </w:r>
      <w:r w:rsidR="0031500B">
        <w:rPr>
          <w:sz w:val="24"/>
          <w:szCs w:val="24"/>
        </w:rPr>
        <w:t>stance Demonstration (RAD) Application Forms</w:t>
      </w:r>
    </w:p>
    <w:p w:rsidR="00D33E93" w:rsidRPr="00D33E93" w:rsidRDefault="00D33E93">
      <w:pPr>
        <w:pBdr>
          <w:top w:val="single" w:sz="6" w:space="0" w:color="auto"/>
        </w:pBdr>
        <w:tabs>
          <w:tab w:val="left" w:pos="240"/>
        </w:tabs>
        <w:ind w:left="-120" w:right="-12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C53525" w:rsidRPr="00D6626A" w:rsidRDefault="00C53525">
      <w:pPr>
        <w:pBdr>
          <w:top w:val="single" w:sz="6" w:space="0" w:color="auto"/>
        </w:pBdr>
        <w:tabs>
          <w:tab w:val="left" w:pos="240"/>
        </w:tabs>
        <w:spacing w:line="180" w:lineRule="exact"/>
        <w:ind w:left="-120" w:right="-120"/>
        <w:rPr>
          <w:sz w:val="24"/>
          <w:szCs w:val="24"/>
        </w:rPr>
      </w:pPr>
      <w:r>
        <w:rPr>
          <w:rFonts w:ascii="Helvetica" w:hAnsi="Helvetica"/>
          <w:sz w:val="16"/>
        </w:rPr>
        <w:t xml:space="preserve">8. </w:t>
      </w:r>
      <w:r>
        <w:rPr>
          <w:rFonts w:ascii="Helvetica" w:hAnsi="Helvetica"/>
          <w:sz w:val="14"/>
        </w:rPr>
        <w:t xml:space="preserve">Agency form number(s):  </w:t>
      </w:r>
      <w:r w:rsidR="00AE2719">
        <w:rPr>
          <w:sz w:val="24"/>
          <w:szCs w:val="24"/>
        </w:rPr>
        <w:t>HUD-5260</w:t>
      </w:r>
    </w:p>
    <w:p w:rsidR="00D33E93" w:rsidRPr="00D33E93" w:rsidRDefault="00D33E93">
      <w:pPr>
        <w:pBdr>
          <w:top w:val="single" w:sz="6" w:space="0" w:color="auto"/>
        </w:pBdr>
        <w:tabs>
          <w:tab w:val="left" w:pos="240"/>
        </w:tabs>
        <w:ind w:left="-120" w:right="-120"/>
        <w:rPr>
          <w:rFonts w:ascii="Helvetica" w:hAnsi="Helvetica"/>
          <w:sz w:val="16"/>
          <w:u w:val="single"/>
        </w:rPr>
      </w:pP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r>
        <w:rPr>
          <w:rFonts w:ascii="Helvetica" w:hAnsi="Helvetica"/>
          <w:sz w:val="16"/>
          <w:u w:val="single"/>
        </w:rPr>
        <w:tab/>
      </w:r>
    </w:p>
    <w:p w:rsidR="00C53525" w:rsidRDefault="00C53525">
      <w:pPr>
        <w:pBdr>
          <w:top w:val="single" w:sz="6" w:space="0" w:color="auto"/>
        </w:pBdr>
        <w:tabs>
          <w:tab w:val="left" w:pos="240"/>
        </w:tabs>
        <w:ind w:left="-120" w:right="-120"/>
        <w:rPr>
          <w:sz w:val="24"/>
          <w:szCs w:val="24"/>
        </w:rPr>
      </w:pPr>
      <w:r>
        <w:rPr>
          <w:rFonts w:ascii="Helvetica" w:hAnsi="Helvetica"/>
          <w:sz w:val="16"/>
        </w:rPr>
        <w:t xml:space="preserve">9. </w:t>
      </w:r>
      <w:r>
        <w:rPr>
          <w:rFonts w:ascii="Helvetica" w:hAnsi="Helvetica"/>
          <w:sz w:val="14"/>
        </w:rPr>
        <w:t>Keywords:</w:t>
      </w:r>
      <w:r w:rsidR="00675F61">
        <w:rPr>
          <w:rFonts w:ascii="Helvetica" w:hAnsi="Helvetica"/>
          <w:sz w:val="14"/>
        </w:rPr>
        <w:t xml:space="preserve"> </w:t>
      </w:r>
      <w:r w:rsidR="00675F61" w:rsidRPr="0031500B">
        <w:rPr>
          <w:sz w:val="24"/>
          <w:szCs w:val="24"/>
        </w:rPr>
        <w:t>Housing,</w:t>
      </w:r>
      <w:r w:rsidR="0031500B" w:rsidRPr="0031500B">
        <w:rPr>
          <w:sz w:val="24"/>
          <w:szCs w:val="24"/>
        </w:rPr>
        <w:t xml:space="preserve"> </w:t>
      </w:r>
      <w:r w:rsidR="0031500B">
        <w:rPr>
          <w:sz w:val="24"/>
          <w:szCs w:val="24"/>
        </w:rPr>
        <w:t>RAD, Rental Assistance Demonstration</w:t>
      </w:r>
    </w:p>
    <w:p w:rsidR="00D33E93" w:rsidRPr="00D33E93" w:rsidRDefault="00D33E93">
      <w:pPr>
        <w:pBdr>
          <w:top w:val="single" w:sz="6" w:space="0" w:color="auto"/>
        </w:pBdr>
        <w:tabs>
          <w:tab w:val="left" w:pos="240"/>
        </w:tabs>
        <w:ind w:left="-120" w:right="-12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33E93" w:rsidRPr="005B186F" w:rsidRDefault="00C53525" w:rsidP="00D33E93">
      <w:pPr>
        <w:rPr>
          <w:sz w:val="18"/>
          <w:szCs w:val="18"/>
        </w:rPr>
      </w:pPr>
      <w:r>
        <w:rPr>
          <w:rFonts w:ascii="Helvetica" w:hAnsi="Helvetica"/>
          <w:sz w:val="16"/>
        </w:rPr>
        <w:t xml:space="preserve">10. </w:t>
      </w:r>
      <w:r>
        <w:rPr>
          <w:rFonts w:ascii="Helvetica" w:hAnsi="Helvetica"/>
          <w:sz w:val="14"/>
        </w:rPr>
        <w:t xml:space="preserve">Abstract:  </w:t>
      </w:r>
      <w:r w:rsidR="000E4F6F">
        <w:t>The Rental Assistance Demonstration allows Public Housing, Rent Supplement, Rental Assistance Payment, and Moderate Rehabilitation (Mod Rehab) properties to convert to long-term Section 8 rental assistance contracts.  Participation in the initiative is voluntary; the attached application will be used to determine eligibility for Public Housing projects only.</w:t>
      </w:r>
    </w:p>
    <w:tbl>
      <w:tblPr>
        <w:tblW w:w="0" w:type="auto"/>
        <w:tblLayout w:type="fixed"/>
        <w:tblLook w:val="0000" w:firstRow="0" w:lastRow="0" w:firstColumn="0" w:lastColumn="0" w:noHBand="0" w:noVBand="0"/>
      </w:tblPr>
      <w:tblGrid>
        <w:gridCol w:w="4908"/>
        <w:gridCol w:w="720"/>
        <w:gridCol w:w="5388"/>
      </w:tblGrid>
      <w:tr w:rsidR="00C53525">
        <w:trPr>
          <w:trHeight w:val="1129"/>
        </w:trPr>
        <w:tc>
          <w:tcPr>
            <w:tcW w:w="5628" w:type="dxa"/>
            <w:gridSpan w:val="2"/>
            <w:tcBorders>
              <w:top w:val="single" w:sz="6" w:space="0" w:color="auto"/>
              <w:right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tab/>
            </w:r>
            <w:r>
              <w:rPr>
                <w:rFonts w:ascii="Helvetica" w:hAnsi="Helvetica"/>
                <w:sz w:val="16"/>
              </w:rPr>
              <w:t>Farms</w:t>
            </w:r>
          </w:p>
          <w:p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tab/>
            </w:r>
            <w:r>
              <w:rPr>
                <w:rFonts w:ascii="Helvetica" w:hAnsi="Helvetica"/>
                <w:sz w:val="16"/>
              </w:rPr>
              <w:t>Federal Government</w:t>
            </w:r>
          </w:p>
          <w:p w:rsidR="00C53525" w:rsidRDefault="00C53525" w:rsidP="0031500B">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954D17">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954D17">
              <w:rPr>
                <w:rFonts w:ascii="Helvetica" w:hAnsi="Helvetica"/>
                <w:b/>
                <w:sz w:val="18"/>
              </w:rPr>
            </w:r>
            <w:r w:rsidR="00954D17">
              <w:rPr>
                <w:rFonts w:ascii="Helvetica" w:hAnsi="Helvetica"/>
                <w:b/>
                <w:sz w:val="18"/>
              </w:rPr>
              <w:fldChar w:fldCharType="separate"/>
            </w:r>
            <w:r>
              <w:rPr>
                <w:rFonts w:ascii="Helvetica" w:hAnsi="Helvetica"/>
                <w:b/>
                <w:noProof/>
                <w:sz w:val="18"/>
              </w:rPr>
              <w:t>P</w:t>
            </w:r>
            <w:r w:rsidR="00954D17">
              <w:rPr>
                <w:rFonts w:ascii="Helvetica" w:hAnsi="Helvetica"/>
                <w:b/>
                <w:sz w:val="18"/>
              </w:rPr>
              <w:fldChar w:fldCharType="end"/>
            </w:r>
            <w:r>
              <w:rPr>
                <w:rFonts w:ascii="Helvetica" w:hAnsi="Helvetica"/>
                <w:sz w:val="16"/>
              </w:rPr>
              <w:t xml:space="preserve">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31500B">
              <w:rPr>
                <w:rFonts w:ascii="Helvetica" w:hAnsi="Helvetica"/>
                <w:b/>
                <w:sz w:val="18"/>
              </w:rPr>
              <w:t>P</w:t>
            </w:r>
            <w:r>
              <w:rPr>
                <w:rFonts w:ascii="Helvetica" w:hAnsi="Helvetica"/>
                <w:sz w:val="14"/>
              </w:rPr>
              <w:tab/>
            </w:r>
            <w:r>
              <w:rPr>
                <w:rFonts w:ascii="Helvetica" w:hAnsi="Helvetica"/>
                <w:sz w:val="16"/>
              </w:rPr>
              <w:t>Voluntary</w:t>
            </w:r>
          </w:p>
          <w:p w:rsidR="00C53525" w:rsidRDefault="00C53525">
            <w:pPr>
              <w:tabs>
                <w:tab w:val="left" w:pos="492"/>
                <w:tab w:val="left" w:pos="2520"/>
              </w:tabs>
              <w:ind w:left="120"/>
              <w:rPr>
                <w:rFonts w:ascii="Helvetica" w:hAnsi="Helvetica"/>
                <w:sz w:val="16"/>
              </w:rPr>
            </w:pPr>
            <w:r>
              <w:rPr>
                <w:rFonts w:ascii="Helvetica" w:hAnsi="Helvetica"/>
                <w:sz w:val="16"/>
              </w:rPr>
              <w:t>b.</w:t>
            </w:r>
            <w:r>
              <w:rPr>
                <w:rFonts w:ascii="Helvetica" w:hAnsi="Helvetica"/>
                <w:sz w:val="14"/>
              </w:rPr>
              <w:t xml:space="preserve"> </w:t>
            </w:r>
            <w:r>
              <w:rPr>
                <w:rFonts w:ascii="Helvetica" w:hAnsi="Helvetica"/>
                <w:sz w:val="16"/>
              </w:rPr>
              <w:tab/>
              <w:t>Required to obtain or retain benefits</w:t>
            </w:r>
          </w:p>
          <w:p w:rsidR="00C53525" w:rsidRDefault="00C53525" w:rsidP="004A113A">
            <w:pPr>
              <w:tabs>
                <w:tab w:val="left" w:pos="492"/>
              </w:tabs>
              <w:spacing w:after="60"/>
              <w:ind w:left="120"/>
              <w:rPr>
                <w:rFonts w:ascii="Helvetica" w:hAnsi="Helvetica"/>
                <w:sz w:val="16"/>
              </w:rPr>
            </w:pPr>
            <w:r>
              <w:rPr>
                <w:rFonts w:ascii="Helvetica" w:hAnsi="Helvetica"/>
                <w:sz w:val="16"/>
              </w:rPr>
              <w:t xml:space="preserve">c. </w:t>
            </w:r>
            <w:r>
              <w:rPr>
                <w:rFonts w:ascii="Helvetica" w:hAnsi="Helvetica"/>
                <w:sz w:val="16"/>
              </w:rPr>
              <w:tab/>
              <w:t>Mandatory</w:t>
            </w:r>
          </w:p>
        </w:tc>
      </w:tr>
      <w:tr w:rsidR="00C53525">
        <w:trPr>
          <w:trHeight w:val="2146"/>
        </w:trPr>
        <w:tc>
          <w:tcPr>
            <w:tcW w:w="5628" w:type="dxa"/>
            <w:gridSpan w:val="2"/>
            <w:tcBorders>
              <w:top w:val="single" w:sz="6" w:space="0" w:color="auto"/>
              <w:right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a. Number of respondents</w:t>
            </w:r>
            <w:r w:rsidR="0031500B">
              <w:rPr>
                <w:rFonts w:ascii="Helvetica" w:hAnsi="Helvetica"/>
                <w:sz w:val="16"/>
              </w:rPr>
              <w:t xml:space="preserve">                                          </w:t>
            </w:r>
            <w:r w:rsidR="000E4F6F">
              <w:rPr>
                <w:rFonts w:ascii="Helvetica" w:hAnsi="Helvetica"/>
                <w:sz w:val="24"/>
                <w:szCs w:val="24"/>
              </w:rPr>
              <w:t>5,900</w:t>
            </w:r>
            <w:r>
              <w:rPr>
                <w:rFonts w:ascii="Helvetica" w:hAnsi="Helvetica"/>
                <w:sz w:val="16"/>
              </w:rPr>
              <w:tab/>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b. Total annual responses</w:t>
            </w:r>
            <w:r w:rsidR="0031500B">
              <w:rPr>
                <w:rFonts w:ascii="Helvetica" w:hAnsi="Helvetica"/>
                <w:sz w:val="16"/>
              </w:rPr>
              <w:t xml:space="preserve">                                           </w:t>
            </w:r>
            <w:r w:rsidR="000E4F6F">
              <w:rPr>
                <w:rFonts w:ascii="Helvetica" w:hAnsi="Helvetica"/>
                <w:sz w:val="24"/>
                <w:szCs w:val="24"/>
              </w:rPr>
              <w:t>5,900</w:t>
            </w:r>
            <w:r>
              <w:rPr>
                <w:rFonts w:ascii="Helvetica" w:hAnsi="Helvetica"/>
                <w:sz w:val="16"/>
              </w:rPr>
              <w:tab/>
            </w:r>
          </w:p>
          <w:p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sidR="0031500B">
              <w:rPr>
                <w:rFonts w:ascii="Helvetica" w:hAnsi="Helvetica"/>
                <w:sz w:val="16"/>
              </w:rPr>
              <w:t xml:space="preserve"> </w:t>
            </w:r>
            <w:r w:rsidR="0031500B">
              <w:rPr>
                <w:rFonts w:ascii="Helvetica" w:hAnsi="Helvetica"/>
                <w:sz w:val="24"/>
                <w:szCs w:val="24"/>
              </w:rPr>
              <w:t>100%</w:t>
            </w:r>
            <w:r>
              <w:rPr>
                <w:rFonts w:ascii="Helvetica" w:hAnsi="Helvetica"/>
                <w:sz w:val="16"/>
              </w:rPr>
              <w:tab/>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c. Total annual hours requested</w:t>
            </w:r>
            <w:r w:rsidR="0031500B">
              <w:rPr>
                <w:rFonts w:ascii="Helvetica" w:hAnsi="Helvetica"/>
                <w:sz w:val="16"/>
              </w:rPr>
              <w:t xml:space="preserve">                                          </w:t>
            </w:r>
            <w:r w:rsidR="000E4F6F">
              <w:rPr>
                <w:rFonts w:ascii="Helvetica" w:hAnsi="Helvetica"/>
                <w:sz w:val="24"/>
                <w:szCs w:val="24"/>
              </w:rPr>
              <w:t>11,800</w:t>
            </w:r>
            <w:r>
              <w:rPr>
                <w:rFonts w:ascii="Helvetica" w:hAnsi="Helvetica"/>
                <w:sz w:val="16"/>
              </w:rPr>
              <w:tab/>
            </w:r>
          </w:p>
          <w:p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d. Current OMB inventory</w:t>
            </w:r>
            <w:r w:rsidR="00355E1D">
              <w:rPr>
                <w:rFonts w:ascii="Helvetica" w:hAnsi="Helvetica"/>
                <w:sz w:val="16"/>
              </w:rPr>
              <w:t xml:space="preserve">                                                   </w:t>
            </w:r>
            <w:r w:rsidR="000E4F6F">
              <w:rPr>
                <w:rFonts w:ascii="Helvetica" w:hAnsi="Helvetica"/>
                <w:sz w:val="24"/>
                <w:szCs w:val="24"/>
              </w:rPr>
              <w:t>11.800</w:t>
            </w:r>
            <w:r w:rsidR="00355E1D" w:rsidRPr="00D6626A">
              <w:rPr>
                <w:rFonts w:ascii="Helvetica" w:hAnsi="Helvetica"/>
                <w:sz w:val="24"/>
                <w:szCs w:val="24"/>
              </w:rPr>
              <w:t xml:space="preserve">  </w:t>
            </w:r>
            <w:r w:rsidRPr="00D6626A">
              <w:rPr>
                <w:rFonts w:ascii="Helvetica" w:hAnsi="Helvetica"/>
                <w:sz w:val="24"/>
                <w:szCs w:val="24"/>
              </w:rPr>
              <w:tab/>
            </w:r>
          </w:p>
          <w:p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p>
          <w:p w:rsidR="00C53525" w:rsidRPr="00355E1D" w:rsidRDefault="00C53525" w:rsidP="00E73E85">
            <w:pPr>
              <w:numPr>
                <w:ilvl w:val="12"/>
                <w:numId w:val="0"/>
              </w:numPr>
              <w:shd w:val="clear" w:color="auto" w:fill="FFFFFF"/>
              <w:tabs>
                <w:tab w:val="left" w:pos="240"/>
                <w:tab w:val="right" w:pos="4800"/>
              </w:tabs>
              <w:ind w:left="120" w:hanging="360"/>
              <w:rPr>
                <w:sz w:val="24"/>
                <w:szCs w:val="24"/>
              </w:rPr>
            </w:pPr>
            <w:r>
              <w:rPr>
                <w:rFonts w:ascii="Helvetica" w:hAnsi="Helvetica"/>
                <w:sz w:val="16"/>
              </w:rPr>
              <w:t>f. Explanation of difference:</w:t>
            </w:r>
            <w:r w:rsidR="00355E1D">
              <w:rPr>
                <w:rFonts w:ascii="Helvetica" w:hAnsi="Helvetica"/>
                <w:sz w:val="16"/>
              </w:rPr>
              <w:t xml:space="preserve"> </w:t>
            </w:r>
            <w:r w:rsidR="00355E1D">
              <w:rPr>
                <w:rFonts w:ascii="Helvetica" w:hAnsi="Helvetica"/>
                <w:sz w:val="24"/>
                <w:szCs w:val="24"/>
              </w:rPr>
              <w:t xml:space="preserve">                               </w:t>
            </w:r>
          </w:p>
          <w:p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sidR="00D6626A">
              <w:rPr>
                <w:rFonts w:ascii="Helvetica" w:hAnsi="Helvetica"/>
                <w:sz w:val="16"/>
              </w:rPr>
              <w:t>0</w:t>
            </w:r>
          </w:p>
          <w:p w:rsidR="00C53525" w:rsidRDefault="00C53525" w:rsidP="00E73E85">
            <w:pPr>
              <w:numPr>
                <w:ilvl w:val="12"/>
                <w:numId w:val="0"/>
              </w:numPr>
              <w:shd w:val="clear" w:color="auto" w:fill="FFFFFF"/>
              <w:tabs>
                <w:tab w:val="left" w:pos="240"/>
                <w:tab w:val="right" w:pos="5040"/>
              </w:tabs>
              <w:spacing w:after="60"/>
              <w:ind w:left="360" w:hanging="360"/>
              <w:rPr>
                <w:rFonts w:ascii="Helvetica" w:hAnsi="Helvetica"/>
                <w:sz w:val="16"/>
              </w:rPr>
            </w:pPr>
            <w:r>
              <w:rPr>
                <w:rFonts w:ascii="Helvetica" w:hAnsi="Helvetica"/>
                <w:sz w:val="16"/>
              </w:rPr>
              <w:t>2. Adjustment:</w:t>
            </w:r>
            <w:r w:rsidR="001F365B">
              <w:rPr>
                <w:rFonts w:ascii="Helvetica" w:hAnsi="Helvetica"/>
                <w:sz w:val="16"/>
              </w:rPr>
              <w:t xml:space="preserve">                                                                               </w:t>
            </w:r>
            <w:r w:rsidR="00D6626A">
              <w:rPr>
                <w:rFonts w:ascii="Helvetica" w:hAnsi="Helvetica"/>
                <w:sz w:val="16"/>
              </w:rPr>
              <w:t xml:space="preserve">         0</w:t>
            </w:r>
          </w:p>
        </w:tc>
        <w:tc>
          <w:tcPr>
            <w:tcW w:w="5388" w:type="dxa"/>
            <w:tcBorders>
              <w:top w:val="single" w:sz="6" w:space="0" w:color="auto"/>
              <w:left w:val="nil"/>
            </w:tcBorders>
          </w:tcPr>
          <w:p w:rsidR="00C53525" w:rsidRDefault="00C53525">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C53525" w:rsidRDefault="00C5352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C53525" w:rsidRDefault="00C53525">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C53525" w:rsidRDefault="00C53525">
            <w:pPr>
              <w:tabs>
                <w:tab w:val="left" w:pos="240"/>
                <w:tab w:val="right" w:pos="4800"/>
              </w:tabs>
              <w:ind w:left="132"/>
              <w:rPr>
                <w:rFonts w:ascii="Helvetica" w:hAnsi="Helvetica"/>
                <w:sz w:val="16"/>
              </w:rPr>
            </w:pPr>
            <w:r>
              <w:rPr>
                <w:rFonts w:ascii="Helvetica" w:hAnsi="Helvetica"/>
                <w:sz w:val="16"/>
              </w:rPr>
              <w:t>f. Explanation of difference:</w:t>
            </w:r>
          </w:p>
          <w:p w:rsidR="00C53525" w:rsidRDefault="00C53525">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355E1D">
              <w:rPr>
                <w:rFonts w:ascii="Helvetica" w:hAnsi="Helvetica"/>
                <w:sz w:val="18"/>
              </w:rPr>
              <w:t>0</w:t>
            </w:r>
          </w:p>
          <w:p w:rsidR="00C53525" w:rsidRDefault="00C53525" w:rsidP="00355E1D">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355E1D">
              <w:rPr>
                <w:rFonts w:ascii="Helvetica" w:hAnsi="Helvetica"/>
                <w:sz w:val="18"/>
              </w:rPr>
              <w:t>0</w:t>
            </w:r>
          </w:p>
        </w:tc>
      </w:tr>
      <w:tr w:rsidR="00C53525">
        <w:trPr>
          <w:trHeight w:val="1474"/>
        </w:trPr>
        <w:tc>
          <w:tcPr>
            <w:tcW w:w="5628" w:type="dxa"/>
            <w:gridSpan w:val="2"/>
            <w:tcBorders>
              <w:top w:val="single" w:sz="6" w:space="0" w:color="auto"/>
              <w:right w:val="single" w:sz="6" w:space="0" w:color="auto"/>
            </w:tcBorders>
          </w:tcPr>
          <w:p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a. </w:t>
            </w:r>
            <w:r w:rsidR="00954D17">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954D17">
              <w:rPr>
                <w:rFonts w:ascii="Helvetica" w:hAnsi="Helvetica"/>
                <w:b/>
                <w:sz w:val="18"/>
              </w:rPr>
            </w:r>
            <w:r w:rsidR="00954D17">
              <w:rPr>
                <w:rFonts w:ascii="Helvetica" w:hAnsi="Helvetica"/>
                <w:b/>
                <w:sz w:val="18"/>
              </w:rPr>
              <w:fldChar w:fldCharType="separate"/>
            </w:r>
            <w:r>
              <w:rPr>
                <w:rFonts w:ascii="Helvetica" w:hAnsi="Helvetica"/>
                <w:b/>
                <w:noProof/>
                <w:sz w:val="18"/>
              </w:rPr>
              <w:t>P</w:t>
            </w:r>
            <w:r w:rsidR="00954D17">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954D17">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954D17">
              <w:rPr>
                <w:rFonts w:ascii="Helvetica" w:hAnsi="Helvetica"/>
                <w:b/>
                <w:sz w:val="18"/>
              </w:rPr>
            </w:r>
            <w:r w:rsidR="00954D17">
              <w:rPr>
                <w:rFonts w:ascii="Helvetica" w:hAnsi="Helvetica"/>
                <w:b/>
                <w:sz w:val="18"/>
              </w:rPr>
              <w:fldChar w:fldCharType="separate"/>
            </w:r>
            <w:r>
              <w:rPr>
                <w:rFonts w:ascii="Helvetica" w:hAnsi="Helvetica"/>
                <w:b/>
                <w:noProof/>
                <w:sz w:val="18"/>
              </w:rPr>
              <w:t>X</w:t>
            </w:r>
            <w:r w:rsidR="00954D17">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C53525" w:rsidRDefault="00C535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954D1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54D17">
              <w:rPr>
                <w:rFonts w:ascii="Helvetica" w:hAnsi="Helvetica"/>
                <w:b/>
                <w:sz w:val="18"/>
              </w:rPr>
            </w:r>
            <w:r w:rsidR="00954D17">
              <w:rPr>
                <w:rFonts w:ascii="Helvetica" w:hAnsi="Helvetica"/>
                <w:b/>
                <w:sz w:val="18"/>
              </w:rPr>
              <w:fldChar w:fldCharType="separate"/>
            </w:r>
            <w:r>
              <w:rPr>
                <w:rFonts w:ascii="Helvetica" w:hAnsi="Helvetica"/>
                <w:b/>
                <w:noProof/>
                <w:sz w:val="18"/>
              </w:rPr>
              <w:t> </w:t>
            </w:r>
            <w:r w:rsidR="00954D17">
              <w:rPr>
                <w:rFonts w:ascii="Helvetica" w:hAnsi="Helvetica"/>
                <w:b/>
                <w:sz w:val="18"/>
              </w:rPr>
              <w:fldChar w:fldCharType="end"/>
            </w:r>
            <w:r>
              <w:rPr>
                <w:rFonts w:ascii="Helvetica" w:hAnsi="Helvetica"/>
                <w:b/>
                <w:sz w:val="18"/>
              </w:rPr>
              <w:tab/>
            </w:r>
            <w:r>
              <w:rPr>
                <w:rFonts w:ascii="Helvetica" w:hAnsi="Helvetica"/>
                <w:sz w:val="16"/>
              </w:rPr>
              <w:t>Research</w:t>
            </w:r>
          </w:p>
          <w:p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954D17">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954D17">
              <w:rPr>
                <w:rFonts w:ascii="Helvetica" w:hAnsi="Helvetica"/>
                <w:b/>
                <w:sz w:val="18"/>
              </w:rPr>
            </w:r>
            <w:r w:rsidR="00954D17">
              <w:rPr>
                <w:rFonts w:ascii="Helvetica" w:hAnsi="Helvetica"/>
                <w:b/>
                <w:sz w:val="18"/>
              </w:rPr>
              <w:fldChar w:fldCharType="separate"/>
            </w:r>
            <w:r>
              <w:rPr>
                <w:rFonts w:ascii="Helvetica" w:hAnsi="Helvetica"/>
                <w:b/>
                <w:noProof/>
                <w:sz w:val="18"/>
              </w:rPr>
              <w:t> </w:t>
            </w:r>
            <w:r w:rsidR="00954D17">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954D17">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954D17">
              <w:rPr>
                <w:rFonts w:ascii="Helvetica" w:hAnsi="Helvetica"/>
                <w:b/>
                <w:sz w:val="18"/>
              </w:rPr>
            </w:r>
            <w:r w:rsidR="00954D17">
              <w:rPr>
                <w:rFonts w:ascii="Helvetica" w:hAnsi="Helvetica"/>
                <w:b/>
                <w:sz w:val="18"/>
              </w:rPr>
              <w:fldChar w:fldCharType="separate"/>
            </w:r>
            <w:r>
              <w:rPr>
                <w:rFonts w:ascii="Helvetica" w:hAnsi="Helvetica"/>
                <w:b/>
                <w:noProof/>
                <w:sz w:val="18"/>
              </w:rPr>
              <w:t>X</w:t>
            </w:r>
            <w:r w:rsidR="00954D17">
              <w:rPr>
                <w:rFonts w:ascii="Helvetica" w:hAnsi="Helvetica"/>
                <w:b/>
                <w:sz w:val="18"/>
              </w:rPr>
              <w:fldChar w:fldCharType="end"/>
            </w:r>
            <w:r>
              <w:rPr>
                <w:rFonts w:ascii="Helvetica" w:hAnsi="Helvetica"/>
                <w:b/>
                <w:sz w:val="18"/>
              </w:rPr>
              <w:tab/>
            </w:r>
            <w:r>
              <w:rPr>
                <w:rFonts w:ascii="Helvetica" w:hAnsi="Helvetica"/>
                <w:sz w:val="16"/>
              </w:rPr>
              <w:t>Regulatory or compliance</w:t>
            </w:r>
          </w:p>
          <w:p w:rsidR="00C53525" w:rsidRDefault="00C53525">
            <w:pPr>
              <w:tabs>
                <w:tab w:val="left" w:pos="480"/>
                <w:tab w:val="left" w:pos="2880"/>
              </w:tabs>
              <w:spacing w:after="60"/>
              <w:ind w:left="120"/>
              <w:rPr>
                <w:rFonts w:ascii="Helvetica" w:hAnsi="Helvetica"/>
                <w:sz w:val="16"/>
              </w:rPr>
            </w:pPr>
            <w:r>
              <w:rPr>
                <w:rFonts w:ascii="Helvetica" w:hAnsi="Helvetica"/>
                <w:sz w:val="16"/>
              </w:rPr>
              <w:t xml:space="preserve">d. </w:t>
            </w:r>
            <w:r w:rsidR="00954D1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954D17">
              <w:rPr>
                <w:rFonts w:ascii="Helvetica" w:hAnsi="Helvetica"/>
                <w:b/>
                <w:sz w:val="18"/>
              </w:rPr>
            </w:r>
            <w:r w:rsidR="00954D17">
              <w:rPr>
                <w:rFonts w:ascii="Helvetica" w:hAnsi="Helvetica"/>
                <w:b/>
                <w:sz w:val="18"/>
              </w:rPr>
              <w:fldChar w:fldCharType="separate"/>
            </w:r>
            <w:r>
              <w:rPr>
                <w:rFonts w:ascii="Helvetica" w:hAnsi="Helvetica"/>
                <w:b/>
                <w:noProof/>
                <w:sz w:val="18"/>
              </w:rPr>
              <w:t> </w:t>
            </w:r>
            <w:r w:rsidR="00954D17">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31500B">
              <w:rPr>
                <w:rFonts w:ascii="Helvetica" w:hAnsi="Helvetica"/>
                <w:sz w:val="16"/>
              </w:rPr>
              <w:t xml:space="preserve"> </w:t>
            </w:r>
            <w:r>
              <w:rPr>
                <w:rFonts w:ascii="Helvetica" w:hAnsi="Helvetica"/>
                <w:sz w:val="16"/>
              </w:rPr>
              <w:t>Recordkeeping</w:t>
            </w:r>
            <w:r>
              <w:rPr>
                <w:rFonts w:ascii="Helvetica" w:hAnsi="Helvetica"/>
                <w:sz w:val="16"/>
              </w:rPr>
              <w:tab/>
              <w:t xml:space="preserve">b. Third party disclosure </w:t>
            </w:r>
          </w:p>
          <w:p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31500B">
              <w:rPr>
                <w:rFonts w:ascii="Helvetica" w:hAnsi="Helvetica"/>
                <w:b/>
                <w:sz w:val="18"/>
              </w:rPr>
              <w:t xml:space="preserve"> </w:t>
            </w:r>
            <w:r>
              <w:rPr>
                <w:rFonts w:ascii="Helvetica" w:hAnsi="Helvetica"/>
                <w:sz w:val="16"/>
              </w:rPr>
              <w:t>Reporting:</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954D17">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0256F3">
              <w:rPr>
                <w:rFonts w:ascii="Helvetica" w:hAnsi="Helvetica"/>
                <w:sz w:val="16"/>
              </w:rPr>
            </w:r>
            <w:r w:rsidR="000256F3">
              <w:rPr>
                <w:rFonts w:ascii="Helvetica" w:hAnsi="Helvetica"/>
                <w:sz w:val="16"/>
              </w:rPr>
              <w:fldChar w:fldCharType="separate"/>
            </w:r>
            <w:r w:rsidR="00954D17">
              <w:rPr>
                <w:rFonts w:ascii="Helvetica" w:hAnsi="Helvetica"/>
                <w:sz w:val="16"/>
              </w:rPr>
              <w:fldChar w:fldCharType="end"/>
            </w:r>
            <w:r>
              <w:rPr>
                <w:rFonts w:ascii="Helvetica" w:hAnsi="Helvetica"/>
                <w:sz w:val="16"/>
              </w:rPr>
              <w:t xml:space="preserve"> On occasion</w:t>
            </w:r>
            <w:r>
              <w:rPr>
                <w:rFonts w:ascii="Helvetica" w:hAnsi="Helvetica"/>
                <w:sz w:val="16"/>
              </w:rPr>
              <w:tab/>
              <w:t xml:space="preserve">2. </w:t>
            </w:r>
            <w:r w:rsidR="00954D17">
              <w:rPr>
                <w:rFonts w:ascii="Helvetica" w:hAnsi="Helvetica"/>
                <w:sz w:val="16"/>
              </w:rPr>
              <w:fldChar w:fldCharType="begin">
                <w:ffData>
                  <w:name w:val="Check23"/>
                  <w:enabled/>
                  <w:calcOnExit w:val="0"/>
                  <w:checkBox>
                    <w:sizeAuto/>
                    <w:default w:val="0"/>
                  </w:checkBox>
                </w:ffData>
              </w:fldChar>
            </w:r>
            <w:bookmarkStart w:id="7" w:name="Check23"/>
            <w:r>
              <w:rPr>
                <w:rFonts w:ascii="Helvetica" w:hAnsi="Helvetica"/>
                <w:sz w:val="16"/>
              </w:rPr>
              <w:instrText xml:space="preserve"> FORMCHECKBOX </w:instrText>
            </w:r>
            <w:r w:rsidR="000256F3">
              <w:rPr>
                <w:rFonts w:ascii="Helvetica" w:hAnsi="Helvetica"/>
                <w:sz w:val="16"/>
              </w:rPr>
            </w:r>
            <w:r w:rsidR="000256F3">
              <w:rPr>
                <w:rFonts w:ascii="Helvetica" w:hAnsi="Helvetica"/>
                <w:sz w:val="16"/>
              </w:rPr>
              <w:fldChar w:fldCharType="separate"/>
            </w:r>
            <w:r w:rsidR="00954D17">
              <w:rPr>
                <w:rFonts w:ascii="Helvetica" w:hAnsi="Helvetica"/>
                <w:sz w:val="16"/>
              </w:rPr>
              <w:fldChar w:fldCharType="end"/>
            </w:r>
            <w:bookmarkEnd w:id="7"/>
            <w:r>
              <w:rPr>
                <w:rFonts w:ascii="Helvetica" w:hAnsi="Helvetica"/>
                <w:sz w:val="16"/>
              </w:rPr>
              <w:t xml:space="preserve"> Weekly</w:t>
            </w:r>
            <w:r>
              <w:rPr>
                <w:rFonts w:ascii="Helvetica" w:hAnsi="Helvetica"/>
                <w:sz w:val="16"/>
              </w:rPr>
              <w:tab/>
              <w:t xml:space="preserve">3. </w:t>
            </w:r>
            <w:r w:rsidR="00954D17">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0256F3">
              <w:rPr>
                <w:rFonts w:ascii="Helvetica" w:hAnsi="Helvetica"/>
                <w:b/>
                <w:sz w:val="18"/>
              </w:rPr>
            </w:r>
            <w:r w:rsidR="000256F3">
              <w:rPr>
                <w:rFonts w:ascii="Helvetica" w:hAnsi="Helvetica"/>
                <w:b/>
                <w:sz w:val="18"/>
              </w:rPr>
              <w:fldChar w:fldCharType="separate"/>
            </w:r>
            <w:r w:rsidR="00954D17">
              <w:rPr>
                <w:rFonts w:ascii="Helvetica" w:hAnsi="Helvetica"/>
                <w:b/>
                <w:sz w:val="18"/>
              </w:rPr>
              <w:fldChar w:fldCharType="end"/>
            </w:r>
            <w:r>
              <w:rPr>
                <w:rFonts w:ascii="Helvetica" w:hAnsi="Helvetica"/>
                <w:sz w:val="16"/>
              </w:rPr>
              <w:t xml:space="preserve"> Monthly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954D17">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0256F3">
              <w:rPr>
                <w:rFonts w:ascii="Helvetica" w:hAnsi="Helvetica"/>
                <w:b/>
                <w:sz w:val="18"/>
              </w:rPr>
            </w:r>
            <w:r w:rsidR="000256F3">
              <w:rPr>
                <w:rFonts w:ascii="Helvetica" w:hAnsi="Helvetica"/>
                <w:b/>
                <w:sz w:val="18"/>
              </w:rPr>
              <w:fldChar w:fldCharType="separate"/>
            </w:r>
            <w:r w:rsidR="00954D17">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954D17">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0256F3">
              <w:rPr>
                <w:rFonts w:ascii="Helvetica" w:hAnsi="Helvetica"/>
                <w:sz w:val="16"/>
              </w:rPr>
            </w:r>
            <w:r w:rsidR="000256F3">
              <w:rPr>
                <w:rFonts w:ascii="Helvetica" w:hAnsi="Helvetica"/>
                <w:sz w:val="16"/>
              </w:rPr>
              <w:fldChar w:fldCharType="separate"/>
            </w:r>
            <w:r w:rsidR="00954D17">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954D17">
              <w:rPr>
                <w:rFonts w:ascii="Helvetica" w:hAnsi="Helvetica"/>
                <w:sz w:val="16"/>
              </w:rPr>
              <w:fldChar w:fldCharType="begin">
                <w:ffData>
                  <w:name w:val="Check24"/>
                  <w:enabled/>
                  <w:calcOnExit w:val="0"/>
                  <w:checkBox>
                    <w:sizeAuto/>
                    <w:default w:val="1"/>
                  </w:checkBox>
                </w:ffData>
              </w:fldChar>
            </w:r>
            <w:bookmarkStart w:id="8" w:name="Check24"/>
            <w:r>
              <w:rPr>
                <w:rFonts w:ascii="Helvetica" w:hAnsi="Helvetica"/>
                <w:sz w:val="16"/>
              </w:rPr>
              <w:instrText xml:space="preserve"> FORMCHECKBOX </w:instrText>
            </w:r>
            <w:r w:rsidR="000256F3">
              <w:rPr>
                <w:rFonts w:ascii="Helvetica" w:hAnsi="Helvetica"/>
                <w:sz w:val="16"/>
              </w:rPr>
            </w:r>
            <w:r w:rsidR="000256F3">
              <w:rPr>
                <w:rFonts w:ascii="Helvetica" w:hAnsi="Helvetica"/>
                <w:sz w:val="16"/>
              </w:rPr>
              <w:fldChar w:fldCharType="separate"/>
            </w:r>
            <w:r w:rsidR="00954D17">
              <w:rPr>
                <w:rFonts w:ascii="Helvetica" w:hAnsi="Helvetica"/>
                <w:sz w:val="16"/>
              </w:rPr>
              <w:fldChar w:fldCharType="end"/>
            </w:r>
            <w:bookmarkEnd w:id="8"/>
            <w:r>
              <w:rPr>
                <w:rFonts w:ascii="Helvetica" w:hAnsi="Helvetica"/>
                <w:sz w:val="16"/>
              </w:rPr>
              <w:t xml:space="preserve"> Annually</w:t>
            </w:r>
          </w:p>
          <w:p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7. </w:t>
            </w:r>
            <w:r w:rsidR="00954D17">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0256F3">
              <w:rPr>
                <w:rFonts w:ascii="Helvetica" w:hAnsi="Helvetica"/>
                <w:sz w:val="16"/>
              </w:rPr>
            </w:r>
            <w:r w:rsidR="000256F3">
              <w:rPr>
                <w:rFonts w:ascii="Helvetica" w:hAnsi="Helvetica"/>
                <w:sz w:val="16"/>
              </w:rPr>
              <w:fldChar w:fldCharType="separate"/>
            </w:r>
            <w:r w:rsidR="00954D17">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954D17">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0256F3">
              <w:rPr>
                <w:rFonts w:ascii="Helvetica" w:hAnsi="Helvetica"/>
                <w:sz w:val="16"/>
              </w:rPr>
            </w:r>
            <w:r w:rsidR="000256F3">
              <w:rPr>
                <w:rFonts w:ascii="Helvetica" w:hAnsi="Helvetica"/>
                <w:sz w:val="16"/>
              </w:rPr>
              <w:fldChar w:fldCharType="separate"/>
            </w:r>
            <w:r w:rsidR="00954D17">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954D17">
              <w:rPr>
                <w:rFonts w:ascii="Helvetica" w:hAnsi="Helvetica"/>
                <w:sz w:val="16"/>
              </w:rPr>
              <w:fldChar w:fldCharType="begin">
                <w:ffData>
                  <w:name w:val="Text18"/>
                  <w:enabled/>
                  <w:calcOnExit w:val="0"/>
                  <w:textInput/>
                </w:ffData>
              </w:fldChar>
            </w:r>
            <w:bookmarkStart w:id="9" w:name="Text18"/>
            <w:r>
              <w:rPr>
                <w:rFonts w:ascii="Helvetica" w:hAnsi="Helvetica"/>
                <w:sz w:val="16"/>
              </w:rPr>
              <w:instrText xml:space="preserve"> FORMTEXT </w:instrText>
            </w:r>
            <w:r w:rsidR="00954D17">
              <w:rPr>
                <w:rFonts w:ascii="Helvetica" w:hAnsi="Helvetica"/>
                <w:sz w:val="16"/>
              </w:rPr>
            </w:r>
            <w:r w:rsidR="00954D17">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954D17">
              <w:rPr>
                <w:rFonts w:ascii="Helvetica" w:hAnsi="Helvetica"/>
                <w:sz w:val="16"/>
              </w:rPr>
              <w:fldChar w:fldCharType="end"/>
            </w:r>
            <w:bookmarkEnd w:id="9"/>
          </w:p>
          <w:p w:rsidR="00C53525" w:rsidRDefault="00C53525">
            <w:pPr>
              <w:tabs>
                <w:tab w:val="left" w:pos="240"/>
              </w:tabs>
              <w:rPr>
                <w:rFonts w:ascii="Helvetica" w:hAnsi="Helvetica"/>
                <w:sz w:val="16"/>
              </w:rPr>
            </w:pPr>
          </w:p>
        </w:tc>
      </w:tr>
      <w:tr w:rsidR="00C53525">
        <w:tc>
          <w:tcPr>
            <w:tcW w:w="4908" w:type="dxa"/>
            <w:tcBorders>
              <w:top w:val="single" w:sz="6" w:space="0" w:color="auto"/>
              <w:bottom w:val="single" w:sz="6" w:space="0" w:color="auto"/>
            </w:tcBorders>
          </w:tcPr>
          <w:p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C53525" w:rsidRDefault="00C53525">
            <w:pPr>
              <w:ind w:left="240"/>
              <w:rPr>
                <w:rFonts w:ascii="Helvetica" w:hAnsi="Helvetica"/>
                <w:sz w:val="16"/>
              </w:rPr>
            </w:pPr>
            <w:r>
              <w:rPr>
                <w:rFonts w:ascii="Helvetica" w:hAnsi="Helvetica"/>
                <w:sz w:val="16"/>
              </w:rPr>
              <w:t>Does this information collection employ statistical methods?</w:t>
            </w:r>
          </w:p>
          <w:p w:rsidR="00C53525" w:rsidRDefault="00954D17">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sidR="000256F3">
              <w:rPr>
                <w:rFonts w:ascii="Helvetica" w:hAnsi="Helvetica"/>
                <w:b/>
                <w:sz w:val="18"/>
              </w:rPr>
            </w:r>
            <w:r w:rsidR="000256F3">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sidR="000256F3">
              <w:rPr>
                <w:rFonts w:ascii="Helvetica" w:hAnsi="Helvetica"/>
                <w:b/>
                <w:sz w:val="18"/>
              </w:rPr>
            </w:r>
            <w:r w:rsidR="000256F3">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No</w:t>
            </w:r>
          </w:p>
          <w:p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C53525" w:rsidRPr="0031500B" w:rsidRDefault="00C53525">
            <w:pPr>
              <w:tabs>
                <w:tab w:val="left" w:pos="240"/>
              </w:tabs>
              <w:ind w:left="132"/>
              <w:rPr>
                <w:sz w:val="24"/>
                <w:szCs w:val="24"/>
              </w:rPr>
            </w:pPr>
            <w:r>
              <w:rPr>
                <w:rFonts w:ascii="Helvetica" w:hAnsi="Helvetica"/>
                <w:sz w:val="16"/>
              </w:rPr>
              <w:t xml:space="preserve">Name:  </w:t>
            </w:r>
            <w:r w:rsidR="000E4F6F">
              <w:rPr>
                <w:rFonts w:ascii="Helvetica" w:hAnsi="Helvetica"/>
                <w:sz w:val="24"/>
                <w:szCs w:val="24"/>
              </w:rPr>
              <w:t>Marilyn Edge</w:t>
            </w:r>
          </w:p>
          <w:p w:rsidR="00C53525" w:rsidRPr="0031500B" w:rsidRDefault="00C53525">
            <w:pPr>
              <w:tabs>
                <w:tab w:val="left" w:pos="240"/>
              </w:tabs>
              <w:ind w:left="132"/>
              <w:rPr>
                <w:sz w:val="24"/>
                <w:szCs w:val="24"/>
              </w:rPr>
            </w:pPr>
            <w:r>
              <w:rPr>
                <w:rFonts w:ascii="Helvetica" w:hAnsi="Helvetica"/>
                <w:sz w:val="16"/>
              </w:rPr>
              <w:t xml:space="preserve">Phone: </w:t>
            </w:r>
            <w:r w:rsidR="005B07E9">
              <w:rPr>
                <w:rFonts w:ascii="Helvetica" w:hAnsi="Helvetica"/>
                <w:sz w:val="24"/>
                <w:szCs w:val="24"/>
              </w:rPr>
              <w:t>(2</w:t>
            </w:r>
            <w:r w:rsidR="0031500B">
              <w:rPr>
                <w:rFonts w:ascii="Helvetica" w:hAnsi="Helvetica"/>
                <w:sz w:val="24"/>
                <w:szCs w:val="24"/>
              </w:rPr>
              <w:t>02</w:t>
            </w:r>
            <w:r w:rsidR="005B07E9">
              <w:rPr>
                <w:rFonts w:ascii="Helvetica" w:hAnsi="Helvetica"/>
                <w:sz w:val="24"/>
                <w:szCs w:val="24"/>
              </w:rPr>
              <w:t xml:space="preserve">) </w:t>
            </w:r>
            <w:r w:rsidR="0031500B">
              <w:rPr>
                <w:rFonts w:ascii="Helvetica" w:hAnsi="Helvetica"/>
                <w:sz w:val="24"/>
                <w:szCs w:val="24"/>
              </w:rPr>
              <w:t>402</w:t>
            </w:r>
            <w:r w:rsidR="005B07E9">
              <w:rPr>
                <w:rFonts w:ascii="Helvetica" w:hAnsi="Helvetica"/>
                <w:sz w:val="24"/>
                <w:szCs w:val="24"/>
              </w:rPr>
              <w:t>-</w:t>
            </w:r>
            <w:r w:rsidR="000E4F6F">
              <w:rPr>
                <w:rFonts w:ascii="Helvetica" w:hAnsi="Helvetica"/>
                <w:sz w:val="24"/>
                <w:szCs w:val="24"/>
              </w:rPr>
              <w:t>2078</w:t>
            </w:r>
          </w:p>
          <w:p w:rsidR="00C53525" w:rsidRDefault="00C53525">
            <w:pPr>
              <w:tabs>
                <w:tab w:val="left" w:pos="240"/>
              </w:tabs>
              <w:rPr>
                <w:rFonts w:ascii="Helvetica" w:hAnsi="Helvetica"/>
                <w:sz w:val="16"/>
              </w:rPr>
            </w:pPr>
          </w:p>
        </w:tc>
      </w:tr>
    </w:tbl>
    <w:p w:rsidR="00C53525" w:rsidRDefault="00C53525">
      <w:pPr>
        <w:tabs>
          <w:tab w:val="left" w:pos="240"/>
        </w:tabs>
        <w:rPr>
          <w:rFonts w:ascii="Helvetica" w:hAnsi="Helvetica"/>
          <w:sz w:val="16"/>
        </w:rPr>
      </w:pPr>
    </w:p>
    <w:p w:rsidR="00C53525" w:rsidRDefault="00C5352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C53525" w:rsidRDefault="00C53525">
      <w:pPr>
        <w:tabs>
          <w:tab w:val="left" w:pos="240"/>
        </w:tabs>
        <w:spacing w:line="280" w:lineRule="exact"/>
        <w:rPr>
          <w:sz w:val="22"/>
        </w:rPr>
      </w:pPr>
    </w:p>
    <w:p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rsidR="00C53525" w:rsidRDefault="00C53525">
      <w:pPr>
        <w:numPr>
          <w:ilvl w:val="0"/>
          <w:numId w:val="3"/>
        </w:numPr>
        <w:tabs>
          <w:tab w:val="left" w:pos="720"/>
        </w:tabs>
        <w:spacing w:line="280" w:lineRule="exact"/>
        <w:rPr>
          <w:sz w:val="22"/>
        </w:rPr>
      </w:pPr>
      <w:r>
        <w:rPr>
          <w:sz w:val="22"/>
        </w:rPr>
        <w:t>It is necessary for the proper performance of agency functions;</w:t>
      </w:r>
    </w:p>
    <w:p w:rsidR="00C53525" w:rsidRDefault="00C53525">
      <w:pPr>
        <w:numPr>
          <w:ilvl w:val="0"/>
          <w:numId w:val="3"/>
        </w:numPr>
        <w:tabs>
          <w:tab w:val="left" w:pos="720"/>
        </w:tabs>
        <w:spacing w:line="280" w:lineRule="exact"/>
        <w:rPr>
          <w:sz w:val="22"/>
        </w:rPr>
      </w:pPr>
      <w:r>
        <w:rPr>
          <w:sz w:val="22"/>
        </w:rPr>
        <w:t>It avoids unnecessary duplication;</w:t>
      </w:r>
    </w:p>
    <w:p w:rsidR="00C53525" w:rsidRDefault="00C53525">
      <w:pPr>
        <w:numPr>
          <w:ilvl w:val="0"/>
          <w:numId w:val="3"/>
        </w:numPr>
        <w:tabs>
          <w:tab w:val="left" w:pos="720"/>
        </w:tabs>
        <w:spacing w:line="280" w:lineRule="exact"/>
        <w:rPr>
          <w:sz w:val="22"/>
        </w:rPr>
      </w:pPr>
      <w:r>
        <w:rPr>
          <w:sz w:val="22"/>
        </w:rPr>
        <w:t>It reduces burden on small entities;</w:t>
      </w:r>
    </w:p>
    <w:p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C53525" w:rsidRDefault="00C53525">
      <w:pPr>
        <w:numPr>
          <w:ilvl w:val="0"/>
          <w:numId w:val="3"/>
        </w:numPr>
        <w:tabs>
          <w:tab w:val="left" w:pos="720"/>
        </w:tabs>
        <w:spacing w:line="280" w:lineRule="exact"/>
        <w:rPr>
          <w:sz w:val="22"/>
        </w:rPr>
      </w:pPr>
      <w:r>
        <w:rPr>
          <w:sz w:val="22"/>
        </w:rPr>
        <w:t>It indicates the retention periods for recordkeeping requirements;</w:t>
      </w:r>
    </w:p>
    <w:p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rsidR="00C53525" w:rsidRDefault="00C53525">
      <w:pPr>
        <w:numPr>
          <w:ilvl w:val="0"/>
          <w:numId w:val="4"/>
        </w:numPr>
        <w:tabs>
          <w:tab w:val="left" w:pos="720"/>
        </w:tabs>
        <w:spacing w:line="280" w:lineRule="exact"/>
        <w:rPr>
          <w:sz w:val="22"/>
        </w:rPr>
      </w:pPr>
      <w:r>
        <w:rPr>
          <w:sz w:val="22"/>
        </w:rPr>
        <w:t>Why the information is being collected;</w:t>
      </w:r>
    </w:p>
    <w:p w:rsidR="00C53525" w:rsidRDefault="00C53525">
      <w:pPr>
        <w:numPr>
          <w:ilvl w:val="0"/>
          <w:numId w:val="4"/>
        </w:numPr>
        <w:tabs>
          <w:tab w:val="left" w:pos="720"/>
        </w:tabs>
        <w:spacing w:line="280" w:lineRule="exact"/>
        <w:rPr>
          <w:sz w:val="22"/>
        </w:rPr>
      </w:pPr>
      <w:r>
        <w:rPr>
          <w:sz w:val="22"/>
        </w:rPr>
        <w:t>Use of the information;</w:t>
      </w:r>
    </w:p>
    <w:p w:rsidR="00C53525" w:rsidRDefault="00C53525">
      <w:pPr>
        <w:numPr>
          <w:ilvl w:val="0"/>
          <w:numId w:val="4"/>
        </w:numPr>
        <w:tabs>
          <w:tab w:val="left" w:pos="720"/>
        </w:tabs>
        <w:spacing w:line="280" w:lineRule="exact"/>
        <w:rPr>
          <w:sz w:val="22"/>
        </w:rPr>
      </w:pPr>
      <w:r>
        <w:rPr>
          <w:sz w:val="22"/>
        </w:rPr>
        <w:t>burden estimate;</w:t>
      </w:r>
    </w:p>
    <w:p w:rsidR="00C53525" w:rsidRDefault="00C53525">
      <w:pPr>
        <w:numPr>
          <w:ilvl w:val="0"/>
          <w:numId w:val="4"/>
        </w:numPr>
        <w:tabs>
          <w:tab w:val="left" w:pos="720"/>
        </w:tabs>
        <w:spacing w:line="280" w:lineRule="exact"/>
        <w:rPr>
          <w:sz w:val="22"/>
        </w:rPr>
      </w:pPr>
      <w:r>
        <w:rPr>
          <w:sz w:val="22"/>
        </w:rPr>
        <w:t>Nature of response (voluntary, required for a benefit, or mandatory);</w:t>
      </w:r>
    </w:p>
    <w:p w:rsidR="00C53525" w:rsidRDefault="00C53525">
      <w:pPr>
        <w:numPr>
          <w:ilvl w:val="0"/>
          <w:numId w:val="4"/>
        </w:numPr>
        <w:tabs>
          <w:tab w:val="left" w:pos="720"/>
        </w:tabs>
        <w:spacing w:line="280" w:lineRule="exact"/>
        <w:rPr>
          <w:sz w:val="22"/>
        </w:rPr>
      </w:pPr>
      <w:r>
        <w:rPr>
          <w:sz w:val="22"/>
        </w:rPr>
        <w:t>Nature and extent of confidentiality; and</w:t>
      </w:r>
    </w:p>
    <w:p w:rsidR="00C53525" w:rsidRDefault="00C53525">
      <w:pPr>
        <w:numPr>
          <w:ilvl w:val="0"/>
          <w:numId w:val="4"/>
        </w:numPr>
        <w:tabs>
          <w:tab w:val="left" w:pos="720"/>
        </w:tabs>
        <w:spacing w:line="280" w:lineRule="exact"/>
        <w:rPr>
          <w:sz w:val="22"/>
        </w:rPr>
      </w:pPr>
      <w:r>
        <w:rPr>
          <w:sz w:val="22"/>
        </w:rPr>
        <w:t>Need to display currently valid OMB control number;</w:t>
      </w:r>
    </w:p>
    <w:p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rsidR="00C53525" w:rsidRDefault="00C53525">
      <w:pPr>
        <w:numPr>
          <w:ilvl w:val="0"/>
          <w:numId w:val="6"/>
        </w:numPr>
        <w:tabs>
          <w:tab w:val="left" w:pos="720"/>
        </w:tabs>
        <w:spacing w:line="280" w:lineRule="exact"/>
        <w:rPr>
          <w:sz w:val="22"/>
        </w:rPr>
      </w:pPr>
      <w:r>
        <w:rPr>
          <w:sz w:val="22"/>
        </w:rPr>
        <w:t>It makes appropriate use of information technology.</w:t>
      </w:r>
    </w:p>
    <w:p w:rsidR="00C53525" w:rsidRDefault="00C53525">
      <w:pPr>
        <w:tabs>
          <w:tab w:val="left" w:pos="600"/>
        </w:tabs>
        <w:spacing w:line="280" w:lineRule="exact"/>
        <w:rPr>
          <w:sz w:val="22"/>
        </w:rPr>
      </w:pPr>
    </w:p>
    <w:p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C53525" w:rsidRDefault="00954D17">
      <w:pPr>
        <w:tabs>
          <w:tab w:val="left" w:pos="240"/>
        </w:tabs>
        <w:ind w:left="240"/>
      </w:pPr>
      <w:r>
        <w:fldChar w:fldCharType="begin">
          <w:ffData>
            <w:name w:val="Text20"/>
            <w:enabled/>
            <w:calcOnExit w:val="0"/>
            <w:textInput/>
          </w:ffData>
        </w:fldChar>
      </w:r>
      <w:bookmarkStart w:id="10"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10"/>
    </w:p>
    <w:p w:rsidR="00C5352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tc>
          <w:tcPr>
            <w:tcW w:w="8388" w:type="dxa"/>
            <w:tcBorders>
              <w:top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Program Official:</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C53525" w:rsidRDefault="00C53525" w:rsidP="00020DC4">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r w:rsidR="00C53525">
        <w:tc>
          <w:tcPr>
            <w:tcW w:w="8388" w:type="dxa"/>
            <w:tcBorders>
              <w:top w:val="single" w:sz="6" w:space="0" w:color="auto"/>
              <w:bottom w:val="single" w:sz="6" w:space="0" w:color="auto"/>
            </w:tcBorders>
          </w:tcPr>
          <w:p w:rsidR="00C53525" w:rsidRDefault="00C53525">
            <w:pPr>
              <w:tabs>
                <w:tab w:val="left" w:pos="240"/>
              </w:tabs>
              <w:ind w:left="-120"/>
              <w:rPr>
                <w:rFonts w:ascii="Helvetica" w:hAnsi="Helvetica"/>
                <w:sz w:val="16"/>
              </w:rPr>
            </w:pPr>
            <w:r>
              <w:rPr>
                <w:rFonts w:ascii="Helvetica" w:hAnsi="Helvetica"/>
                <w:sz w:val="16"/>
              </w:rPr>
              <w:t>Signature of Senior Officer or Designee:</w:t>
            </w: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p>
          <w:p w:rsidR="00C53525" w:rsidRDefault="00C53525">
            <w:pPr>
              <w:tabs>
                <w:tab w:val="left" w:pos="240"/>
              </w:tabs>
              <w:rPr>
                <w:rFonts w:ascii="Helvetica" w:hAnsi="Helvetica"/>
                <w:sz w:val="16"/>
              </w:rPr>
            </w:pPr>
            <w:r>
              <w:rPr>
                <w:rFonts w:ascii="Helvetica" w:hAnsi="Helvetica"/>
                <w:sz w:val="16"/>
              </w:rPr>
              <w:t>X</w:t>
            </w:r>
          </w:p>
          <w:p w:rsidR="00C53525" w:rsidRDefault="00441F7F">
            <w:pPr>
              <w:tabs>
                <w:tab w:val="left" w:pos="240"/>
              </w:tabs>
              <w:rPr>
                <w:rFonts w:ascii="Helvetica" w:hAnsi="Helvetica"/>
                <w:sz w:val="16"/>
              </w:rPr>
            </w:pPr>
            <w:r>
              <w:rPr>
                <w:rFonts w:ascii="Helvetica" w:hAnsi="Helvetica"/>
                <w:sz w:val="16"/>
              </w:rPr>
              <w:t>Colette Pollard, Departmental Reports Management Officer</w:t>
            </w:r>
          </w:p>
          <w:p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rsidR="00C53525" w:rsidRDefault="00C53525">
            <w:pPr>
              <w:tabs>
                <w:tab w:val="left" w:pos="240"/>
              </w:tabs>
              <w:rPr>
                <w:rFonts w:ascii="Helvetica" w:hAnsi="Helvetica"/>
                <w:sz w:val="16"/>
              </w:rPr>
            </w:pPr>
            <w:r>
              <w:rPr>
                <w:rFonts w:ascii="Helvetica" w:hAnsi="Helvetica"/>
                <w:sz w:val="16"/>
              </w:rPr>
              <w:t>Date:</w:t>
            </w:r>
          </w:p>
        </w:tc>
      </w:tr>
    </w:tbl>
    <w:p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355E1D" w:rsidRPr="006A2B11" w:rsidRDefault="00355E1D" w:rsidP="00355E1D">
      <w:pPr>
        <w:rPr>
          <w:sz w:val="24"/>
          <w:szCs w:val="24"/>
        </w:rPr>
      </w:pPr>
    </w:p>
    <w:p w:rsidR="00355E1D" w:rsidRPr="006A2B11" w:rsidRDefault="00355E1D" w:rsidP="00355E1D">
      <w:pPr>
        <w:jc w:val="center"/>
        <w:rPr>
          <w:b/>
          <w:bCs/>
          <w:sz w:val="24"/>
          <w:szCs w:val="24"/>
        </w:rPr>
      </w:pPr>
      <w:r w:rsidRPr="006A2B11">
        <w:rPr>
          <w:b/>
          <w:bCs/>
          <w:sz w:val="24"/>
          <w:szCs w:val="24"/>
        </w:rPr>
        <w:t>Rental Assistance Demonstration</w:t>
      </w:r>
    </w:p>
    <w:p w:rsidR="00355E1D" w:rsidRPr="006A2B11" w:rsidRDefault="00355E1D" w:rsidP="00355E1D">
      <w:pPr>
        <w:jc w:val="center"/>
        <w:rPr>
          <w:b/>
          <w:bCs/>
          <w:sz w:val="24"/>
          <w:szCs w:val="24"/>
        </w:rPr>
      </w:pPr>
      <w:r w:rsidRPr="006A2B11">
        <w:rPr>
          <w:b/>
          <w:bCs/>
          <w:sz w:val="24"/>
          <w:szCs w:val="24"/>
        </w:rPr>
        <w:t>Supporting Statement for Paperwork Reduction Act Submission</w:t>
      </w:r>
    </w:p>
    <w:p w:rsidR="00355E1D" w:rsidRPr="006A2B11" w:rsidRDefault="00355E1D" w:rsidP="00355E1D">
      <w:pPr>
        <w:jc w:val="center"/>
        <w:rPr>
          <w:b/>
          <w:bCs/>
          <w:sz w:val="24"/>
          <w:szCs w:val="24"/>
        </w:rPr>
      </w:pPr>
      <w:r w:rsidRPr="006A2B11">
        <w:rPr>
          <w:b/>
          <w:bCs/>
          <w:sz w:val="24"/>
          <w:szCs w:val="24"/>
        </w:rPr>
        <w:t xml:space="preserve">Office of Public </w:t>
      </w:r>
      <w:r w:rsidR="008105F1">
        <w:rPr>
          <w:b/>
          <w:bCs/>
          <w:sz w:val="24"/>
          <w:szCs w:val="24"/>
        </w:rPr>
        <w:t xml:space="preserve">and Indian </w:t>
      </w:r>
      <w:r w:rsidRPr="006A2B11">
        <w:rPr>
          <w:b/>
          <w:bCs/>
          <w:sz w:val="24"/>
          <w:szCs w:val="24"/>
        </w:rPr>
        <w:t>Housing, Office of Housing</w:t>
      </w:r>
      <w:r w:rsidR="008105F1">
        <w:rPr>
          <w:b/>
          <w:bCs/>
          <w:sz w:val="24"/>
          <w:szCs w:val="24"/>
        </w:rPr>
        <w:t>-Federal Housing Commissioner</w:t>
      </w:r>
    </w:p>
    <w:p w:rsidR="00355E1D" w:rsidRPr="006A2B11" w:rsidRDefault="00355E1D" w:rsidP="00355E1D">
      <w:pPr>
        <w:pStyle w:val="NoSpacing"/>
        <w:rPr>
          <w:rFonts w:ascii="Times New Roman" w:hAnsi="Times New Roman" w:cs="Times New Roman"/>
          <w:sz w:val="24"/>
          <w:szCs w:val="24"/>
        </w:rPr>
      </w:pPr>
    </w:p>
    <w:p w:rsidR="00355E1D" w:rsidRPr="006A2B11" w:rsidRDefault="00355E1D" w:rsidP="008105F1">
      <w:pPr>
        <w:pStyle w:val="ListParagraph"/>
        <w:ind w:left="0"/>
        <w:rPr>
          <w:rFonts w:ascii="Times New Roman" w:hAnsi="Times New Roman" w:cs="Times New Roman"/>
          <w:sz w:val="24"/>
          <w:szCs w:val="24"/>
        </w:rPr>
      </w:pPr>
    </w:p>
    <w:p w:rsidR="00355E1D" w:rsidRPr="004C1013" w:rsidRDefault="00355E1D" w:rsidP="008105F1">
      <w:pPr>
        <w:pStyle w:val="ListParagraph"/>
        <w:numPr>
          <w:ilvl w:val="0"/>
          <w:numId w:val="10"/>
        </w:numPr>
        <w:ind w:left="0" w:firstLine="0"/>
        <w:rPr>
          <w:rFonts w:ascii="Times New Roman" w:hAnsi="Times New Roman" w:cs="Times New Roman"/>
          <w:sz w:val="24"/>
          <w:szCs w:val="24"/>
          <w:u w:val="single"/>
        </w:rPr>
      </w:pPr>
      <w:r w:rsidRPr="004C1013">
        <w:rPr>
          <w:rFonts w:ascii="Times New Roman" w:hAnsi="Times New Roman" w:cs="Times New Roman"/>
          <w:sz w:val="24"/>
          <w:szCs w:val="24"/>
          <w:u w:val="single"/>
        </w:rPr>
        <w:t>Justification</w:t>
      </w:r>
    </w:p>
    <w:p w:rsidR="00355E1D" w:rsidRDefault="00355E1D" w:rsidP="008105F1">
      <w:pPr>
        <w:pStyle w:val="ListParagraph"/>
        <w:spacing w:after="0" w:line="240" w:lineRule="auto"/>
        <w:ind w:left="0"/>
        <w:rPr>
          <w:rFonts w:ascii="Times New Roman" w:hAnsi="Times New Roman" w:cs="Times New Roman"/>
          <w:sz w:val="24"/>
          <w:szCs w:val="24"/>
        </w:rPr>
      </w:pPr>
    </w:p>
    <w:p w:rsidR="00B03063" w:rsidRDefault="00355E1D">
      <w:pPr>
        <w:pStyle w:val="ListParagraph"/>
        <w:numPr>
          <w:ilvl w:val="0"/>
          <w:numId w:val="11"/>
        </w:numPr>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3063" w:rsidRDefault="00355E1D" w:rsidP="000E4F6F">
      <w:pPr>
        <w:pStyle w:val="NormalWeb"/>
        <w:shd w:val="clear" w:color="auto" w:fill="FFFFFF"/>
        <w:ind w:left="720"/>
        <w:rPr>
          <w:color w:val="000000"/>
        </w:rPr>
      </w:pPr>
      <w:r w:rsidRPr="004C1013">
        <w:rPr>
          <w:rFonts w:eastAsiaTheme="minorHAnsi"/>
        </w:rPr>
        <w:t xml:space="preserve">The Department of Housing and Urban Development’s (HUD) </w:t>
      </w:r>
      <w:r>
        <w:rPr>
          <w:color w:val="000000"/>
        </w:rPr>
        <w:t>2012 Appropriations bill</w:t>
      </w:r>
      <w:r>
        <w:rPr>
          <w:rStyle w:val="FootnoteReference"/>
          <w:color w:val="000000"/>
        </w:rPr>
        <w:footnoteReference w:id="1"/>
      </w:r>
      <w:r>
        <w:rPr>
          <w:color w:val="000000"/>
        </w:rPr>
        <w:t xml:space="preserve"> </w:t>
      </w:r>
      <w:r w:rsidRPr="004C1013">
        <w:rPr>
          <w:color w:val="000000"/>
        </w:rPr>
        <w:t>authorized the </w:t>
      </w:r>
      <w:r w:rsidRPr="004C1013">
        <w:rPr>
          <w:b/>
          <w:bCs/>
          <w:color w:val="000000"/>
        </w:rPr>
        <w:t>Rental Assistance Demonstration</w:t>
      </w:r>
      <w:r w:rsidRPr="004C1013">
        <w:rPr>
          <w:color w:val="000000"/>
        </w:rPr>
        <w:t> (RAD)</w:t>
      </w:r>
      <w:r>
        <w:rPr>
          <w:color w:val="000000"/>
        </w:rPr>
        <w:t xml:space="preserve">. </w:t>
      </w:r>
      <w:r w:rsidR="000E4F6F">
        <w:t xml:space="preserve">RAD allows Public Housing, Rent Supplement, Rental Assistance Payment, and Moderate Rehabilitation (Mod Rehab) properties to convert to long-term Section 8 rental assistance contracts.  Participation in the initiative is voluntary. Public Housing Agencies </w:t>
      </w:r>
      <w:r w:rsidR="000E4F6F" w:rsidRPr="006A2B11">
        <w:t xml:space="preserve">interested in participating in the Demonstration are required to submit applications to HUD.  </w:t>
      </w:r>
      <w:r w:rsidR="000E4F6F" w:rsidRPr="007205E9">
        <w:t>HUD intends through the conversion process</w:t>
      </w:r>
      <w:r w:rsidR="000E4F6F">
        <w:t xml:space="preserve">, to assure </w:t>
      </w:r>
      <w:r w:rsidR="000E4F6F" w:rsidRPr="007205E9">
        <w:t>the physical and financial sustainability of properties and enable owner</w:t>
      </w:r>
      <w:r w:rsidR="000E4F6F">
        <w:t xml:space="preserve">s to leverage </w:t>
      </w:r>
      <w:r w:rsidR="000E4F6F" w:rsidRPr="007205E9">
        <w:t>private financing to address immediate and lo</w:t>
      </w:r>
      <w:r w:rsidR="000E4F6F">
        <w:t xml:space="preserve">ng-term capital needs, improve </w:t>
      </w:r>
      <w:r w:rsidR="000E4F6F" w:rsidRPr="007205E9">
        <w:t>operations, and implement energy efficiency improv</w:t>
      </w:r>
      <w:r w:rsidR="000E4F6F">
        <w:t xml:space="preserve">ements.  </w:t>
      </w:r>
      <w:r>
        <w:t xml:space="preserve">Information collected </w:t>
      </w:r>
      <w:r w:rsidRPr="007205E9">
        <w:t>by</w:t>
      </w:r>
      <w:r w:rsidR="000E4F6F">
        <w:t xml:space="preserve"> </w:t>
      </w:r>
      <w:r w:rsidRPr="007205E9">
        <w:t>the application</w:t>
      </w:r>
      <w:r>
        <w:t>s</w:t>
      </w:r>
      <w:r w:rsidRPr="007205E9">
        <w:t xml:space="preserve"> will allow the Departmen</w:t>
      </w:r>
      <w:r>
        <w:t xml:space="preserve">t to determine which applicants have the </w:t>
      </w:r>
      <w:r w:rsidRPr="007205E9">
        <w:t>capacit</w:t>
      </w:r>
      <w:r>
        <w:t xml:space="preserve">y to successfully </w:t>
      </w:r>
      <w:r w:rsidRPr="007205E9">
        <w:t>meet RAD’s mission.</w:t>
      </w:r>
    </w:p>
    <w:p w:rsidR="00B03063" w:rsidRDefault="00B03063">
      <w:pPr>
        <w:pStyle w:val="ListParagraph"/>
        <w:spacing w:after="0" w:line="240" w:lineRule="auto"/>
        <w:ind w:left="0"/>
        <w:rPr>
          <w:rFonts w:ascii="Times New Roman" w:hAnsi="Times New Roman" w:cs="Times New Roman"/>
          <w:b/>
          <w:sz w:val="24"/>
          <w:szCs w:val="24"/>
        </w:rPr>
      </w:pPr>
    </w:p>
    <w:p w:rsidR="00B03063" w:rsidRPr="00E65EA6" w:rsidRDefault="00355E1D">
      <w:pPr>
        <w:pStyle w:val="ListParagraph"/>
        <w:numPr>
          <w:ilvl w:val="0"/>
          <w:numId w:val="11"/>
        </w:numPr>
        <w:spacing w:after="0" w:line="240" w:lineRule="auto"/>
        <w:rPr>
          <w:rFonts w:ascii="Times New Roman" w:hAnsi="Times New Roman" w:cs="Times New Roman"/>
          <w:sz w:val="24"/>
          <w:szCs w:val="24"/>
        </w:rPr>
      </w:pPr>
      <w:r w:rsidRPr="00E65EA6">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rsidR="00B03063" w:rsidRPr="00E65EA6" w:rsidRDefault="00B03063">
      <w:pPr>
        <w:rPr>
          <w:sz w:val="24"/>
          <w:szCs w:val="24"/>
        </w:rPr>
      </w:pPr>
    </w:p>
    <w:p w:rsidR="00B03063" w:rsidRPr="00167682" w:rsidRDefault="00355E1D">
      <w:pPr>
        <w:ind w:left="720"/>
        <w:rPr>
          <w:sz w:val="24"/>
          <w:szCs w:val="24"/>
        </w:rPr>
      </w:pPr>
      <w:r w:rsidRPr="00167682">
        <w:rPr>
          <w:sz w:val="24"/>
          <w:szCs w:val="24"/>
        </w:rPr>
        <w:t xml:space="preserve">The Department </w:t>
      </w:r>
      <w:r w:rsidR="00E65EA6" w:rsidRPr="00167682">
        <w:rPr>
          <w:sz w:val="24"/>
          <w:szCs w:val="24"/>
        </w:rPr>
        <w:t>has</w:t>
      </w:r>
      <w:r w:rsidRPr="00167682">
        <w:rPr>
          <w:sz w:val="24"/>
          <w:szCs w:val="24"/>
        </w:rPr>
        <w:t xml:space="preserve"> us</w:t>
      </w:r>
      <w:r w:rsidR="008105F1" w:rsidRPr="00167682">
        <w:rPr>
          <w:sz w:val="24"/>
          <w:szCs w:val="24"/>
        </w:rPr>
        <w:t>e</w:t>
      </w:r>
      <w:r w:rsidR="00E65EA6" w:rsidRPr="00167682">
        <w:rPr>
          <w:sz w:val="24"/>
          <w:szCs w:val="24"/>
        </w:rPr>
        <w:t>d</w:t>
      </w:r>
      <w:r w:rsidRPr="00167682">
        <w:rPr>
          <w:sz w:val="24"/>
          <w:szCs w:val="24"/>
        </w:rPr>
        <w:t xml:space="preserve"> a </w:t>
      </w:r>
      <w:r w:rsidR="00E65EA6" w:rsidRPr="00167682">
        <w:rPr>
          <w:sz w:val="24"/>
          <w:szCs w:val="24"/>
        </w:rPr>
        <w:t xml:space="preserve">first-come, first-serve basis </w:t>
      </w:r>
      <w:r w:rsidR="00857A86" w:rsidRPr="00167682">
        <w:rPr>
          <w:sz w:val="24"/>
          <w:szCs w:val="24"/>
        </w:rPr>
        <w:t>where HUD issued a PHA a conversion</w:t>
      </w:r>
      <w:r w:rsidR="00E65EA6" w:rsidRPr="00167682">
        <w:rPr>
          <w:sz w:val="24"/>
          <w:szCs w:val="24"/>
        </w:rPr>
        <w:t xml:space="preserve"> award for any application that me</w:t>
      </w:r>
      <w:r w:rsidR="00857A86" w:rsidRPr="00167682">
        <w:rPr>
          <w:sz w:val="24"/>
          <w:szCs w:val="24"/>
        </w:rPr>
        <w:t>t</w:t>
      </w:r>
      <w:r w:rsidR="00E65EA6" w:rsidRPr="00167682">
        <w:rPr>
          <w:sz w:val="24"/>
          <w:szCs w:val="24"/>
        </w:rPr>
        <w:t xml:space="preserve"> all eligibility requirements and that was received while the Department ha</w:t>
      </w:r>
      <w:r w:rsidR="00857A86" w:rsidRPr="00167682">
        <w:rPr>
          <w:sz w:val="24"/>
          <w:szCs w:val="24"/>
        </w:rPr>
        <w:t>d</w:t>
      </w:r>
      <w:r w:rsidR="00E65EA6" w:rsidRPr="00167682">
        <w:rPr>
          <w:sz w:val="24"/>
          <w:szCs w:val="24"/>
        </w:rPr>
        <w:t xml:space="preserve"> available authority under the statutory 185,000 unit cap.  </w:t>
      </w:r>
      <w:r w:rsidR="00857A86" w:rsidRPr="00167682">
        <w:rPr>
          <w:sz w:val="24"/>
          <w:szCs w:val="24"/>
        </w:rPr>
        <w:t>The cap has been met and application</w:t>
      </w:r>
      <w:r w:rsidR="00C9331C" w:rsidRPr="00167682">
        <w:rPr>
          <w:sz w:val="24"/>
          <w:szCs w:val="24"/>
        </w:rPr>
        <w:t>s</w:t>
      </w:r>
      <w:r w:rsidR="00857A86" w:rsidRPr="00167682">
        <w:rPr>
          <w:sz w:val="24"/>
          <w:szCs w:val="24"/>
        </w:rPr>
        <w:t xml:space="preserve"> on the waiting list </w:t>
      </w:r>
      <w:r w:rsidR="00C9331C" w:rsidRPr="00167682">
        <w:rPr>
          <w:sz w:val="24"/>
          <w:szCs w:val="24"/>
        </w:rPr>
        <w:t>are</w:t>
      </w:r>
      <w:r w:rsidR="00857A86" w:rsidRPr="00167682">
        <w:rPr>
          <w:sz w:val="24"/>
          <w:szCs w:val="24"/>
        </w:rPr>
        <w:t xml:space="preserve"> prioritized based on the criteria specified in the revised RAD Notice. </w:t>
      </w:r>
      <w:r w:rsidR="00C9331C" w:rsidRPr="00167682">
        <w:rPr>
          <w:sz w:val="24"/>
          <w:szCs w:val="24"/>
        </w:rPr>
        <w:t>Any subsequent awards will be prioritized in the following order:</w:t>
      </w:r>
    </w:p>
    <w:p w:rsidR="00C9331C" w:rsidRPr="00167682" w:rsidRDefault="00C9331C" w:rsidP="00167682">
      <w:pPr>
        <w:pStyle w:val="ListParagraph"/>
        <w:numPr>
          <w:ilvl w:val="0"/>
          <w:numId w:val="14"/>
        </w:numPr>
        <w:ind w:left="1354"/>
        <w:rPr>
          <w:rFonts w:ascii="Times New Roman" w:hAnsi="Times New Roman" w:cs="Times New Roman"/>
          <w:sz w:val="24"/>
          <w:szCs w:val="24"/>
        </w:rPr>
      </w:pPr>
      <w:r w:rsidRPr="00167682">
        <w:rPr>
          <w:rFonts w:ascii="Times New Roman" w:hAnsi="Times New Roman" w:cs="Times New Roman"/>
          <w:sz w:val="24"/>
          <w:szCs w:val="24"/>
        </w:rPr>
        <w:t>Redeveloping physically or functionally obsolete housing</w:t>
      </w:r>
    </w:p>
    <w:p w:rsidR="00C9331C" w:rsidRPr="00167682" w:rsidRDefault="00C9331C" w:rsidP="00167682">
      <w:pPr>
        <w:pStyle w:val="ListParagraph"/>
        <w:numPr>
          <w:ilvl w:val="0"/>
          <w:numId w:val="14"/>
        </w:numPr>
        <w:ind w:left="1354"/>
        <w:rPr>
          <w:rFonts w:ascii="Times New Roman" w:hAnsi="Times New Roman" w:cs="Times New Roman"/>
          <w:sz w:val="24"/>
          <w:szCs w:val="24"/>
        </w:rPr>
      </w:pPr>
      <w:r w:rsidRPr="00167682">
        <w:rPr>
          <w:rFonts w:ascii="Times New Roman" w:hAnsi="Times New Roman" w:cs="Times New Roman"/>
          <w:sz w:val="24"/>
          <w:szCs w:val="24"/>
        </w:rPr>
        <w:t>Part of comprehensive neighborhood revitalization plan</w:t>
      </w:r>
    </w:p>
    <w:p w:rsidR="00C9331C" w:rsidRPr="00167682" w:rsidRDefault="00C9331C" w:rsidP="00167682">
      <w:pPr>
        <w:pStyle w:val="ListParagraph"/>
        <w:numPr>
          <w:ilvl w:val="0"/>
          <w:numId w:val="14"/>
        </w:numPr>
        <w:ind w:left="1354"/>
        <w:rPr>
          <w:rFonts w:ascii="Times New Roman" w:hAnsi="Times New Roman" w:cs="Times New Roman"/>
          <w:sz w:val="24"/>
          <w:szCs w:val="24"/>
        </w:rPr>
      </w:pPr>
      <w:r w:rsidRPr="00167682">
        <w:rPr>
          <w:rFonts w:ascii="Times New Roman" w:hAnsi="Times New Roman" w:cs="Times New Roman"/>
          <w:sz w:val="24"/>
          <w:szCs w:val="24"/>
        </w:rPr>
        <w:t>In imminent danger of losing financing (e.g., expiring tax credit award)</w:t>
      </w:r>
    </w:p>
    <w:p w:rsidR="00C9331C" w:rsidRPr="00167682" w:rsidRDefault="00C9331C" w:rsidP="00167682">
      <w:pPr>
        <w:pStyle w:val="ListParagraph"/>
        <w:numPr>
          <w:ilvl w:val="0"/>
          <w:numId w:val="14"/>
        </w:numPr>
        <w:ind w:left="1354"/>
        <w:rPr>
          <w:rFonts w:ascii="Times New Roman" w:hAnsi="Times New Roman" w:cs="Times New Roman"/>
          <w:sz w:val="24"/>
          <w:szCs w:val="24"/>
        </w:rPr>
      </w:pPr>
      <w:r w:rsidRPr="00167682">
        <w:rPr>
          <w:rFonts w:ascii="Times New Roman" w:hAnsi="Times New Roman" w:cs="Times New Roman"/>
          <w:sz w:val="24"/>
          <w:szCs w:val="24"/>
        </w:rPr>
        <w:t>Other applications using LIHTC</w:t>
      </w:r>
    </w:p>
    <w:p w:rsidR="00C9331C" w:rsidRPr="00167682" w:rsidRDefault="00C9331C" w:rsidP="00167682">
      <w:pPr>
        <w:pStyle w:val="ListParagraph"/>
        <w:numPr>
          <w:ilvl w:val="0"/>
          <w:numId w:val="14"/>
        </w:numPr>
        <w:ind w:left="1354"/>
        <w:rPr>
          <w:rFonts w:ascii="Times New Roman" w:hAnsi="Times New Roman" w:cs="Times New Roman"/>
          <w:sz w:val="24"/>
          <w:szCs w:val="24"/>
        </w:rPr>
      </w:pPr>
      <w:r w:rsidRPr="00167682">
        <w:rPr>
          <w:rFonts w:ascii="Times New Roman" w:hAnsi="Times New Roman" w:cs="Times New Roman"/>
          <w:sz w:val="24"/>
          <w:szCs w:val="24"/>
        </w:rPr>
        <w:t>Portfolio or Multi-Phase award  in which 50% of properties fall under any of the above categories</w:t>
      </w:r>
    </w:p>
    <w:p w:rsidR="00B03063" w:rsidRPr="00167682" w:rsidRDefault="00C9331C" w:rsidP="00167682">
      <w:pPr>
        <w:pStyle w:val="ListParagraph"/>
        <w:numPr>
          <w:ilvl w:val="0"/>
          <w:numId w:val="14"/>
        </w:numPr>
        <w:ind w:left="1354"/>
        <w:rPr>
          <w:sz w:val="24"/>
          <w:szCs w:val="24"/>
        </w:rPr>
      </w:pPr>
      <w:r w:rsidRPr="00167682">
        <w:rPr>
          <w:rFonts w:ascii="Times New Roman" w:hAnsi="Times New Roman" w:cs="Times New Roman"/>
          <w:sz w:val="24"/>
          <w:szCs w:val="24"/>
        </w:rPr>
        <w:t>All other applications</w:t>
      </w:r>
    </w:p>
    <w:p w:rsidR="00167682" w:rsidRPr="00167682" w:rsidRDefault="00167682" w:rsidP="00167682">
      <w:pPr>
        <w:pStyle w:val="ListParagraph"/>
        <w:ind w:left="1354"/>
        <w:rPr>
          <w:sz w:val="24"/>
          <w:szCs w:val="24"/>
        </w:rPr>
      </w:pPr>
    </w:p>
    <w:p w:rsidR="00B03063" w:rsidRDefault="00355E1D">
      <w:pPr>
        <w:pStyle w:val="ListParagraph"/>
        <w:numPr>
          <w:ilvl w:val="0"/>
          <w:numId w:val="11"/>
        </w:numPr>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5E1D" w:rsidRPr="006A2B11" w:rsidRDefault="00355E1D" w:rsidP="008105F1">
      <w:pPr>
        <w:pStyle w:val="ListParagraph"/>
        <w:spacing w:after="0" w:line="240" w:lineRule="auto"/>
        <w:ind w:left="0"/>
        <w:rPr>
          <w:rFonts w:ascii="Times New Roman" w:hAnsi="Times New Roman" w:cs="Times New Roman"/>
          <w:sz w:val="24"/>
          <w:szCs w:val="24"/>
        </w:rPr>
      </w:pPr>
    </w:p>
    <w:p w:rsidR="00B03063" w:rsidRDefault="008A5135">
      <w:pPr>
        <w:ind w:left="720"/>
        <w:rPr>
          <w:sz w:val="24"/>
          <w:szCs w:val="24"/>
        </w:rPr>
      </w:pPr>
      <w:r>
        <w:rPr>
          <w:sz w:val="24"/>
          <w:szCs w:val="24"/>
        </w:rPr>
        <w:lastRenderedPageBreak/>
        <w:t>To</w:t>
      </w:r>
      <w:r w:rsidR="00355E1D" w:rsidRPr="006A2B11">
        <w:rPr>
          <w:sz w:val="24"/>
          <w:szCs w:val="24"/>
        </w:rPr>
        <w:t xml:space="preserve"> minimize</w:t>
      </w:r>
      <w:r w:rsidR="00355E1D">
        <w:rPr>
          <w:sz w:val="24"/>
          <w:szCs w:val="24"/>
        </w:rPr>
        <w:t xml:space="preserve"> the</w:t>
      </w:r>
      <w:r w:rsidR="00355E1D" w:rsidRPr="006A2B11">
        <w:rPr>
          <w:sz w:val="24"/>
          <w:szCs w:val="24"/>
        </w:rPr>
        <w:t xml:space="preserve"> public reporting burden</w:t>
      </w:r>
      <w:r w:rsidR="00833F66">
        <w:rPr>
          <w:sz w:val="24"/>
          <w:szCs w:val="24"/>
        </w:rPr>
        <w:t>,</w:t>
      </w:r>
      <w:r w:rsidR="00355E1D" w:rsidRPr="006A2B11">
        <w:rPr>
          <w:sz w:val="24"/>
          <w:szCs w:val="24"/>
        </w:rPr>
        <w:t xml:space="preserve"> the RAD application form</w:t>
      </w:r>
      <w:r w:rsidR="00355E1D">
        <w:rPr>
          <w:sz w:val="24"/>
          <w:szCs w:val="24"/>
        </w:rPr>
        <w:t>s have</w:t>
      </w:r>
      <w:r w:rsidR="00355E1D" w:rsidRPr="006A2B11">
        <w:rPr>
          <w:sz w:val="24"/>
          <w:szCs w:val="24"/>
        </w:rPr>
        <w:t xml:space="preserve"> been </w:t>
      </w:r>
      <w:r w:rsidR="00355E1D">
        <w:rPr>
          <w:sz w:val="24"/>
          <w:szCs w:val="24"/>
        </w:rPr>
        <w:t xml:space="preserve">crafted </w:t>
      </w:r>
      <w:r>
        <w:rPr>
          <w:sz w:val="24"/>
          <w:szCs w:val="24"/>
        </w:rPr>
        <w:t>as</w:t>
      </w:r>
      <w:r w:rsidR="00355E1D">
        <w:rPr>
          <w:sz w:val="24"/>
          <w:szCs w:val="24"/>
        </w:rPr>
        <w:t xml:space="preserve"> </w:t>
      </w:r>
      <w:r w:rsidR="00355E1D" w:rsidRPr="006A2B11">
        <w:rPr>
          <w:sz w:val="24"/>
          <w:szCs w:val="24"/>
        </w:rPr>
        <w:t>Microsoft Excel workbook</w:t>
      </w:r>
      <w:r w:rsidR="00355E1D">
        <w:rPr>
          <w:sz w:val="24"/>
          <w:szCs w:val="24"/>
        </w:rPr>
        <w:t>s</w:t>
      </w:r>
      <w:r>
        <w:rPr>
          <w:sz w:val="24"/>
          <w:szCs w:val="24"/>
        </w:rPr>
        <w:t xml:space="preserve"> that have been pre-populated with applicant data maintained by the Department</w:t>
      </w:r>
      <w:r w:rsidR="00355E1D">
        <w:rPr>
          <w:sz w:val="24"/>
          <w:szCs w:val="24"/>
        </w:rPr>
        <w:t>. Examples of this information include the following:</w:t>
      </w:r>
    </w:p>
    <w:p w:rsidR="00B03063" w:rsidRDefault="00B03063">
      <w:pPr>
        <w:rPr>
          <w:sz w:val="24"/>
          <w:szCs w:val="24"/>
        </w:rPr>
      </w:pPr>
    </w:p>
    <w:p w:rsidR="00B03063" w:rsidRDefault="00355E1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Executive Director/Owner contact information</w:t>
      </w:r>
    </w:p>
    <w:p w:rsidR="00B03063" w:rsidRDefault="00355E1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Unit </w:t>
      </w:r>
      <w:r w:rsidR="008A5135">
        <w:rPr>
          <w:rFonts w:ascii="Times New Roman" w:hAnsi="Times New Roman" w:cs="Times New Roman"/>
          <w:sz w:val="24"/>
          <w:szCs w:val="24"/>
        </w:rPr>
        <w:t>i</w:t>
      </w:r>
      <w:r>
        <w:rPr>
          <w:rFonts w:ascii="Times New Roman" w:hAnsi="Times New Roman" w:cs="Times New Roman"/>
          <w:sz w:val="24"/>
          <w:szCs w:val="24"/>
        </w:rPr>
        <w:t xml:space="preserve">nventory </w:t>
      </w:r>
      <w:r w:rsidR="008A5135">
        <w:rPr>
          <w:rFonts w:ascii="Times New Roman" w:hAnsi="Times New Roman" w:cs="Times New Roman"/>
          <w:sz w:val="24"/>
          <w:szCs w:val="24"/>
        </w:rPr>
        <w:t>d</w:t>
      </w:r>
      <w:r>
        <w:rPr>
          <w:rFonts w:ascii="Times New Roman" w:hAnsi="Times New Roman" w:cs="Times New Roman"/>
          <w:sz w:val="24"/>
          <w:szCs w:val="24"/>
        </w:rPr>
        <w:t>istribution</w:t>
      </w:r>
    </w:p>
    <w:p w:rsidR="00A05F5D" w:rsidRPr="00A05F5D" w:rsidRDefault="00355E1D" w:rsidP="00A05F5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Historical </w:t>
      </w:r>
      <w:r w:rsidR="008A5135">
        <w:rPr>
          <w:rFonts w:ascii="Times New Roman" w:hAnsi="Times New Roman" w:cs="Times New Roman"/>
          <w:sz w:val="24"/>
          <w:szCs w:val="24"/>
        </w:rPr>
        <w:t>o</w:t>
      </w:r>
      <w:r>
        <w:rPr>
          <w:rFonts w:ascii="Times New Roman" w:hAnsi="Times New Roman" w:cs="Times New Roman"/>
          <w:sz w:val="24"/>
          <w:szCs w:val="24"/>
        </w:rPr>
        <w:t xml:space="preserve">perating </w:t>
      </w:r>
      <w:r w:rsidR="008A5135">
        <w:rPr>
          <w:rFonts w:ascii="Times New Roman" w:hAnsi="Times New Roman" w:cs="Times New Roman"/>
          <w:sz w:val="24"/>
          <w:szCs w:val="24"/>
        </w:rPr>
        <w:t>e</w:t>
      </w:r>
      <w:r>
        <w:rPr>
          <w:rFonts w:ascii="Times New Roman" w:hAnsi="Times New Roman" w:cs="Times New Roman"/>
          <w:sz w:val="24"/>
          <w:szCs w:val="24"/>
        </w:rPr>
        <w:t>xpenses</w:t>
      </w:r>
    </w:p>
    <w:p w:rsidR="00A05F5D" w:rsidRPr="00A05F5D" w:rsidRDefault="00A05F5D" w:rsidP="00A05F5D">
      <w:pPr>
        <w:rPr>
          <w:sz w:val="24"/>
          <w:szCs w:val="24"/>
        </w:rPr>
      </w:pPr>
      <w:r>
        <w:rPr>
          <w:sz w:val="24"/>
          <w:szCs w:val="24"/>
        </w:rPr>
        <w:tab/>
      </w:r>
      <w:r w:rsidRPr="00A05F5D">
        <w:rPr>
          <w:sz w:val="24"/>
          <w:szCs w:val="24"/>
        </w:rPr>
        <w:t xml:space="preserve">To minimize the burden on applicants, HUD has loaded data into a hidden and locked worksheet for </w:t>
      </w:r>
      <w:r>
        <w:rPr>
          <w:sz w:val="24"/>
          <w:szCs w:val="24"/>
        </w:rPr>
        <w:tab/>
      </w:r>
      <w:r w:rsidRPr="00A05F5D">
        <w:rPr>
          <w:sz w:val="24"/>
          <w:szCs w:val="24"/>
        </w:rPr>
        <w:t xml:space="preserve">every public housing project from already-collected and maintained data sets, including the PIH </w:t>
      </w:r>
      <w:r>
        <w:rPr>
          <w:sz w:val="24"/>
          <w:szCs w:val="24"/>
        </w:rPr>
        <w:tab/>
      </w:r>
      <w:r w:rsidRPr="00A05F5D">
        <w:rPr>
          <w:sz w:val="24"/>
          <w:szCs w:val="24"/>
        </w:rPr>
        <w:t xml:space="preserve">Information Center (PIC), Operating Subsidy, Capital Subsidy, and Public Housing Financial </w:t>
      </w:r>
      <w:r>
        <w:rPr>
          <w:sz w:val="24"/>
          <w:szCs w:val="24"/>
        </w:rPr>
        <w:tab/>
      </w:r>
      <w:r w:rsidRPr="00A05F5D">
        <w:rPr>
          <w:sz w:val="24"/>
          <w:szCs w:val="24"/>
        </w:rPr>
        <w:t xml:space="preserve">Assessment Sub-System (FASS-PH). When users enter the Development Number in cell A8 of the </w:t>
      </w:r>
      <w:r>
        <w:rPr>
          <w:sz w:val="24"/>
          <w:szCs w:val="24"/>
        </w:rPr>
        <w:tab/>
      </w:r>
      <w:r w:rsidRPr="00A05F5D">
        <w:rPr>
          <w:sz w:val="24"/>
          <w:szCs w:val="24"/>
        </w:rPr>
        <w:t xml:space="preserve">“PHA App Form,” the “Validation” worksheet pulls data specific to that project from the hidden and </w:t>
      </w:r>
      <w:r>
        <w:rPr>
          <w:sz w:val="24"/>
          <w:szCs w:val="24"/>
        </w:rPr>
        <w:tab/>
      </w:r>
      <w:r w:rsidRPr="00A05F5D">
        <w:rPr>
          <w:sz w:val="24"/>
          <w:szCs w:val="24"/>
        </w:rPr>
        <w:t xml:space="preserve">locked data worksheet.  In turn, certain entries on the “PHA App Form” auto-populate (specifically the </w:t>
      </w:r>
      <w:r>
        <w:rPr>
          <w:sz w:val="24"/>
          <w:szCs w:val="24"/>
        </w:rPr>
        <w:tab/>
      </w:r>
      <w:r w:rsidRPr="00A05F5D">
        <w:rPr>
          <w:sz w:val="24"/>
          <w:szCs w:val="24"/>
        </w:rPr>
        <w:t xml:space="preserve">lines that do not have grey shading) by referencing the Validation worksheet. </w:t>
      </w:r>
    </w:p>
    <w:p w:rsidR="00A05F5D" w:rsidRPr="00A05F5D" w:rsidRDefault="00A05F5D" w:rsidP="00A05F5D">
      <w:pPr>
        <w:rPr>
          <w:sz w:val="24"/>
          <w:szCs w:val="24"/>
        </w:rPr>
      </w:pPr>
    </w:p>
    <w:p w:rsidR="00B03063" w:rsidRDefault="00355E1D">
      <w:pPr>
        <w:rPr>
          <w:sz w:val="24"/>
          <w:szCs w:val="24"/>
        </w:rPr>
      </w:pPr>
      <w:r>
        <w:rPr>
          <w:sz w:val="24"/>
          <w:szCs w:val="24"/>
        </w:rPr>
        <w:tab/>
        <w:t xml:space="preserve">Additionally, the applications are programmed to conduct mathematical computations as needed. </w:t>
      </w:r>
      <w:r w:rsidRPr="006A2B11">
        <w:rPr>
          <w:sz w:val="24"/>
          <w:szCs w:val="24"/>
        </w:rPr>
        <w:t xml:space="preserve"> </w:t>
      </w:r>
      <w:r>
        <w:rPr>
          <w:sz w:val="24"/>
          <w:szCs w:val="24"/>
        </w:rPr>
        <w:tab/>
        <w:t xml:space="preserve">Lastly, once </w:t>
      </w:r>
      <w:r w:rsidRPr="006A2B11">
        <w:rPr>
          <w:sz w:val="24"/>
          <w:szCs w:val="24"/>
        </w:rPr>
        <w:t>completed, the application</w:t>
      </w:r>
      <w:r>
        <w:rPr>
          <w:sz w:val="24"/>
          <w:szCs w:val="24"/>
        </w:rPr>
        <w:t>s automatically feed</w:t>
      </w:r>
      <w:r w:rsidRPr="006A2B11">
        <w:rPr>
          <w:sz w:val="24"/>
          <w:szCs w:val="24"/>
        </w:rPr>
        <w:t xml:space="preserve"> relevant information to additional </w:t>
      </w:r>
      <w:r>
        <w:rPr>
          <w:sz w:val="24"/>
          <w:szCs w:val="24"/>
        </w:rPr>
        <w:tab/>
      </w:r>
      <w:r w:rsidRPr="006A2B11">
        <w:rPr>
          <w:sz w:val="24"/>
          <w:szCs w:val="24"/>
        </w:rPr>
        <w:t>required forms</w:t>
      </w:r>
      <w:r>
        <w:rPr>
          <w:sz w:val="24"/>
          <w:szCs w:val="24"/>
        </w:rPr>
        <w:t xml:space="preserve"> (where applicable); these forms include: </w:t>
      </w:r>
    </w:p>
    <w:p w:rsidR="00B03063" w:rsidRDefault="00B03063">
      <w:pPr>
        <w:rPr>
          <w:sz w:val="24"/>
          <w:szCs w:val="24"/>
        </w:rPr>
      </w:pPr>
    </w:p>
    <w:p w:rsidR="00B03063" w:rsidRDefault="00355E1D">
      <w:pPr>
        <w:pStyle w:val="ListParagraph"/>
        <w:numPr>
          <w:ilvl w:val="0"/>
          <w:numId w:val="12"/>
        </w:numPr>
        <w:rPr>
          <w:rFonts w:ascii="Times New Roman" w:hAnsi="Times New Roman" w:cs="Times New Roman"/>
          <w:sz w:val="24"/>
          <w:szCs w:val="24"/>
        </w:rPr>
      </w:pPr>
      <w:r w:rsidRPr="00635198">
        <w:rPr>
          <w:rFonts w:ascii="Times New Roman" w:hAnsi="Times New Roman" w:cs="Times New Roman"/>
          <w:sz w:val="24"/>
          <w:szCs w:val="24"/>
        </w:rPr>
        <w:t xml:space="preserve">Board Approval Form </w:t>
      </w:r>
    </w:p>
    <w:p w:rsidR="00B03063" w:rsidRDefault="00355E1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Financing Letter of Intent</w:t>
      </w:r>
    </w:p>
    <w:p w:rsidR="00B03063" w:rsidRDefault="00355E1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Mixed Income Affidavit</w:t>
      </w:r>
    </w:p>
    <w:p w:rsidR="00B03063" w:rsidRDefault="00355E1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Choice Mobility Letter of Agreement</w:t>
      </w:r>
    </w:p>
    <w:p w:rsidR="00B03063" w:rsidRDefault="00355E1D">
      <w:pPr>
        <w:rPr>
          <w:sz w:val="24"/>
          <w:szCs w:val="24"/>
        </w:rPr>
      </w:pPr>
      <w:r>
        <w:rPr>
          <w:sz w:val="24"/>
          <w:szCs w:val="24"/>
        </w:rPr>
        <w:tab/>
      </w:r>
      <w:r w:rsidRPr="006A2B11">
        <w:rPr>
          <w:sz w:val="24"/>
          <w:szCs w:val="24"/>
        </w:rPr>
        <w:t xml:space="preserve"> The application</w:t>
      </w:r>
      <w:r>
        <w:rPr>
          <w:sz w:val="24"/>
          <w:szCs w:val="24"/>
        </w:rPr>
        <w:t>s</w:t>
      </w:r>
      <w:r w:rsidRPr="006A2B11">
        <w:rPr>
          <w:sz w:val="24"/>
          <w:szCs w:val="24"/>
        </w:rPr>
        <w:t xml:space="preserve"> can be accessed and submitted through the RAD website.  </w:t>
      </w:r>
    </w:p>
    <w:p w:rsidR="00B03063" w:rsidRDefault="00B03063">
      <w:pPr>
        <w:rPr>
          <w:sz w:val="24"/>
          <w:szCs w:val="24"/>
        </w:rPr>
      </w:pPr>
    </w:p>
    <w:p w:rsidR="00B03063" w:rsidRDefault="00355E1D">
      <w:pPr>
        <w:pStyle w:val="ListParagraph"/>
        <w:numPr>
          <w:ilvl w:val="0"/>
          <w:numId w:val="11"/>
        </w:numPr>
        <w:rPr>
          <w:rFonts w:ascii="Times New Roman" w:hAnsi="Times New Roman" w:cs="Times New Roman"/>
          <w:sz w:val="24"/>
          <w:szCs w:val="24"/>
        </w:rPr>
      </w:pPr>
      <w:r w:rsidRPr="00C94FA4">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rsidR="00B03063" w:rsidRDefault="00355E1D">
      <w:pPr>
        <w:pStyle w:val="ListParagraph"/>
        <w:ind w:left="0"/>
        <w:rPr>
          <w:rFonts w:ascii="Times New Roman" w:hAnsi="Times New Roman" w:cs="Times New Roman"/>
          <w:sz w:val="24"/>
          <w:szCs w:val="24"/>
        </w:rPr>
      </w:pPr>
      <w:r>
        <w:rPr>
          <w:rFonts w:ascii="Times New Roman" w:hAnsi="Times New Roman" w:cs="Times New Roman"/>
          <w:sz w:val="24"/>
          <w:szCs w:val="24"/>
        </w:rPr>
        <w:tab/>
      </w:r>
    </w:p>
    <w:p w:rsidR="00B03063" w:rsidRDefault="008A5135">
      <w:pPr>
        <w:pStyle w:val="ListParagraph"/>
        <w:rPr>
          <w:rFonts w:ascii="Times New Roman" w:hAnsi="Times New Roman" w:cs="Times New Roman"/>
          <w:sz w:val="24"/>
          <w:szCs w:val="24"/>
        </w:rPr>
      </w:pPr>
      <w:r>
        <w:rPr>
          <w:rFonts w:ascii="Times New Roman" w:hAnsi="Times New Roman" w:cs="Times New Roman"/>
          <w:sz w:val="24"/>
          <w:szCs w:val="24"/>
        </w:rPr>
        <w:t>HUD’s</w:t>
      </w:r>
      <w:r w:rsidR="00355E1D" w:rsidRPr="006A2B11">
        <w:rPr>
          <w:rFonts w:ascii="Times New Roman" w:hAnsi="Times New Roman" w:cs="Times New Roman"/>
          <w:sz w:val="24"/>
          <w:szCs w:val="24"/>
        </w:rPr>
        <w:t xml:space="preserve"> Office of Public and Indian Housing</w:t>
      </w:r>
      <w:r w:rsidR="00947522">
        <w:rPr>
          <w:rFonts w:ascii="Times New Roman" w:hAnsi="Times New Roman" w:cs="Times New Roman"/>
          <w:sz w:val="24"/>
          <w:szCs w:val="24"/>
        </w:rPr>
        <w:t xml:space="preserve"> </w:t>
      </w:r>
      <w:r w:rsidR="00355E1D" w:rsidRPr="006A2B11">
        <w:rPr>
          <w:rFonts w:ascii="Times New Roman" w:hAnsi="Times New Roman" w:cs="Times New Roman"/>
          <w:sz w:val="24"/>
          <w:szCs w:val="24"/>
        </w:rPr>
        <w:t xml:space="preserve">provides funding to Public Housing Agencies (PHAs) to administer assisted housing programs. The Department </w:t>
      </w:r>
      <w:r w:rsidR="00355E1D">
        <w:rPr>
          <w:rFonts w:ascii="Times New Roman" w:hAnsi="Times New Roman" w:cs="Times New Roman"/>
          <w:sz w:val="24"/>
          <w:szCs w:val="24"/>
        </w:rPr>
        <w:t xml:space="preserve">collects and </w:t>
      </w:r>
      <w:r w:rsidR="00355E1D" w:rsidRPr="006A2B11">
        <w:rPr>
          <w:rFonts w:ascii="Times New Roman" w:hAnsi="Times New Roman" w:cs="Times New Roman"/>
          <w:sz w:val="24"/>
          <w:szCs w:val="24"/>
        </w:rPr>
        <w:t>maintain</w:t>
      </w:r>
      <w:r w:rsidR="00355E1D">
        <w:rPr>
          <w:rFonts w:ascii="Times New Roman" w:hAnsi="Times New Roman" w:cs="Times New Roman"/>
          <w:sz w:val="24"/>
          <w:szCs w:val="24"/>
        </w:rPr>
        <w:t xml:space="preserve">s information for each PHA which </w:t>
      </w:r>
      <w:r w:rsidR="00355E1D" w:rsidRPr="006A2B11">
        <w:rPr>
          <w:rFonts w:ascii="Times New Roman" w:hAnsi="Times New Roman" w:cs="Times New Roman"/>
          <w:sz w:val="24"/>
          <w:szCs w:val="24"/>
        </w:rPr>
        <w:t>allows HUD to mo</w:t>
      </w:r>
      <w:r w:rsidR="00355E1D">
        <w:rPr>
          <w:rFonts w:ascii="Times New Roman" w:hAnsi="Times New Roman" w:cs="Times New Roman"/>
          <w:sz w:val="24"/>
          <w:szCs w:val="24"/>
        </w:rPr>
        <w:t xml:space="preserve">nitor and evaluate </w:t>
      </w:r>
      <w:r w:rsidR="00355E1D" w:rsidRPr="006A2B11">
        <w:rPr>
          <w:rFonts w:ascii="Times New Roman" w:hAnsi="Times New Roman" w:cs="Times New Roman"/>
          <w:sz w:val="24"/>
          <w:szCs w:val="24"/>
        </w:rPr>
        <w:t>compliance with program reg</w:t>
      </w:r>
      <w:r w:rsidR="00355E1D">
        <w:rPr>
          <w:rFonts w:ascii="Times New Roman" w:hAnsi="Times New Roman" w:cs="Times New Roman"/>
          <w:sz w:val="24"/>
          <w:szCs w:val="24"/>
        </w:rPr>
        <w:t xml:space="preserve">ulations and requirements. This </w:t>
      </w:r>
      <w:r w:rsidR="00355E1D" w:rsidRPr="006A2B11">
        <w:rPr>
          <w:rFonts w:ascii="Times New Roman" w:hAnsi="Times New Roman" w:cs="Times New Roman"/>
          <w:sz w:val="24"/>
          <w:szCs w:val="24"/>
        </w:rPr>
        <w:t xml:space="preserve">information includes tenant </w:t>
      </w:r>
      <w:r w:rsidR="00947522">
        <w:rPr>
          <w:rFonts w:ascii="Times New Roman" w:hAnsi="Times New Roman" w:cs="Times New Roman"/>
          <w:sz w:val="24"/>
          <w:szCs w:val="24"/>
        </w:rPr>
        <w:t>characteristics</w:t>
      </w:r>
      <w:r w:rsidR="00355E1D" w:rsidRPr="006A2B11">
        <w:rPr>
          <w:rFonts w:ascii="Times New Roman" w:hAnsi="Times New Roman" w:cs="Times New Roman"/>
          <w:sz w:val="24"/>
          <w:szCs w:val="24"/>
        </w:rPr>
        <w:t xml:space="preserve">, building and unit information, </w:t>
      </w:r>
      <w:r w:rsidR="00947522">
        <w:rPr>
          <w:rFonts w:ascii="Times New Roman" w:hAnsi="Times New Roman" w:cs="Times New Roman"/>
          <w:sz w:val="24"/>
          <w:szCs w:val="24"/>
        </w:rPr>
        <w:t xml:space="preserve">and data on </w:t>
      </w:r>
      <w:r w:rsidR="00355E1D" w:rsidRPr="006A2B11">
        <w:rPr>
          <w:rFonts w:ascii="Times New Roman" w:hAnsi="Times New Roman" w:cs="Times New Roman"/>
          <w:sz w:val="24"/>
          <w:szCs w:val="24"/>
        </w:rPr>
        <w:t>operating and capital funding and expenditures.</w:t>
      </w:r>
      <w:r w:rsidR="00947522">
        <w:rPr>
          <w:rFonts w:ascii="Times New Roman" w:hAnsi="Times New Roman" w:cs="Times New Roman"/>
          <w:sz w:val="24"/>
          <w:szCs w:val="24"/>
        </w:rPr>
        <w:t xml:space="preserve"> </w:t>
      </w:r>
      <w:r w:rsidR="00355E1D" w:rsidRPr="006A2B11">
        <w:rPr>
          <w:rFonts w:ascii="Times New Roman" w:hAnsi="Times New Roman" w:cs="Times New Roman"/>
          <w:sz w:val="24"/>
          <w:szCs w:val="24"/>
        </w:rPr>
        <w:t xml:space="preserve"> The RAD application</w:t>
      </w:r>
      <w:r w:rsidR="00355E1D">
        <w:rPr>
          <w:rFonts w:ascii="Times New Roman" w:hAnsi="Times New Roman" w:cs="Times New Roman"/>
          <w:sz w:val="24"/>
          <w:szCs w:val="24"/>
        </w:rPr>
        <w:t xml:space="preserve"> utilize</w:t>
      </w:r>
      <w:r w:rsidR="0047403D">
        <w:rPr>
          <w:rFonts w:ascii="Times New Roman" w:hAnsi="Times New Roman" w:cs="Times New Roman"/>
          <w:sz w:val="24"/>
          <w:szCs w:val="24"/>
        </w:rPr>
        <w:t>s</w:t>
      </w:r>
      <w:r w:rsidR="00355E1D">
        <w:rPr>
          <w:rFonts w:ascii="Times New Roman" w:hAnsi="Times New Roman" w:cs="Times New Roman"/>
          <w:sz w:val="24"/>
          <w:szCs w:val="24"/>
        </w:rPr>
        <w:t xml:space="preserve"> this information and do</w:t>
      </w:r>
      <w:r w:rsidR="0047403D">
        <w:rPr>
          <w:rFonts w:ascii="Times New Roman" w:hAnsi="Times New Roman" w:cs="Times New Roman"/>
          <w:sz w:val="24"/>
          <w:szCs w:val="24"/>
        </w:rPr>
        <w:t>es</w:t>
      </w:r>
      <w:r w:rsidR="00355E1D" w:rsidRPr="006A2B11">
        <w:rPr>
          <w:rFonts w:ascii="Times New Roman" w:hAnsi="Times New Roman" w:cs="Times New Roman"/>
          <w:sz w:val="24"/>
          <w:szCs w:val="24"/>
        </w:rPr>
        <w:t xml:space="preserve"> not s</w:t>
      </w:r>
      <w:r w:rsidR="00355E1D">
        <w:rPr>
          <w:rFonts w:ascii="Times New Roman" w:hAnsi="Times New Roman" w:cs="Times New Roman"/>
          <w:sz w:val="24"/>
          <w:szCs w:val="24"/>
        </w:rPr>
        <w:t xml:space="preserve">olicit any information that the </w:t>
      </w:r>
      <w:r w:rsidR="00355E1D" w:rsidRPr="006A2B11">
        <w:rPr>
          <w:rFonts w:ascii="Times New Roman" w:hAnsi="Times New Roman" w:cs="Times New Roman"/>
          <w:sz w:val="24"/>
          <w:szCs w:val="24"/>
        </w:rPr>
        <w:t xml:space="preserve">Department has already collected.                                                    </w:t>
      </w:r>
    </w:p>
    <w:p w:rsidR="00B03063" w:rsidRDefault="00355E1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p w:rsidR="00B03063" w:rsidRDefault="00355E1D">
      <w:pPr>
        <w:pStyle w:val="ListParagraph"/>
        <w:numPr>
          <w:ilvl w:val="0"/>
          <w:numId w:val="11"/>
        </w:numPr>
        <w:rPr>
          <w:rFonts w:ascii="Times New Roman" w:hAnsi="Times New Roman" w:cs="Times New Roman"/>
          <w:sz w:val="24"/>
          <w:szCs w:val="24"/>
        </w:rPr>
      </w:pPr>
      <w:r w:rsidRPr="006A2B11">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B03063" w:rsidRDefault="00B03063">
      <w:pPr>
        <w:pStyle w:val="ListParagraph"/>
        <w:spacing w:after="0" w:line="240" w:lineRule="auto"/>
        <w:ind w:left="0"/>
        <w:rPr>
          <w:rFonts w:ascii="Times New Roman" w:hAnsi="Times New Roman" w:cs="Times New Roman"/>
          <w:b/>
          <w:sz w:val="24"/>
          <w:szCs w:val="24"/>
        </w:rPr>
      </w:pPr>
    </w:p>
    <w:p w:rsidR="00B03063" w:rsidRDefault="00355E1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Pr="006A2B11">
        <w:rPr>
          <w:rFonts w:ascii="Times New Roman" w:hAnsi="Times New Roman" w:cs="Times New Roman"/>
          <w:sz w:val="24"/>
          <w:szCs w:val="24"/>
        </w:rPr>
        <w:t>This information collection has no impact on small businesses or other small entities.</w:t>
      </w:r>
    </w:p>
    <w:p w:rsidR="00B03063" w:rsidRDefault="00B03063">
      <w:pPr>
        <w:pStyle w:val="ListParagraph"/>
        <w:autoSpaceDE w:val="0"/>
        <w:autoSpaceDN w:val="0"/>
        <w:adjustRightInd w:val="0"/>
        <w:spacing w:after="0" w:line="240" w:lineRule="auto"/>
        <w:ind w:left="0"/>
        <w:rPr>
          <w:rFonts w:ascii="Times New Roman" w:hAnsi="Times New Roman" w:cs="Times New Roman"/>
          <w:b/>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6A2B11">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B03063" w:rsidRDefault="00B03063">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Default="00355E1D" w:rsidP="0047403D">
      <w:pPr>
        <w:pStyle w:val="ListParagraph"/>
        <w:autoSpaceDE w:val="0"/>
        <w:autoSpaceDN w:val="0"/>
        <w:adjustRightInd w:val="0"/>
        <w:spacing w:after="0" w:line="240" w:lineRule="auto"/>
        <w:rPr>
          <w:rFonts w:ascii="Times New Roman" w:hAnsi="Times New Roman" w:cs="Times New Roman"/>
          <w:sz w:val="24"/>
          <w:szCs w:val="24"/>
        </w:rPr>
      </w:pPr>
      <w:r w:rsidRPr="006A2B11">
        <w:rPr>
          <w:rFonts w:ascii="Times New Roman" w:hAnsi="Times New Roman" w:cs="Times New Roman"/>
          <w:sz w:val="24"/>
          <w:szCs w:val="24"/>
        </w:rPr>
        <w:t>Public Housing Authorities</w:t>
      </w:r>
      <w:r>
        <w:rPr>
          <w:rFonts w:ascii="Times New Roman" w:hAnsi="Times New Roman" w:cs="Times New Roman"/>
          <w:sz w:val="24"/>
          <w:szCs w:val="24"/>
        </w:rPr>
        <w:t xml:space="preserve"> </w:t>
      </w:r>
      <w:r w:rsidRPr="006A2B11">
        <w:rPr>
          <w:rFonts w:ascii="Times New Roman" w:hAnsi="Times New Roman" w:cs="Times New Roman"/>
          <w:sz w:val="24"/>
          <w:szCs w:val="24"/>
        </w:rPr>
        <w:t xml:space="preserve">interested in participating in the Demonstration are required </w:t>
      </w:r>
      <w:r>
        <w:rPr>
          <w:rFonts w:ascii="Times New Roman" w:hAnsi="Times New Roman" w:cs="Times New Roman"/>
          <w:sz w:val="24"/>
          <w:szCs w:val="24"/>
        </w:rPr>
        <w:t xml:space="preserve">to submit </w:t>
      </w:r>
      <w:r w:rsidRPr="006A2B11">
        <w:rPr>
          <w:rFonts w:ascii="Times New Roman" w:hAnsi="Times New Roman" w:cs="Times New Roman"/>
          <w:sz w:val="24"/>
          <w:szCs w:val="24"/>
        </w:rPr>
        <w:t>applications to HUD. Failure to collect this information would impede upon the Department’s ability to determine eligibility for participation in RAD.</w:t>
      </w:r>
    </w:p>
    <w:p w:rsidR="00B03063" w:rsidRDefault="00B03063">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lastRenderedPageBreak/>
        <w:t>Explain any special circumstances that would cause an information collection to be conducted in a manner:</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Requiring respondents to report information to the agency more often than quarterly;</w:t>
      </w:r>
    </w:p>
    <w:p w:rsidR="00355E1D" w:rsidRPr="006A2B11" w:rsidRDefault="00355E1D" w:rsidP="008105F1">
      <w:pPr>
        <w:rPr>
          <w:sz w:val="24"/>
          <w:szCs w:val="24"/>
        </w:rPr>
      </w:pPr>
    </w:p>
    <w:p w:rsidR="00B03063" w:rsidRDefault="00355E1D">
      <w:pPr>
        <w:rPr>
          <w:sz w:val="24"/>
          <w:szCs w:val="24"/>
        </w:rPr>
      </w:pPr>
      <w:r>
        <w:rPr>
          <w:sz w:val="24"/>
          <w:szCs w:val="24"/>
        </w:rPr>
        <w:tab/>
      </w:r>
      <w:r w:rsidRPr="006A2B11">
        <w:rPr>
          <w:sz w:val="24"/>
          <w:szCs w:val="24"/>
        </w:rPr>
        <w:t xml:space="preserve">None </w:t>
      </w:r>
    </w:p>
    <w:p w:rsidR="00B03063" w:rsidRDefault="00B03063">
      <w:pPr>
        <w:rPr>
          <w:sz w:val="24"/>
          <w:szCs w:val="24"/>
        </w:rPr>
      </w:pPr>
    </w:p>
    <w:p w:rsidR="00B03063" w:rsidRDefault="00355E1D">
      <w:pPr>
        <w:rPr>
          <w:b/>
          <w:sz w:val="24"/>
          <w:szCs w:val="24"/>
        </w:rPr>
      </w:pPr>
      <w:r>
        <w:rPr>
          <w:b/>
          <w:sz w:val="24"/>
          <w:szCs w:val="24"/>
        </w:rPr>
        <w:tab/>
      </w:r>
      <w:r w:rsidRPr="006A2B11">
        <w:rPr>
          <w:b/>
          <w:sz w:val="24"/>
          <w:szCs w:val="24"/>
        </w:rPr>
        <w:t xml:space="preserve">* Requiring respondents to prepare a written response to a collection of information in fewer than </w:t>
      </w:r>
      <w:r>
        <w:rPr>
          <w:b/>
          <w:sz w:val="24"/>
          <w:szCs w:val="24"/>
        </w:rPr>
        <w:tab/>
      </w:r>
      <w:r w:rsidRPr="006A2B11">
        <w:rPr>
          <w:b/>
          <w:sz w:val="24"/>
          <w:szCs w:val="24"/>
        </w:rPr>
        <w:t>30 days after receipt of it;</w:t>
      </w:r>
    </w:p>
    <w:p w:rsidR="00B03063" w:rsidRDefault="00B03063">
      <w:pPr>
        <w:rPr>
          <w:sz w:val="24"/>
          <w:szCs w:val="24"/>
        </w:rPr>
      </w:pPr>
    </w:p>
    <w:p w:rsidR="00B03063" w:rsidRDefault="00355E1D">
      <w:pPr>
        <w:rPr>
          <w:sz w:val="24"/>
          <w:szCs w:val="24"/>
        </w:rPr>
      </w:pPr>
      <w:r>
        <w:rPr>
          <w:sz w:val="24"/>
          <w:szCs w:val="24"/>
        </w:rPr>
        <w:tab/>
      </w:r>
      <w:r w:rsidRPr="006A2B11">
        <w:rPr>
          <w:sz w:val="24"/>
          <w:szCs w:val="24"/>
        </w:rPr>
        <w:t>None</w:t>
      </w:r>
    </w:p>
    <w:p w:rsidR="00B03063" w:rsidRDefault="00355E1D">
      <w:pPr>
        <w:rPr>
          <w:b/>
          <w:sz w:val="24"/>
          <w:szCs w:val="24"/>
        </w:rPr>
      </w:pPr>
      <w:r w:rsidRPr="006A2B11">
        <w:rPr>
          <w:b/>
          <w:sz w:val="24"/>
          <w:szCs w:val="24"/>
        </w:rPr>
        <w:tab/>
      </w:r>
    </w:p>
    <w:p w:rsidR="00B03063" w:rsidRDefault="00355E1D">
      <w:pPr>
        <w:rPr>
          <w:b/>
          <w:sz w:val="24"/>
          <w:szCs w:val="24"/>
        </w:rPr>
      </w:pPr>
      <w:r>
        <w:rPr>
          <w:b/>
          <w:sz w:val="24"/>
          <w:szCs w:val="24"/>
        </w:rPr>
        <w:tab/>
      </w:r>
      <w:r w:rsidRPr="006A2B11">
        <w:rPr>
          <w:b/>
          <w:sz w:val="24"/>
          <w:szCs w:val="24"/>
        </w:rPr>
        <w:t>* Requiring respondents to submit more than an original and two copies of any document;</w:t>
      </w:r>
    </w:p>
    <w:p w:rsidR="00B03063" w:rsidRDefault="00B03063">
      <w:pPr>
        <w:rPr>
          <w:b/>
          <w:sz w:val="24"/>
          <w:szCs w:val="24"/>
        </w:rPr>
      </w:pPr>
    </w:p>
    <w:p w:rsidR="00B03063" w:rsidRDefault="00355E1D">
      <w:pPr>
        <w:rPr>
          <w:b/>
          <w:sz w:val="24"/>
          <w:szCs w:val="24"/>
        </w:rPr>
      </w:pPr>
      <w:r>
        <w:rPr>
          <w:sz w:val="24"/>
          <w:szCs w:val="24"/>
        </w:rPr>
        <w:tab/>
      </w:r>
      <w:r w:rsidRPr="006A2B11">
        <w:rPr>
          <w:sz w:val="24"/>
          <w:szCs w:val="24"/>
        </w:rPr>
        <w:t>None</w:t>
      </w:r>
      <w:r w:rsidRPr="006A2B11">
        <w:rPr>
          <w:b/>
          <w:sz w:val="24"/>
          <w:szCs w:val="24"/>
        </w:rPr>
        <w:tab/>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Requiring respondents to retain records, other than health, medical, government contract, </w:t>
      </w:r>
      <w:r>
        <w:rPr>
          <w:b/>
          <w:sz w:val="24"/>
          <w:szCs w:val="24"/>
        </w:rPr>
        <w:tab/>
      </w:r>
      <w:r w:rsidRPr="006A2B11">
        <w:rPr>
          <w:b/>
          <w:sz w:val="24"/>
          <w:szCs w:val="24"/>
        </w:rPr>
        <w:t>grant-in-aid, or tax records, for more than three years;</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None</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In connection with a statistical survey, that is not designed to produce valid and reliable results </w:t>
      </w:r>
      <w:r>
        <w:rPr>
          <w:b/>
          <w:sz w:val="24"/>
          <w:szCs w:val="24"/>
        </w:rPr>
        <w:tab/>
      </w:r>
      <w:r w:rsidRPr="006A2B11">
        <w:rPr>
          <w:b/>
          <w:sz w:val="24"/>
          <w:szCs w:val="24"/>
        </w:rPr>
        <w:t>that can be generalized to the universe of study;</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None</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Requiring the use of a statistical data classification that has not been reviewed and </w:t>
      </w:r>
      <w:r>
        <w:rPr>
          <w:b/>
          <w:sz w:val="24"/>
          <w:szCs w:val="24"/>
        </w:rPr>
        <w:tab/>
      </w:r>
      <w:r w:rsidRPr="006A2B11">
        <w:rPr>
          <w:b/>
          <w:sz w:val="24"/>
          <w:szCs w:val="24"/>
        </w:rPr>
        <w:t>approved by OMB;</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None</w:t>
      </w:r>
    </w:p>
    <w:p w:rsidR="00B03063" w:rsidRDefault="00B03063">
      <w:pPr>
        <w:rPr>
          <w:sz w:val="24"/>
          <w:szCs w:val="24"/>
        </w:rPr>
      </w:pPr>
    </w:p>
    <w:p w:rsidR="00B03063" w:rsidRDefault="00355E1D">
      <w:pPr>
        <w:rPr>
          <w:b/>
          <w:sz w:val="24"/>
          <w:szCs w:val="24"/>
        </w:rPr>
      </w:pPr>
      <w:r>
        <w:rPr>
          <w:b/>
          <w:sz w:val="24"/>
          <w:szCs w:val="24"/>
        </w:rPr>
        <w:tab/>
      </w:r>
      <w:r w:rsidRPr="006A2B11">
        <w:rPr>
          <w:b/>
          <w:sz w:val="24"/>
          <w:szCs w:val="24"/>
        </w:rPr>
        <w:t xml:space="preserve">*That includes a pledge of confidentiality that is not supported by authority established in statute </w:t>
      </w:r>
      <w:r>
        <w:rPr>
          <w:b/>
          <w:sz w:val="24"/>
          <w:szCs w:val="24"/>
        </w:rPr>
        <w:tab/>
      </w:r>
      <w:r w:rsidRPr="006A2B11">
        <w:rPr>
          <w:b/>
          <w:sz w:val="24"/>
          <w:szCs w:val="24"/>
        </w:rPr>
        <w:t xml:space="preserve">or regulation, that is not supported by disclosure and data security policies that are consistent </w:t>
      </w:r>
      <w:r>
        <w:rPr>
          <w:b/>
          <w:sz w:val="24"/>
          <w:szCs w:val="24"/>
        </w:rPr>
        <w:tab/>
      </w:r>
      <w:r w:rsidRPr="006A2B11">
        <w:rPr>
          <w:b/>
          <w:sz w:val="24"/>
          <w:szCs w:val="24"/>
        </w:rPr>
        <w:t xml:space="preserve">with the pledge, or which unnecessarily impedes </w:t>
      </w:r>
      <w:r>
        <w:rPr>
          <w:b/>
          <w:sz w:val="24"/>
          <w:szCs w:val="24"/>
        </w:rPr>
        <w:tab/>
      </w:r>
      <w:r w:rsidRPr="006A2B11">
        <w:rPr>
          <w:b/>
          <w:sz w:val="24"/>
          <w:szCs w:val="24"/>
        </w:rPr>
        <w:t xml:space="preserve">sharing of data with other agencies for </w:t>
      </w:r>
      <w:r>
        <w:rPr>
          <w:b/>
          <w:sz w:val="24"/>
          <w:szCs w:val="24"/>
        </w:rPr>
        <w:tab/>
      </w:r>
      <w:r w:rsidRPr="006A2B11">
        <w:rPr>
          <w:b/>
          <w:sz w:val="24"/>
          <w:szCs w:val="24"/>
        </w:rPr>
        <w:t xml:space="preserve">compatible confidential use; or  </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None</w:t>
      </w:r>
    </w:p>
    <w:p w:rsidR="00B03063" w:rsidRDefault="00B03063">
      <w:pPr>
        <w:rPr>
          <w:sz w:val="24"/>
          <w:szCs w:val="24"/>
        </w:rPr>
      </w:pPr>
    </w:p>
    <w:p w:rsidR="00B03063" w:rsidRDefault="00355E1D">
      <w:pPr>
        <w:rPr>
          <w:b/>
          <w:sz w:val="24"/>
          <w:szCs w:val="24"/>
        </w:rPr>
      </w:pPr>
      <w:r>
        <w:rPr>
          <w:b/>
          <w:sz w:val="24"/>
          <w:szCs w:val="24"/>
        </w:rPr>
        <w:tab/>
      </w:r>
      <w:r w:rsidRPr="006A2B11">
        <w:rPr>
          <w:b/>
          <w:sz w:val="24"/>
          <w:szCs w:val="24"/>
        </w:rPr>
        <w:t xml:space="preserve">* Requiring respondents to submit proprietary trade secrets, or other confidential information </w:t>
      </w:r>
      <w:r>
        <w:rPr>
          <w:b/>
          <w:sz w:val="24"/>
          <w:szCs w:val="24"/>
        </w:rPr>
        <w:tab/>
      </w:r>
      <w:r w:rsidRPr="006A2B11">
        <w:rPr>
          <w:b/>
          <w:sz w:val="24"/>
          <w:szCs w:val="24"/>
        </w:rPr>
        <w:t xml:space="preserve">unless the agency can demonstrate that it has instituted procedures to </w:t>
      </w:r>
      <w:r>
        <w:rPr>
          <w:b/>
          <w:sz w:val="24"/>
          <w:szCs w:val="24"/>
        </w:rPr>
        <w:tab/>
      </w:r>
      <w:r w:rsidRPr="006A2B11">
        <w:rPr>
          <w:b/>
          <w:sz w:val="24"/>
          <w:szCs w:val="24"/>
        </w:rPr>
        <w:t xml:space="preserve">protect the information's </w:t>
      </w:r>
      <w:r>
        <w:rPr>
          <w:b/>
          <w:sz w:val="24"/>
          <w:szCs w:val="24"/>
        </w:rPr>
        <w:tab/>
      </w:r>
      <w:r w:rsidRPr="006A2B11">
        <w:rPr>
          <w:b/>
          <w:sz w:val="24"/>
          <w:szCs w:val="24"/>
        </w:rPr>
        <w:t>confidentiality to the extent permitted by law.</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None</w:t>
      </w:r>
    </w:p>
    <w:p w:rsidR="00B03063" w:rsidRDefault="00B03063">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876FCC">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DB7B62" w:rsidRDefault="00355E1D">
      <w:pPr>
        <w:rPr>
          <w:sz w:val="24"/>
          <w:szCs w:val="24"/>
        </w:rPr>
      </w:pPr>
      <w:r>
        <w:rPr>
          <w:sz w:val="24"/>
          <w:szCs w:val="24"/>
        </w:rPr>
        <w:tab/>
      </w:r>
    </w:p>
    <w:p w:rsidR="00E65EA6" w:rsidRPr="00E65EA6" w:rsidRDefault="00DB7B62">
      <w:pPr>
        <w:rPr>
          <w:sz w:val="24"/>
          <w:szCs w:val="24"/>
        </w:rPr>
      </w:pPr>
      <w:r>
        <w:rPr>
          <w:sz w:val="24"/>
          <w:szCs w:val="24"/>
        </w:rPr>
        <w:tab/>
      </w:r>
      <w:r w:rsidR="005A3D90" w:rsidRPr="00E65EA6">
        <w:rPr>
          <w:sz w:val="24"/>
          <w:szCs w:val="24"/>
        </w:rPr>
        <w:t xml:space="preserve">This information collection was announced in the </w:t>
      </w:r>
      <w:r w:rsidR="005A3D90" w:rsidRPr="00E65EA6">
        <w:rPr>
          <w:i/>
          <w:sz w:val="24"/>
          <w:szCs w:val="24"/>
        </w:rPr>
        <w:t>Federal Register</w:t>
      </w:r>
      <w:r w:rsidR="005A3D90" w:rsidRPr="00E65EA6">
        <w:rPr>
          <w:sz w:val="24"/>
          <w:szCs w:val="24"/>
        </w:rPr>
        <w:t>, Vol</w:t>
      </w:r>
      <w:r w:rsidRPr="00E65EA6">
        <w:rPr>
          <w:sz w:val="24"/>
          <w:szCs w:val="24"/>
        </w:rPr>
        <w:t>ume</w:t>
      </w:r>
      <w:r w:rsidR="00D6626A" w:rsidRPr="00E65EA6">
        <w:rPr>
          <w:sz w:val="24"/>
          <w:szCs w:val="24"/>
        </w:rPr>
        <w:t xml:space="preserve"> </w:t>
      </w:r>
      <w:r w:rsidR="00E65EA6" w:rsidRPr="00E65EA6">
        <w:rPr>
          <w:sz w:val="24"/>
          <w:szCs w:val="24"/>
        </w:rPr>
        <w:t>80, No. 147</w:t>
      </w:r>
      <w:r w:rsidRPr="00E65EA6">
        <w:rPr>
          <w:sz w:val="24"/>
          <w:szCs w:val="24"/>
        </w:rPr>
        <w:t xml:space="preserve">, on </w:t>
      </w:r>
      <w:r w:rsidR="00E65EA6" w:rsidRPr="00E65EA6">
        <w:rPr>
          <w:sz w:val="24"/>
          <w:szCs w:val="24"/>
        </w:rPr>
        <w:t xml:space="preserve">July 31, </w:t>
      </w:r>
    </w:p>
    <w:p w:rsidR="005A3D90" w:rsidRDefault="00E65EA6" w:rsidP="00E65EA6">
      <w:pPr>
        <w:ind w:firstLine="720"/>
        <w:rPr>
          <w:sz w:val="24"/>
          <w:szCs w:val="24"/>
        </w:rPr>
      </w:pPr>
      <w:r w:rsidRPr="00E65EA6">
        <w:rPr>
          <w:sz w:val="24"/>
          <w:szCs w:val="24"/>
        </w:rPr>
        <w:t>2015</w:t>
      </w:r>
      <w:r w:rsidR="005A3D90" w:rsidRPr="00E65EA6">
        <w:rPr>
          <w:sz w:val="24"/>
          <w:szCs w:val="24"/>
        </w:rPr>
        <w:t>.</w:t>
      </w:r>
      <w:r w:rsidR="000256F3">
        <w:rPr>
          <w:sz w:val="24"/>
          <w:szCs w:val="24"/>
        </w:rPr>
        <w:t xml:space="preserve"> No comments received.</w:t>
      </w:r>
      <w:bookmarkStart w:id="11" w:name="_GoBack"/>
      <w:bookmarkEnd w:id="11"/>
    </w:p>
    <w:p w:rsidR="00B03063" w:rsidRDefault="00355E1D">
      <w:pPr>
        <w:rPr>
          <w:b/>
          <w:sz w:val="24"/>
          <w:szCs w:val="24"/>
        </w:rPr>
      </w:pPr>
      <w:r>
        <w:rPr>
          <w:sz w:val="24"/>
          <w:szCs w:val="24"/>
        </w:rPr>
        <w:tab/>
      </w: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lastRenderedPageBreak/>
        <w:t>Explain any decision to provide any payment or gift to respondents, other than remuneration of contractors or grantees.</w:t>
      </w:r>
    </w:p>
    <w:p w:rsidR="00B03063" w:rsidRDefault="00B03063">
      <w:pPr>
        <w:rPr>
          <w:b/>
          <w:sz w:val="24"/>
          <w:szCs w:val="24"/>
        </w:rPr>
      </w:pPr>
    </w:p>
    <w:p w:rsidR="00B03063" w:rsidRDefault="00355E1D">
      <w:pPr>
        <w:rPr>
          <w:sz w:val="24"/>
          <w:szCs w:val="24"/>
        </w:rPr>
      </w:pPr>
      <w:r>
        <w:rPr>
          <w:sz w:val="24"/>
          <w:szCs w:val="24"/>
        </w:rPr>
        <w:tab/>
      </w:r>
      <w:r w:rsidRPr="006A2B11">
        <w:rPr>
          <w:sz w:val="24"/>
          <w:szCs w:val="24"/>
        </w:rPr>
        <w:t>No payment or gift will be granted to the respondents.</w:t>
      </w:r>
    </w:p>
    <w:p w:rsidR="00355E1D" w:rsidRDefault="00355E1D" w:rsidP="008105F1">
      <w:pPr>
        <w:rPr>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Describe any assurance of confidentiality provided to respondents and the basis for the assurance in statute, regulation, or agency policy.</w:t>
      </w:r>
    </w:p>
    <w:p w:rsidR="00B03063" w:rsidRDefault="00B03063">
      <w:pPr>
        <w:rPr>
          <w:sz w:val="24"/>
          <w:szCs w:val="24"/>
        </w:rPr>
      </w:pPr>
    </w:p>
    <w:p w:rsidR="00B03063" w:rsidRDefault="00355E1D">
      <w:pPr>
        <w:rPr>
          <w:sz w:val="24"/>
          <w:szCs w:val="24"/>
        </w:rPr>
      </w:pPr>
      <w:r>
        <w:rPr>
          <w:sz w:val="24"/>
          <w:szCs w:val="24"/>
        </w:rPr>
        <w:tab/>
      </w:r>
      <w:r w:rsidRPr="006A2B11">
        <w:rPr>
          <w:sz w:val="24"/>
          <w:szCs w:val="24"/>
        </w:rPr>
        <w:t xml:space="preserve">Assurance of confidentiality is neither provided nor needed for this information collection.  </w:t>
      </w:r>
    </w:p>
    <w:p w:rsidR="00B03063" w:rsidRDefault="00B03063">
      <w:pPr>
        <w:rPr>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3063" w:rsidRDefault="00B03063">
      <w:pPr>
        <w:rPr>
          <w:sz w:val="24"/>
          <w:szCs w:val="24"/>
        </w:rPr>
      </w:pPr>
    </w:p>
    <w:p w:rsidR="00B03063" w:rsidRDefault="00355E1D">
      <w:pPr>
        <w:rPr>
          <w:sz w:val="24"/>
          <w:szCs w:val="24"/>
        </w:rPr>
      </w:pPr>
      <w:r>
        <w:rPr>
          <w:sz w:val="24"/>
          <w:szCs w:val="24"/>
        </w:rPr>
        <w:tab/>
      </w:r>
      <w:r w:rsidRPr="006A2B11">
        <w:rPr>
          <w:sz w:val="24"/>
          <w:szCs w:val="24"/>
        </w:rPr>
        <w:t>No sensitive information is being asked by this collection.</w:t>
      </w:r>
    </w:p>
    <w:p w:rsidR="00B03063" w:rsidRDefault="00B03063">
      <w:pPr>
        <w:rPr>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estimates of the hour burden of the collection of information. The statement should:</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Indicate the number of respondents, frequency of response, annual hour burden, and an </w:t>
      </w:r>
      <w:r>
        <w:rPr>
          <w:b/>
          <w:sz w:val="24"/>
          <w:szCs w:val="24"/>
        </w:rPr>
        <w:tab/>
      </w:r>
      <w:r w:rsidRPr="006A2B11">
        <w:rPr>
          <w:b/>
          <w:sz w:val="24"/>
          <w:szCs w:val="24"/>
        </w:rPr>
        <w:t xml:space="preserve">explanation of how the burden was estimated. Unless directed to do so, agencies should not </w:t>
      </w:r>
      <w:r>
        <w:rPr>
          <w:b/>
          <w:sz w:val="24"/>
          <w:szCs w:val="24"/>
        </w:rPr>
        <w:tab/>
      </w:r>
      <w:r w:rsidRPr="006A2B11">
        <w:rPr>
          <w:b/>
          <w:sz w:val="24"/>
          <w:szCs w:val="24"/>
        </w:rPr>
        <w:t xml:space="preserve">conduct special surveys to obtain information on which to base hour burden estimates. </w:t>
      </w:r>
      <w:r>
        <w:rPr>
          <w:b/>
          <w:sz w:val="24"/>
          <w:szCs w:val="24"/>
        </w:rPr>
        <w:tab/>
      </w:r>
      <w:r w:rsidRPr="006A2B11">
        <w:rPr>
          <w:b/>
          <w:sz w:val="24"/>
          <w:szCs w:val="24"/>
        </w:rPr>
        <w:t xml:space="preserve">Consultation with a sample (fewer than 10) of potential respondents is desirable. If the hour </w:t>
      </w:r>
      <w:r>
        <w:rPr>
          <w:b/>
          <w:sz w:val="24"/>
          <w:szCs w:val="24"/>
        </w:rPr>
        <w:tab/>
      </w:r>
      <w:r w:rsidRPr="006A2B11">
        <w:rPr>
          <w:b/>
          <w:sz w:val="24"/>
          <w:szCs w:val="24"/>
        </w:rPr>
        <w:t xml:space="preserve">burden on respondents is expected to vary widely because of differences in activity, size, or </w:t>
      </w:r>
      <w:r>
        <w:rPr>
          <w:b/>
          <w:sz w:val="24"/>
          <w:szCs w:val="24"/>
        </w:rPr>
        <w:tab/>
      </w:r>
      <w:r w:rsidRPr="006A2B11">
        <w:rPr>
          <w:b/>
          <w:sz w:val="24"/>
          <w:szCs w:val="24"/>
        </w:rPr>
        <w:t xml:space="preserve">complexity, show the range of estimated hour burden, and explain the reasons for the </w:t>
      </w:r>
      <w:r>
        <w:rPr>
          <w:b/>
          <w:sz w:val="24"/>
          <w:szCs w:val="24"/>
        </w:rPr>
        <w:tab/>
      </w:r>
      <w:r w:rsidRPr="006A2B11">
        <w:rPr>
          <w:b/>
          <w:sz w:val="24"/>
          <w:szCs w:val="24"/>
        </w:rPr>
        <w:t xml:space="preserve">variance. Generally, </w:t>
      </w:r>
      <w:r>
        <w:rPr>
          <w:b/>
          <w:sz w:val="24"/>
          <w:szCs w:val="24"/>
        </w:rPr>
        <w:tab/>
      </w:r>
      <w:r w:rsidRPr="006A2B11">
        <w:rPr>
          <w:b/>
          <w:sz w:val="24"/>
          <w:szCs w:val="24"/>
        </w:rPr>
        <w:t xml:space="preserve">estimates should not include burden hours for customary and usual business </w:t>
      </w:r>
      <w:r>
        <w:rPr>
          <w:b/>
          <w:sz w:val="24"/>
          <w:szCs w:val="24"/>
        </w:rPr>
        <w:tab/>
      </w:r>
      <w:r w:rsidRPr="006A2B11">
        <w:rPr>
          <w:b/>
          <w:sz w:val="24"/>
          <w:szCs w:val="24"/>
        </w:rPr>
        <w:t>practices.</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If this request for approval covers more than one form, provide separate hour burden estimates </w:t>
      </w:r>
      <w:r>
        <w:rPr>
          <w:b/>
          <w:sz w:val="24"/>
          <w:szCs w:val="24"/>
        </w:rPr>
        <w:tab/>
      </w:r>
      <w:r w:rsidRPr="006A2B11">
        <w:rPr>
          <w:b/>
          <w:sz w:val="24"/>
          <w:szCs w:val="24"/>
        </w:rPr>
        <w:t>for each form and aggregate the hour burdens in Item 13 of OMB</w:t>
      </w:r>
      <w:r w:rsidR="00DB7B62">
        <w:rPr>
          <w:b/>
          <w:sz w:val="24"/>
          <w:szCs w:val="24"/>
        </w:rPr>
        <w:t xml:space="preserve"> </w:t>
      </w:r>
      <w:r w:rsidRPr="006A2B11">
        <w:rPr>
          <w:b/>
          <w:sz w:val="24"/>
          <w:szCs w:val="24"/>
        </w:rPr>
        <w:t>Form 83-I.</w:t>
      </w:r>
    </w:p>
    <w:p w:rsidR="00B03063" w:rsidRDefault="00B03063">
      <w:pPr>
        <w:rPr>
          <w:b/>
          <w:sz w:val="24"/>
          <w:szCs w:val="24"/>
        </w:rPr>
      </w:pPr>
    </w:p>
    <w:p w:rsidR="00B03063" w:rsidRDefault="00355E1D">
      <w:pPr>
        <w:rPr>
          <w:b/>
          <w:sz w:val="24"/>
          <w:szCs w:val="24"/>
        </w:rPr>
      </w:pPr>
      <w:r>
        <w:rPr>
          <w:b/>
          <w:sz w:val="24"/>
          <w:szCs w:val="24"/>
        </w:rPr>
        <w:tab/>
      </w:r>
      <w:r w:rsidRPr="006A2B11">
        <w:rPr>
          <w:b/>
          <w:sz w:val="24"/>
          <w:szCs w:val="24"/>
        </w:rPr>
        <w:t xml:space="preserve">* Provide estimates of annualized cost to respondents for the hour burdens for collections of </w:t>
      </w:r>
      <w:r>
        <w:rPr>
          <w:b/>
          <w:sz w:val="24"/>
          <w:szCs w:val="24"/>
        </w:rPr>
        <w:tab/>
      </w:r>
      <w:r w:rsidRPr="006A2B11">
        <w:rPr>
          <w:b/>
          <w:sz w:val="24"/>
          <w:szCs w:val="24"/>
        </w:rPr>
        <w:t xml:space="preserve">information, identifying and using appropriate wage rate categories. </w:t>
      </w:r>
      <w:r>
        <w:rPr>
          <w:b/>
          <w:sz w:val="24"/>
          <w:szCs w:val="24"/>
        </w:rPr>
        <w:tab/>
      </w:r>
      <w:r w:rsidRPr="006A2B11">
        <w:rPr>
          <w:b/>
          <w:sz w:val="24"/>
          <w:szCs w:val="24"/>
        </w:rPr>
        <w:t xml:space="preserve">The cost of contracting out </w:t>
      </w:r>
      <w:r>
        <w:rPr>
          <w:b/>
          <w:sz w:val="24"/>
          <w:szCs w:val="24"/>
        </w:rPr>
        <w:tab/>
      </w:r>
      <w:r w:rsidRPr="006A2B11">
        <w:rPr>
          <w:b/>
          <w:sz w:val="24"/>
          <w:szCs w:val="24"/>
        </w:rPr>
        <w:t xml:space="preserve">or paying outside parties for information collection activities should not be included here. </w:t>
      </w:r>
      <w:r>
        <w:rPr>
          <w:b/>
          <w:sz w:val="24"/>
          <w:szCs w:val="24"/>
        </w:rPr>
        <w:tab/>
      </w:r>
      <w:r w:rsidRPr="006A2B11">
        <w:rPr>
          <w:b/>
          <w:sz w:val="24"/>
          <w:szCs w:val="24"/>
        </w:rPr>
        <w:t>Instead, this cost should be included in Item 1</w:t>
      </w:r>
      <w:r>
        <w:rPr>
          <w:b/>
          <w:sz w:val="24"/>
          <w:szCs w:val="24"/>
        </w:rPr>
        <w:t>.</w:t>
      </w:r>
    </w:p>
    <w:p w:rsidR="00B03063" w:rsidRDefault="00B03063">
      <w:pPr>
        <w:rPr>
          <w:b/>
          <w:sz w:val="24"/>
          <w:szCs w:val="24"/>
        </w:rPr>
      </w:pPr>
    </w:p>
    <w:p w:rsidR="00B03063" w:rsidRDefault="00355E1D" w:rsidP="0047403D">
      <w:pPr>
        <w:ind w:left="720"/>
        <w:rPr>
          <w:sz w:val="24"/>
          <w:szCs w:val="24"/>
        </w:rPr>
      </w:pPr>
      <w:r>
        <w:rPr>
          <w:sz w:val="24"/>
          <w:szCs w:val="24"/>
        </w:rPr>
        <w:t xml:space="preserve">The number of respondents in the chart below indicates the amount of </w:t>
      </w:r>
      <w:r w:rsidRPr="008F7878">
        <w:rPr>
          <w:i/>
          <w:sz w:val="24"/>
          <w:szCs w:val="24"/>
        </w:rPr>
        <w:t>potential</w:t>
      </w:r>
      <w:r>
        <w:rPr>
          <w:sz w:val="24"/>
          <w:szCs w:val="24"/>
        </w:rPr>
        <w:t xml:space="preserve"> applicants. </w:t>
      </w:r>
      <w:r w:rsidR="000E11DE">
        <w:rPr>
          <w:sz w:val="24"/>
          <w:szCs w:val="24"/>
        </w:rPr>
        <w:t xml:space="preserve">This figure is </w:t>
      </w:r>
      <w:r w:rsidR="00240828">
        <w:rPr>
          <w:sz w:val="24"/>
          <w:szCs w:val="24"/>
        </w:rPr>
        <w:t xml:space="preserve">a </w:t>
      </w:r>
      <w:r w:rsidR="000E11DE">
        <w:rPr>
          <w:sz w:val="24"/>
          <w:szCs w:val="24"/>
        </w:rPr>
        <w:t xml:space="preserve">reduced amount based on the number of application received since the launch of RAD.  </w:t>
      </w:r>
      <w:r>
        <w:rPr>
          <w:sz w:val="24"/>
          <w:szCs w:val="24"/>
        </w:rPr>
        <w:t>Individual application forms must be submitted for each Public Housing project seeking conversion under RAD. There are</w:t>
      </w:r>
      <w:r w:rsidR="0047403D">
        <w:rPr>
          <w:sz w:val="24"/>
          <w:szCs w:val="24"/>
        </w:rPr>
        <w:t xml:space="preserve"> </w:t>
      </w:r>
      <w:r>
        <w:rPr>
          <w:sz w:val="24"/>
          <w:szCs w:val="24"/>
        </w:rPr>
        <w:t xml:space="preserve">currently approximately </w:t>
      </w:r>
      <w:r w:rsidR="0047403D">
        <w:rPr>
          <w:sz w:val="24"/>
          <w:szCs w:val="24"/>
        </w:rPr>
        <w:t>5,9</w:t>
      </w:r>
      <w:r>
        <w:rPr>
          <w:sz w:val="24"/>
          <w:szCs w:val="24"/>
        </w:rPr>
        <w:t xml:space="preserve">00 projects in the Public Housing inventory that </w:t>
      </w:r>
      <w:r w:rsidR="005B07E9">
        <w:rPr>
          <w:sz w:val="24"/>
          <w:szCs w:val="24"/>
        </w:rPr>
        <w:t xml:space="preserve">have not yet applied and </w:t>
      </w:r>
      <w:r>
        <w:rPr>
          <w:sz w:val="24"/>
          <w:szCs w:val="24"/>
        </w:rPr>
        <w:t xml:space="preserve">could apply for RAD.  </w:t>
      </w:r>
    </w:p>
    <w:p w:rsidR="00B03063" w:rsidRDefault="00B03063">
      <w:pPr>
        <w:rPr>
          <w:sz w:val="24"/>
          <w:szCs w:val="24"/>
        </w:rPr>
      </w:pPr>
    </w:p>
    <w:p w:rsidR="00B03063" w:rsidRDefault="00355E1D">
      <w:pPr>
        <w:rPr>
          <w:sz w:val="24"/>
          <w:szCs w:val="24"/>
        </w:rPr>
      </w:pPr>
      <w:r>
        <w:rPr>
          <w:sz w:val="24"/>
          <w:szCs w:val="24"/>
        </w:rPr>
        <w:tab/>
        <w:t>The automated form takes approximately two hours to complete.</w:t>
      </w:r>
    </w:p>
    <w:p w:rsidR="00355E1D" w:rsidRPr="006A2B11" w:rsidRDefault="00355E1D" w:rsidP="008105F1">
      <w:pPr>
        <w:rPr>
          <w:b/>
          <w:sz w:val="24"/>
          <w:szCs w:val="24"/>
        </w:rPr>
      </w:pPr>
      <w:r>
        <w:rPr>
          <w:b/>
          <w:sz w:val="24"/>
          <w:szCs w:val="24"/>
        </w:rPr>
        <w:tab/>
      </w:r>
    </w:p>
    <w:tbl>
      <w:tblPr>
        <w:tblStyle w:val="TableGrid"/>
        <w:tblW w:w="11126" w:type="dxa"/>
        <w:tblLayout w:type="fixed"/>
        <w:tblLook w:val="04A0" w:firstRow="1" w:lastRow="0" w:firstColumn="1" w:lastColumn="0" w:noHBand="0" w:noVBand="1"/>
      </w:tblPr>
      <w:tblGrid>
        <w:gridCol w:w="1872"/>
        <w:gridCol w:w="1368"/>
        <w:gridCol w:w="1260"/>
        <w:gridCol w:w="1170"/>
        <w:gridCol w:w="1440"/>
        <w:gridCol w:w="1170"/>
        <w:gridCol w:w="1406"/>
        <w:gridCol w:w="1440"/>
      </w:tblGrid>
      <w:tr w:rsidR="00355E1D" w:rsidTr="00355E1D">
        <w:tc>
          <w:tcPr>
            <w:tcW w:w="1872" w:type="dxa"/>
            <w:vAlign w:val="bottom"/>
          </w:tcPr>
          <w:p w:rsidR="00355E1D" w:rsidRPr="00391C7D" w:rsidRDefault="00355E1D" w:rsidP="008105F1">
            <w:pPr>
              <w:rPr>
                <w:color w:val="000000"/>
                <w:sz w:val="24"/>
                <w:szCs w:val="24"/>
              </w:rPr>
            </w:pPr>
            <w:r>
              <w:rPr>
                <w:color w:val="000000"/>
                <w:sz w:val="24"/>
                <w:szCs w:val="24"/>
              </w:rPr>
              <w:t>Type of  Reporting</w:t>
            </w:r>
          </w:p>
        </w:tc>
        <w:tc>
          <w:tcPr>
            <w:tcW w:w="1368" w:type="dxa"/>
            <w:vAlign w:val="bottom"/>
          </w:tcPr>
          <w:p w:rsidR="00B03063" w:rsidRDefault="00355E1D">
            <w:pPr>
              <w:rPr>
                <w:color w:val="000000"/>
              </w:rPr>
            </w:pPr>
            <w:r w:rsidRPr="00C112DA">
              <w:rPr>
                <w:color w:val="000000"/>
              </w:rPr>
              <w:t>Respondents</w:t>
            </w:r>
          </w:p>
        </w:tc>
        <w:tc>
          <w:tcPr>
            <w:tcW w:w="1260" w:type="dxa"/>
            <w:vAlign w:val="bottom"/>
          </w:tcPr>
          <w:p w:rsidR="00B03063" w:rsidRDefault="00355E1D">
            <w:pPr>
              <w:rPr>
                <w:color w:val="000000"/>
              </w:rPr>
            </w:pPr>
            <w:r w:rsidRPr="00C112DA">
              <w:rPr>
                <w:color w:val="000000"/>
              </w:rPr>
              <w:t>Annual Responses</w:t>
            </w:r>
          </w:p>
        </w:tc>
        <w:tc>
          <w:tcPr>
            <w:tcW w:w="1170" w:type="dxa"/>
            <w:vAlign w:val="bottom"/>
          </w:tcPr>
          <w:p w:rsidR="00B03063" w:rsidRDefault="00355E1D">
            <w:pPr>
              <w:rPr>
                <w:color w:val="000000"/>
              </w:rPr>
            </w:pPr>
            <w:r w:rsidRPr="00C112DA">
              <w:rPr>
                <w:color w:val="000000"/>
              </w:rPr>
              <w:t>Total Responses</w:t>
            </w:r>
          </w:p>
        </w:tc>
        <w:tc>
          <w:tcPr>
            <w:tcW w:w="1440" w:type="dxa"/>
            <w:vAlign w:val="bottom"/>
          </w:tcPr>
          <w:p w:rsidR="00B03063" w:rsidRDefault="00355E1D">
            <w:pPr>
              <w:rPr>
                <w:color w:val="000000"/>
              </w:rPr>
            </w:pPr>
            <w:r w:rsidRPr="00C112DA">
              <w:rPr>
                <w:color w:val="000000"/>
              </w:rPr>
              <w:t>Burden Hours per Response</w:t>
            </w:r>
          </w:p>
        </w:tc>
        <w:tc>
          <w:tcPr>
            <w:tcW w:w="1170" w:type="dxa"/>
            <w:vAlign w:val="bottom"/>
          </w:tcPr>
          <w:p w:rsidR="00B03063" w:rsidRDefault="00355E1D">
            <w:pPr>
              <w:rPr>
                <w:color w:val="000000"/>
              </w:rPr>
            </w:pPr>
            <w:r w:rsidRPr="00C112DA">
              <w:rPr>
                <w:color w:val="000000"/>
              </w:rPr>
              <w:t>Total Burden Hours</w:t>
            </w:r>
          </w:p>
        </w:tc>
        <w:tc>
          <w:tcPr>
            <w:tcW w:w="1406" w:type="dxa"/>
            <w:vAlign w:val="bottom"/>
          </w:tcPr>
          <w:p w:rsidR="00B03063" w:rsidRDefault="00355E1D">
            <w:pPr>
              <w:rPr>
                <w:color w:val="000000"/>
              </w:rPr>
            </w:pPr>
            <w:r w:rsidRPr="00C112DA">
              <w:rPr>
                <w:color w:val="000000"/>
              </w:rPr>
              <w:t>Salary</w:t>
            </w:r>
          </w:p>
          <w:p w:rsidR="00B03063" w:rsidRDefault="00355E1D">
            <w:pPr>
              <w:rPr>
                <w:color w:val="000000"/>
              </w:rPr>
            </w:pPr>
            <w:r w:rsidRPr="00C112DA">
              <w:rPr>
                <w:color w:val="000000"/>
              </w:rPr>
              <w:t>(per hour)</w:t>
            </w:r>
          </w:p>
        </w:tc>
        <w:tc>
          <w:tcPr>
            <w:tcW w:w="1440" w:type="dxa"/>
            <w:vAlign w:val="bottom"/>
          </w:tcPr>
          <w:p w:rsidR="00B03063" w:rsidRDefault="00355E1D">
            <w:pPr>
              <w:rPr>
                <w:color w:val="000000"/>
              </w:rPr>
            </w:pPr>
            <w:r w:rsidRPr="00C112DA">
              <w:rPr>
                <w:color w:val="000000"/>
              </w:rPr>
              <w:t>Total Burden Cost</w:t>
            </w:r>
          </w:p>
        </w:tc>
      </w:tr>
      <w:tr w:rsidR="00355E1D" w:rsidTr="00355E1D">
        <w:trPr>
          <w:trHeight w:val="710"/>
        </w:trPr>
        <w:tc>
          <w:tcPr>
            <w:tcW w:w="1872" w:type="dxa"/>
            <w:vAlign w:val="bottom"/>
          </w:tcPr>
          <w:p w:rsidR="00355E1D" w:rsidRPr="00391C7D" w:rsidRDefault="00355E1D" w:rsidP="008105F1">
            <w:pPr>
              <w:rPr>
                <w:b/>
                <w:bCs/>
                <w:color w:val="000000"/>
              </w:rPr>
            </w:pPr>
            <w:r w:rsidRPr="00391C7D">
              <w:rPr>
                <w:b/>
                <w:bCs/>
                <w:color w:val="000000"/>
              </w:rPr>
              <w:t>Public Housing RAD-Application Form</w:t>
            </w:r>
          </w:p>
        </w:tc>
        <w:tc>
          <w:tcPr>
            <w:tcW w:w="1368" w:type="dxa"/>
            <w:vAlign w:val="bottom"/>
          </w:tcPr>
          <w:p w:rsidR="00B03063" w:rsidRDefault="0047403D">
            <w:pPr>
              <w:rPr>
                <w:color w:val="000000"/>
                <w:sz w:val="24"/>
                <w:szCs w:val="24"/>
              </w:rPr>
            </w:pPr>
            <w:r>
              <w:rPr>
                <w:color w:val="000000"/>
                <w:sz w:val="24"/>
                <w:szCs w:val="24"/>
              </w:rPr>
              <w:t>5,9</w:t>
            </w:r>
            <w:r w:rsidR="00355E1D">
              <w:rPr>
                <w:color w:val="000000"/>
                <w:sz w:val="24"/>
                <w:szCs w:val="24"/>
              </w:rPr>
              <w:t>00</w:t>
            </w:r>
          </w:p>
        </w:tc>
        <w:tc>
          <w:tcPr>
            <w:tcW w:w="1260" w:type="dxa"/>
            <w:vAlign w:val="bottom"/>
          </w:tcPr>
          <w:p w:rsidR="00B03063" w:rsidRDefault="00355E1D">
            <w:pPr>
              <w:rPr>
                <w:color w:val="000000"/>
                <w:sz w:val="24"/>
                <w:szCs w:val="24"/>
              </w:rPr>
            </w:pPr>
            <w:r>
              <w:rPr>
                <w:color w:val="000000"/>
                <w:sz w:val="24"/>
                <w:szCs w:val="24"/>
              </w:rPr>
              <w:t>1</w:t>
            </w:r>
          </w:p>
        </w:tc>
        <w:tc>
          <w:tcPr>
            <w:tcW w:w="1170" w:type="dxa"/>
            <w:vAlign w:val="bottom"/>
          </w:tcPr>
          <w:p w:rsidR="00B03063" w:rsidRDefault="005B07E9">
            <w:pPr>
              <w:rPr>
                <w:color w:val="000000"/>
                <w:sz w:val="24"/>
                <w:szCs w:val="24"/>
              </w:rPr>
            </w:pPr>
            <w:r>
              <w:rPr>
                <w:color w:val="000000"/>
                <w:sz w:val="24"/>
                <w:szCs w:val="24"/>
              </w:rPr>
              <w:t>5,9</w:t>
            </w:r>
            <w:r w:rsidR="00355E1D">
              <w:rPr>
                <w:color w:val="000000"/>
                <w:sz w:val="24"/>
                <w:szCs w:val="24"/>
              </w:rPr>
              <w:t>00</w:t>
            </w:r>
          </w:p>
        </w:tc>
        <w:tc>
          <w:tcPr>
            <w:tcW w:w="1440" w:type="dxa"/>
            <w:vAlign w:val="bottom"/>
          </w:tcPr>
          <w:p w:rsidR="00B03063" w:rsidRDefault="00355E1D">
            <w:pPr>
              <w:rPr>
                <w:color w:val="000000"/>
                <w:sz w:val="24"/>
                <w:szCs w:val="24"/>
              </w:rPr>
            </w:pPr>
            <w:r>
              <w:rPr>
                <w:color w:val="000000"/>
                <w:sz w:val="24"/>
                <w:szCs w:val="24"/>
              </w:rPr>
              <w:t>2</w:t>
            </w:r>
          </w:p>
        </w:tc>
        <w:tc>
          <w:tcPr>
            <w:tcW w:w="1170" w:type="dxa"/>
            <w:vAlign w:val="bottom"/>
          </w:tcPr>
          <w:p w:rsidR="00B03063" w:rsidRPr="00E65EA6" w:rsidRDefault="0047403D">
            <w:pPr>
              <w:rPr>
                <w:color w:val="000000"/>
                <w:sz w:val="24"/>
                <w:szCs w:val="24"/>
              </w:rPr>
            </w:pPr>
            <w:r w:rsidRPr="00E65EA6">
              <w:rPr>
                <w:color w:val="000000"/>
                <w:sz w:val="24"/>
                <w:szCs w:val="24"/>
              </w:rPr>
              <w:t>11,8</w:t>
            </w:r>
            <w:r w:rsidR="00355E1D" w:rsidRPr="00E65EA6">
              <w:rPr>
                <w:color w:val="000000"/>
                <w:sz w:val="24"/>
                <w:szCs w:val="24"/>
              </w:rPr>
              <w:t>00</w:t>
            </w:r>
          </w:p>
        </w:tc>
        <w:tc>
          <w:tcPr>
            <w:tcW w:w="1406" w:type="dxa"/>
            <w:vAlign w:val="bottom"/>
          </w:tcPr>
          <w:p w:rsidR="00B03063" w:rsidRPr="00E65EA6" w:rsidRDefault="004C0E19">
            <w:pPr>
              <w:ind w:left="-65" w:hanging="90"/>
              <w:rPr>
                <w:color w:val="000000"/>
                <w:sz w:val="24"/>
                <w:szCs w:val="24"/>
              </w:rPr>
            </w:pPr>
            <w:r>
              <w:rPr>
                <w:color w:val="000000"/>
                <w:sz w:val="24"/>
                <w:szCs w:val="24"/>
              </w:rPr>
              <w:t xml:space="preserve">  </w:t>
            </w:r>
            <w:r w:rsidR="00355E1D" w:rsidRPr="00E65EA6">
              <w:rPr>
                <w:color w:val="000000"/>
                <w:sz w:val="24"/>
                <w:szCs w:val="24"/>
              </w:rPr>
              <w:t>$40</w:t>
            </w:r>
          </w:p>
        </w:tc>
        <w:tc>
          <w:tcPr>
            <w:tcW w:w="1440" w:type="dxa"/>
            <w:vAlign w:val="bottom"/>
          </w:tcPr>
          <w:p w:rsidR="00B03063" w:rsidRDefault="00355E1D" w:rsidP="0047403D">
            <w:pPr>
              <w:rPr>
                <w:color w:val="000000"/>
                <w:sz w:val="24"/>
                <w:szCs w:val="24"/>
              </w:rPr>
            </w:pPr>
            <w:r>
              <w:rPr>
                <w:color w:val="000000"/>
                <w:sz w:val="24"/>
                <w:szCs w:val="24"/>
              </w:rPr>
              <w:t>$</w:t>
            </w:r>
            <w:r w:rsidR="0047403D">
              <w:rPr>
                <w:color w:val="000000"/>
                <w:sz w:val="24"/>
                <w:szCs w:val="24"/>
              </w:rPr>
              <w:t>472</w:t>
            </w:r>
            <w:r>
              <w:rPr>
                <w:color w:val="000000"/>
                <w:sz w:val="24"/>
                <w:szCs w:val="24"/>
              </w:rPr>
              <w:t>,000</w:t>
            </w:r>
          </w:p>
        </w:tc>
      </w:tr>
      <w:tr w:rsidR="00355E1D" w:rsidTr="00355E1D">
        <w:tc>
          <w:tcPr>
            <w:tcW w:w="1872" w:type="dxa"/>
            <w:vAlign w:val="bottom"/>
          </w:tcPr>
          <w:p w:rsidR="00355E1D" w:rsidRPr="00391C7D" w:rsidRDefault="00355E1D" w:rsidP="008105F1">
            <w:pPr>
              <w:rPr>
                <w:color w:val="000000"/>
                <w:sz w:val="24"/>
                <w:szCs w:val="24"/>
              </w:rPr>
            </w:pPr>
            <w:r>
              <w:rPr>
                <w:color w:val="000000"/>
                <w:sz w:val="24"/>
                <w:szCs w:val="24"/>
              </w:rPr>
              <w:t>Total</w:t>
            </w:r>
          </w:p>
        </w:tc>
        <w:tc>
          <w:tcPr>
            <w:tcW w:w="1368" w:type="dxa"/>
            <w:vAlign w:val="bottom"/>
          </w:tcPr>
          <w:p w:rsidR="00B03063" w:rsidRDefault="0047403D">
            <w:pPr>
              <w:rPr>
                <w:b/>
                <w:color w:val="000000"/>
                <w:sz w:val="24"/>
                <w:szCs w:val="24"/>
              </w:rPr>
            </w:pPr>
            <w:r>
              <w:rPr>
                <w:b/>
                <w:color w:val="000000"/>
                <w:sz w:val="24"/>
                <w:szCs w:val="24"/>
              </w:rPr>
              <w:t>5,900</w:t>
            </w:r>
          </w:p>
        </w:tc>
        <w:tc>
          <w:tcPr>
            <w:tcW w:w="1260" w:type="dxa"/>
            <w:vAlign w:val="bottom"/>
          </w:tcPr>
          <w:p w:rsidR="00B03063" w:rsidRDefault="00B03063">
            <w:pPr>
              <w:rPr>
                <w:color w:val="000000"/>
                <w:sz w:val="24"/>
                <w:szCs w:val="24"/>
              </w:rPr>
            </w:pPr>
          </w:p>
        </w:tc>
        <w:tc>
          <w:tcPr>
            <w:tcW w:w="1170" w:type="dxa"/>
            <w:vAlign w:val="bottom"/>
          </w:tcPr>
          <w:p w:rsidR="00B03063" w:rsidRDefault="0047403D">
            <w:pPr>
              <w:rPr>
                <w:b/>
                <w:color w:val="000000"/>
                <w:sz w:val="24"/>
                <w:szCs w:val="24"/>
              </w:rPr>
            </w:pPr>
            <w:r>
              <w:rPr>
                <w:b/>
                <w:color w:val="000000"/>
                <w:sz w:val="24"/>
                <w:szCs w:val="24"/>
              </w:rPr>
              <w:t>5,900</w:t>
            </w:r>
          </w:p>
        </w:tc>
        <w:tc>
          <w:tcPr>
            <w:tcW w:w="1440" w:type="dxa"/>
            <w:vAlign w:val="bottom"/>
          </w:tcPr>
          <w:p w:rsidR="00B03063" w:rsidRDefault="00B03063">
            <w:pPr>
              <w:rPr>
                <w:color w:val="000000"/>
                <w:sz w:val="24"/>
                <w:szCs w:val="24"/>
              </w:rPr>
            </w:pPr>
          </w:p>
        </w:tc>
        <w:tc>
          <w:tcPr>
            <w:tcW w:w="1170" w:type="dxa"/>
            <w:vAlign w:val="bottom"/>
          </w:tcPr>
          <w:p w:rsidR="00B03063" w:rsidRDefault="00355E1D" w:rsidP="0047403D">
            <w:pPr>
              <w:rPr>
                <w:b/>
                <w:color w:val="000000"/>
                <w:sz w:val="24"/>
                <w:szCs w:val="24"/>
              </w:rPr>
            </w:pPr>
            <w:r>
              <w:rPr>
                <w:b/>
                <w:color w:val="000000"/>
                <w:sz w:val="24"/>
                <w:szCs w:val="24"/>
              </w:rPr>
              <w:t>1</w:t>
            </w:r>
            <w:r w:rsidR="0047403D">
              <w:rPr>
                <w:b/>
                <w:color w:val="000000"/>
                <w:sz w:val="24"/>
                <w:szCs w:val="24"/>
              </w:rPr>
              <w:t>1,800</w:t>
            </w:r>
          </w:p>
        </w:tc>
        <w:tc>
          <w:tcPr>
            <w:tcW w:w="1406" w:type="dxa"/>
            <w:vAlign w:val="bottom"/>
          </w:tcPr>
          <w:p w:rsidR="00B03063" w:rsidRDefault="00B03063">
            <w:pPr>
              <w:rPr>
                <w:b/>
                <w:color w:val="000000"/>
                <w:sz w:val="24"/>
                <w:szCs w:val="24"/>
              </w:rPr>
            </w:pPr>
          </w:p>
        </w:tc>
        <w:tc>
          <w:tcPr>
            <w:tcW w:w="1440" w:type="dxa"/>
            <w:vAlign w:val="bottom"/>
          </w:tcPr>
          <w:p w:rsidR="00B03063" w:rsidRDefault="00355E1D" w:rsidP="0047403D">
            <w:pPr>
              <w:rPr>
                <w:b/>
                <w:color w:val="000000"/>
                <w:sz w:val="24"/>
                <w:szCs w:val="24"/>
              </w:rPr>
            </w:pPr>
            <w:r w:rsidRPr="00305133">
              <w:rPr>
                <w:b/>
                <w:color w:val="000000"/>
                <w:sz w:val="24"/>
                <w:szCs w:val="24"/>
              </w:rPr>
              <w:t>$</w:t>
            </w:r>
            <w:r w:rsidR="0047403D">
              <w:rPr>
                <w:b/>
                <w:color w:val="000000"/>
                <w:sz w:val="24"/>
                <w:szCs w:val="24"/>
              </w:rPr>
              <w:t>472</w:t>
            </w:r>
            <w:r>
              <w:rPr>
                <w:b/>
                <w:color w:val="000000"/>
                <w:sz w:val="24"/>
                <w:szCs w:val="24"/>
              </w:rPr>
              <w:t>,</w:t>
            </w:r>
            <w:r w:rsidR="0047403D">
              <w:rPr>
                <w:b/>
                <w:color w:val="000000"/>
                <w:sz w:val="24"/>
                <w:szCs w:val="24"/>
              </w:rPr>
              <w:t>0</w:t>
            </w:r>
            <w:r>
              <w:rPr>
                <w:b/>
                <w:color w:val="000000"/>
                <w:sz w:val="24"/>
                <w:szCs w:val="24"/>
              </w:rPr>
              <w:t>00</w:t>
            </w:r>
          </w:p>
        </w:tc>
      </w:tr>
    </w:tbl>
    <w:p w:rsidR="00355E1D" w:rsidRPr="006A2B11" w:rsidRDefault="00355E1D" w:rsidP="008105F1">
      <w:pPr>
        <w:rPr>
          <w:b/>
          <w:sz w:val="24"/>
          <w:szCs w:val="24"/>
        </w:rPr>
      </w:pPr>
    </w:p>
    <w:p w:rsidR="00355E1D" w:rsidRDefault="00355E1D" w:rsidP="008105F1">
      <w:pPr>
        <w:rPr>
          <w:b/>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an estimate for the total annual cost burden to respondents or record-keepers resulting from the collection of information. (Do not include the cost of any hour burden shown in Items 12 and 14).</w:t>
      </w:r>
    </w:p>
    <w:p w:rsidR="00B03063" w:rsidRDefault="00B03063">
      <w:pPr>
        <w:pStyle w:val="BodyTextIndent2"/>
        <w:tabs>
          <w:tab w:val="left" w:pos="360"/>
        </w:tabs>
        <w:spacing w:line="240" w:lineRule="auto"/>
        <w:ind w:left="0"/>
        <w:rPr>
          <w:szCs w:val="24"/>
        </w:rPr>
      </w:pPr>
    </w:p>
    <w:p w:rsidR="00B03063" w:rsidRDefault="00355E1D">
      <w:pPr>
        <w:pStyle w:val="BodyTextIndent2"/>
        <w:tabs>
          <w:tab w:val="left" w:pos="360"/>
        </w:tabs>
        <w:spacing w:line="240" w:lineRule="auto"/>
        <w:ind w:left="0"/>
        <w:rPr>
          <w:sz w:val="24"/>
          <w:szCs w:val="24"/>
        </w:rPr>
      </w:pPr>
      <w:r>
        <w:rPr>
          <w:szCs w:val="24"/>
        </w:rPr>
        <w:tab/>
      </w:r>
      <w:r w:rsidRPr="00355E1D">
        <w:rPr>
          <w:sz w:val="24"/>
          <w:szCs w:val="24"/>
        </w:rPr>
        <w:tab/>
        <w:t xml:space="preserve">There are no start-up or additional costs to the respondents other than those reported in </w:t>
      </w:r>
      <w:r w:rsidRPr="00355E1D">
        <w:rPr>
          <w:sz w:val="24"/>
          <w:szCs w:val="24"/>
        </w:rPr>
        <w:tab/>
      </w:r>
      <w:r w:rsidRPr="00355E1D">
        <w:rPr>
          <w:sz w:val="24"/>
          <w:szCs w:val="24"/>
        </w:rPr>
        <w:tab/>
      </w:r>
      <w:r w:rsidRPr="00355E1D">
        <w:rPr>
          <w:sz w:val="24"/>
          <w:szCs w:val="24"/>
        </w:rPr>
        <w:tab/>
      </w:r>
      <w:r>
        <w:rPr>
          <w:sz w:val="24"/>
          <w:szCs w:val="24"/>
        </w:rPr>
        <w:tab/>
      </w:r>
      <w:r>
        <w:rPr>
          <w:sz w:val="24"/>
          <w:szCs w:val="24"/>
        </w:rPr>
        <w:tab/>
      </w:r>
      <w:r w:rsidRPr="00355E1D">
        <w:rPr>
          <w:sz w:val="24"/>
          <w:szCs w:val="24"/>
        </w:rPr>
        <w:t>Item 12 above in the Burden Cost Column.  The GS-14-1 wage was used for this</w:t>
      </w:r>
      <w:r w:rsidRPr="00355E1D">
        <w:rPr>
          <w:sz w:val="24"/>
          <w:szCs w:val="24"/>
        </w:rPr>
        <w:tab/>
      </w:r>
      <w:r w:rsidRPr="00355E1D">
        <w:rPr>
          <w:sz w:val="24"/>
          <w:szCs w:val="24"/>
        </w:rPr>
        <w:tab/>
      </w:r>
      <w:r w:rsidRPr="00355E1D">
        <w:rPr>
          <w:sz w:val="24"/>
          <w:szCs w:val="24"/>
        </w:rPr>
        <w:tab/>
      </w:r>
      <w:r w:rsidRPr="00355E1D">
        <w:rPr>
          <w:sz w:val="24"/>
          <w:szCs w:val="24"/>
        </w:rPr>
        <w:tab/>
      </w:r>
      <w:r>
        <w:rPr>
          <w:sz w:val="24"/>
          <w:szCs w:val="24"/>
        </w:rPr>
        <w:tab/>
      </w:r>
      <w:r>
        <w:rPr>
          <w:sz w:val="24"/>
          <w:szCs w:val="24"/>
        </w:rPr>
        <w:tab/>
      </w:r>
      <w:r w:rsidRPr="00355E1D">
        <w:rPr>
          <w:sz w:val="24"/>
          <w:szCs w:val="24"/>
        </w:rPr>
        <w:t xml:space="preserve">collection, at $40 per hour.  </w:t>
      </w:r>
    </w:p>
    <w:p w:rsidR="00B03063" w:rsidRDefault="00B03063">
      <w:pPr>
        <w:rPr>
          <w:b/>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B6DBF" w:rsidRDefault="00FB6DBF" w:rsidP="00FB6DBF">
      <w:pPr>
        <w:rPr>
          <w:b/>
          <w:sz w:val="24"/>
          <w:szCs w:val="24"/>
        </w:rPr>
      </w:pPr>
    </w:p>
    <w:p w:rsidR="00FB6DBF" w:rsidRDefault="00FB6DBF" w:rsidP="0047403D">
      <w:pPr>
        <w:ind w:left="720"/>
        <w:rPr>
          <w:sz w:val="24"/>
          <w:szCs w:val="24"/>
        </w:rPr>
      </w:pPr>
      <w:r>
        <w:rPr>
          <w:sz w:val="24"/>
          <w:szCs w:val="24"/>
        </w:rPr>
        <w:t xml:space="preserve">The number of respondents for the Public Housing application forms reflected in </w:t>
      </w:r>
      <w:r>
        <w:rPr>
          <w:sz w:val="24"/>
          <w:szCs w:val="24"/>
        </w:rPr>
        <w:tab/>
        <w:t xml:space="preserve">the chart below indicates the amount of </w:t>
      </w:r>
      <w:r>
        <w:rPr>
          <w:i/>
          <w:sz w:val="24"/>
          <w:szCs w:val="24"/>
        </w:rPr>
        <w:t>expected</w:t>
      </w:r>
      <w:r>
        <w:rPr>
          <w:sz w:val="24"/>
          <w:szCs w:val="24"/>
        </w:rPr>
        <w:t xml:space="preserve"> applicants. Individual application forms </w:t>
      </w:r>
      <w:r w:rsidRPr="000E11DE">
        <w:rPr>
          <w:sz w:val="24"/>
          <w:szCs w:val="24"/>
        </w:rPr>
        <w:t xml:space="preserve">must be </w:t>
      </w:r>
      <w:r w:rsidRPr="000E11DE">
        <w:rPr>
          <w:sz w:val="24"/>
          <w:szCs w:val="24"/>
        </w:rPr>
        <w:tab/>
        <w:t xml:space="preserve">submitted for each Public Housing project seeking conversion under RAD. There are currently approximately </w:t>
      </w:r>
      <w:r w:rsidR="0047403D" w:rsidRPr="000E11DE">
        <w:rPr>
          <w:sz w:val="24"/>
          <w:szCs w:val="24"/>
        </w:rPr>
        <w:t>5,900</w:t>
      </w:r>
      <w:r w:rsidRPr="000E11DE">
        <w:rPr>
          <w:sz w:val="24"/>
          <w:szCs w:val="24"/>
        </w:rPr>
        <w:t xml:space="preserve"> projects in the Public Housing inventory that </w:t>
      </w:r>
      <w:r w:rsidR="0047403D" w:rsidRPr="000E11DE">
        <w:rPr>
          <w:sz w:val="24"/>
          <w:szCs w:val="24"/>
        </w:rPr>
        <w:t xml:space="preserve">have not yet applied and </w:t>
      </w:r>
      <w:r w:rsidRPr="000E11DE">
        <w:rPr>
          <w:sz w:val="24"/>
          <w:szCs w:val="24"/>
        </w:rPr>
        <w:t>could apply for RAD</w:t>
      </w:r>
      <w:r w:rsidR="0047403D" w:rsidRPr="000E11DE">
        <w:rPr>
          <w:sz w:val="24"/>
          <w:szCs w:val="24"/>
        </w:rPr>
        <w:t>.</w:t>
      </w:r>
      <w:r w:rsidRPr="000E11DE">
        <w:rPr>
          <w:sz w:val="24"/>
          <w:szCs w:val="24"/>
        </w:rPr>
        <w:t xml:space="preserve"> HUD expects that applications will be received for </w:t>
      </w:r>
      <w:r w:rsidR="000E11DE" w:rsidRPr="000E11DE">
        <w:rPr>
          <w:sz w:val="24"/>
          <w:szCs w:val="24"/>
        </w:rPr>
        <w:t>another</w:t>
      </w:r>
      <w:r w:rsidR="000E11DE">
        <w:rPr>
          <w:sz w:val="24"/>
          <w:szCs w:val="24"/>
        </w:rPr>
        <w:t xml:space="preserve"> </w:t>
      </w:r>
      <w:r w:rsidRPr="000E11DE">
        <w:rPr>
          <w:sz w:val="24"/>
          <w:szCs w:val="24"/>
        </w:rPr>
        <w:t>10% of the public housing portfolio</w:t>
      </w:r>
      <w:r w:rsidR="0047403D" w:rsidRPr="000E11DE">
        <w:rPr>
          <w:sz w:val="24"/>
          <w:szCs w:val="24"/>
        </w:rPr>
        <w:t>,</w:t>
      </w:r>
      <w:r w:rsidRPr="000E11DE">
        <w:rPr>
          <w:sz w:val="24"/>
          <w:szCs w:val="24"/>
        </w:rPr>
        <w:t xml:space="preserve"> or </w:t>
      </w:r>
      <w:r w:rsidR="0047403D" w:rsidRPr="000E11DE">
        <w:rPr>
          <w:sz w:val="24"/>
          <w:szCs w:val="24"/>
        </w:rPr>
        <w:t xml:space="preserve">590 Public Housing </w:t>
      </w:r>
      <w:r w:rsidRPr="000E11DE">
        <w:rPr>
          <w:sz w:val="24"/>
          <w:szCs w:val="24"/>
        </w:rPr>
        <w:t>Applications.</w:t>
      </w:r>
      <w:r>
        <w:rPr>
          <w:sz w:val="24"/>
          <w:szCs w:val="24"/>
        </w:rPr>
        <w:t xml:space="preserve"> </w:t>
      </w:r>
    </w:p>
    <w:p w:rsidR="00FB6DBF" w:rsidRDefault="00FB6DBF" w:rsidP="00FB6DBF">
      <w:pPr>
        <w:rPr>
          <w:sz w:val="24"/>
          <w:szCs w:val="24"/>
        </w:rPr>
      </w:pPr>
      <w:r>
        <w:rPr>
          <w:sz w:val="24"/>
          <w:szCs w:val="24"/>
        </w:rPr>
        <w:tab/>
      </w:r>
    </w:p>
    <w:p w:rsidR="00FB6DBF" w:rsidRDefault="00FB6DBF" w:rsidP="00FB6DBF">
      <w:pPr>
        <w:rPr>
          <w:sz w:val="24"/>
          <w:szCs w:val="24"/>
        </w:rPr>
      </w:pPr>
      <w:r>
        <w:rPr>
          <w:sz w:val="24"/>
          <w:szCs w:val="24"/>
        </w:rPr>
        <w:tab/>
        <w:t xml:space="preserve">The automated form takes approximately three hours to review by a GS-12 Step 1 at an hourly salary of </w:t>
      </w:r>
      <w:r>
        <w:rPr>
          <w:sz w:val="24"/>
          <w:szCs w:val="24"/>
        </w:rPr>
        <w:tab/>
        <w:t xml:space="preserve">$35.88.  The expected cost to the federal government is </w:t>
      </w:r>
      <w:r w:rsidRPr="000E11DE">
        <w:rPr>
          <w:sz w:val="24"/>
          <w:szCs w:val="24"/>
        </w:rPr>
        <w:t>therefore $</w:t>
      </w:r>
      <w:r w:rsidR="00E65EA6" w:rsidRPr="000E11DE">
        <w:rPr>
          <w:sz w:val="24"/>
          <w:szCs w:val="24"/>
        </w:rPr>
        <w:t>63,508</w:t>
      </w:r>
      <w:r w:rsidRPr="000E11DE">
        <w:rPr>
          <w:sz w:val="24"/>
          <w:szCs w:val="24"/>
        </w:rPr>
        <w:t>.</w:t>
      </w:r>
      <w:r>
        <w:rPr>
          <w:sz w:val="24"/>
          <w:szCs w:val="24"/>
        </w:rPr>
        <w:t xml:space="preserve">  There are no additional costs </w:t>
      </w:r>
      <w:r>
        <w:rPr>
          <w:sz w:val="24"/>
          <w:szCs w:val="24"/>
        </w:rPr>
        <w:tab/>
        <w:t>expected for the processin</w:t>
      </w:r>
      <w:r w:rsidR="009F2DBB">
        <w:rPr>
          <w:sz w:val="24"/>
          <w:szCs w:val="24"/>
        </w:rPr>
        <w:t>g of these applications or operational costs associated with this data collection.</w:t>
      </w:r>
      <w:r>
        <w:rPr>
          <w:sz w:val="24"/>
          <w:szCs w:val="24"/>
        </w:rPr>
        <w:t xml:space="preserve"> </w:t>
      </w:r>
    </w:p>
    <w:p w:rsidR="00FB6DBF" w:rsidRPr="00FB6DBF" w:rsidRDefault="00FB6DBF" w:rsidP="00FB6DBF">
      <w:pPr>
        <w:rPr>
          <w:b/>
          <w:sz w:val="24"/>
          <w:szCs w:val="24"/>
        </w:rPr>
      </w:pPr>
    </w:p>
    <w:tbl>
      <w:tblPr>
        <w:tblStyle w:val="TableGrid"/>
        <w:tblW w:w="11126" w:type="dxa"/>
        <w:tblLayout w:type="fixed"/>
        <w:tblLook w:val="04A0" w:firstRow="1" w:lastRow="0" w:firstColumn="1" w:lastColumn="0" w:noHBand="0" w:noVBand="1"/>
      </w:tblPr>
      <w:tblGrid>
        <w:gridCol w:w="1872"/>
        <w:gridCol w:w="1368"/>
        <w:gridCol w:w="1260"/>
        <w:gridCol w:w="1170"/>
        <w:gridCol w:w="1440"/>
        <w:gridCol w:w="1170"/>
        <w:gridCol w:w="1406"/>
        <w:gridCol w:w="1440"/>
      </w:tblGrid>
      <w:tr w:rsidR="00FB6DBF" w:rsidTr="009C021D">
        <w:tc>
          <w:tcPr>
            <w:tcW w:w="1872" w:type="dxa"/>
            <w:vAlign w:val="bottom"/>
          </w:tcPr>
          <w:p w:rsidR="00FB6DBF" w:rsidRPr="00391C7D" w:rsidRDefault="00FB6DBF" w:rsidP="009C021D">
            <w:pPr>
              <w:rPr>
                <w:color w:val="000000"/>
                <w:sz w:val="24"/>
                <w:szCs w:val="24"/>
              </w:rPr>
            </w:pPr>
            <w:r w:rsidRPr="00391C7D">
              <w:rPr>
                <w:color w:val="000000"/>
                <w:sz w:val="24"/>
                <w:szCs w:val="24"/>
              </w:rPr>
              <w:t> </w:t>
            </w:r>
            <w:r>
              <w:rPr>
                <w:color w:val="000000"/>
                <w:sz w:val="24"/>
                <w:szCs w:val="24"/>
              </w:rPr>
              <w:t>Type of  Reporting</w:t>
            </w:r>
          </w:p>
        </w:tc>
        <w:tc>
          <w:tcPr>
            <w:tcW w:w="1368" w:type="dxa"/>
            <w:vAlign w:val="bottom"/>
          </w:tcPr>
          <w:p w:rsidR="00FB6DBF" w:rsidRDefault="00FB6DBF" w:rsidP="009C021D">
            <w:pPr>
              <w:rPr>
                <w:color w:val="000000"/>
              </w:rPr>
            </w:pPr>
            <w:r w:rsidRPr="00C112DA">
              <w:rPr>
                <w:color w:val="000000"/>
              </w:rPr>
              <w:t>Respondents</w:t>
            </w:r>
          </w:p>
        </w:tc>
        <w:tc>
          <w:tcPr>
            <w:tcW w:w="1260" w:type="dxa"/>
            <w:vAlign w:val="bottom"/>
          </w:tcPr>
          <w:p w:rsidR="00FB6DBF" w:rsidRDefault="00FB6DBF" w:rsidP="009C021D">
            <w:pPr>
              <w:rPr>
                <w:color w:val="000000"/>
              </w:rPr>
            </w:pPr>
            <w:r w:rsidRPr="00C112DA">
              <w:rPr>
                <w:color w:val="000000"/>
              </w:rPr>
              <w:t>Annual Responses</w:t>
            </w:r>
          </w:p>
        </w:tc>
        <w:tc>
          <w:tcPr>
            <w:tcW w:w="1170" w:type="dxa"/>
            <w:vAlign w:val="bottom"/>
          </w:tcPr>
          <w:p w:rsidR="00FB6DBF" w:rsidRDefault="00FB6DBF" w:rsidP="009C021D">
            <w:pPr>
              <w:rPr>
                <w:color w:val="000000"/>
              </w:rPr>
            </w:pPr>
            <w:r w:rsidRPr="00C112DA">
              <w:rPr>
                <w:color w:val="000000"/>
              </w:rPr>
              <w:t>Total Responses</w:t>
            </w:r>
          </w:p>
        </w:tc>
        <w:tc>
          <w:tcPr>
            <w:tcW w:w="1440" w:type="dxa"/>
            <w:vAlign w:val="bottom"/>
          </w:tcPr>
          <w:p w:rsidR="00FB6DBF" w:rsidRDefault="00FB6DBF" w:rsidP="009C021D">
            <w:pPr>
              <w:rPr>
                <w:color w:val="000000"/>
              </w:rPr>
            </w:pPr>
            <w:r w:rsidRPr="00C112DA">
              <w:rPr>
                <w:color w:val="000000"/>
              </w:rPr>
              <w:t>Burden Hours per Response</w:t>
            </w:r>
          </w:p>
        </w:tc>
        <w:tc>
          <w:tcPr>
            <w:tcW w:w="1170" w:type="dxa"/>
            <w:vAlign w:val="bottom"/>
          </w:tcPr>
          <w:p w:rsidR="00FB6DBF" w:rsidRDefault="00FB6DBF" w:rsidP="009C021D">
            <w:pPr>
              <w:rPr>
                <w:color w:val="000000"/>
              </w:rPr>
            </w:pPr>
            <w:r w:rsidRPr="00C112DA">
              <w:rPr>
                <w:color w:val="000000"/>
              </w:rPr>
              <w:t>Total Burden Hours</w:t>
            </w:r>
          </w:p>
        </w:tc>
        <w:tc>
          <w:tcPr>
            <w:tcW w:w="1406" w:type="dxa"/>
            <w:vAlign w:val="bottom"/>
          </w:tcPr>
          <w:p w:rsidR="00FB6DBF" w:rsidRDefault="00FB6DBF" w:rsidP="009C021D">
            <w:pPr>
              <w:rPr>
                <w:color w:val="000000"/>
              </w:rPr>
            </w:pPr>
            <w:r w:rsidRPr="00C112DA">
              <w:rPr>
                <w:color w:val="000000"/>
              </w:rPr>
              <w:t>Salary</w:t>
            </w:r>
          </w:p>
          <w:p w:rsidR="00FB6DBF" w:rsidRDefault="00FB6DBF" w:rsidP="009C021D">
            <w:pPr>
              <w:rPr>
                <w:color w:val="000000"/>
              </w:rPr>
            </w:pPr>
            <w:r w:rsidRPr="00C112DA">
              <w:rPr>
                <w:color w:val="000000"/>
              </w:rPr>
              <w:t>(per hour)</w:t>
            </w:r>
          </w:p>
        </w:tc>
        <w:tc>
          <w:tcPr>
            <w:tcW w:w="1440" w:type="dxa"/>
            <w:vAlign w:val="bottom"/>
          </w:tcPr>
          <w:p w:rsidR="00FB6DBF" w:rsidRDefault="00FB6DBF" w:rsidP="009C021D">
            <w:pPr>
              <w:rPr>
                <w:color w:val="000000"/>
              </w:rPr>
            </w:pPr>
            <w:r w:rsidRPr="00C112DA">
              <w:rPr>
                <w:color w:val="000000"/>
              </w:rPr>
              <w:t>Total Burden Cost</w:t>
            </w:r>
          </w:p>
        </w:tc>
      </w:tr>
      <w:tr w:rsidR="00FB6DBF" w:rsidTr="009C021D">
        <w:trPr>
          <w:trHeight w:val="710"/>
        </w:trPr>
        <w:tc>
          <w:tcPr>
            <w:tcW w:w="1872" w:type="dxa"/>
            <w:vAlign w:val="bottom"/>
          </w:tcPr>
          <w:p w:rsidR="00FB6DBF" w:rsidRPr="00391C7D" w:rsidRDefault="00FB6DBF" w:rsidP="009C021D">
            <w:pPr>
              <w:rPr>
                <w:b/>
                <w:bCs/>
                <w:color w:val="000000"/>
              </w:rPr>
            </w:pPr>
            <w:r w:rsidRPr="00391C7D">
              <w:rPr>
                <w:b/>
                <w:bCs/>
                <w:color w:val="000000"/>
              </w:rPr>
              <w:t>Public Housing RAD-Application Form</w:t>
            </w:r>
          </w:p>
        </w:tc>
        <w:tc>
          <w:tcPr>
            <w:tcW w:w="1368" w:type="dxa"/>
            <w:vAlign w:val="bottom"/>
          </w:tcPr>
          <w:p w:rsidR="00FB6DBF" w:rsidRDefault="0047403D" w:rsidP="00FB6DBF">
            <w:pPr>
              <w:rPr>
                <w:color w:val="000000"/>
                <w:sz w:val="24"/>
                <w:szCs w:val="24"/>
              </w:rPr>
            </w:pPr>
            <w:r>
              <w:rPr>
                <w:color w:val="000000"/>
                <w:sz w:val="24"/>
                <w:szCs w:val="24"/>
              </w:rPr>
              <w:t>59</w:t>
            </w:r>
            <w:r w:rsidR="00FB6DBF">
              <w:rPr>
                <w:color w:val="000000"/>
                <w:sz w:val="24"/>
                <w:szCs w:val="24"/>
              </w:rPr>
              <w:t>0</w:t>
            </w:r>
          </w:p>
        </w:tc>
        <w:tc>
          <w:tcPr>
            <w:tcW w:w="1260" w:type="dxa"/>
            <w:vAlign w:val="bottom"/>
          </w:tcPr>
          <w:p w:rsidR="00FB6DBF" w:rsidRDefault="00FB6DBF" w:rsidP="009C021D">
            <w:pPr>
              <w:rPr>
                <w:color w:val="000000"/>
                <w:sz w:val="24"/>
                <w:szCs w:val="24"/>
              </w:rPr>
            </w:pPr>
            <w:r>
              <w:rPr>
                <w:color w:val="000000"/>
                <w:sz w:val="24"/>
                <w:szCs w:val="24"/>
              </w:rPr>
              <w:t>1</w:t>
            </w:r>
          </w:p>
        </w:tc>
        <w:tc>
          <w:tcPr>
            <w:tcW w:w="1170" w:type="dxa"/>
            <w:vAlign w:val="bottom"/>
          </w:tcPr>
          <w:p w:rsidR="00FB6DBF" w:rsidRDefault="0047403D" w:rsidP="009C021D">
            <w:pPr>
              <w:rPr>
                <w:color w:val="000000"/>
                <w:sz w:val="24"/>
                <w:szCs w:val="24"/>
              </w:rPr>
            </w:pPr>
            <w:r>
              <w:rPr>
                <w:color w:val="000000"/>
                <w:sz w:val="24"/>
                <w:szCs w:val="24"/>
              </w:rPr>
              <w:t>59</w:t>
            </w:r>
            <w:r w:rsidR="00FB6DBF">
              <w:rPr>
                <w:color w:val="000000"/>
                <w:sz w:val="24"/>
                <w:szCs w:val="24"/>
              </w:rPr>
              <w:t>0</w:t>
            </w:r>
          </w:p>
        </w:tc>
        <w:tc>
          <w:tcPr>
            <w:tcW w:w="1440" w:type="dxa"/>
            <w:vAlign w:val="bottom"/>
          </w:tcPr>
          <w:p w:rsidR="00FB6DBF" w:rsidRDefault="00FB6DBF" w:rsidP="009C021D">
            <w:pPr>
              <w:rPr>
                <w:color w:val="000000"/>
                <w:sz w:val="24"/>
                <w:szCs w:val="24"/>
              </w:rPr>
            </w:pPr>
            <w:r>
              <w:rPr>
                <w:color w:val="000000"/>
                <w:sz w:val="24"/>
                <w:szCs w:val="24"/>
              </w:rPr>
              <w:t>3</w:t>
            </w:r>
          </w:p>
        </w:tc>
        <w:tc>
          <w:tcPr>
            <w:tcW w:w="1170" w:type="dxa"/>
            <w:vAlign w:val="bottom"/>
          </w:tcPr>
          <w:p w:rsidR="00FB6DBF" w:rsidRDefault="0047403D" w:rsidP="00FB6DBF">
            <w:pPr>
              <w:rPr>
                <w:color w:val="000000"/>
                <w:sz w:val="24"/>
                <w:szCs w:val="24"/>
              </w:rPr>
            </w:pPr>
            <w:r>
              <w:rPr>
                <w:color w:val="000000"/>
                <w:sz w:val="24"/>
                <w:szCs w:val="24"/>
              </w:rPr>
              <w:t>1,170</w:t>
            </w:r>
          </w:p>
        </w:tc>
        <w:tc>
          <w:tcPr>
            <w:tcW w:w="1406" w:type="dxa"/>
            <w:vAlign w:val="bottom"/>
          </w:tcPr>
          <w:p w:rsidR="00FB6DBF" w:rsidRPr="0047403D" w:rsidRDefault="00FB6DBF" w:rsidP="00FB6DBF">
            <w:pPr>
              <w:ind w:left="-65" w:firstLine="65"/>
              <w:rPr>
                <w:color w:val="000000"/>
                <w:sz w:val="24"/>
                <w:szCs w:val="24"/>
                <w:highlight w:val="yellow"/>
              </w:rPr>
            </w:pPr>
            <w:r w:rsidRPr="000E11DE">
              <w:rPr>
                <w:color w:val="000000"/>
                <w:sz w:val="24"/>
                <w:szCs w:val="24"/>
              </w:rPr>
              <w:t>$35.88</w:t>
            </w:r>
          </w:p>
        </w:tc>
        <w:tc>
          <w:tcPr>
            <w:tcW w:w="1440" w:type="dxa"/>
            <w:vAlign w:val="bottom"/>
          </w:tcPr>
          <w:p w:rsidR="00FB6DBF" w:rsidRDefault="00FB6DBF" w:rsidP="0047403D">
            <w:pPr>
              <w:rPr>
                <w:color w:val="000000"/>
                <w:sz w:val="24"/>
                <w:szCs w:val="24"/>
              </w:rPr>
            </w:pPr>
            <w:r>
              <w:rPr>
                <w:color w:val="000000"/>
                <w:sz w:val="24"/>
                <w:szCs w:val="24"/>
              </w:rPr>
              <w:t>$</w:t>
            </w:r>
            <w:r w:rsidR="0047403D">
              <w:rPr>
                <w:color w:val="000000"/>
                <w:sz w:val="24"/>
                <w:szCs w:val="24"/>
              </w:rPr>
              <w:t>63,508</w:t>
            </w:r>
          </w:p>
        </w:tc>
      </w:tr>
      <w:tr w:rsidR="00FB6DBF" w:rsidTr="009C021D">
        <w:tc>
          <w:tcPr>
            <w:tcW w:w="1872" w:type="dxa"/>
            <w:vAlign w:val="bottom"/>
          </w:tcPr>
          <w:p w:rsidR="00FB6DBF" w:rsidRPr="00391C7D" w:rsidRDefault="00FB6DBF" w:rsidP="009C021D">
            <w:pPr>
              <w:rPr>
                <w:color w:val="000000"/>
                <w:sz w:val="24"/>
                <w:szCs w:val="24"/>
              </w:rPr>
            </w:pPr>
            <w:r>
              <w:rPr>
                <w:color w:val="000000"/>
                <w:sz w:val="24"/>
                <w:szCs w:val="24"/>
              </w:rPr>
              <w:t>Total</w:t>
            </w:r>
          </w:p>
        </w:tc>
        <w:tc>
          <w:tcPr>
            <w:tcW w:w="1368" w:type="dxa"/>
            <w:vAlign w:val="bottom"/>
          </w:tcPr>
          <w:p w:rsidR="00FB6DBF" w:rsidRDefault="0047403D" w:rsidP="00A05F5D">
            <w:pPr>
              <w:rPr>
                <w:b/>
                <w:color w:val="000000"/>
                <w:sz w:val="24"/>
                <w:szCs w:val="24"/>
              </w:rPr>
            </w:pPr>
            <w:r>
              <w:rPr>
                <w:b/>
                <w:color w:val="000000"/>
                <w:sz w:val="24"/>
                <w:szCs w:val="24"/>
              </w:rPr>
              <w:t>590</w:t>
            </w:r>
          </w:p>
        </w:tc>
        <w:tc>
          <w:tcPr>
            <w:tcW w:w="1260" w:type="dxa"/>
            <w:vAlign w:val="bottom"/>
          </w:tcPr>
          <w:p w:rsidR="00FB6DBF" w:rsidRDefault="00FB6DBF" w:rsidP="009C021D">
            <w:pPr>
              <w:rPr>
                <w:color w:val="000000"/>
                <w:sz w:val="24"/>
                <w:szCs w:val="24"/>
              </w:rPr>
            </w:pPr>
          </w:p>
        </w:tc>
        <w:tc>
          <w:tcPr>
            <w:tcW w:w="1170" w:type="dxa"/>
            <w:vAlign w:val="bottom"/>
          </w:tcPr>
          <w:p w:rsidR="00FB6DBF" w:rsidRDefault="0047403D" w:rsidP="009C021D">
            <w:pPr>
              <w:rPr>
                <w:b/>
                <w:color w:val="000000"/>
                <w:sz w:val="24"/>
                <w:szCs w:val="24"/>
              </w:rPr>
            </w:pPr>
            <w:r>
              <w:rPr>
                <w:b/>
                <w:color w:val="000000"/>
                <w:sz w:val="24"/>
                <w:szCs w:val="24"/>
              </w:rPr>
              <w:t>590</w:t>
            </w:r>
          </w:p>
        </w:tc>
        <w:tc>
          <w:tcPr>
            <w:tcW w:w="1440" w:type="dxa"/>
            <w:vAlign w:val="bottom"/>
          </w:tcPr>
          <w:p w:rsidR="00FB6DBF" w:rsidRDefault="00FB6DBF" w:rsidP="009C021D">
            <w:pPr>
              <w:rPr>
                <w:color w:val="000000"/>
                <w:sz w:val="24"/>
                <w:szCs w:val="24"/>
              </w:rPr>
            </w:pPr>
          </w:p>
        </w:tc>
        <w:tc>
          <w:tcPr>
            <w:tcW w:w="1170" w:type="dxa"/>
            <w:vAlign w:val="bottom"/>
          </w:tcPr>
          <w:p w:rsidR="00FB6DBF" w:rsidRDefault="0047403D" w:rsidP="009C021D">
            <w:pPr>
              <w:rPr>
                <w:b/>
                <w:color w:val="000000"/>
                <w:sz w:val="24"/>
                <w:szCs w:val="24"/>
              </w:rPr>
            </w:pPr>
            <w:r>
              <w:rPr>
                <w:b/>
                <w:color w:val="000000"/>
                <w:sz w:val="24"/>
                <w:szCs w:val="24"/>
              </w:rPr>
              <w:t>1,170</w:t>
            </w:r>
          </w:p>
        </w:tc>
        <w:tc>
          <w:tcPr>
            <w:tcW w:w="1406" w:type="dxa"/>
            <w:vAlign w:val="bottom"/>
          </w:tcPr>
          <w:p w:rsidR="00FB6DBF" w:rsidRDefault="00FB6DBF" w:rsidP="009C021D">
            <w:pPr>
              <w:rPr>
                <w:b/>
                <w:color w:val="000000"/>
                <w:sz w:val="24"/>
                <w:szCs w:val="24"/>
              </w:rPr>
            </w:pPr>
          </w:p>
        </w:tc>
        <w:tc>
          <w:tcPr>
            <w:tcW w:w="1440" w:type="dxa"/>
            <w:vAlign w:val="bottom"/>
          </w:tcPr>
          <w:p w:rsidR="00FB6DBF" w:rsidRDefault="00FB6DBF" w:rsidP="00FB6DBF">
            <w:pPr>
              <w:rPr>
                <w:b/>
                <w:color w:val="000000"/>
                <w:sz w:val="24"/>
                <w:szCs w:val="24"/>
              </w:rPr>
            </w:pPr>
            <w:r w:rsidRPr="00305133">
              <w:rPr>
                <w:b/>
                <w:color w:val="000000"/>
                <w:sz w:val="24"/>
                <w:szCs w:val="24"/>
              </w:rPr>
              <w:t>$</w:t>
            </w:r>
            <w:r w:rsidR="0047403D">
              <w:rPr>
                <w:b/>
                <w:color w:val="000000"/>
                <w:sz w:val="24"/>
                <w:szCs w:val="24"/>
              </w:rPr>
              <w:t>63,508</w:t>
            </w:r>
          </w:p>
        </w:tc>
      </w:tr>
    </w:tbl>
    <w:p w:rsidR="00B03063" w:rsidRDefault="00B03063">
      <w:pPr>
        <w:rPr>
          <w:b/>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 xml:space="preserve">Explain the reasons for any program changes or adjustments reported in Items 13 or 14 of the OMB Form 83-I. </w:t>
      </w:r>
    </w:p>
    <w:p w:rsidR="00B03063" w:rsidRDefault="00B03063">
      <w:pPr>
        <w:rPr>
          <w:sz w:val="24"/>
          <w:szCs w:val="24"/>
        </w:rPr>
      </w:pPr>
    </w:p>
    <w:p w:rsidR="000E11DE" w:rsidRDefault="000E11DE" w:rsidP="000E11DE">
      <w:pPr>
        <w:ind w:left="720"/>
        <w:rPr>
          <w:sz w:val="24"/>
          <w:szCs w:val="24"/>
        </w:rPr>
      </w:pPr>
      <w:r>
        <w:rPr>
          <w:sz w:val="24"/>
          <w:szCs w:val="24"/>
        </w:rPr>
        <w:t xml:space="preserve">The Department has received 1,600 RAD applications for Public Housing projects since the launch of RAD. There were 7,500 Public Housing projects that could have potentially applied for RAD.  Since 1,600 applications have been received, there are now 5,900 potential applicants or respondents as reflected in the above charts. </w:t>
      </w:r>
    </w:p>
    <w:p w:rsidR="000E11DE" w:rsidRDefault="000E11DE" w:rsidP="000E11DE">
      <w:pPr>
        <w:ind w:left="720"/>
        <w:rPr>
          <w:sz w:val="24"/>
          <w:szCs w:val="24"/>
        </w:rPr>
      </w:pPr>
    </w:p>
    <w:p w:rsidR="000E11DE" w:rsidRDefault="000E11DE" w:rsidP="000E11DE">
      <w:pPr>
        <w:ind w:left="720"/>
        <w:rPr>
          <w:sz w:val="24"/>
          <w:szCs w:val="24"/>
        </w:rPr>
      </w:pPr>
      <w:r>
        <w:rPr>
          <w:sz w:val="24"/>
          <w:szCs w:val="24"/>
        </w:rPr>
        <w:t>Further, the revised RAD Notice published on June 15, 2015 requires that owners of Mod Rehab projects convert under RAD’s second component, therefore eliminating the need to complete the RAD application. As such, the chart above was modified to remove 1,355 potential Mod Rehab applicants. This program change</w:t>
      </w:r>
      <w:r w:rsidR="00AB3B04">
        <w:rPr>
          <w:sz w:val="24"/>
          <w:szCs w:val="24"/>
        </w:rPr>
        <w:t xml:space="preserve"> to Mod Rehab conversion processing</w:t>
      </w:r>
      <w:r>
        <w:rPr>
          <w:sz w:val="24"/>
          <w:szCs w:val="24"/>
        </w:rPr>
        <w:t xml:space="preserve"> results in reduc</w:t>
      </w:r>
      <w:r w:rsidR="00AB3B04">
        <w:rPr>
          <w:sz w:val="24"/>
          <w:szCs w:val="24"/>
        </w:rPr>
        <w:t>ed</w:t>
      </w:r>
      <w:r>
        <w:rPr>
          <w:sz w:val="24"/>
          <w:szCs w:val="24"/>
        </w:rPr>
        <w:t xml:space="preserve"> cost to the federal government</w:t>
      </w:r>
      <w:r w:rsidR="00AB3B04">
        <w:rPr>
          <w:sz w:val="24"/>
          <w:szCs w:val="24"/>
        </w:rPr>
        <w:t>, previously estimated at $108,400.</w:t>
      </w:r>
    </w:p>
    <w:p w:rsidR="00B03063" w:rsidRDefault="00B03063">
      <w:pPr>
        <w:pStyle w:val="BodyTextIndent2"/>
        <w:tabs>
          <w:tab w:val="left" w:pos="360"/>
        </w:tabs>
        <w:spacing w:line="240" w:lineRule="auto"/>
        <w:ind w:left="0"/>
        <w:rPr>
          <w:rFonts w:eastAsiaTheme="minorHAnsi"/>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03063" w:rsidRDefault="00355E1D">
      <w:pPr>
        <w:pStyle w:val="BodyTextIndent2"/>
        <w:tabs>
          <w:tab w:val="left" w:pos="360"/>
        </w:tabs>
        <w:spacing w:line="240" w:lineRule="auto"/>
        <w:ind w:left="0"/>
        <w:rPr>
          <w:szCs w:val="24"/>
        </w:rPr>
      </w:pPr>
      <w:r w:rsidRPr="006A2B11">
        <w:rPr>
          <w:szCs w:val="24"/>
        </w:rPr>
        <w:lastRenderedPageBreak/>
        <w:tab/>
      </w:r>
    </w:p>
    <w:p w:rsidR="00B03063" w:rsidRDefault="00355E1D">
      <w:pPr>
        <w:pStyle w:val="BodyTextIndent2"/>
        <w:tabs>
          <w:tab w:val="left" w:pos="360"/>
        </w:tabs>
        <w:spacing w:line="240" w:lineRule="auto"/>
        <w:ind w:left="0"/>
        <w:rPr>
          <w:sz w:val="24"/>
          <w:szCs w:val="24"/>
        </w:rPr>
      </w:pPr>
      <w:r>
        <w:rPr>
          <w:szCs w:val="24"/>
        </w:rPr>
        <w:tab/>
      </w:r>
      <w:r>
        <w:rPr>
          <w:szCs w:val="24"/>
        </w:rPr>
        <w:tab/>
      </w:r>
      <w:r w:rsidRPr="00355E1D">
        <w:rPr>
          <w:sz w:val="24"/>
          <w:szCs w:val="24"/>
        </w:rPr>
        <w:t xml:space="preserve">Information collection results will not be published. </w:t>
      </w:r>
    </w:p>
    <w:p w:rsidR="00B03063" w:rsidRDefault="00B03063">
      <w:pPr>
        <w:rPr>
          <w:b/>
          <w:sz w:val="24"/>
          <w:szCs w:val="24"/>
        </w:rPr>
      </w:pPr>
    </w:p>
    <w:p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B03063" w:rsidRDefault="00B03063">
      <w:pPr>
        <w:pStyle w:val="BodyTextIndent2"/>
        <w:tabs>
          <w:tab w:val="left" w:pos="360"/>
        </w:tabs>
        <w:spacing w:line="240" w:lineRule="auto"/>
        <w:ind w:left="0"/>
        <w:rPr>
          <w:szCs w:val="24"/>
        </w:rPr>
      </w:pPr>
    </w:p>
    <w:p w:rsidR="00B03063" w:rsidRDefault="00355E1D">
      <w:pPr>
        <w:pStyle w:val="BodyTextIndent2"/>
        <w:tabs>
          <w:tab w:val="left" w:pos="360"/>
        </w:tabs>
        <w:spacing w:line="240" w:lineRule="auto"/>
        <w:ind w:left="0"/>
        <w:rPr>
          <w:sz w:val="24"/>
          <w:szCs w:val="24"/>
        </w:rPr>
      </w:pPr>
      <w:r>
        <w:rPr>
          <w:szCs w:val="24"/>
        </w:rPr>
        <w:tab/>
      </w:r>
      <w:r>
        <w:rPr>
          <w:szCs w:val="24"/>
        </w:rPr>
        <w:tab/>
      </w:r>
      <w:r w:rsidRPr="00355E1D">
        <w:rPr>
          <w:sz w:val="24"/>
          <w:szCs w:val="24"/>
        </w:rPr>
        <w:t>The OMB approval number and date will appear on the HUD-prescribed forms.</w:t>
      </w:r>
    </w:p>
    <w:p w:rsidR="00B03063" w:rsidRDefault="00B03063">
      <w:pPr>
        <w:pStyle w:val="BodyTextIndent2"/>
        <w:tabs>
          <w:tab w:val="left" w:pos="360"/>
        </w:tabs>
        <w:spacing w:line="240" w:lineRule="auto"/>
        <w:ind w:left="0"/>
        <w:rPr>
          <w:szCs w:val="24"/>
        </w:rPr>
      </w:pPr>
    </w:p>
    <w:p w:rsidR="00B03063" w:rsidRDefault="00355E1D">
      <w:pPr>
        <w:pStyle w:val="BodyTextIndent2"/>
        <w:widowControl w:val="0"/>
        <w:numPr>
          <w:ilvl w:val="0"/>
          <w:numId w:val="11"/>
        </w:numPr>
        <w:tabs>
          <w:tab w:val="left" w:pos="-720"/>
          <w:tab w:val="left" w:pos="360"/>
        </w:tabs>
        <w:suppressAutoHyphens/>
        <w:spacing w:line="240" w:lineRule="auto"/>
        <w:rPr>
          <w:sz w:val="24"/>
          <w:szCs w:val="24"/>
        </w:rPr>
      </w:pPr>
      <w:r w:rsidRPr="00355E1D">
        <w:rPr>
          <w:b/>
          <w:sz w:val="24"/>
          <w:szCs w:val="24"/>
        </w:rPr>
        <w:t xml:space="preserve"> Explain each exception to the certification statement identified in Item 19, "Certification for Paperwork Reduction Act Submissions," of OMB Form 83-I.</w:t>
      </w:r>
    </w:p>
    <w:p w:rsidR="00B03063" w:rsidRPr="005B07E9" w:rsidRDefault="00355E1D">
      <w:pPr>
        <w:pStyle w:val="BodyTextIndent2"/>
        <w:tabs>
          <w:tab w:val="left" w:pos="360"/>
        </w:tabs>
        <w:spacing w:line="240" w:lineRule="auto"/>
        <w:ind w:left="0"/>
      </w:pPr>
      <w:r w:rsidRPr="00355E1D">
        <w:rPr>
          <w:sz w:val="24"/>
          <w:szCs w:val="24"/>
        </w:rPr>
        <w:tab/>
      </w:r>
    </w:p>
    <w:p w:rsidR="00B03063" w:rsidRDefault="00355E1D">
      <w:pPr>
        <w:rPr>
          <w:bCs/>
          <w:sz w:val="24"/>
          <w:szCs w:val="24"/>
        </w:rPr>
      </w:pPr>
      <w:r w:rsidRPr="00355E1D">
        <w:rPr>
          <w:bCs/>
          <w:sz w:val="24"/>
          <w:szCs w:val="24"/>
        </w:rPr>
        <w:tab/>
        <w:t>There are no exceptions to the certification statement.</w:t>
      </w:r>
    </w:p>
    <w:p w:rsidR="00B03063" w:rsidRDefault="00355E1D">
      <w:pPr>
        <w:pStyle w:val="BodyTextIndent2"/>
        <w:tabs>
          <w:tab w:val="left" w:pos="360"/>
        </w:tabs>
        <w:spacing w:line="240" w:lineRule="auto"/>
        <w:ind w:left="0"/>
        <w:rPr>
          <w:rFonts w:eastAsiaTheme="minorHAnsi"/>
          <w:sz w:val="24"/>
          <w:szCs w:val="24"/>
        </w:rPr>
      </w:pPr>
      <w:r w:rsidRPr="00355E1D">
        <w:rPr>
          <w:rFonts w:eastAsiaTheme="minorHAnsi"/>
          <w:sz w:val="24"/>
          <w:szCs w:val="24"/>
        </w:rPr>
        <w:tab/>
      </w:r>
    </w:p>
    <w:p w:rsidR="00B03063" w:rsidRDefault="00355E1D" w:rsidP="005B07E9">
      <w:pPr>
        <w:pStyle w:val="BodyTextIndent2"/>
        <w:tabs>
          <w:tab w:val="left" w:pos="360"/>
        </w:tabs>
        <w:spacing w:line="240" w:lineRule="auto"/>
        <w:ind w:left="0"/>
        <w:rPr>
          <w:sz w:val="24"/>
          <w:szCs w:val="24"/>
        </w:rPr>
      </w:pPr>
      <w:r w:rsidRPr="00355E1D">
        <w:rPr>
          <w:b/>
          <w:sz w:val="24"/>
          <w:szCs w:val="24"/>
        </w:rPr>
        <w:tab/>
        <w:t xml:space="preserve">B. </w:t>
      </w:r>
      <w:r w:rsidRPr="00355E1D">
        <w:rPr>
          <w:b/>
          <w:sz w:val="24"/>
          <w:szCs w:val="24"/>
        </w:rPr>
        <w:tab/>
        <w:t>Collections of Information Employing Statistical Methods</w:t>
      </w:r>
    </w:p>
    <w:p w:rsidR="005B07E9" w:rsidRPr="005B07E9" w:rsidRDefault="00355E1D" w:rsidP="005B07E9">
      <w:pPr>
        <w:pStyle w:val="BodyTextIndent2"/>
        <w:tabs>
          <w:tab w:val="left" w:pos="360"/>
        </w:tabs>
        <w:spacing w:line="240" w:lineRule="auto"/>
        <w:ind w:left="0"/>
      </w:pPr>
      <w:r w:rsidRPr="00355E1D">
        <w:rPr>
          <w:sz w:val="24"/>
          <w:szCs w:val="24"/>
        </w:rPr>
        <w:tab/>
      </w:r>
      <w:r w:rsidRPr="00355E1D">
        <w:rPr>
          <w:sz w:val="24"/>
          <w:szCs w:val="24"/>
        </w:rPr>
        <w:tab/>
      </w:r>
    </w:p>
    <w:p w:rsidR="00B03063" w:rsidRDefault="005B07E9" w:rsidP="005B07E9">
      <w:pPr>
        <w:pStyle w:val="BodyTextIndent2"/>
        <w:tabs>
          <w:tab w:val="left" w:pos="360"/>
        </w:tabs>
        <w:spacing w:line="240" w:lineRule="auto"/>
        <w:ind w:left="0"/>
        <w:rPr>
          <w:sz w:val="24"/>
          <w:szCs w:val="24"/>
        </w:rPr>
      </w:pPr>
      <w:r>
        <w:rPr>
          <w:sz w:val="24"/>
          <w:szCs w:val="24"/>
        </w:rPr>
        <w:tab/>
      </w:r>
      <w:r>
        <w:rPr>
          <w:sz w:val="24"/>
          <w:szCs w:val="24"/>
        </w:rPr>
        <w:tab/>
      </w:r>
      <w:r w:rsidR="00355E1D" w:rsidRPr="00355E1D">
        <w:rPr>
          <w:sz w:val="24"/>
          <w:szCs w:val="24"/>
        </w:rPr>
        <w:t>There are no collections of information that employ statistical methods.</w:t>
      </w:r>
    </w:p>
    <w:p w:rsidR="00C53525" w:rsidRPr="00355E1D" w:rsidRDefault="00C53525" w:rsidP="005B0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ind w:left="720"/>
        <w:rPr>
          <w:rFonts w:ascii="Courier" w:hAnsi="Courier"/>
          <w:sz w:val="24"/>
          <w:szCs w:val="24"/>
        </w:rPr>
      </w:pPr>
    </w:p>
    <w:sectPr w:rsidR="00C53525" w:rsidRPr="00355E1D" w:rsidSect="000E72F1">
      <w:footerReference w:type="default" r:id="rId9"/>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85" w:rsidRDefault="00964085">
      <w:r>
        <w:separator/>
      </w:r>
    </w:p>
  </w:endnote>
  <w:endnote w:type="continuationSeparator" w:id="0">
    <w:p w:rsidR="00964085" w:rsidRDefault="0096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522" w:rsidRDefault="00947522">
    <w:pPr>
      <w:pStyle w:val="Footer"/>
      <w:tabs>
        <w:tab w:val="clear" w:pos="4320"/>
        <w:tab w:val="clear" w:pos="8640"/>
        <w:tab w:val="right" w:pos="10920"/>
      </w:tabs>
      <w:spacing w:line="120" w:lineRule="exact"/>
      <w:ind w:left="-120" w:right="-120"/>
      <w:rPr>
        <w:rFonts w:ascii="Helvetica" w:hAnsi="Helvetica"/>
        <w:b/>
        <w:sz w:val="18"/>
      </w:rPr>
    </w:pPr>
  </w:p>
  <w:p w:rsidR="00947522" w:rsidRDefault="00947522">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85" w:rsidRDefault="00964085">
      <w:r>
        <w:separator/>
      </w:r>
    </w:p>
  </w:footnote>
  <w:footnote w:type="continuationSeparator" w:id="0">
    <w:p w:rsidR="00964085" w:rsidRDefault="00964085">
      <w:r>
        <w:continuationSeparator/>
      </w:r>
    </w:p>
  </w:footnote>
  <w:footnote w:id="1">
    <w:p w:rsidR="00947522" w:rsidRPr="001F3B95" w:rsidRDefault="00947522" w:rsidP="00355E1D">
      <w:pPr>
        <w:pStyle w:val="FootnoteText"/>
        <w:rPr>
          <w:rFonts w:ascii="Times New Roman" w:hAnsi="Times New Roman"/>
        </w:rPr>
      </w:pPr>
      <w:r w:rsidRPr="00E3061B">
        <w:rPr>
          <w:rStyle w:val="FootnoteReference"/>
        </w:rPr>
        <w:footnoteRef/>
      </w:r>
      <w:r w:rsidRPr="00E3061B">
        <w:t xml:space="preserve"> </w:t>
      </w:r>
      <w:proofErr w:type="gramStart"/>
      <w:r>
        <w:rPr>
          <w:rFonts w:ascii="Times New Roman" w:hAnsi="Times New Roman"/>
        </w:rPr>
        <w:t>Public Law 112-55-Consolidated and Further Continuing Appropriations Act, 2012.</w:t>
      </w:r>
      <w:proofErr w:type="gramEnd"/>
      <w:r>
        <w:rPr>
          <w:rFonts w:ascii="Times New Roman" w:hAnsi="Times New Roman"/>
        </w:rPr>
        <w:t xml:space="preserve">  S</w:t>
      </w:r>
      <w:r w:rsidRPr="00E3061B">
        <w:rPr>
          <w:rFonts w:ascii="Times New Roman" w:hAnsi="Times New Roman"/>
        </w:rPr>
        <w:t>igned November 18,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0D3D1FB6"/>
    <w:multiLevelType w:val="hybridMultilevel"/>
    <w:tmpl w:val="7070E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EF56DE"/>
    <w:multiLevelType w:val="hybridMultilevel"/>
    <w:tmpl w:val="E9888C4C"/>
    <w:lvl w:ilvl="0" w:tplc="AF608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99E3AC6"/>
    <w:multiLevelType w:val="hybridMultilevel"/>
    <w:tmpl w:val="8514E498"/>
    <w:lvl w:ilvl="0" w:tplc="F912CA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383660E"/>
    <w:multiLevelType w:val="hybridMultilevel"/>
    <w:tmpl w:val="DB84E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5810AE"/>
    <w:multiLevelType w:val="hybridMultilevel"/>
    <w:tmpl w:val="35DC9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12"/>
  </w:num>
  <w:num w:numId="3">
    <w:abstractNumId w:val="3"/>
  </w:num>
  <w:num w:numId="4">
    <w:abstractNumId w:val="5"/>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10"/>
  </w:num>
  <w:num w:numId="11">
    <w:abstractNumId w:val="2"/>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84F73"/>
    <w:rsid w:val="00001DB8"/>
    <w:rsid w:val="00007881"/>
    <w:rsid w:val="00020DC4"/>
    <w:rsid w:val="00020F12"/>
    <w:rsid w:val="000256F3"/>
    <w:rsid w:val="00036BC0"/>
    <w:rsid w:val="00065991"/>
    <w:rsid w:val="000D2776"/>
    <w:rsid w:val="000E11DE"/>
    <w:rsid w:val="000E3880"/>
    <w:rsid w:val="000E4F6F"/>
    <w:rsid w:val="000E72F1"/>
    <w:rsid w:val="00100C45"/>
    <w:rsid w:val="0010626F"/>
    <w:rsid w:val="00110D82"/>
    <w:rsid w:val="0011311C"/>
    <w:rsid w:val="00126214"/>
    <w:rsid w:val="0014640C"/>
    <w:rsid w:val="0014773E"/>
    <w:rsid w:val="00151D19"/>
    <w:rsid w:val="00167682"/>
    <w:rsid w:val="001879A7"/>
    <w:rsid w:val="001E45D4"/>
    <w:rsid w:val="001F365B"/>
    <w:rsid w:val="00202971"/>
    <w:rsid w:val="0021395B"/>
    <w:rsid w:val="00233E23"/>
    <w:rsid w:val="00240828"/>
    <w:rsid w:val="002713E8"/>
    <w:rsid w:val="00297166"/>
    <w:rsid w:val="002A255F"/>
    <w:rsid w:val="002D2733"/>
    <w:rsid w:val="002E69A3"/>
    <w:rsid w:val="002F6812"/>
    <w:rsid w:val="0031489D"/>
    <w:rsid w:val="0031500B"/>
    <w:rsid w:val="00330D1B"/>
    <w:rsid w:val="00352400"/>
    <w:rsid w:val="00355E1D"/>
    <w:rsid w:val="00365B87"/>
    <w:rsid w:val="003730D3"/>
    <w:rsid w:val="00385731"/>
    <w:rsid w:val="00393447"/>
    <w:rsid w:val="003D1318"/>
    <w:rsid w:val="004202C0"/>
    <w:rsid w:val="00422141"/>
    <w:rsid w:val="0043335A"/>
    <w:rsid w:val="00436B7B"/>
    <w:rsid w:val="00441F7F"/>
    <w:rsid w:val="00442817"/>
    <w:rsid w:val="00444AF2"/>
    <w:rsid w:val="00454B77"/>
    <w:rsid w:val="00471A24"/>
    <w:rsid w:val="0047403D"/>
    <w:rsid w:val="00476BB5"/>
    <w:rsid w:val="0048334E"/>
    <w:rsid w:val="00491DB6"/>
    <w:rsid w:val="004A113A"/>
    <w:rsid w:val="004A71FC"/>
    <w:rsid w:val="004C0E19"/>
    <w:rsid w:val="004C65A9"/>
    <w:rsid w:val="004F2585"/>
    <w:rsid w:val="004F2EF2"/>
    <w:rsid w:val="005400BA"/>
    <w:rsid w:val="005508C9"/>
    <w:rsid w:val="00561440"/>
    <w:rsid w:val="00585225"/>
    <w:rsid w:val="0059794F"/>
    <w:rsid w:val="005A3D90"/>
    <w:rsid w:val="005B07E9"/>
    <w:rsid w:val="005B312E"/>
    <w:rsid w:val="005D6E42"/>
    <w:rsid w:val="005E4523"/>
    <w:rsid w:val="005F6E8B"/>
    <w:rsid w:val="006179E1"/>
    <w:rsid w:val="00617CF3"/>
    <w:rsid w:val="00652C65"/>
    <w:rsid w:val="00663A5A"/>
    <w:rsid w:val="00675E59"/>
    <w:rsid w:val="00675F61"/>
    <w:rsid w:val="006A71C9"/>
    <w:rsid w:val="006B5791"/>
    <w:rsid w:val="006B7DC4"/>
    <w:rsid w:val="006D278A"/>
    <w:rsid w:val="006E5454"/>
    <w:rsid w:val="007168C1"/>
    <w:rsid w:val="007351AE"/>
    <w:rsid w:val="00770BBC"/>
    <w:rsid w:val="007A1939"/>
    <w:rsid w:val="007F3808"/>
    <w:rsid w:val="00804AEC"/>
    <w:rsid w:val="008105F1"/>
    <w:rsid w:val="00833F66"/>
    <w:rsid w:val="00857A86"/>
    <w:rsid w:val="00891FD7"/>
    <w:rsid w:val="008A4E9E"/>
    <w:rsid w:val="008A5135"/>
    <w:rsid w:val="008A6836"/>
    <w:rsid w:val="008B3681"/>
    <w:rsid w:val="008E6DFA"/>
    <w:rsid w:val="008F1936"/>
    <w:rsid w:val="008F4220"/>
    <w:rsid w:val="0090232B"/>
    <w:rsid w:val="00907830"/>
    <w:rsid w:val="009220EE"/>
    <w:rsid w:val="00947522"/>
    <w:rsid w:val="00954D17"/>
    <w:rsid w:val="009600DA"/>
    <w:rsid w:val="00964085"/>
    <w:rsid w:val="00971349"/>
    <w:rsid w:val="009C28C4"/>
    <w:rsid w:val="009D2CE1"/>
    <w:rsid w:val="009E23E3"/>
    <w:rsid w:val="009F2DBB"/>
    <w:rsid w:val="00A05F5D"/>
    <w:rsid w:val="00A1013A"/>
    <w:rsid w:val="00A32209"/>
    <w:rsid w:val="00A55E0F"/>
    <w:rsid w:val="00A61FF6"/>
    <w:rsid w:val="00AA7F23"/>
    <w:rsid w:val="00AB3B04"/>
    <w:rsid w:val="00AB4D73"/>
    <w:rsid w:val="00AC1E30"/>
    <w:rsid w:val="00AE2719"/>
    <w:rsid w:val="00AF01CE"/>
    <w:rsid w:val="00AF7E7B"/>
    <w:rsid w:val="00B03063"/>
    <w:rsid w:val="00B47679"/>
    <w:rsid w:val="00B549E0"/>
    <w:rsid w:val="00BA6F67"/>
    <w:rsid w:val="00BC2063"/>
    <w:rsid w:val="00BC5FB8"/>
    <w:rsid w:val="00BE1995"/>
    <w:rsid w:val="00C450CC"/>
    <w:rsid w:val="00C53525"/>
    <w:rsid w:val="00C672AD"/>
    <w:rsid w:val="00C74430"/>
    <w:rsid w:val="00C9331C"/>
    <w:rsid w:val="00C94185"/>
    <w:rsid w:val="00C97599"/>
    <w:rsid w:val="00CB2C47"/>
    <w:rsid w:val="00CF688E"/>
    <w:rsid w:val="00D12EC4"/>
    <w:rsid w:val="00D33E93"/>
    <w:rsid w:val="00D4606C"/>
    <w:rsid w:val="00D6626A"/>
    <w:rsid w:val="00D67061"/>
    <w:rsid w:val="00D726A9"/>
    <w:rsid w:val="00D746F6"/>
    <w:rsid w:val="00D82CD0"/>
    <w:rsid w:val="00D84F73"/>
    <w:rsid w:val="00DB7B62"/>
    <w:rsid w:val="00DE28EB"/>
    <w:rsid w:val="00DF0E51"/>
    <w:rsid w:val="00E0029E"/>
    <w:rsid w:val="00E12C04"/>
    <w:rsid w:val="00E178DB"/>
    <w:rsid w:val="00E23DA7"/>
    <w:rsid w:val="00E30C75"/>
    <w:rsid w:val="00E35B82"/>
    <w:rsid w:val="00E42AB4"/>
    <w:rsid w:val="00E454DC"/>
    <w:rsid w:val="00E65EA6"/>
    <w:rsid w:val="00E73E85"/>
    <w:rsid w:val="00E93C6E"/>
    <w:rsid w:val="00EC5C62"/>
    <w:rsid w:val="00F3063C"/>
    <w:rsid w:val="00F453DC"/>
    <w:rsid w:val="00F81D81"/>
    <w:rsid w:val="00FA6644"/>
    <w:rsid w:val="00FB6DBF"/>
    <w:rsid w:val="00FE3BE4"/>
    <w:rsid w:val="00FE46AC"/>
    <w:rsid w:val="00FF06BA"/>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uiPriority w:val="59"/>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355E1D"/>
    <w:pPr>
      <w:spacing w:after="120" w:line="480" w:lineRule="auto"/>
      <w:ind w:left="360"/>
    </w:pPr>
  </w:style>
  <w:style w:type="character" w:customStyle="1" w:styleId="BodyTextIndent2Char">
    <w:name w:val="Body Text Indent 2 Char"/>
    <w:basedOn w:val="DefaultParagraphFont"/>
    <w:link w:val="BodyTextIndent2"/>
    <w:rsid w:val="00355E1D"/>
  </w:style>
  <w:style w:type="paragraph" w:styleId="ListParagraph">
    <w:name w:val="List Paragraph"/>
    <w:basedOn w:val="Normal"/>
    <w:uiPriority w:val="99"/>
    <w:qFormat/>
    <w:rsid w:val="00355E1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Spacing">
    <w:name w:val="No Spacing"/>
    <w:uiPriority w:val="1"/>
    <w:qFormat/>
    <w:rsid w:val="00355E1D"/>
    <w:rPr>
      <w:rFonts w:asciiTheme="minorHAnsi" w:eastAsiaTheme="minorHAnsi" w:hAnsiTheme="minorHAnsi" w:cstheme="minorBidi"/>
      <w:sz w:val="22"/>
      <w:szCs w:val="22"/>
    </w:rPr>
  </w:style>
  <w:style w:type="paragraph" w:styleId="NormalWeb">
    <w:name w:val="Normal (Web)"/>
    <w:basedOn w:val="Normal"/>
    <w:uiPriority w:val="99"/>
    <w:unhideWhenUsed/>
    <w:rsid w:val="00355E1D"/>
    <w:pPr>
      <w:overflowPunct/>
      <w:autoSpaceDE/>
      <w:autoSpaceDN/>
      <w:adjustRightInd/>
      <w:spacing w:before="100" w:beforeAutospacing="1" w:after="100" w:afterAutospacing="1"/>
      <w:textAlignment w:val="auto"/>
    </w:pPr>
    <w:rPr>
      <w:sz w:val="24"/>
      <w:szCs w:val="24"/>
    </w:rPr>
  </w:style>
  <w:style w:type="paragraph" w:styleId="FootnoteText">
    <w:name w:val="footnote text"/>
    <w:basedOn w:val="Normal"/>
    <w:link w:val="FootnoteTextChar"/>
    <w:uiPriority w:val="99"/>
    <w:unhideWhenUsed/>
    <w:rsid w:val="00355E1D"/>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55E1D"/>
    <w:rPr>
      <w:rFonts w:asciiTheme="minorHAnsi" w:eastAsiaTheme="minorHAnsi" w:hAnsiTheme="minorHAnsi" w:cstheme="minorBidi"/>
    </w:rPr>
  </w:style>
  <w:style w:type="character" w:styleId="FootnoteReference">
    <w:name w:val="footnote reference"/>
    <w:basedOn w:val="DefaultParagraphFont"/>
    <w:uiPriority w:val="99"/>
    <w:unhideWhenUsed/>
    <w:rsid w:val="00355E1D"/>
    <w:rPr>
      <w:vertAlign w:val="superscript"/>
    </w:rPr>
  </w:style>
  <w:style w:type="character" w:styleId="CommentReference">
    <w:name w:val="annotation reference"/>
    <w:basedOn w:val="DefaultParagraphFont"/>
    <w:rsid w:val="0059794F"/>
    <w:rPr>
      <w:sz w:val="16"/>
      <w:szCs w:val="16"/>
    </w:rPr>
  </w:style>
  <w:style w:type="paragraph" w:styleId="CommentText">
    <w:name w:val="annotation text"/>
    <w:basedOn w:val="Normal"/>
    <w:link w:val="CommentTextChar"/>
    <w:rsid w:val="0059794F"/>
  </w:style>
  <w:style w:type="character" w:customStyle="1" w:styleId="CommentTextChar">
    <w:name w:val="Comment Text Char"/>
    <w:basedOn w:val="DefaultParagraphFont"/>
    <w:link w:val="CommentText"/>
    <w:rsid w:val="0059794F"/>
  </w:style>
  <w:style w:type="paragraph" w:styleId="CommentSubject">
    <w:name w:val="annotation subject"/>
    <w:basedOn w:val="CommentText"/>
    <w:next w:val="CommentText"/>
    <w:link w:val="CommentSubjectChar"/>
    <w:rsid w:val="0059794F"/>
    <w:rPr>
      <w:b/>
      <w:bCs/>
    </w:rPr>
  </w:style>
  <w:style w:type="character" w:customStyle="1" w:styleId="CommentSubjectChar">
    <w:name w:val="Comment Subject Char"/>
    <w:basedOn w:val="CommentTextChar"/>
    <w:link w:val="CommentSubject"/>
    <w:rsid w:val="005979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uiPriority w:val="59"/>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355E1D"/>
    <w:pPr>
      <w:spacing w:after="120" w:line="480" w:lineRule="auto"/>
      <w:ind w:left="360"/>
    </w:pPr>
  </w:style>
  <w:style w:type="character" w:customStyle="1" w:styleId="BodyTextIndent2Char">
    <w:name w:val="Body Text Indent 2 Char"/>
    <w:basedOn w:val="DefaultParagraphFont"/>
    <w:link w:val="BodyTextIndent2"/>
    <w:rsid w:val="00355E1D"/>
  </w:style>
  <w:style w:type="paragraph" w:styleId="ListParagraph">
    <w:name w:val="List Paragraph"/>
    <w:basedOn w:val="Normal"/>
    <w:uiPriority w:val="99"/>
    <w:qFormat/>
    <w:rsid w:val="00355E1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Spacing">
    <w:name w:val="No Spacing"/>
    <w:uiPriority w:val="1"/>
    <w:qFormat/>
    <w:rsid w:val="00355E1D"/>
    <w:rPr>
      <w:rFonts w:asciiTheme="minorHAnsi" w:eastAsiaTheme="minorHAnsi" w:hAnsiTheme="minorHAnsi" w:cstheme="minorBidi"/>
      <w:sz w:val="22"/>
      <w:szCs w:val="22"/>
    </w:rPr>
  </w:style>
  <w:style w:type="paragraph" w:styleId="NormalWeb">
    <w:name w:val="Normal (Web)"/>
    <w:basedOn w:val="Normal"/>
    <w:uiPriority w:val="99"/>
    <w:unhideWhenUsed/>
    <w:rsid w:val="00355E1D"/>
    <w:pPr>
      <w:overflowPunct/>
      <w:autoSpaceDE/>
      <w:autoSpaceDN/>
      <w:adjustRightInd/>
      <w:spacing w:before="100" w:beforeAutospacing="1" w:after="100" w:afterAutospacing="1"/>
      <w:textAlignment w:val="auto"/>
    </w:pPr>
    <w:rPr>
      <w:sz w:val="24"/>
      <w:szCs w:val="24"/>
    </w:rPr>
  </w:style>
  <w:style w:type="paragraph" w:styleId="FootnoteText">
    <w:name w:val="footnote text"/>
    <w:basedOn w:val="Normal"/>
    <w:link w:val="FootnoteTextChar"/>
    <w:uiPriority w:val="99"/>
    <w:unhideWhenUsed/>
    <w:rsid w:val="00355E1D"/>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55E1D"/>
    <w:rPr>
      <w:rFonts w:asciiTheme="minorHAnsi" w:eastAsiaTheme="minorHAnsi" w:hAnsiTheme="minorHAnsi" w:cstheme="minorBidi"/>
    </w:rPr>
  </w:style>
  <w:style w:type="character" w:styleId="FootnoteReference">
    <w:name w:val="footnote reference"/>
    <w:basedOn w:val="DefaultParagraphFont"/>
    <w:uiPriority w:val="99"/>
    <w:unhideWhenUsed/>
    <w:rsid w:val="00355E1D"/>
    <w:rPr>
      <w:vertAlign w:val="superscript"/>
    </w:rPr>
  </w:style>
  <w:style w:type="character" w:styleId="CommentReference">
    <w:name w:val="annotation reference"/>
    <w:basedOn w:val="DefaultParagraphFont"/>
    <w:rsid w:val="0059794F"/>
    <w:rPr>
      <w:sz w:val="16"/>
      <w:szCs w:val="16"/>
    </w:rPr>
  </w:style>
  <w:style w:type="paragraph" w:styleId="CommentText">
    <w:name w:val="annotation text"/>
    <w:basedOn w:val="Normal"/>
    <w:link w:val="CommentTextChar"/>
    <w:rsid w:val="0059794F"/>
  </w:style>
  <w:style w:type="character" w:customStyle="1" w:styleId="CommentTextChar">
    <w:name w:val="Comment Text Char"/>
    <w:basedOn w:val="DefaultParagraphFont"/>
    <w:link w:val="CommentText"/>
    <w:rsid w:val="0059794F"/>
  </w:style>
  <w:style w:type="paragraph" w:styleId="CommentSubject">
    <w:name w:val="annotation subject"/>
    <w:basedOn w:val="CommentText"/>
    <w:next w:val="CommentText"/>
    <w:link w:val="CommentSubjectChar"/>
    <w:rsid w:val="0059794F"/>
    <w:rPr>
      <w:b/>
      <w:bCs/>
    </w:rPr>
  </w:style>
  <w:style w:type="character" w:customStyle="1" w:styleId="CommentSubjectChar">
    <w:name w:val="Comment Subject Char"/>
    <w:basedOn w:val="CommentTextChar"/>
    <w:link w:val="CommentSubject"/>
    <w:rsid w:val="00597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0883">
      <w:bodyDiv w:val="1"/>
      <w:marLeft w:val="0"/>
      <w:marRight w:val="0"/>
      <w:marTop w:val="0"/>
      <w:marBottom w:val="0"/>
      <w:divBdr>
        <w:top w:val="none" w:sz="0" w:space="0" w:color="auto"/>
        <w:left w:val="none" w:sz="0" w:space="0" w:color="auto"/>
        <w:bottom w:val="none" w:sz="0" w:space="0" w:color="auto"/>
        <w:right w:val="none" w:sz="0" w:space="0" w:color="auto"/>
      </w:divBdr>
    </w:div>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1660189199">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1E9DF-06DB-4339-A6D6-BCF39FBD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3049</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2015-09-28T12:34:00Z</dcterms:created>
  <dcterms:modified xsi:type="dcterms:W3CDTF">2015-12-10T19:45:00Z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1251338578</vt:i4>
  </property>
  <property fmtid="{D5CDD505-2E9C-101B-9397-08002B2CF9AE}" pid="3" name="_NewReviewCycle">
    <vt:lpwstr/>
  </property>
  <property fmtid="{D5CDD505-2E9C-101B-9397-08002B2CF9AE}" pid="4" name="_PreviousAdHocReviewCycleID">
    <vt:i4>-2003931345</vt:i4>
  </property>
  <property fmtid="{D5CDD505-2E9C-101B-9397-08002B2CF9AE}" pid="5" name="_ReviewingToolsShownOnce">
    <vt:lpwstr/>
  </property>
</Properties>
</file>