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FAE" w:rsidRDefault="00C73092" w:rsidP="00C73092">
      <w:bookmarkStart w:id="0" w:name="_GoBack"/>
      <w:bookmarkEnd w:id="0"/>
      <w:r>
        <w:t xml:space="preserve">Part 54 – High Cost Loop Support Reporting to </w:t>
      </w:r>
    </w:p>
    <w:p w:rsidR="00C73092" w:rsidRDefault="00C73092" w:rsidP="00C73092">
      <w:r>
        <w:t>N</w:t>
      </w:r>
      <w:r w:rsidR="00016FAE">
        <w:t xml:space="preserve">ational </w:t>
      </w:r>
      <w:r>
        <w:t>E</w:t>
      </w:r>
      <w:r w:rsidR="00016FAE">
        <w:t xml:space="preserve">xchange </w:t>
      </w:r>
      <w:r>
        <w:t>C</w:t>
      </w:r>
      <w:r w:rsidR="00016FAE">
        <w:t xml:space="preserve">arrier </w:t>
      </w:r>
      <w:r>
        <w:t>A</w:t>
      </w:r>
      <w:r w:rsidR="00016FAE">
        <w:t>ssociation (NECA)</w:t>
      </w:r>
      <w:r>
        <w:t xml:space="preserve"> </w:t>
      </w:r>
    </w:p>
    <w:p w:rsidR="00C73092" w:rsidRDefault="00C73092" w:rsidP="00DE1EFD">
      <w:pPr>
        <w:rPr>
          <w:b/>
          <w:szCs w:val="24"/>
        </w:rPr>
      </w:pPr>
    </w:p>
    <w:p w:rsidR="00E552AC" w:rsidRPr="00EC72F6" w:rsidRDefault="00E552AC" w:rsidP="00C73092">
      <w:pPr>
        <w:jc w:val="right"/>
        <w:rPr>
          <w:b/>
          <w:szCs w:val="24"/>
        </w:rPr>
      </w:pPr>
      <w:r w:rsidRPr="00EC72F6">
        <w:rPr>
          <w:b/>
          <w:szCs w:val="24"/>
        </w:rPr>
        <w:t>3060-0233</w:t>
      </w:r>
    </w:p>
    <w:p w:rsidR="00E552AC" w:rsidRPr="00EC72F6" w:rsidRDefault="00016FAE" w:rsidP="003937B2">
      <w:pPr>
        <w:jc w:val="right"/>
        <w:rPr>
          <w:szCs w:val="24"/>
        </w:rPr>
      </w:pPr>
      <w:r>
        <w:rPr>
          <w:szCs w:val="24"/>
        </w:rPr>
        <w:t xml:space="preserve">November </w:t>
      </w:r>
      <w:r w:rsidR="009672EA" w:rsidRPr="00587AC1">
        <w:rPr>
          <w:szCs w:val="24"/>
        </w:rPr>
        <w:t>2015</w:t>
      </w:r>
    </w:p>
    <w:p w:rsidR="00EF1555" w:rsidRPr="00EC72F6" w:rsidRDefault="00EF1555" w:rsidP="00EF1555">
      <w:pPr>
        <w:jc w:val="right"/>
        <w:rPr>
          <w:szCs w:val="24"/>
        </w:rPr>
      </w:pPr>
    </w:p>
    <w:p w:rsidR="00E552AC" w:rsidRPr="00EC72F6" w:rsidRDefault="00E552AC">
      <w:pPr>
        <w:jc w:val="center"/>
        <w:rPr>
          <w:szCs w:val="24"/>
        </w:rPr>
      </w:pPr>
      <w:r w:rsidRPr="00EC72F6">
        <w:rPr>
          <w:szCs w:val="24"/>
        </w:rPr>
        <w:t>S</w:t>
      </w:r>
      <w:r w:rsidR="00EF1555" w:rsidRPr="00EC72F6">
        <w:rPr>
          <w:szCs w:val="24"/>
        </w:rPr>
        <w:t>UPPORTING STATEMENT</w:t>
      </w:r>
    </w:p>
    <w:p w:rsidR="00EF1555" w:rsidRPr="00EC72F6" w:rsidRDefault="00EF1555">
      <w:pPr>
        <w:jc w:val="center"/>
        <w:rPr>
          <w:szCs w:val="24"/>
        </w:rPr>
      </w:pPr>
    </w:p>
    <w:p w:rsidR="000955EF" w:rsidRPr="00EC72F6" w:rsidRDefault="000955EF" w:rsidP="000955EF">
      <w:pPr>
        <w:rPr>
          <w:b/>
          <w:szCs w:val="24"/>
          <w:u w:val="single"/>
        </w:rPr>
      </w:pPr>
    </w:p>
    <w:p w:rsidR="009672EA" w:rsidRPr="00EC72F6" w:rsidRDefault="009672EA" w:rsidP="003862E1">
      <w:pPr>
        <w:rPr>
          <w:szCs w:val="24"/>
        </w:rPr>
      </w:pPr>
      <w:r w:rsidRPr="00EC72F6">
        <w:rPr>
          <w:szCs w:val="24"/>
        </w:rPr>
        <w:t>This information collection 3060-0233 is being submitted to obtain OMB approval for revised information collection requirements as a result of moving currently approved existing requirements from 47 C</w:t>
      </w:r>
      <w:r w:rsidR="00D95664" w:rsidRPr="00EC72F6">
        <w:rPr>
          <w:szCs w:val="24"/>
        </w:rPr>
        <w:t>.</w:t>
      </w:r>
      <w:r w:rsidRPr="00EC72F6">
        <w:rPr>
          <w:szCs w:val="24"/>
        </w:rPr>
        <w:t>F</w:t>
      </w:r>
      <w:r w:rsidR="00D95664" w:rsidRPr="00EC72F6">
        <w:rPr>
          <w:szCs w:val="24"/>
        </w:rPr>
        <w:t>.</w:t>
      </w:r>
      <w:r w:rsidRPr="00EC72F6">
        <w:rPr>
          <w:szCs w:val="24"/>
        </w:rPr>
        <w:t>R</w:t>
      </w:r>
      <w:r w:rsidR="00D95664" w:rsidRPr="00EC72F6">
        <w:rPr>
          <w:szCs w:val="24"/>
        </w:rPr>
        <w:t>.</w:t>
      </w:r>
      <w:r w:rsidRPr="00EC72F6">
        <w:rPr>
          <w:szCs w:val="24"/>
        </w:rPr>
        <w:t xml:space="preserve"> Part 36 to 47 C</w:t>
      </w:r>
      <w:r w:rsidR="00D95664" w:rsidRPr="00EC72F6">
        <w:rPr>
          <w:szCs w:val="24"/>
        </w:rPr>
        <w:t>.</w:t>
      </w:r>
      <w:r w:rsidRPr="00EC72F6">
        <w:rPr>
          <w:szCs w:val="24"/>
        </w:rPr>
        <w:t>F</w:t>
      </w:r>
      <w:r w:rsidR="00D95664" w:rsidRPr="00EC72F6">
        <w:rPr>
          <w:szCs w:val="24"/>
        </w:rPr>
        <w:t>.</w:t>
      </w:r>
      <w:r w:rsidRPr="00EC72F6">
        <w:rPr>
          <w:szCs w:val="24"/>
        </w:rPr>
        <w:t>R</w:t>
      </w:r>
      <w:r w:rsidR="00D95664" w:rsidRPr="00EC72F6">
        <w:rPr>
          <w:szCs w:val="24"/>
        </w:rPr>
        <w:t>.</w:t>
      </w:r>
      <w:r w:rsidRPr="00EC72F6">
        <w:rPr>
          <w:szCs w:val="24"/>
        </w:rPr>
        <w:t xml:space="preserve"> Part 54.</w:t>
      </w:r>
    </w:p>
    <w:p w:rsidR="009672EA" w:rsidRPr="00EC72F6" w:rsidRDefault="009672EA" w:rsidP="003862E1">
      <w:pPr>
        <w:rPr>
          <w:szCs w:val="24"/>
        </w:rPr>
      </w:pPr>
    </w:p>
    <w:p w:rsidR="003862E1" w:rsidRPr="00EC72F6" w:rsidRDefault="00FF1B9B" w:rsidP="003862E1">
      <w:pPr>
        <w:rPr>
          <w:szCs w:val="24"/>
        </w:rPr>
      </w:pPr>
      <w:r w:rsidRPr="00EC72F6">
        <w:rPr>
          <w:szCs w:val="24"/>
        </w:rPr>
        <w:t xml:space="preserve">On April 23, 2014, the Commission adopted a </w:t>
      </w:r>
      <w:r w:rsidRPr="00EC72F6">
        <w:rPr>
          <w:i/>
          <w:szCs w:val="24"/>
        </w:rPr>
        <w:t>Report and Order, Declaratory Ruling, Order, Memorandum Opinion and Order, Seventh Order on Reconsideration, and Further Notice of Proposed Rulemaking</w:t>
      </w:r>
      <w:r w:rsidRPr="00EC72F6">
        <w:rPr>
          <w:szCs w:val="24"/>
        </w:rPr>
        <w:t xml:space="preserve"> (the “</w:t>
      </w:r>
      <w:r w:rsidRPr="00EC72F6">
        <w:rPr>
          <w:i/>
          <w:szCs w:val="24"/>
        </w:rPr>
        <w:t>Order</w:t>
      </w:r>
      <w:r w:rsidRPr="00EC72F6">
        <w:rPr>
          <w:szCs w:val="24"/>
        </w:rPr>
        <w:t xml:space="preserve">”) in WC Docket Nos. 10-90, 14-58, 07-135; WT Docket No. 10-208; CC Docket No. 01-92; FCC 14-54.  The </w:t>
      </w:r>
      <w:r w:rsidRPr="00EC72F6">
        <w:rPr>
          <w:i/>
          <w:szCs w:val="24"/>
        </w:rPr>
        <w:t>Order</w:t>
      </w:r>
      <w:r w:rsidRPr="00EC72F6">
        <w:rPr>
          <w:szCs w:val="24"/>
        </w:rPr>
        <w:t xml:space="preserve"> adopted rule amendments moving certain </w:t>
      </w:r>
      <w:r w:rsidR="00D95664" w:rsidRPr="00EC72F6">
        <w:rPr>
          <w:szCs w:val="24"/>
        </w:rPr>
        <w:t>rule</w:t>
      </w:r>
      <w:r w:rsidRPr="00EC72F6">
        <w:rPr>
          <w:szCs w:val="24"/>
        </w:rPr>
        <w:t xml:space="preserve"> requirements regarding H</w:t>
      </w:r>
      <w:r w:rsidR="00122416">
        <w:rPr>
          <w:szCs w:val="24"/>
        </w:rPr>
        <w:t xml:space="preserve">igh </w:t>
      </w:r>
      <w:r w:rsidRPr="00EC72F6">
        <w:rPr>
          <w:szCs w:val="24"/>
        </w:rPr>
        <w:t>C</w:t>
      </w:r>
      <w:r w:rsidR="00122416">
        <w:rPr>
          <w:szCs w:val="24"/>
        </w:rPr>
        <w:t xml:space="preserve">ost </w:t>
      </w:r>
      <w:r w:rsidRPr="00EC72F6">
        <w:rPr>
          <w:szCs w:val="24"/>
        </w:rPr>
        <w:t>L</w:t>
      </w:r>
      <w:r w:rsidR="00122416">
        <w:rPr>
          <w:szCs w:val="24"/>
        </w:rPr>
        <w:t xml:space="preserve">oop </w:t>
      </w:r>
      <w:r w:rsidRPr="00EC72F6">
        <w:rPr>
          <w:szCs w:val="24"/>
        </w:rPr>
        <w:t>S</w:t>
      </w:r>
      <w:r w:rsidR="00122416">
        <w:rPr>
          <w:szCs w:val="24"/>
        </w:rPr>
        <w:t>upport (HCLS)</w:t>
      </w:r>
      <w:r w:rsidRPr="00EC72F6">
        <w:rPr>
          <w:szCs w:val="24"/>
        </w:rPr>
        <w:t xml:space="preserve">, which </w:t>
      </w:r>
      <w:r w:rsidR="00E60078" w:rsidRPr="00EC72F6">
        <w:rPr>
          <w:szCs w:val="24"/>
        </w:rPr>
        <w:t xml:space="preserve">was </w:t>
      </w:r>
      <w:r w:rsidR="00D95664" w:rsidRPr="00EC72F6">
        <w:rPr>
          <w:szCs w:val="24"/>
        </w:rPr>
        <w:t>located in subpart F of</w:t>
      </w:r>
      <w:r w:rsidRPr="00EC72F6">
        <w:rPr>
          <w:szCs w:val="24"/>
        </w:rPr>
        <w:t xml:space="preserve"> </w:t>
      </w:r>
      <w:r w:rsidR="00E60078" w:rsidRPr="00EC72F6">
        <w:rPr>
          <w:szCs w:val="24"/>
        </w:rPr>
        <w:t>Part 36, into new subpart M of</w:t>
      </w:r>
      <w:r w:rsidRPr="00EC72F6">
        <w:rPr>
          <w:szCs w:val="24"/>
        </w:rPr>
        <w:t xml:space="preserve"> Part 54 in order to consolidate all high-cost rules in</w:t>
      </w:r>
      <w:r w:rsidR="00D95664" w:rsidRPr="00EC72F6">
        <w:rPr>
          <w:szCs w:val="24"/>
        </w:rPr>
        <w:t>to</w:t>
      </w:r>
      <w:r w:rsidRPr="00EC72F6">
        <w:rPr>
          <w:szCs w:val="24"/>
        </w:rPr>
        <w:t xml:space="preserve"> Part 54.</w:t>
      </w:r>
    </w:p>
    <w:p w:rsidR="003862E1" w:rsidRPr="00EC72F6" w:rsidRDefault="003862E1" w:rsidP="000955EF">
      <w:pPr>
        <w:rPr>
          <w:szCs w:val="24"/>
        </w:rPr>
      </w:pPr>
    </w:p>
    <w:p w:rsidR="00E552AC" w:rsidRPr="00EC72F6" w:rsidRDefault="00E552AC">
      <w:pPr>
        <w:rPr>
          <w:b/>
          <w:szCs w:val="24"/>
          <w:u w:val="single"/>
        </w:rPr>
      </w:pPr>
      <w:r w:rsidRPr="00EC72F6">
        <w:rPr>
          <w:b/>
          <w:szCs w:val="24"/>
        </w:rPr>
        <w:t>A.</w:t>
      </w:r>
      <w:r w:rsidRPr="00EC72F6">
        <w:rPr>
          <w:b/>
          <w:szCs w:val="24"/>
        </w:rPr>
        <w:tab/>
      </w:r>
      <w:r w:rsidRPr="00EC72F6">
        <w:rPr>
          <w:b/>
          <w:szCs w:val="24"/>
          <w:u w:val="single"/>
        </w:rPr>
        <w:t>Justification:</w:t>
      </w:r>
    </w:p>
    <w:p w:rsidR="00E552AC" w:rsidRPr="00EC72F6" w:rsidRDefault="00E552AC">
      <w:pPr>
        <w:rPr>
          <w:szCs w:val="24"/>
          <w:u w:val="single"/>
        </w:rPr>
      </w:pPr>
    </w:p>
    <w:p w:rsidR="00E552AC" w:rsidRPr="00EC72F6" w:rsidRDefault="00E552AC" w:rsidP="003D097D">
      <w:pPr>
        <w:ind w:left="720" w:hanging="720"/>
        <w:rPr>
          <w:szCs w:val="24"/>
        </w:rPr>
      </w:pPr>
      <w:r w:rsidRPr="00EC72F6">
        <w:rPr>
          <w:szCs w:val="24"/>
        </w:rPr>
        <w:t xml:space="preserve">1. </w:t>
      </w:r>
      <w:r w:rsidRPr="00EC72F6">
        <w:rPr>
          <w:szCs w:val="24"/>
        </w:rPr>
        <w:tab/>
        <w:t xml:space="preserve">In order to determine which carriers are entitled to universal service support, all </w:t>
      </w:r>
      <w:r w:rsidR="00F02FFB" w:rsidRPr="00EC72F6">
        <w:rPr>
          <w:szCs w:val="24"/>
        </w:rPr>
        <w:t>rate-of-return regulated (rate-of-return)</w:t>
      </w:r>
      <w:r w:rsidRPr="00EC72F6">
        <w:rPr>
          <w:szCs w:val="24"/>
        </w:rPr>
        <w:t xml:space="preserve"> incumbent local exchange carriers (LECs) must provide the National Exchange Carrier Association (NECA) with the loop cost and loop count data required by section </w:t>
      </w:r>
      <w:r w:rsidR="00E60078" w:rsidRPr="00EC72F6">
        <w:rPr>
          <w:szCs w:val="24"/>
        </w:rPr>
        <w:t>54.1305</w:t>
      </w:r>
      <w:r w:rsidRPr="00EC72F6">
        <w:rPr>
          <w:szCs w:val="24"/>
        </w:rPr>
        <w:t xml:space="preserve"> for each of its study areas and, if applicable, for each wire center as that term is defined in 47 C</w:t>
      </w:r>
      <w:r w:rsidR="00D95664" w:rsidRPr="00EC72F6">
        <w:rPr>
          <w:szCs w:val="24"/>
        </w:rPr>
        <w:t>.</w:t>
      </w:r>
      <w:r w:rsidRPr="00EC72F6">
        <w:rPr>
          <w:szCs w:val="24"/>
        </w:rPr>
        <w:t>F</w:t>
      </w:r>
      <w:r w:rsidR="00D95664" w:rsidRPr="00EC72F6">
        <w:rPr>
          <w:szCs w:val="24"/>
        </w:rPr>
        <w:t>.</w:t>
      </w:r>
      <w:r w:rsidRPr="00EC72F6">
        <w:rPr>
          <w:szCs w:val="24"/>
        </w:rPr>
        <w:t>R</w:t>
      </w:r>
      <w:r w:rsidR="00D95664" w:rsidRPr="00EC72F6">
        <w:rPr>
          <w:szCs w:val="24"/>
        </w:rPr>
        <w:t>.</w:t>
      </w:r>
      <w:r w:rsidRPr="00EC72F6">
        <w:rPr>
          <w:szCs w:val="24"/>
        </w:rPr>
        <w:t xml:space="preserve"> Part 54.  See 47 C.F.R. </w:t>
      </w:r>
      <w:r w:rsidR="00F76329" w:rsidRPr="00EC72F6">
        <w:rPr>
          <w:szCs w:val="24"/>
        </w:rPr>
        <w:t xml:space="preserve">§§ </w:t>
      </w:r>
      <w:r w:rsidR="00E60078" w:rsidRPr="00EC72F6">
        <w:rPr>
          <w:szCs w:val="24"/>
        </w:rPr>
        <w:t>54.1305</w:t>
      </w:r>
      <w:r w:rsidR="00F76329" w:rsidRPr="00EC72F6">
        <w:rPr>
          <w:szCs w:val="24"/>
        </w:rPr>
        <w:t xml:space="preserve"> and 54.5.  </w:t>
      </w:r>
      <w:r w:rsidRPr="00EC72F6">
        <w:rPr>
          <w:szCs w:val="24"/>
        </w:rPr>
        <w:t xml:space="preserve">The loop cost and loop count information is to be filed </w:t>
      </w:r>
      <w:r w:rsidR="00F94454" w:rsidRPr="00EC72F6">
        <w:rPr>
          <w:szCs w:val="24"/>
        </w:rPr>
        <w:t xml:space="preserve">annually </w:t>
      </w:r>
      <w:r w:rsidRPr="00EC72F6">
        <w:rPr>
          <w:szCs w:val="24"/>
        </w:rPr>
        <w:t>with NECA by July 31</w:t>
      </w:r>
      <w:r w:rsidRPr="00EC72F6">
        <w:rPr>
          <w:szCs w:val="24"/>
          <w:vertAlign w:val="superscript"/>
        </w:rPr>
        <w:t>st</w:t>
      </w:r>
      <w:r w:rsidRPr="00EC72F6">
        <w:rPr>
          <w:szCs w:val="24"/>
        </w:rPr>
        <w:t xml:space="preserve"> of each year, and may be updated </w:t>
      </w:r>
      <w:r w:rsidR="0059200C">
        <w:rPr>
          <w:szCs w:val="24"/>
        </w:rPr>
        <w:t>occasionally</w:t>
      </w:r>
      <w:r w:rsidR="00B530E8">
        <w:rPr>
          <w:szCs w:val="24"/>
        </w:rPr>
        <w:t xml:space="preserve"> </w:t>
      </w:r>
      <w:r w:rsidRPr="00EC72F6">
        <w:rPr>
          <w:szCs w:val="24"/>
        </w:rPr>
        <w:t xml:space="preserve">pursuant to section </w:t>
      </w:r>
      <w:r w:rsidR="00D95664" w:rsidRPr="00EC72F6">
        <w:rPr>
          <w:szCs w:val="24"/>
        </w:rPr>
        <w:t>54.1306</w:t>
      </w:r>
      <w:r w:rsidRPr="00EC72F6">
        <w:rPr>
          <w:szCs w:val="24"/>
        </w:rPr>
        <w:t xml:space="preserve">.  </w:t>
      </w:r>
      <w:r w:rsidR="00F76329" w:rsidRPr="00EC72F6">
        <w:rPr>
          <w:szCs w:val="24"/>
        </w:rPr>
        <w:t xml:space="preserve">See 47 C.F.R. § </w:t>
      </w:r>
      <w:r w:rsidR="00D95664" w:rsidRPr="00EC72F6">
        <w:rPr>
          <w:szCs w:val="24"/>
        </w:rPr>
        <w:t>54.1306</w:t>
      </w:r>
      <w:r w:rsidR="00F76329" w:rsidRPr="00EC72F6">
        <w:rPr>
          <w:szCs w:val="24"/>
        </w:rPr>
        <w:t xml:space="preserve">. </w:t>
      </w:r>
      <w:r w:rsidRPr="00EC72F6">
        <w:rPr>
          <w:szCs w:val="24"/>
        </w:rPr>
        <w:t xml:space="preserve">Pursuant to section </w:t>
      </w:r>
      <w:r w:rsidR="00D95664" w:rsidRPr="00EC72F6">
        <w:rPr>
          <w:szCs w:val="24"/>
        </w:rPr>
        <w:t>54.1307</w:t>
      </w:r>
      <w:r w:rsidRPr="00EC72F6">
        <w:rPr>
          <w:szCs w:val="24"/>
        </w:rPr>
        <w:t>, the information filed on July 31</w:t>
      </w:r>
      <w:r w:rsidRPr="00EC72F6">
        <w:rPr>
          <w:szCs w:val="24"/>
          <w:vertAlign w:val="superscript"/>
        </w:rPr>
        <w:t>st</w:t>
      </w:r>
      <w:r w:rsidRPr="00EC72F6">
        <w:rPr>
          <w:szCs w:val="24"/>
        </w:rPr>
        <w:t xml:space="preserve"> of each year will be used to calculate universal service support for each study area and is filed</w:t>
      </w:r>
      <w:r w:rsidR="00C97286" w:rsidRPr="00EC72F6">
        <w:rPr>
          <w:szCs w:val="24"/>
        </w:rPr>
        <w:t xml:space="preserve"> by NECA</w:t>
      </w:r>
      <w:r w:rsidRPr="00EC72F6">
        <w:rPr>
          <w:szCs w:val="24"/>
        </w:rPr>
        <w:t xml:space="preserve"> with the Commission on October 1 of each year.  </w:t>
      </w:r>
      <w:r w:rsidR="00F76329" w:rsidRPr="00EC72F6">
        <w:rPr>
          <w:szCs w:val="24"/>
        </w:rPr>
        <w:t xml:space="preserve">See 47 C.F.R. § </w:t>
      </w:r>
      <w:r w:rsidR="00D95664" w:rsidRPr="00EC72F6">
        <w:rPr>
          <w:szCs w:val="24"/>
        </w:rPr>
        <w:t>54.1307</w:t>
      </w:r>
      <w:r w:rsidR="00F76329" w:rsidRPr="00EC72F6">
        <w:rPr>
          <w:szCs w:val="24"/>
        </w:rPr>
        <w:t xml:space="preserve">.  </w:t>
      </w:r>
      <w:r w:rsidRPr="00EC72F6">
        <w:rPr>
          <w:szCs w:val="24"/>
        </w:rPr>
        <w:t>An incumbent LEC is defined as a carrier that meets the definition of “incumbent local exchange carrier” in section 51.5 of the Commis</w:t>
      </w:r>
      <w:r w:rsidR="00F76329" w:rsidRPr="00EC72F6">
        <w:rPr>
          <w:szCs w:val="24"/>
        </w:rPr>
        <w:t>sion’s rules.  See 47 C.F.R. § 51.5.</w:t>
      </w:r>
    </w:p>
    <w:p w:rsidR="00F76329" w:rsidRPr="00EC72F6" w:rsidRDefault="00F76329">
      <w:pPr>
        <w:rPr>
          <w:szCs w:val="24"/>
        </w:rPr>
      </w:pPr>
    </w:p>
    <w:p w:rsidR="000955EF" w:rsidRPr="00EC72F6" w:rsidRDefault="00AD3F3B" w:rsidP="00C42FD4">
      <w:pPr>
        <w:ind w:left="720"/>
        <w:rPr>
          <w:bCs/>
          <w:szCs w:val="24"/>
        </w:rPr>
      </w:pPr>
      <w:r>
        <w:rPr>
          <w:bCs/>
          <w:szCs w:val="24"/>
        </w:rPr>
        <w:t>T</w:t>
      </w:r>
      <w:r w:rsidR="000955EF" w:rsidRPr="00EC72F6">
        <w:rPr>
          <w:bCs/>
          <w:szCs w:val="24"/>
        </w:rPr>
        <w:t>his information collection does not affect individuals or households; thus, there are no impacts under the Privacy Act.</w:t>
      </w:r>
    </w:p>
    <w:p w:rsidR="000955EF" w:rsidRPr="00EC72F6" w:rsidRDefault="000955EF" w:rsidP="000955EF">
      <w:pPr>
        <w:rPr>
          <w:szCs w:val="24"/>
        </w:rPr>
      </w:pPr>
      <w:r w:rsidRPr="00EC72F6">
        <w:rPr>
          <w:szCs w:val="24"/>
        </w:rPr>
        <w:t xml:space="preserve">     </w:t>
      </w:r>
    </w:p>
    <w:p w:rsidR="000955EF" w:rsidRPr="00EC72F6" w:rsidRDefault="000955EF" w:rsidP="003D097D">
      <w:pPr>
        <w:ind w:left="720"/>
        <w:rPr>
          <w:szCs w:val="24"/>
        </w:rPr>
      </w:pPr>
      <w:r w:rsidRPr="00EC72F6">
        <w:rPr>
          <w:szCs w:val="24"/>
        </w:rPr>
        <w:t xml:space="preserve">This submission is being made pursuant to authority contained in sections:  </w:t>
      </w:r>
      <w:r w:rsidR="007E1F50" w:rsidRPr="00EC72F6">
        <w:rPr>
          <w:szCs w:val="24"/>
        </w:rPr>
        <w:t xml:space="preserve"> 47 U</w:t>
      </w:r>
      <w:r w:rsidR="009F53BD" w:rsidRPr="00EC72F6">
        <w:rPr>
          <w:szCs w:val="24"/>
        </w:rPr>
        <w:t>.</w:t>
      </w:r>
      <w:r w:rsidR="007E1F50" w:rsidRPr="00EC72F6">
        <w:rPr>
          <w:szCs w:val="24"/>
        </w:rPr>
        <w:t>S</w:t>
      </w:r>
      <w:r w:rsidR="009F53BD" w:rsidRPr="00EC72F6">
        <w:rPr>
          <w:szCs w:val="24"/>
        </w:rPr>
        <w:t>.</w:t>
      </w:r>
      <w:r w:rsidR="007E1F50" w:rsidRPr="00EC72F6">
        <w:rPr>
          <w:szCs w:val="24"/>
        </w:rPr>
        <w:t>C</w:t>
      </w:r>
      <w:r w:rsidR="009F53BD" w:rsidRPr="00EC72F6">
        <w:rPr>
          <w:szCs w:val="24"/>
        </w:rPr>
        <w:t>.</w:t>
      </w:r>
      <w:r w:rsidR="007E1F50" w:rsidRPr="00EC72F6">
        <w:rPr>
          <w:szCs w:val="24"/>
        </w:rPr>
        <w:t xml:space="preserve"> §§ 151, 154(i) and (j), 221(c) and 410 (c</w:t>
      </w:r>
      <w:r w:rsidR="001172B6" w:rsidRPr="00EC72F6">
        <w:rPr>
          <w:szCs w:val="24"/>
        </w:rPr>
        <w:t>) of the Communications Act of 1934, as amended.</w:t>
      </w:r>
    </w:p>
    <w:p w:rsidR="00194EF7" w:rsidRPr="00EC72F6" w:rsidRDefault="00194EF7">
      <w:pPr>
        <w:rPr>
          <w:szCs w:val="24"/>
        </w:rPr>
      </w:pPr>
    </w:p>
    <w:p w:rsidR="00E552AC" w:rsidRPr="00EC72F6" w:rsidRDefault="00E552AC" w:rsidP="003D097D">
      <w:pPr>
        <w:ind w:left="720" w:hanging="720"/>
        <w:rPr>
          <w:szCs w:val="24"/>
        </w:rPr>
      </w:pPr>
      <w:r w:rsidRPr="00EC72F6">
        <w:rPr>
          <w:szCs w:val="24"/>
        </w:rPr>
        <w:lastRenderedPageBreak/>
        <w:t>2.</w:t>
      </w:r>
      <w:r w:rsidRPr="00EC72F6">
        <w:rPr>
          <w:szCs w:val="24"/>
        </w:rPr>
        <w:tab/>
      </w:r>
      <w:r w:rsidR="009F53BD" w:rsidRPr="00EC72F6">
        <w:rPr>
          <w:i/>
          <w:szCs w:val="24"/>
        </w:rPr>
        <w:t>Use of information</w:t>
      </w:r>
      <w:r w:rsidR="009F53BD" w:rsidRPr="00EC72F6">
        <w:rPr>
          <w:szCs w:val="24"/>
        </w:rPr>
        <w:t xml:space="preserve">.  </w:t>
      </w:r>
      <w:r w:rsidRPr="00EC72F6">
        <w:rPr>
          <w:szCs w:val="24"/>
        </w:rPr>
        <w:t xml:space="preserve">The requirements contained herein are necessary to implement the congressional mandate for universal service.  The reporting requirements are necessary to verify that non-rural </w:t>
      </w:r>
      <w:r w:rsidR="000874E7" w:rsidRPr="00EC72F6">
        <w:rPr>
          <w:szCs w:val="24"/>
        </w:rPr>
        <w:t xml:space="preserve">and rural </w:t>
      </w:r>
      <w:r w:rsidR="003E0F1E" w:rsidRPr="00EC72F6">
        <w:rPr>
          <w:szCs w:val="24"/>
        </w:rPr>
        <w:t>LECs</w:t>
      </w:r>
      <w:r w:rsidRPr="00EC72F6">
        <w:rPr>
          <w:szCs w:val="24"/>
        </w:rPr>
        <w:t xml:space="preserve"> are eligible to receive universal service support.  Information filed with NECA pursuant to </w:t>
      </w:r>
      <w:r w:rsidR="003E0F1E" w:rsidRPr="00EC72F6">
        <w:rPr>
          <w:szCs w:val="24"/>
        </w:rPr>
        <w:t>s</w:t>
      </w:r>
      <w:r w:rsidRPr="00EC72F6">
        <w:rPr>
          <w:szCs w:val="24"/>
        </w:rPr>
        <w:t xml:space="preserve">ection </w:t>
      </w:r>
      <w:r w:rsidR="00E60078" w:rsidRPr="00EC72F6">
        <w:rPr>
          <w:szCs w:val="24"/>
        </w:rPr>
        <w:t>54.1305</w:t>
      </w:r>
      <w:r w:rsidRPr="00EC72F6">
        <w:rPr>
          <w:szCs w:val="24"/>
        </w:rPr>
        <w:t xml:space="preserve"> is used to calculate universal service support payments to eligible carriers.  Without this information, NECA </w:t>
      </w:r>
      <w:r w:rsidR="008556DC" w:rsidRPr="00EC72F6">
        <w:rPr>
          <w:szCs w:val="24"/>
        </w:rPr>
        <w:t>and U</w:t>
      </w:r>
      <w:r w:rsidR="003937B2" w:rsidRPr="00EC72F6">
        <w:rPr>
          <w:szCs w:val="24"/>
        </w:rPr>
        <w:t xml:space="preserve">niversal </w:t>
      </w:r>
      <w:r w:rsidR="008556DC" w:rsidRPr="00EC72F6">
        <w:rPr>
          <w:szCs w:val="24"/>
        </w:rPr>
        <w:t>S</w:t>
      </w:r>
      <w:r w:rsidR="003937B2" w:rsidRPr="00EC72F6">
        <w:rPr>
          <w:szCs w:val="24"/>
        </w:rPr>
        <w:t xml:space="preserve">ervice </w:t>
      </w:r>
      <w:r w:rsidR="008556DC" w:rsidRPr="00EC72F6">
        <w:rPr>
          <w:szCs w:val="24"/>
        </w:rPr>
        <w:t>A</w:t>
      </w:r>
      <w:r w:rsidR="003937B2" w:rsidRPr="00EC72F6">
        <w:rPr>
          <w:szCs w:val="24"/>
        </w:rPr>
        <w:t xml:space="preserve">dministration </w:t>
      </w:r>
      <w:r w:rsidR="008556DC" w:rsidRPr="00EC72F6">
        <w:rPr>
          <w:szCs w:val="24"/>
        </w:rPr>
        <w:t>C</w:t>
      </w:r>
      <w:r w:rsidR="003937B2" w:rsidRPr="00EC72F6">
        <w:rPr>
          <w:szCs w:val="24"/>
        </w:rPr>
        <w:t xml:space="preserve">ompany (USAC) </w:t>
      </w:r>
      <w:r w:rsidRPr="00EC72F6">
        <w:rPr>
          <w:szCs w:val="24"/>
        </w:rPr>
        <w:t xml:space="preserve">would not be able to calculate such payments to eligible carriers.  </w:t>
      </w:r>
    </w:p>
    <w:p w:rsidR="00EC565D" w:rsidRPr="00EC72F6" w:rsidRDefault="00EC565D">
      <w:pPr>
        <w:rPr>
          <w:szCs w:val="24"/>
        </w:rPr>
      </w:pPr>
    </w:p>
    <w:p w:rsidR="00E552AC" w:rsidRPr="00EC72F6" w:rsidRDefault="00E552AC" w:rsidP="003D097D">
      <w:pPr>
        <w:ind w:left="720" w:hanging="720"/>
        <w:rPr>
          <w:szCs w:val="24"/>
        </w:rPr>
      </w:pPr>
      <w:r w:rsidRPr="00EC72F6">
        <w:rPr>
          <w:szCs w:val="24"/>
        </w:rPr>
        <w:t>3.</w:t>
      </w:r>
      <w:r w:rsidRPr="00EC72F6">
        <w:rPr>
          <w:szCs w:val="24"/>
        </w:rPr>
        <w:tab/>
      </w:r>
      <w:r w:rsidR="009F53BD" w:rsidRPr="00EC72F6">
        <w:rPr>
          <w:i/>
          <w:szCs w:val="24"/>
        </w:rPr>
        <w:t>Technological collection techniques</w:t>
      </w:r>
      <w:r w:rsidR="009F53BD" w:rsidRPr="00EC72F6">
        <w:rPr>
          <w:szCs w:val="24"/>
        </w:rPr>
        <w:t xml:space="preserve">.  </w:t>
      </w:r>
      <w:r w:rsidRPr="00EC72F6">
        <w:rPr>
          <w:szCs w:val="24"/>
        </w:rPr>
        <w:t xml:space="preserve">There is currently no improved technology to reduce the burden of collection.  Nothing in </w:t>
      </w:r>
      <w:r w:rsidR="008556DC" w:rsidRPr="00EC72F6">
        <w:rPr>
          <w:szCs w:val="24"/>
        </w:rPr>
        <w:t xml:space="preserve">Part 54 </w:t>
      </w:r>
      <w:r w:rsidRPr="00EC72F6">
        <w:rPr>
          <w:szCs w:val="24"/>
        </w:rPr>
        <w:t>precludes the use of improved information technology.</w:t>
      </w:r>
    </w:p>
    <w:p w:rsidR="00E552AC" w:rsidRPr="00EC72F6" w:rsidRDefault="00E552AC">
      <w:pPr>
        <w:rPr>
          <w:szCs w:val="24"/>
        </w:rPr>
      </w:pPr>
    </w:p>
    <w:p w:rsidR="00E552AC" w:rsidRPr="00EC72F6" w:rsidRDefault="00E552AC" w:rsidP="003D097D">
      <w:pPr>
        <w:ind w:left="720" w:hanging="720"/>
        <w:rPr>
          <w:szCs w:val="24"/>
        </w:rPr>
      </w:pPr>
      <w:r w:rsidRPr="00EC72F6">
        <w:rPr>
          <w:szCs w:val="24"/>
        </w:rPr>
        <w:t>4.</w:t>
      </w:r>
      <w:r w:rsidRPr="00EC72F6">
        <w:rPr>
          <w:szCs w:val="24"/>
        </w:rPr>
        <w:tab/>
      </w:r>
      <w:r w:rsidR="009F53BD" w:rsidRPr="00EC72F6">
        <w:rPr>
          <w:i/>
          <w:szCs w:val="24"/>
        </w:rPr>
        <w:t>Efforts to identify duplication</w:t>
      </w:r>
      <w:r w:rsidR="009F53BD" w:rsidRPr="00EC72F6">
        <w:rPr>
          <w:szCs w:val="24"/>
        </w:rPr>
        <w:t xml:space="preserve">.  </w:t>
      </w:r>
      <w:r w:rsidRPr="00EC72F6">
        <w:rPr>
          <w:szCs w:val="24"/>
        </w:rPr>
        <w:t>There will be no duplication of information filed.  There is no similar information already available.</w:t>
      </w:r>
    </w:p>
    <w:p w:rsidR="00E552AC" w:rsidRPr="00EC72F6" w:rsidRDefault="00E552AC">
      <w:pPr>
        <w:rPr>
          <w:szCs w:val="24"/>
        </w:rPr>
      </w:pPr>
    </w:p>
    <w:p w:rsidR="00E552AC" w:rsidRPr="00EC72F6" w:rsidRDefault="00E552AC" w:rsidP="003D097D">
      <w:pPr>
        <w:ind w:left="720" w:hanging="720"/>
        <w:rPr>
          <w:szCs w:val="24"/>
        </w:rPr>
      </w:pPr>
      <w:r w:rsidRPr="00EC72F6">
        <w:rPr>
          <w:szCs w:val="24"/>
        </w:rPr>
        <w:t>5.</w:t>
      </w:r>
      <w:r w:rsidRPr="00EC72F6">
        <w:rPr>
          <w:szCs w:val="24"/>
        </w:rPr>
        <w:tab/>
      </w:r>
      <w:r w:rsidR="009F53BD" w:rsidRPr="00EC72F6">
        <w:rPr>
          <w:i/>
          <w:szCs w:val="24"/>
        </w:rPr>
        <w:t>Impact on small entities</w:t>
      </w:r>
      <w:r w:rsidR="009F53BD" w:rsidRPr="00EC72F6">
        <w:rPr>
          <w:szCs w:val="24"/>
        </w:rPr>
        <w:t xml:space="preserve">.  </w:t>
      </w:r>
      <w:r w:rsidRPr="00EC72F6">
        <w:rPr>
          <w:szCs w:val="24"/>
        </w:rPr>
        <w:t>The burden has been minimized for all respondents as much as possible.  Section 254 (b)</w:t>
      </w:r>
      <w:r w:rsidR="006147C2" w:rsidRPr="00EC72F6">
        <w:rPr>
          <w:szCs w:val="24"/>
        </w:rPr>
        <w:t xml:space="preserve"> of the Communications Act</w:t>
      </w:r>
      <w:r w:rsidRPr="00EC72F6">
        <w:rPr>
          <w:szCs w:val="24"/>
        </w:rPr>
        <w:t xml:space="preserve"> direct</w:t>
      </w:r>
      <w:r w:rsidR="003C5C43" w:rsidRPr="00EC72F6">
        <w:rPr>
          <w:szCs w:val="24"/>
        </w:rPr>
        <w:t>s</w:t>
      </w:r>
      <w:r w:rsidRPr="00EC72F6">
        <w:rPr>
          <w:szCs w:val="24"/>
        </w:rPr>
        <w:t xml:space="preserve"> the Commission to base policies for the preservation and advancement of universal service on six principles.  A fair and reasonable application of those principles including our adoption of the additional principle of competitive neutrality will favorably impact all business entities, including smaller entities.  The collections of information may affect small entities </w:t>
      </w:r>
      <w:r w:rsidR="006147C2" w:rsidRPr="00EC72F6">
        <w:rPr>
          <w:szCs w:val="24"/>
        </w:rPr>
        <w:t>as well as large entities.</w:t>
      </w:r>
    </w:p>
    <w:p w:rsidR="006147C2" w:rsidRPr="00EC72F6" w:rsidRDefault="006147C2">
      <w:pPr>
        <w:rPr>
          <w:szCs w:val="24"/>
        </w:rPr>
      </w:pPr>
    </w:p>
    <w:p w:rsidR="00E552AC" w:rsidRPr="00EC72F6" w:rsidRDefault="00E552AC" w:rsidP="003D097D">
      <w:pPr>
        <w:ind w:left="720" w:hanging="720"/>
        <w:rPr>
          <w:szCs w:val="24"/>
        </w:rPr>
      </w:pPr>
      <w:r w:rsidRPr="00EC72F6">
        <w:rPr>
          <w:szCs w:val="24"/>
        </w:rPr>
        <w:t>6.</w:t>
      </w:r>
      <w:r w:rsidRPr="00EC72F6">
        <w:rPr>
          <w:szCs w:val="24"/>
        </w:rPr>
        <w:tab/>
      </w:r>
      <w:r w:rsidR="009F53BD" w:rsidRPr="00EC72F6">
        <w:rPr>
          <w:i/>
          <w:szCs w:val="24"/>
        </w:rPr>
        <w:t>Consequences if information in not collected</w:t>
      </w:r>
      <w:r w:rsidR="009F53BD" w:rsidRPr="00EC72F6">
        <w:rPr>
          <w:szCs w:val="24"/>
        </w:rPr>
        <w:t xml:space="preserve">.  </w:t>
      </w:r>
      <w:r w:rsidRPr="00EC72F6">
        <w:rPr>
          <w:szCs w:val="24"/>
        </w:rPr>
        <w:t xml:space="preserve">Failing to collect the information, or collecting it less frequently, would prevent the Commission from carrying out its mandate.  Sections </w:t>
      </w:r>
      <w:r w:rsidR="00E60078" w:rsidRPr="00EC72F6">
        <w:rPr>
          <w:szCs w:val="24"/>
        </w:rPr>
        <w:t>54.1305</w:t>
      </w:r>
      <w:r w:rsidR="00EC565D" w:rsidRPr="00EC72F6">
        <w:rPr>
          <w:szCs w:val="24"/>
        </w:rPr>
        <w:t xml:space="preserve"> and</w:t>
      </w:r>
      <w:r w:rsidR="001B7846" w:rsidRPr="00EC72F6">
        <w:rPr>
          <w:szCs w:val="24"/>
        </w:rPr>
        <w:t xml:space="preserve"> </w:t>
      </w:r>
      <w:r w:rsidR="009F53BD" w:rsidRPr="00EC72F6">
        <w:rPr>
          <w:szCs w:val="24"/>
        </w:rPr>
        <w:t>54.1306</w:t>
      </w:r>
      <w:r w:rsidRPr="00EC72F6">
        <w:rPr>
          <w:szCs w:val="24"/>
        </w:rPr>
        <w:t xml:space="preserve"> require the submission of data by the local telephone companies to NECA</w:t>
      </w:r>
      <w:r w:rsidR="001B7846" w:rsidRPr="00EC72F6">
        <w:rPr>
          <w:szCs w:val="24"/>
        </w:rPr>
        <w:t xml:space="preserve"> and USAC</w:t>
      </w:r>
      <w:r w:rsidRPr="00EC72F6">
        <w:rPr>
          <w:szCs w:val="24"/>
        </w:rPr>
        <w:t xml:space="preserve">. </w:t>
      </w:r>
      <w:r w:rsidR="001B7846" w:rsidRPr="00EC72F6">
        <w:rPr>
          <w:szCs w:val="24"/>
        </w:rPr>
        <w:t xml:space="preserve"> </w:t>
      </w:r>
      <w:r w:rsidRPr="00EC72F6">
        <w:rPr>
          <w:szCs w:val="24"/>
        </w:rPr>
        <w:t xml:space="preserve">If the data submissions were collected less frequently, </w:t>
      </w:r>
      <w:r w:rsidR="000A7A0B" w:rsidRPr="00EC72F6">
        <w:rPr>
          <w:szCs w:val="24"/>
        </w:rPr>
        <w:t xml:space="preserve">the fund administrator </w:t>
      </w:r>
      <w:r w:rsidRPr="00EC72F6">
        <w:rPr>
          <w:szCs w:val="24"/>
        </w:rPr>
        <w:t>would not be able to calculate universal service payments.</w:t>
      </w:r>
    </w:p>
    <w:p w:rsidR="000A7A0B" w:rsidRPr="00EC72F6" w:rsidRDefault="000A7A0B">
      <w:pPr>
        <w:rPr>
          <w:szCs w:val="24"/>
        </w:rPr>
      </w:pPr>
    </w:p>
    <w:p w:rsidR="00E552AC" w:rsidRPr="00EC72F6" w:rsidRDefault="00E552AC" w:rsidP="00DE1EFD">
      <w:pPr>
        <w:ind w:left="720" w:hanging="720"/>
        <w:rPr>
          <w:szCs w:val="24"/>
        </w:rPr>
      </w:pPr>
      <w:r w:rsidRPr="00EC72F6">
        <w:rPr>
          <w:szCs w:val="24"/>
        </w:rPr>
        <w:t>7.</w:t>
      </w:r>
      <w:r w:rsidRPr="00EC72F6">
        <w:rPr>
          <w:szCs w:val="24"/>
        </w:rPr>
        <w:tab/>
      </w:r>
      <w:r w:rsidR="009F53BD" w:rsidRPr="00EC72F6">
        <w:rPr>
          <w:i/>
          <w:szCs w:val="24"/>
        </w:rPr>
        <w:t>Special circumstances</w:t>
      </w:r>
      <w:r w:rsidR="009F53BD" w:rsidRPr="00EC72F6">
        <w:rPr>
          <w:szCs w:val="24"/>
        </w:rPr>
        <w:t xml:space="preserve">.  </w:t>
      </w:r>
      <w:r w:rsidRPr="00EC72F6">
        <w:rPr>
          <w:szCs w:val="24"/>
        </w:rPr>
        <w:t>There are no such special circumstances</w:t>
      </w:r>
      <w:r w:rsidR="00122416">
        <w:rPr>
          <w:szCs w:val="24"/>
        </w:rPr>
        <w:t xml:space="preserve"> with this collection</w:t>
      </w:r>
      <w:r w:rsidR="00C73092">
        <w:rPr>
          <w:szCs w:val="24"/>
        </w:rPr>
        <w:t xml:space="preserve"> of information</w:t>
      </w:r>
    </w:p>
    <w:p w:rsidR="00E552AC" w:rsidRPr="00EC72F6" w:rsidRDefault="00E552AC">
      <w:pPr>
        <w:rPr>
          <w:szCs w:val="24"/>
        </w:rPr>
      </w:pPr>
    </w:p>
    <w:p w:rsidR="00E552AC" w:rsidRPr="00EC72F6" w:rsidRDefault="00E552AC" w:rsidP="003D097D">
      <w:pPr>
        <w:ind w:left="720" w:hanging="720"/>
        <w:rPr>
          <w:b/>
          <w:szCs w:val="24"/>
        </w:rPr>
      </w:pPr>
      <w:r w:rsidRPr="00EC72F6">
        <w:rPr>
          <w:szCs w:val="24"/>
        </w:rPr>
        <w:t>8.</w:t>
      </w:r>
      <w:r w:rsidRPr="00EC72F6">
        <w:rPr>
          <w:szCs w:val="24"/>
        </w:rPr>
        <w:tab/>
      </w:r>
      <w:r w:rsidR="009F53BD" w:rsidRPr="00EC72F6">
        <w:rPr>
          <w:i/>
          <w:szCs w:val="24"/>
        </w:rPr>
        <w:t>Federal Register Notice</w:t>
      </w:r>
      <w:r w:rsidR="009F53BD" w:rsidRPr="00EC72F6">
        <w:rPr>
          <w:szCs w:val="24"/>
        </w:rPr>
        <w:t xml:space="preserve">.  </w:t>
      </w:r>
      <w:r w:rsidRPr="00EC72F6">
        <w:rPr>
          <w:szCs w:val="24"/>
        </w:rPr>
        <w:t xml:space="preserve">A </w:t>
      </w:r>
      <w:r w:rsidR="00EF1555" w:rsidRPr="00EC72F6">
        <w:rPr>
          <w:szCs w:val="24"/>
        </w:rPr>
        <w:t xml:space="preserve">60 day </w:t>
      </w:r>
      <w:r w:rsidRPr="00EC72F6">
        <w:rPr>
          <w:szCs w:val="24"/>
        </w:rPr>
        <w:t>notice was published in the Federal Register pursu</w:t>
      </w:r>
      <w:r w:rsidR="00717E84" w:rsidRPr="00EC72F6">
        <w:rPr>
          <w:szCs w:val="24"/>
        </w:rPr>
        <w:t>ant to 5 C</w:t>
      </w:r>
      <w:r w:rsidR="00A15AAC" w:rsidRPr="00EC72F6">
        <w:rPr>
          <w:szCs w:val="24"/>
        </w:rPr>
        <w:t>.</w:t>
      </w:r>
      <w:r w:rsidR="00717E84" w:rsidRPr="00EC72F6">
        <w:rPr>
          <w:szCs w:val="24"/>
        </w:rPr>
        <w:t>F</w:t>
      </w:r>
      <w:r w:rsidR="00A15AAC" w:rsidRPr="00EC72F6">
        <w:rPr>
          <w:szCs w:val="24"/>
        </w:rPr>
        <w:t>.</w:t>
      </w:r>
      <w:r w:rsidR="00717E84" w:rsidRPr="00EC72F6">
        <w:rPr>
          <w:szCs w:val="24"/>
        </w:rPr>
        <w:t>R</w:t>
      </w:r>
      <w:r w:rsidR="00A15AAC" w:rsidRPr="00EC72F6">
        <w:rPr>
          <w:szCs w:val="24"/>
        </w:rPr>
        <w:t>.</w:t>
      </w:r>
      <w:r w:rsidR="00717E84" w:rsidRPr="00EC72F6">
        <w:rPr>
          <w:szCs w:val="24"/>
        </w:rPr>
        <w:t xml:space="preserve"> </w:t>
      </w:r>
      <w:r w:rsidR="00A15AAC" w:rsidRPr="00EC72F6">
        <w:rPr>
          <w:szCs w:val="24"/>
        </w:rPr>
        <w:t xml:space="preserve">§ </w:t>
      </w:r>
      <w:r w:rsidR="000955EF" w:rsidRPr="00EC72F6">
        <w:rPr>
          <w:szCs w:val="24"/>
        </w:rPr>
        <w:t xml:space="preserve">1320.8 (d).  See </w:t>
      </w:r>
      <w:r w:rsidR="0006219B">
        <w:rPr>
          <w:szCs w:val="24"/>
        </w:rPr>
        <w:t>80</w:t>
      </w:r>
      <w:r w:rsidR="0078219E" w:rsidRPr="00EC72F6">
        <w:rPr>
          <w:szCs w:val="24"/>
        </w:rPr>
        <w:t xml:space="preserve"> </w:t>
      </w:r>
      <w:r w:rsidR="000955EF" w:rsidRPr="00EC72F6">
        <w:rPr>
          <w:szCs w:val="24"/>
        </w:rPr>
        <w:t xml:space="preserve">FR </w:t>
      </w:r>
      <w:r w:rsidR="0006219B">
        <w:rPr>
          <w:szCs w:val="24"/>
        </w:rPr>
        <w:t>30236</w:t>
      </w:r>
      <w:r w:rsidR="00EF1555" w:rsidRPr="00EC72F6">
        <w:rPr>
          <w:szCs w:val="24"/>
        </w:rPr>
        <w:t>,</w:t>
      </w:r>
      <w:r w:rsidRPr="00EC72F6">
        <w:rPr>
          <w:szCs w:val="24"/>
        </w:rPr>
        <w:t xml:space="preserve"> dated </w:t>
      </w:r>
      <w:r w:rsidR="0006219B">
        <w:rPr>
          <w:szCs w:val="24"/>
        </w:rPr>
        <w:t>May</w:t>
      </w:r>
      <w:r w:rsidR="006E39E2">
        <w:rPr>
          <w:szCs w:val="24"/>
        </w:rPr>
        <w:t xml:space="preserve"> 2</w:t>
      </w:r>
      <w:r w:rsidR="0006219B">
        <w:rPr>
          <w:szCs w:val="24"/>
        </w:rPr>
        <w:t>7</w:t>
      </w:r>
      <w:r w:rsidR="000955EF" w:rsidRPr="00EC72F6">
        <w:rPr>
          <w:szCs w:val="24"/>
        </w:rPr>
        <w:t xml:space="preserve">, </w:t>
      </w:r>
      <w:r w:rsidR="0006219B">
        <w:rPr>
          <w:szCs w:val="24"/>
        </w:rPr>
        <w:t>2015</w:t>
      </w:r>
      <w:r w:rsidRPr="00EC72F6">
        <w:rPr>
          <w:szCs w:val="24"/>
        </w:rPr>
        <w:t xml:space="preserve">.  No </w:t>
      </w:r>
      <w:r w:rsidR="000D7AAB" w:rsidRPr="00EC72F6">
        <w:rPr>
          <w:szCs w:val="24"/>
        </w:rPr>
        <w:t xml:space="preserve">PRA </w:t>
      </w:r>
      <w:r w:rsidRPr="00EC72F6">
        <w:rPr>
          <w:szCs w:val="24"/>
        </w:rPr>
        <w:t>comments were received.</w:t>
      </w:r>
      <w:r w:rsidR="001F21E7" w:rsidRPr="00EC72F6">
        <w:rPr>
          <w:b/>
          <w:szCs w:val="24"/>
        </w:rPr>
        <w:t xml:space="preserve">  </w:t>
      </w:r>
      <w:r w:rsidR="000955EF" w:rsidRPr="00EC72F6">
        <w:rPr>
          <w:b/>
          <w:szCs w:val="24"/>
        </w:rPr>
        <w:t xml:space="preserve"> </w:t>
      </w:r>
    </w:p>
    <w:p w:rsidR="00E552AC" w:rsidRPr="00EC72F6" w:rsidRDefault="00E552AC">
      <w:pPr>
        <w:rPr>
          <w:szCs w:val="24"/>
        </w:rPr>
      </w:pPr>
    </w:p>
    <w:p w:rsidR="00E552AC" w:rsidRPr="00EC72F6" w:rsidRDefault="00E552AC" w:rsidP="003D097D">
      <w:pPr>
        <w:ind w:left="720" w:hanging="720"/>
        <w:rPr>
          <w:szCs w:val="24"/>
        </w:rPr>
      </w:pPr>
      <w:r w:rsidRPr="00EC72F6">
        <w:rPr>
          <w:szCs w:val="24"/>
        </w:rPr>
        <w:t>9.</w:t>
      </w:r>
      <w:r w:rsidRPr="00EC72F6">
        <w:rPr>
          <w:szCs w:val="24"/>
        </w:rPr>
        <w:tab/>
      </w:r>
      <w:r w:rsidR="009F53BD" w:rsidRPr="00EC72F6">
        <w:rPr>
          <w:i/>
          <w:szCs w:val="24"/>
        </w:rPr>
        <w:t>Payments or gifts to respondents</w:t>
      </w:r>
      <w:r w:rsidR="009F53BD" w:rsidRPr="00EC72F6">
        <w:rPr>
          <w:szCs w:val="24"/>
        </w:rPr>
        <w:t xml:space="preserve">.  </w:t>
      </w:r>
      <w:r w:rsidRPr="00EC72F6">
        <w:rPr>
          <w:szCs w:val="24"/>
        </w:rPr>
        <w:t>The Commission does not anticipate providing any payment or gift to respondents.</w:t>
      </w:r>
    </w:p>
    <w:p w:rsidR="00E552AC" w:rsidRPr="00EC72F6" w:rsidRDefault="00E552AC">
      <w:pPr>
        <w:rPr>
          <w:szCs w:val="24"/>
        </w:rPr>
      </w:pPr>
    </w:p>
    <w:p w:rsidR="00E552AC" w:rsidRPr="00EC72F6" w:rsidRDefault="00E552AC" w:rsidP="003D097D">
      <w:pPr>
        <w:ind w:left="720" w:hanging="720"/>
        <w:rPr>
          <w:szCs w:val="24"/>
        </w:rPr>
      </w:pPr>
      <w:r w:rsidRPr="00EC72F6">
        <w:rPr>
          <w:szCs w:val="24"/>
        </w:rPr>
        <w:t>10.</w:t>
      </w:r>
      <w:r w:rsidRPr="00EC72F6">
        <w:rPr>
          <w:szCs w:val="24"/>
        </w:rPr>
        <w:tab/>
      </w:r>
      <w:r w:rsidR="009F53BD" w:rsidRPr="00EC72F6">
        <w:rPr>
          <w:i/>
          <w:szCs w:val="24"/>
        </w:rPr>
        <w:t>Assurances of confidentiality</w:t>
      </w:r>
      <w:r w:rsidR="009F53BD" w:rsidRPr="00EC72F6">
        <w:rPr>
          <w:szCs w:val="24"/>
        </w:rPr>
        <w:t xml:space="preserve">.  </w:t>
      </w:r>
      <w:r w:rsidRPr="00EC72F6">
        <w:rPr>
          <w:szCs w:val="24"/>
        </w:rPr>
        <w:t>No assurance of confidentiality has been given regarding the information.</w:t>
      </w:r>
      <w:r w:rsidR="00801652" w:rsidRPr="00EC72F6">
        <w:rPr>
          <w:szCs w:val="24"/>
        </w:rPr>
        <w:t xml:space="preserve">  However, respondents may request materials or information submitted to the Commission be withheld from public inspection under 47 C.F.R. § 0.459 of the FCC’s rules.</w:t>
      </w:r>
    </w:p>
    <w:p w:rsidR="008B4112" w:rsidRPr="00EC72F6" w:rsidRDefault="008B4112">
      <w:pPr>
        <w:rPr>
          <w:szCs w:val="24"/>
        </w:rPr>
      </w:pPr>
    </w:p>
    <w:p w:rsidR="008B4112" w:rsidRPr="00EC72F6" w:rsidRDefault="008B4112" w:rsidP="003D097D">
      <w:pPr>
        <w:ind w:left="720" w:hanging="720"/>
        <w:rPr>
          <w:szCs w:val="24"/>
        </w:rPr>
      </w:pPr>
      <w:r w:rsidRPr="00EC72F6">
        <w:rPr>
          <w:szCs w:val="24"/>
        </w:rPr>
        <w:lastRenderedPageBreak/>
        <w:t>11.</w:t>
      </w:r>
      <w:r w:rsidRPr="00EC72F6">
        <w:rPr>
          <w:szCs w:val="24"/>
        </w:rPr>
        <w:tab/>
      </w:r>
      <w:r w:rsidR="009F53BD" w:rsidRPr="00EC72F6">
        <w:rPr>
          <w:i/>
          <w:szCs w:val="24"/>
        </w:rPr>
        <w:t>Questions of a sensitive nature</w:t>
      </w:r>
      <w:r w:rsidR="009F53BD" w:rsidRPr="00EC72F6">
        <w:rPr>
          <w:szCs w:val="24"/>
        </w:rPr>
        <w:t xml:space="preserve">.  </w:t>
      </w:r>
      <w:r w:rsidRPr="00EC72F6">
        <w:rPr>
          <w:szCs w:val="24"/>
        </w:rPr>
        <w:t>There are no questions of a sensitive nature with respect to the information being collected.</w:t>
      </w:r>
    </w:p>
    <w:p w:rsidR="008B4112" w:rsidRPr="00EC72F6" w:rsidRDefault="008B4112">
      <w:pPr>
        <w:rPr>
          <w:szCs w:val="24"/>
        </w:rPr>
      </w:pPr>
    </w:p>
    <w:p w:rsidR="00E552AC" w:rsidRPr="00EC72F6" w:rsidRDefault="008B4112" w:rsidP="003D097D">
      <w:pPr>
        <w:ind w:left="720" w:hanging="720"/>
        <w:rPr>
          <w:szCs w:val="24"/>
        </w:rPr>
      </w:pPr>
      <w:r w:rsidRPr="00EC72F6">
        <w:rPr>
          <w:szCs w:val="24"/>
        </w:rPr>
        <w:t>12</w:t>
      </w:r>
      <w:r w:rsidR="00E552AC" w:rsidRPr="00EC72F6">
        <w:rPr>
          <w:szCs w:val="24"/>
        </w:rPr>
        <w:t>.</w:t>
      </w:r>
      <w:r w:rsidR="00E552AC" w:rsidRPr="00EC72F6">
        <w:rPr>
          <w:szCs w:val="24"/>
        </w:rPr>
        <w:tab/>
      </w:r>
      <w:r w:rsidR="009F53BD" w:rsidRPr="00EC72F6">
        <w:rPr>
          <w:i/>
          <w:szCs w:val="24"/>
        </w:rPr>
        <w:t>Estimates of the hour burden of the collection to respondents</w:t>
      </w:r>
      <w:r w:rsidR="009F53BD" w:rsidRPr="00EC72F6">
        <w:rPr>
          <w:szCs w:val="24"/>
        </w:rPr>
        <w:t xml:space="preserve">.  </w:t>
      </w:r>
      <w:r w:rsidR="00E552AC" w:rsidRPr="00EC72F6">
        <w:rPr>
          <w:szCs w:val="24"/>
        </w:rPr>
        <w:t>The following represents the estimates of our burden of the collection of information:</w:t>
      </w:r>
    </w:p>
    <w:p w:rsidR="009F53BD" w:rsidRPr="00EC72F6" w:rsidRDefault="00E552AC">
      <w:pPr>
        <w:rPr>
          <w:szCs w:val="24"/>
        </w:rPr>
      </w:pPr>
      <w:r w:rsidRPr="00EC72F6">
        <w:rPr>
          <w:szCs w:val="24"/>
        </w:rPr>
        <w:tab/>
      </w:r>
    </w:p>
    <w:p w:rsidR="00E552AC" w:rsidRPr="00B93360" w:rsidRDefault="00985D9E" w:rsidP="00B93360">
      <w:pPr>
        <w:numPr>
          <w:ilvl w:val="0"/>
          <w:numId w:val="2"/>
        </w:numPr>
        <w:rPr>
          <w:b/>
          <w:szCs w:val="24"/>
        </w:rPr>
      </w:pPr>
      <w:r w:rsidRPr="00B93360">
        <w:rPr>
          <w:b/>
          <w:szCs w:val="24"/>
          <w:u w:val="single"/>
        </w:rPr>
        <w:t>Submission of Information to the National Exchange Carrier Association (NECA) (Current</w:t>
      </w:r>
      <w:r w:rsidR="00A21622" w:rsidRPr="00B93360">
        <w:rPr>
          <w:b/>
          <w:szCs w:val="24"/>
          <w:u w:val="single"/>
        </w:rPr>
        <w:t>ly approved</w:t>
      </w:r>
      <w:r w:rsidRPr="00B93360">
        <w:rPr>
          <w:b/>
          <w:szCs w:val="24"/>
          <w:u w:val="single"/>
        </w:rPr>
        <w:t>)</w:t>
      </w:r>
      <w:r w:rsidR="003C5C43" w:rsidRPr="00B93360">
        <w:rPr>
          <w:b/>
          <w:szCs w:val="24"/>
        </w:rPr>
        <w:t>:</w:t>
      </w:r>
    </w:p>
    <w:p w:rsidR="00985D9E" w:rsidRPr="00EC72F6" w:rsidRDefault="00985D9E" w:rsidP="00B93360">
      <w:pPr>
        <w:ind w:left="720"/>
        <w:rPr>
          <w:szCs w:val="24"/>
        </w:rPr>
      </w:pPr>
    </w:p>
    <w:p w:rsidR="00E552AC" w:rsidRPr="00EC72F6" w:rsidRDefault="00E552AC" w:rsidP="00B93360">
      <w:pPr>
        <w:numPr>
          <w:ilvl w:val="0"/>
          <w:numId w:val="3"/>
        </w:numPr>
        <w:rPr>
          <w:szCs w:val="24"/>
        </w:rPr>
      </w:pPr>
      <w:r w:rsidRPr="00EC72F6">
        <w:rPr>
          <w:szCs w:val="24"/>
          <w:u w:val="single"/>
        </w:rPr>
        <w:t>Number of respondents:</w:t>
      </w:r>
      <w:r w:rsidRPr="00EC72F6">
        <w:rPr>
          <w:szCs w:val="24"/>
        </w:rPr>
        <w:t xml:space="preserve">   </w:t>
      </w:r>
      <w:r w:rsidR="00EC72F6">
        <w:rPr>
          <w:szCs w:val="24"/>
        </w:rPr>
        <w:t xml:space="preserve">Approximately </w:t>
      </w:r>
      <w:r w:rsidR="00F02FFB" w:rsidRPr="00EC72F6">
        <w:rPr>
          <w:szCs w:val="24"/>
        </w:rPr>
        <w:t>1</w:t>
      </w:r>
      <w:r w:rsidR="0097012F" w:rsidRPr="00EC72F6">
        <w:rPr>
          <w:szCs w:val="24"/>
        </w:rPr>
        <w:t>,</w:t>
      </w:r>
      <w:r w:rsidR="00985D9E" w:rsidRPr="00EC72F6">
        <w:rPr>
          <w:szCs w:val="24"/>
        </w:rPr>
        <w:t>095</w:t>
      </w:r>
      <w:r w:rsidR="00C42FD4">
        <w:rPr>
          <w:szCs w:val="24"/>
        </w:rPr>
        <w:t>.</w:t>
      </w:r>
    </w:p>
    <w:p w:rsidR="009E4129" w:rsidRPr="00EC72F6" w:rsidRDefault="009E4129">
      <w:pPr>
        <w:rPr>
          <w:szCs w:val="24"/>
        </w:rPr>
      </w:pPr>
    </w:p>
    <w:p w:rsidR="00E552AC" w:rsidRPr="00EC72F6" w:rsidRDefault="00E552AC" w:rsidP="00B93360">
      <w:pPr>
        <w:numPr>
          <w:ilvl w:val="0"/>
          <w:numId w:val="3"/>
        </w:numPr>
        <w:rPr>
          <w:szCs w:val="24"/>
        </w:rPr>
      </w:pPr>
      <w:r w:rsidRPr="00EC72F6">
        <w:rPr>
          <w:szCs w:val="24"/>
          <w:u w:val="single"/>
        </w:rPr>
        <w:t xml:space="preserve">Frequency of </w:t>
      </w:r>
      <w:r w:rsidR="009E4129" w:rsidRPr="00EC72F6">
        <w:rPr>
          <w:szCs w:val="24"/>
          <w:u w:val="single"/>
        </w:rPr>
        <w:t>r</w:t>
      </w:r>
      <w:r w:rsidRPr="00EC72F6">
        <w:rPr>
          <w:szCs w:val="24"/>
          <w:u w:val="single"/>
        </w:rPr>
        <w:t>esponse:</w:t>
      </w:r>
      <w:r w:rsidRPr="00EC72F6">
        <w:rPr>
          <w:szCs w:val="24"/>
        </w:rPr>
        <w:t xml:space="preserve">  Annual</w:t>
      </w:r>
      <w:r w:rsidR="00B46BDC" w:rsidRPr="00EC72F6">
        <w:rPr>
          <w:szCs w:val="24"/>
        </w:rPr>
        <w:t>ly.</w:t>
      </w:r>
    </w:p>
    <w:p w:rsidR="009E4129" w:rsidRPr="00EC72F6" w:rsidRDefault="009E4129">
      <w:pPr>
        <w:rPr>
          <w:szCs w:val="24"/>
        </w:rPr>
      </w:pPr>
    </w:p>
    <w:p w:rsidR="009E4129" w:rsidRPr="00EC72F6" w:rsidRDefault="00E552AC" w:rsidP="00B93360">
      <w:pPr>
        <w:numPr>
          <w:ilvl w:val="0"/>
          <w:numId w:val="3"/>
        </w:numPr>
        <w:rPr>
          <w:szCs w:val="24"/>
        </w:rPr>
      </w:pPr>
      <w:r w:rsidRPr="00EC72F6">
        <w:rPr>
          <w:szCs w:val="24"/>
          <w:u w:val="single"/>
        </w:rPr>
        <w:t>Annual hour burden</w:t>
      </w:r>
      <w:r w:rsidR="009E4129" w:rsidRPr="00EC72F6">
        <w:rPr>
          <w:szCs w:val="24"/>
          <w:u w:val="single"/>
        </w:rPr>
        <w:t xml:space="preserve"> per respondent</w:t>
      </w:r>
      <w:r w:rsidRPr="00EC72F6">
        <w:rPr>
          <w:szCs w:val="24"/>
          <w:u w:val="single"/>
        </w:rPr>
        <w:t>:</w:t>
      </w:r>
      <w:r w:rsidRPr="00EC72F6">
        <w:rPr>
          <w:szCs w:val="24"/>
        </w:rPr>
        <w:t xml:space="preserve">  22 hours per respo</w:t>
      </w:r>
      <w:r w:rsidR="00B46BDC" w:rsidRPr="00EC72F6">
        <w:rPr>
          <w:szCs w:val="24"/>
        </w:rPr>
        <w:t>ndent for 1,095 respondents filing on an annual basis</w:t>
      </w:r>
      <w:r w:rsidRPr="00EC72F6">
        <w:rPr>
          <w:szCs w:val="24"/>
        </w:rPr>
        <w:t>.</w:t>
      </w:r>
      <w:r w:rsidR="00B46BDC" w:rsidRPr="00EC72F6">
        <w:rPr>
          <w:szCs w:val="24"/>
        </w:rPr>
        <w:t xml:space="preserve">  Total annual hour burden is:</w:t>
      </w:r>
      <w:r w:rsidR="00A21622" w:rsidRPr="00EC72F6">
        <w:rPr>
          <w:szCs w:val="24"/>
        </w:rPr>
        <w:t xml:space="preserve"> 1,</w:t>
      </w:r>
      <w:r w:rsidR="00B46BDC" w:rsidRPr="00EC72F6">
        <w:rPr>
          <w:szCs w:val="24"/>
        </w:rPr>
        <w:t xml:space="preserve">095 respondents x 22 hours = </w:t>
      </w:r>
      <w:r w:rsidR="00B46BDC" w:rsidRPr="00B93360">
        <w:rPr>
          <w:b/>
          <w:szCs w:val="24"/>
        </w:rPr>
        <w:t>24,090 total annual hours</w:t>
      </w:r>
      <w:r w:rsidR="00B46BDC" w:rsidRPr="00EC72F6">
        <w:rPr>
          <w:szCs w:val="24"/>
        </w:rPr>
        <w:t>.</w:t>
      </w:r>
      <w:r w:rsidRPr="00EC72F6">
        <w:rPr>
          <w:szCs w:val="24"/>
        </w:rPr>
        <w:t xml:space="preserve"> </w:t>
      </w:r>
    </w:p>
    <w:p w:rsidR="009E4129" w:rsidRPr="00EC72F6" w:rsidRDefault="009E4129">
      <w:pPr>
        <w:rPr>
          <w:szCs w:val="24"/>
        </w:rPr>
      </w:pPr>
    </w:p>
    <w:p w:rsidR="001D7492" w:rsidRDefault="00B46BDC" w:rsidP="00B93360">
      <w:pPr>
        <w:numPr>
          <w:ilvl w:val="0"/>
          <w:numId w:val="3"/>
        </w:numPr>
        <w:rPr>
          <w:szCs w:val="24"/>
        </w:rPr>
      </w:pPr>
      <w:r w:rsidRPr="001D7492">
        <w:rPr>
          <w:szCs w:val="24"/>
          <w:u w:val="single"/>
        </w:rPr>
        <w:t>Total estimate of annualized cost to respondents for the hour burden</w:t>
      </w:r>
      <w:r w:rsidR="00E552AC" w:rsidRPr="001D7492">
        <w:rPr>
          <w:szCs w:val="24"/>
          <w:u w:val="single"/>
        </w:rPr>
        <w:t>:</w:t>
      </w:r>
      <w:r w:rsidR="00E552AC" w:rsidRPr="001D7492">
        <w:rPr>
          <w:szCs w:val="24"/>
        </w:rPr>
        <w:t xml:space="preserve">  </w:t>
      </w:r>
      <w:r w:rsidR="006C028A" w:rsidRPr="001D7492">
        <w:rPr>
          <w:szCs w:val="24"/>
        </w:rPr>
        <w:t xml:space="preserve">$963,600 (24,090 hours x $40/hour).  </w:t>
      </w:r>
    </w:p>
    <w:p w:rsidR="00320F44" w:rsidRPr="001D7492" w:rsidRDefault="006C028A" w:rsidP="001D7492">
      <w:pPr>
        <w:rPr>
          <w:szCs w:val="24"/>
        </w:rPr>
      </w:pPr>
      <w:r w:rsidRPr="001D7492">
        <w:rPr>
          <w:szCs w:val="24"/>
        </w:rPr>
        <w:tab/>
      </w:r>
      <w:r w:rsidRPr="001D7492">
        <w:rPr>
          <w:szCs w:val="24"/>
        </w:rPr>
        <w:tab/>
      </w:r>
    </w:p>
    <w:p w:rsidR="006C028A" w:rsidRPr="00EC72F6" w:rsidRDefault="006C028A" w:rsidP="00B93360">
      <w:pPr>
        <w:numPr>
          <w:ilvl w:val="0"/>
          <w:numId w:val="3"/>
        </w:numPr>
        <w:rPr>
          <w:szCs w:val="24"/>
        </w:rPr>
      </w:pPr>
      <w:r w:rsidRPr="00B93360">
        <w:rPr>
          <w:szCs w:val="24"/>
          <w:u w:val="single"/>
        </w:rPr>
        <w:t>Explanation of calculation</w:t>
      </w:r>
      <w:r w:rsidRPr="00EC72F6">
        <w:rPr>
          <w:szCs w:val="24"/>
        </w:rPr>
        <w:t xml:space="preserve">: </w:t>
      </w:r>
      <w:r w:rsidR="00A21622" w:rsidRPr="00EC72F6">
        <w:rPr>
          <w:szCs w:val="24"/>
        </w:rPr>
        <w:t>We estimate that the time to comply with the requirement will be 24,090 hours x $40</w:t>
      </w:r>
      <w:r w:rsidR="004F3221">
        <w:rPr>
          <w:szCs w:val="24"/>
        </w:rPr>
        <w:t>/hr. (</w:t>
      </w:r>
      <w:r w:rsidR="00A21622" w:rsidRPr="00EC72F6">
        <w:rPr>
          <w:szCs w:val="24"/>
        </w:rPr>
        <w:t>administrative staff time) = $963,600.</w:t>
      </w:r>
    </w:p>
    <w:p w:rsidR="009E4129" w:rsidRPr="00EC72F6" w:rsidRDefault="009E4129">
      <w:pPr>
        <w:rPr>
          <w:szCs w:val="24"/>
        </w:rPr>
      </w:pPr>
    </w:p>
    <w:p w:rsidR="009E4129" w:rsidRPr="00B93360" w:rsidRDefault="00A21622" w:rsidP="00B93360">
      <w:pPr>
        <w:numPr>
          <w:ilvl w:val="0"/>
          <w:numId w:val="2"/>
        </w:numPr>
        <w:rPr>
          <w:b/>
          <w:szCs w:val="24"/>
          <w:u w:val="single"/>
        </w:rPr>
      </w:pPr>
      <w:r w:rsidRPr="00B93360">
        <w:rPr>
          <w:b/>
          <w:szCs w:val="24"/>
          <w:u w:val="single"/>
        </w:rPr>
        <w:t>Updating Information submitted to the National Exchange Carrier Association (NECA) (Currently approved):</w:t>
      </w:r>
    </w:p>
    <w:p w:rsidR="00A21622" w:rsidRPr="00EC72F6" w:rsidRDefault="00A21622" w:rsidP="00B93360">
      <w:pPr>
        <w:ind w:left="1080" w:hanging="360"/>
        <w:rPr>
          <w:szCs w:val="24"/>
        </w:rPr>
      </w:pPr>
    </w:p>
    <w:p w:rsidR="00EC72F6" w:rsidRPr="00EC72F6" w:rsidRDefault="00A21622" w:rsidP="00B93360">
      <w:pPr>
        <w:numPr>
          <w:ilvl w:val="0"/>
          <w:numId w:val="4"/>
        </w:numPr>
        <w:rPr>
          <w:szCs w:val="24"/>
        </w:rPr>
      </w:pPr>
      <w:r w:rsidRPr="00B93360">
        <w:rPr>
          <w:szCs w:val="24"/>
          <w:u w:val="single"/>
        </w:rPr>
        <w:t>Number of respondents</w:t>
      </w:r>
      <w:r w:rsidRPr="00EC72F6">
        <w:rPr>
          <w:szCs w:val="24"/>
        </w:rPr>
        <w:t xml:space="preserve">: </w:t>
      </w:r>
      <w:r w:rsidR="00F479FF" w:rsidRPr="00EC72F6">
        <w:rPr>
          <w:szCs w:val="24"/>
        </w:rPr>
        <w:t>Approximately 140</w:t>
      </w:r>
      <w:r w:rsidR="00EC72F6" w:rsidRPr="00EC72F6">
        <w:rPr>
          <w:szCs w:val="24"/>
        </w:rPr>
        <w:t xml:space="preserve"> (This is the number of unique respondents, i.e., carriers that file both annual and</w:t>
      </w:r>
      <w:r w:rsidR="00B87707">
        <w:rPr>
          <w:szCs w:val="24"/>
        </w:rPr>
        <w:t xml:space="preserve"> on occasion filings</w:t>
      </w:r>
      <w:r w:rsidR="00EC72F6" w:rsidRPr="00EC72F6">
        <w:rPr>
          <w:szCs w:val="24"/>
        </w:rPr>
        <w:t xml:space="preserve"> are not counted twice).</w:t>
      </w:r>
    </w:p>
    <w:p w:rsidR="00EC72F6" w:rsidRPr="00EC72F6" w:rsidRDefault="00EC72F6" w:rsidP="00B93360">
      <w:pPr>
        <w:ind w:left="1080"/>
        <w:rPr>
          <w:szCs w:val="24"/>
        </w:rPr>
      </w:pPr>
    </w:p>
    <w:p w:rsidR="00A21622" w:rsidRPr="00980CB2" w:rsidRDefault="00EC72F6" w:rsidP="00B93360">
      <w:pPr>
        <w:numPr>
          <w:ilvl w:val="0"/>
          <w:numId w:val="4"/>
        </w:numPr>
        <w:rPr>
          <w:szCs w:val="24"/>
        </w:rPr>
      </w:pPr>
      <w:r w:rsidRPr="00B93360">
        <w:rPr>
          <w:szCs w:val="24"/>
          <w:u w:val="single"/>
        </w:rPr>
        <w:t>Frequency of responses</w:t>
      </w:r>
      <w:r w:rsidR="004A340E">
        <w:rPr>
          <w:szCs w:val="24"/>
        </w:rPr>
        <w:t xml:space="preserve">:  </w:t>
      </w:r>
      <w:r w:rsidR="004A340E" w:rsidRPr="00980CB2">
        <w:rPr>
          <w:szCs w:val="24"/>
        </w:rPr>
        <w:t>O</w:t>
      </w:r>
      <w:r w:rsidR="00B87707">
        <w:rPr>
          <w:szCs w:val="24"/>
        </w:rPr>
        <w:t>n o</w:t>
      </w:r>
      <w:r w:rsidR="004A340E" w:rsidRPr="00980CB2">
        <w:rPr>
          <w:szCs w:val="24"/>
        </w:rPr>
        <w:t>ccasion</w:t>
      </w:r>
      <w:r w:rsidR="00B87707">
        <w:rPr>
          <w:szCs w:val="24"/>
        </w:rPr>
        <w:t xml:space="preserve">. </w:t>
      </w:r>
    </w:p>
    <w:p w:rsidR="00EC72F6" w:rsidRDefault="00EC72F6" w:rsidP="00B93360">
      <w:pPr>
        <w:pStyle w:val="ListParagraph"/>
        <w:rPr>
          <w:szCs w:val="24"/>
        </w:rPr>
      </w:pPr>
    </w:p>
    <w:p w:rsidR="001D7492" w:rsidRDefault="00EC72F6" w:rsidP="00B93360">
      <w:pPr>
        <w:numPr>
          <w:ilvl w:val="0"/>
          <w:numId w:val="4"/>
        </w:numPr>
        <w:rPr>
          <w:szCs w:val="24"/>
        </w:rPr>
      </w:pPr>
      <w:r w:rsidRPr="00B93360">
        <w:rPr>
          <w:szCs w:val="24"/>
          <w:u w:val="single"/>
        </w:rPr>
        <w:t>Annual hour burden per respondent</w:t>
      </w:r>
      <w:r>
        <w:rPr>
          <w:szCs w:val="24"/>
        </w:rPr>
        <w:t xml:space="preserve">:  </w:t>
      </w:r>
      <w:r w:rsidRPr="00EC72F6">
        <w:rPr>
          <w:szCs w:val="24"/>
        </w:rPr>
        <w:t>22 hours per respo</w:t>
      </w:r>
      <w:r>
        <w:rPr>
          <w:szCs w:val="24"/>
        </w:rPr>
        <w:t>ndent for 140</w:t>
      </w:r>
      <w:r w:rsidRPr="00EC72F6">
        <w:rPr>
          <w:szCs w:val="24"/>
        </w:rPr>
        <w:t xml:space="preserve"> respo</w:t>
      </w:r>
      <w:r w:rsidR="004A340E">
        <w:rPr>
          <w:szCs w:val="24"/>
        </w:rPr>
        <w:t>ndents filing on occasion</w:t>
      </w:r>
      <w:r w:rsidRPr="00EC72F6">
        <w:rPr>
          <w:szCs w:val="24"/>
        </w:rPr>
        <w:t>.  Total annual hour burden is: 1</w:t>
      </w:r>
      <w:r w:rsidR="004A340E">
        <w:rPr>
          <w:szCs w:val="24"/>
        </w:rPr>
        <w:t>40</w:t>
      </w:r>
      <w:r w:rsidR="0009627D">
        <w:rPr>
          <w:szCs w:val="24"/>
        </w:rPr>
        <w:t xml:space="preserve"> respondents </w:t>
      </w:r>
      <w:r w:rsidR="001D7492">
        <w:rPr>
          <w:szCs w:val="24"/>
        </w:rPr>
        <w:t>x 3 responses</w:t>
      </w:r>
      <w:r w:rsidR="00B87707">
        <w:rPr>
          <w:szCs w:val="24"/>
        </w:rPr>
        <w:t>/year</w:t>
      </w:r>
      <w:r w:rsidRPr="00EC72F6">
        <w:rPr>
          <w:szCs w:val="24"/>
        </w:rPr>
        <w:t xml:space="preserve"> = </w:t>
      </w:r>
      <w:r w:rsidR="0009627D">
        <w:rPr>
          <w:szCs w:val="24"/>
        </w:rPr>
        <w:t>420</w:t>
      </w:r>
      <w:r w:rsidR="001D7492">
        <w:rPr>
          <w:szCs w:val="24"/>
        </w:rPr>
        <w:t xml:space="preserve"> responses</w:t>
      </w:r>
      <w:r w:rsidR="0009627D">
        <w:rPr>
          <w:szCs w:val="24"/>
        </w:rPr>
        <w:t xml:space="preserve">.  420 responses x 22 hours = </w:t>
      </w:r>
      <w:r w:rsidR="0009627D">
        <w:rPr>
          <w:b/>
          <w:szCs w:val="24"/>
        </w:rPr>
        <w:t>9,240</w:t>
      </w:r>
      <w:r w:rsidRPr="001F75C5">
        <w:rPr>
          <w:b/>
          <w:szCs w:val="24"/>
        </w:rPr>
        <w:t xml:space="preserve"> total annual hours</w:t>
      </w:r>
      <w:r w:rsidR="0009627D">
        <w:rPr>
          <w:b/>
          <w:szCs w:val="24"/>
        </w:rPr>
        <w:t>.</w:t>
      </w:r>
    </w:p>
    <w:p w:rsidR="001D7492" w:rsidRDefault="001D7492" w:rsidP="00B93360">
      <w:pPr>
        <w:pStyle w:val="ListParagraph"/>
        <w:rPr>
          <w:szCs w:val="24"/>
        </w:rPr>
      </w:pPr>
    </w:p>
    <w:p w:rsidR="001D7492" w:rsidRDefault="0009627D" w:rsidP="001D7784">
      <w:pPr>
        <w:numPr>
          <w:ilvl w:val="0"/>
          <w:numId w:val="4"/>
        </w:numPr>
        <w:rPr>
          <w:szCs w:val="24"/>
        </w:rPr>
      </w:pPr>
      <w:r w:rsidRPr="00B93360">
        <w:rPr>
          <w:szCs w:val="24"/>
          <w:u w:val="single"/>
        </w:rPr>
        <w:t>Total estimate of annualized cost to respondents for the hour burden</w:t>
      </w:r>
      <w:r w:rsidRPr="001D7492">
        <w:rPr>
          <w:szCs w:val="24"/>
        </w:rPr>
        <w:t xml:space="preserve">:  </w:t>
      </w:r>
      <w:r w:rsidR="001D7492" w:rsidRPr="001D7492">
        <w:rPr>
          <w:szCs w:val="24"/>
        </w:rPr>
        <w:t>$369,600.  (9,240 x $40/hour).</w:t>
      </w:r>
      <w:r w:rsidR="001D7784">
        <w:rPr>
          <w:szCs w:val="24"/>
        </w:rPr>
        <w:t xml:space="preserve"> </w:t>
      </w:r>
    </w:p>
    <w:p w:rsidR="00825BC1" w:rsidRPr="001D7784" w:rsidRDefault="00825BC1" w:rsidP="00B93360">
      <w:pPr>
        <w:rPr>
          <w:szCs w:val="24"/>
        </w:rPr>
      </w:pPr>
    </w:p>
    <w:p w:rsidR="001D7492" w:rsidRPr="001D7784" w:rsidRDefault="001D7492" w:rsidP="00B93360">
      <w:pPr>
        <w:numPr>
          <w:ilvl w:val="0"/>
          <w:numId w:val="4"/>
        </w:numPr>
        <w:rPr>
          <w:szCs w:val="24"/>
        </w:rPr>
      </w:pPr>
      <w:r w:rsidRPr="001F75C5">
        <w:rPr>
          <w:szCs w:val="24"/>
          <w:u w:val="single"/>
        </w:rPr>
        <w:t>Explanation of calculation</w:t>
      </w:r>
      <w:r w:rsidRPr="00EC72F6">
        <w:rPr>
          <w:szCs w:val="24"/>
        </w:rPr>
        <w:t>: We estimate that the time to comply wit</w:t>
      </w:r>
      <w:r w:rsidR="001D7784">
        <w:rPr>
          <w:szCs w:val="24"/>
        </w:rPr>
        <w:t>h the requirement will be 9,240</w:t>
      </w:r>
      <w:r w:rsidRPr="00EC72F6">
        <w:rPr>
          <w:szCs w:val="24"/>
        </w:rPr>
        <w:t xml:space="preserve"> hours x $40</w:t>
      </w:r>
      <w:r w:rsidR="004F3221">
        <w:rPr>
          <w:szCs w:val="24"/>
        </w:rPr>
        <w:t>/hr. (</w:t>
      </w:r>
      <w:r w:rsidRPr="00EC72F6">
        <w:rPr>
          <w:szCs w:val="24"/>
        </w:rPr>
        <w:t>administrative staff time</w:t>
      </w:r>
      <w:r w:rsidR="001D7784">
        <w:rPr>
          <w:szCs w:val="24"/>
        </w:rPr>
        <w:t>) = $369</w:t>
      </w:r>
      <w:r w:rsidRPr="00EC72F6">
        <w:rPr>
          <w:szCs w:val="24"/>
        </w:rPr>
        <w:t>,600.</w:t>
      </w:r>
    </w:p>
    <w:p w:rsidR="0009627D" w:rsidRPr="00B93360" w:rsidRDefault="0009627D" w:rsidP="001D7492">
      <w:pPr>
        <w:rPr>
          <w:szCs w:val="24"/>
        </w:rPr>
      </w:pPr>
    </w:p>
    <w:p w:rsidR="00E552AC" w:rsidRDefault="00E552AC">
      <w:pPr>
        <w:rPr>
          <w:szCs w:val="24"/>
        </w:rPr>
      </w:pPr>
      <w:r w:rsidRPr="00EC72F6">
        <w:rPr>
          <w:szCs w:val="24"/>
        </w:rPr>
        <w:lastRenderedPageBreak/>
        <w:t xml:space="preserve">The hour burden </w:t>
      </w:r>
      <w:r w:rsidR="00052E83" w:rsidRPr="00EC72F6">
        <w:rPr>
          <w:szCs w:val="24"/>
        </w:rPr>
        <w:t xml:space="preserve">for each carrier </w:t>
      </w:r>
      <w:r w:rsidRPr="00EC72F6">
        <w:rPr>
          <w:szCs w:val="24"/>
        </w:rPr>
        <w:t>is not expected to vary widely because of differences in activity, size, or complexity.</w:t>
      </w:r>
    </w:p>
    <w:p w:rsidR="00C35633" w:rsidRDefault="00C35633">
      <w:pPr>
        <w:rPr>
          <w:szCs w:val="24"/>
        </w:rPr>
      </w:pPr>
    </w:p>
    <w:p w:rsidR="00C35633" w:rsidRPr="00B93360" w:rsidRDefault="00C35633" w:rsidP="00B93360">
      <w:pPr>
        <w:tabs>
          <w:tab w:val="left" w:pos="-720"/>
          <w:tab w:val="left" w:pos="7611"/>
        </w:tabs>
        <w:suppressAutoHyphens/>
        <w:spacing w:line="240" w:lineRule="atLeast"/>
        <w:rPr>
          <w:b/>
          <w:szCs w:val="24"/>
        </w:rPr>
      </w:pPr>
      <w:r>
        <w:rPr>
          <w:b/>
          <w:szCs w:val="24"/>
        </w:rPr>
        <w:t>The estimated respondents and responses and burden hours are listed below:</w:t>
      </w:r>
    </w:p>
    <w:p w:rsidR="003C5C43" w:rsidRPr="00EC72F6" w:rsidRDefault="003C5C43">
      <w:pPr>
        <w:rPr>
          <w:szCs w:val="24"/>
        </w:rPr>
      </w:pPr>
    </w:p>
    <w:tbl>
      <w:tblPr>
        <w:tblW w:w="9465" w:type="dxa"/>
        <w:tblInd w:w="93" w:type="dxa"/>
        <w:tblLayout w:type="fixed"/>
        <w:tblLook w:val="0000" w:firstRow="0" w:lastRow="0" w:firstColumn="0" w:lastColumn="0" w:noHBand="0" w:noVBand="0"/>
      </w:tblPr>
      <w:tblGrid>
        <w:gridCol w:w="2265"/>
        <w:gridCol w:w="1620"/>
        <w:gridCol w:w="1350"/>
        <w:gridCol w:w="1440"/>
        <w:gridCol w:w="1080"/>
        <w:gridCol w:w="1710"/>
      </w:tblGrid>
      <w:tr w:rsidR="00C35633" w:rsidTr="00B93360">
        <w:trPr>
          <w:cantSplit/>
          <w:trHeight w:val="1380"/>
        </w:trPr>
        <w:tc>
          <w:tcPr>
            <w:tcW w:w="2265" w:type="dxa"/>
            <w:shd w:val="clear" w:color="auto" w:fill="auto"/>
          </w:tcPr>
          <w:p w:rsidR="00C35633" w:rsidRDefault="00C35633" w:rsidP="0024673F">
            <w:pPr>
              <w:rPr>
                <w:b/>
                <w:bCs/>
                <w:szCs w:val="24"/>
              </w:rPr>
            </w:pPr>
            <w:r>
              <w:rPr>
                <w:b/>
                <w:bCs/>
                <w:szCs w:val="24"/>
              </w:rPr>
              <w:t> </w:t>
            </w:r>
          </w:p>
          <w:p w:rsidR="00C35633" w:rsidRDefault="00C35633" w:rsidP="0024673F">
            <w:pPr>
              <w:rPr>
                <w:b/>
                <w:bCs/>
                <w:szCs w:val="24"/>
              </w:rPr>
            </w:pPr>
            <w:r>
              <w:rPr>
                <w:b/>
                <w:bCs/>
                <w:szCs w:val="24"/>
              </w:rPr>
              <w:t>Information Collection Requirements</w:t>
            </w:r>
          </w:p>
        </w:tc>
        <w:tc>
          <w:tcPr>
            <w:tcW w:w="1620" w:type="dxa"/>
            <w:shd w:val="clear" w:color="auto" w:fill="auto"/>
          </w:tcPr>
          <w:p w:rsidR="00C35633" w:rsidRDefault="00C35633" w:rsidP="0024673F">
            <w:pPr>
              <w:jc w:val="center"/>
              <w:rPr>
                <w:b/>
                <w:bCs/>
                <w:szCs w:val="24"/>
              </w:rPr>
            </w:pPr>
          </w:p>
          <w:p w:rsidR="00C35633" w:rsidRDefault="00C35633" w:rsidP="0024673F">
            <w:pPr>
              <w:jc w:val="center"/>
              <w:rPr>
                <w:b/>
                <w:bCs/>
                <w:szCs w:val="24"/>
              </w:rPr>
            </w:pPr>
            <w:r>
              <w:rPr>
                <w:b/>
                <w:bCs/>
                <w:szCs w:val="24"/>
              </w:rPr>
              <w:t>Number of Respondents</w:t>
            </w:r>
          </w:p>
        </w:tc>
        <w:tc>
          <w:tcPr>
            <w:tcW w:w="1350" w:type="dxa"/>
            <w:shd w:val="clear" w:color="auto" w:fill="auto"/>
          </w:tcPr>
          <w:p w:rsidR="00C35633" w:rsidRDefault="00C35633" w:rsidP="0024673F">
            <w:pPr>
              <w:jc w:val="center"/>
              <w:rPr>
                <w:b/>
                <w:bCs/>
                <w:szCs w:val="24"/>
              </w:rPr>
            </w:pPr>
          </w:p>
          <w:p w:rsidR="00C35633" w:rsidRDefault="00C35633" w:rsidP="0024673F">
            <w:pPr>
              <w:jc w:val="center"/>
              <w:rPr>
                <w:b/>
                <w:bCs/>
                <w:szCs w:val="24"/>
              </w:rPr>
            </w:pPr>
            <w:r>
              <w:rPr>
                <w:b/>
                <w:bCs/>
                <w:szCs w:val="24"/>
              </w:rPr>
              <w:t>Number of Responses</w:t>
            </w:r>
          </w:p>
          <w:p w:rsidR="00C35633" w:rsidRDefault="00C35633" w:rsidP="0024673F">
            <w:pPr>
              <w:jc w:val="center"/>
              <w:rPr>
                <w:b/>
                <w:bCs/>
                <w:szCs w:val="24"/>
              </w:rPr>
            </w:pPr>
            <w:r>
              <w:rPr>
                <w:b/>
                <w:bCs/>
                <w:szCs w:val="24"/>
              </w:rPr>
              <w:t>Per Year</w:t>
            </w:r>
          </w:p>
        </w:tc>
        <w:tc>
          <w:tcPr>
            <w:tcW w:w="1440" w:type="dxa"/>
            <w:shd w:val="clear" w:color="auto" w:fill="auto"/>
          </w:tcPr>
          <w:p w:rsidR="00C35633" w:rsidRDefault="00C35633" w:rsidP="0024673F">
            <w:pPr>
              <w:jc w:val="center"/>
              <w:rPr>
                <w:b/>
                <w:bCs/>
                <w:szCs w:val="24"/>
              </w:rPr>
            </w:pPr>
          </w:p>
          <w:p w:rsidR="00C35633" w:rsidRDefault="00C35633" w:rsidP="0024673F">
            <w:pPr>
              <w:jc w:val="center"/>
              <w:rPr>
                <w:b/>
                <w:bCs/>
                <w:szCs w:val="24"/>
              </w:rPr>
            </w:pPr>
            <w:r>
              <w:rPr>
                <w:b/>
                <w:bCs/>
                <w:szCs w:val="24"/>
              </w:rPr>
              <w:t>Estimated  Time per Response (hours)</w:t>
            </w:r>
          </w:p>
        </w:tc>
        <w:tc>
          <w:tcPr>
            <w:tcW w:w="1080" w:type="dxa"/>
            <w:shd w:val="clear" w:color="auto" w:fill="auto"/>
          </w:tcPr>
          <w:p w:rsidR="00C35633" w:rsidRDefault="00C35633" w:rsidP="0024673F">
            <w:pPr>
              <w:jc w:val="center"/>
              <w:rPr>
                <w:b/>
                <w:bCs/>
                <w:szCs w:val="24"/>
              </w:rPr>
            </w:pPr>
          </w:p>
          <w:p w:rsidR="00C35633" w:rsidRDefault="00C35633" w:rsidP="0024673F">
            <w:pPr>
              <w:jc w:val="center"/>
              <w:rPr>
                <w:b/>
                <w:bCs/>
                <w:szCs w:val="24"/>
              </w:rPr>
            </w:pPr>
            <w:r>
              <w:rPr>
                <w:b/>
                <w:bCs/>
                <w:szCs w:val="24"/>
              </w:rPr>
              <w:t>Total Burden Hours</w:t>
            </w:r>
          </w:p>
        </w:tc>
        <w:tc>
          <w:tcPr>
            <w:tcW w:w="1710" w:type="dxa"/>
            <w:shd w:val="clear" w:color="auto" w:fill="auto"/>
          </w:tcPr>
          <w:p w:rsidR="00C35633" w:rsidRDefault="00C35633" w:rsidP="0024673F">
            <w:pPr>
              <w:jc w:val="center"/>
              <w:rPr>
                <w:b/>
                <w:bCs/>
                <w:szCs w:val="24"/>
              </w:rPr>
            </w:pPr>
          </w:p>
          <w:p w:rsidR="00C35633" w:rsidRDefault="00C35633" w:rsidP="0024673F">
            <w:pPr>
              <w:jc w:val="center"/>
              <w:rPr>
                <w:b/>
                <w:bCs/>
                <w:szCs w:val="24"/>
              </w:rPr>
            </w:pPr>
            <w:r>
              <w:rPr>
                <w:b/>
                <w:bCs/>
                <w:szCs w:val="24"/>
              </w:rPr>
              <w:t>In-house Office and Overhead Costs</w:t>
            </w:r>
          </w:p>
        </w:tc>
      </w:tr>
      <w:tr w:rsidR="00C35633" w:rsidTr="00B93360">
        <w:trPr>
          <w:cantSplit/>
          <w:trHeight w:val="255"/>
        </w:trPr>
        <w:tc>
          <w:tcPr>
            <w:tcW w:w="2265" w:type="dxa"/>
            <w:shd w:val="clear" w:color="auto" w:fill="auto"/>
          </w:tcPr>
          <w:p w:rsidR="00C35633" w:rsidRDefault="00C35633" w:rsidP="0024673F">
            <w:pPr>
              <w:rPr>
                <w:szCs w:val="24"/>
              </w:rPr>
            </w:pPr>
            <w:r>
              <w:rPr>
                <w:szCs w:val="24"/>
              </w:rPr>
              <w:t> </w:t>
            </w:r>
          </w:p>
        </w:tc>
        <w:tc>
          <w:tcPr>
            <w:tcW w:w="1620" w:type="dxa"/>
            <w:shd w:val="clear" w:color="auto" w:fill="auto"/>
          </w:tcPr>
          <w:p w:rsidR="00C35633" w:rsidRDefault="00C35633" w:rsidP="0024673F">
            <w:pPr>
              <w:jc w:val="center"/>
              <w:rPr>
                <w:szCs w:val="24"/>
              </w:rPr>
            </w:pPr>
            <w:r>
              <w:rPr>
                <w:szCs w:val="24"/>
              </w:rPr>
              <w:t> </w:t>
            </w:r>
          </w:p>
        </w:tc>
        <w:tc>
          <w:tcPr>
            <w:tcW w:w="1350" w:type="dxa"/>
            <w:shd w:val="clear" w:color="auto" w:fill="auto"/>
          </w:tcPr>
          <w:p w:rsidR="00C35633" w:rsidRDefault="00C35633" w:rsidP="0024673F">
            <w:pPr>
              <w:jc w:val="center"/>
              <w:rPr>
                <w:szCs w:val="24"/>
              </w:rPr>
            </w:pPr>
            <w:r>
              <w:rPr>
                <w:szCs w:val="24"/>
              </w:rPr>
              <w:t> </w:t>
            </w:r>
          </w:p>
        </w:tc>
        <w:tc>
          <w:tcPr>
            <w:tcW w:w="1440" w:type="dxa"/>
            <w:shd w:val="clear" w:color="auto" w:fill="auto"/>
          </w:tcPr>
          <w:p w:rsidR="00C35633" w:rsidRDefault="00C35633" w:rsidP="0024673F">
            <w:pPr>
              <w:jc w:val="center"/>
              <w:rPr>
                <w:szCs w:val="24"/>
              </w:rPr>
            </w:pPr>
            <w:r>
              <w:rPr>
                <w:szCs w:val="24"/>
              </w:rPr>
              <w:t> </w:t>
            </w:r>
          </w:p>
        </w:tc>
        <w:tc>
          <w:tcPr>
            <w:tcW w:w="1080" w:type="dxa"/>
            <w:shd w:val="clear" w:color="auto" w:fill="auto"/>
          </w:tcPr>
          <w:p w:rsidR="00C35633" w:rsidRDefault="00C35633" w:rsidP="0024673F">
            <w:pPr>
              <w:jc w:val="center"/>
              <w:rPr>
                <w:szCs w:val="24"/>
              </w:rPr>
            </w:pPr>
            <w:r>
              <w:rPr>
                <w:szCs w:val="24"/>
              </w:rPr>
              <w:t> </w:t>
            </w:r>
          </w:p>
        </w:tc>
        <w:tc>
          <w:tcPr>
            <w:tcW w:w="1710" w:type="dxa"/>
            <w:shd w:val="clear" w:color="auto" w:fill="auto"/>
          </w:tcPr>
          <w:p w:rsidR="00C35633" w:rsidRDefault="00C35633" w:rsidP="0024673F">
            <w:pPr>
              <w:jc w:val="center"/>
              <w:rPr>
                <w:szCs w:val="24"/>
              </w:rPr>
            </w:pPr>
            <w:r>
              <w:rPr>
                <w:szCs w:val="24"/>
              </w:rPr>
              <w:t> </w:t>
            </w:r>
          </w:p>
        </w:tc>
      </w:tr>
      <w:tr w:rsidR="00C35633" w:rsidTr="00B93360">
        <w:trPr>
          <w:cantSplit/>
          <w:trHeight w:val="480"/>
        </w:trPr>
        <w:tc>
          <w:tcPr>
            <w:tcW w:w="2265" w:type="dxa"/>
            <w:vMerge w:val="restart"/>
            <w:shd w:val="clear" w:color="auto" w:fill="auto"/>
            <w:vAlign w:val="bottom"/>
          </w:tcPr>
          <w:p w:rsidR="00C35633" w:rsidRDefault="00C35633" w:rsidP="0024673F">
            <w:pPr>
              <w:rPr>
                <w:szCs w:val="24"/>
              </w:rPr>
            </w:pPr>
            <w:r>
              <w:rPr>
                <w:b/>
                <w:bCs/>
                <w:u w:val="single"/>
              </w:rPr>
              <w:t>a.</w:t>
            </w:r>
            <w:r w:rsidR="00351DC4">
              <w:rPr>
                <w:b/>
                <w:bCs/>
                <w:u w:val="single"/>
              </w:rPr>
              <w:t>Submission of Information to the National Exchange Carrier Association (NECA) (Currently Approved)</w:t>
            </w:r>
          </w:p>
        </w:tc>
        <w:tc>
          <w:tcPr>
            <w:tcW w:w="1620" w:type="dxa"/>
            <w:shd w:val="clear" w:color="auto" w:fill="auto"/>
            <w:vAlign w:val="bottom"/>
          </w:tcPr>
          <w:p w:rsidR="00C35633" w:rsidRDefault="00351DC4" w:rsidP="0024673F">
            <w:pPr>
              <w:jc w:val="center"/>
              <w:rPr>
                <w:rFonts w:ascii="Arial" w:hAnsi="Arial" w:cs="Arial"/>
                <w:sz w:val="20"/>
              </w:rPr>
            </w:pPr>
            <w:r>
              <w:rPr>
                <w:rFonts w:ascii="Arial" w:hAnsi="Arial" w:cs="Arial"/>
                <w:sz w:val="20"/>
              </w:rPr>
              <w:t>1,095</w:t>
            </w:r>
          </w:p>
          <w:p w:rsidR="0024673F" w:rsidRDefault="0024673F" w:rsidP="0024673F">
            <w:pPr>
              <w:jc w:val="center"/>
              <w:rPr>
                <w:szCs w:val="24"/>
              </w:rPr>
            </w:pPr>
          </w:p>
        </w:tc>
        <w:tc>
          <w:tcPr>
            <w:tcW w:w="1350" w:type="dxa"/>
            <w:shd w:val="clear" w:color="auto" w:fill="auto"/>
            <w:vAlign w:val="bottom"/>
          </w:tcPr>
          <w:p w:rsidR="00C35633" w:rsidRDefault="00C35633" w:rsidP="0024673F">
            <w:pPr>
              <w:jc w:val="center"/>
              <w:rPr>
                <w:rFonts w:ascii="Arial" w:hAnsi="Arial" w:cs="Arial"/>
                <w:sz w:val="20"/>
              </w:rPr>
            </w:pPr>
            <w:r>
              <w:rPr>
                <w:rFonts w:ascii="Arial" w:hAnsi="Arial" w:cs="Arial"/>
                <w:sz w:val="20"/>
              </w:rPr>
              <w:t>1</w:t>
            </w:r>
            <w:r w:rsidR="00351DC4">
              <w:rPr>
                <w:rFonts w:ascii="Arial" w:hAnsi="Arial" w:cs="Arial"/>
                <w:sz w:val="20"/>
              </w:rPr>
              <w:t>,095</w:t>
            </w:r>
          </w:p>
          <w:p w:rsidR="0024673F" w:rsidRDefault="0024673F" w:rsidP="0024673F">
            <w:pPr>
              <w:jc w:val="center"/>
              <w:rPr>
                <w:szCs w:val="24"/>
              </w:rPr>
            </w:pPr>
          </w:p>
        </w:tc>
        <w:tc>
          <w:tcPr>
            <w:tcW w:w="1440" w:type="dxa"/>
            <w:shd w:val="clear" w:color="auto" w:fill="auto"/>
            <w:vAlign w:val="bottom"/>
          </w:tcPr>
          <w:p w:rsidR="00C35633" w:rsidRDefault="00C35633" w:rsidP="0024673F">
            <w:pPr>
              <w:jc w:val="center"/>
              <w:rPr>
                <w:rFonts w:ascii="Arial" w:hAnsi="Arial" w:cs="Arial"/>
                <w:sz w:val="20"/>
              </w:rPr>
            </w:pPr>
            <w:r>
              <w:rPr>
                <w:rFonts w:ascii="Arial" w:hAnsi="Arial" w:cs="Arial"/>
                <w:sz w:val="20"/>
              </w:rPr>
              <w:t>2</w:t>
            </w:r>
            <w:r w:rsidR="00351DC4">
              <w:rPr>
                <w:rFonts w:ascii="Arial" w:hAnsi="Arial" w:cs="Arial"/>
                <w:sz w:val="20"/>
              </w:rPr>
              <w:t>2</w:t>
            </w:r>
          </w:p>
          <w:p w:rsidR="0024673F" w:rsidRDefault="0024673F" w:rsidP="0024673F">
            <w:pPr>
              <w:jc w:val="center"/>
              <w:rPr>
                <w:szCs w:val="24"/>
              </w:rPr>
            </w:pPr>
          </w:p>
        </w:tc>
        <w:tc>
          <w:tcPr>
            <w:tcW w:w="1080" w:type="dxa"/>
            <w:shd w:val="clear" w:color="auto" w:fill="auto"/>
            <w:vAlign w:val="bottom"/>
          </w:tcPr>
          <w:p w:rsidR="00C35633" w:rsidRDefault="00351DC4" w:rsidP="0024673F">
            <w:pPr>
              <w:jc w:val="center"/>
              <w:rPr>
                <w:rFonts w:ascii="Arial" w:hAnsi="Arial" w:cs="Arial"/>
                <w:sz w:val="20"/>
              </w:rPr>
            </w:pPr>
            <w:r>
              <w:rPr>
                <w:rFonts w:ascii="Arial" w:hAnsi="Arial" w:cs="Arial"/>
                <w:sz w:val="20"/>
              </w:rPr>
              <w:t>24,090</w:t>
            </w:r>
          </w:p>
          <w:p w:rsidR="0024673F" w:rsidRDefault="0024673F" w:rsidP="0024673F">
            <w:pPr>
              <w:jc w:val="center"/>
              <w:rPr>
                <w:szCs w:val="24"/>
              </w:rPr>
            </w:pPr>
          </w:p>
        </w:tc>
        <w:tc>
          <w:tcPr>
            <w:tcW w:w="1710" w:type="dxa"/>
            <w:shd w:val="clear" w:color="auto" w:fill="auto"/>
            <w:vAlign w:val="bottom"/>
          </w:tcPr>
          <w:p w:rsidR="00C35633" w:rsidRDefault="00351DC4" w:rsidP="0024673F">
            <w:pPr>
              <w:jc w:val="center"/>
              <w:rPr>
                <w:rFonts w:ascii="Arial" w:hAnsi="Arial" w:cs="Arial"/>
                <w:sz w:val="20"/>
              </w:rPr>
            </w:pPr>
            <w:r>
              <w:rPr>
                <w:rFonts w:ascii="Arial" w:hAnsi="Arial" w:cs="Arial"/>
                <w:sz w:val="20"/>
              </w:rPr>
              <w:t>$963,00</w:t>
            </w:r>
            <w:r w:rsidR="00586311">
              <w:rPr>
                <w:rFonts w:ascii="Arial" w:hAnsi="Arial" w:cs="Arial"/>
                <w:sz w:val="20"/>
              </w:rPr>
              <w:t>0</w:t>
            </w:r>
          </w:p>
          <w:p w:rsidR="0024673F" w:rsidRDefault="0024673F" w:rsidP="0024673F">
            <w:pPr>
              <w:jc w:val="center"/>
              <w:rPr>
                <w:szCs w:val="24"/>
              </w:rPr>
            </w:pPr>
          </w:p>
        </w:tc>
      </w:tr>
      <w:tr w:rsidR="00C35633" w:rsidTr="00B93360">
        <w:trPr>
          <w:cantSplit/>
          <w:trHeight w:val="480"/>
        </w:trPr>
        <w:tc>
          <w:tcPr>
            <w:tcW w:w="2265" w:type="dxa"/>
            <w:vMerge/>
            <w:shd w:val="clear" w:color="auto" w:fill="auto"/>
          </w:tcPr>
          <w:p w:rsidR="00C35633" w:rsidRDefault="00C35633" w:rsidP="0024673F">
            <w:pPr>
              <w:rPr>
                <w:szCs w:val="24"/>
              </w:rPr>
            </w:pPr>
          </w:p>
        </w:tc>
        <w:tc>
          <w:tcPr>
            <w:tcW w:w="1620" w:type="dxa"/>
            <w:shd w:val="clear" w:color="auto" w:fill="auto"/>
          </w:tcPr>
          <w:p w:rsidR="00C35633" w:rsidRDefault="00C35633" w:rsidP="0024673F">
            <w:pPr>
              <w:jc w:val="center"/>
              <w:rPr>
                <w:szCs w:val="24"/>
              </w:rPr>
            </w:pPr>
          </w:p>
        </w:tc>
        <w:tc>
          <w:tcPr>
            <w:tcW w:w="1350" w:type="dxa"/>
            <w:shd w:val="clear" w:color="auto" w:fill="auto"/>
          </w:tcPr>
          <w:p w:rsidR="00C35633" w:rsidRDefault="00C35633" w:rsidP="0024673F">
            <w:pPr>
              <w:jc w:val="center"/>
              <w:rPr>
                <w:szCs w:val="24"/>
              </w:rPr>
            </w:pPr>
          </w:p>
          <w:p w:rsidR="00C35633" w:rsidRDefault="00C35633" w:rsidP="0024673F">
            <w:pPr>
              <w:jc w:val="center"/>
              <w:rPr>
                <w:szCs w:val="24"/>
              </w:rPr>
            </w:pPr>
          </w:p>
        </w:tc>
        <w:tc>
          <w:tcPr>
            <w:tcW w:w="1440" w:type="dxa"/>
            <w:shd w:val="clear" w:color="auto" w:fill="auto"/>
          </w:tcPr>
          <w:p w:rsidR="00C35633" w:rsidRDefault="00C35633" w:rsidP="0024673F">
            <w:pPr>
              <w:jc w:val="center"/>
              <w:rPr>
                <w:szCs w:val="24"/>
              </w:rPr>
            </w:pPr>
          </w:p>
        </w:tc>
        <w:tc>
          <w:tcPr>
            <w:tcW w:w="1080" w:type="dxa"/>
            <w:shd w:val="clear" w:color="auto" w:fill="auto"/>
          </w:tcPr>
          <w:p w:rsidR="00C35633" w:rsidRDefault="00C35633" w:rsidP="0024673F">
            <w:pPr>
              <w:jc w:val="center"/>
              <w:rPr>
                <w:szCs w:val="24"/>
              </w:rPr>
            </w:pPr>
          </w:p>
        </w:tc>
        <w:tc>
          <w:tcPr>
            <w:tcW w:w="1710" w:type="dxa"/>
            <w:shd w:val="clear" w:color="auto" w:fill="auto"/>
          </w:tcPr>
          <w:p w:rsidR="00C35633" w:rsidRDefault="00C35633" w:rsidP="0024673F">
            <w:pPr>
              <w:jc w:val="center"/>
              <w:rPr>
                <w:szCs w:val="24"/>
              </w:rPr>
            </w:pPr>
          </w:p>
        </w:tc>
      </w:tr>
      <w:tr w:rsidR="00C35633" w:rsidTr="00B93360">
        <w:trPr>
          <w:cantSplit/>
          <w:trHeight w:val="270"/>
        </w:trPr>
        <w:tc>
          <w:tcPr>
            <w:tcW w:w="2265" w:type="dxa"/>
            <w:shd w:val="clear" w:color="auto" w:fill="auto"/>
          </w:tcPr>
          <w:p w:rsidR="00C35633" w:rsidRDefault="00C35633" w:rsidP="0024673F">
            <w:pPr>
              <w:rPr>
                <w:szCs w:val="24"/>
              </w:rPr>
            </w:pPr>
            <w:r>
              <w:rPr>
                <w:szCs w:val="24"/>
              </w:rPr>
              <w:t> </w:t>
            </w:r>
          </w:p>
        </w:tc>
        <w:tc>
          <w:tcPr>
            <w:tcW w:w="1620" w:type="dxa"/>
            <w:shd w:val="clear" w:color="auto" w:fill="auto"/>
          </w:tcPr>
          <w:p w:rsidR="00C35633" w:rsidRDefault="00C35633" w:rsidP="0024673F">
            <w:pPr>
              <w:jc w:val="center"/>
              <w:rPr>
                <w:szCs w:val="24"/>
              </w:rPr>
            </w:pPr>
          </w:p>
        </w:tc>
        <w:tc>
          <w:tcPr>
            <w:tcW w:w="1350" w:type="dxa"/>
            <w:shd w:val="clear" w:color="auto" w:fill="auto"/>
          </w:tcPr>
          <w:p w:rsidR="00C35633" w:rsidRDefault="00C35633" w:rsidP="0024673F">
            <w:pPr>
              <w:jc w:val="center"/>
              <w:rPr>
                <w:szCs w:val="24"/>
              </w:rPr>
            </w:pPr>
          </w:p>
        </w:tc>
        <w:tc>
          <w:tcPr>
            <w:tcW w:w="1440" w:type="dxa"/>
            <w:shd w:val="clear" w:color="auto" w:fill="auto"/>
          </w:tcPr>
          <w:p w:rsidR="00C35633" w:rsidRDefault="00C35633" w:rsidP="0024673F">
            <w:pPr>
              <w:jc w:val="center"/>
              <w:rPr>
                <w:szCs w:val="24"/>
              </w:rPr>
            </w:pPr>
          </w:p>
        </w:tc>
        <w:tc>
          <w:tcPr>
            <w:tcW w:w="1080" w:type="dxa"/>
            <w:shd w:val="clear" w:color="auto" w:fill="auto"/>
          </w:tcPr>
          <w:p w:rsidR="00C35633" w:rsidRDefault="00C35633" w:rsidP="0024673F">
            <w:pPr>
              <w:jc w:val="center"/>
              <w:rPr>
                <w:szCs w:val="24"/>
              </w:rPr>
            </w:pPr>
          </w:p>
        </w:tc>
        <w:tc>
          <w:tcPr>
            <w:tcW w:w="1710" w:type="dxa"/>
            <w:shd w:val="clear" w:color="auto" w:fill="auto"/>
          </w:tcPr>
          <w:p w:rsidR="00C35633" w:rsidRDefault="00C35633" w:rsidP="0024673F">
            <w:pPr>
              <w:jc w:val="center"/>
              <w:rPr>
                <w:szCs w:val="24"/>
              </w:rPr>
            </w:pPr>
          </w:p>
        </w:tc>
      </w:tr>
      <w:tr w:rsidR="00C35633" w:rsidTr="00B93360">
        <w:trPr>
          <w:cantSplit/>
          <w:trHeight w:val="255"/>
        </w:trPr>
        <w:tc>
          <w:tcPr>
            <w:tcW w:w="2265" w:type="dxa"/>
            <w:shd w:val="clear" w:color="auto" w:fill="auto"/>
          </w:tcPr>
          <w:p w:rsidR="00C35633" w:rsidRDefault="00C35633" w:rsidP="0024673F">
            <w:pPr>
              <w:rPr>
                <w:szCs w:val="24"/>
              </w:rPr>
            </w:pPr>
          </w:p>
        </w:tc>
        <w:tc>
          <w:tcPr>
            <w:tcW w:w="1620" w:type="dxa"/>
            <w:shd w:val="clear" w:color="auto" w:fill="auto"/>
          </w:tcPr>
          <w:p w:rsidR="00C35633" w:rsidRDefault="00C35633" w:rsidP="0024673F">
            <w:pPr>
              <w:jc w:val="center"/>
              <w:rPr>
                <w:szCs w:val="24"/>
              </w:rPr>
            </w:pPr>
          </w:p>
        </w:tc>
        <w:tc>
          <w:tcPr>
            <w:tcW w:w="1350" w:type="dxa"/>
            <w:shd w:val="clear" w:color="auto" w:fill="auto"/>
          </w:tcPr>
          <w:p w:rsidR="00C35633" w:rsidRDefault="00C35633" w:rsidP="0024673F">
            <w:pPr>
              <w:jc w:val="center"/>
              <w:rPr>
                <w:szCs w:val="24"/>
              </w:rPr>
            </w:pPr>
          </w:p>
        </w:tc>
        <w:tc>
          <w:tcPr>
            <w:tcW w:w="1440" w:type="dxa"/>
            <w:shd w:val="clear" w:color="auto" w:fill="auto"/>
          </w:tcPr>
          <w:p w:rsidR="00C35633" w:rsidRDefault="00C35633" w:rsidP="0024673F">
            <w:pPr>
              <w:jc w:val="center"/>
              <w:rPr>
                <w:szCs w:val="24"/>
              </w:rPr>
            </w:pPr>
          </w:p>
        </w:tc>
        <w:tc>
          <w:tcPr>
            <w:tcW w:w="1080" w:type="dxa"/>
            <w:shd w:val="clear" w:color="auto" w:fill="auto"/>
          </w:tcPr>
          <w:p w:rsidR="00C35633" w:rsidRDefault="00C35633" w:rsidP="0024673F">
            <w:pPr>
              <w:jc w:val="center"/>
              <w:rPr>
                <w:szCs w:val="24"/>
              </w:rPr>
            </w:pPr>
          </w:p>
        </w:tc>
        <w:tc>
          <w:tcPr>
            <w:tcW w:w="1710" w:type="dxa"/>
            <w:shd w:val="clear" w:color="auto" w:fill="auto"/>
          </w:tcPr>
          <w:p w:rsidR="00C35633" w:rsidRDefault="00C35633" w:rsidP="0024673F">
            <w:pPr>
              <w:jc w:val="center"/>
              <w:rPr>
                <w:szCs w:val="24"/>
              </w:rPr>
            </w:pPr>
          </w:p>
        </w:tc>
      </w:tr>
      <w:tr w:rsidR="00C35633" w:rsidTr="00B93360">
        <w:trPr>
          <w:cantSplit/>
          <w:trHeight w:val="1200"/>
        </w:trPr>
        <w:tc>
          <w:tcPr>
            <w:tcW w:w="2265" w:type="dxa"/>
            <w:shd w:val="clear" w:color="auto" w:fill="auto"/>
            <w:vAlign w:val="bottom"/>
          </w:tcPr>
          <w:p w:rsidR="00C35633" w:rsidRDefault="00C35633" w:rsidP="0024673F">
            <w:pPr>
              <w:rPr>
                <w:szCs w:val="24"/>
              </w:rPr>
            </w:pPr>
            <w:r>
              <w:rPr>
                <w:b/>
                <w:bCs/>
                <w:u w:val="single"/>
              </w:rPr>
              <w:t xml:space="preserve">b. </w:t>
            </w:r>
            <w:r w:rsidR="00351DC4">
              <w:rPr>
                <w:b/>
                <w:bCs/>
                <w:u w:val="single"/>
              </w:rPr>
              <w:t>Updating Information submitted to the National Ex</w:t>
            </w:r>
            <w:r w:rsidR="00C73092">
              <w:rPr>
                <w:b/>
                <w:bCs/>
                <w:u w:val="single"/>
              </w:rPr>
              <w:t>c</w:t>
            </w:r>
            <w:r w:rsidR="00351DC4">
              <w:rPr>
                <w:b/>
                <w:bCs/>
                <w:u w:val="single"/>
              </w:rPr>
              <w:t>hange Carrier Association (NECA) (Currently approved)</w:t>
            </w:r>
          </w:p>
        </w:tc>
        <w:tc>
          <w:tcPr>
            <w:tcW w:w="1620" w:type="dxa"/>
            <w:shd w:val="clear" w:color="auto" w:fill="auto"/>
            <w:vAlign w:val="bottom"/>
          </w:tcPr>
          <w:p w:rsidR="00C35633" w:rsidRDefault="00351DC4" w:rsidP="0024673F">
            <w:pPr>
              <w:jc w:val="center"/>
              <w:rPr>
                <w:rFonts w:ascii="Arial" w:hAnsi="Arial" w:cs="Arial"/>
                <w:sz w:val="20"/>
              </w:rPr>
            </w:pPr>
            <w:r>
              <w:rPr>
                <w:rFonts w:ascii="Arial" w:hAnsi="Arial" w:cs="Arial"/>
                <w:sz w:val="20"/>
              </w:rPr>
              <w:t>140</w:t>
            </w: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szCs w:val="24"/>
              </w:rPr>
            </w:pPr>
          </w:p>
        </w:tc>
        <w:tc>
          <w:tcPr>
            <w:tcW w:w="1350" w:type="dxa"/>
            <w:shd w:val="clear" w:color="auto" w:fill="auto"/>
            <w:vAlign w:val="bottom"/>
          </w:tcPr>
          <w:p w:rsidR="00C35633" w:rsidRDefault="00351DC4" w:rsidP="0024673F">
            <w:pPr>
              <w:jc w:val="center"/>
              <w:rPr>
                <w:rFonts w:ascii="Arial" w:hAnsi="Arial" w:cs="Arial"/>
                <w:sz w:val="20"/>
              </w:rPr>
            </w:pPr>
            <w:r>
              <w:rPr>
                <w:rFonts w:ascii="Arial" w:hAnsi="Arial" w:cs="Arial"/>
                <w:sz w:val="20"/>
              </w:rPr>
              <w:t>140 x 3 = 420</w:t>
            </w:r>
            <w:r w:rsidR="0054137A">
              <w:rPr>
                <w:rFonts w:ascii="Arial" w:hAnsi="Arial" w:cs="Arial"/>
                <w:sz w:val="20"/>
              </w:rPr>
              <w:t xml:space="preserve"> Responses</w:t>
            </w: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szCs w:val="24"/>
              </w:rPr>
            </w:pPr>
          </w:p>
        </w:tc>
        <w:tc>
          <w:tcPr>
            <w:tcW w:w="1440" w:type="dxa"/>
            <w:shd w:val="clear" w:color="auto" w:fill="auto"/>
            <w:vAlign w:val="bottom"/>
          </w:tcPr>
          <w:p w:rsidR="00C35633" w:rsidRDefault="00351DC4" w:rsidP="0024673F">
            <w:pPr>
              <w:jc w:val="center"/>
              <w:rPr>
                <w:rFonts w:ascii="Arial" w:hAnsi="Arial" w:cs="Arial"/>
                <w:sz w:val="20"/>
              </w:rPr>
            </w:pPr>
            <w:r>
              <w:rPr>
                <w:rFonts w:ascii="Arial" w:hAnsi="Arial" w:cs="Arial"/>
                <w:sz w:val="20"/>
              </w:rPr>
              <w:t>22</w:t>
            </w: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szCs w:val="24"/>
              </w:rPr>
            </w:pPr>
          </w:p>
        </w:tc>
        <w:tc>
          <w:tcPr>
            <w:tcW w:w="1080" w:type="dxa"/>
            <w:shd w:val="clear" w:color="auto" w:fill="auto"/>
            <w:vAlign w:val="bottom"/>
          </w:tcPr>
          <w:p w:rsidR="00C35633" w:rsidRDefault="00351DC4" w:rsidP="0024673F">
            <w:pPr>
              <w:jc w:val="center"/>
              <w:rPr>
                <w:rFonts w:ascii="Arial" w:hAnsi="Arial" w:cs="Arial"/>
                <w:sz w:val="20"/>
              </w:rPr>
            </w:pPr>
            <w:r>
              <w:rPr>
                <w:rFonts w:ascii="Arial" w:hAnsi="Arial" w:cs="Arial"/>
                <w:sz w:val="20"/>
              </w:rPr>
              <w:t>9,240</w:t>
            </w: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szCs w:val="24"/>
              </w:rPr>
            </w:pPr>
          </w:p>
        </w:tc>
        <w:tc>
          <w:tcPr>
            <w:tcW w:w="1710" w:type="dxa"/>
            <w:shd w:val="clear" w:color="auto" w:fill="auto"/>
            <w:vAlign w:val="bottom"/>
          </w:tcPr>
          <w:p w:rsidR="00C35633" w:rsidRDefault="00C35633" w:rsidP="0024673F">
            <w:pPr>
              <w:jc w:val="center"/>
              <w:rPr>
                <w:rFonts w:ascii="Arial" w:hAnsi="Arial" w:cs="Arial"/>
                <w:sz w:val="20"/>
              </w:rPr>
            </w:pPr>
            <w:r>
              <w:rPr>
                <w:rFonts w:ascii="Arial" w:hAnsi="Arial" w:cs="Arial"/>
                <w:sz w:val="20"/>
              </w:rPr>
              <w:t>$</w:t>
            </w:r>
            <w:r w:rsidR="00351DC4">
              <w:rPr>
                <w:rFonts w:ascii="Arial" w:hAnsi="Arial" w:cs="Arial"/>
                <w:sz w:val="20"/>
              </w:rPr>
              <w:t>369,600</w:t>
            </w: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rFonts w:ascii="Arial" w:hAnsi="Arial" w:cs="Arial"/>
                <w:sz w:val="20"/>
              </w:rPr>
            </w:pPr>
          </w:p>
          <w:p w:rsidR="0024673F" w:rsidRDefault="0024673F" w:rsidP="0024673F">
            <w:pPr>
              <w:jc w:val="center"/>
              <w:rPr>
                <w:szCs w:val="24"/>
              </w:rPr>
            </w:pPr>
          </w:p>
        </w:tc>
      </w:tr>
      <w:tr w:rsidR="00C35633" w:rsidTr="00B93360">
        <w:trPr>
          <w:cantSplit/>
          <w:trHeight w:val="255"/>
        </w:trPr>
        <w:tc>
          <w:tcPr>
            <w:tcW w:w="2265" w:type="dxa"/>
            <w:shd w:val="clear" w:color="auto" w:fill="auto"/>
          </w:tcPr>
          <w:p w:rsidR="00C35633" w:rsidRDefault="00C35633" w:rsidP="0024673F">
            <w:pPr>
              <w:rPr>
                <w:szCs w:val="24"/>
              </w:rPr>
            </w:pPr>
            <w:r>
              <w:rPr>
                <w:szCs w:val="24"/>
              </w:rPr>
              <w:t> </w:t>
            </w:r>
          </w:p>
        </w:tc>
        <w:tc>
          <w:tcPr>
            <w:tcW w:w="1620" w:type="dxa"/>
            <w:shd w:val="clear" w:color="auto" w:fill="auto"/>
          </w:tcPr>
          <w:p w:rsidR="00C35633" w:rsidRDefault="00C35633" w:rsidP="0024673F">
            <w:pPr>
              <w:jc w:val="center"/>
              <w:rPr>
                <w:szCs w:val="24"/>
              </w:rPr>
            </w:pPr>
          </w:p>
        </w:tc>
        <w:tc>
          <w:tcPr>
            <w:tcW w:w="1350" w:type="dxa"/>
            <w:shd w:val="clear" w:color="auto" w:fill="auto"/>
          </w:tcPr>
          <w:p w:rsidR="00C35633" w:rsidRDefault="00C35633" w:rsidP="0024673F">
            <w:pPr>
              <w:jc w:val="center"/>
              <w:rPr>
                <w:szCs w:val="24"/>
              </w:rPr>
            </w:pPr>
          </w:p>
        </w:tc>
        <w:tc>
          <w:tcPr>
            <w:tcW w:w="1440" w:type="dxa"/>
            <w:shd w:val="clear" w:color="auto" w:fill="auto"/>
          </w:tcPr>
          <w:p w:rsidR="00C35633" w:rsidRDefault="00C35633" w:rsidP="0024673F">
            <w:pPr>
              <w:jc w:val="center"/>
              <w:rPr>
                <w:szCs w:val="24"/>
              </w:rPr>
            </w:pPr>
          </w:p>
        </w:tc>
        <w:tc>
          <w:tcPr>
            <w:tcW w:w="1080" w:type="dxa"/>
            <w:shd w:val="clear" w:color="auto" w:fill="auto"/>
          </w:tcPr>
          <w:p w:rsidR="00C35633" w:rsidRDefault="00C35633" w:rsidP="0024673F">
            <w:pPr>
              <w:jc w:val="center"/>
              <w:rPr>
                <w:szCs w:val="24"/>
              </w:rPr>
            </w:pPr>
          </w:p>
        </w:tc>
        <w:tc>
          <w:tcPr>
            <w:tcW w:w="1710" w:type="dxa"/>
            <w:shd w:val="clear" w:color="auto" w:fill="auto"/>
          </w:tcPr>
          <w:p w:rsidR="00C35633" w:rsidRDefault="00C35633" w:rsidP="0024673F">
            <w:pPr>
              <w:jc w:val="center"/>
              <w:rPr>
                <w:szCs w:val="24"/>
              </w:rPr>
            </w:pPr>
          </w:p>
        </w:tc>
      </w:tr>
      <w:tr w:rsidR="00C35633" w:rsidTr="00B93360">
        <w:trPr>
          <w:cantSplit/>
          <w:trHeight w:val="255"/>
        </w:trPr>
        <w:tc>
          <w:tcPr>
            <w:tcW w:w="2265" w:type="dxa"/>
            <w:shd w:val="clear" w:color="auto" w:fill="auto"/>
          </w:tcPr>
          <w:p w:rsidR="00C35633" w:rsidRDefault="00C35633" w:rsidP="0024673F">
            <w:pPr>
              <w:rPr>
                <w:szCs w:val="24"/>
              </w:rPr>
            </w:pPr>
          </w:p>
        </w:tc>
        <w:tc>
          <w:tcPr>
            <w:tcW w:w="1620" w:type="dxa"/>
            <w:shd w:val="clear" w:color="auto" w:fill="auto"/>
          </w:tcPr>
          <w:p w:rsidR="00C35633" w:rsidRDefault="00C35633" w:rsidP="0024673F">
            <w:pPr>
              <w:jc w:val="center"/>
              <w:rPr>
                <w:szCs w:val="24"/>
              </w:rPr>
            </w:pPr>
          </w:p>
        </w:tc>
        <w:tc>
          <w:tcPr>
            <w:tcW w:w="1350" w:type="dxa"/>
            <w:shd w:val="clear" w:color="auto" w:fill="auto"/>
          </w:tcPr>
          <w:p w:rsidR="00C35633" w:rsidRDefault="00C35633" w:rsidP="0024673F">
            <w:pPr>
              <w:jc w:val="center"/>
              <w:rPr>
                <w:szCs w:val="24"/>
              </w:rPr>
            </w:pPr>
          </w:p>
        </w:tc>
        <w:tc>
          <w:tcPr>
            <w:tcW w:w="1440" w:type="dxa"/>
            <w:shd w:val="clear" w:color="auto" w:fill="auto"/>
          </w:tcPr>
          <w:p w:rsidR="00C35633" w:rsidRDefault="00C35633" w:rsidP="0024673F">
            <w:pPr>
              <w:jc w:val="center"/>
              <w:rPr>
                <w:szCs w:val="24"/>
              </w:rPr>
            </w:pPr>
          </w:p>
        </w:tc>
        <w:tc>
          <w:tcPr>
            <w:tcW w:w="1080" w:type="dxa"/>
            <w:shd w:val="clear" w:color="auto" w:fill="auto"/>
          </w:tcPr>
          <w:p w:rsidR="00C35633" w:rsidRDefault="00C35633" w:rsidP="0024673F">
            <w:pPr>
              <w:jc w:val="center"/>
              <w:rPr>
                <w:szCs w:val="24"/>
              </w:rPr>
            </w:pPr>
          </w:p>
        </w:tc>
        <w:tc>
          <w:tcPr>
            <w:tcW w:w="1710" w:type="dxa"/>
            <w:shd w:val="clear" w:color="auto" w:fill="auto"/>
          </w:tcPr>
          <w:p w:rsidR="00C35633" w:rsidRDefault="00C35633" w:rsidP="0024673F">
            <w:pPr>
              <w:jc w:val="center"/>
              <w:rPr>
                <w:szCs w:val="24"/>
              </w:rPr>
            </w:pPr>
          </w:p>
        </w:tc>
      </w:tr>
      <w:tr w:rsidR="00C35633" w:rsidTr="00B93360">
        <w:trPr>
          <w:cantSplit/>
          <w:trHeight w:val="270"/>
        </w:trPr>
        <w:tc>
          <w:tcPr>
            <w:tcW w:w="2265" w:type="dxa"/>
            <w:shd w:val="clear" w:color="auto" w:fill="auto"/>
          </w:tcPr>
          <w:p w:rsidR="00C35633" w:rsidRDefault="00C35633" w:rsidP="0024673F">
            <w:pPr>
              <w:rPr>
                <w:b/>
                <w:bCs/>
                <w:szCs w:val="24"/>
              </w:rPr>
            </w:pPr>
            <w:r>
              <w:rPr>
                <w:b/>
                <w:bCs/>
                <w:szCs w:val="24"/>
              </w:rPr>
              <w:t> </w:t>
            </w:r>
          </w:p>
        </w:tc>
        <w:tc>
          <w:tcPr>
            <w:tcW w:w="1620" w:type="dxa"/>
          </w:tcPr>
          <w:p w:rsidR="00C35633" w:rsidRPr="000D2486" w:rsidRDefault="00C35633" w:rsidP="0024673F">
            <w:pPr>
              <w:jc w:val="center"/>
              <w:rPr>
                <w:b/>
                <w:bCs/>
                <w:szCs w:val="24"/>
              </w:rPr>
            </w:pPr>
          </w:p>
        </w:tc>
        <w:tc>
          <w:tcPr>
            <w:tcW w:w="1350" w:type="dxa"/>
          </w:tcPr>
          <w:p w:rsidR="00C35633" w:rsidRPr="000D2486" w:rsidRDefault="00C35633" w:rsidP="0024673F">
            <w:pPr>
              <w:jc w:val="center"/>
              <w:rPr>
                <w:b/>
                <w:bCs/>
                <w:szCs w:val="24"/>
              </w:rPr>
            </w:pPr>
          </w:p>
        </w:tc>
        <w:tc>
          <w:tcPr>
            <w:tcW w:w="1440" w:type="dxa"/>
          </w:tcPr>
          <w:p w:rsidR="00C35633" w:rsidRPr="00DE4B44" w:rsidRDefault="00C35633" w:rsidP="0024673F">
            <w:pPr>
              <w:jc w:val="center"/>
              <w:rPr>
                <w:b/>
                <w:bCs/>
                <w:szCs w:val="24"/>
              </w:rPr>
            </w:pPr>
          </w:p>
        </w:tc>
        <w:tc>
          <w:tcPr>
            <w:tcW w:w="1080" w:type="dxa"/>
            <w:shd w:val="clear" w:color="auto" w:fill="auto"/>
          </w:tcPr>
          <w:p w:rsidR="00C35633" w:rsidRDefault="00C35633" w:rsidP="0024673F">
            <w:pPr>
              <w:jc w:val="center"/>
              <w:rPr>
                <w:rFonts w:ascii="Arial" w:hAnsi="Arial" w:cs="Arial"/>
                <w:sz w:val="20"/>
              </w:rPr>
            </w:pPr>
          </w:p>
        </w:tc>
        <w:tc>
          <w:tcPr>
            <w:tcW w:w="1710" w:type="dxa"/>
            <w:shd w:val="clear" w:color="auto" w:fill="auto"/>
          </w:tcPr>
          <w:p w:rsidR="00C35633" w:rsidRPr="00DE4B44" w:rsidRDefault="00C35633" w:rsidP="0024673F">
            <w:pPr>
              <w:jc w:val="center"/>
              <w:rPr>
                <w:b/>
                <w:bCs/>
                <w:szCs w:val="24"/>
              </w:rPr>
            </w:pPr>
          </w:p>
        </w:tc>
      </w:tr>
      <w:tr w:rsidR="00C35633" w:rsidTr="00B93360">
        <w:trPr>
          <w:cantSplit/>
          <w:trHeight w:val="270"/>
        </w:trPr>
        <w:tc>
          <w:tcPr>
            <w:tcW w:w="2265" w:type="dxa"/>
            <w:shd w:val="clear" w:color="auto" w:fill="auto"/>
          </w:tcPr>
          <w:p w:rsidR="00C35633" w:rsidRDefault="00C35633" w:rsidP="0024673F">
            <w:pPr>
              <w:rPr>
                <w:b/>
                <w:bCs/>
                <w:szCs w:val="24"/>
              </w:rPr>
            </w:pPr>
            <w:r>
              <w:rPr>
                <w:b/>
                <w:bCs/>
                <w:szCs w:val="24"/>
              </w:rPr>
              <w:t xml:space="preserve">TOTALS: </w:t>
            </w:r>
          </w:p>
        </w:tc>
        <w:tc>
          <w:tcPr>
            <w:tcW w:w="1620" w:type="dxa"/>
            <w:vAlign w:val="center"/>
          </w:tcPr>
          <w:p w:rsidR="00C35633" w:rsidRPr="000D2486" w:rsidRDefault="00351DC4" w:rsidP="0024673F">
            <w:pPr>
              <w:jc w:val="center"/>
              <w:rPr>
                <w:b/>
                <w:bCs/>
                <w:szCs w:val="24"/>
              </w:rPr>
            </w:pPr>
            <w:r>
              <w:rPr>
                <w:b/>
                <w:bCs/>
                <w:szCs w:val="24"/>
              </w:rPr>
              <w:t>1,095 (Unique Respondents)</w:t>
            </w:r>
          </w:p>
        </w:tc>
        <w:tc>
          <w:tcPr>
            <w:tcW w:w="1350" w:type="dxa"/>
            <w:vAlign w:val="center"/>
          </w:tcPr>
          <w:p w:rsidR="00C35633" w:rsidRDefault="0054137A" w:rsidP="0054137A">
            <w:pPr>
              <w:jc w:val="center"/>
              <w:rPr>
                <w:b/>
                <w:bCs/>
                <w:szCs w:val="24"/>
              </w:rPr>
            </w:pPr>
            <w:r>
              <w:rPr>
                <w:b/>
                <w:bCs/>
                <w:szCs w:val="24"/>
              </w:rPr>
              <w:t>1,515</w:t>
            </w:r>
          </w:p>
          <w:p w:rsidR="0054137A" w:rsidRDefault="0054137A" w:rsidP="00825BC1">
            <w:pPr>
              <w:jc w:val="center"/>
              <w:rPr>
                <w:b/>
                <w:bCs/>
                <w:szCs w:val="24"/>
              </w:rPr>
            </w:pPr>
          </w:p>
          <w:p w:rsidR="0054137A" w:rsidRPr="000D2486" w:rsidRDefault="0054137A" w:rsidP="001C4994">
            <w:pPr>
              <w:jc w:val="center"/>
              <w:rPr>
                <w:b/>
                <w:bCs/>
                <w:szCs w:val="24"/>
              </w:rPr>
            </w:pPr>
          </w:p>
        </w:tc>
        <w:tc>
          <w:tcPr>
            <w:tcW w:w="1440" w:type="dxa"/>
            <w:vAlign w:val="center"/>
          </w:tcPr>
          <w:p w:rsidR="00C35633" w:rsidRDefault="00351DC4" w:rsidP="0024673F">
            <w:pPr>
              <w:jc w:val="center"/>
              <w:rPr>
                <w:b/>
                <w:bCs/>
                <w:szCs w:val="24"/>
              </w:rPr>
            </w:pPr>
            <w:r>
              <w:rPr>
                <w:b/>
                <w:bCs/>
                <w:szCs w:val="24"/>
              </w:rPr>
              <w:t>22</w:t>
            </w:r>
          </w:p>
          <w:p w:rsidR="00351DC4" w:rsidRDefault="00351DC4" w:rsidP="0024673F">
            <w:pPr>
              <w:jc w:val="center"/>
              <w:rPr>
                <w:b/>
                <w:bCs/>
                <w:szCs w:val="24"/>
              </w:rPr>
            </w:pPr>
          </w:p>
          <w:p w:rsidR="00351DC4" w:rsidRPr="00DE4B44" w:rsidRDefault="00351DC4" w:rsidP="0024673F">
            <w:pPr>
              <w:jc w:val="center"/>
              <w:rPr>
                <w:b/>
                <w:bCs/>
                <w:szCs w:val="24"/>
              </w:rPr>
            </w:pPr>
          </w:p>
        </w:tc>
        <w:tc>
          <w:tcPr>
            <w:tcW w:w="1080" w:type="dxa"/>
            <w:shd w:val="clear" w:color="auto" w:fill="auto"/>
          </w:tcPr>
          <w:p w:rsidR="00C35633" w:rsidRPr="004A3527" w:rsidRDefault="00351DC4" w:rsidP="0024673F">
            <w:pPr>
              <w:jc w:val="center"/>
              <w:rPr>
                <w:b/>
                <w:szCs w:val="24"/>
              </w:rPr>
            </w:pPr>
            <w:r>
              <w:rPr>
                <w:b/>
                <w:szCs w:val="24"/>
              </w:rPr>
              <w:t>33,330</w:t>
            </w:r>
          </w:p>
        </w:tc>
        <w:tc>
          <w:tcPr>
            <w:tcW w:w="1710" w:type="dxa"/>
            <w:shd w:val="clear" w:color="auto" w:fill="auto"/>
          </w:tcPr>
          <w:p w:rsidR="00C35633" w:rsidRPr="006638D5" w:rsidRDefault="00C35633" w:rsidP="00C73092">
            <w:pPr>
              <w:jc w:val="center"/>
              <w:rPr>
                <w:b/>
                <w:bCs/>
                <w:szCs w:val="24"/>
              </w:rPr>
            </w:pPr>
            <w:r w:rsidRPr="006638D5">
              <w:rPr>
                <w:b/>
                <w:bCs/>
                <w:szCs w:val="24"/>
              </w:rPr>
              <w:t>$</w:t>
            </w:r>
            <w:r w:rsidR="00351DC4">
              <w:rPr>
                <w:b/>
                <w:bCs/>
                <w:szCs w:val="24"/>
              </w:rPr>
              <w:t>1,33</w:t>
            </w:r>
            <w:r w:rsidR="00C73092">
              <w:rPr>
                <w:b/>
                <w:bCs/>
                <w:szCs w:val="24"/>
              </w:rPr>
              <w:t>2</w:t>
            </w:r>
            <w:r w:rsidR="00351DC4">
              <w:rPr>
                <w:b/>
                <w:bCs/>
                <w:szCs w:val="24"/>
              </w:rPr>
              <w:t>,</w:t>
            </w:r>
            <w:r w:rsidR="00C73092">
              <w:rPr>
                <w:b/>
                <w:bCs/>
                <w:szCs w:val="24"/>
              </w:rPr>
              <w:t>6</w:t>
            </w:r>
            <w:r w:rsidR="00351DC4">
              <w:rPr>
                <w:b/>
                <w:bCs/>
                <w:szCs w:val="24"/>
              </w:rPr>
              <w:t>00</w:t>
            </w:r>
          </w:p>
        </w:tc>
      </w:tr>
    </w:tbl>
    <w:p w:rsidR="00683EA4" w:rsidRPr="00EC72F6" w:rsidRDefault="00683EA4">
      <w:pPr>
        <w:rPr>
          <w:b/>
          <w:szCs w:val="24"/>
        </w:rPr>
      </w:pPr>
    </w:p>
    <w:p w:rsidR="0054137A" w:rsidRPr="00B93360" w:rsidRDefault="0054137A" w:rsidP="00B93360">
      <w:pPr>
        <w:tabs>
          <w:tab w:val="left" w:pos="-720"/>
          <w:tab w:val="left" w:pos="7611"/>
        </w:tabs>
        <w:suppressAutoHyphens/>
        <w:spacing w:line="240" w:lineRule="atLeast"/>
        <w:rPr>
          <w:szCs w:val="24"/>
        </w:rPr>
      </w:pPr>
      <w:r>
        <w:rPr>
          <w:b/>
          <w:szCs w:val="24"/>
        </w:rPr>
        <w:t>Total Number of Respondents:  1,095 Unique Respondents.</w:t>
      </w:r>
    </w:p>
    <w:p w:rsidR="0054137A" w:rsidRDefault="0054137A" w:rsidP="0054137A">
      <w:pPr>
        <w:tabs>
          <w:tab w:val="left" w:pos="-720"/>
          <w:tab w:val="left" w:pos="7611"/>
        </w:tabs>
        <w:suppressAutoHyphens/>
        <w:spacing w:line="240" w:lineRule="atLeast"/>
        <w:ind w:left="360"/>
        <w:rPr>
          <w:b/>
          <w:szCs w:val="24"/>
        </w:rPr>
      </w:pPr>
    </w:p>
    <w:p w:rsidR="0054137A" w:rsidRDefault="0054137A" w:rsidP="00B93360">
      <w:pPr>
        <w:tabs>
          <w:tab w:val="left" w:pos="-720"/>
          <w:tab w:val="left" w:pos="7611"/>
        </w:tabs>
        <w:suppressAutoHyphens/>
        <w:spacing w:line="240" w:lineRule="atLeast"/>
        <w:rPr>
          <w:b/>
          <w:szCs w:val="24"/>
        </w:rPr>
      </w:pPr>
      <w:r>
        <w:rPr>
          <w:b/>
          <w:szCs w:val="24"/>
        </w:rPr>
        <w:t>Total Number of Responses Annually:  1,515.</w:t>
      </w:r>
    </w:p>
    <w:p w:rsidR="0054137A" w:rsidRDefault="0054137A" w:rsidP="0054137A">
      <w:pPr>
        <w:tabs>
          <w:tab w:val="left" w:pos="-720"/>
          <w:tab w:val="left" w:pos="7611"/>
        </w:tabs>
        <w:suppressAutoHyphens/>
        <w:spacing w:line="240" w:lineRule="atLeast"/>
        <w:ind w:left="360"/>
        <w:rPr>
          <w:b/>
          <w:szCs w:val="24"/>
        </w:rPr>
      </w:pPr>
    </w:p>
    <w:p w:rsidR="0054137A" w:rsidRDefault="0054137A" w:rsidP="00B93360">
      <w:pPr>
        <w:tabs>
          <w:tab w:val="left" w:pos="-720"/>
          <w:tab w:val="left" w:pos="7611"/>
        </w:tabs>
        <w:suppressAutoHyphens/>
        <w:spacing w:line="240" w:lineRule="atLeast"/>
        <w:rPr>
          <w:b/>
          <w:szCs w:val="24"/>
        </w:rPr>
      </w:pPr>
      <w:r>
        <w:rPr>
          <w:b/>
          <w:szCs w:val="24"/>
        </w:rPr>
        <w:t>Total Annual Hourly Burden for requirements:  33,330 hours.</w:t>
      </w:r>
    </w:p>
    <w:p w:rsidR="0054137A" w:rsidRDefault="0054137A" w:rsidP="00B93360">
      <w:pPr>
        <w:tabs>
          <w:tab w:val="left" w:pos="-720"/>
          <w:tab w:val="left" w:pos="7611"/>
        </w:tabs>
        <w:suppressAutoHyphens/>
        <w:spacing w:line="240" w:lineRule="atLeast"/>
        <w:rPr>
          <w:b/>
          <w:szCs w:val="24"/>
        </w:rPr>
      </w:pPr>
    </w:p>
    <w:p w:rsidR="00E552AC" w:rsidRDefault="0054137A" w:rsidP="00923855">
      <w:pPr>
        <w:tabs>
          <w:tab w:val="left" w:pos="-720"/>
          <w:tab w:val="left" w:pos="7611"/>
        </w:tabs>
        <w:suppressAutoHyphens/>
        <w:spacing w:line="240" w:lineRule="atLeast"/>
        <w:rPr>
          <w:b/>
          <w:szCs w:val="24"/>
        </w:rPr>
      </w:pPr>
      <w:r>
        <w:rPr>
          <w:b/>
          <w:szCs w:val="24"/>
        </w:rPr>
        <w:t>Total Annual “In House” Costs:  $1,33</w:t>
      </w:r>
      <w:r w:rsidR="00C73092">
        <w:rPr>
          <w:b/>
          <w:szCs w:val="24"/>
        </w:rPr>
        <w:t>2</w:t>
      </w:r>
      <w:r>
        <w:rPr>
          <w:b/>
          <w:szCs w:val="24"/>
        </w:rPr>
        <w:t>,</w:t>
      </w:r>
      <w:r w:rsidR="00C73092" w:rsidDel="00C73092">
        <w:rPr>
          <w:b/>
          <w:szCs w:val="24"/>
        </w:rPr>
        <w:t xml:space="preserve"> </w:t>
      </w:r>
      <w:r w:rsidR="00C73092">
        <w:rPr>
          <w:b/>
          <w:szCs w:val="24"/>
        </w:rPr>
        <w:t>6</w:t>
      </w:r>
      <w:r>
        <w:rPr>
          <w:b/>
          <w:szCs w:val="24"/>
        </w:rPr>
        <w:t>00.</w:t>
      </w:r>
    </w:p>
    <w:p w:rsidR="00923855" w:rsidRPr="00923855" w:rsidRDefault="00923855" w:rsidP="00923855">
      <w:pPr>
        <w:tabs>
          <w:tab w:val="left" w:pos="-720"/>
          <w:tab w:val="left" w:pos="7611"/>
        </w:tabs>
        <w:suppressAutoHyphens/>
        <w:spacing w:line="240" w:lineRule="atLeast"/>
        <w:rPr>
          <w:b/>
          <w:szCs w:val="24"/>
        </w:rPr>
      </w:pPr>
    </w:p>
    <w:p w:rsidR="00E552AC" w:rsidRPr="00EC72F6" w:rsidRDefault="00E552AC">
      <w:pPr>
        <w:rPr>
          <w:szCs w:val="24"/>
        </w:rPr>
      </w:pPr>
    </w:p>
    <w:p w:rsidR="00E552AC" w:rsidRPr="00EC72F6" w:rsidRDefault="00E552AC" w:rsidP="00B93360">
      <w:pPr>
        <w:ind w:left="720" w:hanging="720"/>
        <w:rPr>
          <w:szCs w:val="24"/>
        </w:rPr>
      </w:pPr>
      <w:r w:rsidRPr="00EC72F6">
        <w:rPr>
          <w:szCs w:val="24"/>
        </w:rPr>
        <w:t xml:space="preserve">13.  </w:t>
      </w:r>
      <w:r w:rsidR="0054137A">
        <w:rPr>
          <w:szCs w:val="24"/>
        </w:rPr>
        <w:tab/>
      </w:r>
      <w:r w:rsidR="0054137A">
        <w:rPr>
          <w:i/>
          <w:szCs w:val="24"/>
        </w:rPr>
        <w:t>Estimates for the cost burden of the collection to respondents</w:t>
      </w:r>
      <w:r w:rsidR="0054137A">
        <w:rPr>
          <w:szCs w:val="24"/>
        </w:rPr>
        <w:t xml:space="preserve">.  There are no outside contracting costs for this information collection.  </w:t>
      </w:r>
    </w:p>
    <w:p w:rsidR="00E552AC" w:rsidRPr="00EC72F6" w:rsidRDefault="00E552AC" w:rsidP="00B93360">
      <w:pPr>
        <w:rPr>
          <w:szCs w:val="24"/>
        </w:rPr>
      </w:pPr>
      <w:r w:rsidRPr="00EC72F6">
        <w:rPr>
          <w:szCs w:val="24"/>
        </w:rPr>
        <w:tab/>
      </w:r>
    </w:p>
    <w:p w:rsidR="00657C63" w:rsidRPr="00EC72F6" w:rsidRDefault="00E552AC" w:rsidP="003D097D">
      <w:pPr>
        <w:ind w:left="720" w:hanging="720"/>
        <w:rPr>
          <w:szCs w:val="24"/>
        </w:rPr>
      </w:pPr>
      <w:r w:rsidRPr="00EC72F6">
        <w:rPr>
          <w:szCs w:val="24"/>
        </w:rPr>
        <w:lastRenderedPageBreak/>
        <w:t xml:space="preserve">14.  </w:t>
      </w:r>
      <w:r w:rsidR="003D097D" w:rsidRPr="00EC72F6">
        <w:rPr>
          <w:szCs w:val="24"/>
        </w:rPr>
        <w:tab/>
      </w:r>
      <w:r w:rsidR="003D097D" w:rsidRPr="00EC72F6">
        <w:rPr>
          <w:i/>
          <w:szCs w:val="24"/>
        </w:rPr>
        <w:t>Estimates of the cost burden to the Commission</w:t>
      </w:r>
      <w:r w:rsidR="003D097D" w:rsidRPr="00EC72F6">
        <w:rPr>
          <w:szCs w:val="24"/>
        </w:rPr>
        <w:t xml:space="preserve">.  </w:t>
      </w:r>
      <w:r w:rsidRPr="00EC72F6">
        <w:rPr>
          <w:szCs w:val="24"/>
        </w:rPr>
        <w:t>There will be few</w:t>
      </w:r>
      <w:r w:rsidR="009C3DBD" w:rsidRPr="00EC72F6">
        <w:rPr>
          <w:szCs w:val="24"/>
        </w:rPr>
        <w:t>, if any,</w:t>
      </w:r>
      <w:r w:rsidRPr="00EC72F6">
        <w:rPr>
          <w:szCs w:val="24"/>
        </w:rPr>
        <w:t xml:space="preserve"> costs to the Commission because an outside party administers the pr</w:t>
      </w:r>
      <w:r w:rsidR="0086286D" w:rsidRPr="00EC72F6">
        <w:rPr>
          <w:szCs w:val="24"/>
        </w:rPr>
        <w:t>ogram</w:t>
      </w:r>
      <w:r w:rsidR="009C3DBD" w:rsidRPr="00EC72F6">
        <w:rPr>
          <w:szCs w:val="24"/>
        </w:rPr>
        <w:t xml:space="preserve"> and review and oversight are already part of the Commission’s duties</w:t>
      </w:r>
      <w:r w:rsidR="0086286D" w:rsidRPr="00EC72F6">
        <w:rPr>
          <w:szCs w:val="24"/>
        </w:rPr>
        <w:t xml:space="preserve">.  Staff will evaluate data </w:t>
      </w:r>
      <w:r w:rsidRPr="00EC72F6">
        <w:rPr>
          <w:szCs w:val="24"/>
        </w:rPr>
        <w:t xml:space="preserve">submitted by </w:t>
      </w:r>
      <w:r w:rsidR="0086286D" w:rsidRPr="00EC72F6">
        <w:rPr>
          <w:szCs w:val="24"/>
        </w:rPr>
        <w:t>the fund administrator once</w:t>
      </w:r>
      <w:r w:rsidRPr="00EC72F6">
        <w:rPr>
          <w:szCs w:val="24"/>
        </w:rPr>
        <w:t xml:space="preserve"> rec</w:t>
      </w:r>
      <w:r w:rsidR="0086286D" w:rsidRPr="00EC72F6">
        <w:rPr>
          <w:szCs w:val="24"/>
        </w:rPr>
        <w:t>e</w:t>
      </w:r>
      <w:r w:rsidRPr="00EC72F6">
        <w:rPr>
          <w:szCs w:val="24"/>
        </w:rPr>
        <w:t xml:space="preserve">ived.  The Commission will utilize its current staff to examine the plans.  </w:t>
      </w:r>
    </w:p>
    <w:p w:rsidR="00E552AC" w:rsidRPr="00EC72F6" w:rsidRDefault="00E552AC">
      <w:pPr>
        <w:rPr>
          <w:szCs w:val="24"/>
        </w:rPr>
      </w:pPr>
    </w:p>
    <w:p w:rsidR="00DF5AB4" w:rsidRPr="00DE1EFD" w:rsidRDefault="000955EF" w:rsidP="00DE1EFD">
      <w:pPr>
        <w:pStyle w:val="PlainText"/>
        <w:ind w:left="720" w:hanging="720"/>
        <w:rPr>
          <w:rFonts w:ascii="Times New Roman" w:hAnsi="Times New Roman"/>
          <w:sz w:val="24"/>
          <w:szCs w:val="24"/>
        </w:rPr>
      </w:pPr>
      <w:r w:rsidRPr="00EC72F6">
        <w:rPr>
          <w:szCs w:val="24"/>
        </w:rPr>
        <w:t xml:space="preserve">15.  </w:t>
      </w:r>
      <w:r w:rsidR="003D097D" w:rsidRPr="00EC72F6">
        <w:rPr>
          <w:szCs w:val="24"/>
        </w:rPr>
        <w:tab/>
      </w:r>
      <w:r w:rsidR="003D097D" w:rsidRPr="00DE1EFD">
        <w:rPr>
          <w:rFonts w:ascii="Times New Roman" w:hAnsi="Times New Roman"/>
          <w:i/>
          <w:sz w:val="24"/>
          <w:szCs w:val="24"/>
        </w:rPr>
        <w:t>Program changes or adjustments</w:t>
      </w:r>
      <w:r w:rsidR="003D097D" w:rsidRPr="00DE1EFD">
        <w:rPr>
          <w:rFonts w:ascii="Times New Roman" w:hAnsi="Times New Roman"/>
          <w:szCs w:val="24"/>
        </w:rPr>
        <w:t>.</w:t>
      </w:r>
      <w:r w:rsidR="003D097D" w:rsidRPr="00EC72F6">
        <w:rPr>
          <w:szCs w:val="24"/>
        </w:rPr>
        <w:t xml:space="preserve">  </w:t>
      </w:r>
      <w:r w:rsidR="00DF5AB4" w:rsidRPr="00DE1EFD">
        <w:rPr>
          <w:rFonts w:ascii="Times New Roman" w:hAnsi="Times New Roman"/>
          <w:sz w:val="24"/>
          <w:szCs w:val="24"/>
        </w:rPr>
        <w:t>The Commission is reporting adjustments/decreases to the number of respondents, responses and annual burden hours for this collection.  There is a decrease in the number of respondents from 1,162 to 1,095 (67), a decrease in the number of responses from 1,582 to 1,515 (67) and a decrease in the total annual burden hours from 34,804 to 33,330 (1,474).</w:t>
      </w:r>
    </w:p>
    <w:p w:rsidR="00DF5AB4" w:rsidRPr="00DE1EFD" w:rsidRDefault="00DF5AB4" w:rsidP="00DF5AB4">
      <w:pPr>
        <w:pStyle w:val="PlainText"/>
        <w:rPr>
          <w:rFonts w:ascii="Times New Roman" w:hAnsi="Times New Roman"/>
          <w:sz w:val="24"/>
          <w:szCs w:val="24"/>
        </w:rPr>
      </w:pPr>
    </w:p>
    <w:p w:rsidR="00DF5AB4" w:rsidRPr="00DE1EFD" w:rsidRDefault="00DF5AB4" w:rsidP="00DE1EFD">
      <w:pPr>
        <w:pStyle w:val="PlainText"/>
        <w:ind w:firstLine="720"/>
        <w:rPr>
          <w:rFonts w:ascii="Times New Roman" w:hAnsi="Times New Roman"/>
          <w:sz w:val="24"/>
          <w:szCs w:val="24"/>
        </w:rPr>
      </w:pPr>
      <w:r w:rsidRPr="00DE1EFD">
        <w:rPr>
          <w:rFonts w:ascii="Times New Roman" w:hAnsi="Times New Roman"/>
          <w:sz w:val="24"/>
          <w:szCs w:val="24"/>
        </w:rPr>
        <w:t>There are no program changes.</w:t>
      </w:r>
    </w:p>
    <w:p w:rsidR="0078219E" w:rsidRPr="00EC72F6" w:rsidRDefault="0078219E">
      <w:pPr>
        <w:rPr>
          <w:szCs w:val="24"/>
        </w:rPr>
      </w:pPr>
    </w:p>
    <w:p w:rsidR="00E552AC" w:rsidRPr="00EC72F6" w:rsidRDefault="00F02361" w:rsidP="003D097D">
      <w:pPr>
        <w:ind w:left="720" w:hanging="720"/>
        <w:rPr>
          <w:szCs w:val="24"/>
        </w:rPr>
      </w:pPr>
      <w:r w:rsidRPr="00EC72F6">
        <w:rPr>
          <w:szCs w:val="24"/>
        </w:rPr>
        <w:t xml:space="preserve">16.  </w:t>
      </w:r>
      <w:r w:rsidR="003D097D" w:rsidRPr="00EC72F6">
        <w:rPr>
          <w:szCs w:val="24"/>
        </w:rPr>
        <w:tab/>
      </w:r>
      <w:r w:rsidR="003D097D" w:rsidRPr="00EC72F6">
        <w:rPr>
          <w:i/>
          <w:szCs w:val="24"/>
        </w:rPr>
        <w:t>Collections of information whose results will be published</w:t>
      </w:r>
      <w:r w:rsidR="003D097D" w:rsidRPr="00EC72F6">
        <w:rPr>
          <w:szCs w:val="24"/>
        </w:rPr>
        <w:t xml:space="preserve">.  </w:t>
      </w:r>
      <w:r w:rsidRPr="00EC72F6">
        <w:rPr>
          <w:szCs w:val="24"/>
        </w:rPr>
        <w:t>The</w:t>
      </w:r>
      <w:r w:rsidR="00EF1555" w:rsidRPr="00EC72F6">
        <w:rPr>
          <w:szCs w:val="24"/>
        </w:rPr>
        <w:t xml:space="preserve"> information will not be published</w:t>
      </w:r>
      <w:r w:rsidRPr="00EC72F6">
        <w:rPr>
          <w:szCs w:val="24"/>
        </w:rPr>
        <w:t>.</w:t>
      </w:r>
    </w:p>
    <w:p w:rsidR="00E552AC" w:rsidRPr="00EC72F6" w:rsidRDefault="00E552AC">
      <w:pPr>
        <w:rPr>
          <w:szCs w:val="24"/>
        </w:rPr>
      </w:pPr>
    </w:p>
    <w:p w:rsidR="00E552AC" w:rsidRPr="00EC72F6" w:rsidRDefault="00E552AC" w:rsidP="003D097D">
      <w:pPr>
        <w:ind w:left="720" w:hanging="720"/>
        <w:rPr>
          <w:szCs w:val="24"/>
        </w:rPr>
      </w:pPr>
      <w:r w:rsidRPr="00EC72F6">
        <w:rPr>
          <w:szCs w:val="24"/>
        </w:rPr>
        <w:t xml:space="preserve">17.  </w:t>
      </w:r>
      <w:r w:rsidR="003D097D" w:rsidRPr="00EC72F6">
        <w:rPr>
          <w:szCs w:val="24"/>
        </w:rPr>
        <w:tab/>
      </w:r>
      <w:r w:rsidR="003D097D" w:rsidRPr="00EC72F6">
        <w:rPr>
          <w:i/>
          <w:szCs w:val="24"/>
        </w:rPr>
        <w:t>Display of expiration date for OMB approval of information collection</w:t>
      </w:r>
      <w:r w:rsidR="00923855">
        <w:rPr>
          <w:szCs w:val="24"/>
        </w:rPr>
        <w:t>.</w:t>
      </w:r>
      <w:r w:rsidR="003D097D" w:rsidRPr="00EC72F6">
        <w:rPr>
          <w:szCs w:val="24"/>
        </w:rPr>
        <w:t xml:space="preserve"> </w:t>
      </w:r>
      <w:r w:rsidR="00221830">
        <w:rPr>
          <w:szCs w:val="24"/>
        </w:rPr>
        <w:t xml:space="preserve"> T</w:t>
      </w:r>
      <w:r w:rsidR="00221830" w:rsidRPr="00221830">
        <w:rPr>
          <w:szCs w:val="24"/>
        </w:rPr>
        <w:t>he Commission publishes a list of all OMB-approved information collections, including this one, in 47 C.F.R. § 0.408.</w:t>
      </w:r>
    </w:p>
    <w:p w:rsidR="00E552AC" w:rsidRPr="00EC72F6" w:rsidRDefault="00E552AC">
      <w:pPr>
        <w:rPr>
          <w:szCs w:val="24"/>
        </w:rPr>
      </w:pPr>
    </w:p>
    <w:p w:rsidR="00EB404F" w:rsidRPr="00EC72F6" w:rsidRDefault="00430903" w:rsidP="003D097D">
      <w:pPr>
        <w:ind w:left="720" w:hanging="720"/>
        <w:rPr>
          <w:szCs w:val="24"/>
        </w:rPr>
      </w:pPr>
      <w:r w:rsidRPr="00EC72F6">
        <w:rPr>
          <w:szCs w:val="24"/>
        </w:rPr>
        <w:t xml:space="preserve">18. </w:t>
      </w:r>
      <w:r w:rsidR="003C5C43" w:rsidRPr="00EC72F6">
        <w:rPr>
          <w:szCs w:val="24"/>
        </w:rPr>
        <w:t xml:space="preserve"> </w:t>
      </w:r>
      <w:r w:rsidR="00EB404F" w:rsidRPr="00EC72F6">
        <w:rPr>
          <w:szCs w:val="24"/>
        </w:rPr>
        <w:t xml:space="preserve"> </w:t>
      </w:r>
      <w:r w:rsidR="003D097D" w:rsidRPr="00EC72F6">
        <w:rPr>
          <w:szCs w:val="24"/>
        </w:rPr>
        <w:tab/>
      </w:r>
      <w:r w:rsidR="003D097D" w:rsidRPr="00EC72F6">
        <w:rPr>
          <w:i/>
          <w:szCs w:val="24"/>
        </w:rPr>
        <w:t>Exceptions to certification statement for Paperwork Reduction Act submissions</w:t>
      </w:r>
      <w:r w:rsidR="003D097D" w:rsidRPr="00EC72F6">
        <w:rPr>
          <w:szCs w:val="24"/>
        </w:rPr>
        <w:t xml:space="preserve">.  </w:t>
      </w:r>
      <w:r w:rsidR="00B4771C" w:rsidRPr="00EC72F6">
        <w:rPr>
          <w:szCs w:val="24"/>
        </w:rPr>
        <w:t xml:space="preserve">There are no exceptions to </w:t>
      </w:r>
      <w:r w:rsidR="00221830">
        <w:rPr>
          <w:szCs w:val="24"/>
        </w:rPr>
        <w:t>the certification statement</w:t>
      </w:r>
      <w:r w:rsidR="00B4771C" w:rsidRPr="00EC72F6">
        <w:rPr>
          <w:szCs w:val="24"/>
        </w:rPr>
        <w:t>.</w:t>
      </w:r>
    </w:p>
    <w:p w:rsidR="00E552AC" w:rsidRPr="00EC72F6" w:rsidRDefault="00E552AC">
      <w:pPr>
        <w:rPr>
          <w:szCs w:val="24"/>
        </w:rPr>
      </w:pPr>
    </w:p>
    <w:p w:rsidR="00E552AC" w:rsidRPr="00EC72F6" w:rsidRDefault="00E552AC">
      <w:pPr>
        <w:rPr>
          <w:b/>
          <w:szCs w:val="24"/>
        </w:rPr>
      </w:pPr>
      <w:r w:rsidRPr="00EC72F6">
        <w:rPr>
          <w:b/>
          <w:szCs w:val="24"/>
        </w:rPr>
        <w:t xml:space="preserve">B.  </w:t>
      </w:r>
      <w:r w:rsidRPr="00EC72F6">
        <w:rPr>
          <w:b/>
          <w:szCs w:val="24"/>
          <w:u w:val="single"/>
        </w:rPr>
        <w:t>Collections of Information Employing Statistical Methods</w:t>
      </w:r>
      <w:r w:rsidR="003C5C43" w:rsidRPr="00EC72F6">
        <w:rPr>
          <w:b/>
          <w:szCs w:val="24"/>
          <w:u w:val="single"/>
        </w:rPr>
        <w:t>:</w:t>
      </w:r>
    </w:p>
    <w:p w:rsidR="00E552AC" w:rsidRPr="00EC72F6" w:rsidRDefault="00E552AC">
      <w:pPr>
        <w:rPr>
          <w:szCs w:val="24"/>
        </w:rPr>
      </w:pPr>
    </w:p>
    <w:p w:rsidR="00E552AC" w:rsidRPr="00EC72F6" w:rsidRDefault="00E552AC" w:rsidP="00446ABF">
      <w:pPr>
        <w:rPr>
          <w:szCs w:val="24"/>
        </w:rPr>
      </w:pPr>
      <w:r w:rsidRPr="00EC72F6">
        <w:rPr>
          <w:szCs w:val="24"/>
        </w:rPr>
        <w:tab/>
        <w:t>The Commission does not anticipate that the collection of information will employ statistical methods.</w:t>
      </w:r>
      <w:r w:rsidR="00683EA4" w:rsidRPr="00EC72F6">
        <w:rPr>
          <w:b/>
          <w:szCs w:val="24"/>
        </w:rPr>
        <w:t xml:space="preserve"> </w:t>
      </w:r>
    </w:p>
    <w:sectPr w:rsidR="00E552AC" w:rsidRPr="00EC72F6">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EF4" w:rsidRDefault="000A3EF4">
      <w:r>
        <w:separator/>
      </w:r>
    </w:p>
  </w:endnote>
  <w:endnote w:type="continuationSeparator" w:id="0">
    <w:p w:rsidR="000A3EF4" w:rsidRDefault="000A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3F" w:rsidRDefault="0024673F" w:rsidP="00855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673F" w:rsidRDefault="00246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3F" w:rsidRDefault="0024673F" w:rsidP="00855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13E">
      <w:rPr>
        <w:rStyle w:val="PageNumber"/>
        <w:noProof/>
      </w:rPr>
      <w:t>1</w:t>
    </w:r>
    <w:r>
      <w:rPr>
        <w:rStyle w:val="PageNumber"/>
      </w:rPr>
      <w:fldChar w:fldCharType="end"/>
    </w:r>
  </w:p>
  <w:p w:rsidR="0024673F" w:rsidRDefault="00246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EF4" w:rsidRDefault="000A3EF4">
      <w:r>
        <w:separator/>
      </w:r>
    </w:p>
  </w:footnote>
  <w:footnote w:type="continuationSeparator" w:id="0">
    <w:p w:rsidR="000A3EF4" w:rsidRDefault="000A3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D613D"/>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A6C57"/>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2226F9"/>
    <w:multiLevelType w:val="hybridMultilevel"/>
    <w:tmpl w:val="8F54F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06FEA"/>
    <w:multiLevelType w:val="hybridMultilevel"/>
    <w:tmpl w:val="795885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AC"/>
    <w:rsid w:val="0001104E"/>
    <w:rsid w:val="00016620"/>
    <w:rsid w:val="00016FAE"/>
    <w:rsid w:val="00037FA8"/>
    <w:rsid w:val="00045290"/>
    <w:rsid w:val="00052E83"/>
    <w:rsid w:val="000530C4"/>
    <w:rsid w:val="00061620"/>
    <w:rsid w:val="0006219B"/>
    <w:rsid w:val="000874E7"/>
    <w:rsid w:val="000910E2"/>
    <w:rsid w:val="000955EF"/>
    <w:rsid w:val="0009627D"/>
    <w:rsid w:val="000A3EF4"/>
    <w:rsid w:val="000A7A0B"/>
    <w:rsid w:val="000B169A"/>
    <w:rsid w:val="000C7459"/>
    <w:rsid w:val="000D435B"/>
    <w:rsid w:val="000D7AAB"/>
    <w:rsid w:val="000F0EB8"/>
    <w:rsid w:val="000F204B"/>
    <w:rsid w:val="00112233"/>
    <w:rsid w:val="001172B6"/>
    <w:rsid w:val="00122416"/>
    <w:rsid w:val="001407A9"/>
    <w:rsid w:val="001527B2"/>
    <w:rsid w:val="00152984"/>
    <w:rsid w:val="00165DF5"/>
    <w:rsid w:val="00174487"/>
    <w:rsid w:val="00184F46"/>
    <w:rsid w:val="001853F2"/>
    <w:rsid w:val="00187E39"/>
    <w:rsid w:val="00194EF7"/>
    <w:rsid w:val="001A27AD"/>
    <w:rsid w:val="001B5173"/>
    <w:rsid w:val="001B73DD"/>
    <w:rsid w:val="001B7846"/>
    <w:rsid w:val="001C171F"/>
    <w:rsid w:val="001C4994"/>
    <w:rsid w:val="001D7492"/>
    <w:rsid w:val="001D7784"/>
    <w:rsid w:val="001F21E7"/>
    <w:rsid w:val="001F7828"/>
    <w:rsid w:val="00200C9E"/>
    <w:rsid w:val="002101CE"/>
    <w:rsid w:val="0021637C"/>
    <w:rsid w:val="00217C0E"/>
    <w:rsid w:val="00221830"/>
    <w:rsid w:val="00225AB4"/>
    <w:rsid w:val="00230A5A"/>
    <w:rsid w:val="0024673F"/>
    <w:rsid w:val="002512E3"/>
    <w:rsid w:val="002846F1"/>
    <w:rsid w:val="002B6311"/>
    <w:rsid w:val="002E3F75"/>
    <w:rsid w:val="002E6A0C"/>
    <w:rsid w:val="00320F44"/>
    <w:rsid w:val="00351DC4"/>
    <w:rsid w:val="0036330E"/>
    <w:rsid w:val="00373B70"/>
    <w:rsid w:val="003742AB"/>
    <w:rsid w:val="00381F25"/>
    <w:rsid w:val="003862E1"/>
    <w:rsid w:val="003937B2"/>
    <w:rsid w:val="003B09CA"/>
    <w:rsid w:val="003B1A00"/>
    <w:rsid w:val="003C5C43"/>
    <w:rsid w:val="003D097D"/>
    <w:rsid w:val="003E0F1E"/>
    <w:rsid w:val="00407DCF"/>
    <w:rsid w:val="00430903"/>
    <w:rsid w:val="00431E6A"/>
    <w:rsid w:val="00436FFA"/>
    <w:rsid w:val="0044199F"/>
    <w:rsid w:val="00446ABF"/>
    <w:rsid w:val="0046450E"/>
    <w:rsid w:val="00467748"/>
    <w:rsid w:val="00472F9D"/>
    <w:rsid w:val="0048413E"/>
    <w:rsid w:val="004A340E"/>
    <w:rsid w:val="004B111F"/>
    <w:rsid w:val="004B277B"/>
    <w:rsid w:val="004F27E8"/>
    <w:rsid w:val="004F3221"/>
    <w:rsid w:val="00525DE7"/>
    <w:rsid w:val="0054137A"/>
    <w:rsid w:val="005455EA"/>
    <w:rsid w:val="00553D32"/>
    <w:rsid w:val="00561E2A"/>
    <w:rsid w:val="005641E2"/>
    <w:rsid w:val="0056544C"/>
    <w:rsid w:val="005747FE"/>
    <w:rsid w:val="00586311"/>
    <w:rsid w:val="0059200C"/>
    <w:rsid w:val="00593494"/>
    <w:rsid w:val="005B1557"/>
    <w:rsid w:val="005B2789"/>
    <w:rsid w:val="005B2BEF"/>
    <w:rsid w:val="005B460E"/>
    <w:rsid w:val="005C2716"/>
    <w:rsid w:val="005C68B0"/>
    <w:rsid w:val="005C76F8"/>
    <w:rsid w:val="005D324A"/>
    <w:rsid w:val="005F3DE5"/>
    <w:rsid w:val="006147C2"/>
    <w:rsid w:val="006204DA"/>
    <w:rsid w:val="006274B1"/>
    <w:rsid w:val="00657C63"/>
    <w:rsid w:val="00683EA4"/>
    <w:rsid w:val="006A7F73"/>
    <w:rsid w:val="006B75E0"/>
    <w:rsid w:val="006C028A"/>
    <w:rsid w:val="006C5676"/>
    <w:rsid w:val="006D2B9C"/>
    <w:rsid w:val="006E39E2"/>
    <w:rsid w:val="00715E96"/>
    <w:rsid w:val="00717E84"/>
    <w:rsid w:val="007261A9"/>
    <w:rsid w:val="007309E6"/>
    <w:rsid w:val="00744AF0"/>
    <w:rsid w:val="0074616B"/>
    <w:rsid w:val="00751B4C"/>
    <w:rsid w:val="0077733A"/>
    <w:rsid w:val="0078219E"/>
    <w:rsid w:val="007830BB"/>
    <w:rsid w:val="007910D3"/>
    <w:rsid w:val="007A71C2"/>
    <w:rsid w:val="007B56DA"/>
    <w:rsid w:val="007B7AD4"/>
    <w:rsid w:val="007D37F6"/>
    <w:rsid w:val="007E1F50"/>
    <w:rsid w:val="007F55DD"/>
    <w:rsid w:val="00801652"/>
    <w:rsid w:val="00805ECB"/>
    <w:rsid w:val="0081165A"/>
    <w:rsid w:val="00814AE5"/>
    <w:rsid w:val="00825BC1"/>
    <w:rsid w:val="0083170B"/>
    <w:rsid w:val="00854B15"/>
    <w:rsid w:val="008556DC"/>
    <w:rsid w:val="0086286D"/>
    <w:rsid w:val="00895023"/>
    <w:rsid w:val="008B4112"/>
    <w:rsid w:val="008B79C8"/>
    <w:rsid w:val="008D65E0"/>
    <w:rsid w:val="008D6F0F"/>
    <w:rsid w:val="008E397A"/>
    <w:rsid w:val="009018FF"/>
    <w:rsid w:val="00907FE9"/>
    <w:rsid w:val="00921CA9"/>
    <w:rsid w:val="0092291D"/>
    <w:rsid w:val="00923855"/>
    <w:rsid w:val="00925EA5"/>
    <w:rsid w:val="0093596D"/>
    <w:rsid w:val="009672EA"/>
    <w:rsid w:val="0097012F"/>
    <w:rsid w:val="0097059C"/>
    <w:rsid w:val="00971000"/>
    <w:rsid w:val="00975A72"/>
    <w:rsid w:val="00980CB2"/>
    <w:rsid w:val="00985D9E"/>
    <w:rsid w:val="009922CE"/>
    <w:rsid w:val="009A1182"/>
    <w:rsid w:val="009A21D6"/>
    <w:rsid w:val="009B0F5D"/>
    <w:rsid w:val="009C0B72"/>
    <w:rsid w:val="009C3DBD"/>
    <w:rsid w:val="009E4129"/>
    <w:rsid w:val="009F2E63"/>
    <w:rsid w:val="009F53BD"/>
    <w:rsid w:val="00A06DD2"/>
    <w:rsid w:val="00A15AAC"/>
    <w:rsid w:val="00A21622"/>
    <w:rsid w:val="00A24EA8"/>
    <w:rsid w:val="00A7142B"/>
    <w:rsid w:val="00AA32D5"/>
    <w:rsid w:val="00AB5199"/>
    <w:rsid w:val="00AC149F"/>
    <w:rsid w:val="00AC4156"/>
    <w:rsid w:val="00AD3F3B"/>
    <w:rsid w:val="00AE32CB"/>
    <w:rsid w:val="00AF2C80"/>
    <w:rsid w:val="00B35A00"/>
    <w:rsid w:val="00B43B1E"/>
    <w:rsid w:val="00B46773"/>
    <w:rsid w:val="00B46BDC"/>
    <w:rsid w:val="00B4771C"/>
    <w:rsid w:val="00B530E8"/>
    <w:rsid w:val="00B75742"/>
    <w:rsid w:val="00B87707"/>
    <w:rsid w:val="00B93360"/>
    <w:rsid w:val="00BA05AF"/>
    <w:rsid w:val="00BA38E8"/>
    <w:rsid w:val="00BB7490"/>
    <w:rsid w:val="00BE6B0D"/>
    <w:rsid w:val="00BF29A4"/>
    <w:rsid w:val="00C01371"/>
    <w:rsid w:val="00C04438"/>
    <w:rsid w:val="00C10C2F"/>
    <w:rsid w:val="00C11E13"/>
    <w:rsid w:val="00C349D7"/>
    <w:rsid w:val="00C35633"/>
    <w:rsid w:val="00C42FD4"/>
    <w:rsid w:val="00C441C4"/>
    <w:rsid w:val="00C57E56"/>
    <w:rsid w:val="00C625A5"/>
    <w:rsid w:val="00C67EE6"/>
    <w:rsid w:val="00C73092"/>
    <w:rsid w:val="00C7372E"/>
    <w:rsid w:val="00C8357A"/>
    <w:rsid w:val="00C97286"/>
    <w:rsid w:val="00CD2097"/>
    <w:rsid w:val="00CE5CD9"/>
    <w:rsid w:val="00CE7BDB"/>
    <w:rsid w:val="00D013EA"/>
    <w:rsid w:val="00D030CB"/>
    <w:rsid w:val="00D16E57"/>
    <w:rsid w:val="00D4453C"/>
    <w:rsid w:val="00D65F56"/>
    <w:rsid w:val="00D81B94"/>
    <w:rsid w:val="00D95664"/>
    <w:rsid w:val="00DB29FC"/>
    <w:rsid w:val="00DB42A6"/>
    <w:rsid w:val="00DC2AB7"/>
    <w:rsid w:val="00DD3221"/>
    <w:rsid w:val="00DE1EFD"/>
    <w:rsid w:val="00DE5FEC"/>
    <w:rsid w:val="00DF5AB4"/>
    <w:rsid w:val="00E161A9"/>
    <w:rsid w:val="00E42673"/>
    <w:rsid w:val="00E552AC"/>
    <w:rsid w:val="00E60078"/>
    <w:rsid w:val="00E742B4"/>
    <w:rsid w:val="00EA38BC"/>
    <w:rsid w:val="00EB404F"/>
    <w:rsid w:val="00EC565D"/>
    <w:rsid w:val="00EC72F6"/>
    <w:rsid w:val="00ED560A"/>
    <w:rsid w:val="00EF1555"/>
    <w:rsid w:val="00EF40FA"/>
    <w:rsid w:val="00F02361"/>
    <w:rsid w:val="00F02FFB"/>
    <w:rsid w:val="00F1522F"/>
    <w:rsid w:val="00F34976"/>
    <w:rsid w:val="00F479FF"/>
    <w:rsid w:val="00F51A81"/>
    <w:rsid w:val="00F76329"/>
    <w:rsid w:val="00F77848"/>
    <w:rsid w:val="00F77A0B"/>
    <w:rsid w:val="00F8425B"/>
    <w:rsid w:val="00F94454"/>
    <w:rsid w:val="00FE5312"/>
    <w:rsid w:val="00FF071B"/>
    <w:rsid w:val="00FF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A5735-0386-4369-A47B-0EF59F7A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74487"/>
    <w:pPr>
      <w:tabs>
        <w:tab w:val="center" w:pos="4320"/>
        <w:tab w:val="right" w:pos="8640"/>
      </w:tabs>
    </w:pPr>
  </w:style>
  <w:style w:type="character" w:styleId="PageNumber">
    <w:name w:val="page number"/>
    <w:basedOn w:val="DefaultParagraphFont"/>
    <w:rsid w:val="00174487"/>
  </w:style>
  <w:style w:type="paragraph" w:styleId="BalloonText">
    <w:name w:val="Balloon Text"/>
    <w:basedOn w:val="Normal"/>
    <w:semiHidden/>
    <w:rsid w:val="0046450E"/>
    <w:rPr>
      <w:rFonts w:ascii="Tahoma" w:hAnsi="Tahoma" w:cs="Tahoma"/>
      <w:sz w:val="16"/>
      <w:szCs w:val="16"/>
    </w:rPr>
  </w:style>
  <w:style w:type="character" w:styleId="CommentReference">
    <w:name w:val="annotation reference"/>
    <w:semiHidden/>
    <w:rsid w:val="0078219E"/>
    <w:rPr>
      <w:sz w:val="16"/>
      <w:szCs w:val="16"/>
    </w:rPr>
  </w:style>
  <w:style w:type="paragraph" w:styleId="CommentText">
    <w:name w:val="annotation text"/>
    <w:basedOn w:val="Normal"/>
    <w:semiHidden/>
    <w:rsid w:val="0078219E"/>
    <w:rPr>
      <w:sz w:val="20"/>
    </w:rPr>
  </w:style>
  <w:style w:type="paragraph" w:styleId="CommentSubject">
    <w:name w:val="annotation subject"/>
    <w:basedOn w:val="CommentText"/>
    <w:next w:val="CommentText"/>
    <w:semiHidden/>
    <w:rsid w:val="0078219E"/>
    <w:rPr>
      <w:b/>
      <w:bCs/>
    </w:rPr>
  </w:style>
  <w:style w:type="paragraph" w:styleId="Revision">
    <w:name w:val="Revision"/>
    <w:hidden/>
    <w:uiPriority w:val="99"/>
    <w:semiHidden/>
    <w:rsid w:val="00EC72F6"/>
    <w:rPr>
      <w:sz w:val="24"/>
    </w:rPr>
  </w:style>
  <w:style w:type="paragraph" w:styleId="ListParagraph">
    <w:name w:val="List Paragraph"/>
    <w:basedOn w:val="Normal"/>
    <w:uiPriority w:val="34"/>
    <w:qFormat/>
    <w:rsid w:val="00EC72F6"/>
    <w:pPr>
      <w:ind w:left="720"/>
    </w:pPr>
  </w:style>
  <w:style w:type="paragraph" w:styleId="PlainText">
    <w:name w:val="Plain Text"/>
    <w:basedOn w:val="Normal"/>
    <w:link w:val="PlainTextChar"/>
    <w:uiPriority w:val="99"/>
    <w:unhideWhenUsed/>
    <w:rsid w:val="00DF5AB4"/>
    <w:rPr>
      <w:rFonts w:ascii="Calibri" w:eastAsia="Calibri" w:hAnsi="Calibri"/>
      <w:sz w:val="22"/>
      <w:szCs w:val="21"/>
    </w:rPr>
  </w:style>
  <w:style w:type="character" w:customStyle="1" w:styleId="PlainTextChar">
    <w:name w:val="Plain Text Char"/>
    <w:link w:val="PlainText"/>
    <w:uiPriority w:val="99"/>
    <w:rsid w:val="00DF5AB4"/>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84074">
      <w:bodyDiv w:val="1"/>
      <w:marLeft w:val="0"/>
      <w:marRight w:val="0"/>
      <w:marTop w:val="0"/>
      <w:marBottom w:val="0"/>
      <w:divBdr>
        <w:top w:val="none" w:sz="0" w:space="0" w:color="auto"/>
        <w:left w:val="none" w:sz="0" w:space="0" w:color="auto"/>
        <w:bottom w:val="none" w:sz="0" w:space="0" w:color="auto"/>
        <w:right w:val="none" w:sz="0" w:space="0" w:color="auto"/>
      </w:divBdr>
    </w:div>
    <w:div w:id="2140609472">
      <w:bodyDiv w:val="1"/>
      <w:marLeft w:val="0"/>
      <w:marRight w:val="0"/>
      <w:marTop w:val="0"/>
      <w:marBottom w:val="0"/>
      <w:divBdr>
        <w:top w:val="none" w:sz="0" w:space="0" w:color="auto"/>
        <w:left w:val="none" w:sz="0" w:space="0" w:color="auto"/>
        <w:bottom w:val="none" w:sz="0" w:space="0" w:color="auto"/>
        <w:right w:val="none" w:sz="0" w:space="0" w:color="auto"/>
      </w:divBdr>
      <w:divsChild>
        <w:div w:id="379134268">
          <w:marLeft w:val="0"/>
          <w:marRight w:val="0"/>
          <w:marTop w:val="100"/>
          <w:marBottom w:val="100"/>
          <w:divBdr>
            <w:top w:val="none" w:sz="0" w:space="0" w:color="auto"/>
            <w:left w:val="none" w:sz="0" w:space="0" w:color="auto"/>
            <w:bottom w:val="none" w:sz="0" w:space="0" w:color="auto"/>
            <w:right w:val="none" w:sz="0" w:space="0" w:color="auto"/>
          </w:divBdr>
        </w:div>
        <w:div w:id="1784958651">
          <w:marLeft w:val="0"/>
          <w:marRight w:val="0"/>
          <w:marTop w:val="100"/>
          <w:marBottom w:val="100"/>
          <w:divBdr>
            <w:top w:val="none" w:sz="0" w:space="0" w:color="auto"/>
            <w:left w:val="none" w:sz="0" w:space="0" w:color="auto"/>
            <w:bottom w:val="none" w:sz="0" w:space="0" w:color="auto"/>
            <w:right w:val="none" w:sz="0" w:space="0" w:color="auto"/>
          </w:divBdr>
        </w:div>
        <w:div w:id="178803810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8D0E-CCC5-43A0-9154-A7592F86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plaurenz</dc:creator>
  <cp:keywords/>
  <cp:lastModifiedBy>Nicole Ongele</cp:lastModifiedBy>
  <cp:revision>3</cp:revision>
  <cp:lastPrinted>2015-05-05T22:53:00Z</cp:lastPrinted>
  <dcterms:created xsi:type="dcterms:W3CDTF">2015-07-29T17:24:00Z</dcterms:created>
  <dcterms:modified xsi:type="dcterms:W3CDTF">2015-07-29T17:24:00Z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sAAA4E8dREqJqIqhl8a/T4EZeqT3P7SDgmI7AnSGSDWJLD4=</vt:lpwstr>
  </property>
  <property fmtid="{D5CDD505-2E9C-101B-9397-08002B2CF9AE}" pid="3" name="MAIL_MSG_ID1">
    <vt:lpwstr>oFAAspTNh41gn7Co2bwmZrzsx566AK2SP9Bf07JHxuZ8otELqiMNer4Y6RTWdkI130vaKEtovqBzEto3_x000d_
IscGeaogYfxRko/TmShF6g+F8asCFCxsK0ZeWBTFzhh3Bt05BhHy87GL0NEIbFoDCM+hQhTK7Jh5_x000d_
qc4t7gFHeKmiB4yeOs3cLzP4Jq+8vQa5ZHfhwrIhcPnLS5S0qhW8kY1yhvlKIFF8Z3pYGokT/ZEZ_x000d_
+kaD3YM4HgWco2kt7</vt:lpwstr>
  </property>
  <property fmtid="{D5CDD505-2E9C-101B-9397-08002B2CF9AE}" pid="4" name="MAIL_MSG_ID2">
    <vt:lpwstr>GkmVy4zXcJUXeJsfQzcAeksTyPtRsOl7iT2CccNuW9DoG8DzorJPHPq3pqm_x000d_
y6tHHEAi44Bx87lywHNI0+yMQ7qlcoqsNgFbY906pHx/1TR3</vt:lpwstr>
  </property>
  <property fmtid="{D5CDD505-2E9C-101B-9397-08002B2CF9AE}" pid="5" name="EMAIL_OWNER_ADDRESS">
    <vt:lpwstr>4AAAMz5NUQ6P8J9WGyoCMFQjoa+bQNeRvYxvfaQbXmpKnaoHkQU2U7I8gQ==</vt:lpwstr>
  </property>
</Properties>
</file>