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13" w:rsidRDefault="00BA4113" w:rsidP="00BA4113">
      <w:pPr>
        <w:jc w:val="center"/>
        <w:rPr>
          <w:b/>
          <w:szCs w:val="24"/>
          <w:lang w:val="en-CA"/>
        </w:rPr>
      </w:pPr>
      <w:r w:rsidRPr="00FC7ECD">
        <w:rPr>
          <w:b/>
          <w:szCs w:val="24"/>
          <w:lang w:val="en-CA"/>
        </w:rPr>
        <w:t>BUREAU O</w:t>
      </w:r>
      <w:r>
        <w:rPr>
          <w:b/>
          <w:szCs w:val="24"/>
          <w:lang w:val="en-CA"/>
        </w:rPr>
        <w:t>F CONSUMER FINANCIAL PROTECTION</w:t>
      </w:r>
    </w:p>
    <w:p w:rsidR="00BA4113" w:rsidRDefault="00BA4113" w:rsidP="00BA4113">
      <w:pPr>
        <w:jc w:val="center"/>
        <w:rPr>
          <w:b/>
          <w:szCs w:val="24"/>
          <w:lang w:val="en-CA"/>
        </w:rPr>
      </w:pPr>
      <w:r w:rsidRPr="00FC7ECD">
        <w:rPr>
          <w:b/>
          <w:szCs w:val="24"/>
          <w:lang w:val="en-CA"/>
        </w:rPr>
        <w:t>PAPERWORK REDUCTION ACT SUBMISSION</w:t>
      </w:r>
    </w:p>
    <w:p w:rsidR="00563923" w:rsidRPr="00BA4113" w:rsidRDefault="00BA4113" w:rsidP="00BA4113">
      <w:pPr>
        <w:jc w:val="center"/>
        <w:rPr>
          <w:rFonts w:cs="Times New Roman"/>
          <w:b/>
          <w:szCs w:val="24"/>
        </w:rPr>
      </w:pPr>
      <w:r w:rsidRPr="00BA4113">
        <w:rPr>
          <w:rFonts w:cs="Times New Roman"/>
          <w:b/>
          <w:szCs w:val="24"/>
        </w:rPr>
        <w:t>JUSTIFICATION FOR NON-MATERIAL/NON-SUBSTANTIVE CHANGE REQUEST</w:t>
      </w:r>
    </w:p>
    <w:p w:rsidR="00BA4113" w:rsidRDefault="00BA4113" w:rsidP="00563923">
      <w:pPr>
        <w:jc w:val="center"/>
        <w:rPr>
          <w:rFonts w:cs="Times New Roman"/>
          <w:b/>
          <w:szCs w:val="24"/>
        </w:rPr>
      </w:pPr>
      <w:r w:rsidRPr="00BA4113">
        <w:rPr>
          <w:rFonts w:cs="Times New Roman"/>
          <w:b/>
          <w:szCs w:val="24"/>
        </w:rPr>
        <w:t xml:space="preserve">PRIVACY OF CONSUMER FINANCIAL INFORMATION (REGULATION P) </w:t>
      </w:r>
    </w:p>
    <w:p w:rsidR="00563923" w:rsidRPr="00BA4113" w:rsidRDefault="00BA4113" w:rsidP="00563923">
      <w:pPr>
        <w:jc w:val="center"/>
        <w:rPr>
          <w:rFonts w:cs="Times New Roman"/>
          <w:b/>
          <w:szCs w:val="24"/>
        </w:rPr>
      </w:pPr>
      <w:r w:rsidRPr="00BA4113">
        <w:rPr>
          <w:rFonts w:cs="Times New Roman"/>
          <w:b/>
          <w:szCs w:val="24"/>
        </w:rPr>
        <w:t>OMB CONTROL NUMBER: 3170-0010</w:t>
      </w:r>
    </w:p>
    <w:p w:rsidR="00E378C3" w:rsidRPr="00563923" w:rsidRDefault="00E378C3" w:rsidP="00563923">
      <w:pPr>
        <w:rPr>
          <w:rFonts w:cs="Times New Roman"/>
          <w:szCs w:val="24"/>
        </w:rPr>
      </w:pPr>
    </w:p>
    <w:p w:rsidR="00BA4113" w:rsidRDefault="00BA4113" w:rsidP="00BA4113">
      <w:pPr>
        <w:widowControl w:val="0"/>
        <w:rPr>
          <w:bCs/>
          <w:color w:val="000000"/>
        </w:rPr>
      </w:pPr>
      <w:r w:rsidRPr="00BA4113">
        <w:rPr>
          <w:rFonts w:cs="Times New Roman"/>
          <w:szCs w:val="24"/>
        </w:rPr>
        <w:t xml:space="preserve">The Consumer Financial Protection Bureau (CFPB) submits this memorandum to provide justification for a proposed change </w:t>
      </w:r>
      <w:r>
        <w:rPr>
          <w:rFonts w:cs="Times New Roman"/>
          <w:szCs w:val="24"/>
        </w:rPr>
        <w:t xml:space="preserve">to required notices </w:t>
      </w:r>
      <w:bookmarkStart w:id="0" w:name="_GoBack"/>
      <w:bookmarkEnd w:id="0"/>
      <w:r w:rsidR="00E06B46">
        <w:rPr>
          <w:rFonts w:cs="Times New Roman"/>
          <w:szCs w:val="24"/>
        </w:rPr>
        <w:t xml:space="preserve">associated </w:t>
      </w:r>
      <w:r w:rsidR="00E06B46" w:rsidRPr="00BA4113">
        <w:rPr>
          <w:rFonts w:cs="Times New Roman"/>
          <w:szCs w:val="24"/>
        </w:rPr>
        <w:t>with</w:t>
      </w:r>
      <w:r w:rsidRPr="00BA4113">
        <w:rPr>
          <w:rFonts w:cs="Times New Roman"/>
          <w:szCs w:val="24"/>
        </w:rPr>
        <w:t xml:space="preserve"> information collection 3170-</w:t>
      </w:r>
      <w:r>
        <w:rPr>
          <w:rFonts w:cs="Times New Roman"/>
          <w:szCs w:val="24"/>
        </w:rPr>
        <w:t>0010</w:t>
      </w:r>
      <w:r w:rsidRPr="00BA4113">
        <w:rPr>
          <w:rFonts w:cs="Times New Roman"/>
          <w:szCs w:val="24"/>
        </w:rPr>
        <w:t xml:space="preserve">, </w:t>
      </w:r>
      <w:r w:rsidRPr="00BA4113">
        <w:rPr>
          <w:rFonts w:cs="Times New Roman"/>
          <w:szCs w:val="24"/>
        </w:rPr>
        <w:t xml:space="preserve">Privacy </w:t>
      </w:r>
      <w:r>
        <w:rPr>
          <w:rFonts w:cs="Times New Roman"/>
          <w:szCs w:val="24"/>
        </w:rPr>
        <w:t>o</w:t>
      </w:r>
      <w:r w:rsidRPr="00BA4113">
        <w:rPr>
          <w:rFonts w:cs="Times New Roman"/>
          <w:szCs w:val="24"/>
        </w:rPr>
        <w:t>f Consumer Financial Information (Regulation P)</w:t>
      </w:r>
      <w:r>
        <w:rPr>
          <w:rFonts w:cs="Times New Roman"/>
          <w:szCs w:val="24"/>
        </w:rPr>
        <w:t xml:space="preserve">.  The Bureau is promulgating a final rule </w:t>
      </w:r>
      <w:r>
        <w:rPr>
          <w:bCs/>
          <w:color w:val="000000"/>
        </w:rPr>
        <w:t xml:space="preserve">in which it is </w:t>
      </w:r>
      <w:r>
        <w:rPr>
          <w:bCs/>
          <w:color w:val="000000"/>
        </w:rPr>
        <w:t>amending Regulation P,</w:t>
      </w:r>
      <w:r w:rsidRPr="00F14BFD">
        <w:rPr>
          <w:bCs/>
          <w:color w:val="000000"/>
        </w:rPr>
        <w:t xml:space="preserve"> which</w:t>
      </w:r>
      <w:r>
        <w:rPr>
          <w:bCs/>
          <w:color w:val="000000"/>
        </w:rPr>
        <w:t xml:space="preserve"> </w:t>
      </w:r>
      <w:r w:rsidRPr="00F14BFD">
        <w:rPr>
          <w:bCs/>
          <w:color w:val="000000"/>
        </w:rPr>
        <w:t>requires</w:t>
      </w:r>
      <w:r>
        <w:rPr>
          <w:bCs/>
          <w:color w:val="000000"/>
        </w:rPr>
        <w:t>, among other things,</w:t>
      </w:r>
      <w:r w:rsidRPr="00F14BFD">
        <w:rPr>
          <w:bCs/>
          <w:color w:val="000000"/>
        </w:rPr>
        <w:t xml:space="preserve"> that </w:t>
      </w:r>
      <w:r>
        <w:rPr>
          <w:bCs/>
          <w:color w:val="000000"/>
        </w:rPr>
        <w:t>financial institutions</w:t>
      </w:r>
      <w:r w:rsidRPr="00F14BFD">
        <w:rPr>
          <w:bCs/>
          <w:color w:val="000000"/>
        </w:rPr>
        <w:t xml:space="preserve"> provide an annual disclosure of their privacy policies to their</w:t>
      </w:r>
      <w:r>
        <w:rPr>
          <w:bCs/>
          <w:color w:val="000000"/>
        </w:rPr>
        <w:t xml:space="preserve"> customers.  The amendment</w:t>
      </w:r>
      <w:r w:rsidRPr="00F14BFD">
        <w:rPr>
          <w:bCs/>
          <w:color w:val="000000"/>
        </w:rPr>
        <w:t xml:space="preserve"> create</w:t>
      </w:r>
      <w:r>
        <w:rPr>
          <w:bCs/>
          <w:color w:val="000000"/>
        </w:rPr>
        <w:t>s</w:t>
      </w:r>
      <w:r w:rsidRPr="00F14BFD">
        <w:rPr>
          <w:bCs/>
          <w:color w:val="000000"/>
        </w:rPr>
        <w:t xml:space="preserve"> an </w:t>
      </w:r>
      <w:r>
        <w:rPr>
          <w:bCs/>
          <w:color w:val="000000"/>
        </w:rPr>
        <w:t>alternative delivery</w:t>
      </w:r>
      <w:r w:rsidRPr="00F14BFD">
        <w:rPr>
          <w:bCs/>
          <w:color w:val="000000"/>
        </w:rPr>
        <w:t xml:space="preserve"> method for this annual disclosure, which </w:t>
      </w:r>
      <w:r>
        <w:rPr>
          <w:bCs/>
          <w:color w:val="000000"/>
        </w:rPr>
        <w:t>financial institutions will</w:t>
      </w:r>
      <w:r w:rsidRPr="00F14BFD">
        <w:rPr>
          <w:bCs/>
          <w:color w:val="000000"/>
        </w:rPr>
        <w:t xml:space="preserve"> be able to use under certain circumstances.</w:t>
      </w:r>
    </w:p>
    <w:p w:rsidR="00BA4113" w:rsidRDefault="00BA4113" w:rsidP="00BA4113">
      <w:pPr>
        <w:widowControl w:val="0"/>
        <w:rPr>
          <w:bCs/>
          <w:color w:val="000000"/>
        </w:rPr>
      </w:pPr>
    </w:p>
    <w:p w:rsidR="00BA4113" w:rsidRDefault="00BA4113" w:rsidP="00BA4113">
      <w:pPr>
        <w:rPr>
          <w:rFonts w:cs="Times New Roman"/>
          <w:szCs w:val="24"/>
        </w:rPr>
      </w:pPr>
      <w:r w:rsidRPr="00BA4113">
        <w:rPr>
          <w:rFonts w:cs="Times New Roman"/>
          <w:szCs w:val="24"/>
        </w:rPr>
        <w:t>Under the CFPB’s new rule, financial institutions will be able to post privacy notices online instead of distributing an annual paper copy, if they satisfy certain conditions such as not sharing data in ways that would trigger consumers’ opt-out rights. The new rule applies to both banks and those nonbanks that are within the CFPB’s jurisdiction under the GLBA. Institutions that choose to rely on this new method of delivering privacy notices will be required to use the model disclosure form developed by federal regulatory agencies in 2009.</w:t>
      </w:r>
    </w:p>
    <w:p w:rsidR="00BA4113" w:rsidRDefault="00BA4113" w:rsidP="00BA4113">
      <w:pPr>
        <w:rPr>
          <w:rFonts w:cs="Times New Roman"/>
          <w:szCs w:val="24"/>
        </w:rPr>
      </w:pPr>
    </w:p>
    <w:p w:rsidR="00BA4113" w:rsidRDefault="00BA4113" w:rsidP="00BA4113">
      <w:pPr>
        <w:rPr>
          <w:bCs/>
        </w:rPr>
      </w:pPr>
      <w:r>
        <w:rPr>
          <w:rFonts w:cs="Times New Roman"/>
          <w:szCs w:val="24"/>
        </w:rPr>
        <w:t>We estimate that this alternative delivery method will cause a reduction in the burden hours of the associated information collection requirements.  Previously</w:t>
      </w:r>
      <w:r w:rsidR="00E06B46">
        <w:rPr>
          <w:rFonts w:cs="Times New Roman"/>
          <w:szCs w:val="24"/>
        </w:rPr>
        <w:t>,</w:t>
      </w:r>
      <w:r>
        <w:rPr>
          <w:rFonts w:cs="Times New Roman"/>
          <w:szCs w:val="24"/>
        </w:rPr>
        <w:t xml:space="preserve"> it was estimated that these requirements would require 516,000 hours annually for all respondents to comply.  Under the rule change</w:t>
      </w:r>
      <w:proofErr w:type="gramStart"/>
      <w:r>
        <w:rPr>
          <w:rFonts w:cs="Times New Roman"/>
          <w:szCs w:val="24"/>
        </w:rPr>
        <w:t xml:space="preserve">, </w:t>
      </w:r>
      <w:r w:rsidR="00E06B46">
        <w:rPr>
          <w:rFonts w:cs="Times New Roman"/>
          <w:szCs w:val="24"/>
        </w:rPr>
        <w:t xml:space="preserve"> these</w:t>
      </w:r>
      <w:proofErr w:type="gramEnd"/>
      <w:r w:rsidR="00E06B46">
        <w:rPr>
          <w:rFonts w:cs="Times New Roman"/>
          <w:szCs w:val="24"/>
        </w:rPr>
        <w:t xml:space="preserve"> </w:t>
      </w:r>
      <w:r>
        <w:rPr>
          <w:rFonts w:cs="Times New Roman"/>
          <w:szCs w:val="24"/>
        </w:rPr>
        <w:t xml:space="preserve">requirements will impose </w:t>
      </w:r>
      <w:r w:rsidRPr="00BA4113">
        <w:rPr>
          <w:bCs/>
        </w:rPr>
        <w:t>254,096</w:t>
      </w:r>
      <w:r>
        <w:rPr>
          <w:b/>
          <w:bCs/>
        </w:rPr>
        <w:t xml:space="preserve"> </w:t>
      </w:r>
      <w:r>
        <w:rPr>
          <w:bCs/>
        </w:rPr>
        <w:t>burden hours annually</w:t>
      </w:r>
      <w:r w:rsidR="00047CD0">
        <w:rPr>
          <w:bCs/>
        </w:rPr>
        <w:t xml:space="preserve">, </w:t>
      </w:r>
      <w:r>
        <w:rPr>
          <w:bCs/>
        </w:rPr>
        <w:t xml:space="preserve"> for a net  burden reduction of </w:t>
      </w:r>
      <w:r w:rsidRPr="00BA4113">
        <w:rPr>
          <w:bCs/>
        </w:rPr>
        <w:t>261,904</w:t>
      </w:r>
      <w:r>
        <w:rPr>
          <w:bCs/>
        </w:rPr>
        <w:t xml:space="preserve"> hours</w:t>
      </w:r>
      <w:r w:rsidR="00047CD0">
        <w:rPr>
          <w:bCs/>
        </w:rPr>
        <w:t>.</w:t>
      </w:r>
    </w:p>
    <w:p w:rsidR="00047CD0" w:rsidRDefault="00047CD0" w:rsidP="00BA4113">
      <w:pPr>
        <w:rPr>
          <w:bCs/>
        </w:rPr>
      </w:pPr>
    </w:p>
    <w:p w:rsidR="00047CD0" w:rsidRPr="00047CD0" w:rsidRDefault="00047CD0" w:rsidP="00047CD0">
      <w:pPr>
        <w:rPr>
          <w:rFonts w:cs="Times New Roman"/>
          <w:b/>
          <w:szCs w:val="24"/>
        </w:rPr>
      </w:pPr>
      <w:r w:rsidRPr="00047CD0">
        <w:rPr>
          <w:rFonts w:cs="Times New Roman"/>
          <w:b/>
          <w:szCs w:val="24"/>
        </w:rPr>
        <w:t>Summary of Burden Changes:</w:t>
      </w:r>
    </w:p>
    <w:p w:rsidR="00047CD0" w:rsidRPr="00047CD0" w:rsidRDefault="00047CD0" w:rsidP="00047CD0">
      <w:pPr>
        <w:rPr>
          <w:rFonts w:cs="Times New Roman"/>
          <w:b/>
          <w:szCs w:val="24"/>
        </w:rPr>
      </w:pPr>
    </w:p>
    <w:tbl>
      <w:tblPr>
        <w:tblStyle w:val="TableGrid"/>
        <w:tblW w:w="0" w:type="auto"/>
        <w:tblLook w:val="04A0" w:firstRow="1" w:lastRow="0" w:firstColumn="1" w:lastColumn="0" w:noHBand="0" w:noVBand="1"/>
      </w:tblPr>
      <w:tblGrid>
        <w:gridCol w:w="1557"/>
        <w:gridCol w:w="1999"/>
        <w:gridCol w:w="1996"/>
        <w:gridCol w:w="1996"/>
      </w:tblGrid>
      <w:tr w:rsidR="00047CD0" w:rsidTr="001B60EA">
        <w:trPr>
          <w:trHeight w:val="1061"/>
        </w:trPr>
        <w:tc>
          <w:tcPr>
            <w:tcW w:w="1557" w:type="dxa"/>
          </w:tcPr>
          <w:p w:rsidR="00047CD0" w:rsidRDefault="00047CD0" w:rsidP="001B60EA">
            <w:pPr>
              <w:pStyle w:val="PreambleLevel1"/>
              <w:spacing w:line="240" w:lineRule="auto"/>
              <w:jc w:val="both"/>
            </w:pPr>
            <w:r>
              <w:t xml:space="preserve">Information </w:t>
            </w:r>
          </w:p>
          <w:p w:rsidR="00047CD0" w:rsidRDefault="00047CD0" w:rsidP="001B60EA">
            <w:pPr>
              <w:pStyle w:val="PreambleLevel1"/>
              <w:spacing w:line="240" w:lineRule="auto"/>
              <w:jc w:val="both"/>
            </w:pPr>
            <w:r>
              <w:t xml:space="preserve">Collections </w:t>
            </w:r>
          </w:p>
        </w:tc>
        <w:tc>
          <w:tcPr>
            <w:tcW w:w="1999" w:type="dxa"/>
          </w:tcPr>
          <w:p w:rsidR="00047CD0" w:rsidRDefault="00047CD0" w:rsidP="001B60EA">
            <w:pPr>
              <w:pStyle w:val="PreambleLevel1"/>
              <w:spacing w:line="240" w:lineRule="auto"/>
            </w:pPr>
            <w:r>
              <w:t>Previously Approved</w:t>
            </w:r>
          </w:p>
          <w:p w:rsidR="00047CD0" w:rsidRDefault="00047CD0" w:rsidP="001B60EA">
            <w:pPr>
              <w:pStyle w:val="PreambleLevel1"/>
              <w:spacing w:line="240" w:lineRule="auto"/>
            </w:pPr>
            <w:r>
              <w:t>Total Burden hours</w:t>
            </w:r>
          </w:p>
        </w:tc>
        <w:tc>
          <w:tcPr>
            <w:tcW w:w="1996" w:type="dxa"/>
          </w:tcPr>
          <w:p w:rsidR="00047CD0" w:rsidRDefault="00047CD0" w:rsidP="001B60EA">
            <w:pPr>
              <w:pStyle w:val="PreambleLevel1"/>
              <w:spacing w:line="240" w:lineRule="auto"/>
            </w:pPr>
            <w:r>
              <w:t>Net change in Burden Hours</w:t>
            </w:r>
          </w:p>
        </w:tc>
        <w:tc>
          <w:tcPr>
            <w:tcW w:w="1996" w:type="dxa"/>
          </w:tcPr>
          <w:p w:rsidR="00047CD0" w:rsidRDefault="00047CD0" w:rsidP="001B60EA">
            <w:pPr>
              <w:pStyle w:val="PreambleLevel1"/>
              <w:spacing w:line="240" w:lineRule="auto"/>
            </w:pPr>
            <w:r>
              <w:t>New Total Burden Hours</w:t>
            </w:r>
          </w:p>
        </w:tc>
      </w:tr>
      <w:tr w:rsidR="00047CD0" w:rsidTr="001B60EA">
        <w:trPr>
          <w:trHeight w:val="706"/>
        </w:trPr>
        <w:tc>
          <w:tcPr>
            <w:tcW w:w="1557" w:type="dxa"/>
          </w:tcPr>
          <w:p w:rsidR="00047CD0" w:rsidRDefault="00047CD0" w:rsidP="001B60EA">
            <w:pPr>
              <w:pStyle w:val="PreambleLevel1"/>
              <w:spacing w:line="240" w:lineRule="auto"/>
              <w:rPr>
                <w:b w:val="0"/>
              </w:rPr>
            </w:pPr>
            <w:r>
              <w:rPr>
                <w:b w:val="0"/>
              </w:rPr>
              <w:t xml:space="preserve">Notices and disclosures </w:t>
            </w:r>
          </w:p>
          <w:p w:rsidR="00047CD0" w:rsidRPr="00FE0A6D" w:rsidRDefault="00047CD0" w:rsidP="001B60EA">
            <w:pPr>
              <w:pStyle w:val="PreambleLevel1"/>
              <w:spacing w:line="240" w:lineRule="auto"/>
              <w:rPr>
                <w:b w:val="0"/>
              </w:rPr>
            </w:pPr>
          </w:p>
        </w:tc>
        <w:tc>
          <w:tcPr>
            <w:tcW w:w="1999" w:type="dxa"/>
          </w:tcPr>
          <w:p w:rsidR="00047CD0" w:rsidRPr="00FE0A6D" w:rsidRDefault="00047CD0" w:rsidP="001B60EA">
            <w:pPr>
              <w:pStyle w:val="PreambleLevel1"/>
              <w:rPr>
                <w:b w:val="0"/>
              </w:rPr>
            </w:pPr>
            <w:r w:rsidRPr="00C8017F">
              <w:rPr>
                <w:b w:val="0"/>
              </w:rPr>
              <w:t>516,000</w:t>
            </w:r>
            <w:r w:rsidRPr="00C8017F">
              <w:rPr>
                <w:b w:val="0"/>
              </w:rPr>
              <w:tab/>
            </w:r>
          </w:p>
        </w:tc>
        <w:tc>
          <w:tcPr>
            <w:tcW w:w="1996" w:type="dxa"/>
          </w:tcPr>
          <w:p w:rsidR="00047CD0" w:rsidRPr="00FE0A6D" w:rsidRDefault="00047CD0" w:rsidP="001B60EA">
            <w:pPr>
              <w:pStyle w:val="PreambleLevel1"/>
              <w:rPr>
                <w:b w:val="0"/>
              </w:rPr>
            </w:pPr>
            <w:r>
              <w:rPr>
                <w:b w:val="0"/>
              </w:rPr>
              <w:t>-</w:t>
            </w:r>
            <w:r>
              <w:rPr>
                <w:b w:val="0"/>
                <w:bCs w:val="0"/>
              </w:rPr>
              <w:t>261,904</w:t>
            </w:r>
          </w:p>
        </w:tc>
        <w:tc>
          <w:tcPr>
            <w:tcW w:w="1996" w:type="dxa"/>
          </w:tcPr>
          <w:p w:rsidR="00047CD0" w:rsidRDefault="00047CD0" w:rsidP="001B60EA">
            <w:pPr>
              <w:pStyle w:val="PreambleLevel1"/>
              <w:rPr>
                <w:b w:val="0"/>
              </w:rPr>
            </w:pPr>
            <w:r>
              <w:rPr>
                <w:b w:val="0"/>
                <w:bCs w:val="0"/>
              </w:rPr>
              <w:t>254,096</w:t>
            </w:r>
          </w:p>
        </w:tc>
      </w:tr>
    </w:tbl>
    <w:p w:rsidR="00047CD0" w:rsidRPr="00BA4113" w:rsidRDefault="00047CD0" w:rsidP="00047CD0">
      <w:pPr>
        <w:rPr>
          <w:rFonts w:cs="Times New Roman"/>
          <w:szCs w:val="24"/>
        </w:rPr>
      </w:pPr>
    </w:p>
    <w:p w:rsidR="00047CD0" w:rsidRDefault="00047CD0" w:rsidP="00BA4113">
      <w:pPr>
        <w:rPr>
          <w:bCs/>
        </w:rPr>
      </w:pPr>
    </w:p>
    <w:p w:rsidR="00047CD0" w:rsidRDefault="00047CD0" w:rsidP="00BA4113">
      <w:pPr>
        <w:rPr>
          <w:rFonts w:cs="Times New Roman"/>
          <w:szCs w:val="24"/>
        </w:rPr>
      </w:pPr>
      <w:r>
        <w:rPr>
          <w:bCs/>
        </w:rPr>
        <w:t xml:space="preserve">We are therefore requesting approval of this change request to reflect the burden reduction </w:t>
      </w:r>
      <w:r w:rsidR="00E06B46">
        <w:rPr>
          <w:bCs/>
        </w:rPr>
        <w:t>caused by</w:t>
      </w:r>
      <w:r>
        <w:rPr>
          <w:bCs/>
        </w:rPr>
        <w:t xml:space="preserve"> this change to the approved </w:t>
      </w:r>
      <w:r w:rsidR="00E06B46">
        <w:rPr>
          <w:bCs/>
        </w:rPr>
        <w:t>information collections</w:t>
      </w:r>
      <w:r>
        <w:rPr>
          <w:bCs/>
        </w:rPr>
        <w:t xml:space="preserve"> under this control number</w:t>
      </w:r>
      <w:r w:rsidR="00E06B46">
        <w:rPr>
          <w:bCs/>
        </w:rPr>
        <w:t>.</w:t>
      </w:r>
    </w:p>
    <w:p w:rsidR="00BA4113" w:rsidRDefault="00BA4113" w:rsidP="00BA4113">
      <w:pPr>
        <w:rPr>
          <w:rFonts w:cs="Times New Roman"/>
          <w:szCs w:val="24"/>
        </w:rPr>
      </w:pPr>
    </w:p>
    <w:p w:rsidR="00563923" w:rsidRPr="00563923" w:rsidRDefault="00563923" w:rsidP="00BA4113">
      <w:pPr>
        <w:rPr>
          <w:rFonts w:cs="Times New Roman"/>
          <w:szCs w:val="24"/>
        </w:rPr>
      </w:pPr>
    </w:p>
    <w:sectPr w:rsidR="00563923" w:rsidRPr="00563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2D66"/>
    <w:multiLevelType w:val="multilevel"/>
    <w:tmpl w:val="1D000D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rPr>
        <w:rFonts w:ascii="Times New Roman" w:eastAsiaTheme="majorEastAsia" w:hAnsi="Times New Roman" w:cstheme="majorBidi"/>
      </w:rPr>
    </w:lvl>
    <w:lvl w:ilvl="3">
      <w:start w:val="1"/>
      <w:numFmt w:val="lowerLetter"/>
      <w:lvlText w:val="%4)"/>
      <w:lvlJc w:val="left"/>
      <w:pPr>
        <w:ind w:left="2520" w:firstLine="0"/>
      </w:pPr>
    </w:lvl>
    <w:lvl w:ilvl="4">
      <w:start w:val="1"/>
      <w:numFmt w:val="decimal"/>
      <w:lvlText w:val="(%5)"/>
      <w:lvlJc w:val="left"/>
      <w:pPr>
        <w:ind w:left="342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4FAD656E"/>
    <w:multiLevelType w:val="hybridMultilevel"/>
    <w:tmpl w:val="DAEC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82"/>
    <w:rsid w:val="00047CD0"/>
    <w:rsid w:val="00207382"/>
    <w:rsid w:val="00563923"/>
    <w:rsid w:val="006C3EF6"/>
    <w:rsid w:val="009C0194"/>
    <w:rsid w:val="00BA4113"/>
    <w:rsid w:val="00E06B46"/>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23"/>
  </w:style>
  <w:style w:type="paragraph" w:styleId="Heading1">
    <w:name w:val="heading 1"/>
    <w:basedOn w:val="Normal"/>
    <w:next w:val="Normal"/>
    <w:link w:val="Heading1Char"/>
    <w:autoRedefine/>
    <w:uiPriority w:val="9"/>
    <w:qFormat/>
    <w:rsid w:val="009C0194"/>
    <w:pPr>
      <w:keepNext/>
      <w:keepLines/>
      <w:numPr>
        <w:numId w:val="5"/>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C0194"/>
    <w:pPr>
      <w:keepNext/>
      <w:keepLines/>
      <w:numPr>
        <w:ilvl w:val="1"/>
        <w:numId w:val="5"/>
      </w:numPr>
      <w:outlineLvl w:val="1"/>
    </w:pPr>
    <w:rPr>
      <w:rFonts w:eastAsiaTheme="majorEastAsia" w:cstheme="majorBidi"/>
      <w:bCs/>
      <w:szCs w:val="26"/>
    </w:rPr>
  </w:style>
  <w:style w:type="paragraph" w:styleId="Heading3">
    <w:name w:val="heading 3"/>
    <w:basedOn w:val="Normal"/>
    <w:next w:val="Normal"/>
    <w:link w:val="Heading3Char"/>
    <w:autoRedefine/>
    <w:uiPriority w:val="9"/>
    <w:unhideWhenUsed/>
    <w:qFormat/>
    <w:rsid w:val="009C0194"/>
    <w:pPr>
      <w:keepNext/>
      <w:keepLines/>
      <w:ind w:left="2160" w:hanging="72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194"/>
    <w:rPr>
      <w:rFonts w:eastAsiaTheme="majorEastAsia" w:cstheme="majorBidi"/>
      <w:bCs/>
    </w:rPr>
  </w:style>
  <w:style w:type="character" w:customStyle="1" w:styleId="Heading2Char">
    <w:name w:val="Heading 2 Char"/>
    <w:basedOn w:val="DefaultParagraphFont"/>
    <w:link w:val="Heading2"/>
    <w:uiPriority w:val="9"/>
    <w:rsid w:val="009C0194"/>
    <w:rPr>
      <w:rFonts w:eastAsiaTheme="majorEastAsia" w:cstheme="majorBidi"/>
      <w:bCs/>
      <w:szCs w:val="26"/>
    </w:rPr>
  </w:style>
  <w:style w:type="character" w:customStyle="1" w:styleId="Heading1Char">
    <w:name w:val="Heading 1 Char"/>
    <w:basedOn w:val="DefaultParagraphFont"/>
    <w:link w:val="Heading1"/>
    <w:uiPriority w:val="9"/>
    <w:rsid w:val="009C0194"/>
    <w:rPr>
      <w:rFonts w:eastAsiaTheme="majorEastAsia" w:cstheme="majorBidi"/>
      <w:b/>
      <w:bCs/>
      <w:color w:val="365F91" w:themeColor="accent1" w:themeShade="BF"/>
      <w:sz w:val="28"/>
      <w:szCs w:val="28"/>
    </w:rPr>
  </w:style>
  <w:style w:type="paragraph" w:styleId="ListParagraph">
    <w:name w:val="List Paragraph"/>
    <w:basedOn w:val="Normal"/>
    <w:uiPriority w:val="34"/>
    <w:qFormat/>
    <w:rsid w:val="00563923"/>
    <w:pPr>
      <w:ind w:left="720"/>
      <w:contextualSpacing/>
    </w:pPr>
  </w:style>
  <w:style w:type="table" w:styleId="TableGrid">
    <w:name w:val="Table Grid"/>
    <w:basedOn w:val="TableNormal"/>
    <w:uiPriority w:val="59"/>
    <w:rsid w:val="0056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BA4113"/>
    <w:pPr>
      <w:widowControl w:val="0"/>
      <w:autoSpaceDE w:val="0"/>
      <w:autoSpaceDN w:val="0"/>
      <w:adjustRightInd w:val="0"/>
    </w:pPr>
    <w:rPr>
      <w:rFonts w:eastAsia="Times New Roman" w:cs="Times New Roman"/>
      <w:szCs w:val="24"/>
    </w:rPr>
  </w:style>
  <w:style w:type="paragraph" w:customStyle="1" w:styleId="PreambleLevel1">
    <w:name w:val="Preamble Level 1"/>
    <w:basedOn w:val="Heading1"/>
    <w:uiPriority w:val="1"/>
    <w:qFormat/>
    <w:rsid w:val="00BA4113"/>
    <w:pPr>
      <w:keepNext w:val="0"/>
      <w:keepLines w:val="0"/>
      <w:widowControl w:val="0"/>
      <w:numPr>
        <w:numId w:val="0"/>
      </w:numPr>
      <w:spacing w:line="480" w:lineRule="auto"/>
    </w:pPr>
    <w:rPr>
      <w:rFonts w:eastAsia="Times New Roman" w:cs="Times New Roman"/>
      <w:color w:val="auto"/>
      <w:kern w:val="3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23"/>
  </w:style>
  <w:style w:type="paragraph" w:styleId="Heading1">
    <w:name w:val="heading 1"/>
    <w:basedOn w:val="Normal"/>
    <w:next w:val="Normal"/>
    <w:link w:val="Heading1Char"/>
    <w:autoRedefine/>
    <w:uiPriority w:val="9"/>
    <w:qFormat/>
    <w:rsid w:val="009C0194"/>
    <w:pPr>
      <w:keepNext/>
      <w:keepLines/>
      <w:numPr>
        <w:numId w:val="5"/>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C0194"/>
    <w:pPr>
      <w:keepNext/>
      <w:keepLines/>
      <w:numPr>
        <w:ilvl w:val="1"/>
        <w:numId w:val="5"/>
      </w:numPr>
      <w:outlineLvl w:val="1"/>
    </w:pPr>
    <w:rPr>
      <w:rFonts w:eastAsiaTheme="majorEastAsia" w:cstheme="majorBidi"/>
      <w:bCs/>
      <w:szCs w:val="26"/>
    </w:rPr>
  </w:style>
  <w:style w:type="paragraph" w:styleId="Heading3">
    <w:name w:val="heading 3"/>
    <w:basedOn w:val="Normal"/>
    <w:next w:val="Normal"/>
    <w:link w:val="Heading3Char"/>
    <w:autoRedefine/>
    <w:uiPriority w:val="9"/>
    <w:unhideWhenUsed/>
    <w:qFormat/>
    <w:rsid w:val="009C0194"/>
    <w:pPr>
      <w:keepNext/>
      <w:keepLines/>
      <w:ind w:left="2160" w:hanging="72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194"/>
    <w:rPr>
      <w:rFonts w:eastAsiaTheme="majorEastAsia" w:cstheme="majorBidi"/>
      <w:bCs/>
    </w:rPr>
  </w:style>
  <w:style w:type="character" w:customStyle="1" w:styleId="Heading2Char">
    <w:name w:val="Heading 2 Char"/>
    <w:basedOn w:val="DefaultParagraphFont"/>
    <w:link w:val="Heading2"/>
    <w:uiPriority w:val="9"/>
    <w:rsid w:val="009C0194"/>
    <w:rPr>
      <w:rFonts w:eastAsiaTheme="majorEastAsia" w:cstheme="majorBidi"/>
      <w:bCs/>
      <w:szCs w:val="26"/>
    </w:rPr>
  </w:style>
  <w:style w:type="character" w:customStyle="1" w:styleId="Heading1Char">
    <w:name w:val="Heading 1 Char"/>
    <w:basedOn w:val="DefaultParagraphFont"/>
    <w:link w:val="Heading1"/>
    <w:uiPriority w:val="9"/>
    <w:rsid w:val="009C0194"/>
    <w:rPr>
      <w:rFonts w:eastAsiaTheme="majorEastAsia" w:cstheme="majorBidi"/>
      <w:b/>
      <w:bCs/>
      <w:color w:val="365F91" w:themeColor="accent1" w:themeShade="BF"/>
      <w:sz w:val="28"/>
      <w:szCs w:val="28"/>
    </w:rPr>
  </w:style>
  <w:style w:type="paragraph" w:styleId="ListParagraph">
    <w:name w:val="List Paragraph"/>
    <w:basedOn w:val="Normal"/>
    <w:uiPriority w:val="34"/>
    <w:qFormat/>
    <w:rsid w:val="00563923"/>
    <w:pPr>
      <w:ind w:left="720"/>
      <w:contextualSpacing/>
    </w:pPr>
  </w:style>
  <w:style w:type="table" w:styleId="TableGrid">
    <w:name w:val="Table Grid"/>
    <w:basedOn w:val="TableNormal"/>
    <w:uiPriority w:val="59"/>
    <w:rsid w:val="0056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BA4113"/>
    <w:pPr>
      <w:widowControl w:val="0"/>
      <w:autoSpaceDE w:val="0"/>
      <w:autoSpaceDN w:val="0"/>
      <w:adjustRightInd w:val="0"/>
    </w:pPr>
    <w:rPr>
      <w:rFonts w:eastAsia="Times New Roman" w:cs="Times New Roman"/>
      <w:szCs w:val="24"/>
    </w:rPr>
  </w:style>
  <w:style w:type="paragraph" w:customStyle="1" w:styleId="PreambleLevel1">
    <w:name w:val="Preamble Level 1"/>
    <w:basedOn w:val="Heading1"/>
    <w:uiPriority w:val="1"/>
    <w:qFormat/>
    <w:rsid w:val="00BA4113"/>
    <w:pPr>
      <w:keepNext w:val="0"/>
      <w:keepLines w:val="0"/>
      <w:widowControl w:val="0"/>
      <w:numPr>
        <w:numId w:val="0"/>
      </w:numPr>
      <w:spacing w:line="480" w:lineRule="auto"/>
    </w:pPr>
    <w:rPr>
      <w:rFonts w:eastAsia="Times New Roman" w:cs="Times New Roman"/>
      <w:color w:val="auto"/>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Abby (Contractor) (CFPB)</dc:creator>
  <cp:lastModifiedBy>Galleher, Michael (Contractor)(CFPB)</cp:lastModifiedBy>
  <cp:revision>4</cp:revision>
  <dcterms:created xsi:type="dcterms:W3CDTF">2014-10-21T14:19:00Z</dcterms:created>
  <dcterms:modified xsi:type="dcterms:W3CDTF">2014-10-21T14:24:00Z</dcterms:modified>
</cp:coreProperties>
</file>