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FE" w:rsidRPr="0048480D" w:rsidRDefault="00FC4446">
      <w:pPr>
        <w:rPr>
          <w:b/>
          <w:sz w:val="24"/>
          <w:szCs w:val="24"/>
        </w:rPr>
      </w:pPr>
      <w:r w:rsidRPr="00A1440A">
        <w:rPr>
          <w:b/>
        </w:rPr>
        <w:t xml:space="preserve">                                                    </w:t>
      </w:r>
      <w:r w:rsidR="00FF3EFE" w:rsidRPr="00A1440A">
        <w:rPr>
          <w:b/>
        </w:rPr>
        <w:t xml:space="preserve">    </w:t>
      </w:r>
      <w:r w:rsidR="008B4102" w:rsidRPr="00A1440A">
        <w:rPr>
          <w:b/>
        </w:rPr>
        <w:t xml:space="preserve">               </w:t>
      </w:r>
      <w:r w:rsidR="00FF3EFE" w:rsidRPr="00A1440A">
        <w:rPr>
          <w:b/>
        </w:rPr>
        <w:t xml:space="preserve"> </w:t>
      </w:r>
      <w:r w:rsidR="00606E4E" w:rsidRPr="00A1440A">
        <w:rPr>
          <w:b/>
        </w:rPr>
        <w:t xml:space="preserve">   </w:t>
      </w:r>
      <w:r w:rsidR="008B4102" w:rsidRPr="0048480D">
        <w:rPr>
          <w:b/>
          <w:sz w:val="24"/>
          <w:szCs w:val="24"/>
        </w:rPr>
        <w:t xml:space="preserve">Justification for Change            </w:t>
      </w:r>
      <w:r w:rsidRPr="0048480D">
        <w:rPr>
          <w:b/>
          <w:sz w:val="24"/>
          <w:szCs w:val="24"/>
        </w:rPr>
        <w:t xml:space="preserve">        </w:t>
      </w:r>
      <w:r w:rsidR="00606E4E" w:rsidRPr="0048480D">
        <w:rPr>
          <w:b/>
          <w:sz w:val="24"/>
          <w:szCs w:val="24"/>
        </w:rPr>
        <w:t xml:space="preserve">    </w:t>
      </w:r>
      <w:r w:rsidRPr="0048480D">
        <w:rPr>
          <w:b/>
          <w:sz w:val="24"/>
          <w:szCs w:val="24"/>
        </w:rPr>
        <w:t xml:space="preserve">      </w:t>
      </w:r>
      <w:r w:rsidR="008B4102" w:rsidRPr="0048480D">
        <w:rPr>
          <w:b/>
          <w:sz w:val="24"/>
          <w:szCs w:val="24"/>
        </w:rPr>
        <w:t xml:space="preserve">  </w:t>
      </w:r>
      <w:r w:rsidR="00FF3EFE" w:rsidRPr="0048480D">
        <w:rPr>
          <w:b/>
          <w:sz w:val="24"/>
          <w:szCs w:val="24"/>
        </w:rPr>
        <w:t xml:space="preserve">          </w:t>
      </w:r>
      <w:r w:rsidRPr="0048480D">
        <w:rPr>
          <w:b/>
          <w:sz w:val="24"/>
          <w:szCs w:val="24"/>
        </w:rPr>
        <w:t xml:space="preserve">  </w:t>
      </w:r>
      <w:r w:rsidR="008B4102" w:rsidRPr="0048480D">
        <w:rPr>
          <w:b/>
          <w:sz w:val="24"/>
          <w:szCs w:val="24"/>
        </w:rPr>
        <w:t xml:space="preserve">         </w:t>
      </w:r>
      <w:r w:rsidRPr="0048480D">
        <w:rPr>
          <w:b/>
          <w:sz w:val="24"/>
          <w:szCs w:val="24"/>
        </w:rPr>
        <w:t xml:space="preserve">                  </w:t>
      </w:r>
      <w:r w:rsidR="005062C5" w:rsidRPr="0048480D">
        <w:rPr>
          <w:b/>
          <w:sz w:val="24"/>
          <w:szCs w:val="24"/>
        </w:rPr>
        <w:t xml:space="preserve"> </w:t>
      </w:r>
      <w:r w:rsidR="00FF3EFE" w:rsidRPr="0048480D">
        <w:rPr>
          <w:b/>
          <w:sz w:val="24"/>
          <w:szCs w:val="24"/>
        </w:rPr>
        <w:t xml:space="preserve"> </w:t>
      </w:r>
    </w:p>
    <w:p w:rsidR="005062C5" w:rsidRPr="0048480D" w:rsidRDefault="00FF3EFE" w:rsidP="008B4102">
      <w:pPr>
        <w:jc w:val="center"/>
        <w:rPr>
          <w:b/>
          <w:sz w:val="24"/>
          <w:szCs w:val="24"/>
        </w:rPr>
      </w:pPr>
      <w:r w:rsidRPr="0048480D">
        <w:rPr>
          <w:b/>
          <w:sz w:val="24"/>
          <w:szCs w:val="24"/>
        </w:rPr>
        <w:t xml:space="preserve">OMB Number </w:t>
      </w:r>
      <w:r w:rsidR="00C76E56" w:rsidRPr="0048480D">
        <w:rPr>
          <w:b/>
          <w:sz w:val="24"/>
          <w:szCs w:val="24"/>
        </w:rPr>
        <w:t>0581-0031</w:t>
      </w:r>
    </w:p>
    <w:p w:rsidR="0048480D" w:rsidRPr="0048480D" w:rsidRDefault="0048480D" w:rsidP="0048480D">
      <w:pPr>
        <w:widowControl w:val="0"/>
        <w:tabs>
          <w:tab w:val="center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8480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REPORTING AND RECORD KEEPING REQUIREMENTS UNDER</w:t>
      </w:r>
    </w:p>
    <w:p w:rsidR="0048480D" w:rsidRPr="0048480D" w:rsidRDefault="0048480D" w:rsidP="0048480D">
      <w:pPr>
        <w:widowControl w:val="0"/>
        <w:tabs>
          <w:tab w:val="center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8480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REGULATIONS (OTHER THAN RULES OF PRACTICE) UNDER THE</w:t>
      </w:r>
    </w:p>
    <w:p w:rsidR="0048480D" w:rsidRPr="0048480D" w:rsidRDefault="0048480D" w:rsidP="0048480D">
      <w:pPr>
        <w:widowControl w:val="0"/>
        <w:tabs>
          <w:tab w:val="center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proofErr w:type="gramStart"/>
      <w:r w:rsidRPr="0048480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PERISHABLE AGRICULTURAL COMMODITIES ACT, 1930.</w:t>
      </w:r>
      <w:proofErr w:type="gramEnd"/>
    </w:p>
    <w:p w:rsidR="0048480D" w:rsidRPr="0048480D" w:rsidRDefault="0048480D" w:rsidP="0048480D">
      <w:pPr>
        <w:jc w:val="center"/>
        <w:rPr>
          <w:b/>
          <w:sz w:val="24"/>
          <w:szCs w:val="24"/>
        </w:rPr>
      </w:pPr>
    </w:p>
    <w:p w:rsidR="00803719" w:rsidRPr="0048480D" w:rsidRDefault="00B77CFB" w:rsidP="008B4102">
      <w:pPr>
        <w:jc w:val="center"/>
        <w:rPr>
          <w:b/>
          <w:sz w:val="24"/>
          <w:szCs w:val="24"/>
        </w:rPr>
      </w:pPr>
      <w:r w:rsidRPr="0048480D">
        <w:rPr>
          <w:b/>
          <w:sz w:val="24"/>
          <w:szCs w:val="24"/>
        </w:rPr>
        <w:t>License Application</w:t>
      </w:r>
      <w:r w:rsidR="00C76E56" w:rsidRPr="0048480D">
        <w:rPr>
          <w:b/>
          <w:sz w:val="24"/>
          <w:szCs w:val="24"/>
        </w:rPr>
        <w:t xml:space="preserve"> Form FV-211</w:t>
      </w:r>
    </w:p>
    <w:p w:rsidR="0048480D" w:rsidRPr="0048480D" w:rsidRDefault="0048480D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 2015</w:t>
      </w:r>
    </w:p>
    <w:p w:rsidR="008B4102" w:rsidRPr="0048480D" w:rsidRDefault="008B4102">
      <w:pPr>
        <w:rPr>
          <w:b/>
          <w:sz w:val="24"/>
          <w:szCs w:val="24"/>
          <w:u w:val="single"/>
        </w:rPr>
      </w:pPr>
      <w:r w:rsidRPr="0048480D">
        <w:rPr>
          <w:b/>
          <w:sz w:val="24"/>
          <w:szCs w:val="24"/>
          <w:u w:val="single"/>
        </w:rPr>
        <w:t>Justification:</w:t>
      </w:r>
    </w:p>
    <w:p w:rsidR="00500E7F" w:rsidRPr="0048480D" w:rsidRDefault="008B4102" w:rsidP="00C76E56">
      <w:pPr>
        <w:rPr>
          <w:sz w:val="24"/>
          <w:szCs w:val="24"/>
        </w:rPr>
      </w:pPr>
      <w:r w:rsidRPr="0048480D">
        <w:rPr>
          <w:sz w:val="24"/>
          <w:szCs w:val="24"/>
        </w:rPr>
        <w:t>Th</w:t>
      </w:r>
      <w:r w:rsidR="00C76E56" w:rsidRPr="0048480D">
        <w:rPr>
          <w:sz w:val="24"/>
          <w:szCs w:val="24"/>
        </w:rPr>
        <w:t>e National License Center</w:t>
      </w:r>
      <w:r w:rsidR="009B59A0" w:rsidRPr="0048480D">
        <w:rPr>
          <w:sz w:val="24"/>
          <w:szCs w:val="24"/>
        </w:rPr>
        <w:t xml:space="preserve"> (NLC) </w:t>
      </w:r>
      <w:r w:rsidR="00C76E56" w:rsidRPr="0048480D">
        <w:rPr>
          <w:sz w:val="24"/>
          <w:szCs w:val="24"/>
        </w:rPr>
        <w:t xml:space="preserve">primary function </w:t>
      </w:r>
      <w:r w:rsidR="009B59A0" w:rsidRPr="0048480D">
        <w:rPr>
          <w:sz w:val="24"/>
          <w:szCs w:val="24"/>
        </w:rPr>
        <w:t xml:space="preserve">is to license the produce industry dealing with fresh and frozen </w:t>
      </w:r>
      <w:r w:rsidR="00CB0E88" w:rsidRPr="0048480D">
        <w:rPr>
          <w:sz w:val="24"/>
          <w:szCs w:val="24"/>
        </w:rPr>
        <w:t xml:space="preserve">fruit and vegetables.  PACA is now giving the Regional Offices (Central, </w:t>
      </w:r>
      <w:r w:rsidR="006563F0" w:rsidRPr="0048480D">
        <w:rPr>
          <w:sz w:val="24"/>
          <w:szCs w:val="24"/>
        </w:rPr>
        <w:t>Western,</w:t>
      </w:r>
      <w:r w:rsidR="00CB0E88" w:rsidRPr="0048480D">
        <w:rPr>
          <w:sz w:val="24"/>
          <w:szCs w:val="24"/>
        </w:rPr>
        <w:t xml:space="preserve"> and the Eastern) the capabilities of sending out license applications to potential prospects.  The justification for change is to now have the license application reflect the corresponding field offices addresses.</w:t>
      </w:r>
      <w:r w:rsidR="00842D6B" w:rsidRPr="0048480D">
        <w:rPr>
          <w:sz w:val="24"/>
          <w:szCs w:val="24"/>
        </w:rPr>
        <w:t xml:space="preserve">  So during the prospecting portion of the license process the application can be returned directly to the office soliciting them. </w:t>
      </w:r>
    </w:p>
    <w:p w:rsidR="00D91012" w:rsidRPr="0048480D" w:rsidRDefault="008B4102">
      <w:pPr>
        <w:rPr>
          <w:b/>
          <w:sz w:val="24"/>
          <w:szCs w:val="24"/>
          <w:u w:val="single"/>
        </w:rPr>
      </w:pPr>
      <w:r w:rsidRPr="0048480D">
        <w:rPr>
          <w:b/>
          <w:sz w:val="24"/>
          <w:szCs w:val="24"/>
          <w:u w:val="single"/>
        </w:rPr>
        <w:t>Revis</w:t>
      </w:r>
      <w:r w:rsidR="00500E7F" w:rsidRPr="0048480D">
        <w:rPr>
          <w:b/>
          <w:sz w:val="24"/>
          <w:szCs w:val="24"/>
          <w:u w:val="single"/>
        </w:rPr>
        <w:t>ions</w:t>
      </w:r>
      <w:r w:rsidRPr="0048480D">
        <w:rPr>
          <w:b/>
          <w:sz w:val="24"/>
          <w:szCs w:val="24"/>
          <w:u w:val="single"/>
        </w:rPr>
        <w:t xml:space="preserve">: </w:t>
      </w:r>
    </w:p>
    <w:p w:rsidR="008C2146" w:rsidRPr="0048480D" w:rsidRDefault="006563F0">
      <w:pPr>
        <w:rPr>
          <w:sz w:val="24"/>
          <w:szCs w:val="24"/>
        </w:rPr>
      </w:pPr>
      <w:r w:rsidRPr="0048480D">
        <w:rPr>
          <w:sz w:val="24"/>
          <w:szCs w:val="24"/>
        </w:rPr>
        <w:t xml:space="preserve">The sections that need to be revised are the following:  </w:t>
      </w:r>
      <w:r w:rsidRPr="0048480D">
        <w:rPr>
          <w:sz w:val="24"/>
          <w:szCs w:val="24"/>
        </w:rPr>
        <w:br/>
      </w:r>
      <w:r w:rsidRPr="0048480D">
        <w:rPr>
          <w:sz w:val="24"/>
          <w:szCs w:val="24"/>
        </w:rPr>
        <w:br/>
        <w:t>Page 1</w:t>
      </w:r>
      <w:r w:rsidR="0048480D" w:rsidRPr="0048480D">
        <w:rPr>
          <w:sz w:val="24"/>
          <w:szCs w:val="24"/>
        </w:rPr>
        <w:t>:</w:t>
      </w:r>
      <w:r w:rsidR="0048480D" w:rsidRPr="0048480D">
        <w:rPr>
          <w:sz w:val="24"/>
          <w:szCs w:val="24"/>
        </w:rPr>
        <w:tab/>
      </w:r>
      <w:r w:rsidRPr="0048480D">
        <w:rPr>
          <w:sz w:val="24"/>
          <w:szCs w:val="24"/>
        </w:rPr>
        <w:t xml:space="preserve"> </w:t>
      </w:r>
      <w:r w:rsidR="00B918C6">
        <w:rPr>
          <w:sz w:val="24"/>
          <w:szCs w:val="24"/>
        </w:rPr>
        <w:t xml:space="preserve"> </w:t>
      </w:r>
      <w:r w:rsidRPr="0048480D">
        <w:rPr>
          <w:sz w:val="24"/>
          <w:szCs w:val="24"/>
        </w:rPr>
        <w:t>the box at the top of the far right corner.</w:t>
      </w:r>
      <w:r w:rsidRPr="0048480D">
        <w:rPr>
          <w:sz w:val="24"/>
          <w:szCs w:val="24"/>
        </w:rPr>
        <w:br/>
        <w:t>Page 3:  Schedule A (A2) the accrued fees for previous operations</w:t>
      </w:r>
      <w:r w:rsidR="0048480D" w:rsidRPr="0048480D">
        <w:rPr>
          <w:sz w:val="24"/>
          <w:szCs w:val="24"/>
        </w:rPr>
        <w:t>;</w:t>
      </w:r>
      <w:r w:rsidRPr="0048480D">
        <w:rPr>
          <w:sz w:val="24"/>
          <w:szCs w:val="24"/>
        </w:rPr>
        <w:br/>
      </w:r>
      <w:r w:rsidR="0048480D" w:rsidRPr="0048480D">
        <w:rPr>
          <w:sz w:val="24"/>
          <w:szCs w:val="24"/>
        </w:rPr>
        <w:t xml:space="preserve">               </w:t>
      </w:r>
      <w:r w:rsidRPr="0048480D">
        <w:rPr>
          <w:sz w:val="24"/>
          <w:szCs w:val="24"/>
        </w:rPr>
        <w:t>Section under the credit card payment option</w:t>
      </w:r>
      <w:r w:rsidR="0048480D" w:rsidRPr="0048480D">
        <w:rPr>
          <w:sz w:val="24"/>
          <w:szCs w:val="24"/>
        </w:rPr>
        <w:t>;</w:t>
      </w:r>
      <w:r w:rsidRPr="0048480D">
        <w:rPr>
          <w:sz w:val="24"/>
          <w:szCs w:val="24"/>
        </w:rPr>
        <w:br/>
      </w:r>
      <w:r w:rsidR="0048480D" w:rsidRPr="0048480D">
        <w:rPr>
          <w:sz w:val="24"/>
          <w:szCs w:val="24"/>
        </w:rPr>
        <w:t xml:space="preserve">              </w:t>
      </w:r>
      <w:r w:rsidRPr="0048480D">
        <w:rPr>
          <w:sz w:val="24"/>
          <w:szCs w:val="24"/>
        </w:rPr>
        <w:t xml:space="preserve">And the mailing address under the </w:t>
      </w:r>
      <w:r w:rsidR="00334ECE" w:rsidRPr="0048480D">
        <w:rPr>
          <w:sz w:val="24"/>
          <w:szCs w:val="24"/>
        </w:rPr>
        <w:t xml:space="preserve">certification statement. </w:t>
      </w:r>
    </w:p>
    <w:p w:rsidR="005062C5" w:rsidRPr="0048480D" w:rsidRDefault="00334ECE" w:rsidP="008C4E65">
      <w:pPr>
        <w:rPr>
          <w:sz w:val="24"/>
          <w:szCs w:val="24"/>
        </w:rPr>
      </w:pPr>
      <w:r w:rsidRPr="0048480D">
        <w:rPr>
          <w:b/>
          <w:sz w:val="24"/>
          <w:szCs w:val="24"/>
        </w:rPr>
        <w:t xml:space="preserve">Page </w:t>
      </w:r>
      <w:proofErr w:type="gramStart"/>
      <w:r w:rsidRPr="0048480D">
        <w:rPr>
          <w:b/>
          <w:sz w:val="24"/>
          <w:szCs w:val="24"/>
        </w:rPr>
        <w:t>One</w:t>
      </w:r>
      <w:proofErr w:type="gramEnd"/>
      <w:r w:rsidRPr="0048480D">
        <w:rPr>
          <w:sz w:val="24"/>
          <w:szCs w:val="24"/>
        </w:rPr>
        <w:br/>
      </w:r>
      <w:r w:rsidRPr="0048480D">
        <w:rPr>
          <w:sz w:val="24"/>
          <w:szCs w:val="24"/>
        </w:rPr>
        <w:br/>
      </w:r>
      <w:r w:rsidRPr="00D037EE">
        <w:rPr>
          <w:sz w:val="24"/>
          <w:szCs w:val="24"/>
        </w:rPr>
        <w:t xml:space="preserve">In the top corner of the page there is a box that </w:t>
      </w:r>
      <w:r w:rsidR="00B918C6" w:rsidRPr="00D037EE">
        <w:rPr>
          <w:sz w:val="24"/>
          <w:szCs w:val="24"/>
        </w:rPr>
        <w:t xml:space="preserve">currently </w:t>
      </w:r>
      <w:r w:rsidRPr="00D037EE">
        <w:rPr>
          <w:sz w:val="24"/>
          <w:szCs w:val="24"/>
        </w:rPr>
        <w:t xml:space="preserve">displays “For questions call: (800) 495-7222 </w:t>
      </w:r>
      <w:proofErr w:type="spellStart"/>
      <w:r w:rsidR="00B918C6" w:rsidRPr="00D037EE">
        <w:rPr>
          <w:sz w:val="24"/>
          <w:szCs w:val="24"/>
        </w:rPr>
        <w:t>ext</w:t>
      </w:r>
      <w:proofErr w:type="spellEnd"/>
      <w:r w:rsidR="00B918C6" w:rsidRPr="00D037EE">
        <w:rPr>
          <w:sz w:val="24"/>
          <w:szCs w:val="24"/>
        </w:rPr>
        <w:t xml:space="preserve"> 1.  </w:t>
      </w:r>
      <w:r w:rsidRPr="00D037EE">
        <w:rPr>
          <w:sz w:val="24"/>
          <w:szCs w:val="24"/>
        </w:rPr>
        <w:t xml:space="preserve">The </w:t>
      </w:r>
      <w:r w:rsidR="00B918C6" w:rsidRPr="00D037EE">
        <w:rPr>
          <w:sz w:val="24"/>
          <w:szCs w:val="24"/>
        </w:rPr>
        <w:t xml:space="preserve">1 will be replaced with an </w:t>
      </w:r>
      <w:r w:rsidRPr="00D037EE">
        <w:rPr>
          <w:sz w:val="24"/>
          <w:szCs w:val="24"/>
        </w:rPr>
        <w:t xml:space="preserve">X </w:t>
      </w:r>
      <w:r w:rsidR="00B918C6" w:rsidRPr="00D037EE">
        <w:rPr>
          <w:sz w:val="24"/>
          <w:szCs w:val="24"/>
        </w:rPr>
        <w:t xml:space="preserve">so the extension number can </w:t>
      </w:r>
      <w:r w:rsidRPr="00D037EE">
        <w:rPr>
          <w:sz w:val="24"/>
          <w:szCs w:val="24"/>
        </w:rPr>
        <w:t>be changed to match the corresponding Field Office.</w:t>
      </w:r>
      <w:r w:rsidRPr="0048480D">
        <w:rPr>
          <w:sz w:val="24"/>
          <w:szCs w:val="24"/>
        </w:rPr>
        <w:br/>
      </w:r>
      <w:r w:rsidRPr="0048480D">
        <w:rPr>
          <w:sz w:val="24"/>
          <w:szCs w:val="24"/>
        </w:rPr>
        <w:br/>
      </w:r>
      <w:r w:rsidRPr="0048480D">
        <w:rPr>
          <w:sz w:val="24"/>
          <w:szCs w:val="24"/>
          <w:u w:val="single"/>
        </w:rPr>
        <w:t>Western Regional Office</w:t>
      </w:r>
      <w:r w:rsidRPr="0048480D">
        <w:rPr>
          <w:sz w:val="24"/>
          <w:szCs w:val="24"/>
        </w:rPr>
        <w:t xml:space="preserve">: (800) 495-7222 Ex </w:t>
      </w:r>
      <w:r w:rsidRPr="0048480D">
        <w:rPr>
          <w:b/>
          <w:sz w:val="24"/>
          <w:szCs w:val="24"/>
          <w:u w:val="single"/>
        </w:rPr>
        <w:t>(5</w:t>
      </w:r>
      <w:proofErr w:type="gramStart"/>
      <w:r w:rsidRPr="0048480D">
        <w:rPr>
          <w:b/>
          <w:sz w:val="24"/>
          <w:szCs w:val="24"/>
          <w:u w:val="single"/>
        </w:rPr>
        <w:t>)</w:t>
      </w:r>
      <w:proofErr w:type="gramEnd"/>
      <w:r w:rsidRPr="0048480D">
        <w:rPr>
          <w:sz w:val="24"/>
          <w:szCs w:val="24"/>
        </w:rPr>
        <w:br/>
      </w:r>
      <w:r w:rsidRPr="0048480D">
        <w:rPr>
          <w:sz w:val="24"/>
          <w:szCs w:val="24"/>
          <w:u w:val="single"/>
        </w:rPr>
        <w:t>Central Regional Office</w:t>
      </w:r>
      <w:r w:rsidRPr="0048480D">
        <w:rPr>
          <w:sz w:val="24"/>
          <w:szCs w:val="24"/>
        </w:rPr>
        <w:t xml:space="preserve">: (800) 495-7222 Ex </w:t>
      </w:r>
      <w:r w:rsidRPr="0048480D">
        <w:rPr>
          <w:b/>
          <w:sz w:val="24"/>
          <w:szCs w:val="24"/>
          <w:u w:val="single"/>
        </w:rPr>
        <w:t>(4)</w:t>
      </w:r>
      <w:r w:rsidRPr="0048480D">
        <w:rPr>
          <w:b/>
          <w:sz w:val="24"/>
          <w:szCs w:val="24"/>
          <w:u w:val="single"/>
        </w:rPr>
        <w:br/>
      </w:r>
      <w:r w:rsidRPr="0048480D">
        <w:rPr>
          <w:sz w:val="24"/>
          <w:szCs w:val="24"/>
          <w:u w:val="single"/>
        </w:rPr>
        <w:t>Eastern Regional Office</w:t>
      </w:r>
      <w:r w:rsidRPr="0048480D">
        <w:rPr>
          <w:sz w:val="24"/>
          <w:szCs w:val="24"/>
        </w:rPr>
        <w:t xml:space="preserve">: (800) 495-7222 Ex </w:t>
      </w:r>
      <w:r w:rsidRPr="0048480D">
        <w:rPr>
          <w:b/>
          <w:sz w:val="24"/>
          <w:szCs w:val="24"/>
          <w:u w:val="single"/>
        </w:rPr>
        <w:t>(3)</w:t>
      </w:r>
      <w:r w:rsidRPr="0048480D">
        <w:rPr>
          <w:sz w:val="24"/>
          <w:szCs w:val="24"/>
        </w:rPr>
        <w:br/>
      </w:r>
      <w:r w:rsidRPr="0048480D">
        <w:rPr>
          <w:sz w:val="24"/>
          <w:szCs w:val="24"/>
          <w:u w:val="single"/>
        </w:rPr>
        <w:t>National License Center</w:t>
      </w:r>
      <w:r w:rsidRPr="0048480D">
        <w:rPr>
          <w:sz w:val="24"/>
          <w:szCs w:val="24"/>
        </w:rPr>
        <w:t>: (800) 495-7222 Ex</w:t>
      </w:r>
      <w:r w:rsidRPr="0048480D">
        <w:rPr>
          <w:b/>
          <w:sz w:val="24"/>
          <w:szCs w:val="24"/>
          <w:u w:val="single"/>
        </w:rPr>
        <w:t xml:space="preserve"> (1)</w:t>
      </w:r>
      <w:r w:rsidR="00590C8D" w:rsidRPr="0048480D">
        <w:rPr>
          <w:b/>
          <w:sz w:val="24"/>
          <w:szCs w:val="24"/>
          <w:u w:val="single"/>
        </w:rPr>
        <w:t xml:space="preserve"> </w:t>
      </w:r>
    </w:p>
    <w:p w:rsidR="0048480D" w:rsidRDefault="0048480D" w:rsidP="008C4E65">
      <w:pPr>
        <w:rPr>
          <w:b/>
          <w:sz w:val="24"/>
          <w:szCs w:val="24"/>
        </w:rPr>
      </w:pPr>
    </w:p>
    <w:p w:rsidR="0048480D" w:rsidRDefault="0048480D" w:rsidP="008C4E65">
      <w:pPr>
        <w:rPr>
          <w:b/>
          <w:sz w:val="24"/>
          <w:szCs w:val="24"/>
        </w:rPr>
      </w:pPr>
    </w:p>
    <w:p w:rsidR="008C4E65" w:rsidRPr="0048480D" w:rsidRDefault="00A1440A" w:rsidP="008C4E65">
      <w:pPr>
        <w:rPr>
          <w:b/>
          <w:sz w:val="24"/>
          <w:szCs w:val="24"/>
        </w:rPr>
      </w:pPr>
      <w:r w:rsidRPr="0048480D">
        <w:rPr>
          <w:b/>
          <w:sz w:val="24"/>
          <w:szCs w:val="24"/>
        </w:rPr>
        <w:t>Page Three</w:t>
      </w:r>
    </w:p>
    <w:p w:rsidR="00A1440A" w:rsidRPr="0048480D" w:rsidRDefault="00A1440A" w:rsidP="008C4E65">
      <w:pPr>
        <w:rPr>
          <w:b/>
          <w:sz w:val="24"/>
          <w:szCs w:val="24"/>
        </w:rPr>
      </w:pPr>
      <w:r w:rsidRPr="0048480D">
        <w:rPr>
          <w:b/>
          <w:sz w:val="24"/>
          <w:szCs w:val="24"/>
        </w:rPr>
        <w:t>Schedule A (A2)</w:t>
      </w:r>
    </w:p>
    <w:p w:rsidR="00A1440A" w:rsidRPr="0048480D" w:rsidRDefault="00A1440A" w:rsidP="00A1440A">
      <w:pPr>
        <w:pStyle w:val="ListParagraph"/>
        <w:rPr>
          <w:sz w:val="24"/>
          <w:szCs w:val="24"/>
        </w:rPr>
      </w:pPr>
    </w:p>
    <w:p w:rsidR="005062C5" w:rsidRDefault="003C7E56" w:rsidP="00A1440A">
      <w:pPr>
        <w:pStyle w:val="ListParagraph"/>
        <w:rPr>
          <w:sz w:val="24"/>
          <w:szCs w:val="24"/>
        </w:rPr>
      </w:pPr>
      <w:r w:rsidRPr="00D037EE">
        <w:rPr>
          <w:sz w:val="24"/>
          <w:szCs w:val="24"/>
        </w:rPr>
        <w:t>Re</w:t>
      </w:r>
      <w:r w:rsidR="00A1440A" w:rsidRPr="00D037EE">
        <w:rPr>
          <w:sz w:val="24"/>
          <w:szCs w:val="24"/>
        </w:rPr>
        <w:t>mov</w:t>
      </w:r>
      <w:r w:rsidRPr="00D037EE">
        <w:rPr>
          <w:sz w:val="24"/>
          <w:szCs w:val="24"/>
        </w:rPr>
        <w:t>ing</w:t>
      </w:r>
      <w:r w:rsidR="00CF7BFD">
        <w:rPr>
          <w:sz w:val="24"/>
          <w:szCs w:val="24"/>
        </w:rPr>
        <w:t xml:space="preserve"> </w:t>
      </w:r>
      <w:bookmarkStart w:id="0" w:name="_GoBack"/>
      <w:bookmarkEnd w:id="0"/>
      <w:r w:rsidR="00D037EE">
        <w:rPr>
          <w:sz w:val="24"/>
          <w:szCs w:val="24"/>
        </w:rPr>
        <w:t xml:space="preserve"> “</w:t>
      </w:r>
      <w:r w:rsidR="00D61BC9" w:rsidRPr="00D037EE">
        <w:rPr>
          <w:sz w:val="24"/>
          <w:szCs w:val="24"/>
        </w:rPr>
        <w:t>Prior to October 1, 2010</w:t>
      </w:r>
      <w:r w:rsidR="00D037EE">
        <w:rPr>
          <w:sz w:val="24"/>
          <w:szCs w:val="24"/>
        </w:rPr>
        <w:t>”</w:t>
      </w:r>
      <w:r w:rsidRPr="00D037EE">
        <w:rPr>
          <w:sz w:val="24"/>
          <w:szCs w:val="24"/>
        </w:rPr>
        <w:t xml:space="preserve"> information</w:t>
      </w:r>
      <w:r w:rsidR="007C63C2" w:rsidRPr="00D037EE">
        <w:rPr>
          <w:sz w:val="24"/>
          <w:szCs w:val="24"/>
        </w:rPr>
        <w:t>.</w:t>
      </w:r>
      <w:r w:rsidRPr="00D037EE">
        <w:rPr>
          <w:sz w:val="24"/>
          <w:szCs w:val="24"/>
        </w:rPr>
        <w:t xml:space="preserve">  Everything else remains the same.</w:t>
      </w:r>
      <w:r w:rsidR="007C63C2" w:rsidRPr="00D037EE">
        <w:rPr>
          <w:sz w:val="24"/>
          <w:szCs w:val="24"/>
        </w:rPr>
        <w:t xml:space="preserve">  </w:t>
      </w:r>
    </w:p>
    <w:p w:rsidR="00D037EE" w:rsidRPr="00D037EE" w:rsidRDefault="00D037EE" w:rsidP="00A1440A">
      <w:pPr>
        <w:pStyle w:val="ListParagraph"/>
        <w:rPr>
          <w:sz w:val="24"/>
          <w:szCs w:val="24"/>
        </w:rPr>
      </w:pPr>
    </w:p>
    <w:p w:rsidR="00A1440A" w:rsidRPr="0048480D" w:rsidRDefault="00A1440A" w:rsidP="00A144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480D">
        <w:rPr>
          <w:sz w:val="24"/>
          <w:szCs w:val="24"/>
        </w:rPr>
        <w:t>Schedule B</w:t>
      </w:r>
    </w:p>
    <w:p w:rsidR="00A1440A" w:rsidRPr="0048480D" w:rsidRDefault="00A1440A" w:rsidP="00A1440A">
      <w:pPr>
        <w:pStyle w:val="ListParagraph"/>
        <w:ind w:left="810"/>
        <w:rPr>
          <w:sz w:val="24"/>
          <w:szCs w:val="24"/>
        </w:rPr>
      </w:pPr>
    </w:p>
    <w:p w:rsidR="00A1440A" w:rsidRPr="00D037EE" w:rsidRDefault="00A1440A" w:rsidP="00A1440A">
      <w:pPr>
        <w:pStyle w:val="ListParagraph"/>
        <w:ind w:left="810"/>
        <w:rPr>
          <w:sz w:val="24"/>
          <w:szCs w:val="24"/>
        </w:rPr>
      </w:pPr>
      <w:r w:rsidRPr="00D037EE">
        <w:rPr>
          <w:sz w:val="24"/>
          <w:szCs w:val="24"/>
        </w:rPr>
        <w:t xml:space="preserve">At the bottom of the Credit Card payment option, it </w:t>
      </w:r>
      <w:r w:rsidR="007034C2" w:rsidRPr="00D037EE">
        <w:rPr>
          <w:sz w:val="24"/>
          <w:szCs w:val="24"/>
        </w:rPr>
        <w:t xml:space="preserve">currently </w:t>
      </w:r>
      <w:r w:rsidRPr="00D037EE">
        <w:rPr>
          <w:sz w:val="24"/>
          <w:szCs w:val="24"/>
        </w:rPr>
        <w:t>gives</w:t>
      </w:r>
      <w:r w:rsidR="007034C2" w:rsidRPr="00D037EE">
        <w:rPr>
          <w:sz w:val="24"/>
          <w:szCs w:val="24"/>
        </w:rPr>
        <w:t xml:space="preserve"> a (703) 330-4555 FAX number.  This would be replaced with</w:t>
      </w:r>
      <w:r w:rsidRPr="00D037EE">
        <w:rPr>
          <w:sz w:val="24"/>
          <w:szCs w:val="24"/>
        </w:rPr>
        <w:t xml:space="preserve"> </w:t>
      </w:r>
      <w:r w:rsidR="007034C2" w:rsidRPr="00D037EE">
        <w:rPr>
          <w:sz w:val="24"/>
          <w:szCs w:val="24"/>
        </w:rPr>
        <w:t xml:space="preserve">X’s </w:t>
      </w:r>
      <w:r w:rsidR="00157867" w:rsidRPr="00D037EE">
        <w:rPr>
          <w:sz w:val="24"/>
          <w:szCs w:val="24"/>
        </w:rPr>
        <w:t>t</w:t>
      </w:r>
      <w:r w:rsidR="007034C2" w:rsidRPr="00D037EE">
        <w:rPr>
          <w:sz w:val="24"/>
          <w:szCs w:val="24"/>
        </w:rPr>
        <w:t>o</w:t>
      </w:r>
      <w:r w:rsidR="00157867" w:rsidRPr="00D037EE">
        <w:rPr>
          <w:sz w:val="24"/>
          <w:szCs w:val="24"/>
        </w:rPr>
        <w:t xml:space="preserve"> allow changing of </w:t>
      </w:r>
      <w:r w:rsidRPr="00D037EE">
        <w:rPr>
          <w:sz w:val="24"/>
          <w:szCs w:val="24"/>
        </w:rPr>
        <w:t xml:space="preserve">the </w:t>
      </w:r>
      <w:r w:rsidR="007034C2" w:rsidRPr="00D037EE">
        <w:rPr>
          <w:sz w:val="24"/>
          <w:szCs w:val="24"/>
        </w:rPr>
        <w:t xml:space="preserve">FAX number to match the corresponding Field Office to </w:t>
      </w:r>
      <w:r w:rsidRPr="00D037EE">
        <w:rPr>
          <w:sz w:val="24"/>
          <w:szCs w:val="24"/>
        </w:rPr>
        <w:t>FA</w:t>
      </w:r>
      <w:r w:rsidR="007034C2" w:rsidRPr="00D037EE">
        <w:rPr>
          <w:sz w:val="24"/>
          <w:szCs w:val="24"/>
        </w:rPr>
        <w:t xml:space="preserve">X the license application. </w:t>
      </w:r>
    </w:p>
    <w:p w:rsidR="00A1440A" w:rsidRPr="0048480D" w:rsidRDefault="00A1440A" w:rsidP="00A1440A">
      <w:pPr>
        <w:pStyle w:val="ListParagraph"/>
        <w:ind w:left="810"/>
        <w:rPr>
          <w:sz w:val="24"/>
          <w:szCs w:val="24"/>
        </w:rPr>
      </w:pPr>
    </w:p>
    <w:p w:rsidR="00A1440A" w:rsidRPr="0048480D" w:rsidRDefault="00A1440A" w:rsidP="00A1440A">
      <w:pPr>
        <w:pStyle w:val="ListParagraph"/>
        <w:ind w:left="810"/>
        <w:rPr>
          <w:sz w:val="24"/>
          <w:szCs w:val="24"/>
        </w:rPr>
      </w:pPr>
      <w:r w:rsidRPr="0048480D">
        <w:rPr>
          <w:b/>
          <w:sz w:val="24"/>
          <w:szCs w:val="24"/>
          <w:u w:val="single"/>
        </w:rPr>
        <w:t>Western Regional Office Fax</w:t>
      </w:r>
      <w:r w:rsidRPr="0048480D">
        <w:rPr>
          <w:sz w:val="24"/>
          <w:szCs w:val="24"/>
        </w:rPr>
        <w:t>: 520-670-4798</w:t>
      </w:r>
    </w:p>
    <w:p w:rsidR="00A1440A" w:rsidRPr="0048480D" w:rsidRDefault="00A1440A" w:rsidP="00A1440A">
      <w:pPr>
        <w:pStyle w:val="ListParagraph"/>
        <w:ind w:left="810"/>
        <w:rPr>
          <w:sz w:val="24"/>
          <w:szCs w:val="24"/>
        </w:rPr>
      </w:pPr>
      <w:r w:rsidRPr="0048480D">
        <w:rPr>
          <w:sz w:val="24"/>
          <w:szCs w:val="24"/>
        </w:rPr>
        <w:br/>
      </w:r>
      <w:r w:rsidRPr="0048480D">
        <w:rPr>
          <w:b/>
          <w:sz w:val="24"/>
          <w:szCs w:val="24"/>
          <w:u w:val="single"/>
        </w:rPr>
        <w:t>Central Regional Office Fax</w:t>
      </w:r>
      <w:r w:rsidRPr="0048480D">
        <w:rPr>
          <w:sz w:val="24"/>
          <w:szCs w:val="24"/>
        </w:rPr>
        <w:t>: 817- 978-0786</w:t>
      </w:r>
    </w:p>
    <w:p w:rsidR="00A1440A" w:rsidRPr="0048480D" w:rsidRDefault="00A1440A" w:rsidP="00A1440A">
      <w:pPr>
        <w:pStyle w:val="ListParagraph"/>
        <w:ind w:left="810"/>
        <w:rPr>
          <w:sz w:val="24"/>
          <w:szCs w:val="24"/>
        </w:rPr>
      </w:pPr>
      <w:r w:rsidRPr="0048480D">
        <w:rPr>
          <w:sz w:val="24"/>
          <w:szCs w:val="24"/>
        </w:rPr>
        <w:br/>
      </w:r>
      <w:r w:rsidRPr="0048480D">
        <w:rPr>
          <w:b/>
          <w:sz w:val="24"/>
          <w:szCs w:val="24"/>
          <w:u w:val="single"/>
        </w:rPr>
        <w:t>Eastern Regional Office Fax</w:t>
      </w:r>
      <w:r w:rsidRPr="0048480D">
        <w:rPr>
          <w:sz w:val="24"/>
          <w:szCs w:val="24"/>
        </w:rPr>
        <w:t>: 540-373-2690</w:t>
      </w:r>
    </w:p>
    <w:p w:rsidR="007034C2" w:rsidRDefault="00A1440A" w:rsidP="00A1440A">
      <w:pPr>
        <w:pStyle w:val="ListParagraph"/>
        <w:ind w:left="810"/>
        <w:rPr>
          <w:sz w:val="24"/>
          <w:szCs w:val="24"/>
        </w:rPr>
      </w:pPr>
      <w:r w:rsidRPr="0048480D">
        <w:rPr>
          <w:sz w:val="24"/>
          <w:szCs w:val="24"/>
        </w:rPr>
        <w:br/>
      </w:r>
      <w:r w:rsidRPr="0048480D">
        <w:rPr>
          <w:b/>
          <w:sz w:val="24"/>
          <w:szCs w:val="24"/>
          <w:u w:val="single"/>
        </w:rPr>
        <w:t>Washington DC Fax</w:t>
      </w:r>
      <w:r w:rsidRPr="0048480D">
        <w:rPr>
          <w:sz w:val="24"/>
          <w:szCs w:val="24"/>
        </w:rPr>
        <w:t xml:space="preserve">: 202-260-8575 (We are currently using this </w:t>
      </w:r>
      <w:r w:rsidR="00813197">
        <w:rPr>
          <w:sz w:val="24"/>
          <w:szCs w:val="24"/>
        </w:rPr>
        <w:t>number.</w:t>
      </w:r>
      <w:r w:rsidRPr="0048480D">
        <w:rPr>
          <w:sz w:val="24"/>
          <w:szCs w:val="24"/>
        </w:rPr>
        <w:t xml:space="preserve"> I included it to show how many copies/ver</w:t>
      </w:r>
      <w:r w:rsidR="00813197">
        <w:rPr>
          <w:sz w:val="24"/>
          <w:szCs w:val="24"/>
        </w:rPr>
        <w:t>s</w:t>
      </w:r>
      <w:r w:rsidRPr="0048480D">
        <w:rPr>
          <w:sz w:val="24"/>
          <w:szCs w:val="24"/>
        </w:rPr>
        <w:t xml:space="preserve">ions of the application we will have after revisions). </w:t>
      </w:r>
    </w:p>
    <w:p w:rsidR="007034C2" w:rsidRDefault="007034C2" w:rsidP="00A1440A">
      <w:pPr>
        <w:pStyle w:val="ListParagraph"/>
        <w:ind w:left="810"/>
        <w:rPr>
          <w:sz w:val="24"/>
          <w:szCs w:val="24"/>
        </w:rPr>
      </w:pPr>
    </w:p>
    <w:p w:rsidR="005062C5" w:rsidRPr="0048480D" w:rsidRDefault="00A1440A" w:rsidP="00A1440A">
      <w:pPr>
        <w:pStyle w:val="ListParagraph"/>
        <w:ind w:left="810"/>
        <w:rPr>
          <w:sz w:val="24"/>
          <w:szCs w:val="24"/>
        </w:rPr>
      </w:pPr>
      <w:r w:rsidRPr="0048480D">
        <w:rPr>
          <w:sz w:val="24"/>
          <w:szCs w:val="24"/>
        </w:rPr>
        <w:t xml:space="preserve">The email: we would like to remove this option for it will cause confusion amongst the offices when trying to locate the party responsible for the prospect. </w:t>
      </w:r>
      <w:r w:rsidRPr="0048480D">
        <w:rPr>
          <w:sz w:val="24"/>
          <w:szCs w:val="24"/>
        </w:rPr>
        <w:br/>
      </w:r>
    </w:p>
    <w:p w:rsidR="00157867" w:rsidRDefault="00A1440A" w:rsidP="00A1440A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48480D">
        <w:rPr>
          <w:color w:val="000000"/>
          <w:sz w:val="24"/>
          <w:szCs w:val="24"/>
        </w:rPr>
        <w:br/>
      </w:r>
      <w:r w:rsidRPr="00D037EE">
        <w:rPr>
          <w:sz w:val="24"/>
          <w:szCs w:val="24"/>
        </w:rPr>
        <w:t xml:space="preserve">Still staying in the Schedule B under Certification Statement, the </w:t>
      </w:r>
      <w:r w:rsidR="00157867" w:rsidRPr="00D037EE">
        <w:rPr>
          <w:sz w:val="24"/>
          <w:szCs w:val="24"/>
        </w:rPr>
        <w:t xml:space="preserve">current </w:t>
      </w:r>
      <w:r w:rsidRPr="00D037EE">
        <w:rPr>
          <w:sz w:val="24"/>
          <w:szCs w:val="24"/>
        </w:rPr>
        <w:t xml:space="preserve">return address at the bottom </w:t>
      </w:r>
      <w:r w:rsidR="00157867" w:rsidRPr="00D037EE">
        <w:rPr>
          <w:sz w:val="24"/>
          <w:szCs w:val="24"/>
        </w:rPr>
        <w:t>w</w:t>
      </w:r>
      <w:r w:rsidRPr="00D037EE">
        <w:rPr>
          <w:sz w:val="24"/>
          <w:szCs w:val="24"/>
        </w:rPr>
        <w:t>ould</w:t>
      </w:r>
      <w:r w:rsidR="00157867" w:rsidRPr="00D037EE">
        <w:rPr>
          <w:sz w:val="24"/>
          <w:szCs w:val="24"/>
        </w:rPr>
        <w:t xml:space="preserve"> be replaced with X’s to allow insertion of </w:t>
      </w:r>
      <w:r w:rsidRPr="00D037EE">
        <w:rPr>
          <w:sz w:val="24"/>
          <w:szCs w:val="24"/>
        </w:rPr>
        <w:t>the corresponding Field Office</w:t>
      </w:r>
      <w:r w:rsidR="00157867" w:rsidRPr="00D037EE">
        <w:rPr>
          <w:sz w:val="24"/>
          <w:szCs w:val="24"/>
        </w:rPr>
        <w:t xml:space="preserve"> address</w:t>
      </w:r>
      <w:r w:rsidRPr="0048480D">
        <w:rPr>
          <w:color w:val="000000"/>
          <w:sz w:val="24"/>
          <w:szCs w:val="24"/>
        </w:rPr>
        <w:t>.</w:t>
      </w:r>
      <w:r w:rsidRPr="0048480D">
        <w:rPr>
          <w:color w:val="000000"/>
          <w:sz w:val="24"/>
          <w:szCs w:val="24"/>
        </w:rPr>
        <w:br/>
      </w:r>
    </w:p>
    <w:p w:rsidR="00A1440A" w:rsidRPr="0048480D" w:rsidRDefault="00A1440A" w:rsidP="00157867">
      <w:pPr>
        <w:pStyle w:val="ListParagraph"/>
        <w:ind w:left="900"/>
        <w:rPr>
          <w:color w:val="000000"/>
          <w:sz w:val="24"/>
          <w:szCs w:val="24"/>
        </w:rPr>
      </w:pPr>
      <w:r w:rsidRPr="0048480D">
        <w:rPr>
          <w:color w:val="000000"/>
          <w:sz w:val="24"/>
          <w:szCs w:val="24"/>
        </w:rPr>
        <w:t xml:space="preserve">Western Regional Office: </w:t>
      </w:r>
      <w:r w:rsidRPr="0048480D">
        <w:rPr>
          <w:color w:val="000000"/>
          <w:sz w:val="24"/>
          <w:szCs w:val="24"/>
        </w:rPr>
        <w:br/>
      </w:r>
      <w:r w:rsidRPr="0048480D">
        <w:rPr>
          <w:rFonts w:eastAsia="Times New Roman" w:cs="Times New Roman"/>
          <w:color w:val="000000"/>
          <w:sz w:val="24"/>
          <w:szCs w:val="24"/>
        </w:rPr>
        <w:t>U.S. Department of Agriculture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AMS, Fruit and Vegetable Programs, PACA Division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Tucson Federal Building, Room 7 T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300 West Congress Street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Tucson, AZ 85701-1319</w:t>
      </w:r>
    </w:p>
    <w:p w:rsidR="00F85BBB" w:rsidRPr="0048480D" w:rsidRDefault="00A1440A" w:rsidP="0048480D">
      <w:pPr>
        <w:pStyle w:val="ListParagraph"/>
        <w:ind w:left="810"/>
        <w:rPr>
          <w:sz w:val="24"/>
          <w:szCs w:val="24"/>
        </w:rPr>
      </w:pPr>
      <w:r w:rsidRPr="0048480D">
        <w:rPr>
          <w:color w:val="000000"/>
          <w:sz w:val="24"/>
          <w:szCs w:val="24"/>
        </w:rPr>
        <w:lastRenderedPageBreak/>
        <w:t>Central Regional Office:</w:t>
      </w:r>
      <w:r w:rsidRPr="0048480D">
        <w:rPr>
          <w:color w:val="000000"/>
          <w:sz w:val="24"/>
          <w:szCs w:val="24"/>
        </w:rPr>
        <w:br/>
      </w:r>
      <w:r w:rsidRPr="0048480D">
        <w:rPr>
          <w:color w:val="000000"/>
          <w:sz w:val="24"/>
          <w:szCs w:val="24"/>
        </w:rPr>
        <w:br/>
      </w:r>
      <w:r w:rsidRPr="0048480D">
        <w:rPr>
          <w:rFonts w:eastAsia="Times New Roman" w:cs="Times New Roman"/>
          <w:color w:val="000000"/>
          <w:sz w:val="24"/>
          <w:szCs w:val="24"/>
        </w:rPr>
        <w:t>U.S. Department of Agriculture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AMS, Fruit and Vegetable Programs, PACA Division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819 Taylor Street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Suite 8B02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Fort Worth, Texas 76102-9727</w:t>
      </w:r>
      <w:r w:rsidRPr="0048480D">
        <w:rPr>
          <w:rFonts w:eastAsia="Times New Roman" w:cs="Times New Roman"/>
          <w:color w:val="000000"/>
          <w:sz w:val="24"/>
          <w:szCs w:val="24"/>
        </w:rPr>
        <w:br/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Eastern Regional Office:</w:t>
      </w:r>
      <w:r w:rsidRPr="0048480D">
        <w:rPr>
          <w:rFonts w:eastAsia="Times New Roman" w:cs="Times New Roman"/>
          <w:color w:val="000000"/>
          <w:sz w:val="24"/>
          <w:szCs w:val="24"/>
        </w:rPr>
        <w:br/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U.S. Department of Agriculture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AMS, Fruit and Vegetable Programs, PACA Division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100 Riverside Parkway, Suite 101</w:t>
      </w:r>
      <w:r w:rsidRPr="0048480D">
        <w:rPr>
          <w:rFonts w:eastAsia="Times New Roman" w:cs="Times New Roman"/>
          <w:color w:val="000000"/>
          <w:sz w:val="24"/>
          <w:szCs w:val="24"/>
        </w:rPr>
        <w:br/>
        <w:t>Fredericksburg, VA 22406</w:t>
      </w:r>
      <w:r w:rsidRPr="0048480D">
        <w:rPr>
          <w:rFonts w:eastAsia="Times New Roman" w:cs="Times New Roman"/>
          <w:color w:val="000000"/>
          <w:sz w:val="24"/>
          <w:szCs w:val="24"/>
        </w:rPr>
        <w:br/>
      </w:r>
      <w:r w:rsidRPr="0048480D">
        <w:rPr>
          <w:rFonts w:eastAsia="Times New Roman" w:cs="Times New Roman"/>
          <w:color w:val="000000"/>
          <w:sz w:val="24"/>
          <w:szCs w:val="24"/>
        </w:rPr>
        <w:br/>
      </w:r>
      <w:r w:rsidR="00614345" w:rsidRPr="0048480D">
        <w:rPr>
          <w:sz w:val="24"/>
          <w:szCs w:val="24"/>
        </w:rPr>
        <w:t xml:space="preserve">The burden for this form </w:t>
      </w:r>
      <w:r w:rsidR="00F85BBB" w:rsidRPr="0048480D">
        <w:rPr>
          <w:sz w:val="24"/>
          <w:szCs w:val="24"/>
        </w:rPr>
        <w:t>will not be a</w:t>
      </w:r>
      <w:r w:rsidR="00614345" w:rsidRPr="0048480D">
        <w:rPr>
          <w:sz w:val="24"/>
          <w:szCs w:val="24"/>
        </w:rPr>
        <w:t>ffect</w:t>
      </w:r>
      <w:r w:rsidR="00F85BBB" w:rsidRPr="0048480D">
        <w:rPr>
          <w:sz w:val="24"/>
          <w:szCs w:val="24"/>
        </w:rPr>
        <w:t>ed</w:t>
      </w:r>
      <w:r w:rsidR="00614345" w:rsidRPr="0048480D">
        <w:rPr>
          <w:sz w:val="24"/>
          <w:szCs w:val="24"/>
        </w:rPr>
        <w:t xml:space="preserve"> with this justification for change request.</w:t>
      </w:r>
    </w:p>
    <w:p w:rsidR="005062C5" w:rsidRPr="0048480D" w:rsidRDefault="00F85BBB" w:rsidP="00A1440A">
      <w:pPr>
        <w:rPr>
          <w:sz w:val="24"/>
          <w:szCs w:val="24"/>
        </w:rPr>
      </w:pPr>
      <w:r w:rsidRPr="0048480D">
        <w:rPr>
          <w:sz w:val="24"/>
          <w:szCs w:val="24"/>
        </w:rPr>
        <w:t xml:space="preserve">  </w:t>
      </w:r>
    </w:p>
    <w:sectPr w:rsidR="005062C5" w:rsidRPr="0048480D" w:rsidSect="00500E7F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55A0D"/>
    <w:multiLevelType w:val="hybridMultilevel"/>
    <w:tmpl w:val="CF8A612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46"/>
    <w:rsid w:val="0006531B"/>
    <w:rsid w:val="000E0928"/>
    <w:rsid w:val="00157867"/>
    <w:rsid w:val="00187F80"/>
    <w:rsid w:val="00257352"/>
    <w:rsid w:val="002A2D5F"/>
    <w:rsid w:val="00334ECE"/>
    <w:rsid w:val="00382E3C"/>
    <w:rsid w:val="003C7E56"/>
    <w:rsid w:val="00401F4D"/>
    <w:rsid w:val="0048480D"/>
    <w:rsid w:val="004C3F8B"/>
    <w:rsid w:val="00500E7F"/>
    <w:rsid w:val="005062C5"/>
    <w:rsid w:val="00590C8D"/>
    <w:rsid w:val="00606E4E"/>
    <w:rsid w:val="00614345"/>
    <w:rsid w:val="006563F0"/>
    <w:rsid w:val="007034C2"/>
    <w:rsid w:val="007C63C2"/>
    <w:rsid w:val="00803719"/>
    <w:rsid w:val="00813197"/>
    <w:rsid w:val="00842D6B"/>
    <w:rsid w:val="008B4102"/>
    <w:rsid w:val="008C2146"/>
    <w:rsid w:val="008C4E65"/>
    <w:rsid w:val="009A5BE7"/>
    <w:rsid w:val="009B59A0"/>
    <w:rsid w:val="009C2487"/>
    <w:rsid w:val="009F3A22"/>
    <w:rsid w:val="00A1440A"/>
    <w:rsid w:val="00AE56C6"/>
    <w:rsid w:val="00B35482"/>
    <w:rsid w:val="00B77CFB"/>
    <w:rsid w:val="00B918C6"/>
    <w:rsid w:val="00C76E56"/>
    <w:rsid w:val="00CB0E88"/>
    <w:rsid w:val="00CC4543"/>
    <w:rsid w:val="00CF7BFD"/>
    <w:rsid w:val="00D037EE"/>
    <w:rsid w:val="00D61BC9"/>
    <w:rsid w:val="00D91012"/>
    <w:rsid w:val="00F22911"/>
    <w:rsid w:val="00F83DC0"/>
    <w:rsid w:val="00F85BBB"/>
    <w:rsid w:val="00FA7D35"/>
    <w:rsid w:val="00FC4446"/>
    <w:rsid w:val="00FE61F2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C8D"/>
    <w:pPr>
      <w:ind w:left="720"/>
      <w:contextualSpacing/>
    </w:pPr>
  </w:style>
  <w:style w:type="character" w:styleId="Hyperlink">
    <w:name w:val="Hyperlink"/>
    <w:rsid w:val="00AE56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56C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C8D"/>
    <w:pPr>
      <w:ind w:left="720"/>
      <w:contextualSpacing/>
    </w:pPr>
  </w:style>
  <w:style w:type="character" w:styleId="Hyperlink">
    <w:name w:val="Hyperlink"/>
    <w:rsid w:val="00AE56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56C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Glasshoff, Roger - AMS</dc:creator>
  <cp:lastModifiedBy>USDA</cp:lastModifiedBy>
  <cp:revision>3</cp:revision>
  <cp:lastPrinted>2015-07-24T13:46:00Z</cp:lastPrinted>
  <dcterms:created xsi:type="dcterms:W3CDTF">2015-09-03T15:13:00Z</dcterms:created>
  <dcterms:modified xsi:type="dcterms:W3CDTF">2015-09-03T15:14:00Z</dcterms:modified>
</cp:coreProperties>
</file>