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011958">
        <w:rPr>
          <w:rFonts w:ascii="Times New Roman" w:hAnsi="Times New Roman"/>
          <w:b/>
          <w:szCs w:val="24"/>
          <w:lang w:val="es-US"/>
        </w:rPr>
        <w:t>NEW</w:t>
      </w:r>
      <w:r w:rsidR="00B335C9" w:rsidRPr="00BD1DD0">
        <w:rPr>
          <w:rFonts w:ascii="Times New Roman" w:hAnsi="Times New Roman"/>
          <w:b/>
          <w:szCs w:val="24"/>
          <w:lang w:val="es-US"/>
        </w:rPr>
        <w:t xml:space="preserve">:  </w:t>
      </w:r>
    </w:p>
    <w:p w:rsidR="00307505" w:rsidRDefault="00307505" w:rsidP="00447C1E">
      <w:pPr>
        <w:tabs>
          <w:tab w:val="right" w:pos="9360"/>
        </w:tabs>
        <w:spacing w:line="480" w:lineRule="auto"/>
        <w:jc w:val="center"/>
        <w:rPr>
          <w:rFonts w:ascii="Times New Roman" w:hAnsi="Times New Roman"/>
          <w:b/>
          <w:szCs w:val="24"/>
          <w:lang w:val="es-US"/>
        </w:rPr>
      </w:pPr>
    </w:p>
    <w:p w:rsidR="00B335C9" w:rsidRDefault="00011958" w:rsidP="00447C1E">
      <w:pPr>
        <w:tabs>
          <w:tab w:val="right" w:pos="9360"/>
        </w:tabs>
        <w:spacing w:line="480" w:lineRule="auto"/>
        <w:jc w:val="center"/>
        <w:rPr>
          <w:rFonts w:ascii="Times New Roman" w:hAnsi="Times New Roman"/>
          <w:b/>
          <w:szCs w:val="24"/>
        </w:rPr>
      </w:pPr>
      <w:r w:rsidRPr="00011958">
        <w:rPr>
          <w:rFonts w:ascii="Times New Roman" w:hAnsi="Times New Roman"/>
          <w:b/>
          <w:szCs w:val="24"/>
        </w:rPr>
        <w:t>S</w:t>
      </w:r>
      <w:r w:rsidR="00307505">
        <w:rPr>
          <w:rFonts w:ascii="Times New Roman" w:hAnsi="Times New Roman"/>
          <w:b/>
          <w:szCs w:val="24"/>
        </w:rPr>
        <w:t xml:space="preserve">upplemental </w:t>
      </w:r>
      <w:r w:rsidRPr="00011958">
        <w:rPr>
          <w:rFonts w:ascii="Times New Roman" w:hAnsi="Times New Roman"/>
          <w:b/>
          <w:szCs w:val="24"/>
        </w:rPr>
        <w:t>N</w:t>
      </w:r>
      <w:r w:rsidR="00307505">
        <w:rPr>
          <w:rFonts w:ascii="Times New Roman" w:hAnsi="Times New Roman"/>
          <w:b/>
          <w:szCs w:val="24"/>
        </w:rPr>
        <w:t xml:space="preserve">utrition </w:t>
      </w:r>
      <w:r w:rsidRPr="00011958">
        <w:rPr>
          <w:rFonts w:ascii="Times New Roman" w:hAnsi="Times New Roman"/>
          <w:b/>
          <w:szCs w:val="24"/>
        </w:rPr>
        <w:t>A</w:t>
      </w:r>
      <w:r w:rsidR="00307505">
        <w:rPr>
          <w:rFonts w:ascii="Times New Roman" w:hAnsi="Times New Roman"/>
          <w:b/>
          <w:szCs w:val="24"/>
        </w:rPr>
        <w:t xml:space="preserve">ssistance </w:t>
      </w:r>
      <w:r w:rsidRPr="00011958">
        <w:rPr>
          <w:rFonts w:ascii="Times New Roman" w:hAnsi="Times New Roman"/>
          <w:b/>
          <w:szCs w:val="24"/>
        </w:rPr>
        <w:t>P</w:t>
      </w:r>
      <w:r w:rsidR="00307505">
        <w:rPr>
          <w:rFonts w:ascii="Times New Roman" w:hAnsi="Times New Roman"/>
          <w:b/>
          <w:szCs w:val="24"/>
        </w:rPr>
        <w:t>rogram</w:t>
      </w:r>
      <w:r w:rsidRPr="00011958">
        <w:rPr>
          <w:rFonts w:ascii="Times New Roman" w:hAnsi="Times New Roman"/>
          <w:b/>
          <w:szCs w:val="24"/>
        </w:rPr>
        <w:t xml:space="preserve"> Requirement for National Directory of New Hires Employment Verification and Annual Program Activity Reporting</w:t>
      </w:r>
    </w:p>
    <w:p w:rsidR="00307505" w:rsidRPr="002568E6" w:rsidRDefault="00307505" w:rsidP="00447C1E">
      <w:pPr>
        <w:tabs>
          <w:tab w:val="right" w:pos="9360"/>
        </w:tabs>
        <w:spacing w:line="480" w:lineRule="auto"/>
        <w:jc w:val="center"/>
        <w:rPr>
          <w:rFonts w:ascii="Times New Roman" w:hAnsi="Times New Roman"/>
          <w:szCs w:val="24"/>
          <w:lang w:val="es-US"/>
        </w:rPr>
      </w:pPr>
    </w:p>
    <w:p w:rsidR="00B335C9" w:rsidRPr="00307505" w:rsidRDefault="009F7E1A" w:rsidP="00B335C9">
      <w:pPr>
        <w:tabs>
          <w:tab w:val="center" w:pos="4680"/>
        </w:tabs>
        <w:suppressAutoHyphens/>
        <w:spacing w:line="480" w:lineRule="auto"/>
        <w:jc w:val="center"/>
        <w:rPr>
          <w:rFonts w:ascii="Times New Roman" w:hAnsi="Times New Roman"/>
          <w:b/>
          <w:szCs w:val="24"/>
        </w:rPr>
      </w:pPr>
      <w:r w:rsidRPr="00307505">
        <w:rPr>
          <w:rFonts w:ascii="Times New Roman" w:hAnsi="Times New Roman"/>
          <w:b/>
          <w:szCs w:val="24"/>
        </w:rPr>
        <w:t>I</w:t>
      </w:r>
      <w:r w:rsidR="00011958" w:rsidRPr="00307505">
        <w:rPr>
          <w:rFonts w:ascii="Times New Roman" w:hAnsi="Times New Roman"/>
          <w:b/>
          <w:szCs w:val="24"/>
        </w:rPr>
        <w:t xml:space="preserve">nterim </w:t>
      </w:r>
      <w:r w:rsidRPr="00307505">
        <w:rPr>
          <w:rFonts w:ascii="Times New Roman" w:hAnsi="Times New Roman"/>
          <w:b/>
          <w:szCs w:val="24"/>
        </w:rPr>
        <w:t>Final</w:t>
      </w:r>
      <w:r w:rsidR="00B335C9" w:rsidRPr="00307505">
        <w:rPr>
          <w:rFonts w:ascii="Times New Roman" w:hAnsi="Times New Roman"/>
          <w:b/>
          <w:szCs w:val="24"/>
        </w:rPr>
        <w:t xml:space="preserve"> Rule:  </w:t>
      </w:r>
      <w:r w:rsidR="00011958" w:rsidRPr="00307505">
        <w:rPr>
          <w:rFonts w:ascii="Times New Roman" w:hAnsi="Times New Roman"/>
          <w:b/>
          <w:szCs w:val="24"/>
        </w:rPr>
        <w:t xml:space="preserve">SNAP Requirement for National Directory of New Hires Employment Verification and Program Activity Reporting </w:t>
      </w:r>
      <w:r w:rsidR="00B335C9" w:rsidRPr="00307505">
        <w:rPr>
          <w:rFonts w:ascii="Times New Roman" w:hAnsi="Times New Roman"/>
          <w:b/>
          <w:szCs w:val="24"/>
        </w:rPr>
        <w:t>(RIN 0584-</w:t>
      </w:r>
      <w:r w:rsidR="00011958" w:rsidRPr="00307505">
        <w:rPr>
          <w:rFonts w:ascii="Times New Roman" w:hAnsi="Times New Roman"/>
          <w:b/>
          <w:szCs w:val="24"/>
        </w:rPr>
        <w:t>AE36</w:t>
      </w:r>
      <w:r w:rsidR="00B335C9" w:rsidRPr="00307505">
        <w:rPr>
          <w:rFonts w:ascii="Times New Roman" w:hAnsi="Times New Roman"/>
          <w:b/>
          <w:szCs w:val="24"/>
        </w:rPr>
        <w:t>)</w:t>
      </w:r>
    </w:p>
    <w:p w:rsidR="00B335C9" w:rsidRPr="002568E6" w:rsidRDefault="00B335C9" w:rsidP="00447C1E">
      <w:pPr>
        <w:tabs>
          <w:tab w:val="right" w:pos="9360"/>
        </w:tabs>
        <w:spacing w:line="480" w:lineRule="auto"/>
        <w:jc w:val="center"/>
        <w:rPr>
          <w:rFonts w:ascii="Times New Roman" w:hAnsi="Times New Roman"/>
          <w:szCs w:val="24"/>
          <w:lang w:val="es-US"/>
        </w:rPr>
      </w:pPr>
    </w:p>
    <w:p w:rsidR="00307505" w:rsidRDefault="00307505" w:rsidP="00447C1E">
      <w:pPr>
        <w:spacing w:line="480" w:lineRule="auto"/>
        <w:jc w:val="center"/>
        <w:rPr>
          <w:rFonts w:ascii="Times New Roman" w:hAnsi="Times New Roman"/>
          <w:szCs w:val="24"/>
          <w:lang w:val="es-US"/>
        </w:rPr>
      </w:pPr>
    </w:p>
    <w:p w:rsidR="00307505" w:rsidRDefault="00307505" w:rsidP="00447C1E">
      <w:pPr>
        <w:spacing w:line="480" w:lineRule="auto"/>
        <w:jc w:val="center"/>
        <w:rPr>
          <w:rFonts w:ascii="Times New Roman" w:hAnsi="Times New Roman"/>
          <w:szCs w:val="24"/>
          <w:lang w:val="es-US"/>
        </w:rPr>
      </w:pPr>
    </w:p>
    <w:p w:rsidR="00307505" w:rsidRDefault="00307505" w:rsidP="00447C1E">
      <w:pPr>
        <w:spacing w:line="480" w:lineRule="auto"/>
        <w:jc w:val="center"/>
        <w:rPr>
          <w:rFonts w:ascii="Times New Roman" w:hAnsi="Times New Roman"/>
          <w:szCs w:val="24"/>
          <w:lang w:val="es-US"/>
        </w:rPr>
      </w:pPr>
    </w:p>
    <w:p w:rsidR="00307505" w:rsidRPr="00307505" w:rsidRDefault="00307505" w:rsidP="00447C1E">
      <w:pPr>
        <w:spacing w:line="480" w:lineRule="auto"/>
        <w:jc w:val="center"/>
        <w:rPr>
          <w:rFonts w:ascii="Times New Roman" w:hAnsi="Times New Roman"/>
          <w:b/>
          <w:szCs w:val="24"/>
          <w:lang w:val="es-US"/>
        </w:rPr>
      </w:pPr>
    </w:p>
    <w:p w:rsidR="00447C1E" w:rsidRPr="00307505" w:rsidRDefault="00307505" w:rsidP="00447C1E">
      <w:pPr>
        <w:spacing w:line="480" w:lineRule="auto"/>
        <w:jc w:val="center"/>
        <w:rPr>
          <w:rFonts w:ascii="Times New Roman" w:hAnsi="Times New Roman"/>
          <w:b/>
          <w:szCs w:val="24"/>
          <w:lang w:val="es-US"/>
        </w:rPr>
      </w:pPr>
      <w:r w:rsidRPr="00307505">
        <w:rPr>
          <w:rFonts w:ascii="Times New Roman" w:hAnsi="Times New Roman"/>
          <w:b/>
          <w:szCs w:val="24"/>
          <w:lang w:val="es-US"/>
        </w:rPr>
        <w:t>Kelly Stewart</w:t>
      </w:r>
    </w:p>
    <w:p w:rsidR="00447C1E" w:rsidRPr="00307505" w:rsidRDefault="00307505" w:rsidP="00447C1E">
      <w:pPr>
        <w:spacing w:line="480" w:lineRule="auto"/>
        <w:jc w:val="center"/>
        <w:rPr>
          <w:rFonts w:ascii="Times New Roman" w:hAnsi="Times New Roman"/>
          <w:b/>
          <w:szCs w:val="24"/>
        </w:rPr>
      </w:pPr>
      <w:r w:rsidRPr="00307505">
        <w:rPr>
          <w:rFonts w:ascii="Times New Roman" w:hAnsi="Times New Roman"/>
          <w:b/>
          <w:szCs w:val="24"/>
        </w:rPr>
        <w:t>Program Analyst</w:t>
      </w:r>
    </w:p>
    <w:p w:rsidR="00447C1E" w:rsidRPr="00307505" w:rsidRDefault="00307505" w:rsidP="00447C1E">
      <w:pPr>
        <w:tabs>
          <w:tab w:val="left" w:pos="-720"/>
        </w:tabs>
        <w:suppressAutoHyphens/>
        <w:spacing w:line="480" w:lineRule="auto"/>
        <w:jc w:val="center"/>
        <w:rPr>
          <w:rFonts w:ascii="Times New Roman" w:hAnsi="Times New Roman"/>
          <w:b/>
          <w:szCs w:val="24"/>
        </w:rPr>
      </w:pPr>
      <w:r w:rsidRPr="00307505">
        <w:rPr>
          <w:rFonts w:ascii="Times New Roman" w:hAnsi="Times New Roman"/>
          <w:b/>
          <w:szCs w:val="24"/>
        </w:rPr>
        <w:t>Supplemental Nutrition Assistance Program</w:t>
      </w:r>
    </w:p>
    <w:p w:rsidR="00447C1E" w:rsidRPr="00307505" w:rsidRDefault="00307505" w:rsidP="00447C1E">
      <w:pPr>
        <w:spacing w:line="480" w:lineRule="auto"/>
        <w:jc w:val="center"/>
        <w:rPr>
          <w:rFonts w:ascii="Times New Roman" w:hAnsi="Times New Roman"/>
          <w:b/>
          <w:szCs w:val="24"/>
        </w:rPr>
      </w:pPr>
      <w:r w:rsidRPr="00307505">
        <w:rPr>
          <w:rFonts w:ascii="Times New Roman" w:hAnsi="Times New Roman"/>
          <w:b/>
          <w:szCs w:val="24"/>
        </w:rPr>
        <w:t xml:space="preserve">7 CFR </w:t>
      </w:r>
      <w:proofErr w:type="gramStart"/>
      <w:r w:rsidRPr="00307505">
        <w:rPr>
          <w:rFonts w:ascii="Times New Roman" w:hAnsi="Times New Roman"/>
          <w:b/>
          <w:szCs w:val="24"/>
        </w:rPr>
        <w:t>Part</w:t>
      </w:r>
      <w:proofErr w:type="gramEnd"/>
      <w:r w:rsidR="00447C1E" w:rsidRPr="00307505">
        <w:rPr>
          <w:rFonts w:ascii="Times New Roman" w:hAnsi="Times New Roman"/>
          <w:b/>
          <w:szCs w:val="24"/>
        </w:rPr>
        <w:t xml:space="preserve"> </w:t>
      </w:r>
      <w:r w:rsidRPr="00307505">
        <w:rPr>
          <w:rFonts w:ascii="Times New Roman" w:hAnsi="Times New Roman"/>
          <w:b/>
          <w:szCs w:val="24"/>
        </w:rPr>
        <w:t>272</w:t>
      </w:r>
    </w:p>
    <w:p w:rsidR="00447C1E" w:rsidRPr="00307505" w:rsidRDefault="009F7E1A" w:rsidP="00447C1E">
      <w:pPr>
        <w:spacing w:line="480" w:lineRule="auto"/>
        <w:jc w:val="center"/>
        <w:rPr>
          <w:rFonts w:ascii="Times New Roman" w:hAnsi="Times New Roman"/>
          <w:b/>
          <w:szCs w:val="24"/>
        </w:rPr>
      </w:pPr>
      <w:r w:rsidRPr="00307505">
        <w:rPr>
          <w:rFonts w:ascii="Times New Roman" w:hAnsi="Times New Roman"/>
          <w:b/>
          <w:szCs w:val="24"/>
        </w:rPr>
        <w:t xml:space="preserve">USDA, </w:t>
      </w:r>
      <w:r w:rsidR="00447C1E" w:rsidRPr="00307505">
        <w:rPr>
          <w:rFonts w:ascii="Times New Roman" w:hAnsi="Times New Roman"/>
          <w:b/>
          <w:szCs w:val="24"/>
        </w:rPr>
        <w:t>Food and Nutrition Service</w:t>
      </w:r>
    </w:p>
    <w:p w:rsidR="00447C1E" w:rsidRPr="00307505" w:rsidRDefault="009F7E1A" w:rsidP="00447C1E">
      <w:pPr>
        <w:spacing w:line="480" w:lineRule="auto"/>
        <w:jc w:val="center"/>
        <w:rPr>
          <w:rFonts w:ascii="Times New Roman" w:hAnsi="Times New Roman"/>
          <w:b/>
          <w:szCs w:val="24"/>
        </w:rPr>
      </w:pPr>
      <w:r w:rsidRPr="00307505">
        <w:rPr>
          <w:rFonts w:ascii="Times New Roman" w:hAnsi="Times New Roman"/>
          <w:b/>
          <w:szCs w:val="24"/>
        </w:rPr>
        <w:t>3101 Park Center Drive</w:t>
      </w:r>
    </w:p>
    <w:p w:rsidR="00447C1E" w:rsidRPr="00307505" w:rsidRDefault="00447C1E" w:rsidP="00447C1E">
      <w:pPr>
        <w:spacing w:line="480" w:lineRule="auto"/>
        <w:jc w:val="center"/>
        <w:rPr>
          <w:rFonts w:ascii="Times New Roman" w:hAnsi="Times New Roman"/>
          <w:b/>
          <w:szCs w:val="24"/>
        </w:rPr>
      </w:pPr>
      <w:r w:rsidRPr="00307505">
        <w:rPr>
          <w:rFonts w:ascii="Times New Roman" w:hAnsi="Times New Roman"/>
          <w:b/>
          <w:szCs w:val="24"/>
        </w:rPr>
        <w:t>Alexandria, Virginia 22302</w:t>
      </w:r>
    </w:p>
    <w:p w:rsidR="00447C1E" w:rsidRPr="002568E6" w:rsidRDefault="00447C1E" w:rsidP="00447C1E">
      <w:pPr>
        <w:spacing w:line="480" w:lineRule="auto"/>
        <w:jc w:val="center"/>
        <w:rPr>
          <w:rFonts w:ascii="Times New Roman" w:hAnsi="Times New Roman"/>
          <w:szCs w:val="24"/>
        </w:rPr>
      </w:pPr>
    </w:p>
    <w:p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16550D">
      <w:pPr>
        <w:pStyle w:val="TOC1"/>
        <w:rPr>
          <w:rFonts w:asciiTheme="minorHAnsi" w:eastAsiaTheme="minorEastAsia" w:hAnsiTheme="minorHAnsi" w:cstheme="minorBidi"/>
          <w:b w:val="0"/>
          <w:bCs w:val="0"/>
          <w:caps w:val="0"/>
          <w:sz w:val="22"/>
          <w:szCs w:val="22"/>
        </w:rPr>
      </w:pPr>
      <w:r w:rsidRPr="0016550D">
        <w:rPr>
          <w:szCs w:val="24"/>
        </w:rPr>
        <w:fldChar w:fldCharType="begin"/>
      </w:r>
      <w:r w:rsidR="00905A5F">
        <w:rPr>
          <w:szCs w:val="24"/>
        </w:rPr>
        <w:instrText xml:space="preserve"> TOC \o "1-2" \h \z \u </w:instrText>
      </w:r>
      <w:r w:rsidRPr="0016550D">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Pr>
            <w:webHidden/>
          </w:rPr>
          <w:fldChar w:fldCharType="begin"/>
        </w:r>
        <w:r w:rsidR="00BD1DD0">
          <w:rPr>
            <w:webHidden/>
          </w:rPr>
          <w:instrText xml:space="preserve"> PAGEREF _Toc401832401 \h </w:instrText>
        </w:r>
        <w:r>
          <w:rPr>
            <w:webHidden/>
          </w:rPr>
        </w:r>
        <w:r>
          <w:rPr>
            <w:webHidden/>
          </w:rPr>
          <w:fldChar w:fldCharType="separate"/>
        </w:r>
        <w:r w:rsidR="00F5252E">
          <w:rPr>
            <w:webHidden/>
          </w:rPr>
          <w:t>3</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Pr>
            <w:webHidden/>
          </w:rPr>
          <w:fldChar w:fldCharType="begin"/>
        </w:r>
        <w:r w:rsidR="00BD1DD0">
          <w:rPr>
            <w:webHidden/>
          </w:rPr>
          <w:instrText xml:space="preserve"> PAGEREF _Toc401832402 \h </w:instrText>
        </w:r>
        <w:r>
          <w:rPr>
            <w:webHidden/>
          </w:rPr>
        </w:r>
        <w:r>
          <w:rPr>
            <w:webHidden/>
          </w:rPr>
          <w:fldChar w:fldCharType="separate"/>
        </w:r>
        <w:r w:rsidR="00F5252E">
          <w:rPr>
            <w:webHidden/>
          </w:rPr>
          <w:t>6</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Pr>
            <w:webHidden/>
          </w:rPr>
          <w:fldChar w:fldCharType="begin"/>
        </w:r>
        <w:r w:rsidR="00BD1DD0">
          <w:rPr>
            <w:webHidden/>
          </w:rPr>
          <w:instrText xml:space="preserve"> PAGEREF _Toc401832403 \h </w:instrText>
        </w:r>
        <w:r>
          <w:rPr>
            <w:webHidden/>
          </w:rPr>
        </w:r>
        <w:r>
          <w:rPr>
            <w:webHidden/>
          </w:rPr>
          <w:fldChar w:fldCharType="separate"/>
        </w:r>
        <w:r w:rsidR="00F5252E">
          <w:rPr>
            <w:webHidden/>
          </w:rPr>
          <w:t>7</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Pr>
            <w:webHidden/>
          </w:rPr>
          <w:fldChar w:fldCharType="begin"/>
        </w:r>
        <w:r w:rsidR="00BD1DD0">
          <w:rPr>
            <w:webHidden/>
          </w:rPr>
          <w:instrText xml:space="preserve"> PAGEREF _Toc401832404 \h </w:instrText>
        </w:r>
        <w:r>
          <w:rPr>
            <w:webHidden/>
          </w:rPr>
        </w:r>
        <w:r>
          <w:rPr>
            <w:webHidden/>
          </w:rPr>
          <w:fldChar w:fldCharType="separate"/>
        </w:r>
        <w:r w:rsidR="00F5252E">
          <w:rPr>
            <w:webHidden/>
          </w:rPr>
          <w:t>7</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Pr>
            <w:webHidden/>
          </w:rPr>
          <w:fldChar w:fldCharType="begin"/>
        </w:r>
        <w:r w:rsidR="00BD1DD0">
          <w:rPr>
            <w:webHidden/>
          </w:rPr>
          <w:instrText xml:space="preserve"> PAGEREF _Toc401832405 \h </w:instrText>
        </w:r>
        <w:r>
          <w:rPr>
            <w:webHidden/>
          </w:rPr>
        </w:r>
        <w:r>
          <w:rPr>
            <w:webHidden/>
          </w:rPr>
          <w:fldChar w:fldCharType="separate"/>
        </w:r>
        <w:r w:rsidR="00F5252E">
          <w:rPr>
            <w:webHidden/>
          </w:rPr>
          <w:t>8</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Pr>
            <w:webHidden/>
          </w:rPr>
          <w:fldChar w:fldCharType="begin"/>
        </w:r>
        <w:r w:rsidR="00BD1DD0">
          <w:rPr>
            <w:webHidden/>
          </w:rPr>
          <w:instrText xml:space="preserve"> PAGEREF _Toc401832406 \h </w:instrText>
        </w:r>
        <w:r>
          <w:rPr>
            <w:webHidden/>
          </w:rPr>
        </w:r>
        <w:r>
          <w:rPr>
            <w:webHidden/>
          </w:rPr>
          <w:fldChar w:fldCharType="separate"/>
        </w:r>
        <w:r w:rsidR="00F5252E">
          <w:rPr>
            <w:webHidden/>
          </w:rPr>
          <w:t>8</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Pr>
            <w:webHidden/>
          </w:rPr>
          <w:fldChar w:fldCharType="begin"/>
        </w:r>
        <w:r w:rsidR="00BD1DD0">
          <w:rPr>
            <w:webHidden/>
          </w:rPr>
          <w:instrText xml:space="preserve"> PAGEREF _Toc401832407 \h </w:instrText>
        </w:r>
        <w:r>
          <w:rPr>
            <w:webHidden/>
          </w:rPr>
        </w:r>
        <w:r>
          <w:rPr>
            <w:webHidden/>
          </w:rPr>
          <w:fldChar w:fldCharType="separate"/>
        </w:r>
        <w:r w:rsidR="00F5252E">
          <w:rPr>
            <w:webHidden/>
          </w:rPr>
          <w:t>9</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Pr>
            <w:webHidden/>
          </w:rPr>
          <w:fldChar w:fldCharType="begin"/>
        </w:r>
        <w:r w:rsidR="00BD1DD0">
          <w:rPr>
            <w:webHidden/>
          </w:rPr>
          <w:instrText xml:space="preserve"> PAGEREF _Toc401832408 \h </w:instrText>
        </w:r>
        <w:r>
          <w:rPr>
            <w:webHidden/>
          </w:rPr>
        </w:r>
        <w:r>
          <w:rPr>
            <w:webHidden/>
          </w:rPr>
          <w:fldChar w:fldCharType="separate"/>
        </w:r>
        <w:r w:rsidR="00F5252E">
          <w:rPr>
            <w:webHidden/>
          </w:rPr>
          <w:t>9</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Pr>
            <w:webHidden/>
          </w:rPr>
          <w:fldChar w:fldCharType="begin"/>
        </w:r>
        <w:r w:rsidR="00BD1DD0">
          <w:rPr>
            <w:webHidden/>
          </w:rPr>
          <w:instrText xml:space="preserve"> PAGEREF _Toc401832409 \h </w:instrText>
        </w:r>
        <w:r>
          <w:rPr>
            <w:webHidden/>
          </w:rPr>
        </w:r>
        <w:r>
          <w:rPr>
            <w:webHidden/>
          </w:rPr>
          <w:fldChar w:fldCharType="separate"/>
        </w:r>
        <w:r w:rsidR="00F5252E">
          <w:rPr>
            <w:webHidden/>
          </w:rPr>
          <w:t>11</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Pr>
            <w:webHidden/>
          </w:rPr>
          <w:fldChar w:fldCharType="begin"/>
        </w:r>
        <w:r w:rsidR="00BD1DD0">
          <w:rPr>
            <w:webHidden/>
          </w:rPr>
          <w:instrText xml:space="preserve"> PAGEREF _Toc401832410 \h </w:instrText>
        </w:r>
        <w:r>
          <w:rPr>
            <w:webHidden/>
          </w:rPr>
        </w:r>
        <w:r>
          <w:rPr>
            <w:webHidden/>
          </w:rPr>
          <w:fldChar w:fldCharType="separate"/>
        </w:r>
        <w:r w:rsidR="00F5252E">
          <w:rPr>
            <w:webHidden/>
          </w:rPr>
          <w:t>11</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Pr>
            <w:webHidden/>
          </w:rPr>
          <w:fldChar w:fldCharType="begin"/>
        </w:r>
        <w:r w:rsidR="00BD1DD0">
          <w:rPr>
            <w:webHidden/>
          </w:rPr>
          <w:instrText xml:space="preserve"> PAGEREF _Toc401832411 \h </w:instrText>
        </w:r>
        <w:r>
          <w:rPr>
            <w:webHidden/>
          </w:rPr>
        </w:r>
        <w:r>
          <w:rPr>
            <w:webHidden/>
          </w:rPr>
          <w:fldChar w:fldCharType="separate"/>
        </w:r>
        <w:r w:rsidR="00F5252E">
          <w:rPr>
            <w:webHidden/>
          </w:rPr>
          <w:t>11</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Pr>
            <w:webHidden/>
          </w:rPr>
          <w:fldChar w:fldCharType="begin"/>
        </w:r>
        <w:r w:rsidR="00BD1DD0">
          <w:rPr>
            <w:webHidden/>
          </w:rPr>
          <w:instrText xml:space="preserve"> PAGEREF _Toc401832412 \h </w:instrText>
        </w:r>
        <w:r>
          <w:rPr>
            <w:webHidden/>
          </w:rPr>
        </w:r>
        <w:r>
          <w:rPr>
            <w:webHidden/>
          </w:rPr>
          <w:fldChar w:fldCharType="separate"/>
        </w:r>
        <w:r w:rsidR="00F5252E">
          <w:rPr>
            <w:webHidden/>
          </w:rPr>
          <w:t>11</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Pr>
            <w:webHidden/>
          </w:rPr>
          <w:fldChar w:fldCharType="begin"/>
        </w:r>
        <w:r w:rsidR="00BD1DD0">
          <w:rPr>
            <w:webHidden/>
          </w:rPr>
          <w:instrText xml:space="preserve"> PAGEREF _Toc401832413 \h </w:instrText>
        </w:r>
        <w:r>
          <w:rPr>
            <w:webHidden/>
          </w:rPr>
        </w:r>
        <w:r>
          <w:rPr>
            <w:webHidden/>
          </w:rPr>
          <w:fldChar w:fldCharType="separate"/>
        </w:r>
        <w:r w:rsidR="00F5252E">
          <w:rPr>
            <w:webHidden/>
          </w:rPr>
          <w:t>16</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Pr>
            <w:webHidden/>
          </w:rPr>
          <w:fldChar w:fldCharType="begin"/>
        </w:r>
        <w:r w:rsidR="00BD1DD0">
          <w:rPr>
            <w:webHidden/>
          </w:rPr>
          <w:instrText xml:space="preserve"> PAGEREF _Toc401832414 \h </w:instrText>
        </w:r>
        <w:r>
          <w:rPr>
            <w:webHidden/>
          </w:rPr>
        </w:r>
        <w:r>
          <w:rPr>
            <w:webHidden/>
          </w:rPr>
          <w:fldChar w:fldCharType="separate"/>
        </w:r>
        <w:r w:rsidR="00F5252E">
          <w:rPr>
            <w:webHidden/>
          </w:rPr>
          <w:t>16</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Pr>
            <w:webHidden/>
          </w:rPr>
          <w:fldChar w:fldCharType="begin"/>
        </w:r>
        <w:r w:rsidR="00BD1DD0">
          <w:rPr>
            <w:webHidden/>
          </w:rPr>
          <w:instrText xml:space="preserve"> PAGEREF _Toc401832415 \h </w:instrText>
        </w:r>
        <w:r>
          <w:rPr>
            <w:webHidden/>
          </w:rPr>
        </w:r>
        <w:r>
          <w:rPr>
            <w:webHidden/>
          </w:rPr>
          <w:fldChar w:fldCharType="separate"/>
        </w:r>
        <w:r w:rsidR="00F5252E">
          <w:rPr>
            <w:webHidden/>
          </w:rPr>
          <w:t>17</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Pr>
            <w:webHidden/>
          </w:rPr>
          <w:fldChar w:fldCharType="begin"/>
        </w:r>
        <w:r w:rsidR="00BD1DD0">
          <w:rPr>
            <w:webHidden/>
          </w:rPr>
          <w:instrText xml:space="preserve"> PAGEREF _Toc401832416 \h </w:instrText>
        </w:r>
        <w:r>
          <w:rPr>
            <w:webHidden/>
          </w:rPr>
        </w:r>
        <w:r>
          <w:rPr>
            <w:webHidden/>
          </w:rPr>
          <w:fldChar w:fldCharType="separate"/>
        </w:r>
        <w:r w:rsidR="00F5252E">
          <w:rPr>
            <w:webHidden/>
          </w:rPr>
          <w:t>17</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Pr>
            <w:webHidden/>
          </w:rPr>
          <w:fldChar w:fldCharType="begin"/>
        </w:r>
        <w:r w:rsidR="00BD1DD0">
          <w:rPr>
            <w:webHidden/>
          </w:rPr>
          <w:instrText xml:space="preserve"> PAGEREF _Toc401832417 \h </w:instrText>
        </w:r>
        <w:r>
          <w:rPr>
            <w:webHidden/>
          </w:rPr>
        </w:r>
        <w:r>
          <w:rPr>
            <w:webHidden/>
          </w:rPr>
          <w:fldChar w:fldCharType="separate"/>
        </w:r>
        <w:r w:rsidR="00F5252E">
          <w:rPr>
            <w:webHidden/>
          </w:rPr>
          <w:t>18</w:t>
        </w:r>
        <w:r>
          <w:rPr>
            <w:webHidden/>
          </w:rPr>
          <w:fldChar w:fldCharType="end"/>
        </w:r>
      </w:hyperlink>
    </w:p>
    <w:p w:rsidR="00BD1DD0" w:rsidRDefault="0016550D">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Pr>
            <w:webHidden/>
          </w:rPr>
          <w:fldChar w:fldCharType="begin"/>
        </w:r>
        <w:r w:rsidR="00BD1DD0">
          <w:rPr>
            <w:webHidden/>
          </w:rPr>
          <w:instrText xml:space="preserve"> PAGEREF _Toc401832418 \h </w:instrText>
        </w:r>
        <w:r>
          <w:rPr>
            <w:webHidden/>
          </w:rPr>
        </w:r>
        <w:r>
          <w:rPr>
            <w:webHidden/>
          </w:rPr>
          <w:fldChar w:fldCharType="separate"/>
        </w:r>
        <w:r w:rsidR="00F5252E">
          <w:rPr>
            <w:webHidden/>
          </w:rPr>
          <w:t>18</w:t>
        </w:r>
        <w:r>
          <w:rPr>
            <w:webHidden/>
          </w:rPr>
          <w:fldChar w:fldCharType="end"/>
        </w:r>
      </w:hyperlink>
    </w:p>
    <w:p w:rsidR="00905A5F" w:rsidRDefault="0016550D"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RDefault="00905A5F" w:rsidP="009F7E1A">
      <w:pPr>
        <w:tabs>
          <w:tab w:val="center" w:pos="4680"/>
        </w:tabs>
        <w:rPr>
          <w:rFonts w:ascii="Times New Roman" w:hAnsi="Times New Roman"/>
          <w:b/>
          <w:szCs w:val="24"/>
          <w:u w:val="single"/>
        </w:rPr>
      </w:pPr>
    </w:p>
    <w:p w:rsidR="00905A5F" w:rsidRDefault="00905A5F" w:rsidP="009F7E1A">
      <w:pPr>
        <w:tabs>
          <w:tab w:val="center" w:pos="4680"/>
        </w:tabs>
        <w:rPr>
          <w:rFonts w:ascii="Times New Roman" w:hAnsi="Times New Roman"/>
          <w:b/>
          <w:szCs w:val="24"/>
          <w:u w:val="single"/>
        </w:rPr>
      </w:pPr>
    </w:p>
    <w:p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2568E6" w:rsidRPr="00C06F36" w:rsidRDefault="00C06F36" w:rsidP="00C06F36">
      <w:pPr>
        <w:pStyle w:val="ListParagraph"/>
        <w:numPr>
          <w:ilvl w:val="0"/>
          <w:numId w:val="22"/>
        </w:numPr>
        <w:tabs>
          <w:tab w:val="center" w:pos="4680"/>
        </w:tabs>
        <w:rPr>
          <w:szCs w:val="24"/>
        </w:rPr>
      </w:pPr>
      <w:r>
        <w:rPr>
          <w:szCs w:val="24"/>
        </w:rPr>
        <w:t>Program Activity Statement</w:t>
      </w:r>
      <w:r w:rsidR="00405F43">
        <w:rPr>
          <w:szCs w:val="24"/>
        </w:rPr>
        <w:t xml:space="preserve"> (FNS 366 B)</w:t>
      </w:r>
    </w:p>
    <w:p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RDefault="005A3F80" w:rsidP="0062567E">
      <w:pPr>
        <w:pStyle w:val="Heading1"/>
        <w:rPr>
          <w:szCs w:val="24"/>
        </w:rPr>
      </w:pPr>
      <w:bookmarkStart w:id="0" w:name="_Toc401831357"/>
      <w:bookmarkStart w:id="1" w:name="_Toc401832401"/>
      <w:r w:rsidRPr="002568E6">
        <w:rPr>
          <w:szCs w:val="24"/>
        </w:rPr>
        <w:lastRenderedPageBreak/>
        <w:t xml:space="preserve">A1. </w:t>
      </w:r>
      <w:proofErr w:type="gramStart"/>
      <w:r w:rsidR="002568E6">
        <w:rPr>
          <w:szCs w:val="24"/>
        </w:rPr>
        <w:t>C</w:t>
      </w:r>
      <w:r w:rsidRPr="002568E6">
        <w:rPr>
          <w:szCs w:val="24"/>
        </w:rPr>
        <w:t>ircumstances that make the collection of information necessary.</w:t>
      </w:r>
      <w:bookmarkEnd w:id="0"/>
      <w:bookmarkEnd w:id="1"/>
      <w:proofErr w:type="gramEnd"/>
    </w:p>
    <w:p w:rsidR="003333DF" w:rsidRPr="002568E6" w:rsidRDefault="003333DF" w:rsidP="003333DF">
      <w:pPr>
        <w:tabs>
          <w:tab w:val="left" w:pos="-720"/>
        </w:tabs>
        <w:suppressAutoHyphens/>
        <w:rPr>
          <w:rFonts w:ascii="Times New Roman" w:hAnsi="Times New Roman"/>
          <w:b/>
          <w:szCs w:val="24"/>
        </w:rPr>
      </w:pPr>
    </w:p>
    <w:p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RDefault="00A308DB" w:rsidP="009F7E1A">
      <w:pPr>
        <w:tabs>
          <w:tab w:val="left" w:pos="-720"/>
        </w:tabs>
        <w:suppressAutoHyphens/>
        <w:rPr>
          <w:rFonts w:ascii="Times New Roman" w:hAnsi="Times New Roman"/>
          <w:szCs w:val="24"/>
        </w:rPr>
      </w:pPr>
    </w:p>
    <w:p w:rsidR="005A3F80" w:rsidRDefault="00077B8A" w:rsidP="009F7E1A">
      <w:pPr>
        <w:tabs>
          <w:tab w:val="left" w:pos="-720"/>
        </w:tabs>
        <w:suppressAutoHyphens/>
        <w:spacing w:line="480" w:lineRule="auto"/>
        <w:rPr>
          <w:rFonts w:ascii="Times New Roman" w:hAnsi="Times New Roman"/>
          <w:szCs w:val="24"/>
        </w:rPr>
      </w:pPr>
      <w:r>
        <w:rPr>
          <w:rFonts w:ascii="Times New Roman" w:hAnsi="Times New Roman"/>
          <w:szCs w:val="24"/>
        </w:rPr>
        <w:t xml:space="preserve">This is a new collection.  This </w:t>
      </w:r>
      <w:r w:rsidRPr="003923A3">
        <w:rPr>
          <w:rFonts w:ascii="Times New Roman" w:hAnsi="Times New Roman"/>
          <w:szCs w:val="24"/>
        </w:rPr>
        <w:t xml:space="preserve">information collection package consists of </w:t>
      </w:r>
      <w:r>
        <w:rPr>
          <w:rFonts w:ascii="Times New Roman" w:hAnsi="Times New Roman"/>
          <w:szCs w:val="24"/>
        </w:rPr>
        <w:t>two</w:t>
      </w:r>
      <w:r w:rsidRPr="003923A3">
        <w:rPr>
          <w:rFonts w:ascii="Times New Roman" w:hAnsi="Times New Roman"/>
          <w:szCs w:val="24"/>
        </w:rPr>
        <w:t xml:space="preserve"> major components</w:t>
      </w:r>
      <w:r>
        <w:rPr>
          <w:rFonts w:ascii="Times New Roman" w:hAnsi="Times New Roman"/>
          <w:szCs w:val="24"/>
        </w:rPr>
        <w:t>: (1) the National Directory of New Hires and (2) the Program Activity Statement.</w:t>
      </w:r>
    </w:p>
    <w:p w:rsidR="00077B8A" w:rsidRDefault="00077B8A" w:rsidP="009F7E1A">
      <w:pPr>
        <w:tabs>
          <w:tab w:val="left" w:pos="-720"/>
        </w:tabs>
        <w:suppressAutoHyphens/>
        <w:spacing w:line="480" w:lineRule="auto"/>
        <w:rPr>
          <w:rFonts w:ascii="Times New Roman" w:hAnsi="Times New Roman"/>
          <w:szCs w:val="24"/>
          <w:u w:val="single"/>
        </w:rPr>
      </w:pPr>
    </w:p>
    <w:p w:rsidR="00077B8A" w:rsidRPr="00077B8A" w:rsidRDefault="00077B8A" w:rsidP="009F7E1A">
      <w:pPr>
        <w:tabs>
          <w:tab w:val="left" w:pos="-720"/>
        </w:tabs>
        <w:suppressAutoHyphens/>
        <w:spacing w:line="480" w:lineRule="auto"/>
        <w:rPr>
          <w:rFonts w:ascii="Times New Roman" w:hAnsi="Times New Roman"/>
          <w:szCs w:val="24"/>
          <w:u w:val="single"/>
        </w:rPr>
      </w:pPr>
      <w:r w:rsidRPr="00077B8A">
        <w:rPr>
          <w:rFonts w:ascii="Times New Roman" w:hAnsi="Times New Roman"/>
          <w:szCs w:val="24"/>
          <w:u w:val="single"/>
        </w:rPr>
        <w:t>National Directory of New Hires</w:t>
      </w:r>
    </w:p>
    <w:p w:rsidR="00077B8A" w:rsidRDefault="00077B8A" w:rsidP="009F7E1A">
      <w:pPr>
        <w:tabs>
          <w:tab w:val="left" w:pos="-720"/>
        </w:tabs>
        <w:suppressAutoHyphens/>
        <w:spacing w:line="480" w:lineRule="auto"/>
        <w:rPr>
          <w:rFonts w:ascii="Times New Roman" w:hAnsi="Times New Roman"/>
          <w:szCs w:val="24"/>
        </w:rPr>
      </w:pPr>
      <w:r w:rsidRPr="00077B8A">
        <w:rPr>
          <w:rFonts w:ascii="Times New Roman" w:hAnsi="Times New Roman"/>
          <w:szCs w:val="24"/>
        </w:rPr>
        <w:t xml:space="preserve">In </w:t>
      </w:r>
      <w:r>
        <w:rPr>
          <w:rFonts w:ascii="Times New Roman" w:hAnsi="Times New Roman"/>
          <w:szCs w:val="24"/>
        </w:rPr>
        <w:t>an</w:t>
      </w:r>
      <w:r w:rsidRPr="00077B8A">
        <w:rPr>
          <w:rFonts w:ascii="Times New Roman" w:hAnsi="Times New Roman"/>
          <w:szCs w:val="24"/>
        </w:rPr>
        <w:t xml:space="preserve"> interim final rule, FNS will amend the SNAP regulations at 7 CFR 272 to require State agencies to access employment data through the National Directory of New Hires (NDNH) at the time of certification, including recertification, to determine eligibility status and</w:t>
      </w:r>
      <w:r w:rsidR="00DE2A72">
        <w:rPr>
          <w:rFonts w:ascii="Times New Roman" w:hAnsi="Times New Roman"/>
          <w:szCs w:val="24"/>
        </w:rPr>
        <w:t xml:space="preserve"> appropriate</w:t>
      </w:r>
      <w:r w:rsidRPr="00077B8A">
        <w:rPr>
          <w:rFonts w:ascii="Times New Roman" w:hAnsi="Times New Roman"/>
          <w:szCs w:val="24"/>
        </w:rPr>
        <w:t xml:space="preserve"> benefit amount for SNAP applicants.  This requirement codifies Section 4013 of the Agricultural Act of 2014 (P.L. 113-79).  The legislation was effective on February 7, 2014, and FNS implemented the mandated requirements by directive to all SNAP State agencies on March 21, 2014.  The NDNH is a repository of employment, unemployment insurance, and quarterly wage data maintained by the U.S. Department of Health and Human Services (HHS) Office of Child Support Enforcement (OCSE).  The data </w:t>
      </w:r>
      <w:r w:rsidR="00DE2A72">
        <w:rPr>
          <w:rFonts w:ascii="Times New Roman" w:hAnsi="Times New Roman"/>
          <w:szCs w:val="24"/>
        </w:rPr>
        <w:t>in the NDNH include</w:t>
      </w:r>
      <w:r w:rsidRPr="00077B8A">
        <w:rPr>
          <w:rFonts w:ascii="Times New Roman" w:hAnsi="Times New Roman"/>
          <w:szCs w:val="24"/>
        </w:rPr>
        <w:t xml:space="preserve"> W-4 (new hire) records from the State Directory of New Hires, quarterly wage and unemployment insurance data from the </w:t>
      </w:r>
      <w:r w:rsidR="0032517C">
        <w:rPr>
          <w:rFonts w:ascii="Times New Roman" w:hAnsi="Times New Roman"/>
          <w:szCs w:val="24"/>
        </w:rPr>
        <w:t>S</w:t>
      </w:r>
      <w:r w:rsidRPr="00077B8A">
        <w:rPr>
          <w:rFonts w:ascii="Times New Roman" w:hAnsi="Times New Roman"/>
          <w:szCs w:val="24"/>
        </w:rPr>
        <w:t xml:space="preserve">tate workforce agencies, and new hire and quarterly wage data from </w:t>
      </w:r>
      <w:r w:rsidR="0032517C">
        <w:rPr>
          <w:rFonts w:ascii="Times New Roman" w:hAnsi="Times New Roman"/>
          <w:szCs w:val="24"/>
        </w:rPr>
        <w:t>F</w:t>
      </w:r>
      <w:r w:rsidRPr="00077B8A">
        <w:rPr>
          <w:rFonts w:ascii="Times New Roman" w:hAnsi="Times New Roman"/>
          <w:szCs w:val="24"/>
        </w:rPr>
        <w:t xml:space="preserve">ederal agencies.  </w:t>
      </w:r>
    </w:p>
    <w:p w:rsidR="00077B8A" w:rsidRDefault="00077B8A" w:rsidP="009F7E1A">
      <w:pPr>
        <w:tabs>
          <w:tab w:val="left" w:pos="-720"/>
        </w:tabs>
        <w:suppressAutoHyphens/>
        <w:spacing w:line="480" w:lineRule="auto"/>
        <w:rPr>
          <w:rFonts w:ascii="Times New Roman" w:hAnsi="Times New Roman"/>
          <w:szCs w:val="24"/>
        </w:rPr>
      </w:pPr>
    </w:p>
    <w:p w:rsidR="009F7E1A" w:rsidRDefault="00077B8A" w:rsidP="009F7E1A">
      <w:pPr>
        <w:tabs>
          <w:tab w:val="left" w:pos="-720"/>
        </w:tabs>
        <w:suppressAutoHyphens/>
        <w:spacing w:line="480" w:lineRule="auto"/>
        <w:rPr>
          <w:rFonts w:ascii="Times New Roman" w:hAnsi="Times New Roman"/>
          <w:szCs w:val="24"/>
        </w:rPr>
      </w:pPr>
      <w:r w:rsidRPr="00077B8A">
        <w:rPr>
          <w:rFonts w:ascii="Times New Roman" w:hAnsi="Times New Roman"/>
          <w:szCs w:val="24"/>
        </w:rPr>
        <w:t>This rule provides the requirement that each State agency must establish a system to compare identifiable information about each adult household member against data from the NDNH.  Section 4013 of the Agricultural Act of 2014 mandates that States use NDNH to verify applicant employment data and enter into a computer matching agreement with HHS pursuant to the authority  in 42 U.S.C. 653(j)(10).  State agencies are responsible for entering into a computer matching agreement with HHS in order to access the NDNH.</w:t>
      </w:r>
      <w:r>
        <w:rPr>
          <w:rFonts w:ascii="Times New Roman" w:hAnsi="Times New Roman"/>
          <w:szCs w:val="24"/>
        </w:rPr>
        <w:t xml:space="preserve">  </w:t>
      </w:r>
      <w:r w:rsidRPr="00077B8A">
        <w:rPr>
          <w:rFonts w:ascii="Times New Roman" w:hAnsi="Times New Roman"/>
          <w:szCs w:val="24"/>
        </w:rPr>
        <w:t xml:space="preserve">The required system should be used to verify that the employment status of adult household members is accurately reported on the SNAP application.  Because the NDNH does not include employment data on individuals under the age of 18, this verification requirement is limited to adult household members.  State agencies have the option to match against the NDNH quarterly wage and unemployment insurance data at their own discretion.  Because the timeliness of quarterly wage and quarterly unemployment insurance data may not provide a true benefit to the State agency in determining eligibility and benefit levels, this </w:t>
      </w:r>
      <w:r w:rsidRPr="00077B8A">
        <w:rPr>
          <w:rFonts w:ascii="Times New Roman" w:hAnsi="Times New Roman"/>
          <w:szCs w:val="24"/>
        </w:rPr>
        <w:lastRenderedPageBreak/>
        <w:t xml:space="preserve">rule only requires that States match against NDNH new hire data at minimum.  If the State agency receives verification of information obtained through the NDNH match indicating the household is ineligible or was approved for the incorrect benefit amount, the State should deny, reduce or terminate benefits as applicable and establish a claim to collect any benefits that were overpaid in accordance with regulations at </w:t>
      </w:r>
      <w:r w:rsidR="00DE2A72">
        <w:rPr>
          <w:rFonts w:ascii="Times New Roman" w:hAnsi="Times New Roman"/>
          <w:szCs w:val="24"/>
        </w:rPr>
        <w:t>7 CFR</w:t>
      </w:r>
      <w:r w:rsidRPr="00077B8A">
        <w:rPr>
          <w:rFonts w:ascii="Times New Roman" w:hAnsi="Times New Roman"/>
          <w:szCs w:val="24"/>
        </w:rPr>
        <w:t xml:space="preserve"> 273.18.  </w:t>
      </w:r>
      <w:r w:rsidR="00F71782" w:rsidRPr="00F71782">
        <w:rPr>
          <w:rFonts w:ascii="Times New Roman" w:hAnsi="Times New Roman"/>
          <w:szCs w:val="24"/>
        </w:rPr>
        <w:t xml:space="preserve">Information collection associated with </w:t>
      </w:r>
      <w:r w:rsidR="00F71782">
        <w:rPr>
          <w:rFonts w:ascii="Times New Roman" w:hAnsi="Times New Roman"/>
          <w:szCs w:val="24"/>
        </w:rPr>
        <w:t>the NDNH portion of this rule will be merged with the</w:t>
      </w:r>
      <w:r w:rsidR="00F71782" w:rsidRPr="00F71782">
        <w:rPr>
          <w:rFonts w:ascii="Times New Roman" w:hAnsi="Times New Roman"/>
          <w:szCs w:val="24"/>
        </w:rPr>
        <w:t xml:space="preserve"> Supplemental Nutrition Assistance Program (SNAP) Forms: Applications, Periodic Reporting, Notices, OMB Control Number #0584–0064, expiration date 4/30/2016, which is currently under revision</w:t>
      </w:r>
      <w:r w:rsidR="00F71782">
        <w:rPr>
          <w:rFonts w:ascii="Times New Roman" w:hAnsi="Times New Roman"/>
          <w:szCs w:val="24"/>
        </w:rPr>
        <w:t>.</w:t>
      </w:r>
    </w:p>
    <w:p w:rsidR="00077B8A" w:rsidRDefault="00077B8A" w:rsidP="009F7E1A">
      <w:pPr>
        <w:tabs>
          <w:tab w:val="left" w:pos="-720"/>
        </w:tabs>
        <w:suppressAutoHyphens/>
        <w:spacing w:line="480" w:lineRule="auto"/>
        <w:rPr>
          <w:rFonts w:ascii="Times New Roman" w:hAnsi="Times New Roman"/>
          <w:szCs w:val="24"/>
        </w:rPr>
      </w:pPr>
    </w:p>
    <w:p w:rsidR="00005823" w:rsidRPr="00005823" w:rsidRDefault="00005823" w:rsidP="009F7E1A">
      <w:pPr>
        <w:tabs>
          <w:tab w:val="left" w:pos="-720"/>
        </w:tabs>
        <w:suppressAutoHyphens/>
        <w:spacing w:line="480" w:lineRule="auto"/>
        <w:rPr>
          <w:rFonts w:ascii="Times New Roman" w:hAnsi="Times New Roman"/>
          <w:szCs w:val="24"/>
          <w:u w:val="single"/>
        </w:rPr>
      </w:pPr>
      <w:r w:rsidRPr="00005823">
        <w:rPr>
          <w:rFonts w:ascii="Times New Roman" w:hAnsi="Times New Roman"/>
          <w:szCs w:val="24"/>
          <w:u w:val="single"/>
        </w:rPr>
        <w:t xml:space="preserve">Program Activity Statement </w:t>
      </w:r>
    </w:p>
    <w:p w:rsidR="00005823" w:rsidRPr="00005823" w:rsidRDefault="00005823" w:rsidP="00005823">
      <w:pPr>
        <w:tabs>
          <w:tab w:val="left" w:pos="-720"/>
        </w:tabs>
        <w:suppressAutoHyphens/>
        <w:spacing w:line="480" w:lineRule="auto"/>
        <w:rPr>
          <w:rFonts w:ascii="Times New Roman" w:hAnsi="Times New Roman"/>
          <w:szCs w:val="24"/>
        </w:rPr>
      </w:pPr>
      <w:r w:rsidRPr="00005823">
        <w:rPr>
          <w:rFonts w:ascii="Times New Roman" w:hAnsi="Times New Roman"/>
          <w:szCs w:val="24"/>
        </w:rPr>
        <w:t xml:space="preserve">Section 16(a) of the Food and Nutrition Act of 2008 authorizes 50 percent Federal reimbursement for State agency costs to administer </w:t>
      </w:r>
      <w:r w:rsidR="00DE2A72">
        <w:rPr>
          <w:rFonts w:ascii="Times New Roman" w:hAnsi="Times New Roman"/>
          <w:szCs w:val="24"/>
        </w:rPr>
        <w:t>SNAP.</w:t>
      </w:r>
      <w:r w:rsidRPr="00005823">
        <w:rPr>
          <w:rFonts w:ascii="Times New Roman" w:hAnsi="Times New Roman"/>
          <w:szCs w:val="24"/>
        </w:rPr>
        <w:t xml:space="preserve">  SNAP regulations at 7 CFR 272.2(a) require that State agencies plan and budget program operations and establish objectives for the next year.  The basic components of the State Plan of Operation are the Federal/State Agreement, the Budget Projection Statement and the Program Activity Statement (7 CFR 272.2(a)(2)).  Under current regulations at 7 CFR 272.2(c), the State agency is required to submit to FNS for approval a Budget Projection Statement (which projects total Federal administrative costs for the upcoming fiscal year) and a Program Activity Statement (which provides program activity data for the preceding fiscal year).  Current regulations at 7 CFR 272.2(e) </w:t>
      </w:r>
      <w:proofErr w:type="gramStart"/>
      <w:r w:rsidRPr="00005823">
        <w:rPr>
          <w:rFonts w:ascii="Times New Roman" w:hAnsi="Times New Roman"/>
          <w:szCs w:val="24"/>
        </w:rPr>
        <w:t>require</w:t>
      </w:r>
      <w:proofErr w:type="gramEnd"/>
      <w:r w:rsidRPr="00005823">
        <w:rPr>
          <w:rFonts w:ascii="Times New Roman" w:hAnsi="Times New Roman"/>
          <w:szCs w:val="24"/>
        </w:rPr>
        <w:t xml:space="preserve"> State agencies </w:t>
      </w:r>
      <w:r w:rsidR="00DE2A72">
        <w:rPr>
          <w:rFonts w:ascii="Times New Roman" w:hAnsi="Times New Roman"/>
          <w:szCs w:val="24"/>
        </w:rPr>
        <w:t xml:space="preserve">to </w:t>
      </w:r>
      <w:r w:rsidRPr="00005823">
        <w:rPr>
          <w:rFonts w:ascii="Times New Roman" w:hAnsi="Times New Roman"/>
          <w:szCs w:val="24"/>
        </w:rPr>
        <w:t xml:space="preserve">submit the Program Activity Statement to FNS no later than 45 days after the end of the State agency’s fiscal year, which is typically August 15 for most States.  The Program Activity Statement is intended to substantiate the costs the State agency expects to incur during the next fiscal year.  It currently provides data on the number of SNAP applications the State agency processed, the number of fair hearings the State agency conducted, and the fraud control activities the State agency </w:t>
      </w:r>
      <w:r w:rsidR="00DE2A72">
        <w:rPr>
          <w:rFonts w:ascii="Times New Roman" w:hAnsi="Times New Roman"/>
          <w:szCs w:val="24"/>
        </w:rPr>
        <w:t>completed</w:t>
      </w:r>
      <w:r w:rsidRPr="00005823">
        <w:rPr>
          <w:rFonts w:ascii="Times New Roman" w:hAnsi="Times New Roman"/>
          <w:szCs w:val="24"/>
        </w:rPr>
        <w:t>.  FNS uses the data to monitor State agency activity levels and performance.</w:t>
      </w:r>
      <w:r>
        <w:rPr>
          <w:rFonts w:ascii="Times New Roman" w:hAnsi="Times New Roman"/>
          <w:szCs w:val="24"/>
        </w:rPr>
        <w:t xml:space="preserve">  Information collection associated with the Program Activity Statement is currently approved as part of the burden for the FNS Food Programs Reporting System (FPRS), </w:t>
      </w:r>
      <w:r w:rsidRPr="00005823">
        <w:rPr>
          <w:rFonts w:ascii="Times New Roman" w:hAnsi="Times New Roman"/>
          <w:szCs w:val="24"/>
        </w:rPr>
        <w:t xml:space="preserve">OMB Control Number #0584-0594, expiration date 6/30/2016.  </w:t>
      </w:r>
      <w:r w:rsidR="00063643">
        <w:rPr>
          <w:rFonts w:ascii="Times New Roman" w:hAnsi="Times New Roman"/>
          <w:szCs w:val="24"/>
        </w:rPr>
        <w:t>Because #0584-0594 is currently undergoing revision at the time of this interim final rule, FNS is requesting the collection associated with this rule be created as a new collection and be merged with #0584-0594 after approval.</w:t>
      </w:r>
    </w:p>
    <w:p w:rsidR="00005823" w:rsidRDefault="00005823" w:rsidP="00005823">
      <w:pPr>
        <w:tabs>
          <w:tab w:val="left" w:pos="-720"/>
        </w:tabs>
        <w:suppressAutoHyphens/>
        <w:spacing w:line="480" w:lineRule="auto"/>
        <w:rPr>
          <w:rFonts w:ascii="Times New Roman" w:hAnsi="Times New Roman"/>
          <w:szCs w:val="24"/>
        </w:rPr>
      </w:pPr>
    </w:p>
    <w:p w:rsidR="00005823" w:rsidRDefault="00005823" w:rsidP="00005823">
      <w:pPr>
        <w:tabs>
          <w:tab w:val="left" w:pos="-720"/>
        </w:tabs>
        <w:suppressAutoHyphens/>
        <w:spacing w:line="480" w:lineRule="auto"/>
        <w:rPr>
          <w:rFonts w:ascii="Times New Roman" w:hAnsi="Times New Roman"/>
          <w:szCs w:val="24"/>
        </w:rPr>
      </w:pPr>
      <w:r w:rsidRPr="00005823">
        <w:rPr>
          <w:rFonts w:ascii="Times New Roman" w:hAnsi="Times New Roman"/>
          <w:szCs w:val="24"/>
        </w:rPr>
        <w:t xml:space="preserve">While originally intended only to support the States’ annual SNAP budget request by providing a summary of State SNAP activities </w:t>
      </w:r>
      <w:r w:rsidRPr="00005823">
        <w:rPr>
          <w:rFonts w:ascii="Times New Roman" w:hAnsi="Times New Roman"/>
          <w:szCs w:val="24"/>
        </w:rPr>
        <w:lastRenderedPageBreak/>
        <w:t xml:space="preserve">in the previous State fiscal year, the data reported on the Program Activity Statement has become a vital tool for assessing State operations related to application processing, fair hearings, and fraud prevention activities.  The data reported on the Program Activity Statement enables FNS to identify areas that may need improvement and to provide more effective technical assistance to State agencies.  An increase in reporting frequency will allow for greater </w:t>
      </w:r>
      <w:r w:rsidR="00D46900">
        <w:rPr>
          <w:rFonts w:ascii="Times New Roman" w:hAnsi="Times New Roman"/>
          <w:szCs w:val="24"/>
        </w:rPr>
        <w:t xml:space="preserve">access </w:t>
      </w:r>
      <w:r w:rsidR="00601C09">
        <w:rPr>
          <w:rFonts w:ascii="Times New Roman" w:hAnsi="Times New Roman"/>
          <w:szCs w:val="24"/>
        </w:rPr>
        <w:t>to timely</w:t>
      </w:r>
      <w:r w:rsidRPr="00005823">
        <w:rPr>
          <w:rFonts w:ascii="Times New Roman" w:hAnsi="Times New Roman"/>
          <w:szCs w:val="24"/>
        </w:rPr>
        <w:t xml:space="preserve"> program data.</w:t>
      </w:r>
      <w:r w:rsidR="0032517C">
        <w:rPr>
          <w:rFonts w:ascii="Times New Roman" w:hAnsi="Times New Roman"/>
          <w:szCs w:val="24"/>
        </w:rPr>
        <w:t xml:space="preserve"> </w:t>
      </w:r>
      <w:r w:rsidRPr="00005823">
        <w:rPr>
          <w:rFonts w:ascii="Times New Roman" w:hAnsi="Times New Roman"/>
          <w:szCs w:val="24"/>
        </w:rPr>
        <w:t xml:space="preserve"> It will help States, FNS, and other stakeholders identify trends, inconsistencies and inefficiencies earlier in each fiscal year.  A 2014 U.S. General Accountability Office (GAO) performance audit of FNS (GAO-14-641, Enhanced Detection Tools and Reporting Could Improve Efforts to Combat Recipient Fraud) concluded State-reported data on anti-fraud activities are not reliable for ensuring program integrity and assessing States’ performance.  Additionally, the study warned that data inconsistencies could limit FNS’s ability to identify more effective and efficient practices for State anti-fraud efforts.  With more current data, States and other interested parties will be able to identify gaps and areas in need of greater attention, and allow States to respond more quickly to those gaps.  FNS also intends to align the new quarterly requirement to the Federal fiscal year, since regulations currently require the Program Activity Statement to be submitted 45 days after the end of the State Fiscal year.  As most SNAP data is reported monthly, quarterly, or annually based on the Federal fiscal year, this change will improve FNS</w:t>
      </w:r>
      <w:r w:rsidR="00C6391A">
        <w:rPr>
          <w:rFonts w:ascii="Times New Roman" w:hAnsi="Times New Roman"/>
          <w:szCs w:val="24"/>
        </w:rPr>
        <w:t>’ ability to conduct data analysis</w:t>
      </w:r>
      <w:r w:rsidRPr="00005823">
        <w:rPr>
          <w:rFonts w:ascii="Times New Roman" w:hAnsi="Times New Roman"/>
          <w:szCs w:val="24"/>
        </w:rPr>
        <w:t xml:space="preserve"> by using data collected over consistent periods of time.  </w:t>
      </w:r>
    </w:p>
    <w:p w:rsidR="00077B8A" w:rsidRPr="00077B8A" w:rsidRDefault="00077B8A" w:rsidP="009F7E1A">
      <w:pPr>
        <w:tabs>
          <w:tab w:val="left" w:pos="-720"/>
        </w:tabs>
        <w:suppressAutoHyphens/>
        <w:spacing w:line="480" w:lineRule="auto"/>
        <w:rPr>
          <w:rFonts w:ascii="Times New Roman" w:hAnsi="Times New Roman"/>
          <w:szCs w:val="24"/>
        </w:rPr>
      </w:pPr>
    </w:p>
    <w:p w:rsidR="00A308DB" w:rsidRPr="002568E6" w:rsidRDefault="005A3F80" w:rsidP="0062567E">
      <w:pPr>
        <w:pStyle w:val="Heading1"/>
        <w:rPr>
          <w:szCs w:val="24"/>
        </w:rPr>
      </w:pPr>
      <w:bookmarkStart w:id="2" w:name="_Toc401831358"/>
      <w:bookmarkStart w:id="3" w:name="_Toc401832402"/>
      <w:r w:rsidRPr="002568E6">
        <w:rPr>
          <w:szCs w:val="24"/>
        </w:rPr>
        <w:t xml:space="preserve">A2. </w:t>
      </w:r>
      <w:proofErr w:type="gramStart"/>
      <w:r w:rsidR="00447C1E" w:rsidRPr="002568E6">
        <w:rPr>
          <w:szCs w:val="24"/>
        </w:rPr>
        <w:t>Purpose and Use of the Information.</w:t>
      </w:r>
      <w:bookmarkEnd w:id="2"/>
      <w:bookmarkEnd w:id="3"/>
      <w:proofErr w:type="gramEnd"/>
    </w:p>
    <w:p w:rsidR="0062567E" w:rsidRPr="002568E6" w:rsidRDefault="0062567E">
      <w:pPr>
        <w:tabs>
          <w:tab w:val="left" w:pos="-720"/>
        </w:tabs>
        <w:suppressAutoHyphens/>
        <w:rPr>
          <w:rFonts w:ascii="Times New Roman" w:hAnsi="Times New Roman"/>
          <w:b/>
          <w:szCs w:val="24"/>
        </w:rPr>
      </w:pPr>
    </w:p>
    <w:p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rsidR="009F7E1A" w:rsidRPr="002568E6" w:rsidRDefault="009F7E1A" w:rsidP="009F7E1A">
      <w:pPr>
        <w:tabs>
          <w:tab w:val="left" w:pos="-720"/>
        </w:tabs>
        <w:suppressAutoHyphens/>
        <w:rPr>
          <w:rFonts w:ascii="Times New Roman" w:hAnsi="Times New Roman"/>
          <w:szCs w:val="24"/>
        </w:rPr>
      </w:pPr>
    </w:p>
    <w:p w:rsidR="003F2C34" w:rsidRDefault="003F2C34" w:rsidP="002849AD">
      <w:pPr>
        <w:pStyle w:val="Heading2"/>
        <w:spacing w:line="480" w:lineRule="auto"/>
        <w:jc w:val="left"/>
        <w:rPr>
          <w:b w:val="0"/>
          <w:szCs w:val="24"/>
        </w:rPr>
      </w:pPr>
      <w:r w:rsidRPr="00005823">
        <w:rPr>
          <w:b w:val="0"/>
          <w:szCs w:val="24"/>
          <w:u w:val="single"/>
        </w:rPr>
        <w:t>National Directory of New Hires</w:t>
      </w:r>
      <w:r>
        <w:rPr>
          <w:b w:val="0"/>
          <w:szCs w:val="24"/>
        </w:rPr>
        <w:t>:</w:t>
      </w:r>
      <w:r w:rsidR="00005823">
        <w:rPr>
          <w:b w:val="0"/>
          <w:szCs w:val="24"/>
        </w:rPr>
        <w:t xml:space="preserve">  State agencies are required to use compare identifiable information about each household member against data from the NDNH at the time of certification and recertification.  This comparison will be used to determine the eligibility status of the household and determine the correct benefit amount the household should receive.  </w:t>
      </w:r>
    </w:p>
    <w:p w:rsidR="003F2C34" w:rsidRPr="003F2C34" w:rsidRDefault="003F2C34" w:rsidP="002849AD">
      <w:pPr>
        <w:spacing w:line="480" w:lineRule="auto"/>
      </w:pPr>
    </w:p>
    <w:p w:rsidR="00341DEE" w:rsidRDefault="003F2C34" w:rsidP="002849AD">
      <w:pPr>
        <w:pStyle w:val="Heading2"/>
        <w:spacing w:line="480" w:lineRule="auto"/>
        <w:jc w:val="left"/>
        <w:rPr>
          <w:b w:val="0"/>
          <w:szCs w:val="24"/>
        </w:rPr>
      </w:pPr>
      <w:r w:rsidRPr="00005823">
        <w:rPr>
          <w:b w:val="0"/>
          <w:szCs w:val="24"/>
          <w:u w:val="single"/>
        </w:rPr>
        <w:t>Program Activity Statement</w:t>
      </w:r>
      <w:r w:rsidRPr="003F2C34">
        <w:rPr>
          <w:b w:val="0"/>
          <w:szCs w:val="24"/>
        </w:rPr>
        <w:t>:</w:t>
      </w:r>
      <w:r w:rsidR="0032517C">
        <w:rPr>
          <w:b w:val="0"/>
          <w:szCs w:val="24"/>
        </w:rPr>
        <w:t xml:space="preserve"> </w:t>
      </w:r>
      <w:r w:rsidRPr="003F2C34">
        <w:rPr>
          <w:b w:val="0"/>
          <w:szCs w:val="24"/>
        </w:rPr>
        <w:t xml:space="preserve"> State agencies are required to submit to FNS a Program Activity Statement</w:t>
      </w:r>
      <w:r>
        <w:rPr>
          <w:b w:val="0"/>
          <w:szCs w:val="24"/>
        </w:rPr>
        <w:t xml:space="preserve"> </w:t>
      </w:r>
      <w:r w:rsidRPr="003F2C34">
        <w:rPr>
          <w:b w:val="0"/>
          <w:szCs w:val="24"/>
        </w:rPr>
        <w:t xml:space="preserve">providing a summary of program activity for the State agency's operations during its preceding fiscal year.  </w:t>
      </w:r>
      <w:r w:rsidR="002849AD">
        <w:rPr>
          <w:b w:val="0"/>
          <w:szCs w:val="24"/>
        </w:rPr>
        <w:t>The Program Activity Statement</w:t>
      </w:r>
      <w:r w:rsidRPr="003F2C34">
        <w:rPr>
          <w:b w:val="0"/>
          <w:szCs w:val="24"/>
        </w:rPr>
        <w:t xml:space="preserve"> provides data on the number of applications processed, number of fair hearings, and fraud control activity. </w:t>
      </w:r>
      <w:r w:rsidR="0032517C">
        <w:rPr>
          <w:b w:val="0"/>
          <w:szCs w:val="24"/>
        </w:rPr>
        <w:t xml:space="preserve"> </w:t>
      </w:r>
      <w:r w:rsidRPr="003F2C34">
        <w:rPr>
          <w:b w:val="0"/>
          <w:szCs w:val="24"/>
        </w:rPr>
        <w:t xml:space="preserve">FNS uses the data to monitor State </w:t>
      </w:r>
      <w:r w:rsidRPr="003F2C34">
        <w:rPr>
          <w:b w:val="0"/>
          <w:szCs w:val="24"/>
        </w:rPr>
        <w:lastRenderedPageBreak/>
        <w:t xml:space="preserve">agency </w:t>
      </w:r>
      <w:r w:rsidR="002849AD">
        <w:rPr>
          <w:b w:val="0"/>
          <w:szCs w:val="24"/>
        </w:rPr>
        <w:t>activity levels and performance and to target technical assistance to State agencies in need of performance improvements.</w:t>
      </w:r>
    </w:p>
    <w:p w:rsidR="003F2C34" w:rsidRPr="003F2C34" w:rsidRDefault="003F2C34" w:rsidP="003F2C34"/>
    <w:p w:rsidR="00A308DB" w:rsidRPr="002568E6" w:rsidRDefault="005A3F80" w:rsidP="0062567E">
      <w:pPr>
        <w:pStyle w:val="Heading1"/>
        <w:rPr>
          <w:szCs w:val="24"/>
        </w:rPr>
      </w:pPr>
      <w:bookmarkStart w:id="4" w:name="_Toc401831359"/>
      <w:bookmarkStart w:id="5" w:name="_Toc401832403"/>
      <w:r w:rsidRPr="002568E6">
        <w:rPr>
          <w:szCs w:val="24"/>
        </w:rPr>
        <w:t xml:space="preserve">A3.  </w:t>
      </w:r>
      <w:proofErr w:type="gramStart"/>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4"/>
      <w:bookmarkEnd w:id="5"/>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RDefault="00A308DB" w:rsidP="002849AD">
      <w:pPr>
        <w:tabs>
          <w:tab w:val="left" w:pos="0"/>
        </w:tabs>
        <w:suppressAutoHyphens/>
        <w:spacing w:line="480" w:lineRule="auto"/>
        <w:rPr>
          <w:rFonts w:ascii="Times New Roman" w:hAnsi="Times New Roman"/>
          <w:szCs w:val="24"/>
        </w:rPr>
      </w:pPr>
    </w:p>
    <w:p w:rsidR="003F2C34" w:rsidRPr="003F2C34" w:rsidRDefault="003F2C34" w:rsidP="002849AD">
      <w:pPr>
        <w:tabs>
          <w:tab w:val="left" w:pos="0"/>
        </w:tabs>
        <w:suppressAutoHyphens/>
        <w:spacing w:line="480" w:lineRule="auto"/>
        <w:rPr>
          <w:rFonts w:ascii="Times New Roman" w:hAnsi="Times New Roman"/>
          <w:szCs w:val="24"/>
        </w:rPr>
      </w:pPr>
      <w:r w:rsidRPr="003F2C34">
        <w:rPr>
          <w:rFonts w:ascii="Times New Roman" w:hAnsi="Times New Roman"/>
          <w:szCs w:val="24"/>
        </w:rPr>
        <w:t xml:space="preserve">FNS makes every effort to comply with E-Government Act, 2002 (E-Gov) and to provide for alternative submission of information collections. </w:t>
      </w:r>
    </w:p>
    <w:p w:rsidR="003F2C34" w:rsidRDefault="003F2C34" w:rsidP="002849AD">
      <w:pPr>
        <w:tabs>
          <w:tab w:val="left" w:pos="0"/>
        </w:tabs>
        <w:suppressAutoHyphens/>
        <w:spacing w:line="480" w:lineRule="auto"/>
        <w:rPr>
          <w:rFonts w:ascii="Times New Roman" w:hAnsi="Times New Roman"/>
          <w:szCs w:val="24"/>
        </w:rPr>
      </w:pPr>
    </w:p>
    <w:p w:rsidR="002849AD" w:rsidRDefault="00307505" w:rsidP="002849AD">
      <w:pPr>
        <w:tabs>
          <w:tab w:val="left" w:pos="0"/>
        </w:tabs>
        <w:suppressAutoHyphens/>
        <w:spacing w:line="480" w:lineRule="auto"/>
        <w:rPr>
          <w:rFonts w:ascii="Times New Roman" w:hAnsi="Times New Roman"/>
          <w:szCs w:val="24"/>
        </w:rPr>
      </w:pPr>
      <w:r w:rsidRPr="00307505">
        <w:rPr>
          <w:rFonts w:ascii="Times New Roman" w:hAnsi="Times New Roman"/>
          <w:szCs w:val="24"/>
          <w:u w:val="single"/>
        </w:rPr>
        <w:t>National Directory of New Hires</w:t>
      </w:r>
      <w:r w:rsidRPr="00307505">
        <w:rPr>
          <w:rFonts w:ascii="Times New Roman" w:hAnsi="Times New Roman"/>
          <w:szCs w:val="24"/>
        </w:rPr>
        <w:t xml:space="preserve">:  </w:t>
      </w:r>
      <w:r w:rsidR="00D81A25">
        <w:rPr>
          <w:rFonts w:ascii="Times New Roman" w:hAnsi="Times New Roman"/>
          <w:szCs w:val="24"/>
        </w:rPr>
        <w:t xml:space="preserve">100% of </w:t>
      </w:r>
      <w:r w:rsidR="002849AD">
        <w:rPr>
          <w:rFonts w:ascii="Times New Roman" w:hAnsi="Times New Roman"/>
          <w:szCs w:val="24"/>
        </w:rPr>
        <w:t xml:space="preserve">State agencies will access the </w:t>
      </w:r>
      <w:r w:rsidR="0032517C">
        <w:rPr>
          <w:rFonts w:ascii="Times New Roman" w:hAnsi="Times New Roman"/>
          <w:szCs w:val="24"/>
        </w:rPr>
        <w:t xml:space="preserve">NDNH </w:t>
      </w:r>
      <w:r w:rsidR="002849AD">
        <w:rPr>
          <w:rFonts w:ascii="Times New Roman" w:hAnsi="Times New Roman"/>
          <w:szCs w:val="24"/>
        </w:rPr>
        <w:t>data via interface between the State agency eligibility s</w:t>
      </w:r>
      <w:r w:rsidR="00D81A25">
        <w:rPr>
          <w:rFonts w:ascii="Times New Roman" w:hAnsi="Times New Roman"/>
          <w:szCs w:val="24"/>
        </w:rPr>
        <w:t xml:space="preserve">ystem and the NDNH system; thus, all </w:t>
      </w:r>
      <w:r w:rsidR="002849AD">
        <w:rPr>
          <w:rFonts w:ascii="Times New Roman" w:hAnsi="Times New Roman"/>
          <w:szCs w:val="24"/>
        </w:rPr>
        <w:t xml:space="preserve">transmission of data will be conducted electronically.  </w:t>
      </w:r>
      <w:r w:rsidR="00D81A25">
        <w:rPr>
          <w:rFonts w:ascii="Times New Roman" w:hAnsi="Times New Roman"/>
          <w:szCs w:val="24"/>
        </w:rPr>
        <w:t>State agencies generally use an automated system of generating notices to those households requiring contact.</w:t>
      </w:r>
    </w:p>
    <w:p w:rsidR="002849AD" w:rsidRPr="003F2C34" w:rsidRDefault="002849AD" w:rsidP="002849AD">
      <w:pPr>
        <w:tabs>
          <w:tab w:val="left" w:pos="0"/>
        </w:tabs>
        <w:suppressAutoHyphens/>
        <w:spacing w:line="480" w:lineRule="auto"/>
        <w:rPr>
          <w:rFonts w:ascii="Times New Roman" w:hAnsi="Times New Roman"/>
          <w:szCs w:val="24"/>
        </w:rPr>
      </w:pPr>
    </w:p>
    <w:p w:rsidR="003F2C34" w:rsidRPr="003F2C34" w:rsidRDefault="00307505" w:rsidP="002849AD">
      <w:pPr>
        <w:tabs>
          <w:tab w:val="left" w:pos="0"/>
        </w:tabs>
        <w:suppressAutoHyphens/>
        <w:spacing w:line="480" w:lineRule="auto"/>
        <w:rPr>
          <w:rFonts w:ascii="Times New Roman" w:hAnsi="Times New Roman"/>
          <w:szCs w:val="24"/>
        </w:rPr>
      </w:pPr>
      <w:r w:rsidRPr="00307505">
        <w:rPr>
          <w:rFonts w:ascii="Times New Roman" w:hAnsi="Times New Roman"/>
          <w:szCs w:val="24"/>
          <w:u w:val="single"/>
        </w:rPr>
        <w:t>Program Activity Statement</w:t>
      </w:r>
      <w:r w:rsidRPr="00307505">
        <w:rPr>
          <w:rFonts w:ascii="Times New Roman" w:hAnsi="Times New Roman"/>
          <w:szCs w:val="24"/>
        </w:rPr>
        <w:t>:</w:t>
      </w:r>
      <w:r>
        <w:rPr>
          <w:rFonts w:ascii="Times New Roman" w:hAnsi="Times New Roman"/>
          <w:szCs w:val="24"/>
        </w:rPr>
        <w:t xml:space="preserve"> </w:t>
      </w:r>
      <w:r w:rsidRPr="00307505">
        <w:rPr>
          <w:rFonts w:ascii="Times New Roman" w:hAnsi="Times New Roman"/>
          <w:szCs w:val="24"/>
        </w:rPr>
        <w:t xml:space="preserve"> </w:t>
      </w:r>
      <w:r w:rsidR="003F2C34" w:rsidRPr="003F2C34">
        <w:rPr>
          <w:rFonts w:ascii="Times New Roman" w:hAnsi="Times New Roman"/>
          <w:szCs w:val="24"/>
        </w:rPr>
        <w:t xml:space="preserve">States submit electronic </w:t>
      </w:r>
      <w:r w:rsidR="003F2C34">
        <w:rPr>
          <w:rFonts w:ascii="Times New Roman" w:hAnsi="Times New Roman"/>
          <w:szCs w:val="24"/>
        </w:rPr>
        <w:t xml:space="preserve">Program Activity Statement </w:t>
      </w:r>
      <w:r w:rsidR="003F2C34" w:rsidRPr="003F2C34">
        <w:rPr>
          <w:rFonts w:ascii="Times New Roman" w:hAnsi="Times New Roman"/>
          <w:szCs w:val="24"/>
        </w:rPr>
        <w:t>reports via the Food Programs Reporting System (FPRS) at https://fprs.fns.usda.gov/Home/Reminder.aspx.  In fiscal year (FY) 201</w:t>
      </w:r>
      <w:r w:rsidR="003F2C34">
        <w:rPr>
          <w:rFonts w:ascii="Times New Roman" w:hAnsi="Times New Roman"/>
          <w:szCs w:val="24"/>
        </w:rPr>
        <w:t>4</w:t>
      </w:r>
      <w:r w:rsidR="003F2C34" w:rsidRPr="003F2C34">
        <w:rPr>
          <w:rFonts w:ascii="Times New Roman" w:hAnsi="Times New Roman"/>
          <w:szCs w:val="24"/>
        </w:rPr>
        <w:t xml:space="preserve">, 100% of these responses were reported electronically.   </w:t>
      </w:r>
    </w:p>
    <w:p w:rsidR="003F2C34" w:rsidRPr="003F2C34" w:rsidRDefault="003F2C34" w:rsidP="003F2C34">
      <w:pPr>
        <w:tabs>
          <w:tab w:val="left" w:pos="0"/>
        </w:tabs>
        <w:suppressAutoHyphens/>
        <w:rPr>
          <w:rFonts w:ascii="Times New Roman" w:hAnsi="Times New Roman"/>
          <w:szCs w:val="24"/>
        </w:rPr>
      </w:pPr>
    </w:p>
    <w:p w:rsidR="003F2C34" w:rsidRDefault="003F2C34" w:rsidP="003F2C34">
      <w:pPr>
        <w:tabs>
          <w:tab w:val="left" w:pos="0"/>
        </w:tabs>
        <w:suppressAutoHyphens/>
        <w:rPr>
          <w:rFonts w:ascii="Times New Roman" w:hAnsi="Times New Roman"/>
          <w:szCs w:val="24"/>
        </w:rPr>
      </w:pPr>
    </w:p>
    <w:p w:rsidR="003F2C34" w:rsidRPr="002568E6" w:rsidRDefault="003F2C34" w:rsidP="003F2C34">
      <w:pPr>
        <w:tabs>
          <w:tab w:val="left" w:pos="0"/>
        </w:tabs>
        <w:suppressAutoHyphens/>
        <w:rPr>
          <w:rFonts w:ascii="Times New Roman" w:hAnsi="Times New Roman"/>
          <w:szCs w:val="24"/>
        </w:rPr>
      </w:pPr>
    </w:p>
    <w:p w:rsidR="00A308DB" w:rsidRPr="002568E6" w:rsidRDefault="005A3F80" w:rsidP="0062567E">
      <w:pPr>
        <w:pStyle w:val="Heading1"/>
        <w:rPr>
          <w:szCs w:val="24"/>
        </w:rPr>
      </w:pPr>
      <w:bookmarkStart w:id="6" w:name="_Toc401831360"/>
      <w:bookmarkStart w:id="7" w:name="_Toc401832404"/>
      <w:r w:rsidRPr="002568E6">
        <w:rPr>
          <w:szCs w:val="24"/>
        </w:rPr>
        <w:t xml:space="preserve">A4.  </w:t>
      </w:r>
      <w:proofErr w:type="gramStart"/>
      <w:r w:rsidR="002568E6">
        <w:rPr>
          <w:szCs w:val="24"/>
        </w:rPr>
        <w:t>E</w:t>
      </w:r>
      <w:r w:rsidRPr="002568E6">
        <w:rPr>
          <w:szCs w:val="24"/>
        </w:rPr>
        <w:t>fforts to identify duplication.</w:t>
      </w:r>
      <w:bookmarkEnd w:id="6"/>
      <w:bookmarkEnd w:id="7"/>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RDefault="009F7E1A" w:rsidP="009F7E1A">
      <w:pPr>
        <w:tabs>
          <w:tab w:val="left" w:pos="-720"/>
        </w:tabs>
        <w:suppressAutoHyphens/>
        <w:rPr>
          <w:rFonts w:ascii="Times New Roman" w:hAnsi="Times New Roman"/>
          <w:szCs w:val="24"/>
        </w:rPr>
      </w:pPr>
    </w:p>
    <w:p w:rsidR="00E11A38" w:rsidRDefault="003F2C34" w:rsidP="009F7E1A">
      <w:pPr>
        <w:tabs>
          <w:tab w:val="left" w:pos="-720"/>
        </w:tabs>
        <w:suppressAutoHyphens/>
        <w:spacing w:line="480" w:lineRule="auto"/>
        <w:rPr>
          <w:rFonts w:ascii="Times New Roman" w:hAnsi="Times New Roman"/>
          <w:szCs w:val="24"/>
        </w:rPr>
      </w:pPr>
      <w:r w:rsidRPr="003F2C34">
        <w:rPr>
          <w:rFonts w:ascii="Times New Roman" w:hAnsi="Times New Roman"/>
          <w:szCs w:val="24"/>
        </w:rPr>
        <w:t>Every effort has been made to avoid duplication.</w:t>
      </w:r>
      <w:r w:rsidR="0032517C">
        <w:rPr>
          <w:rFonts w:ascii="Times New Roman" w:hAnsi="Times New Roman"/>
          <w:szCs w:val="24"/>
        </w:rPr>
        <w:t xml:space="preserve"> </w:t>
      </w:r>
      <w:r w:rsidRPr="003F2C34">
        <w:rPr>
          <w:rFonts w:ascii="Times New Roman" w:hAnsi="Times New Roman"/>
          <w:szCs w:val="24"/>
        </w:rPr>
        <w:t xml:space="preserve"> FNS has reviewed USDA reporting requirements, </w:t>
      </w:r>
      <w:r w:rsidR="0032517C">
        <w:rPr>
          <w:rFonts w:ascii="Times New Roman" w:hAnsi="Times New Roman"/>
          <w:szCs w:val="24"/>
        </w:rPr>
        <w:t>S</w:t>
      </w:r>
      <w:r w:rsidRPr="003F2C34">
        <w:rPr>
          <w:rFonts w:ascii="Times New Roman" w:hAnsi="Times New Roman"/>
          <w:szCs w:val="24"/>
        </w:rPr>
        <w:t xml:space="preserve">tate administrative agency reporting requirements, and special studies by other government and private agencies. </w:t>
      </w:r>
      <w:r w:rsidR="0032517C">
        <w:rPr>
          <w:rFonts w:ascii="Times New Roman" w:hAnsi="Times New Roman"/>
          <w:szCs w:val="24"/>
        </w:rPr>
        <w:t xml:space="preserve"> </w:t>
      </w:r>
      <w:r w:rsidRPr="003F2C34">
        <w:rPr>
          <w:rFonts w:ascii="Times New Roman" w:hAnsi="Times New Roman"/>
          <w:szCs w:val="24"/>
        </w:rPr>
        <w:t xml:space="preserve">FNS monitors State performance to ensure that the </w:t>
      </w:r>
      <w:r w:rsidR="0032517C">
        <w:rPr>
          <w:rFonts w:ascii="Times New Roman" w:hAnsi="Times New Roman"/>
          <w:szCs w:val="24"/>
        </w:rPr>
        <w:t>P</w:t>
      </w:r>
      <w:r w:rsidRPr="003F2C34">
        <w:rPr>
          <w:rFonts w:ascii="Times New Roman" w:hAnsi="Times New Roman"/>
          <w:szCs w:val="24"/>
        </w:rPr>
        <w:t xml:space="preserve">rogram is being efficiently and economically operated.  </w:t>
      </w:r>
    </w:p>
    <w:p w:rsidR="003F2C34" w:rsidRPr="002568E6" w:rsidRDefault="003F2C34" w:rsidP="009F7E1A">
      <w:pPr>
        <w:tabs>
          <w:tab w:val="left" w:pos="-720"/>
        </w:tabs>
        <w:suppressAutoHyphens/>
        <w:spacing w:line="480" w:lineRule="auto"/>
        <w:rPr>
          <w:rFonts w:ascii="Times New Roman" w:hAnsi="Times New Roman"/>
          <w:szCs w:val="24"/>
        </w:rPr>
      </w:pPr>
    </w:p>
    <w:p w:rsidR="00A308DB" w:rsidRPr="002568E6" w:rsidRDefault="005A3F80" w:rsidP="0062567E">
      <w:pPr>
        <w:pStyle w:val="Heading1"/>
        <w:rPr>
          <w:szCs w:val="24"/>
        </w:rPr>
      </w:pPr>
      <w:bookmarkStart w:id="8" w:name="_Toc401831361"/>
      <w:bookmarkStart w:id="9" w:name="_Toc401832405"/>
      <w:r w:rsidRPr="002568E6">
        <w:rPr>
          <w:szCs w:val="24"/>
        </w:rPr>
        <w:t xml:space="preserve">A5.  </w:t>
      </w:r>
      <w:proofErr w:type="gramStart"/>
      <w:r w:rsidRPr="002568E6">
        <w:rPr>
          <w:szCs w:val="24"/>
        </w:rPr>
        <w:t>Impacts on small businesses or other small entities.</w:t>
      </w:r>
      <w:bookmarkEnd w:id="8"/>
      <w:bookmarkEnd w:id="9"/>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rsidR="00A308DB" w:rsidRPr="002568E6" w:rsidRDefault="00A308DB">
      <w:pPr>
        <w:tabs>
          <w:tab w:val="left" w:pos="0"/>
        </w:tabs>
        <w:suppressAutoHyphens/>
        <w:rPr>
          <w:rFonts w:ascii="Times New Roman" w:hAnsi="Times New Roman"/>
          <w:szCs w:val="24"/>
        </w:rPr>
      </w:pPr>
    </w:p>
    <w:p w:rsidR="00E11A38" w:rsidRDefault="003F2C34" w:rsidP="009F7E1A">
      <w:pPr>
        <w:tabs>
          <w:tab w:val="left" w:pos="-720"/>
        </w:tabs>
        <w:suppressAutoHyphens/>
        <w:spacing w:line="480" w:lineRule="auto"/>
        <w:rPr>
          <w:rFonts w:ascii="Times New Roman" w:hAnsi="Times New Roman"/>
          <w:szCs w:val="24"/>
        </w:rPr>
      </w:pPr>
      <w:r w:rsidRPr="003F2C34">
        <w:rPr>
          <w:rFonts w:ascii="Times New Roman" w:hAnsi="Times New Roman"/>
          <w:szCs w:val="24"/>
        </w:rPr>
        <w:t>Information being requested or required has been held to the minimum required for the intended use.  Although two smaller State, Local, or Tribal Government Agencies are involved in this data collection effort, they deliver</w:t>
      </w:r>
      <w:r w:rsidR="00DE2A72">
        <w:rPr>
          <w:rFonts w:ascii="Times New Roman" w:hAnsi="Times New Roman"/>
          <w:szCs w:val="24"/>
        </w:rPr>
        <w:t xml:space="preserve"> the same P</w:t>
      </w:r>
      <w:r w:rsidRPr="003F2C34">
        <w:rPr>
          <w:rFonts w:ascii="Times New Roman" w:hAnsi="Times New Roman"/>
          <w:szCs w:val="24"/>
        </w:rPr>
        <w:t>rogram benefits and perform the same func</w:t>
      </w:r>
      <w:r w:rsidR="00DE2A72">
        <w:rPr>
          <w:rFonts w:ascii="Times New Roman" w:hAnsi="Times New Roman"/>
          <w:szCs w:val="24"/>
        </w:rPr>
        <w:t>tion as any other State Agency</w:t>
      </w:r>
      <w:r w:rsidRPr="003F2C34">
        <w:rPr>
          <w:rFonts w:ascii="Times New Roman" w:hAnsi="Times New Roman"/>
          <w:szCs w:val="24"/>
        </w:rPr>
        <w:t xml:space="preserve">.  </w:t>
      </w:r>
      <w:r w:rsidR="00DE2A72" w:rsidRPr="00DE2A72">
        <w:rPr>
          <w:rFonts w:ascii="Times New Roman" w:hAnsi="Times New Roman"/>
          <w:szCs w:val="24"/>
        </w:rPr>
        <w:t>Circumstances limit the flexibility in modifying the reporting requirements to comply with statutory requirements and to protect Program integrity.</w:t>
      </w:r>
    </w:p>
    <w:p w:rsidR="003F2C34" w:rsidRPr="002568E6" w:rsidRDefault="003F2C34" w:rsidP="009F7E1A">
      <w:pPr>
        <w:tabs>
          <w:tab w:val="left" w:pos="-720"/>
        </w:tabs>
        <w:suppressAutoHyphens/>
        <w:spacing w:line="480" w:lineRule="auto"/>
        <w:rPr>
          <w:rFonts w:ascii="Times New Roman" w:hAnsi="Times New Roman"/>
          <w:spacing w:val="-3"/>
          <w:szCs w:val="24"/>
        </w:rPr>
      </w:pPr>
    </w:p>
    <w:p w:rsidR="00A308DB" w:rsidRPr="00F2461C" w:rsidRDefault="005A3F80" w:rsidP="0062567E">
      <w:pPr>
        <w:pStyle w:val="Heading1"/>
        <w:rPr>
          <w:szCs w:val="24"/>
        </w:rPr>
      </w:pPr>
      <w:bookmarkStart w:id="10" w:name="_Toc401831362"/>
      <w:bookmarkStart w:id="11" w:name="_Toc401832406"/>
      <w:r w:rsidRPr="00F2461C">
        <w:rPr>
          <w:szCs w:val="24"/>
        </w:rPr>
        <w:t xml:space="preserve">A6.  </w:t>
      </w:r>
      <w:proofErr w:type="gramStart"/>
      <w:r w:rsidRPr="00F2461C">
        <w:rPr>
          <w:szCs w:val="24"/>
        </w:rPr>
        <w:t xml:space="preserve">Consequences </w:t>
      </w:r>
      <w:r w:rsidR="00826253" w:rsidRPr="00F2461C">
        <w:rPr>
          <w:szCs w:val="24"/>
        </w:rPr>
        <w:t xml:space="preserve">of collecting the </w:t>
      </w:r>
      <w:r w:rsidR="00DA0E06" w:rsidRPr="00F2461C">
        <w:rPr>
          <w:szCs w:val="24"/>
        </w:rPr>
        <w:t>i</w:t>
      </w:r>
      <w:r w:rsidR="00826253" w:rsidRPr="00F2461C">
        <w:rPr>
          <w:szCs w:val="24"/>
        </w:rPr>
        <w:t xml:space="preserve">nformation </w:t>
      </w:r>
      <w:r w:rsidRPr="00F2461C">
        <w:rPr>
          <w:szCs w:val="24"/>
        </w:rPr>
        <w:t>less frequently.</w:t>
      </w:r>
      <w:bookmarkEnd w:id="10"/>
      <w:bookmarkEnd w:id="11"/>
      <w:proofErr w:type="gramEnd"/>
      <w:r w:rsidRPr="00F2461C">
        <w:rPr>
          <w:szCs w:val="24"/>
        </w:rPr>
        <w:t xml:space="preserve">  </w:t>
      </w:r>
    </w:p>
    <w:p w:rsidR="003333DF" w:rsidRPr="00F2461C" w:rsidRDefault="003333DF" w:rsidP="005C04BB">
      <w:pPr>
        <w:tabs>
          <w:tab w:val="left" w:pos="0"/>
        </w:tabs>
        <w:suppressAutoHyphens/>
        <w:rPr>
          <w:rFonts w:ascii="Times New Roman" w:hAnsi="Times New Roman"/>
          <w:szCs w:val="24"/>
        </w:rPr>
      </w:pPr>
    </w:p>
    <w:p w:rsidR="003333DF" w:rsidRPr="00F2461C" w:rsidRDefault="003333DF" w:rsidP="0062567E">
      <w:pPr>
        <w:rPr>
          <w:rFonts w:ascii="Times New Roman" w:hAnsi="Times New Roman"/>
          <w:b/>
          <w:szCs w:val="24"/>
        </w:rPr>
      </w:pPr>
      <w:r w:rsidRPr="00F2461C">
        <w:rPr>
          <w:rFonts w:ascii="Times New Roman" w:hAnsi="Times New Roman"/>
          <w:b/>
          <w:szCs w:val="24"/>
        </w:rPr>
        <w:t>Describe the consequence to Federal program or policy activities if the collect</w:t>
      </w:r>
      <w:r w:rsidR="00E315C8" w:rsidRPr="00F2461C">
        <w:rPr>
          <w:rFonts w:ascii="Times New Roman" w:hAnsi="Times New Roman"/>
          <w:b/>
          <w:szCs w:val="24"/>
        </w:rPr>
        <w:t>ion is not conducted, or is conducted less frequent</w:t>
      </w:r>
      <w:r w:rsidRPr="00F2461C">
        <w:rPr>
          <w:rFonts w:ascii="Times New Roman" w:hAnsi="Times New Roman"/>
          <w:b/>
          <w:szCs w:val="24"/>
        </w:rPr>
        <w:t>ly, as well as any technical or legal obstacles to reducing burden.</w:t>
      </w:r>
    </w:p>
    <w:p w:rsidR="00E11A38" w:rsidRPr="00F2461C" w:rsidRDefault="00E11A38" w:rsidP="00E11A38">
      <w:pPr>
        <w:tabs>
          <w:tab w:val="left" w:pos="-720"/>
        </w:tabs>
        <w:suppressAutoHyphens/>
        <w:rPr>
          <w:rFonts w:ascii="Times New Roman" w:hAnsi="Times New Roman"/>
          <w:szCs w:val="24"/>
        </w:rPr>
      </w:pPr>
    </w:p>
    <w:p w:rsidR="00D81A25" w:rsidRPr="00F2461C" w:rsidRDefault="005C7771" w:rsidP="00E11A38">
      <w:pPr>
        <w:tabs>
          <w:tab w:val="left" w:pos="-720"/>
        </w:tabs>
        <w:suppressAutoHyphens/>
        <w:spacing w:line="480" w:lineRule="auto"/>
        <w:rPr>
          <w:rFonts w:ascii="Times New Roman" w:hAnsi="Times New Roman"/>
          <w:szCs w:val="24"/>
        </w:rPr>
      </w:pPr>
      <w:r w:rsidRPr="00F2461C">
        <w:rPr>
          <w:rFonts w:ascii="Times New Roman" w:hAnsi="Times New Roman"/>
          <w:szCs w:val="24"/>
          <w:u w:val="single"/>
        </w:rPr>
        <w:t>National Directory of New Hires</w:t>
      </w:r>
      <w:r w:rsidRPr="00F2461C">
        <w:rPr>
          <w:rFonts w:ascii="Times New Roman" w:hAnsi="Times New Roman"/>
          <w:szCs w:val="24"/>
        </w:rPr>
        <w:t xml:space="preserve"> - </w:t>
      </w:r>
      <w:r w:rsidR="00D81A25" w:rsidRPr="00F2461C">
        <w:rPr>
          <w:rFonts w:ascii="Times New Roman" w:hAnsi="Times New Roman"/>
          <w:szCs w:val="24"/>
        </w:rPr>
        <w:t xml:space="preserve">The Agricultural Act of 2014 mandates the verification of employment via NDNH at certification, including recertification; thus, conducting the match less frequently would be </w:t>
      </w:r>
      <w:r w:rsidR="00F2461C">
        <w:rPr>
          <w:rFonts w:ascii="Times New Roman" w:hAnsi="Times New Roman"/>
          <w:szCs w:val="24"/>
        </w:rPr>
        <w:t>non-compliant</w:t>
      </w:r>
      <w:r w:rsidR="00D81A25" w:rsidRPr="00F2461C">
        <w:rPr>
          <w:rFonts w:ascii="Times New Roman" w:hAnsi="Times New Roman"/>
          <w:szCs w:val="24"/>
        </w:rPr>
        <w:t xml:space="preserve"> with Federal statute.  </w:t>
      </w:r>
    </w:p>
    <w:p w:rsidR="00D81A25" w:rsidRPr="00F2461C" w:rsidRDefault="00D81A25" w:rsidP="00E11A38">
      <w:pPr>
        <w:tabs>
          <w:tab w:val="left" w:pos="-720"/>
        </w:tabs>
        <w:suppressAutoHyphens/>
        <w:spacing w:line="480" w:lineRule="auto"/>
        <w:rPr>
          <w:rFonts w:ascii="Times New Roman" w:hAnsi="Times New Roman"/>
          <w:szCs w:val="24"/>
        </w:rPr>
      </w:pPr>
    </w:p>
    <w:p w:rsidR="00D81A25" w:rsidRPr="002568E6" w:rsidRDefault="005C7771" w:rsidP="00E11A38">
      <w:pPr>
        <w:tabs>
          <w:tab w:val="left" w:pos="-720"/>
        </w:tabs>
        <w:suppressAutoHyphens/>
        <w:spacing w:line="480" w:lineRule="auto"/>
        <w:rPr>
          <w:rFonts w:ascii="Times New Roman" w:hAnsi="Times New Roman"/>
          <w:szCs w:val="24"/>
        </w:rPr>
      </w:pPr>
      <w:r w:rsidRPr="00F2461C">
        <w:rPr>
          <w:rFonts w:ascii="Times New Roman" w:hAnsi="Times New Roman"/>
          <w:szCs w:val="24"/>
          <w:u w:val="single"/>
        </w:rPr>
        <w:t>Program Activity Statement</w:t>
      </w:r>
      <w:r w:rsidRPr="00F2461C">
        <w:rPr>
          <w:rFonts w:ascii="Times New Roman" w:hAnsi="Times New Roman"/>
          <w:szCs w:val="24"/>
        </w:rPr>
        <w:t xml:space="preserve"> - </w:t>
      </w:r>
      <w:r w:rsidR="00D81A25" w:rsidRPr="00F2461C">
        <w:rPr>
          <w:rFonts w:ascii="Times New Roman" w:hAnsi="Times New Roman"/>
          <w:szCs w:val="24"/>
        </w:rPr>
        <w:t xml:space="preserve">The Program Activity Statement is currently collected annually and </w:t>
      </w:r>
      <w:r w:rsidR="00624639" w:rsidRPr="00F2461C">
        <w:rPr>
          <w:rFonts w:ascii="Times New Roman" w:hAnsi="Times New Roman"/>
          <w:szCs w:val="24"/>
        </w:rPr>
        <w:t xml:space="preserve">FNS has determined this frequency is not timely enough to </w:t>
      </w:r>
      <w:r w:rsidRPr="00F2461C">
        <w:rPr>
          <w:rFonts w:ascii="Times New Roman" w:hAnsi="Times New Roman"/>
          <w:szCs w:val="24"/>
        </w:rPr>
        <w:t>effectively monitor State activity levels and performance</w:t>
      </w:r>
      <w:r w:rsidR="00D81A25" w:rsidRPr="00F2461C">
        <w:rPr>
          <w:rFonts w:ascii="Times New Roman" w:hAnsi="Times New Roman"/>
          <w:szCs w:val="24"/>
        </w:rPr>
        <w:t xml:space="preserve">.  </w:t>
      </w:r>
      <w:r w:rsidRPr="00F2461C">
        <w:rPr>
          <w:rFonts w:ascii="Times New Roman" w:hAnsi="Times New Roman"/>
          <w:szCs w:val="24"/>
        </w:rPr>
        <w:t>By continuing to collect the Program Activity Statement on an annual basis instead of increasing the frequency to quarterly, FNS will</w:t>
      </w:r>
      <w:r w:rsidR="00F2461C" w:rsidRPr="00F2461C">
        <w:rPr>
          <w:rFonts w:ascii="Times New Roman" w:hAnsi="Times New Roman"/>
          <w:szCs w:val="24"/>
        </w:rPr>
        <w:t xml:space="preserve"> be unable to identify trends, inconsistencies and inefficiencies earlier in each fiscal year.</w:t>
      </w:r>
    </w:p>
    <w:p w:rsidR="00A308DB" w:rsidRPr="002568E6" w:rsidRDefault="00213436" w:rsidP="0062567E">
      <w:pPr>
        <w:pStyle w:val="Heading1"/>
        <w:rPr>
          <w:szCs w:val="24"/>
        </w:rPr>
      </w:pPr>
      <w:bookmarkStart w:id="12" w:name="_Toc401831363"/>
      <w:bookmarkStart w:id="13" w:name="_Toc401832407"/>
      <w:r w:rsidRPr="002568E6">
        <w:rPr>
          <w:szCs w:val="24"/>
        </w:rPr>
        <w:t xml:space="preserve">A7.  </w:t>
      </w:r>
      <w:proofErr w:type="gramStart"/>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2"/>
      <w:bookmarkEnd w:id="13"/>
      <w:proofErr w:type="gramEnd"/>
      <w:r w:rsidRPr="002568E6">
        <w:rPr>
          <w:szCs w:val="24"/>
        </w:rPr>
        <w:t xml:space="preserve">  </w:t>
      </w:r>
    </w:p>
    <w:p w:rsidR="00A308DB" w:rsidRPr="002568E6" w:rsidRDefault="00A308DB" w:rsidP="00213436">
      <w:pPr>
        <w:tabs>
          <w:tab w:val="left" w:pos="0"/>
        </w:tabs>
        <w:suppressAutoHyphens/>
        <w:rPr>
          <w:rFonts w:ascii="Times New Roman" w:hAnsi="Times New Roman"/>
          <w:szCs w:val="24"/>
        </w:rPr>
      </w:pPr>
    </w:p>
    <w:p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rsidR="003333DF" w:rsidRPr="005C7771" w:rsidRDefault="003333DF" w:rsidP="005C7771">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rsidR="00E11A38" w:rsidRPr="002568E6" w:rsidRDefault="00E11A38" w:rsidP="005C7771">
      <w:pPr>
        <w:tabs>
          <w:tab w:val="left" w:pos="-720"/>
        </w:tabs>
        <w:suppressAutoHyphens/>
        <w:spacing w:line="480" w:lineRule="auto"/>
        <w:rPr>
          <w:rFonts w:ascii="Times New Roman" w:hAnsi="Times New Roman"/>
          <w:szCs w:val="24"/>
        </w:rPr>
      </w:pPr>
    </w:p>
    <w:p w:rsidR="00BE0B08" w:rsidRDefault="003F2C34" w:rsidP="005C7771">
      <w:pPr>
        <w:tabs>
          <w:tab w:val="left" w:pos="0"/>
        </w:tabs>
        <w:suppressAutoHyphens/>
        <w:spacing w:line="480" w:lineRule="auto"/>
        <w:rPr>
          <w:rFonts w:ascii="Times New Roman" w:hAnsi="Times New Roman"/>
          <w:szCs w:val="24"/>
        </w:rPr>
      </w:pPr>
      <w:r w:rsidRPr="003F2C34">
        <w:rPr>
          <w:rFonts w:ascii="Times New Roman" w:hAnsi="Times New Roman"/>
          <w:szCs w:val="24"/>
        </w:rPr>
        <w:t>There are no special circumstances.  The collection of information is conducted in a manner consistent with the guidelines in 5 CFR 1320.5.</w:t>
      </w:r>
    </w:p>
    <w:p w:rsidR="003F2C34" w:rsidRPr="002568E6" w:rsidRDefault="003F2C34" w:rsidP="00BE0B08">
      <w:pPr>
        <w:tabs>
          <w:tab w:val="left" w:pos="0"/>
        </w:tabs>
        <w:suppressAutoHyphens/>
        <w:rPr>
          <w:rFonts w:ascii="Times New Roman" w:hAnsi="Times New Roman"/>
          <w:szCs w:val="24"/>
        </w:rPr>
      </w:pPr>
    </w:p>
    <w:p w:rsidR="00BE0B08" w:rsidRPr="002568E6" w:rsidRDefault="00BE0B08" w:rsidP="0062567E">
      <w:pPr>
        <w:pStyle w:val="Heading1"/>
        <w:rPr>
          <w:szCs w:val="24"/>
        </w:rPr>
      </w:pPr>
      <w:bookmarkStart w:id="14" w:name="_Toc401831364"/>
      <w:bookmarkStart w:id="15" w:name="_Toc401832408"/>
      <w:r w:rsidRPr="002568E6">
        <w:rPr>
          <w:szCs w:val="24"/>
        </w:rPr>
        <w:t xml:space="preserve">A8.  </w:t>
      </w:r>
      <w:proofErr w:type="gramStart"/>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4"/>
      <w:bookmarkEnd w:id="15"/>
      <w:proofErr w:type="gramEnd"/>
      <w:r w:rsidRPr="002568E6">
        <w:rPr>
          <w:szCs w:val="24"/>
        </w:rPr>
        <w:t xml:space="preserve">  </w:t>
      </w:r>
    </w:p>
    <w:p w:rsidR="003333DF" w:rsidRPr="002568E6" w:rsidRDefault="003333DF" w:rsidP="005917B8">
      <w:pPr>
        <w:tabs>
          <w:tab w:val="left" w:pos="450"/>
        </w:tabs>
        <w:suppressAutoHyphens/>
        <w:ind w:left="450" w:hanging="450"/>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RDefault="003333DF"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RDefault="003333DF"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Default="00ED28F2" w:rsidP="00B44E8E">
      <w:pPr>
        <w:tabs>
          <w:tab w:val="left" w:pos="-720"/>
        </w:tabs>
        <w:suppressAutoHyphens/>
        <w:spacing w:line="480" w:lineRule="auto"/>
        <w:rPr>
          <w:rFonts w:ascii="Times New Roman" w:hAnsi="Times New Roman"/>
          <w:szCs w:val="24"/>
        </w:rPr>
      </w:pPr>
      <w:bookmarkStart w:id="16" w:name="OLE_LINK1"/>
      <w:bookmarkStart w:id="17" w:name="OLE_LINK2"/>
    </w:p>
    <w:p w:rsidR="00C9463E" w:rsidRPr="00B7232F" w:rsidRDefault="00C9463E" w:rsidP="002478AF">
      <w:pPr>
        <w:spacing w:line="480" w:lineRule="auto"/>
        <w:rPr>
          <w:rFonts w:ascii="Times New Roman" w:hAnsi="Times New Roman"/>
        </w:rPr>
      </w:pPr>
      <w:r w:rsidRPr="00B7232F">
        <w:rPr>
          <w:rFonts w:ascii="Times New Roman" w:hAnsi="Times New Roman"/>
        </w:rPr>
        <w:t xml:space="preserve">FNS interim rule will describe its information </w:t>
      </w:r>
      <w:r w:rsidR="002478AF" w:rsidRPr="00B7232F">
        <w:rPr>
          <w:rFonts w:ascii="Times New Roman" w:hAnsi="Times New Roman"/>
        </w:rPr>
        <w:t>data collection</w:t>
      </w:r>
      <w:r w:rsidRPr="00B7232F">
        <w:rPr>
          <w:rFonts w:ascii="Times New Roman" w:hAnsi="Times New Roman"/>
        </w:rPr>
        <w:t xml:space="preserve"> requirements and also provide a 60-day comment period.  During this time, interested members of the public will have the opportunity to provide FNS with their input concerning the usefulness, legitimacy, and merit of the information collection activities FNS </w:t>
      </w:r>
      <w:r w:rsidR="002478AF" w:rsidRPr="00B7232F">
        <w:rPr>
          <w:rFonts w:ascii="Times New Roman" w:hAnsi="Times New Roman"/>
        </w:rPr>
        <w:t>is seeking</w:t>
      </w:r>
      <w:r w:rsidRPr="00B7232F">
        <w:rPr>
          <w:rFonts w:ascii="Times New Roman" w:hAnsi="Times New Roman"/>
        </w:rPr>
        <w:t>.</w:t>
      </w:r>
    </w:p>
    <w:p w:rsidR="00C9463E" w:rsidRDefault="00C9463E" w:rsidP="00B44E8E">
      <w:pPr>
        <w:tabs>
          <w:tab w:val="left" w:pos="-720"/>
        </w:tabs>
        <w:suppressAutoHyphens/>
        <w:spacing w:line="480" w:lineRule="auto"/>
        <w:rPr>
          <w:rFonts w:ascii="Times New Roman" w:hAnsi="Times New Roman"/>
          <w:szCs w:val="24"/>
          <w:u w:val="single"/>
        </w:rPr>
      </w:pPr>
    </w:p>
    <w:p w:rsidR="00B44E8E" w:rsidRDefault="005C7771" w:rsidP="00B44E8E">
      <w:pPr>
        <w:tabs>
          <w:tab w:val="left" w:pos="-720"/>
        </w:tabs>
        <w:suppressAutoHyphens/>
        <w:spacing w:line="480" w:lineRule="auto"/>
        <w:rPr>
          <w:rFonts w:ascii="Times New Roman" w:hAnsi="Times New Roman"/>
          <w:szCs w:val="24"/>
        </w:rPr>
      </w:pPr>
      <w:r w:rsidRPr="005C7771">
        <w:rPr>
          <w:rFonts w:ascii="Times New Roman" w:hAnsi="Times New Roman"/>
          <w:szCs w:val="24"/>
          <w:u w:val="single"/>
        </w:rPr>
        <w:t>National Directory of New Hires</w:t>
      </w:r>
      <w:r>
        <w:rPr>
          <w:rFonts w:ascii="Times New Roman" w:hAnsi="Times New Roman"/>
          <w:szCs w:val="24"/>
        </w:rPr>
        <w:t xml:space="preserve"> – FNS has had multiple opportunities</w:t>
      </w:r>
      <w:r w:rsidR="00B44E8E">
        <w:rPr>
          <w:rFonts w:ascii="Times New Roman" w:hAnsi="Times New Roman"/>
          <w:szCs w:val="24"/>
        </w:rPr>
        <w:t xml:space="preserve"> to consult with our State agencies and national association</w:t>
      </w:r>
      <w:r>
        <w:rPr>
          <w:rFonts w:ascii="Times New Roman" w:hAnsi="Times New Roman"/>
          <w:szCs w:val="24"/>
        </w:rPr>
        <w:t xml:space="preserve"> partners on this new requirement.  </w:t>
      </w:r>
    </w:p>
    <w:p w:rsidR="005C7771" w:rsidRDefault="00B44E8E" w:rsidP="00B44E8E">
      <w:pPr>
        <w:pStyle w:val="ListParagraph"/>
        <w:numPr>
          <w:ilvl w:val="0"/>
          <w:numId w:val="20"/>
        </w:numPr>
        <w:rPr>
          <w:szCs w:val="24"/>
        </w:rPr>
      </w:pPr>
      <w:r w:rsidRPr="00B44E8E">
        <w:rPr>
          <w:szCs w:val="24"/>
        </w:rPr>
        <w:t xml:space="preserve">FNS hosted two joint </w:t>
      </w:r>
      <w:r>
        <w:rPr>
          <w:szCs w:val="24"/>
        </w:rPr>
        <w:t xml:space="preserve">informational </w:t>
      </w:r>
      <w:r w:rsidRPr="00B44E8E">
        <w:rPr>
          <w:szCs w:val="24"/>
        </w:rPr>
        <w:t>calls with</w:t>
      </w:r>
      <w:r>
        <w:rPr>
          <w:szCs w:val="24"/>
        </w:rPr>
        <w:t xml:space="preserve"> HHS</w:t>
      </w:r>
      <w:r w:rsidRPr="00B44E8E">
        <w:rPr>
          <w:szCs w:val="24"/>
        </w:rPr>
        <w:t xml:space="preserve"> April 10</w:t>
      </w:r>
      <w:r>
        <w:rPr>
          <w:szCs w:val="24"/>
        </w:rPr>
        <w:t>, 2014,</w:t>
      </w:r>
      <w:r w:rsidRPr="00B44E8E">
        <w:rPr>
          <w:szCs w:val="24"/>
        </w:rPr>
        <w:t xml:space="preserve"> and April 16, 2014, to provide an overview </w:t>
      </w:r>
      <w:r>
        <w:rPr>
          <w:szCs w:val="24"/>
        </w:rPr>
        <w:t xml:space="preserve">to State agencies </w:t>
      </w:r>
      <w:r w:rsidRPr="00B44E8E">
        <w:rPr>
          <w:szCs w:val="24"/>
        </w:rPr>
        <w:t xml:space="preserve">of the requirements and field questions from States on implementation.  </w:t>
      </w:r>
      <w:r>
        <w:rPr>
          <w:szCs w:val="24"/>
        </w:rPr>
        <w:t>Representatives from all 53 State agencies participated in both calls.</w:t>
      </w:r>
    </w:p>
    <w:p w:rsidR="00B44E8E" w:rsidRDefault="00B44E8E" w:rsidP="00B44E8E">
      <w:pPr>
        <w:pStyle w:val="ListParagraph"/>
        <w:numPr>
          <w:ilvl w:val="0"/>
          <w:numId w:val="20"/>
        </w:numPr>
        <w:rPr>
          <w:szCs w:val="24"/>
        </w:rPr>
      </w:pPr>
      <w:r>
        <w:rPr>
          <w:szCs w:val="24"/>
        </w:rPr>
        <w:t>FNS participates in monthly calls with the American Public</w:t>
      </w:r>
      <w:r w:rsidR="00B421EB">
        <w:rPr>
          <w:szCs w:val="24"/>
        </w:rPr>
        <w:t xml:space="preserve"> </w:t>
      </w:r>
      <w:r>
        <w:rPr>
          <w:szCs w:val="24"/>
        </w:rPr>
        <w:t>H</w:t>
      </w:r>
      <w:r w:rsidR="00540C0C">
        <w:rPr>
          <w:szCs w:val="24"/>
        </w:rPr>
        <w:t xml:space="preserve">uman </w:t>
      </w:r>
      <w:r>
        <w:rPr>
          <w:szCs w:val="24"/>
        </w:rPr>
        <w:t>Services Association (APHSA), and NDNH was an agenda item on the following dates:</w:t>
      </w:r>
    </w:p>
    <w:p w:rsidR="00B44E8E" w:rsidRDefault="00B44E8E" w:rsidP="00B44E8E">
      <w:pPr>
        <w:pStyle w:val="ListParagraph"/>
        <w:numPr>
          <w:ilvl w:val="1"/>
          <w:numId w:val="20"/>
        </w:numPr>
        <w:rPr>
          <w:szCs w:val="24"/>
        </w:rPr>
      </w:pPr>
      <w:r>
        <w:rPr>
          <w:szCs w:val="24"/>
        </w:rPr>
        <w:t>July 24, 2014</w:t>
      </w:r>
    </w:p>
    <w:p w:rsidR="00B44E8E" w:rsidRDefault="00B44E8E" w:rsidP="00B44E8E">
      <w:pPr>
        <w:pStyle w:val="ListParagraph"/>
        <w:numPr>
          <w:ilvl w:val="1"/>
          <w:numId w:val="20"/>
        </w:numPr>
        <w:rPr>
          <w:szCs w:val="24"/>
        </w:rPr>
      </w:pPr>
      <w:r>
        <w:rPr>
          <w:szCs w:val="24"/>
        </w:rPr>
        <w:t>September 25, 2014</w:t>
      </w:r>
    </w:p>
    <w:p w:rsidR="00B44E8E" w:rsidRDefault="00B44E8E" w:rsidP="00B44E8E">
      <w:pPr>
        <w:pStyle w:val="ListParagraph"/>
        <w:numPr>
          <w:ilvl w:val="1"/>
          <w:numId w:val="20"/>
        </w:numPr>
        <w:rPr>
          <w:szCs w:val="24"/>
        </w:rPr>
      </w:pPr>
      <w:r>
        <w:rPr>
          <w:szCs w:val="24"/>
        </w:rPr>
        <w:t>January 22, 2015</w:t>
      </w:r>
    </w:p>
    <w:p w:rsidR="00B44E8E" w:rsidRDefault="00B44E8E" w:rsidP="00B44E8E">
      <w:pPr>
        <w:pStyle w:val="ListParagraph"/>
        <w:numPr>
          <w:ilvl w:val="1"/>
          <w:numId w:val="20"/>
        </w:numPr>
        <w:rPr>
          <w:szCs w:val="24"/>
        </w:rPr>
      </w:pPr>
      <w:r>
        <w:rPr>
          <w:szCs w:val="24"/>
        </w:rPr>
        <w:t>April 23, 2015, and</w:t>
      </w:r>
    </w:p>
    <w:p w:rsidR="00B44E8E" w:rsidRPr="00B44E8E" w:rsidRDefault="00B44E8E" w:rsidP="00B44E8E">
      <w:pPr>
        <w:pStyle w:val="ListParagraph"/>
        <w:numPr>
          <w:ilvl w:val="1"/>
          <w:numId w:val="20"/>
        </w:numPr>
        <w:rPr>
          <w:szCs w:val="24"/>
        </w:rPr>
      </w:pPr>
      <w:r>
        <w:rPr>
          <w:szCs w:val="24"/>
        </w:rPr>
        <w:t>May 28, 2015</w:t>
      </w:r>
    </w:p>
    <w:p w:rsidR="005C7771" w:rsidRDefault="005C7771" w:rsidP="00ED28F2">
      <w:pPr>
        <w:tabs>
          <w:tab w:val="left" w:pos="-720"/>
        </w:tabs>
        <w:suppressAutoHyphens/>
        <w:rPr>
          <w:rFonts w:ascii="Times New Roman" w:hAnsi="Times New Roman"/>
          <w:szCs w:val="24"/>
        </w:rPr>
      </w:pPr>
    </w:p>
    <w:p w:rsidR="005C7771" w:rsidRPr="002568E6" w:rsidRDefault="005C7771" w:rsidP="00ED28F2">
      <w:pPr>
        <w:tabs>
          <w:tab w:val="left" w:pos="-720"/>
        </w:tabs>
        <w:suppressAutoHyphens/>
        <w:rPr>
          <w:rFonts w:ascii="Times New Roman" w:hAnsi="Times New Roman"/>
          <w:szCs w:val="24"/>
        </w:rPr>
      </w:pPr>
    </w:p>
    <w:p w:rsidR="005C7771" w:rsidRDefault="005C7771" w:rsidP="00ED28F2">
      <w:pPr>
        <w:tabs>
          <w:tab w:val="left" w:pos="-720"/>
        </w:tabs>
        <w:suppressAutoHyphens/>
        <w:spacing w:line="480" w:lineRule="auto"/>
        <w:rPr>
          <w:rFonts w:ascii="Times New Roman" w:hAnsi="Times New Roman"/>
          <w:szCs w:val="24"/>
        </w:rPr>
      </w:pPr>
      <w:r w:rsidRPr="00405F43">
        <w:rPr>
          <w:rFonts w:ascii="Times New Roman" w:hAnsi="Times New Roman"/>
          <w:szCs w:val="24"/>
          <w:u w:val="single"/>
        </w:rPr>
        <w:t>Program Activity Statement</w:t>
      </w:r>
      <w:r w:rsidR="00920B6E" w:rsidRPr="00405F43">
        <w:rPr>
          <w:rFonts w:ascii="Times New Roman" w:hAnsi="Times New Roman"/>
          <w:szCs w:val="24"/>
          <w:u w:val="single"/>
        </w:rPr>
        <w:t xml:space="preserve"> (FNS 366 B)</w:t>
      </w:r>
      <w:r w:rsidRPr="00405F43">
        <w:rPr>
          <w:rFonts w:ascii="Times New Roman" w:hAnsi="Times New Roman"/>
          <w:szCs w:val="24"/>
        </w:rPr>
        <w:t xml:space="preserve"> - </w:t>
      </w:r>
      <w:r w:rsidR="00B44E8E" w:rsidRPr="00405F43">
        <w:rPr>
          <w:rFonts w:ascii="Times New Roman" w:hAnsi="Times New Roman"/>
          <w:szCs w:val="24"/>
        </w:rPr>
        <w:t>FNS published a Request for Information (RFI) in the Federal Register on October 1</w:t>
      </w:r>
      <w:r w:rsidR="00C9463E" w:rsidRPr="00405F43">
        <w:rPr>
          <w:rFonts w:ascii="Times New Roman" w:hAnsi="Times New Roman"/>
          <w:szCs w:val="24"/>
        </w:rPr>
        <w:t>6</w:t>
      </w:r>
      <w:r w:rsidR="00B44E8E" w:rsidRPr="00405F43">
        <w:rPr>
          <w:rFonts w:ascii="Times New Roman" w:hAnsi="Times New Roman"/>
          <w:szCs w:val="24"/>
        </w:rPr>
        <w:t xml:space="preserve">, 2014, seeking State agency feedback on </w:t>
      </w:r>
      <w:r w:rsidR="009258EB" w:rsidRPr="00405F43">
        <w:rPr>
          <w:rFonts w:ascii="Times New Roman" w:hAnsi="Times New Roman"/>
          <w:szCs w:val="24"/>
        </w:rPr>
        <w:t>potential revisions to the Program Activity Statement, including an increase in frequency</w:t>
      </w:r>
      <w:r w:rsidR="00B44E8E" w:rsidRPr="00405F43">
        <w:rPr>
          <w:rFonts w:ascii="Times New Roman" w:hAnsi="Times New Roman"/>
          <w:szCs w:val="24"/>
        </w:rPr>
        <w:t>.  FNS received responses from 17 State agencies and 1 national organization</w:t>
      </w:r>
      <w:r w:rsidR="009258EB" w:rsidRPr="00405F43">
        <w:rPr>
          <w:rFonts w:ascii="Times New Roman" w:hAnsi="Times New Roman"/>
          <w:szCs w:val="24"/>
        </w:rPr>
        <w:t>,</w:t>
      </w:r>
      <w:r w:rsidR="00B44E8E" w:rsidRPr="00405F43">
        <w:rPr>
          <w:rFonts w:ascii="Times New Roman" w:hAnsi="Times New Roman"/>
          <w:szCs w:val="24"/>
        </w:rPr>
        <w:t xml:space="preserve"> and the feedback was generally </w:t>
      </w:r>
      <w:r w:rsidR="009258EB" w:rsidRPr="00405F43">
        <w:rPr>
          <w:rFonts w:ascii="Times New Roman" w:hAnsi="Times New Roman"/>
          <w:szCs w:val="24"/>
        </w:rPr>
        <w:t>positive</w:t>
      </w:r>
      <w:r w:rsidR="00B44E8E" w:rsidRPr="00405F43">
        <w:rPr>
          <w:rFonts w:ascii="Times New Roman" w:hAnsi="Times New Roman"/>
          <w:szCs w:val="24"/>
        </w:rPr>
        <w:t>.</w:t>
      </w:r>
      <w:r w:rsidR="009258EB" w:rsidRPr="00405F43">
        <w:rPr>
          <w:rFonts w:ascii="Times New Roman" w:hAnsi="Times New Roman"/>
          <w:szCs w:val="24"/>
        </w:rPr>
        <w:t xml:space="preserve">  </w:t>
      </w:r>
      <w:r w:rsidR="00B7232F" w:rsidRPr="00405F43">
        <w:rPr>
          <w:rFonts w:ascii="Times New Roman" w:hAnsi="Times New Roman"/>
          <w:szCs w:val="24"/>
        </w:rPr>
        <w:t>Fifteen</w:t>
      </w:r>
      <w:r w:rsidR="009258EB" w:rsidRPr="00405F43">
        <w:rPr>
          <w:rFonts w:ascii="Times New Roman" w:hAnsi="Times New Roman"/>
          <w:szCs w:val="24"/>
        </w:rPr>
        <w:t xml:space="preserve"> </w:t>
      </w:r>
      <w:r w:rsidR="00B7232F" w:rsidRPr="00405F43">
        <w:rPr>
          <w:rFonts w:ascii="Times New Roman" w:hAnsi="Times New Roman"/>
          <w:szCs w:val="24"/>
        </w:rPr>
        <w:t xml:space="preserve">(15) </w:t>
      </w:r>
      <w:r w:rsidR="009258EB" w:rsidRPr="00405F43">
        <w:rPr>
          <w:rFonts w:ascii="Times New Roman" w:hAnsi="Times New Roman"/>
          <w:szCs w:val="24"/>
        </w:rPr>
        <w:t>State agencies responded that completing the Program Activity Statement more frequently would have either no impact (7 States) or a minor impact (8 States) on level of effort and resources dedicated to the form.</w:t>
      </w:r>
      <w:r w:rsidR="009258EB">
        <w:rPr>
          <w:rFonts w:ascii="Times New Roman" w:hAnsi="Times New Roman"/>
          <w:szCs w:val="24"/>
        </w:rPr>
        <w:t xml:space="preserve">  </w:t>
      </w:r>
      <w:r w:rsidR="004C69DF">
        <w:rPr>
          <w:rFonts w:ascii="Times New Roman" w:hAnsi="Times New Roman"/>
          <w:szCs w:val="24"/>
        </w:rPr>
        <w:t>One (1) State and one (1)</w:t>
      </w:r>
      <w:r w:rsidR="00BC5943">
        <w:rPr>
          <w:rFonts w:ascii="Times New Roman" w:hAnsi="Times New Roman"/>
          <w:szCs w:val="24"/>
        </w:rPr>
        <w:t xml:space="preserve"> n</w:t>
      </w:r>
      <w:r w:rsidR="004C69DF">
        <w:rPr>
          <w:rFonts w:ascii="Times New Roman" w:hAnsi="Times New Roman"/>
          <w:szCs w:val="24"/>
        </w:rPr>
        <w:t xml:space="preserve">ational </w:t>
      </w:r>
      <w:r w:rsidR="00BC5943">
        <w:rPr>
          <w:rFonts w:ascii="Times New Roman" w:hAnsi="Times New Roman"/>
          <w:szCs w:val="24"/>
        </w:rPr>
        <w:t>o</w:t>
      </w:r>
      <w:r w:rsidR="004C69DF">
        <w:rPr>
          <w:rFonts w:ascii="Times New Roman" w:hAnsi="Times New Roman"/>
          <w:szCs w:val="24"/>
        </w:rPr>
        <w:t xml:space="preserve">rganization did not respond to the specific question regarding frequency change.  One (1) State agency expressed strong disagreement with the potential change </w:t>
      </w:r>
      <w:r w:rsidR="00BC5943">
        <w:rPr>
          <w:rFonts w:ascii="Times New Roman" w:hAnsi="Times New Roman"/>
          <w:szCs w:val="24"/>
        </w:rPr>
        <w:t xml:space="preserve">to </w:t>
      </w:r>
      <w:r w:rsidR="004C69DF">
        <w:rPr>
          <w:rFonts w:ascii="Times New Roman" w:hAnsi="Times New Roman"/>
          <w:szCs w:val="24"/>
        </w:rPr>
        <w:t>quarterly reporting</w:t>
      </w:r>
      <w:r w:rsidR="00BC5943">
        <w:rPr>
          <w:rFonts w:ascii="Times New Roman" w:hAnsi="Times New Roman"/>
          <w:szCs w:val="24"/>
        </w:rPr>
        <w:t xml:space="preserve"> because the data currently collected on the annual report is not useful or accurate.  They suggested first changing the quality of data collected before changing the frequency.  FNS is currently in the process of revising the data collected on the FNS-366B to improve data quality and accuracy and will submit the revised form for OMB approval in 2016.</w:t>
      </w:r>
    </w:p>
    <w:p w:rsidR="005C7771" w:rsidRDefault="005C7771" w:rsidP="00ED28F2">
      <w:pPr>
        <w:tabs>
          <w:tab w:val="left" w:pos="-720"/>
        </w:tabs>
        <w:suppressAutoHyphens/>
        <w:spacing w:line="480" w:lineRule="auto"/>
        <w:rPr>
          <w:rFonts w:ascii="Times New Roman" w:hAnsi="Times New Roman"/>
          <w:szCs w:val="24"/>
        </w:rPr>
      </w:pPr>
    </w:p>
    <w:p w:rsidR="00BE0B08" w:rsidRPr="002568E6" w:rsidRDefault="00BE0B08" w:rsidP="0062567E">
      <w:pPr>
        <w:pStyle w:val="Heading1"/>
        <w:rPr>
          <w:szCs w:val="24"/>
        </w:rPr>
      </w:pPr>
      <w:bookmarkStart w:id="18" w:name="_Toc401831365"/>
      <w:bookmarkStart w:id="19" w:name="_Toc40183240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RDefault="00ED28F2" w:rsidP="00ED28F2">
      <w:pPr>
        <w:tabs>
          <w:tab w:val="left" w:pos="-720"/>
        </w:tabs>
        <w:suppressAutoHyphens/>
        <w:rPr>
          <w:rFonts w:ascii="Times New Roman" w:hAnsi="Times New Roman"/>
          <w:szCs w:val="24"/>
        </w:rPr>
      </w:pPr>
    </w:p>
    <w:p w:rsidR="00ED28F2" w:rsidRDefault="003F2C34" w:rsidP="00ED28F2">
      <w:pPr>
        <w:tabs>
          <w:tab w:val="left" w:pos="-720"/>
        </w:tabs>
        <w:suppressAutoHyphens/>
        <w:spacing w:line="480" w:lineRule="auto"/>
        <w:rPr>
          <w:rFonts w:ascii="Times New Roman" w:hAnsi="Times New Roman"/>
          <w:szCs w:val="24"/>
        </w:rPr>
      </w:pPr>
      <w:r w:rsidRPr="003F2C34">
        <w:rPr>
          <w:rFonts w:ascii="Times New Roman" w:hAnsi="Times New Roman"/>
          <w:szCs w:val="24"/>
        </w:rPr>
        <w:t>FNS has no plans to provide payments or gifts to respondents.</w:t>
      </w:r>
    </w:p>
    <w:p w:rsidR="003F2C34" w:rsidRPr="002568E6" w:rsidRDefault="003F2C34" w:rsidP="00ED28F2">
      <w:pPr>
        <w:tabs>
          <w:tab w:val="left" w:pos="-720"/>
        </w:tabs>
        <w:suppressAutoHyphens/>
        <w:spacing w:line="480" w:lineRule="auto"/>
        <w:rPr>
          <w:rFonts w:ascii="Times New Roman" w:hAnsi="Times New Roman"/>
          <w:szCs w:val="24"/>
        </w:rPr>
      </w:pPr>
    </w:p>
    <w:p w:rsidR="00BE0B08" w:rsidRPr="002568E6" w:rsidRDefault="00BE0B08" w:rsidP="0062567E">
      <w:pPr>
        <w:pStyle w:val="Heading1"/>
        <w:rPr>
          <w:szCs w:val="24"/>
        </w:rPr>
      </w:pPr>
      <w:bookmarkStart w:id="20" w:name="_Toc401831366"/>
      <w:bookmarkStart w:id="21" w:name="_Toc401832410"/>
      <w:r w:rsidRPr="002568E6">
        <w:rPr>
          <w:szCs w:val="24"/>
        </w:rPr>
        <w:t>A10.  Assurances of confidentiality provided to respondents.</w:t>
      </w:r>
      <w:bookmarkEnd w:id="20"/>
      <w:bookmarkEnd w:id="21"/>
      <w:r w:rsidRPr="002568E6">
        <w:rPr>
          <w:szCs w:val="24"/>
        </w:rPr>
        <w:t xml:space="preserve">  </w:t>
      </w:r>
    </w:p>
    <w:p w:rsidR="003333DF" w:rsidRPr="002568E6" w:rsidRDefault="003333DF" w:rsidP="00BE0B08">
      <w:pPr>
        <w:rPr>
          <w:rFonts w:ascii="Times New Roman" w:hAnsi="Times New Roman"/>
          <w:szCs w:val="24"/>
        </w:rPr>
      </w:pPr>
    </w:p>
    <w:p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RDefault="003333DF" w:rsidP="00BE0B08">
      <w:pPr>
        <w:rPr>
          <w:rFonts w:ascii="Times New Roman" w:hAnsi="Times New Roman"/>
          <w:szCs w:val="24"/>
        </w:rPr>
      </w:pPr>
    </w:p>
    <w:p w:rsidR="00ED28F2" w:rsidRDefault="003F2C34" w:rsidP="00ED28F2">
      <w:pPr>
        <w:tabs>
          <w:tab w:val="left" w:pos="-720"/>
        </w:tabs>
        <w:suppressAutoHyphens/>
        <w:spacing w:line="480" w:lineRule="auto"/>
        <w:rPr>
          <w:rFonts w:ascii="Times New Roman" w:hAnsi="Times New Roman"/>
          <w:szCs w:val="24"/>
        </w:rPr>
      </w:pPr>
      <w:r w:rsidRPr="003F2C34">
        <w:rPr>
          <w:rFonts w:ascii="Times New Roman" w:hAnsi="Times New Roman"/>
          <w:szCs w:val="24"/>
        </w:rPr>
        <w:t xml:space="preserve">Agency complies with the Privacy Act of 1974.  </w:t>
      </w:r>
    </w:p>
    <w:p w:rsidR="003F2C34" w:rsidRPr="002568E6" w:rsidRDefault="003F2C34" w:rsidP="00ED28F2">
      <w:pPr>
        <w:tabs>
          <w:tab w:val="left" w:pos="-720"/>
        </w:tabs>
        <w:suppressAutoHyphens/>
        <w:spacing w:line="480" w:lineRule="auto"/>
        <w:rPr>
          <w:rFonts w:ascii="Times New Roman" w:hAnsi="Times New Roman"/>
          <w:szCs w:val="24"/>
        </w:rPr>
      </w:pPr>
    </w:p>
    <w:p w:rsidR="00A308DB" w:rsidRPr="002568E6" w:rsidRDefault="00BE0B08" w:rsidP="0062567E">
      <w:pPr>
        <w:pStyle w:val="Heading1"/>
        <w:rPr>
          <w:szCs w:val="24"/>
        </w:rPr>
      </w:pPr>
      <w:bookmarkStart w:id="22" w:name="_Toc401831367"/>
      <w:bookmarkStart w:id="23" w:name="_Toc401832411"/>
      <w:r w:rsidRPr="002568E6">
        <w:rPr>
          <w:szCs w:val="24"/>
        </w:rPr>
        <w:t xml:space="preserve">A11.  </w:t>
      </w:r>
      <w:proofErr w:type="gramStart"/>
      <w:r w:rsidRPr="002568E6">
        <w:rPr>
          <w:szCs w:val="24"/>
        </w:rPr>
        <w:t>Justification for any questions of a sensitive nature.</w:t>
      </w:r>
      <w:bookmarkEnd w:id="22"/>
      <w:bookmarkEnd w:id="23"/>
      <w:proofErr w:type="gramEnd"/>
      <w:r w:rsidRPr="002568E6">
        <w:rPr>
          <w:szCs w:val="24"/>
        </w:rPr>
        <w:t xml:space="preserve">  </w:t>
      </w:r>
      <w:r w:rsidR="005A3F80"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RDefault="00ED28F2" w:rsidP="00ED28F2">
      <w:pPr>
        <w:tabs>
          <w:tab w:val="left" w:pos="-720"/>
        </w:tabs>
        <w:suppressAutoHyphens/>
        <w:rPr>
          <w:rFonts w:ascii="Times New Roman" w:hAnsi="Times New Roman"/>
          <w:szCs w:val="24"/>
        </w:rPr>
      </w:pPr>
    </w:p>
    <w:p w:rsidR="00ED28F2" w:rsidRDefault="003F2C34" w:rsidP="00ED28F2">
      <w:pPr>
        <w:tabs>
          <w:tab w:val="left" w:pos="-720"/>
        </w:tabs>
        <w:suppressAutoHyphens/>
        <w:spacing w:line="480" w:lineRule="auto"/>
        <w:rPr>
          <w:rFonts w:ascii="Times New Roman" w:hAnsi="Times New Roman"/>
          <w:szCs w:val="24"/>
        </w:rPr>
      </w:pPr>
      <w:r w:rsidRPr="003F2C34">
        <w:rPr>
          <w:rFonts w:ascii="Times New Roman" w:hAnsi="Times New Roman"/>
          <w:szCs w:val="24"/>
        </w:rPr>
        <w:t>There are no sensitive questions included in this submission.</w:t>
      </w:r>
    </w:p>
    <w:p w:rsidR="003F2C34" w:rsidRPr="002568E6" w:rsidRDefault="003F2C34" w:rsidP="00ED28F2">
      <w:pPr>
        <w:tabs>
          <w:tab w:val="left" w:pos="-720"/>
        </w:tabs>
        <w:suppressAutoHyphens/>
        <w:spacing w:line="480" w:lineRule="auto"/>
        <w:rPr>
          <w:rFonts w:ascii="Times New Roman" w:hAnsi="Times New Roman"/>
          <w:szCs w:val="24"/>
        </w:rPr>
      </w:pPr>
    </w:p>
    <w:p w:rsidR="000438E8" w:rsidRPr="002568E6" w:rsidRDefault="000438E8" w:rsidP="0062567E">
      <w:pPr>
        <w:pStyle w:val="Heading1"/>
        <w:rPr>
          <w:szCs w:val="24"/>
        </w:rPr>
      </w:pPr>
      <w:bookmarkStart w:id="24" w:name="_Toc401831368"/>
      <w:bookmarkStart w:id="25" w:name="_Toc401832412"/>
      <w:r w:rsidRPr="002568E6">
        <w:rPr>
          <w:szCs w:val="24"/>
        </w:rPr>
        <w:t>A12.  Estimates of the hour burden of the collection of information.</w:t>
      </w:r>
      <w:bookmarkEnd w:id="24"/>
      <w:bookmarkEnd w:id="25"/>
      <w:r w:rsidRPr="002568E6">
        <w:rPr>
          <w:szCs w:val="24"/>
        </w:rPr>
        <w:t xml:space="preserve">  </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RDefault="00ED28F2" w:rsidP="00ED28F2">
      <w:pPr>
        <w:tabs>
          <w:tab w:val="left" w:pos="-720"/>
        </w:tabs>
        <w:suppressAutoHyphens/>
        <w:rPr>
          <w:rFonts w:ascii="Times New Roman" w:hAnsi="Times New Roman"/>
          <w:szCs w:val="24"/>
        </w:rPr>
      </w:pPr>
    </w:p>
    <w:p w:rsidR="00903CA1" w:rsidRPr="00903CA1" w:rsidRDefault="00F2461C" w:rsidP="00903CA1">
      <w:pPr>
        <w:tabs>
          <w:tab w:val="left" w:pos="-720"/>
        </w:tabs>
        <w:suppressAutoHyphens/>
        <w:spacing w:line="480" w:lineRule="auto"/>
        <w:rPr>
          <w:rFonts w:ascii="Times New Roman" w:hAnsi="Times New Roman"/>
          <w:szCs w:val="24"/>
        </w:rPr>
      </w:pPr>
      <w:r>
        <w:rPr>
          <w:rFonts w:ascii="Times New Roman" w:hAnsi="Times New Roman"/>
          <w:szCs w:val="24"/>
        </w:rPr>
        <w:t>Fifty three</w:t>
      </w:r>
      <w:r w:rsidR="00903CA1" w:rsidRPr="00903CA1">
        <w:rPr>
          <w:rFonts w:ascii="Times New Roman" w:hAnsi="Times New Roman"/>
          <w:szCs w:val="24"/>
        </w:rPr>
        <w:t xml:space="preserve"> State Agency </w:t>
      </w:r>
      <w:r w:rsidR="00B5275C">
        <w:rPr>
          <w:rFonts w:ascii="Times New Roman" w:hAnsi="Times New Roman"/>
          <w:szCs w:val="24"/>
        </w:rPr>
        <w:t>respondents</w:t>
      </w:r>
      <w:r w:rsidR="00903CA1" w:rsidRPr="00903CA1">
        <w:rPr>
          <w:rFonts w:ascii="Times New Roman" w:hAnsi="Times New Roman"/>
          <w:szCs w:val="24"/>
        </w:rPr>
        <w:t xml:space="preserve"> followed by </w:t>
      </w:r>
      <w:r w:rsidR="00B5275C">
        <w:rPr>
          <w:rFonts w:ascii="Times New Roman" w:hAnsi="Times New Roman"/>
          <w:szCs w:val="24"/>
        </w:rPr>
        <w:t>1,386,112</w:t>
      </w:r>
      <w:r w:rsidR="00903CA1" w:rsidRPr="00903CA1">
        <w:rPr>
          <w:rFonts w:ascii="Times New Roman" w:hAnsi="Times New Roman"/>
          <w:szCs w:val="24"/>
        </w:rPr>
        <w:t xml:space="preserve"> household </w:t>
      </w:r>
      <w:r w:rsidR="00B5275C">
        <w:rPr>
          <w:rFonts w:ascii="Times New Roman" w:hAnsi="Times New Roman"/>
          <w:szCs w:val="24"/>
        </w:rPr>
        <w:t>respondents</w:t>
      </w:r>
      <w:r w:rsidR="00903CA1" w:rsidRPr="00903CA1">
        <w:rPr>
          <w:rFonts w:ascii="Times New Roman" w:hAnsi="Times New Roman"/>
          <w:szCs w:val="24"/>
        </w:rPr>
        <w:t xml:space="preserve"> are stated in the narrative and separated out in the tables below.</w:t>
      </w:r>
    </w:p>
    <w:p w:rsidR="002B4C15" w:rsidRDefault="00903CA1" w:rsidP="00903CA1">
      <w:pPr>
        <w:tabs>
          <w:tab w:val="left" w:pos="-720"/>
        </w:tabs>
        <w:suppressAutoHyphens/>
        <w:spacing w:line="480" w:lineRule="auto"/>
        <w:rPr>
          <w:rFonts w:ascii="Times New Roman" w:hAnsi="Times New Roman"/>
          <w:szCs w:val="24"/>
        </w:rPr>
      </w:pPr>
      <w:r w:rsidRPr="00903CA1">
        <w:rPr>
          <w:rFonts w:ascii="Times New Roman" w:hAnsi="Times New Roman"/>
          <w:szCs w:val="24"/>
        </w:rPr>
        <w:t>State Agencies</w:t>
      </w:r>
      <w:r w:rsidR="00B327AA">
        <w:rPr>
          <w:rFonts w:ascii="Times New Roman" w:hAnsi="Times New Roman"/>
          <w:szCs w:val="24"/>
        </w:rPr>
        <w:t>’</w:t>
      </w:r>
      <w:r w:rsidRPr="00903CA1">
        <w:rPr>
          <w:rFonts w:ascii="Times New Roman" w:hAnsi="Times New Roman"/>
          <w:szCs w:val="24"/>
        </w:rPr>
        <w:t xml:space="preserve"> reporting burden is estimated at </w:t>
      </w:r>
      <w:r w:rsidR="005054A8">
        <w:rPr>
          <w:rFonts w:ascii="Times New Roman" w:hAnsi="Times New Roman"/>
          <w:szCs w:val="24"/>
        </w:rPr>
        <w:t>210,849.28</w:t>
      </w:r>
      <w:r w:rsidRPr="00903CA1">
        <w:rPr>
          <w:rFonts w:ascii="Times New Roman" w:hAnsi="Times New Roman"/>
          <w:szCs w:val="24"/>
        </w:rPr>
        <w:t xml:space="preserve"> hours and </w:t>
      </w:r>
      <w:r w:rsidR="005054A8">
        <w:rPr>
          <w:rFonts w:ascii="Times New Roman" w:hAnsi="Times New Roman"/>
          <w:szCs w:val="24"/>
        </w:rPr>
        <w:t>10,891,092</w:t>
      </w:r>
      <w:r w:rsidRPr="00903CA1">
        <w:rPr>
          <w:rFonts w:ascii="Times New Roman" w:hAnsi="Times New Roman"/>
          <w:szCs w:val="24"/>
        </w:rPr>
        <w:t xml:space="preserve"> total annual responses.  The household </w:t>
      </w:r>
      <w:r w:rsidR="00477017" w:rsidRPr="00477017">
        <w:rPr>
          <w:rFonts w:ascii="Times New Roman" w:hAnsi="Times New Roman"/>
          <w:szCs w:val="24"/>
        </w:rPr>
        <w:t>41,583.36</w:t>
      </w:r>
      <w:r w:rsidR="00477017">
        <w:rPr>
          <w:rFonts w:ascii="Times New Roman" w:hAnsi="Times New Roman"/>
          <w:szCs w:val="24"/>
        </w:rPr>
        <w:t xml:space="preserve"> </w:t>
      </w:r>
      <w:r w:rsidR="005054A8">
        <w:rPr>
          <w:rFonts w:ascii="Times New Roman" w:hAnsi="Times New Roman"/>
          <w:szCs w:val="24"/>
        </w:rPr>
        <w:t xml:space="preserve">burden hours </w:t>
      </w:r>
      <w:r w:rsidRPr="00903CA1">
        <w:rPr>
          <w:rFonts w:ascii="Times New Roman" w:hAnsi="Times New Roman"/>
          <w:szCs w:val="24"/>
        </w:rPr>
        <w:t xml:space="preserve">and </w:t>
      </w:r>
      <w:r w:rsidR="00477017" w:rsidRPr="00477017">
        <w:rPr>
          <w:rFonts w:ascii="Times New Roman" w:hAnsi="Times New Roman"/>
          <w:szCs w:val="24"/>
        </w:rPr>
        <w:t>1,386,112</w:t>
      </w:r>
      <w:r w:rsidR="00477017">
        <w:rPr>
          <w:rFonts w:ascii="Times New Roman" w:hAnsi="Times New Roman"/>
          <w:szCs w:val="24"/>
        </w:rPr>
        <w:t xml:space="preserve"> </w:t>
      </w:r>
      <w:r w:rsidRPr="00903CA1">
        <w:rPr>
          <w:rFonts w:ascii="Times New Roman" w:hAnsi="Times New Roman"/>
          <w:szCs w:val="24"/>
        </w:rPr>
        <w:t>total annual responses are stated in the narrative and separated out in the tables below</w:t>
      </w:r>
      <w:r w:rsidR="005054A8">
        <w:rPr>
          <w:rFonts w:ascii="Times New Roman" w:hAnsi="Times New Roman"/>
          <w:szCs w:val="24"/>
        </w:rPr>
        <w:t>.</w:t>
      </w:r>
      <w:r w:rsidR="005054A8" w:rsidRPr="005054A8">
        <w:rPr>
          <w:rFonts w:ascii="Times New Roman" w:hAnsi="Times New Roman"/>
          <w:szCs w:val="24"/>
        </w:rPr>
        <w:t xml:space="preserve"> </w:t>
      </w:r>
      <w:r w:rsidR="0032517C">
        <w:rPr>
          <w:rFonts w:ascii="Times New Roman" w:hAnsi="Times New Roman"/>
          <w:szCs w:val="24"/>
        </w:rPr>
        <w:t xml:space="preserve"> </w:t>
      </w:r>
      <w:r w:rsidR="005054A8">
        <w:rPr>
          <w:rFonts w:ascii="Times New Roman" w:hAnsi="Times New Roman"/>
          <w:szCs w:val="24"/>
        </w:rPr>
        <w:t xml:space="preserve">There is no new recordkeeping burden for this collection. </w:t>
      </w:r>
      <w:r w:rsidR="005054A8" w:rsidRPr="00903CA1">
        <w:rPr>
          <w:rFonts w:ascii="Times New Roman" w:hAnsi="Times New Roman"/>
          <w:szCs w:val="24"/>
        </w:rPr>
        <w:t xml:space="preserve"> </w:t>
      </w:r>
    </w:p>
    <w:p w:rsidR="00903CA1" w:rsidRDefault="00903CA1" w:rsidP="00903CA1">
      <w:pPr>
        <w:tabs>
          <w:tab w:val="left" w:pos="-720"/>
        </w:tabs>
        <w:suppressAutoHyphens/>
        <w:spacing w:line="480" w:lineRule="auto"/>
        <w:rPr>
          <w:rFonts w:ascii="Times New Roman" w:hAnsi="Times New Roman"/>
          <w:szCs w:val="24"/>
        </w:rPr>
      </w:pPr>
    </w:p>
    <w:p w:rsidR="005054A8" w:rsidRPr="005054A8" w:rsidRDefault="005054A8" w:rsidP="00903CA1">
      <w:pPr>
        <w:tabs>
          <w:tab w:val="left" w:pos="-720"/>
        </w:tabs>
        <w:suppressAutoHyphens/>
        <w:spacing w:line="480" w:lineRule="auto"/>
        <w:rPr>
          <w:rFonts w:ascii="Times New Roman" w:hAnsi="Times New Roman"/>
          <w:b/>
          <w:szCs w:val="24"/>
        </w:rPr>
      </w:pPr>
      <w:r w:rsidRPr="005054A8">
        <w:rPr>
          <w:rFonts w:ascii="Times New Roman" w:hAnsi="Times New Roman"/>
          <w:b/>
          <w:szCs w:val="24"/>
        </w:rPr>
        <w:t>STATE AGENCIES REPORTING BURDEN:</w:t>
      </w:r>
    </w:p>
    <w:p w:rsidR="002B4C15" w:rsidRDefault="002B4C15" w:rsidP="00ED28F2">
      <w:pPr>
        <w:tabs>
          <w:tab w:val="left" w:pos="-720"/>
        </w:tabs>
        <w:suppressAutoHyphens/>
        <w:spacing w:line="480" w:lineRule="auto"/>
        <w:rPr>
          <w:rFonts w:ascii="Times New Roman" w:hAnsi="Times New Roman"/>
          <w:szCs w:val="24"/>
        </w:rPr>
      </w:pPr>
      <w:r w:rsidRPr="002B4C15">
        <w:rPr>
          <w:rFonts w:ascii="Times New Roman" w:hAnsi="Times New Roman"/>
          <w:szCs w:val="24"/>
          <w:u w:val="single"/>
        </w:rPr>
        <w:t>272.2 - Program Activity Statement:</w:t>
      </w:r>
      <w:r>
        <w:rPr>
          <w:rFonts w:ascii="Times New Roman" w:hAnsi="Times New Roman"/>
          <w:szCs w:val="24"/>
        </w:rPr>
        <w:t xml:space="preserve">  </w:t>
      </w:r>
      <w:r w:rsidR="005054A8" w:rsidRPr="002B4C15">
        <w:rPr>
          <w:rFonts w:ascii="Times New Roman" w:hAnsi="Times New Roman"/>
          <w:szCs w:val="24"/>
        </w:rPr>
        <w:t xml:space="preserve">The </w:t>
      </w:r>
      <w:r w:rsidR="005054A8">
        <w:rPr>
          <w:rFonts w:ascii="Times New Roman" w:hAnsi="Times New Roman"/>
          <w:szCs w:val="24"/>
        </w:rPr>
        <w:t xml:space="preserve">Program Activity Statement </w:t>
      </w:r>
      <w:r w:rsidR="00920B6E">
        <w:rPr>
          <w:rFonts w:ascii="Times New Roman" w:hAnsi="Times New Roman"/>
          <w:szCs w:val="24"/>
        </w:rPr>
        <w:t xml:space="preserve">(FNS 366 B) </w:t>
      </w:r>
      <w:r w:rsidR="005054A8" w:rsidRPr="002B4C15">
        <w:rPr>
          <w:rFonts w:ascii="Times New Roman" w:hAnsi="Times New Roman"/>
          <w:szCs w:val="24"/>
        </w:rPr>
        <w:t>provides data on the number of applications processed, number of fair hearings and fraud control activity</w:t>
      </w:r>
      <w:r w:rsidR="005054A8">
        <w:rPr>
          <w:rFonts w:ascii="Times New Roman" w:hAnsi="Times New Roman"/>
          <w:szCs w:val="24"/>
        </w:rPr>
        <w:t xml:space="preserve">.  </w:t>
      </w:r>
      <w:r>
        <w:rPr>
          <w:rFonts w:ascii="Times New Roman" w:hAnsi="Times New Roman"/>
          <w:szCs w:val="24"/>
        </w:rPr>
        <w:t xml:space="preserve">The annual burden for the Program Activity Statement is 3,180 hours.  </w:t>
      </w:r>
      <w:r w:rsidR="005054A8">
        <w:rPr>
          <w:rFonts w:ascii="Times New Roman" w:hAnsi="Times New Roman"/>
          <w:szCs w:val="24"/>
        </w:rPr>
        <w:t>This estimated burden is based on the assumption that it takes the State agency an average of 15 hours to complete the Program Activity Statement, and each State agency would submit 4 quarterly Program Activity Statements per year</w:t>
      </w:r>
      <w:r w:rsidR="00B7232F">
        <w:rPr>
          <w:rFonts w:ascii="Times New Roman" w:hAnsi="Times New Roman"/>
          <w:szCs w:val="24"/>
        </w:rPr>
        <w:t xml:space="preserve"> which is an increase from the current once a year submission</w:t>
      </w:r>
      <w:r w:rsidR="005054A8">
        <w:rPr>
          <w:rFonts w:ascii="Times New Roman" w:hAnsi="Times New Roman"/>
          <w:szCs w:val="24"/>
        </w:rPr>
        <w:t xml:space="preserve">.  </w:t>
      </w:r>
    </w:p>
    <w:p w:rsidR="002B4C15" w:rsidRDefault="002B4C15" w:rsidP="00ED28F2">
      <w:pPr>
        <w:tabs>
          <w:tab w:val="left" w:pos="-720"/>
        </w:tabs>
        <w:suppressAutoHyphens/>
        <w:spacing w:line="480" w:lineRule="auto"/>
        <w:rPr>
          <w:rFonts w:ascii="Times New Roman" w:hAnsi="Times New Roman"/>
          <w:szCs w:val="24"/>
        </w:rPr>
      </w:pPr>
    </w:p>
    <w:p w:rsidR="002B4C15" w:rsidRDefault="002B4C15" w:rsidP="002B4C15">
      <w:pPr>
        <w:tabs>
          <w:tab w:val="left" w:pos="-720"/>
        </w:tabs>
        <w:suppressAutoHyphens/>
        <w:spacing w:line="480" w:lineRule="auto"/>
        <w:rPr>
          <w:rFonts w:ascii="Times New Roman" w:hAnsi="Times New Roman"/>
          <w:szCs w:val="24"/>
          <w:u w:val="single"/>
        </w:rPr>
      </w:pPr>
      <w:r w:rsidRPr="002B4C15">
        <w:rPr>
          <w:rFonts w:ascii="Times New Roman" w:hAnsi="Times New Roman"/>
          <w:szCs w:val="24"/>
          <w:u w:val="single"/>
        </w:rPr>
        <w:t>272.15 - National Directory of New Hires:</w:t>
      </w:r>
    </w:p>
    <w:p w:rsidR="00F64F10" w:rsidRPr="002B4C15" w:rsidRDefault="002B4C15" w:rsidP="002B4C15">
      <w:pPr>
        <w:tabs>
          <w:tab w:val="left" w:pos="-720"/>
        </w:tabs>
        <w:suppressAutoHyphens/>
        <w:spacing w:line="480" w:lineRule="auto"/>
        <w:rPr>
          <w:rFonts w:ascii="Times New Roman" w:hAnsi="Times New Roman"/>
          <w:szCs w:val="24"/>
        </w:rPr>
      </w:pPr>
      <w:r w:rsidRPr="002B4C15">
        <w:rPr>
          <w:rFonts w:ascii="Times New Roman" w:hAnsi="Times New Roman"/>
          <w:szCs w:val="24"/>
        </w:rPr>
        <w:t xml:space="preserve">The </w:t>
      </w:r>
      <w:r w:rsidR="0014750C">
        <w:rPr>
          <w:rFonts w:ascii="Times New Roman" w:hAnsi="Times New Roman"/>
          <w:szCs w:val="24"/>
        </w:rPr>
        <w:t xml:space="preserve">State agency </w:t>
      </w:r>
      <w:r w:rsidRPr="002B4C15">
        <w:rPr>
          <w:rFonts w:ascii="Times New Roman" w:hAnsi="Times New Roman"/>
          <w:szCs w:val="24"/>
        </w:rPr>
        <w:t xml:space="preserve">annual burden for the </w:t>
      </w:r>
      <w:r>
        <w:rPr>
          <w:rFonts w:ascii="Times New Roman" w:hAnsi="Times New Roman"/>
          <w:szCs w:val="24"/>
        </w:rPr>
        <w:t>National Directory of New Hires</w:t>
      </w:r>
      <w:r w:rsidRPr="002B4C15">
        <w:rPr>
          <w:rFonts w:ascii="Times New Roman" w:hAnsi="Times New Roman"/>
          <w:szCs w:val="24"/>
        </w:rPr>
        <w:t xml:space="preserve"> is </w:t>
      </w:r>
      <w:r w:rsidR="006C6EC3">
        <w:rPr>
          <w:rFonts w:ascii="Times New Roman" w:hAnsi="Times New Roman"/>
          <w:szCs w:val="24"/>
        </w:rPr>
        <w:t>207,669</w:t>
      </w:r>
      <w:r w:rsidR="0014750C">
        <w:rPr>
          <w:rFonts w:ascii="Times New Roman" w:hAnsi="Times New Roman"/>
          <w:szCs w:val="24"/>
        </w:rPr>
        <w:t>.28</w:t>
      </w:r>
      <w:r w:rsidR="006C6EC3">
        <w:rPr>
          <w:rFonts w:ascii="Times New Roman" w:hAnsi="Times New Roman"/>
          <w:szCs w:val="24"/>
        </w:rPr>
        <w:t xml:space="preserve"> </w:t>
      </w:r>
      <w:r w:rsidR="0014750C">
        <w:rPr>
          <w:rFonts w:ascii="Times New Roman" w:hAnsi="Times New Roman"/>
          <w:szCs w:val="24"/>
        </w:rPr>
        <w:t xml:space="preserve">hours </w:t>
      </w:r>
      <w:r w:rsidR="00AA26C4">
        <w:rPr>
          <w:rFonts w:ascii="Times New Roman" w:hAnsi="Times New Roman"/>
          <w:szCs w:val="24"/>
        </w:rPr>
        <w:t>and is comprised of three parts: (1) Applicant and recipient screening, (2) Verification of a match (including Request for Contact), and (3) the Notice of Adverse Action or Notice of Denial</w:t>
      </w:r>
      <w:r w:rsidRPr="002B4C15">
        <w:rPr>
          <w:rFonts w:ascii="Times New Roman" w:hAnsi="Times New Roman"/>
          <w:szCs w:val="24"/>
        </w:rPr>
        <w:t>.</w:t>
      </w:r>
      <w:r w:rsidR="00F64F10">
        <w:rPr>
          <w:rFonts w:ascii="Times New Roman" w:hAnsi="Times New Roman"/>
          <w:szCs w:val="24"/>
        </w:rPr>
        <w:t xml:space="preserve">  The following burden hours are based on the assumption that State agencies will conduct matches on roughly 52 percent of their participants per year</w:t>
      </w:r>
      <w:r w:rsidR="00AA26C4">
        <w:rPr>
          <w:rFonts w:ascii="Times New Roman" w:hAnsi="Times New Roman"/>
          <w:szCs w:val="24"/>
        </w:rPr>
        <w:t xml:space="preserve">.  This calculation assumes the rate of participants over 18 years of age </w:t>
      </w:r>
      <w:r w:rsidR="005054A8">
        <w:rPr>
          <w:rFonts w:ascii="Times New Roman" w:hAnsi="Times New Roman"/>
          <w:szCs w:val="24"/>
        </w:rPr>
        <w:t>is</w:t>
      </w:r>
      <w:r w:rsidR="00AA26C4">
        <w:rPr>
          <w:rFonts w:ascii="Times New Roman" w:hAnsi="Times New Roman"/>
          <w:szCs w:val="24"/>
        </w:rPr>
        <w:t xml:space="preserve"> 56 percent (thus excluding 44 percent of participants from the match) and the rate of participants not receiving a Temporary Assistance for Needy Families (TANF) supplement </w:t>
      </w:r>
      <w:r w:rsidR="005054A8">
        <w:rPr>
          <w:rFonts w:ascii="Times New Roman" w:hAnsi="Times New Roman"/>
          <w:szCs w:val="24"/>
        </w:rPr>
        <w:t>is</w:t>
      </w:r>
      <w:r w:rsidR="00AA26C4">
        <w:rPr>
          <w:rFonts w:ascii="Times New Roman" w:hAnsi="Times New Roman"/>
          <w:szCs w:val="24"/>
        </w:rPr>
        <w:t xml:space="preserve"> 93 percent (thus excluding 7 percent of participants from the match).  </w:t>
      </w:r>
      <w:r w:rsidR="005054A8">
        <w:rPr>
          <w:rFonts w:ascii="Times New Roman" w:hAnsi="Times New Roman"/>
          <w:szCs w:val="24"/>
        </w:rPr>
        <w:t xml:space="preserve">The rates of participation for children and TANF recipients were based on fiscal year 2013 data provided in the FNS report, </w:t>
      </w:r>
      <w:r w:rsidR="005054A8" w:rsidRPr="005054A8">
        <w:rPr>
          <w:rFonts w:ascii="Times New Roman" w:hAnsi="Times New Roman"/>
          <w:i/>
          <w:szCs w:val="24"/>
        </w:rPr>
        <w:t>Characteristics of Supplemental Nutrition Assistance Program Households: Fiscal Year 2013</w:t>
      </w:r>
      <w:r w:rsidR="005054A8">
        <w:rPr>
          <w:rFonts w:ascii="Times New Roman" w:hAnsi="Times New Roman"/>
          <w:szCs w:val="24"/>
        </w:rPr>
        <w:t xml:space="preserve">.  </w:t>
      </w:r>
      <w:r w:rsidR="00AA26C4">
        <w:rPr>
          <w:rFonts w:ascii="Times New Roman" w:hAnsi="Times New Roman"/>
          <w:szCs w:val="24"/>
        </w:rPr>
        <w:t>Based on the Federal fiscal year 2013 participation rate of 47.6 million participants, 52 percent would equal roughly 24,752,000 cases per year.</w:t>
      </w:r>
    </w:p>
    <w:p w:rsidR="002B4C15" w:rsidRPr="0014750C" w:rsidRDefault="002B4C15" w:rsidP="002B4C15">
      <w:pPr>
        <w:pStyle w:val="ListParagraph"/>
        <w:numPr>
          <w:ilvl w:val="0"/>
          <w:numId w:val="21"/>
        </w:numPr>
        <w:rPr>
          <w:szCs w:val="24"/>
        </w:rPr>
      </w:pPr>
      <w:r w:rsidRPr="00DC300C">
        <w:rPr>
          <w:i/>
          <w:szCs w:val="24"/>
        </w:rPr>
        <w:t>Applicant and Recipient Screening:</w:t>
      </w:r>
      <w:r w:rsidRPr="00DC300C">
        <w:rPr>
          <w:szCs w:val="24"/>
        </w:rPr>
        <w:t xml:space="preserve">  The State agency must compare identifiable information about each adult household member against information from the NDNH. States must make the comparison of matched data at the time of application and recertification.</w:t>
      </w:r>
      <w:r w:rsidR="00752CA7" w:rsidRPr="00DC300C">
        <w:rPr>
          <w:szCs w:val="24"/>
        </w:rPr>
        <w:t xml:space="preserve">  It is estimated </w:t>
      </w:r>
      <w:r w:rsidR="00AA26C4" w:rsidRPr="00DC300C">
        <w:rPr>
          <w:szCs w:val="24"/>
        </w:rPr>
        <w:t xml:space="preserve">that approximately 37 percent of records submitted </w:t>
      </w:r>
      <w:r w:rsidR="00AD427A" w:rsidRPr="00DC300C">
        <w:rPr>
          <w:szCs w:val="24"/>
        </w:rPr>
        <w:t xml:space="preserve">to NDNH have </w:t>
      </w:r>
      <w:r w:rsidR="00F85E79">
        <w:rPr>
          <w:szCs w:val="24"/>
        </w:rPr>
        <w:t xml:space="preserve">matching </w:t>
      </w:r>
      <w:r w:rsidR="00AD427A" w:rsidRPr="00DC300C">
        <w:rPr>
          <w:szCs w:val="24"/>
        </w:rPr>
        <w:t xml:space="preserve">records returned, and </w:t>
      </w:r>
      <w:r w:rsidR="00752CA7" w:rsidRPr="00DC300C">
        <w:rPr>
          <w:szCs w:val="24"/>
        </w:rPr>
        <w:t xml:space="preserve">that it will take the State agency approximately 1 minute per </w:t>
      </w:r>
      <w:r w:rsidR="00AD427A" w:rsidRPr="00DC300C">
        <w:rPr>
          <w:szCs w:val="24"/>
        </w:rPr>
        <w:t>case to review the status of the match and determine if additional verification is needed</w:t>
      </w:r>
      <w:r w:rsidR="00752CA7" w:rsidRPr="00DC300C">
        <w:rPr>
          <w:szCs w:val="24"/>
        </w:rPr>
        <w:t xml:space="preserve">.  </w:t>
      </w:r>
      <w:r w:rsidR="00AD427A" w:rsidRPr="00DC300C">
        <w:rPr>
          <w:szCs w:val="24"/>
        </w:rPr>
        <w:t>Thus, assuming 9,158,240 cases are returned, the total number of burden hours for screening the status of returned matches is 155,690.08 hours.</w:t>
      </w:r>
      <w:r w:rsidR="001F5D67" w:rsidRPr="00DC300C">
        <w:rPr>
          <w:szCs w:val="24"/>
        </w:rPr>
        <w:t xml:space="preserve"> </w:t>
      </w:r>
    </w:p>
    <w:p w:rsidR="002B4C15" w:rsidRPr="0014750C" w:rsidRDefault="002B4C15" w:rsidP="002B4C15">
      <w:pPr>
        <w:pStyle w:val="ListParagraph"/>
        <w:numPr>
          <w:ilvl w:val="0"/>
          <w:numId w:val="21"/>
        </w:numPr>
        <w:rPr>
          <w:szCs w:val="24"/>
        </w:rPr>
      </w:pPr>
      <w:r w:rsidRPr="00DC300C">
        <w:rPr>
          <w:i/>
          <w:szCs w:val="24"/>
        </w:rPr>
        <w:t>Verification of Match:</w:t>
      </w:r>
      <w:r w:rsidRPr="00DC300C">
        <w:rPr>
          <w:szCs w:val="24"/>
        </w:rPr>
        <w:t xml:space="preserve">  The State agency must independently verify the information prior to taking any adverse action against an individual.  Should the State agency receive employment information via the NDNH that was previously unreported by the household, the State agency may issue a Request for Contact </w:t>
      </w:r>
      <w:r w:rsidR="001F5D67" w:rsidRPr="00DC300C">
        <w:rPr>
          <w:szCs w:val="24"/>
        </w:rPr>
        <w:t xml:space="preserve">(RFC) </w:t>
      </w:r>
      <w:r w:rsidRPr="00DC300C">
        <w:rPr>
          <w:szCs w:val="24"/>
        </w:rPr>
        <w:t xml:space="preserve">to the household to verify the information or contact the employer directly, depending upon applicable simplified reporting requirements as defined at 7 CFR 273.12(a). </w:t>
      </w:r>
      <w:r w:rsidR="00D70D98" w:rsidRPr="00DC300C">
        <w:rPr>
          <w:szCs w:val="24"/>
        </w:rPr>
        <w:t xml:space="preserve"> It is estimated that approximately 5 percent of eligible cases submitted to NDNH result in </w:t>
      </w:r>
      <w:r w:rsidR="001F5D67" w:rsidRPr="00DC300C">
        <w:rPr>
          <w:szCs w:val="24"/>
        </w:rPr>
        <w:t xml:space="preserve">an </w:t>
      </w:r>
      <w:r w:rsidR="00D70D98" w:rsidRPr="00DC300C">
        <w:rPr>
          <w:szCs w:val="24"/>
        </w:rPr>
        <w:t xml:space="preserve">unduplicated employment </w:t>
      </w:r>
      <w:r w:rsidR="001F5D67" w:rsidRPr="00DC300C">
        <w:rPr>
          <w:szCs w:val="24"/>
        </w:rPr>
        <w:t>match</w:t>
      </w:r>
      <w:r w:rsidR="00D70D98" w:rsidRPr="00DC300C">
        <w:rPr>
          <w:szCs w:val="24"/>
        </w:rPr>
        <w:t xml:space="preserve"> requiring </w:t>
      </w:r>
      <w:r w:rsidR="001F5D67" w:rsidRPr="00DC300C">
        <w:rPr>
          <w:szCs w:val="24"/>
        </w:rPr>
        <w:t xml:space="preserve">independent </w:t>
      </w:r>
      <w:r w:rsidR="00D70D98" w:rsidRPr="00DC300C">
        <w:rPr>
          <w:szCs w:val="24"/>
        </w:rPr>
        <w:t>verification</w:t>
      </w:r>
      <w:r w:rsidR="001F5D67" w:rsidRPr="00DC300C">
        <w:rPr>
          <w:szCs w:val="24"/>
        </w:rPr>
        <w:t>, or 1,237,600 cases annually.  It will take the State agency approximately 2 minutes to initiate contact with the employer or</w:t>
      </w:r>
      <w:r w:rsidR="00B868A4" w:rsidRPr="00DC300C">
        <w:rPr>
          <w:szCs w:val="24"/>
        </w:rPr>
        <w:t xml:space="preserve">, </w:t>
      </w:r>
      <w:r w:rsidR="001F5D67" w:rsidRPr="00DC300C">
        <w:rPr>
          <w:szCs w:val="24"/>
        </w:rPr>
        <w:t xml:space="preserve">in States </w:t>
      </w:r>
      <w:r w:rsidR="00B327AA">
        <w:rPr>
          <w:szCs w:val="24"/>
        </w:rPr>
        <w:t>that</w:t>
      </w:r>
      <w:r w:rsidR="001F5D67" w:rsidRPr="00DC300C">
        <w:rPr>
          <w:szCs w:val="24"/>
        </w:rPr>
        <w:t xml:space="preserve"> act on all changes</w:t>
      </w:r>
      <w:r w:rsidR="00B868A4" w:rsidRPr="00DC300C">
        <w:rPr>
          <w:szCs w:val="24"/>
        </w:rPr>
        <w:t>, issue an RFC to the household</w:t>
      </w:r>
      <w:r w:rsidR="001F5D67" w:rsidRPr="00DC300C">
        <w:rPr>
          <w:szCs w:val="24"/>
        </w:rPr>
        <w:t xml:space="preserve">.  Thus, the State agency burden for reporting is 37,128 hours.  </w:t>
      </w:r>
    </w:p>
    <w:p w:rsidR="002B4C15" w:rsidRPr="00DC300C" w:rsidRDefault="002B4C15" w:rsidP="00DC300C">
      <w:pPr>
        <w:pStyle w:val="ListParagraph"/>
        <w:numPr>
          <w:ilvl w:val="0"/>
          <w:numId w:val="21"/>
        </w:numPr>
        <w:rPr>
          <w:szCs w:val="24"/>
        </w:rPr>
      </w:pPr>
      <w:r w:rsidRPr="00DC300C">
        <w:rPr>
          <w:i/>
          <w:szCs w:val="24"/>
        </w:rPr>
        <w:t>Notice</w:t>
      </w:r>
      <w:r w:rsidR="00DC300C">
        <w:rPr>
          <w:i/>
          <w:szCs w:val="24"/>
        </w:rPr>
        <w:t xml:space="preserve"> of Adverse Action or Denial</w:t>
      </w:r>
      <w:r w:rsidRPr="00DC300C">
        <w:rPr>
          <w:i/>
          <w:szCs w:val="24"/>
        </w:rPr>
        <w:t>:</w:t>
      </w:r>
      <w:r w:rsidRPr="00DC300C">
        <w:rPr>
          <w:szCs w:val="24"/>
        </w:rPr>
        <w:t xml:space="preserve">  The Notice of Adverse Action or Notice of Denial is issued by State agencies to participating households whose benefits will be reduced or terminated as the result of a change in household circumstances.  </w:t>
      </w:r>
      <w:r w:rsidR="006C6EC3" w:rsidRPr="00DC300C">
        <w:rPr>
          <w:szCs w:val="24"/>
        </w:rPr>
        <w:t xml:space="preserve">It is estimated that approximately 40 percent of cases with an unduplicated employment match result in </w:t>
      </w:r>
      <w:proofErr w:type="gramStart"/>
      <w:r w:rsidR="006C6EC3" w:rsidRPr="00DC300C">
        <w:rPr>
          <w:szCs w:val="24"/>
        </w:rPr>
        <w:t>either a</w:t>
      </w:r>
      <w:proofErr w:type="gramEnd"/>
      <w:r w:rsidR="006C6EC3" w:rsidRPr="00DC300C">
        <w:rPr>
          <w:szCs w:val="24"/>
        </w:rPr>
        <w:t xml:space="preserve"> closed case, reduced benefits, or denial of eligibility.  Based on estimates referenced in previous sections, this equals roughly 495,040 cases.  It will take the State agency approximately 2 minutes to issue a Notice of Adverse Action (</w:t>
      </w:r>
      <w:proofErr w:type="spellStart"/>
      <w:proofErr w:type="gramStart"/>
      <w:r w:rsidR="006C6EC3" w:rsidRPr="00DC300C">
        <w:rPr>
          <w:szCs w:val="24"/>
        </w:rPr>
        <w:t>NoAA</w:t>
      </w:r>
      <w:proofErr w:type="spellEnd"/>
      <w:proofErr w:type="gramEnd"/>
      <w:r w:rsidR="006C6EC3" w:rsidRPr="00DC300C">
        <w:rPr>
          <w:szCs w:val="24"/>
        </w:rPr>
        <w:t>) or Notice of Denial (</w:t>
      </w:r>
      <w:proofErr w:type="spellStart"/>
      <w:r w:rsidR="006C6EC3" w:rsidRPr="00DC300C">
        <w:rPr>
          <w:szCs w:val="24"/>
        </w:rPr>
        <w:t>NoD</w:t>
      </w:r>
      <w:proofErr w:type="spellEnd"/>
      <w:r w:rsidR="006C6EC3" w:rsidRPr="00DC300C">
        <w:rPr>
          <w:szCs w:val="24"/>
        </w:rPr>
        <w:t xml:space="preserve">).  It will take the household approximately 2 minutes to read the </w:t>
      </w:r>
      <w:proofErr w:type="spellStart"/>
      <w:proofErr w:type="gramStart"/>
      <w:r w:rsidR="006C6EC3" w:rsidRPr="00DC300C">
        <w:rPr>
          <w:szCs w:val="24"/>
        </w:rPr>
        <w:t>NoAA</w:t>
      </w:r>
      <w:proofErr w:type="spellEnd"/>
      <w:proofErr w:type="gramEnd"/>
      <w:r w:rsidR="006C6EC3" w:rsidRPr="00DC300C">
        <w:rPr>
          <w:szCs w:val="24"/>
        </w:rPr>
        <w:t xml:space="preserve"> or </w:t>
      </w:r>
      <w:proofErr w:type="spellStart"/>
      <w:r w:rsidR="006C6EC3" w:rsidRPr="00DC300C">
        <w:rPr>
          <w:szCs w:val="24"/>
        </w:rPr>
        <w:t>NoD</w:t>
      </w:r>
      <w:proofErr w:type="spellEnd"/>
      <w:r w:rsidR="006C6EC3" w:rsidRPr="00DC300C">
        <w:rPr>
          <w:szCs w:val="24"/>
        </w:rPr>
        <w:t xml:space="preserve">.  Thus, the State agency reporting burden for issuing a </w:t>
      </w:r>
      <w:proofErr w:type="spellStart"/>
      <w:proofErr w:type="gramStart"/>
      <w:r w:rsidR="006C6EC3" w:rsidRPr="00DC300C">
        <w:rPr>
          <w:szCs w:val="24"/>
        </w:rPr>
        <w:t>NoAA</w:t>
      </w:r>
      <w:proofErr w:type="spellEnd"/>
      <w:proofErr w:type="gramEnd"/>
      <w:r w:rsidR="006C6EC3" w:rsidRPr="00DC300C">
        <w:rPr>
          <w:szCs w:val="24"/>
        </w:rPr>
        <w:t xml:space="preserve"> or </w:t>
      </w:r>
      <w:proofErr w:type="spellStart"/>
      <w:r w:rsidR="006C6EC3" w:rsidRPr="00DC300C">
        <w:rPr>
          <w:szCs w:val="24"/>
        </w:rPr>
        <w:t>NoD</w:t>
      </w:r>
      <w:proofErr w:type="spellEnd"/>
      <w:r w:rsidR="006C6EC3" w:rsidRPr="00DC300C">
        <w:rPr>
          <w:szCs w:val="24"/>
        </w:rPr>
        <w:t xml:space="preserve"> is 14,851</w:t>
      </w:r>
      <w:r w:rsidR="00F42720">
        <w:rPr>
          <w:szCs w:val="24"/>
        </w:rPr>
        <w:t>.20</w:t>
      </w:r>
      <w:r w:rsidR="006C6EC3" w:rsidRPr="00DC300C">
        <w:rPr>
          <w:szCs w:val="24"/>
        </w:rPr>
        <w:t xml:space="preserve"> hours.  </w:t>
      </w:r>
    </w:p>
    <w:p w:rsidR="00014901" w:rsidRPr="00A62AD1" w:rsidRDefault="00014901" w:rsidP="00014901">
      <w:pPr>
        <w:ind w:left="144"/>
        <w:jc w:val="center"/>
      </w:pPr>
    </w:p>
    <w:p w:rsidR="00014901" w:rsidRDefault="00B151E1" w:rsidP="00B151E1">
      <w:pPr>
        <w:pStyle w:val="HTMLPreformatted"/>
        <w:rPr>
          <w:rFonts w:ascii="Times New Roman" w:hAnsi="Times New Roman"/>
          <w:b/>
          <w:sz w:val="24"/>
        </w:rPr>
      </w:pPr>
      <w:r>
        <w:rPr>
          <w:rFonts w:ascii="Times New Roman" w:hAnsi="Times New Roman"/>
          <w:b/>
          <w:sz w:val="24"/>
        </w:rPr>
        <w:t xml:space="preserve">Table A12.1 Reporting Burden for </w:t>
      </w:r>
      <w:r w:rsidR="00014901" w:rsidRPr="00A62AD1">
        <w:rPr>
          <w:rFonts w:ascii="Times New Roman" w:hAnsi="Times New Roman"/>
          <w:b/>
          <w:sz w:val="24"/>
        </w:rPr>
        <w:t>State Agencies</w:t>
      </w:r>
    </w:p>
    <w:p w:rsidR="00F9533E" w:rsidRDefault="00F9533E" w:rsidP="00B151E1">
      <w:pPr>
        <w:pStyle w:val="HTMLPreformatted"/>
        <w:rPr>
          <w:rFonts w:ascii="Times New Roman" w:hAnsi="Times New Roman"/>
          <w:b/>
          <w:sz w:val="24"/>
        </w:rPr>
      </w:pPr>
    </w:p>
    <w:tbl>
      <w:tblPr>
        <w:tblW w:w="10340" w:type="dxa"/>
        <w:tblInd w:w="93" w:type="dxa"/>
        <w:tblLook w:val="04A0"/>
      </w:tblPr>
      <w:tblGrid>
        <w:gridCol w:w="760"/>
        <w:gridCol w:w="1640"/>
        <w:gridCol w:w="1100"/>
        <w:gridCol w:w="1120"/>
        <w:gridCol w:w="1120"/>
        <w:gridCol w:w="1160"/>
        <w:gridCol w:w="1060"/>
        <w:gridCol w:w="1280"/>
        <w:gridCol w:w="1100"/>
      </w:tblGrid>
      <w:tr w:rsidR="004E45D9" w:rsidRPr="00F9533E" w:rsidTr="00F9533E">
        <w:trPr>
          <w:trHeight w:val="855"/>
        </w:trPr>
        <w:tc>
          <w:tcPr>
            <w:tcW w:w="760" w:type="dxa"/>
            <w:tcBorders>
              <w:top w:val="single" w:sz="8" w:space="0" w:color="000000"/>
              <w:left w:val="single" w:sz="8" w:space="0" w:color="000000"/>
              <w:bottom w:val="single" w:sz="8" w:space="0" w:color="000000"/>
              <w:right w:val="single" w:sz="8" w:space="0" w:color="000000"/>
            </w:tcBorders>
            <w:shd w:val="clear" w:color="000000" w:fill="FDE9D9"/>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CFR</w:t>
            </w:r>
          </w:p>
        </w:tc>
        <w:tc>
          <w:tcPr>
            <w:tcW w:w="1640" w:type="dxa"/>
            <w:tcBorders>
              <w:top w:val="single" w:sz="8" w:space="0" w:color="000000"/>
              <w:left w:val="nil"/>
              <w:bottom w:val="single" w:sz="8" w:space="0" w:color="000000"/>
              <w:right w:val="single" w:sz="8" w:space="0" w:color="000000"/>
            </w:tcBorders>
            <w:shd w:val="clear" w:color="000000" w:fill="FDE9D9"/>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Action</w:t>
            </w:r>
          </w:p>
        </w:tc>
        <w:tc>
          <w:tcPr>
            <w:tcW w:w="1100" w:type="dxa"/>
            <w:tcBorders>
              <w:top w:val="single" w:sz="8" w:space="0" w:color="000000"/>
              <w:left w:val="nil"/>
              <w:bottom w:val="single" w:sz="8" w:space="0" w:color="000000"/>
              <w:right w:val="single" w:sz="8" w:space="0" w:color="000000"/>
            </w:tcBorders>
            <w:shd w:val="clear" w:color="000000" w:fill="FDE9D9"/>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Number of Respondents</w:t>
            </w:r>
          </w:p>
        </w:tc>
        <w:tc>
          <w:tcPr>
            <w:tcW w:w="1120" w:type="dxa"/>
            <w:tcBorders>
              <w:top w:val="single" w:sz="8" w:space="0" w:color="000000"/>
              <w:left w:val="nil"/>
              <w:bottom w:val="single" w:sz="8" w:space="0" w:color="000000"/>
              <w:right w:val="single" w:sz="8" w:space="0" w:color="000000"/>
            </w:tcBorders>
            <w:shd w:val="clear" w:color="000000" w:fill="FDE9D9"/>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Total Annual Responses</w:t>
            </w:r>
          </w:p>
        </w:tc>
        <w:tc>
          <w:tcPr>
            <w:tcW w:w="1120" w:type="dxa"/>
            <w:tcBorders>
              <w:top w:val="single" w:sz="8" w:space="0" w:color="000000"/>
              <w:left w:val="nil"/>
              <w:bottom w:val="single" w:sz="8" w:space="0" w:color="000000"/>
              <w:right w:val="single" w:sz="8" w:space="0" w:color="000000"/>
            </w:tcBorders>
            <w:shd w:val="clear" w:color="000000" w:fill="FDE9D9"/>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Burden Hours Per Response</w:t>
            </w:r>
          </w:p>
        </w:tc>
        <w:tc>
          <w:tcPr>
            <w:tcW w:w="1160" w:type="dxa"/>
            <w:tcBorders>
              <w:top w:val="single" w:sz="8" w:space="0" w:color="000000"/>
              <w:left w:val="nil"/>
              <w:bottom w:val="single" w:sz="8" w:space="0" w:color="000000"/>
              <w:right w:val="single" w:sz="8" w:space="0" w:color="000000"/>
            </w:tcBorders>
            <w:shd w:val="clear" w:color="000000" w:fill="FDE9D9"/>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Total Burden Hours</w:t>
            </w:r>
          </w:p>
        </w:tc>
        <w:tc>
          <w:tcPr>
            <w:tcW w:w="1060" w:type="dxa"/>
            <w:tcBorders>
              <w:top w:val="single" w:sz="8" w:space="0" w:color="auto"/>
              <w:left w:val="nil"/>
              <w:bottom w:val="single" w:sz="8" w:space="0" w:color="auto"/>
              <w:right w:val="single" w:sz="8" w:space="0" w:color="auto"/>
            </w:tcBorders>
            <w:shd w:val="clear" w:color="000000" w:fill="FDE9D9"/>
            <w:vAlign w:val="bottom"/>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Previous Submission Total Hours</w:t>
            </w:r>
          </w:p>
        </w:tc>
        <w:tc>
          <w:tcPr>
            <w:tcW w:w="1280" w:type="dxa"/>
            <w:tcBorders>
              <w:top w:val="single" w:sz="8" w:space="0" w:color="auto"/>
              <w:left w:val="nil"/>
              <w:bottom w:val="single" w:sz="8" w:space="0" w:color="auto"/>
              <w:right w:val="single" w:sz="8" w:space="0" w:color="auto"/>
            </w:tcBorders>
            <w:shd w:val="clear" w:color="000000" w:fill="FDE9D9"/>
            <w:vAlign w:val="bottom"/>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Difference Due to Program Changes</w:t>
            </w:r>
          </w:p>
        </w:tc>
        <w:tc>
          <w:tcPr>
            <w:tcW w:w="1100" w:type="dxa"/>
            <w:tcBorders>
              <w:top w:val="single" w:sz="8" w:space="0" w:color="auto"/>
              <w:left w:val="nil"/>
              <w:bottom w:val="single" w:sz="8" w:space="0" w:color="auto"/>
              <w:right w:val="single" w:sz="8" w:space="0" w:color="auto"/>
            </w:tcBorders>
            <w:shd w:val="clear" w:color="000000" w:fill="FDE9D9"/>
            <w:vAlign w:val="bottom"/>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Difference Due to Adjustments</w:t>
            </w:r>
          </w:p>
        </w:tc>
      </w:tr>
      <w:tr w:rsidR="00F9533E" w:rsidRPr="00F9533E" w:rsidTr="00F9533E">
        <w:trPr>
          <w:trHeight w:val="480"/>
        </w:trPr>
        <w:tc>
          <w:tcPr>
            <w:tcW w:w="760" w:type="dxa"/>
            <w:tcBorders>
              <w:top w:val="nil"/>
              <w:left w:val="single" w:sz="8" w:space="0" w:color="000000"/>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272.2</w:t>
            </w:r>
          </w:p>
        </w:tc>
        <w:tc>
          <w:tcPr>
            <w:tcW w:w="164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Program Activity Statement</w:t>
            </w:r>
            <w:r w:rsidR="00C9463E">
              <w:rPr>
                <w:rFonts w:ascii="Times New Roman" w:hAnsi="Times New Roman"/>
                <w:color w:val="000000"/>
                <w:sz w:val="16"/>
                <w:szCs w:val="16"/>
              </w:rPr>
              <w:t xml:space="preserve"> (FNS 366B)</w:t>
            </w:r>
          </w:p>
        </w:tc>
        <w:tc>
          <w:tcPr>
            <w:tcW w:w="110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53</w:t>
            </w:r>
          </w:p>
        </w:tc>
        <w:tc>
          <w:tcPr>
            <w:tcW w:w="112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212</w:t>
            </w:r>
          </w:p>
        </w:tc>
        <w:tc>
          <w:tcPr>
            <w:tcW w:w="112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15</w:t>
            </w:r>
          </w:p>
        </w:tc>
        <w:tc>
          <w:tcPr>
            <w:tcW w:w="116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3,180</w:t>
            </w:r>
          </w:p>
        </w:tc>
        <w:tc>
          <w:tcPr>
            <w:tcW w:w="106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950.29</w:t>
            </w:r>
          </w:p>
        </w:tc>
        <w:tc>
          <w:tcPr>
            <w:tcW w:w="128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2,229.71</w:t>
            </w:r>
          </w:p>
        </w:tc>
        <w:tc>
          <w:tcPr>
            <w:tcW w:w="110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w:t>
            </w:r>
          </w:p>
        </w:tc>
      </w:tr>
      <w:tr w:rsidR="00F9533E" w:rsidRPr="00F9533E" w:rsidTr="00F9533E">
        <w:trPr>
          <w:trHeight w:val="690"/>
        </w:trPr>
        <w:tc>
          <w:tcPr>
            <w:tcW w:w="760" w:type="dxa"/>
            <w:tcBorders>
              <w:top w:val="nil"/>
              <w:left w:val="single" w:sz="8" w:space="0" w:color="000000"/>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272.15</w:t>
            </w:r>
          </w:p>
        </w:tc>
        <w:tc>
          <w:tcPr>
            <w:tcW w:w="164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NDNH -Applicant/Recipient Screening</w:t>
            </w:r>
          </w:p>
        </w:tc>
        <w:tc>
          <w:tcPr>
            <w:tcW w:w="110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53</w:t>
            </w:r>
          </w:p>
        </w:tc>
        <w:tc>
          <w:tcPr>
            <w:tcW w:w="112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9,158,240</w:t>
            </w:r>
          </w:p>
        </w:tc>
        <w:tc>
          <w:tcPr>
            <w:tcW w:w="112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0.017</w:t>
            </w:r>
          </w:p>
        </w:tc>
        <w:tc>
          <w:tcPr>
            <w:tcW w:w="116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155,690.08</w:t>
            </w:r>
          </w:p>
        </w:tc>
        <w:tc>
          <w:tcPr>
            <w:tcW w:w="106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w:t>
            </w:r>
          </w:p>
        </w:tc>
        <w:tc>
          <w:tcPr>
            <w:tcW w:w="128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155,690.08</w:t>
            </w:r>
          </w:p>
        </w:tc>
        <w:tc>
          <w:tcPr>
            <w:tcW w:w="110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w:t>
            </w:r>
          </w:p>
        </w:tc>
      </w:tr>
      <w:tr w:rsidR="00F9533E" w:rsidRPr="00F9533E" w:rsidTr="00F9533E">
        <w:trPr>
          <w:trHeight w:val="465"/>
        </w:trPr>
        <w:tc>
          <w:tcPr>
            <w:tcW w:w="760" w:type="dxa"/>
            <w:tcBorders>
              <w:top w:val="nil"/>
              <w:left w:val="single" w:sz="8" w:space="0" w:color="000000"/>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272.15</w:t>
            </w:r>
          </w:p>
        </w:tc>
        <w:tc>
          <w:tcPr>
            <w:tcW w:w="164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NDNH - Verification of Match</w:t>
            </w:r>
          </w:p>
        </w:tc>
        <w:tc>
          <w:tcPr>
            <w:tcW w:w="110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53</w:t>
            </w:r>
          </w:p>
        </w:tc>
        <w:tc>
          <w:tcPr>
            <w:tcW w:w="112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1,237,600</w:t>
            </w:r>
          </w:p>
        </w:tc>
        <w:tc>
          <w:tcPr>
            <w:tcW w:w="112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0.03</w:t>
            </w:r>
          </w:p>
        </w:tc>
        <w:tc>
          <w:tcPr>
            <w:tcW w:w="116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37,128</w:t>
            </w:r>
          </w:p>
        </w:tc>
        <w:tc>
          <w:tcPr>
            <w:tcW w:w="106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w:t>
            </w:r>
          </w:p>
        </w:tc>
        <w:tc>
          <w:tcPr>
            <w:tcW w:w="128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37,128.00</w:t>
            </w:r>
          </w:p>
        </w:tc>
        <w:tc>
          <w:tcPr>
            <w:tcW w:w="110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w:t>
            </w:r>
          </w:p>
        </w:tc>
      </w:tr>
      <w:tr w:rsidR="00F9533E" w:rsidRPr="00F9533E" w:rsidTr="00F9533E">
        <w:trPr>
          <w:trHeight w:val="765"/>
        </w:trPr>
        <w:tc>
          <w:tcPr>
            <w:tcW w:w="760" w:type="dxa"/>
            <w:tcBorders>
              <w:top w:val="nil"/>
              <w:left w:val="single" w:sz="8" w:space="0" w:color="000000"/>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272.15</w:t>
            </w:r>
          </w:p>
        </w:tc>
        <w:tc>
          <w:tcPr>
            <w:tcW w:w="164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NDNH - Notice of Adverse Action or Notice of Denial</w:t>
            </w:r>
          </w:p>
        </w:tc>
        <w:tc>
          <w:tcPr>
            <w:tcW w:w="110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53</w:t>
            </w:r>
          </w:p>
        </w:tc>
        <w:tc>
          <w:tcPr>
            <w:tcW w:w="112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495,040</w:t>
            </w:r>
          </w:p>
        </w:tc>
        <w:tc>
          <w:tcPr>
            <w:tcW w:w="112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0.03</w:t>
            </w:r>
          </w:p>
        </w:tc>
        <w:tc>
          <w:tcPr>
            <w:tcW w:w="1160" w:type="dxa"/>
            <w:tcBorders>
              <w:top w:val="nil"/>
              <w:left w:val="nil"/>
              <w:bottom w:val="single" w:sz="8" w:space="0" w:color="000000"/>
              <w:right w:val="single" w:sz="8" w:space="0" w:color="000000"/>
            </w:tcBorders>
            <w:shd w:val="clear" w:color="auto" w:fill="auto"/>
            <w:vAlign w:val="center"/>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14,851.20</w:t>
            </w:r>
          </w:p>
        </w:tc>
        <w:tc>
          <w:tcPr>
            <w:tcW w:w="106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w:t>
            </w:r>
          </w:p>
        </w:tc>
        <w:tc>
          <w:tcPr>
            <w:tcW w:w="128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14,851.20</w:t>
            </w:r>
          </w:p>
        </w:tc>
        <w:tc>
          <w:tcPr>
            <w:tcW w:w="110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w:t>
            </w:r>
          </w:p>
        </w:tc>
      </w:tr>
      <w:tr w:rsidR="00F9533E" w:rsidRPr="00F9533E" w:rsidTr="00F9533E">
        <w:trPr>
          <w:trHeight w:val="315"/>
        </w:trPr>
        <w:tc>
          <w:tcPr>
            <w:tcW w:w="2400" w:type="dxa"/>
            <w:gridSpan w:val="2"/>
            <w:tcBorders>
              <w:top w:val="single" w:sz="8" w:space="0" w:color="000000"/>
              <w:left w:val="single" w:sz="8" w:space="0" w:color="000000"/>
              <w:bottom w:val="single" w:sz="8" w:space="0" w:color="000000"/>
              <w:right w:val="single" w:sz="8" w:space="0" w:color="000000"/>
            </w:tcBorders>
            <w:shd w:val="clear" w:color="000000" w:fill="EAF1DD"/>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Total</w:t>
            </w:r>
          </w:p>
        </w:tc>
        <w:tc>
          <w:tcPr>
            <w:tcW w:w="1100" w:type="dxa"/>
            <w:tcBorders>
              <w:top w:val="nil"/>
              <w:left w:val="nil"/>
              <w:bottom w:val="single" w:sz="8" w:space="0" w:color="000000"/>
              <w:right w:val="single" w:sz="8" w:space="0" w:color="000000"/>
            </w:tcBorders>
            <w:shd w:val="clear" w:color="000000" w:fill="EAF1DD"/>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53</w:t>
            </w:r>
          </w:p>
        </w:tc>
        <w:tc>
          <w:tcPr>
            <w:tcW w:w="1120" w:type="dxa"/>
            <w:tcBorders>
              <w:top w:val="nil"/>
              <w:left w:val="nil"/>
              <w:bottom w:val="single" w:sz="8" w:space="0" w:color="000000"/>
              <w:right w:val="single" w:sz="8" w:space="0" w:color="000000"/>
            </w:tcBorders>
            <w:shd w:val="clear" w:color="000000" w:fill="EAF1DD"/>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10,891,092</w:t>
            </w:r>
          </w:p>
        </w:tc>
        <w:tc>
          <w:tcPr>
            <w:tcW w:w="1120" w:type="dxa"/>
            <w:tcBorders>
              <w:top w:val="nil"/>
              <w:left w:val="nil"/>
              <w:bottom w:val="single" w:sz="8" w:space="0" w:color="000000"/>
              <w:right w:val="single" w:sz="8" w:space="0" w:color="000000"/>
            </w:tcBorders>
            <w:shd w:val="clear" w:color="000000" w:fill="EAF1DD"/>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0.019359792</w:t>
            </w:r>
          </w:p>
        </w:tc>
        <w:tc>
          <w:tcPr>
            <w:tcW w:w="1160" w:type="dxa"/>
            <w:tcBorders>
              <w:top w:val="nil"/>
              <w:left w:val="nil"/>
              <w:bottom w:val="single" w:sz="8" w:space="0" w:color="000000"/>
              <w:right w:val="single" w:sz="8" w:space="0" w:color="000000"/>
            </w:tcBorders>
            <w:shd w:val="clear" w:color="000000" w:fill="EAF1DD"/>
            <w:vAlign w:val="center"/>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210,849.28</w:t>
            </w:r>
          </w:p>
        </w:tc>
        <w:tc>
          <w:tcPr>
            <w:tcW w:w="106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950.29</w:t>
            </w:r>
          </w:p>
        </w:tc>
        <w:tc>
          <w:tcPr>
            <w:tcW w:w="128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b/>
                <w:bCs/>
                <w:color w:val="000000"/>
                <w:sz w:val="16"/>
                <w:szCs w:val="16"/>
              </w:rPr>
            </w:pPr>
            <w:r w:rsidRPr="00F9533E">
              <w:rPr>
                <w:rFonts w:ascii="Times New Roman" w:hAnsi="Times New Roman"/>
                <w:b/>
                <w:bCs/>
                <w:color w:val="000000"/>
                <w:sz w:val="16"/>
                <w:szCs w:val="16"/>
              </w:rPr>
              <w:t>209,898.99</w:t>
            </w:r>
          </w:p>
        </w:tc>
        <w:tc>
          <w:tcPr>
            <w:tcW w:w="1100" w:type="dxa"/>
            <w:tcBorders>
              <w:top w:val="nil"/>
              <w:left w:val="nil"/>
              <w:bottom w:val="single" w:sz="8" w:space="0" w:color="auto"/>
              <w:right w:val="single" w:sz="8" w:space="0" w:color="auto"/>
            </w:tcBorders>
            <w:shd w:val="clear" w:color="auto" w:fill="auto"/>
            <w:noWrap/>
            <w:vAlign w:val="bottom"/>
            <w:hideMark/>
          </w:tcPr>
          <w:p w:rsidR="00F9533E" w:rsidRPr="00F9533E" w:rsidRDefault="00F9533E" w:rsidP="00F9533E">
            <w:pPr>
              <w:widowControl/>
              <w:overflowPunct/>
              <w:autoSpaceDE/>
              <w:autoSpaceDN/>
              <w:adjustRightInd/>
              <w:textAlignment w:val="auto"/>
              <w:rPr>
                <w:rFonts w:ascii="Times New Roman" w:hAnsi="Times New Roman"/>
                <w:color w:val="000000"/>
                <w:sz w:val="16"/>
                <w:szCs w:val="16"/>
              </w:rPr>
            </w:pPr>
            <w:r w:rsidRPr="00F9533E">
              <w:rPr>
                <w:rFonts w:ascii="Times New Roman" w:hAnsi="Times New Roman"/>
                <w:color w:val="000000"/>
                <w:sz w:val="16"/>
                <w:szCs w:val="16"/>
              </w:rPr>
              <w:t>0</w:t>
            </w:r>
          </w:p>
        </w:tc>
      </w:tr>
    </w:tbl>
    <w:p w:rsidR="00F9533E" w:rsidRPr="00A62AD1" w:rsidRDefault="00F9533E" w:rsidP="00B151E1">
      <w:pPr>
        <w:pStyle w:val="HTMLPreformatted"/>
        <w:rPr>
          <w:rFonts w:ascii="Times New Roman" w:hAnsi="Times New Roman"/>
          <w:b/>
          <w:sz w:val="24"/>
        </w:rPr>
      </w:pPr>
    </w:p>
    <w:p w:rsidR="00014901" w:rsidRDefault="00014901" w:rsidP="00014901">
      <w:pPr>
        <w:pStyle w:val="HTMLPreformatted"/>
        <w:rPr>
          <w:rFonts w:ascii="Times New Roman" w:hAnsi="Times New Roman"/>
          <w:b/>
          <w:sz w:val="24"/>
        </w:rPr>
      </w:pPr>
    </w:p>
    <w:p w:rsidR="00DC300C" w:rsidRDefault="00DC300C" w:rsidP="00014901">
      <w:pPr>
        <w:pStyle w:val="HTMLPreformatted"/>
        <w:rPr>
          <w:rFonts w:ascii="Times New Roman" w:hAnsi="Times New Roman"/>
          <w:b/>
          <w:sz w:val="24"/>
        </w:rPr>
      </w:pPr>
      <w:r w:rsidRPr="00DC300C">
        <w:rPr>
          <w:rFonts w:ascii="Times New Roman" w:hAnsi="Times New Roman"/>
          <w:b/>
          <w:sz w:val="24"/>
        </w:rPr>
        <w:t>INDIVDUAL/HOUSEHOLD REPORTING BURDEN:</w:t>
      </w:r>
    </w:p>
    <w:p w:rsidR="00DC300C" w:rsidRDefault="00DC300C" w:rsidP="00014901">
      <w:pPr>
        <w:pStyle w:val="HTMLPreformatted"/>
        <w:rPr>
          <w:rFonts w:ascii="Times New Roman" w:hAnsi="Times New Roman"/>
          <w:b/>
          <w:sz w:val="24"/>
        </w:rPr>
      </w:pPr>
    </w:p>
    <w:p w:rsidR="00DC300C" w:rsidRPr="00DC300C" w:rsidRDefault="00DC300C" w:rsidP="00014901">
      <w:pPr>
        <w:pStyle w:val="HTMLPreformatted"/>
        <w:rPr>
          <w:rFonts w:ascii="Times New Roman" w:hAnsi="Times New Roman"/>
          <w:sz w:val="24"/>
          <w:u w:val="single"/>
        </w:rPr>
      </w:pPr>
      <w:r w:rsidRPr="00DC300C">
        <w:rPr>
          <w:rFonts w:ascii="Times New Roman" w:hAnsi="Times New Roman"/>
          <w:sz w:val="24"/>
          <w:u w:val="single"/>
        </w:rPr>
        <w:t>272.15 - National Directory of New Hires:</w:t>
      </w:r>
    </w:p>
    <w:p w:rsidR="00DC300C" w:rsidRDefault="00DC300C" w:rsidP="00014901">
      <w:pPr>
        <w:pStyle w:val="HTMLPreformatted"/>
        <w:rPr>
          <w:rFonts w:ascii="Times New Roman" w:hAnsi="Times New Roman"/>
          <w:b/>
          <w:sz w:val="24"/>
        </w:rPr>
      </w:pPr>
    </w:p>
    <w:p w:rsidR="00DC300C" w:rsidRPr="0014750C" w:rsidRDefault="00DC300C" w:rsidP="00DE2A72">
      <w:pPr>
        <w:pStyle w:val="ListParagraph"/>
        <w:numPr>
          <w:ilvl w:val="0"/>
          <w:numId w:val="21"/>
        </w:numPr>
        <w:rPr>
          <w:szCs w:val="24"/>
        </w:rPr>
      </w:pPr>
      <w:r>
        <w:rPr>
          <w:i/>
          <w:szCs w:val="24"/>
        </w:rPr>
        <w:t>Request for Contact</w:t>
      </w:r>
      <w:r w:rsidRPr="00DC300C">
        <w:rPr>
          <w:i/>
          <w:szCs w:val="24"/>
        </w:rPr>
        <w:t>:</w:t>
      </w:r>
      <w:r w:rsidRPr="00DC300C">
        <w:rPr>
          <w:szCs w:val="24"/>
        </w:rPr>
        <w:t xml:space="preserve">  The State agency must independently verify the information prior to taking any adverse action against an individual.  Should the State agency receive employment information via the NDNH that was previously unreported by the household, the State agency may issue a Request for Contact (RFC) to the household to verify the information or contact the employer directly, depending upon applicable simplified reporting requirements as defined at 7 CFR 273.12(a).  </w:t>
      </w:r>
      <w:r w:rsidR="00181E15">
        <w:rPr>
          <w:szCs w:val="24"/>
        </w:rPr>
        <w:t>Thirty eight</w:t>
      </w:r>
      <w:r w:rsidR="00F42720">
        <w:rPr>
          <w:szCs w:val="24"/>
        </w:rPr>
        <w:t xml:space="preserve"> (</w:t>
      </w:r>
      <w:r w:rsidR="00181E15">
        <w:rPr>
          <w:szCs w:val="24"/>
        </w:rPr>
        <w:t>38</w:t>
      </w:r>
      <w:r w:rsidR="00F42720">
        <w:rPr>
          <w:szCs w:val="24"/>
        </w:rPr>
        <w:t>)</w:t>
      </w:r>
      <w:r w:rsidR="00F42720" w:rsidRPr="00F42720">
        <w:rPr>
          <w:szCs w:val="24"/>
        </w:rPr>
        <w:t xml:space="preserve"> State agencies (or </w:t>
      </w:r>
      <w:r w:rsidR="00181E15">
        <w:rPr>
          <w:szCs w:val="24"/>
        </w:rPr>
        <w:t>72</w:t>
      </w:r>
      <w:r w:rsidR="00F42720" w:rsidRPr="00F42720">
        <w:rPr>
          <w:szCs w:val="24"/>
        </w:rPr>
        <w:t xml:space="preserve"> percent of the total) act on all changes and require an RFC to verify information with the household.  </w:t>
      </w:r>
      <w:r w:rsidRPr="00DC300C">
        <w:rPr>
          <w:szCs w:val="24"/>
        </w:rPr>
        <w:t xml:space="preserve">It is estimated that </w:t>
      </w:r>
      <w:r w:rsidR="00DE2A72" w:rsidRPr="00DE2A72">
        <w:rPr>
          <w:szCs w:val="24"/>
        </w:rPr>
        <w:t>891,072</w:t>
      </w:r>
      <w:r w:rsidR="00DE2A72">
        <w:rPr>
          <w:szCs w:val="24"/>
        </w:rPr>
        <w:t xml:space="preserve"> </w:t>
      </w:r>
      <w:r w:rsidRPr="00DC300C">
        <w:rPr>
          <w:szCs w:val="24"/>
        </w:rPr>
        <w:t>households with unduplicated employment matches would receive an RFC, and it will take each household approximately 2 minutes to read and respond to the RFC.  Thus, the househol</w:t>
      </w:r>
      <w:r w:rsidR="00F42720">
        <w:rPr>
          <w:szCs w:val="24"/>
        </w:rPr>
        <w:t xml:space="preserve">d burden for </w:t>
      </w:r>
      <w:r w:rsidR="00477017">
        <w:rPr>
          <w:szCs w:val="24"/>
        </w:rPr>
        <w:t>the RFC</w:t>
      </w:r>
      <w:r w:rsidR="00F42720">
        <w:rPr>
          <w:szCs w:val="24"/>
        </w:rPr>
        <w:t xml:space="preserve"> is </w:t>
      </w:r>
      <w:r w:rsidR="00F65888">
        <w:rPr>
          <w:szCs w:val="24"/>
        </w:rPr>
        <w:t>26,732.16</w:t>
      </w:r>
      <w:r w:rsidRPr="00DC300C">
        <w:rPr>
          <w:szCs w:val="24"/>
        </w:rPr>
        <w:t xml:space="preserve"> hours.  </w:t>
      </w:r>
    </w:p>
    <w:p w:rsidR="00B151E1" w:rsidRDefault="00DC300C" w:rsidP="0014750C">
      <w:pPr>
        <w:pStyle w:val="ListParagraph"/>
        <w:numPr>
          <w:ilvl w:val="0"/>
          <w:numId w:val="21"/>
        </w:numPr>
        <w:rPr>
          <w:szCs w:val="24"/>
        </w:rPr>
      </w:pPr>
      <w:r w:rsidRPr="00DC300C">
        <w:rPr>
          <w:i/>
          <w:szCs w:val="24"/>
        </w:rPr>
        <w:t>Notice</w:t>
      </w:r>
      <w:r>
        <w:rPr>
          <w:i/>
          <w:szCs w:val="24"/>
        </w:rPr>
        <w:t xml:space="preserve"> of Adverse Action or Denial</w:t>
      </w:r>
      <w:r w:rsidRPr="00DC300C">
        <w:rPr>
          <w:i/>
          <w:szCs w:val="24"/>
        </w:rPr>
        <w:t>:</w:t>
      </w:r>
      <w:r w:rsidRPr="00DC300C">
        <w:rPr>
          <w:szCs w:val="24"/>
        </w:rPr>
        <w:t xml:space="preserve">  The Notice of Adverse Action or Notice of Denial is issued by State agencies to participating households whose benefits will be reduced or terminated as the result of a change in household circumstances.  It is estimated that approximately 40 percent of cases with an unduplicated employment match result in </w:t>
      </w:r>
      <w:proofErr w:type="gramStart"/>
      <w:r w:rsidRPr="00DC300C">
        <w:rPr>
          <w:szCs w:val="24"/>
        </w:rPr>
        <w:t>either a</w:t>
      </w:r>
      <w:proofErr w:type="gramEnd"/>
      <w:r w:rsidRPr="00DC300C">
        <w:rPr>
          <w:szCs w:val="24"/>
        </w:rPr>
        <w:t xml:space="preserve"> closed case, reduced benefits, or denial of eligibility.  Based on estimates referenced in previous sections, this equals roughly 495,040 cases.  It will take the household approximately 2 minutes to read the </w:t>
      </w:r>
      <w:proofErr w:type="spellStart"/>
      <w:proofErr w:type="gramStart"/>
      <w:r w:rsidRPr="00DC300C">
        <w:rPr>
          <w:szCs w:val="24"/>
        </w:rPr>
        <w:t>NoAA</w:t>
      </w:r>
      <w:proofErr w:type="spellEnd"/>
      <w:proofErr w:type="gramEnd"/>
      <w:r w:rsidRPr="00DC300C">
        <w:rPr>
          <w:szCs w:val="24"/>
        </w:rPr>
        <w:t xml:space="preserve"> or </w:t>
      </w:r>
      <w:proofErr w:type="spellStart"/>
      <w:r w:rsidRPr="00DC300C">
        <w:rPr>
          <w:szCs w:val="24"/>
        </w:rPr>
        <w:t>NoD</w:t>
      </w:r>
      <w:proofErr w:type="spellEnd"/>
      <w:r w:rsidRPr="00DC300C">
        <w:rPr>
          <w:szCs w:val="24"/>
        </w:rPr>
        <w:t xml:space="preserve">.  Thus, the household reporting burden for reading a </w:t>
      </w:r>
      <w:proofErr w:type="spellStart"/>
      <w:proofErr w:type="gramStart"/>
      <w:r w:rsidRPr="00DC300C">
        <w:rPr>
          <w:szCs w:val="24"/>
        </w:rPr>
        <w:t>NoAA</w:t>
      </w:r>
      <w:proofErr w:type="spellEnd"/>
      <w:proofErr w:type="gramEnd"/>
      <w:r w:rsidRPr="00DC300C">
        <w:rPr>
          <w:szCs w:val="24"/>
        </w:rPr>
        <w:t xml:space="preserve"> or </w:t>
      </w:r>
      <w:proofErr w:type="spellStart"/>
      <w:r w:rsidRPr="00DC300C">
        <w:rPr>
          <w:szCs w:val="24"/>
        </w:rPr>
        <w:t>NoD</w:t>
      </w:r>
      <w:proofErr w:type="spellEnd"/>
      <w:r w:rsidRPr="00DC300C">
        <w:rPr>
          <w:szCs w:val="24"/>
        </w:rPr>
        <w:t xml:space="preserve"> is 14,851</w:t>
      </w:r>
      <w:r w:rsidR="00F42720">
        <w:rPr>
          <w:szCs w:val="24"/>
        </w:rPr>
        <w:t>.2</w:t>
      </w:r>
      <w:r w:rsidRPr="00DC300C">
        <w:rPr>
          <w:szCs w:val="24"/>
        </w:rPr>
        <w:t xml:space="preserve"> hours.  </w:t>
      </w:r>
    </w:p>
    <w:p w:rsidR="00F42720" w:rsidRPr="0014750C" w:rsidRDefault="00F42720" w:rsidP="00F42720">
      <w:pPr>
        <w:pStyle w:val="ListParagraph"/>
        <w:rPr>
          <w:szCs w:val="24"/>
        </w:rPr>
      </w:pPr>
    </w:p>
    <w:p w:rsidR="00777161" w:rsidRDefault="00B151E1" w:rsidP="00B151E1">
      <w:pPr>
        <w:pStyle w:val="HTMLPreformatted"/>
        <w:spacing w:line="480" w:lineRule="auto"/>
        <w:rPr>
          <w:rFonts w:ascii="Times New Roman" w:hAnsi="Times New Roman"/>
          <w:b/>
          <w:sz w:val="24"/>
        </w:rPr>
      </w:pPr>
      <w:r>
        <w:rPr>
          <w:rFonts w:ascii="Times New Roman" w:hAnsi="Times New Roman"/>
          <w:b/>
          <w:sz w:val="24"/>
        </w:rPr>
        <w:t>Table A12.2</w:t>
      </w:r>
      <w:r w:rsidRPr="00B151E1">
        <w:rPr>
          <w:rFonts w:ascii="Times New Roman" w:hAnsi="Times New Roman"/>
          <w:b/>
          <w:sz w:val="24"/>
        </w:rPr>
        <w:t xml:space="preserve"> Reporting Burden for </w:t>
      </w:r>
      <w:r>
        <w:rPr>
          <w:rFonts w:ascii="Times New Roman" w:hAnsi="Times New Roman"/>
          <w:b/>
          <w:sz w:val="24"/>
        </w:rPr>
        <w:t>Households</w:t>
      </w:r>
    </w:p>
    <w:tbl>
      <w:tblPr>
        <w:tblStyle w:val="TableGrid"/>
        <w:tblW w:w="0" w:type="auto"/>
        <w:tblLook w:val="04A0"/>
      </w:tblPr>
      <w:tblGrid>
        <w:gridCol w:w="1596"/>
        <w:gridCol w:w="1596"/>
        <w:gridCol w:w="1596"/>
        <w:gridCol w:w="1596"/>
        <w:gridCol w:w="1596"/>
        <w:gridCol w:w="1596"/>
      </w:tblGrid>
      <w:tr w:rsidR="00777161" w:rsidTr="00B151E1">
        <w:tc>
          <w:tcPr>
            <w:tcW w:w="1596" w:type="dxa"/>
            <w:vAlign w:val="center"/>
          </w:tcPr>
          <w:p w:rsidR="00777161" w:rsidRDefault="00777161" w:rsidP="00B151E1">
            <w:pPr>
              <w:pStyle w:val="HTMLPreformatted"/>
              <w:jc w:val="center"/>
              <w:rPr>
                <w:rFonts w:ascii="Times New Roman" w:hAnsi="Times New Roman"/>
                <w:b/>
                <w:sz w:val="24"/>
              </w:rPr>
            </w:pPr>
            <w:r w:rsidRPr="00A62AD1">
              <w:rPr>
                <w:rFonts w:ascii="Times New Roman" w:hAnsi="Times New Roman"/>
                <w:b/>
              </w:rPr>
              <w:t>CFR</w:t>
            </w:r>
          </w:p>
        </w:tc>
        <w:tc>
          <w:tcPr>
            <w:tcW w:w="1596" w:type="dxa"/>
            <w:vAlign w:val="center"/>
          </w:tcPr>
          <w:p w:rsidR="00777161" w:rsidRDefault="00777161" w:rsidP="00B151E1">
            <w:pPr>
              <w:pStyle w:val="HTMLPreformatted"/>
              <w:jc w:val="center"/>
              <w:rPr>
                <w:rFonts w:ascii="Times New Roman" w:hAnsi="Times New Roman"/>
                <w:b/>
                <w:sz w:val="24"/>
              </w:rPr>
            </w:pPr>
            <w:r w:rsidRPr="00A62AD1">
              <w:rPr>
                <w:rFonts w:ascii="Times New Roman" w:hAnsi="Times New Roman"/>
                <w:b/>
              </w:rPr>
              <w:t>Action</w:t>
            </w:r>
          </w:p>
        </w:tc>
        <w:tc>
          <w:tcPr>
            <w:tcW w:w="1596" w:type="dxa"/>
            <w:vAlign w:val="center"/>
          </w:tcPr>
          <w:p w:rsidR="00777161" w:rsidRDefault="00777161" w:rsidP="00B151E1">
            <w:pPr>
              <w:pStyle w:val="HTMLPreformatted"/>
              <w:jc w:val="center"/>
              <w:rPr>
                <w:rFonts w:ascii="Times New Roman" w:hAnsi="Times New Roman"/>
                <w:b/>
                <w:sz w:val="24"/>
              </w:rPr>
            </w:pPr>
            <w:r w:rsidRPr="00A62AD1">
              <w:rPr>
                <w:rFonts w:ascii="Times New Roman" w:hAnsi="Times New Roman"/>
                <w:b/>
              </w:rPr>
              <w:t>Number of Respondents</w:t>
            </w:r>
          </w:p>
        </w:tc>
        <w:tc>
          <w:tcPr>
            <w:tcW w:w="1596" w:type="dxa"/>
            <w:vAlign w:val="center"/>
          </w:tcPr>
          <w:p w:rsidR="00777161" w:rsidRDefault="00777161" w:rsidP="00B151E1">
            <w:pPr>
              <w:pStyle w:val="HTMLPreformatted"/>
              <w:jc w:val="center"/>
              <w:rPr>
                <w:rFonts w:ascii="Times New Roman" w:hAnsi="Times New Roman"/>
                <w:b/>
                <w:sz w:val="24"/>
              </w:rPr>
            </w:pPr>
            <w:r w:rsidRPr="00A62AD1">
              <w:rPr>
                <w:rFonts w:ascii="Times New Roman" w:hAnsi="Times New Roman"/>
                <w:b/>
              </w:rPr>
              <w:t>Total Annual Responses</w:t>
            </w:r>
          </w:p>
        </w:tc>
        <w:tc>
          <w:tcPr>
            <w:tcW w:w="1596" w:type="dxa"/>
            <w:vAlign w:val="center"/>
          </w:tcPr>
          <w:p w:rsidR="00777161" w:rsidRDefault="00777161" w:rsidP="00B151E1">
            <w:pPr>
              <w:pStyle w:val="HTMLPreformatted"/>
              <w:jc w:val="center"/>
              <w:rPr>
                <w:rFonts w:ascii="Times New Roman" w:hAnsi="Times New Roman"/>
                <w:b/>
                <w:sz w:val="24"/>
              </w:rPr>
            </w:pPr>
            <w:r w:rsidRPr="00A62AD1">
              <w:rPr>
                <w:rFonts w:ascii="Times New Roman" w:hAnsi="Times New Roman"/>
                <w:b/>
              </w:rPr>
              <w:t>Burden Hours Per Response</w:t>
            </w:r>
          </w:p>
        </w:tc>
        <w:tc>
          <w:tcPr>
            <w:tcW w:w="1596" w:type="dxa"/>
            <w:vAlign w:val="center"/>
          </w:tcPr>
          <w:p w:rsidR="00777161" w:rsidRDefault="00777161" w:rsidP="00B151E1">
            <w:pPr>
              <w:pStyle w:val="HTMLPreformatted"/>
              <w:jc w:val="center"/>
              <w:rPr>
                <w:rFonts w:ascii="Times New Roman" w:hAnsi="Times New Roman"/>
                <w:b/>
                <w:sz w:val="24"/>
              </w:rPr>
            </w:pPr>
            <w:r w:rsidRPr="00A62AD1">
              <w:rPr>
                <w:rFonts w:ascii="Times New Roman" w:hAnsi="Times New Roman"/>
                <w:b/>
              </w:rPr>
              <w:t>Total Burden Hours</w:t>
            </w:r>
          </w:p>
        </w:tc>
      </w:tr>
      <w:tr w:rsidR="00777161" w:rsidTr="00B151E1">
        <w:tc>
          <w:tcPr>
            <w:tcW w:w="1596" w:type="dxa"/>
            <w:vAlign w:val="center"/>
          </w:tcPr>
          <w:p w:rsidR="00777161" w:rsidRDefault="00777161" w:rsidP="00B151E1">
            <w:pPr>
              <w:pStyle w:val="HTMLPreformatted"/>
              <w:jc w:val="center"/>
              <w:rPr>
                <w:rFonts w:ascii="Times New Roman" w:hAnsi="Times New Roman"/>
                <w:b/>
                <w:sz w:val="24"/>
              </w:rPr>
            </w:pPr>
            <w:r w:rsidRPr="00A62AD1">
              <w:rPr>
                <w:rFonts w:ascii="Times New Roman" w:hAnsi="Times New Roman"/>
                <w:b/>
              </w:rPr>
              <w:t>272.15</w:t>
            </w:r>
          </w:p>
        </w:tc>
        <w:tc>
          <w:tcPr>
            <w:tcW w:w="1596" w:type="dxa"/>
            <w:vAlign w:val="center"/>
          </w:tcPr>
          <w:p w:rsidR="00777161" w:rsidRDefault="00777161" w:rsidP="00B151E1">
            <w:pPr>
              <w:pStyle w:val="HTMLPreformatted"/>
              <w:jc w:val="center"/>
              <w:rPr>
                <w:rFonts w:ascii="Times New Roman" w:hAnsi="Times New Roman"/>
                <w:b/>
                <w:sz w:val="24"/>
              </w:rPr>
            </w:pPr>
            <w:r w:rsidRPr="00A62AD1">
              <w:rPr>
                <w:rFonts w:ascii="Times New Roman" w:hAnsi="Times New Roman"/>
              </w:rPr>
              <w:t>NDNH - Request for Contact</w:t>
            </w:r>
          </w:p>
        </w:tc>
        <w:tc>
          <w:tcPr>
            <w:tcW w:w="1596" w:type="dxa"/>
            <w:vAlign w:val="center"/>
          </w:tcPr>
          <w:p w:rsidR="00777161" w:rsidRPr="00B5275C" w:rsidRDefault="00F65888" w:rsidP="00B151E1">
            <w:pPr>
              <w:pStyle w:val="HTMLPreformatted"/>
              <w:jc w:val="center"/>
              <w:rPr>
                <w:rFonts w:ascii="Times New Roman" w:hAnsi="Times New Roman"/>
                <w:b/>
                <w:sz w:val="24"/>
              </w:rPr>
            </w:pPr>
            <w:r w:rsidRPr="00B5275C">
              <w:rPr>
                <w:rFonts w:ascii="Times New Roman" w:hAnsi="Times New Roman"/>
              </w:rPr>
              <w:t>891,072</w:t>
            </w:r>
          </w:p>
        </w:tc>
        <w:tc>
          <w:tcPr>
            <w:tcW w:w="1596" w:type="dxa"/>
            <w:vAlign w:val="center"/>
          </w:tcPr>
          <w:p w:rsidR="00777161" w:rsidRPr="00B5275C" w:rsidRDefault="00F65888" w:rsidP="00B151E1">
            <w:pPr>
              <w:pStyle w:val="HTMLPreformatted"/>
              <w:jc w:val="center"/>
              <w:rPr>
                <w:rFonts w:ascii="Times New Roman" w:hAnsi="Times New Roman"/>
                <w:b/>
                <w:sz w:val="24"/>
              </w:rPr>
            </w:pPr>
            <w:r w:rsidRPr="00B5275C">
              <w:rPr>
                <w:rFonts w:ascii="Times New Roman" w:hAnsi="Times New Roman"/>
              </w:rPr>
              <w:t>891,072</w:t>
            </w:r>
          </w:p>
        </w:tc>
        <w:tc>
          <w:tcPr>
            <w:tcW w:w="1596" w:type="dxa"/>
            <w:vAlign w:val="center"/>
          </w:tcPr>
          <w:p w:rsidR="00777161" w:rsidRPr="00B5275C" w:rsidRDefault="00B151E1" w:rsidP="00B151E1">
            <w:pPr>
              <w:pStyle w:val="HTMLPreformatted"/>
              <w:jc w:val="center"/>
              <w:rPr>
                <w:rFonts w:ascii="Times New Roman" w:hAnsi="Times New Roman"/>
                <w:b/>
                <w:sz w:val="24"/>
              </w:rPr>
            </w:pPr>
            <w:r w:rsidRPr="00B5275C">
              <w:rPr>
                <w:rFonts w:ascii="Times New Roman" w:hAnsi="Times New Roman"/>
              </w:rPr>
              <w:t>.03</w:t>
            </w:r>
          </w:p>
        </w:tc>
        <w:tc>
          <w:tcPr>
            <w:tcW w:w="1596" w:type="dxa"/>
            <w:vAlign w:val="center"/>
          </w:tcPr>
          <w:p w:rsidR="00777161" w:rsidRPr="00B5275C" w:rsidRDefault="00F65888" w:rsidP="00B151E1">
            <w:pPr>
              <w:pStyle w:val="HTMLPreformatted"/>
              <w:jc w:val="center"/>
              <w:rPr>
                <w:rFonts w:ascii="Times New Roman" w:hAnsi="Times New Roman"/>
                <w:b/>
                <w:sz w:val="24"/>
              </w:rPr>
            </w:pPr>
            <w:r w:rsidRPr="00B5275C">
              <w:rPr>
                <w:rFonts w:ascii="Times New Roman" w:hAnsi="Times New Roman"/>
              </w:rPr>
              <w:t>26,732.16</w:t>
            </w:r>
          </w:p>
        </w:tc>
      </w:tr>
      <w:tr w:rsidR="00777161" w:rsidTr="00B151E1">
        <w:tc>
          <w:tcPr>
            <w:tcW w:w="1596" w:type="dxa"/>
            <w:tcBorders>
              <w:bottom w:val="single" w:sz="4" w:space="0" w:color="000000"/>
            </w:tcBorders>
            <w:vAlign w:val="center"/>
          </w:tcPr>
          <w:p w:rsidR="00777161" w:rsidRDefault="00B151E1" w:rsidP="00B151E1">
            <w:pPr>
              <w:pStyle w:val="HTMLPreformatted"/>
              <w:jc w:val="center"/>
              <w:rPr>
                <w:rFonts w:ascii="Times New Roman" w:hAnsi="Times New Roman"/>
                <w:b/>
                <w:sz w:val="24"/>
              </w:rPr>
            </w:pPr>
            <w:r w:rsidRPr="00A62AD1">
              <w:rPr>
                <w:rFonts w:ascii="Times New Roman" w:hAnsi="Times New Roman"/>
                <w:b/>
              </w:rPr>
              <w:t>272.15</w:t>
            </w:r>
          </w:p>
        </w:tc>
        <w:tc>
          <w:tcPr>
            <w:tcW w:w="1596" w:type="dxa"/>
            <w:tcBorders>
              <w:bottom w:val="single" w:sz="4" w:space="0" w:color="000000"/>
            </w:tcBorders>
            <w:vAlign w:val="center"/>
          </w:tcPr>
          <w:p w:rsidR="00777161" w:rsidRDefault="00B151E1" w:rsidP="00B151E1">
            <w:pPr>
              <w:pStyle w:val="HTMLPreformatted"/>
              <w:jc w:val="center"/>
              <w:rPr>
                <w:rFonts w:ascii="Times New Roman" w:hAnsi="Times New Roman"/>
                <w:b/>
                <w:sz w:val="24"/>
              </w:rPr>
            </w:pPr>
            <w:r w:rsidRPr="00A62AD1">
              <w:rPr>
                <w:rFonts w:ascii="Times New Roman" w:hAnsi="Times New Roman"/>
              </w:rPr>
              <w:t>NDNH - Notice of Adverse Action or Notice of Denial</w:t>
            </w:r>
          </w:p>
        </w:tc>
        <w:tc>
          <w:tcPr>
            <w:tcW w:w="1596" w:type="dxa"/>
            <w:tcBorders>
              <w:bottom w:val="single" w:sz="4" w:space="0" w:color="000000"/>
            </w:tcBorders>
            <w:vAlign w:val="center"/>
          </w:tcPr>
          <w:p w:rsidR="00777161" w:rsidRDefault="00B151E1" w:rsidP="00B151E1">
            <w:pPr>
              <w:pStyle w:val="HTMLPreformatted"/>
              <w:jc w:val="center"/>
              <w:rPr>
                <w:rFonts w:ascii="Times New Roman" w:hAnsi="Times New Roman"/>
                <w:b/>
                <w:sz w:val="24"/>
              </w:rPr>
            </w:pPr>
            <w:r w:rsidRPr="00A62AD1">
              <w:rPr>
                <w:rFonts w:ascii="Times New Roman" w:hAnsi="Times New Roman"/>
              </w:rPr>
              <w:t>495,040</w:t>
            </w:r>
          </w:p>
        </w:tc>
        <w:tc>
          <w:tcPr>
            <w:tcW w:w="1596" w:type="dxa"/>
            <w:tcBorders>
              <w:bottom w:val="single" w:sz="4" w:space="0" w:color="000000"/>
            </w:tcBorders>
            <w:vAlign w:val="center"/>
          </w:tcPr>
          <w:p w:rsidR="00777161" w:rsidRDefault="00B151E1" w:rsidP="00B151E1">
            <w:pPr>
              <w:pStyle w:val="HTMLPreformatted"/>
              <w:jc w:val="center"/>
              <w:rPr>
                <w:rFonts w:ascii="Times New Roman" w:hAnsi="Times New Roman"/>
                <w:b/>
                <w:sz w:val="24"/>
              </w:rPr>
            </w:pPr>
            <w:r w:rsidRPr="00A62AD1">
              <w:rPr>
                <w:rFonts w:ascii="Times New Roman" w:hAnsi="Times New Roman"/>
              </w:rPr>
              <w:t>495,040</w:t>
            </w:r>
          </w:p>
        </w:tc>
        <w:tc>
          <w:tcPr>
            <w:tcW w:w="1596" w:type="dxa"/>
            <w:tcBorders>
              <w:bottom w:val="single" w:sz="4" w:space="0" w:color="000000"/>
            </w:tcBorders>
            <w:vAlign w:val="center"/>
          </w:tcPr>
          <w:p w:rsidR="00777161" w:rsidRDefault="00B151E1" w:rsidP="00B151E1">
            <w:pPr>
              <w:pStyle w:val="HTMLPreformatted"/>
              <w:jc w:val="center"/>
              <w:rPr>
                <w:rFonts w:ascii="Times New Roman" w:hAnsi="Times New Roman"/>
                <w:b/>
                <w:sz w:val="24"/>
              </w:rPr>
            </w:pPr>
            <w:r w:rsidRPr="00A62AD1">
              <w:rPr>
                <w:rFonts w:ascii="Times New Roman" w:hAnsi="Times New Roman"/>
              </w:rPr>
              <w:t>.03</w:t>
            </w:r>
          </w:p>
        </w:tc>
        <w:tc>
          <w:tcPr>
            <w:tcW w:w="1596" w:type="dxa"/>
            <w:tcBorders>
              <w:bottom w:val="single" w:sz="4" w:space="0" w:color="000000"/>
            </w:tcBorders>
            <w:vAlign w:val="center"/>
          </w:tcPr>
          <w:p w:rsidR="00777161" w:rsidRDefault="00B151E1" w:rsidP="00B151E1">
            <w:pPr>
              <w:pStyle w:val="HTMLPreformatted"/>
              <w:jc w:val="center"/>
              <w:rPr>
                <w:rFonts w:ascii="Times New Roman" w:hAnsi="Times New Roman"/>
                <w:b/>
                <w:sz w:val="24"/>
              </w:rPr>
            </w:pPr>
            <w:r w:rsidRPr="00A62AD1">
              <w:rPr>
                <w:rFonts w:ascii="Times New Roman" w:hAnsi="Times New Roman"/>
              </w:rPr>
              <w:t>14,851.2</w:t>
            </w:r>
          </w:p>
        </w:tc>
      </w:tr>
      <w:tr w:rsidR="00777161" w:rsidTr="00B151E1">
        <w:tc>
          <w:tcPr>
            <w:tcW w:w="1596" w:type="dxa"/>
            <w:shd w:val="clear" w:color="auto" w:fill="EEECE1" w:themeFill="background2"/>
            <w:vAlign w:val="center"/>
          </w:tcPr>
          <w:p w:rsidR="00777161" w:rsidRDefault="00B151E1" w:rsidP="00B151E1">
            <w:pPr>
              <w:pStyle w:val="HTMLPreformatted"/>
              <w:jc w:val="center"/>
              <w:rPr>
                <w:rFonts w:ascii="Times New Roman" w:hAnsi="Times New Roman"/>
                <w:b/>
                <w:sz w:val="24"/>
              </w:rPr>
            </w:pPr>
            <w:r w:rsidRPr="00A62AD1">
              <w:rPr>
                <w:rFonts w:ascii="Times New Roman" w:hAnsi="Times New Roman"/>
                <w:b/>
              </w:rPr>
              <w:t>Total</w:t>
            </w:r>
          </w:p>
        </w:tc>
        <w:tc>
          <w:tcPr>
            <w:tcW w:w="1596" w:type="dxa"/>
            <w:shd w:val="clear" w:color="auto" w:fill="EEECE1" w:themeFill="background2"/>
            <w:vAlign w:val="center"/>
          </w:tcPr>
          <w:p w:rsidR="00777161" w:rsidRDefault="00777161" w:rsidP="00B151E1">
            <w:pPr>
              <w:pStyle w:val="HTMLPreformatted"/>
              <w:jc w:val="center"/>
              <w:rPr>
                <w:rFonts w:ascii="Times New Roman" w:hAnsi="Times New Roman"/>
                <w:b/>
                <w:sz w:val="24"/>
              </w:rPr>
            </w:pPr>
          </w:p>
        </w:tc>
        <w:tc>
          <w:tcPr>
            <w:tcW w:w="1596" w:type="dxa"/>
            <w:shd w:val="clear" w:color="auto" w:fill="EEECE1" w:themeFill="background2"/>
            <w:vAlign w:val="center"/>
          </w:tcPr>
          <w:p w:rsidR="00777161" w:rsidRDefault="0098465A" w:rsidP="00B151E1">
            <w:pPr>
              <w:pStyle w:val="HTMLPreformatted"/>
              <w:jc w:val="center"/>
              <w:rPr>
                <w:rFonts w:ascii="Times New Roman" w:hAnsi="Times New Roman"/>
                <w:b/>
                <w:sz w:val="24"/>
              </w:rPr>
            </w:pPr>
            <w:r>
              <w:rPr>
                <w:rFonts w:ascii="Times New Roman" w:hAnsi="Times New Roman"/>
                <w:b/>
              </w:rPr>
              <w:t>891,072</w:t>
            </w:r>
          </w:p>
        </w:tc>
        <w:tc>
          <w:tcPr>
            <w:tcW w:w="1596" w:type="dxa"/>
            <w:shd w:val="clear" w:color="auto" w:fill="EEECE1" w:themeFill="background2"/>
            <w:vAlign w:val="center"/>
          </w:tcPr>
          <w:p w:rsidR="00777161" w:rsidRDefault="00B5275C" w:rsidP="00B151E1">
            <w:pPr>
              <w:pStyle w:val="HTMLPreformatted"/>
              <w:jc w:val="center"/>
              <w:rPr>
                <w:rFonts w:ascii="Times New Roman" w:hAnsi="Times New Roman"/>
                <w:b/>
                <w:sz w:val="24"/>
              </w:rPr>
            </w:pPr>
            <w:r>
              <w:rPr>
                <w:rFonts w:ascii="Times New Roman" w:hAnsi="Times New Roman"/>
                <w:b/>
              </w:rPr>
              <w:t>1,386,112</w:t>
            </w:r>
          </w:p>
        </w:tc>
        <w:tc>
          <w:tcPr>
            <w:tcW w:w="1596" w:type="dxa"/>
            <w:shd w:val="clear" w:color="auto" w:fill="EEECE1" w:themeFill="background2"/>
            <w:vAlign w:val="center"/>
          </w:tcPr>
          <w:p w:rsidR="00777161" w:rsidRPr="0014750C" w:rsidRDefault="0014750C" w:rsidP="00B151E1">
            <w:pPr>
              <w:pStyle w:val="HTMLPreformatted"/>
              <w:jc w:val="center"/>
              <w:rPr>
                <w:rFonts w:ascii="Times New Roman" w:hAnsi="Times New Roman"/>
                <w:b/>
              </w:rPr>
            </w:pPr>
            <w:r w:rsidRPr="0014750C">
              <w:rPr>
                <w:rFonts w:ascii="Times New Roman" w:hAnsi="Times New Roman"/>
                <w:b/>
              </w:rPr>
              <w:t>.03</w:t>
            </w:r>
          </w:p>
        </w:tc>
        <w:tc>
          <w:tcPr>
            <w:tcW w:w="1596" w:type="dxa"/>
            <w:shd w:val="clear" w:color="auto" w:fill="EEECE1" w:themeFill="background2"/>
            <w:vAlign w:val="center"/>
          </w:tcPr>
          <w:p w:rsidR="00777161" w:rsidRDefault="00F65888" w:rsidP="00B151E1">
            <w:pPr>
              <w:pStyle w:val="HTMLPreformatted"/>
              <w:jc w:val="center"/>
              <w:rPr>
                <w:rFonts w:ascii="Times New Roman" w:hAnsi="Times New Roman"/>
                <w:b/>
                <w:sz w:val="24"/>
              </w:rPr>
            </w:pPr>
            <w:r>
              <w:rPr>
                <w:rFonts w:ascii="Times New Roman" w:hAnsi="Times New Roman"/>
                <w:b/>
              </w:rPr>
              <w:t>41,583.36</w:t>
            </w:r>
          </w:p>
        </w:tc>
      </w:tr>
    </w:tbl>
    <w:p w:rsidR="00014901" w:rsidRPr="00B65CEB" w:rsidRDefault="00014901" w:rsidP="00014901">
      <w:pPr>
        <w:pStyle w:val="HTMLPreformatted"/>
        <w:spacing w:line="480" w:lineRule="auto"/>
        <w:rPr>
          <w:rFonts w:ascii="Times New Roman" w:hAnsi="Times New Roman"/>
          <w:sz w:val="24"/>
        </w:rPr>
      </w:pPr>
      <w:r w:rsidRPr="00B65CEB">
        <w:rPr>
          <w:rFonts w:ascii="Times New Roman" w:hAnsi="Times New Roman"/>
          <w:sz w:val="24"/>
        </w:rPr>
        <w:tab/>
      </w:r>
      <w:r w:rsidRPr="00B65CEB">
        <w:rPr>
          <w:rFonts w:ascii="Times New Roman" w:hAnsi="Times New Roman"/>
          <w:sz w:val="24"/>
        </w:rPr>
        <w:tab/>
      </w:r>
      <w:r w:rsidRPr="00B65CEB">
        <w:rPr>
          <w:rFonts w:ascii="Times New Roman" w:hAnsi="Times New Roman"/>
          <w:sz w:val="24"/>
        </w:rPr>
        <w:tab/>
      </w:r>
      <w:r w:rsidRPr="00B65CEB">
        <w:rPr>
          <w:rFonts w:ascii="Times New Roman" w:hAnsi="Times New Roman"/>
          <w:sz w:val="24"/>
        </w:rPr>
        <w:tab/>
      </w:r>
    </w:p>
    <w:p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RDefault="00A308DB" w:rsidP="000438E8">
      <w:pPr>
        <w:tabs>
          <w:tab w:val="left" w:pos="0"/>
        </w:tabs>
        <w:suppressAutoHyphens/>
        <w:rPr>
          <w:rFonts w:ascii="Times New Roman" w:hAnsi="Times New Roman"/>
          <w:b/>
          <w:szCs w:val="24"/>
        </w:rPr>
      </w:pPr>
    </w:p>
    <w:p w:rsidR="00621FA7" w:rsidRPr="00621FA7" w:rsidRDefault="00621FA7" w:rsidP="00621FA7">
      <w:pPr>
        <w:tabs>
          <w:tab w:val="left" w:pos="-720"/>
        </w:tabs>
        <w:suppressAutoHyphens/>
        <w:spacing w:line="480" w:lineRule="auto"/>
        <w:rPr>
          <w:rFonts w:ascii="Times New Roman" w:hAnsi="Times New Roman"/>
          <w:szCs w:val="24"/>
        </w:rPr>
      </w:pPr>
      <w:r w:rsidRPr="00621FA7">
        <w:rPr>
          <w:rFonts w:ascii="Times New Roman" w:hAnsi="Times New Roman"/>
          <w:szCs w:val="24"/>
        </w:rPr>
        <w:t>Based on the Bureau of Labor Statistics</w:t>
      </w:r>
      <w:r w:rsidR="00540C0C">
        <w:rPr>
          <w:rFonts w:ascii="Times New Roman" w:hAnsi="Times New Roman"/>
          <w:szCs w:val="24"/>
        </w:rPr>
        <w:t>’</w:t>
      </w:r>
      <w:r w:rsidRPr="00621FA7">
        <w:rPr>
          <w:rFonts w:ascii="Times New Roman" w:hAnsi="Times New Roman"/>
          <w:szCs w:val="24"/>
        </w:rPr>
        <w:t xml:space="preserve"> May 201</w:t>
      </w:r>
      <w:r>
        <w:rPr>
          <w:rFonts w:ascii="Times New Roman" w:hAnsi="Times New Roman"/>
          <w:szCs w:val="24"/>
        </w:rPr>
        <w:t>4</w:t>
      </w:r>
      <w:r w:rsidRPr="00621FA7">
        <w:rPr>
          <w:rFonts w:ascii="Times New Roman" w:hAnsi="Times New Roman"/>
          <w:szCs w:val="24"/>
        </w:rPr>
        <w:t xml:space="preserve"> Occupational and Wage Statistics – 43-4061 (http://www.bl</w:t>
      </w:r>
      <w:r>
        <w:rPr>
          <w:rFonts w:ascii="Times New Roman" w:hAnsi="Times New Roman"/>
          <w:szCs w:val="24"/>
        </w:rPr>
        <w:t>s.gov/oes/current/oes434061.htm</w:t>
      </w:r>
      <w:r w:rsidRPr="00621FA7">
        <w:rPr>
          <w:rFonts w:ascii="Times New Roman" w:hAnsi="Times New Roman"/>
          <w:szCs w:val="24"/>
        </w:rPr>
        <w:t xml:space="preserve">), hourly mean wage for Eligibility Interviewers, Government Programs functions performed by State and local agency staff are valued at $20.41 per staff hour.  Based on the total estimated burden for State agency reporting and recordkeeping of </w:t>
      </w:r>
      <w:r w:rsidR="0098465A">
        <w:rPr>
          <w:rFonts w:ascii="Times New Roman" w:hAnsi="Times New Roman"/>
          <w:szCs w:val="24"/>
        </w:rPr>
        <w:t>210,849.28</w:t>
      </w:r>
      <w:r w:rsidRPr="00621FA7">
        <w:rPr>
          <w:rFonts w:ascii="Times New Roman" w:hAnsi="Times New Roman"/>
          <w:szCs w:val="24"/>
        </w:rPr>
        <w:t xml:space="preserve"> hours, the total cost is $</w:t>
      </w:r>
      <w:r w:rsidR="0098465A">
        <w:rPr>
          <w:rFonts w:ascii="Times New Roman" w:hAnsi="Times New Roman"/>
          <w:szCs w:val="24"/>
        </w:rPr>
        <w:t>4,303,433.80</w:t>
      </w:r>
      <w:r w:rsidRPr="00621FA7">
        <w:rPr>
          <w:rFonts w:ascii="Times New Roman" w:hAnsi="Times New Roman"/>
          <w:szCs w:val="24"/>
        </w:rPr>
        <w:t>.  The State share is 50% of the total cost, or $</w:t>
      </w:r>
      <w:r>
        <w:rPr>
          <w:rFonts w:ascii="Times New Roman" w:hAnsi="Times New Roman"/>
          <w:szCs w:val="24"/>
        </w:rPr>
        <w:t>2,</w:t>
      </w:r>
      <w:r w:rsidR="0098465A">
        <w:rPr>
          <w:rFonts w:ascii="Times New Roman" w:hAnsi="Times New Roman"/>
          <w:szCs w:val="24"/>
        </w:rPr>
        <w:t>151,716.90</w:t>
      </w:r>
      <w:r w:rsidRPr="00621FA7">
        <w:rPr>
          <w:rFonts w:ascii="Times New Roman" w:hAnsi="Times New Roman"/>
          <w:szCs w:val="24"/>
        </w:rPr>
        <w:t>.</w:t>
      </w:r>
    </w:p>
    <w:p w:rsidR="00621FA7" w:rsidRPr="00621FA7" w:rsidRDefault="00621FA7" w:rsidP="00621FA7">
      <w:pPr>
        <w:tabs>
          <w:tab w:val="left" w:pos="-720"/>
        </w:tabs>
        <w:suppressAutoHyphens/>
        <w:spacing w:line="480" w:lineRule="auto"/>
        <w:rPr>
          <w:rFonts w:ascii="Times New Roman" w:hAnsi="Times New Roman"/>
          <w:szCs w:val="24"/>
        </w:rPr>
      </w:pPr>
    </w:p>
    <w:p w:rsidR="00621FA7" w:rsidRPr="00621FA7" w:rsidRDefault="00621FA7" w:rsidP="00621FA7">
      <w:pPr>
        <w:tabs>
          <w:tab w:val="left" w:pos="-720"/>
        </w:tabs>
        <w:suppressAutoHyphens/>
        <w:spacing w:line="480" w:lineRule="auto"/>
        <w:rPr>
          <w:rFonts w:ascii="Times New Roman" w:hAnsi="Times New Roman"/>
          <w:szCs w:val="24"/>
        </w:rPr>
      </w:pPr>
      <w:r w:rsidRPr="00621FA7">
        <w:rPr>
          <w:rFonts w:ascii="Times New Roman" w:hAnsi="Times New Roman"/>
          <w:szCs w:val="24"/>
        </w:rPr>
        <w:t>S</w:t>
      </w:r>
      <w:r w:rsidR="00C6391A">
        <w:rPr>
          <w:rFonts w:ascii="Times New Roman" w:hAnsi="Times New Roman"/>
          <w:szCs w:val="24"/>
        </w:rPr>
        <w:t xml:space="preserve">tate </w:t>
      </w:r>
      <w:r w:rsidRPr="00621FA7">
        <w:rPr>
          <w:rFonts w:ascii="Times New Roman" w:hAnsi="Times New Roman"/>
          <w:szCs w:val="24"/>
        </w:rPr>
        <w:t>A</w:t>
      </w:r>
      <w:r w:rsidR="00C6391A">
        <w:rPr>
          <w:rFonts w:ascii="Times New Roman" w:hAnsi="Times New Roman"/>
          <w:szCs w:val="24"/>
        </w:rPr>
        <w:t>gency</w:t>
      </w:r>
      <w:r w:rsidRPr="00621FA7">
        <w:rPr>
          <w:rFonts w:ascii="Times New Roman" w:hAnsi="Times New Roman"/>
          <w:szCs w:val="24"/>
        </w:rPr>
        <w:t xml:space="preserve"> Reporting for 0584-</w:t>
      </w:r>
      <w:r w:rsidR="00C6391A">
        <w:rPr>
          <w:rFonts w:ascii="Times New Roman" w:hAnsi="Times New Roman"/>
          <w:szCs w:val="24"/>
        </w:rPr>
        <w:t>NEW</w:t>
      </w:r>
      <w:r w:rsidRPr="00621FA7">
        <w:rPr>
          <w:rFonts w:ascii="Times New Roman" w:hAnsi="Times New Roman"/>
          <w:szCs w:val="24"/>
        </w:rPr>
        <w:tab/>
      </w:r>
      <w:r w:rsidRPr="00621FA7">
        <w:rPr>
          <w:rFonts w:ascii="Times New Roman" w:hAnsi="Times New Roman"/>
          <w:szCs w:val="24"/>
        </w:rPr>
        <w:tab/>
      </w:r>
    </w:p>
    <w:p w:rsidR="00621FA7" w:rsidRPr="00621FA7" w:rsidRDefault="00621FA7" w:rsidP="00621FA7">
      <w:pPr>
        <w:tabs>
          <w:tab w:val="left" w:pos="-720"/>
        </w:tabs>
        <w:suppressAutoHyphens/>
        <w:spacing w:line="480" w:lineRule="auto"/>
        <w:rPr>
          <w:rFonts w:ascii="Times New Roman" w:hAnsi="Times New Roman"/>
          <w:szCs w:val="24"/>
        </w:rPr>
      </w:pPr>
      <w:r w:rsidRPr="00621FA7">
        <w:rPr>
          <w:rFonts w:ascii="Times New Roman" w:hAnsi="Times New Roman"/>
          <w:szCs w:val="24"/>
        </w:rPr>
        <w:t>1.</w:t>
      </w:r>
      <w:r w:rsidRPr="00621FA7">
        <w:rPr>
          <w:rFonts w:ascii="Times New Roman" w:hAnsi="Times New Roman"/>
          <w:szCs w:val="24"/>
        </w:rPr>
        <w:tab/>
        <w:t>State and local government</w:t>
      </w:r>
      <w:r>
        <w:rPr>
          <w:rFonts w:ascii="Times New Roman" w:hAnsi="Times New Roman"/>
          <w:szCs w:val="24"/>
        </w:rPr>
        <w:t xml:space="preserve"> </w:t>
      </w:r>
      <w:r w:rsidRPr="00621FA7">
        <w:rPr>
          <w:rFonts w:ascii="Times New Roman" w:hAnsi="Times New Roman"/>
          <w:szCs w:val="24"/>
        </w:rPr>
        <w:t>cost @ $20.</w:t>
      </w:r>
      <w:r>
        <w:rPr>
          <w:rFonts w:ascii="Times New Roman" w:hAnsi="Times New Roman"/>
          <w:szCs w:val="24"/>
        </w:rPr>
        <w:t>41/per staff hour</w:t>
      </w:r>
      <w:r>
        <w:rPr>
          <w:rFonts w:ascii="Times New Roman" w:hAnsi="Times New Roman"/>
          <w:szCs w:val="24"/>
        </w:rPr>
        <w:tab/>
      </w:r>
      <w:r>
        <w:rPr>
          <w:rFonts w:ascii="Times New Roman" w:hAnsi="Times New Roman"/>
          <w:szCs w:val="24"/>
        </w:rPr>
        <w:tab/>
        <w:t xml:space="preserve">             </w:t>
      </w:r>
      <w:r w:rsidRPr="00621FA7">
        <w:rPr>
          <w:rFonts w:ascii="Times New Roman" w:hAnsi="Times New Roman"/>
          <w:szCs w:val="24"/>
        </w:rPr>
        <w:t>$</w:t>
      </w:r>
      <w:r w:rsidR="0098465A">
        <w:rPr>
          <w:rFonts w:ascii="Times New Roman" w:hAnsi="Times New Roman"/>
          <w:szCs w:val="24"/>
        </w:rPr>
        <w:t>4,303,433.80</w:t>
      </w:r>
    </w:p>
    <w:p w:rsidR="00621FA7" w:rsidRPr="00621FA7" w:rsidRDefault="00621FA7" w:rsidP="00621FA7">
      <w:pPr>
        <w:tabs>
          <w:tab w:val="left" w:pos="-720"/>
        </w:tabs>
        <w:suppressAutoHyphens/>
        <w:spacing w:line="480" w:lineRule="auto"/>
        <w:rPr>
          <w:rFonts w:ascii="Times New Roman" w:hAnsi="Times New Roman"/>
          <w:szCs w:val="24"/>
        </w:rPr>
      </w:pPr>
      <w:r w:rsidRPr="00621FA7">
        <w:rPr>
          <w:rFonts w:ascii="Times New Roman" w:hAnsi="Times New Roman"/>
          <w:szCs w:val="24"/>
        </w:rPr>
        <w:t>2.</w:t>
      </w:r>
      <w:r w:rsidRPr="00621FA7">
        <w:rPr>
          <w:rFonts w:ascii="Times New Roman" w:hAnsi="Times New Roman"/>
          <w:szCs w:val="24"/>
        </w:rPr>
        <w:tab/>
        <w:t>Less Federal reimbursement</w:t>
      </w:r>
      <w:r w:rsidRPr="00621FA7">
        <w:rPr>
          <w:rFonts w:ascii="Times New Roman" w:hAnsi="Times New Roman"/>
          <w:szCs w:val="24"/>
        </w:rPr>
        <w:tab/>
      </w:r>
      <w:r w:rsidRPr="00621FA7">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621FA7">
        <w:rPr>
          <w:rFonts w:ascii="Times New Roman" w:hAnsi="Times New Roman"/>
          <w:szCs w:val="24"/>
        </w:rPr>
        <w:t xml:space="preserve"> $</w:t>
      </w:r>
      <w:r w:rsidR="00B5275C">
        <w:rPr>
          <w:rFonts w:ascii="Times New Roman" w:hAnsi="Times New Roman"/>
          <w:szCs w:val="24"/>
        </w:rPr>
        <w:t>2,</w:t>
      </w:r>
      <w:r w:rsidR="0098465A">
        <w:rPr>
          <w:rFonts w:ascii="Times New Roman" w:hAnsi="Times New Roman"/>
          <w:szCs w:val="24"/>
        </w:rPr>
        <w:t>151,716.90</w:t>
      </w:r>
    </w:p>
    <w:p w:rsidR="00621FA7" w:rsidRPr="00621FA7" w:rsidRDefault="00621FA7" w:rsidP="00621FA7">
      <w:pPr>
        <w:tabs>
          <w:tab w:val="left" w:pos="-720"/>
        </w:tabs>
        <w:suppressAutoHyphens/>
        <w:spacing w:line="480" w:lineRule="auto"/>
        <w:rPr>
          <w:rFonts w:ascii="Times New Roman" w:hAnsi="Times New Roman"/>
          <w:szCs w:val="24"/>
        </w:rPr>
      </w:pPr>
      <w:r w:rsidRPr="00621FA7">
        <w:rPr>
          <w:rFonts w:ascii="Times New Roman" w:hAnsi="Times New Roman"/>
          <w:szCs w:val="24"/>
        </w:rPr>
        <w:t>3.</w:t>
      </w:r>
      <w:r w:rsidRPr="00621FA7">
        <w:rPr>
          <w:rFonts w:ascii="Times New Roman" w:hAnsi="Times New Roman"/>
          <w:szCs w:val="24"/>
        </w:rPr>
        <w:tab/>
        <w:t>Net cost to State and local</w:t>
      </w:r>
      <w:r>
        <w:rPr>
          <w:rFonts w:ascii="Times New Roman" w:hAnsi="Times New Roman"/>
          <w:szCs w:val="24"/>
        </w:rPr>
        <w:t xml:space="preserve"> </w:t>
      </w:r>
      <w:r w:rsidRPr="00621FA7">
        <w:rPr>
          <w:rFonts w:ascii="Times New Roman" w:hAnsi="Times New Roman"/>
          <w:szCs w:val="24"/>
        </w:rPr>
        <w:t>government</w:t>
      </w:r>
      <w:r w:rsidRPr="00621FA7">
        <w:rPr>
          <w:rFonts w:ascii="Times New Roman" w:hAnsi="Times New Roman"/>
          <w:szCs w:val="24"/>
        </w:rPr>
        <w:tab/>
      </w:r>
      <w:r w:rsidRPr="00621FA7">
        <w:rPr>
          <w:rFonts w:ascii="Times New Roman" w:hAnsi="Times New Roman"/>
          <w:szCs w:val="24"/>
        </w:rPr>
        <w:tab/>
      </w:r>
      <w:r w:rsidRPr="00621FA7">
        <w:rPr>
          <w:rFonts w:ascii="Times New Roman" w:hAnsi="Times New Roman"/>
          <w:szCs w:val="24"/>
        </w:rPr>
        <w:tab/>
      </w:r>
      <w:r w:rsidRPr="00621FA7">
        <w:rPr>
          <w:rFonts w:ascii="Times New Roman" w:hAnsi="Times New Roman"/>
          <w:szCs w:val="24"/>
        </w:rPr>
        <w:tab/>
      </w:r>
      <w:r w:rsidRPr="00621FA7">
        <w:rPr>
          <w:rFonts w:ascii="Times New Roman" w:hAnsi="Times New Roman"/>
          <w:szCs w:val="24"/>
        </w:rPr>
        <w:tab/>
        <w:t xml:space="preserve"> $</w:t>
      </w:r>
      <w:r w:rsidR="00B5275C">
        <w:rPr>
          <w:rFonts w:ascii="Times New Roman" w:hAnsi="Times New Roman"/>
          <w:szCs w:val="24"/>
        </w:rPr>
        <w:t>2,</w:t>
      </w:r>
      <w:r w:rsidR="0098465A">
        <w:rPr>
          <w:rFonts w:ascii="Times New Roman" w:hAnsi="Times New Roman"/>
          <w:szCs w:val="24"/>
        </w:rPr>
        <w:t>151,716.90</w:t>
      </w:r>
    </w:p>
    <w:p w:rsidR="00621FA7" w:rsidRPr="00621FA7" w:rsidRDefault="00003421" w:rsidP="00621FA7">
      <w:pPr>
        <w:tabs>
          <w:tab w:val="left" w:pos="-720"/>
        </w:tabs>
        <w:suppressAutoHyphens/>
        <w:spacing w:line="480" w:lineRule="auto"/>
        <w:rPr>
          <w:rFonts w:ascii="Times New Roman" w:hAnsi="Times New Roman"/>
          <w:szCs w:val="24"/>
        </w:rPr>
      </w:pPr>
      <w:r>
        <w:rPr>
          <w:rFonts w:ascii="Times New Roman" w:hAnsi="Times New Roman"/>
          <w:szCs w:val="24"/>
        </w:rPr>
        <w:t xml:space="preserve">4. </w:t>
      </w:r>
      <w:r>
        <w:rPr>
          <w:rFonts w:ascii="Times New Roman" w:hAnsi="Times New Roman"/>
          <w:szCs w:val="24"/>
        </w:rPr>
        <w:tab/>
      </w:r>
      <w:r w:rsidR="00621FA7" w:rsidRPr="00621FA7">
        <w:rPr>
          <w:rFonts w:ascii="Times New Roman" w:hAnsi="Times New Roman"/>
          <w:szCs w:val="24"/>
        </w:rPr>
        <w:t>Respondent Cost (SA) = $</w:t>
      </w:r>
      <w:r w:rsidR="0098465A">
        <w:rPr>
          <w:rFonts w:ascii="Times New Roman" w:hAnsi="Times New Roman"/>
          <w:szCs w:val="24"/>
        </w:rPr>
        <w:t>2,151,716.90</w:t>
      </w:r>
    </w:p>
    <w:p w:rsidR="00621FA7" w:rsidRPr="00621FA7" w:rsidRDefault="00621FA7" w:rsidP="00621FA7">
      <w:pPr>
        <w:tabs>
          <w:tab w:val="left" w:pos="-720"/>
        </w:tabs>
        <w:suppressAutoHyphens/>
        <w:spacing w:line="480" w:lineRule="auto"/>
        <w:rPr>
          <w:rFonts w:ascii="Times New Roman" w:hAnsi="Times New Roman"/>
          <w:szCs w:val="24"/>
        </w:rPr>
      </w:pPr>
    </w:p>
    <w:p w:rsidR="00CE442D" w:rsidRPr="00CE442D" w:rsidRDefault="00621FA7" w:rsidP="00621FA7">
      <w:pPr>
        <w:tabs>
          <w:tab w:val="left" w:pos="-720"/>
        </w:tabs>
        <w:suppressAutoHyphens/>
        <w:spacing w:line="480" w:lineRule="auto"/>
        <w:rPr>
          <w:rFonts w:ascii="Times New Roman" w:hAnsi="Times New Roman"/>
          <w:szCs w:val="24"/>
          <w:highlight w:val="yellow"/>
        </w:rPr>
      </w:pPr>
      <w:r w:rsidRPr="00621FA7">
        <w:rPr>
          <w:rFonts w:ascii="Times New Roman" w:hAnsi="Times New Roman"/>
          <w:szCs w:val="24"/>
        </w:rPr>
        <w:t xml:space="preserve">According to the Bureau of Labor Statistics, the Federal minimum wage rate is $7.25 an hour.  Based on the total estimated burden hours for household reporting of </w:t>
      </w:r>
      <w:r w:rsidR="0098465A">
        <w:rPr>
          <w:rFonts w:ascii="Times New Roman" w:hAnsi="Times New Roman"/>
          <w:szCs w:val="24"/>
        </w:rPr>
        <w:t>41,583.36</w:t>
      </w:r>
      <w:r w:rsidRPr="00621FA7">
        <w:rPr>
          <w:rFonts w:ascii="Times New Roman" w:hAnsi="Times New Roman"/>
          <w:szCs w:val="24"/>
        </w:rPr>
        <w:t>, the total cost to households is $</w:t>
      </w:r>
      <w:r w:rsidR="00B5275C">
        <w:rPr>
          <w:rFonts w:ascii="Times New Roman" w:hAnsi="Times New Roman"/>
          <w:szCs w:val="24"/>
        </w:rPr>
        <w:t>301,479.36</w:t>
      </w:r>
      <w:r w:rsidRPr="00621FA7">
        <w:rPr>
          <w:rFonts w:ascii="Times New Roman" w:hAnsi="Times New Roman"/>
          <w:szCs w:val="24"/>
        </w:rPr>
        <w:t>.</w:t>
      </w:r>
    </w:p>
    <w:p w:rsidR="00CE442D" w:rsidRDefault="00CE442D" w:rsidP="00C5235E">
      <w:pPr>
        <w:tabs>
          <w:tab w:val="left" w:pos="-720"/>
        </w:tabs>
        <w:suppressAutoHyphens/>
        <w:spacing w:line="480" w:lineRule="auto"/>
        <w:rPr>
          <w:rFonts w:ascii="Times New Roman" w:hAnsi="Times New Roman"/>
          <w:szCs w:val="24"/>
          <w:highlight w:val="yellow"/>
        </w:rPr>
      </w:pPr>
    </w:p>
    <w:p w:rsidR="000438E8" w:rsidRPr="002568E6" w:rsidRDefault="00FD71D3" w:rsidP="0062567E">
      <w:pPr>
        <w:pStyle w:val="Heading1"/>
        <w:rPr>
          <w:szCs w:val="24"/>
        </w:rPr>
      </w:pPr>
      <w:bookmarkStart w:id="26" w:name="_Toc401831369"/>
      <w:bookmarkStart w:id="27" w:name="_Toc401832413"/>
      <w:r w:rsidRPr="002568E6">
        <w:rPr>
          <w:szCs w:val="24"/>
        </w:rPr>
        <w:t xml:space="preserve">A13.  </w:t>
      </w:r>
      <w:proofErr w:type="gramStart"/>
      <w:r w:rsidRPr="002568E6">
        <w:rPr>
          <w:szCs w:val="24"/>
        </w:rPr>
        <w:t xml:space="preserve">Estimates of other total annual cost </w:t>
      </w:r>
      <w:r w:rsidR="00ED28F2" w:rsidRPr="002568E6">
        <w:rPr>
          <w:szCs w:val="24"/>
        </w:rPr>
        <w:t>burden</w:t>
      </w:r>
      <w:r w:rsidRPr="002568E6">
        <w:rPr>
          <w:szCs w:val="24"/>
        </w:rPr>
        <w:t>.</w:t>
      </w:r>
      <w:bookmarkEnd w:id="26"/>
      <w:bookmarkEnd w:id="27"/>
      <w:proofErr w:type="gramEnd"/>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RDefault="00ED28F2" w:rsidP="00ED28F2">
      <w:pPr>
        <w:tabs>
          <w:tab w:val="left" w:pos="-720"/>
        </w:tabs>
        <w:suppressAutoHyphens/>
        <w:rPr>
          <w:rFonts w:ascii="Times New Roman" w:hAnsi="Times New Roman"/>
          <w:szCs w:val="24"/>
        </w:rPr>
      </w:pPr>
    </w:p>
    <w:p w:rsidR="00ED28F2" w:rsidRDefault="003A4C27" w:rsidP="00ED28F2">
      <w:pPr>
        <w:tabs>
          <w:tab w:val="left" w:pos="-720"/>
        </w:tabs>
        <w:suppressAutoHyphens/>
        <w:spacing w:line="480" w:lineRule="auto"/>
        <w:rPr>
          <w:rFonts w:ascii="Times New Roman" w:hAnsi="Times New Roman"/>
          <w:szCs w:val="24"/>
        </w:rPr>
      </w:pPr>
      <w:r w:rsidRPr="003A4C27">
        <w:rPr>
          <w:rFonts w:ascii="Times New Roman" w:hAnsi="Times New Roman"/>
          <w:szCs w:val="24"/>
        </w:rPr>
        <w:t>There are no capital, start-up and/or annualized maintenance costs associated with this burden.</w:t>
      </w:r>
    </w:p>
    <w:p w:rsidR="003A4C27" w:rsidRPr="002568E6" w:rsidRDefault="003A4C27" w:rsidP="00ED28F2">
      <w:pPr>
        <w:tabs>
          <w:tab w:val="left" w:pos="-720"/>
        </w:tabs>
        <w:suppressAutoHyphens/>
        <w:spacing w:line="480" w:lineRule="auto"/>
        <w:rPr>
          <w:rFonts w:ascii="Times New Roman" w:hAnsi="Times New Roman"/>
          <w:szCs w:val="24"/>
        </w:rPr>
      </w:pPr>
    </w:p>
    <w:p w:rsidR="00A308DB" w:rsidRPr="002568E6" w:rsidRDefault="000438E8" w:rsidP="0062567E">
      <w:pPr>
        <w:pStyle w:val="Heading1"/>
        <w:rPr>
          <w:szCs w:val="24"/>
        </w:rPr>
      </w:pPr>
      <w:bookmarkStart w:id="28" w:name="_Toc401831370"/>
      <w:bookmarkStart w:id="29" w:name="_Toc401832414"/>
      <w:r w:rsidRPr="002568E6">
        <w:rPr>
          <w:szCs w:val="24"/>
        </w:rPr>
        <w:t>A14.  Provide estimates of annualized cost to the Federal government.</w:t>
      </w:r>
      <w:bookmarkEnd w:id="28"/>
      <w:bookmarkEnd w:id="29"/>
      <w:r w:rsidR="0088245A" w:rsidRPr="002568E6">
        <w:rPr>
          <w:szCs w:val="24"/>
        </w:rPr>
        <w:t xml:space="preserve">  </w:t>
      </w:r>
    </w:p>
    <w:p w:rsidR="0062567E" w:rsidRPr="002568E6" w:rsidRDefault="0062567E" w:rsidP="000438E8">
      <w:pPr>
        <w:tabs>
          <w:tab w:val="left" w:pos="0"/>
        </w:tabs>
        <w:suppressAutoHyphens/>
        <w:rPr>
          <w:rFonts w:ascii="Times New Roman" w:hAnsi="Times New Roman"/>
          <w:szCs w:val="24"/>
        </w:rPr>
      </w:pPr>
    </w:p>
    <w:p w:rsidR="0062567E"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B151E1" w:rsidRDefault="00B151E1" w:rsidP="000438E8">
      <w:pPr>
        <w:tabs>
          <w:tab w:val="left" w:pos="0"/>
        </w:tabs>
        <w:suppressAutoHyphens/>
        <w:rPr>
          <w:rFonts w:ascii="Times New Roman" w:hAnsi="Times New Roman"/>
          <w:b/>
          <w:szCs w:val="24"/>
        </w:rPr>
      </w:pPr>
    </w:p>
    <w:p w:rsidR="00B151E1" w:rsidRPr="00B151E1" w:rsidRDefault="00B151E1" w:rsidP="000438E8">
      <w:pPr>
        <w:tabs>
          <w:tab w:val="left" w:pos="0"/>
        </w:tabs>
        <w:suppressAutoHyphens/>
        <w:rPr>
          <w:rFonts w:ascii="Times New Roman" w:hAnsi="Times New Roman"/>
          <w:b/>
          <w:szCs w:val="24"/>
        </w:rPr>
      </w:pPr>
    </w:p>
    <w:p w:rsidR="00003421" w:rsidRPr="00003421" w:rsidRDefault="00003421" w:rsidP="00003421">
      <w:pPr>
        <w:tabs>
          <w:tab w:val="left" w:pos="-720"/>
        </w:tabs>
        <w:suppressAutoHyphens/>
        <w:spacing w:line="480" w:lineRule="auto"/>
        <w:rPr>
          <w:rFonts w:ascii="Times New Roman" w:hAnsi="Times New Roman"/>
          <w:szCs w:val="24"/>
        </w:rPr>
      </w:pPr>
      <w:r w:rsidRPr="00003421">
        <w:rPr>
          <w:rFonts w:ascii="Times New Roman" w:hAnsi="Times New Roman"/>
          <w:szCs w:val="24"/>
        </w:rPr>
        <w:t xml:space="preserve">Annualized costs for the Federal government include 50% of total cost to State agencies and their issuance agents.  Based on the total estimated burden for State agency reporting of </w:t>
      </w:r>
      <w:r w:rsidR="00B5275C">
        <w:rPr>
          <w:rFonts w:ascii="Times New Roman" w:hAnsi="Times New Roman"/>
          <w:szCs w:val="24"/>
        </w:rPr>
        <w:t>252,432.64</w:t>
      </w:r>
      <w:r w:rsidRPr="00003421">
        <w:rPr>
          <w:rFonts w:ascii="Times New Roman" w:hAnsi="Times New Roman"/>
          <w:szCs w:val="24"/>
        </w:rPr>
        <w:t xml:space="preserve"> hours, the total cost is $</w:t>
      </w:r>
      <w:r w:rsidR="0098465A" w:rsidRPr="0098465A">
        <w:rPr>
          <w:rFonts w:ascii="Times New Roman" w:hAnsi="Times New Roman"/>
          <w:szCs w:val="24"/>
        </w:rPr>
        <w:t>4,303,433.80</w:t>
      </w:r>
      <w:r w:rsidRPr="00003421">
        <w:rPr>
          <w:rFonts w:ascii="Times New Roman" w:hAnsi="Times New Roman"/>
          <w:szCs w:val="24"/>
        </w:rPr>
        <w:t>.  The</w:t>
      </w:r>
      <w:r>
        <w:rPr>
          <w:rFonts w:ascii="Times New Roman" w:hAnsi="Times New Roman"/>
          <w:szCs w:val="24"/>
        </w:rPr>
        <w:t xml:space="preserve"> Federal</w:t>
      </w:r>
      <w:r w:rsidRPr="00003421">
        <w:rPr>
          <w:rFonts w:ascii="Times New Roman" w:hAnsi="Times New Roman"/>
          <w:szCs w:val="24"/>
        </w:rPr>
        <w:t xml:space="preserve"> share is 50% of the total cost, or $</w:t>
      </w:r>
      <w:r w:rsidR="0098465A" w:rsidRPr="0098465A">
        <w:rPr>
          <w:rFonts w:ascii="Times New Roman" w:hAnsi="Times New Roman"/>
          <w:szCs w:val="24"/>
        </w:rPr>
        <w:t>2,151,716.90</w:t>
      </w:r>
      <w:r w:rsidR="0087676A">
        <w:rPr>
          <w:rFonts w:ascii="Times New Roman" w:hAnsi="Times New Roman"/>
          <w:szCs w:val="24"/>
        </w:rPr>
        <w:t>.</w:t>
      </w:r>
    </w:p>
    <w:p w:rsidR="00003421" w:rsidRPr="00003421" w:rsidRDefault="00003421" w:rsidP="00003421">
      <w:pPr>
        <w:tabs>
          <w:tab w:val="left" w:pos="-720"/>
        </w:tabs>
        <w:suppressAutoHyphens/>
        <w:spacing w:line="480" w:lineRule="auto"/>
        <w:rPr>
          <w:rFonts w:ascii="Times New Roman" w:hAnsi="Times New Roman"/>
          <w:szCs w:val="24"/>
        </w:rPr>
      </w:pPr>
    </w:p>
    <w:p w:rsidR="00CE442D" w:rsidRDefault="00003421" w:rsidP="00003421">
      <w:pPr>
        <w:tabs>
          <w:tab w:val="left" w:pos="-720"/>
        </w:tabs>
        <w:suppressAutoHyphens/>
        <w:spacing w:line="480" w:lineRule="auto"/>
        <w:rPr>
          <w:rFonts w:ascii="Times New Roman" w:hAnsi="Times New Roman"/>
          <w:szCs w:val="24"/>
        </w:rPr>
      </w:pPr>
      <w:r w:rsidRPr="00003421">
        <w:rPr>
          <w:rFonts w:ascii="Times New Roman" w:hAnsi="Times New Roman"/>
          <w:szCs w:val="24"/>
        </w:rPr>
        <w:t>Federal costs for this burden also include an estimated 12 hours of work to collect and review data by a Program Analyst (GS-12, Step 1) at $35.88 an hour, and 4 hours of work by a Branch Chief (GS-14, Step 1) at $50.41 an hour, totaling $632.20.  Adding in the Federal share of State costs, the total annualized cost to the Federal government is $</w:t>
      </w:r>
      <w:r>
        <w:rPr>
          <w:rFonts w:ascii="Times New Roman" w:hAnsi="Times New Roman"/>
          <w:szCs w:val="24"/>
        </w:rPr>
        <w:t>2,</w:t>
      </w:r>
      <w:r w:rsidR="0098465A">
        <w:rPr>
          <w:rFonts w:ascii="Times New Roman" w:hAnsi="Times New Roman"/>
          <w:szCs w:val="24"/>
        </w:rPr>
        <w:t>152,349.10</w:t>
      </w:r>
      <w:r w:rsidRPr="00003421">
        <w:rPr>
          <w:rFonts w:ascii="Times New Roman" w:hAnsi="Times New Roman"/>
          <w:szCs w:val="24"/>
        </w:rPr>
        <w:t xml:space="preserve"> (</w:t>
      </w:r>
      <w:r w:rsidR="00EC448C">
        <w:rPr>
          <w:rFonts w:ascii="Times New Roman" w:hAnsi="Times New Roman"/>
          <w:szCs w:val="24"/>
        </w:rPr>
        <w:t>$</w:t>
      </w:r>
      <w:r w:rsidR="0098465A">
        <w:rPr>
          <w:rFonts w:ascii="Times New Roman" w:hAnsi="Times New Roman"/>
          <w:szCs w:val="24"/>
        </w:rPr>
        <w:t>2,151,716.90</w:t>
      </w:r>
      <w:r w:rsidRPr="00003421">
        <w:rPr>
          <w:rFonts w:ascii="Times New Roman" w:hAnsi="Times New Roman"/>
          <w:szCs w:val="24"/>
        </w:rPr>
        <w:t xml:space="preserve">+ </w:t>
      </w:r>
      <w:r w:rsidR="00EC448C">
        <w:rPr>
          <w:rFonts w:ascii="Times New Roman" w:hAnsi="Times New Roman"/>
          <w:szCs w:val="24"/>
        </w:rPr>
        <w:t>$</w:t>
      </w:r>
      <w:r w:rsidRPr="00003421">
        <w:rPr>
          <w:rFonts w:ascii="Times New Roman" w:hAnsi="Times New Roman"/>
          <w:szCs w:val="24"/>
        </w:rPr>
        <w:t>632.20 =</w:t>
      </w:r>
      <w:r>
        <w:rPr>
          <w:rFonts w:ascii="Times New Roman" w:hAnsi="Times New Roman"/>
          <w:szCs w:val="24"/>
        </w:rPr>
        <w:t xml:space="preserve"> $</w:t>
      </w:r>
      <w:r w:rsidR="00B5275C">
        <w:rPr>
          <w:rFonts w:ascii="Times New Roman" w:hAnsi="Times New Roman"/>
          <w:szCs w:val="24"/>
        </w:rPr>
        <w:t>2,</w:t>
      </w:r>
      <w:r w:rsidR="0098465A">
        <w:rPr>
          <w:rFonts w:ascii="Times New Roman" w:hAnsi="Times New Roman"/>
          <w:szCs w:val="24"/>
        </w:rPr>
        <w:t>152,349.10</w:t>
      </w:r>
      <w:r w:rsidRPr="00003421">
        <w:rPr>
          <w:rFonts w:ascii="Times New Roman" w:hAnsi="Times New Roman"/>
          <w:szCs w:val="24"/>
        </w:rPr>
        <w:t>).</w:t>
      </w:r>
    </w:p>
    <w:p w:rsidR="00CE442D" w:rsidRPr="002568E6" w:rsidRDefault="00CE442D" w:rsidP="00ED28F2">
      <w:pPr>
        <w:tabs>
          <w:tab w:val="left" w:pos="-720"/>
        </w:tabs>
        <w:suppressAutoHyphens/>
        <w:spacing w:line="480" w:lineRule="auto"/>
        <w:rPr>
          <w:rFonts w:ascii="Times New Roman" w:hAnsi="Times New Roman"/>
          <w:szCs w:val="24"/>
        </w:rPr>
      </w:pPr>
    </w:p>
    <w:p w:rsidR="000438E8" w:rsidRPr="002568E6" w:rsidRDefault="000438E8" w:rsidP="0062567E">
      <w:pPr>
        <w:pStyle w:val="Heading1"/>
        <w:rPr>
          <w:szCs w:val="24"/>
        </w:rPr>
      </w:pPr>
      <w:bookmarkStart w:id="30" w:name="_Toc401831371"/>
      <w:bookmarkStart w:id="31" w:name="_Toc401832415"/>
      <w:r w:rsidRPr="002568E6">
        <w:rPr>
          <w:szCs w:val="24"/>
        </w:rPr>
        <w:t xml:space="preserve">A15.  </w:t>
      </w:r>
      <w:proofErr w:type="gramStart"/>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0"/>
      <w:bookmarkEnd w:id="31"/>
      <w:proofErr w:type="gramEnd"/>
    </w:p>
    <w:p w:rsidR="0062567E" w:rsidRPr="002568E6" w:rsidRDefault="0062567E" w:rsidP="0062567E">
      <w:pPr>
        <w:tabs>
          <w:tab w:val="left" w:pos="0"/>
        </w:tabs>
        <w:suppressAutoHyphens/>
        <w:jc w:val="center"/>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rsidR="00ED28F2" w:rsidRPr="002568E6" w:rsidRDefault="00ED28F2" w:rsidP="00ED28F2">
      <w:pPr>
        <w:tabs>
          <w:tab w:val="left" w:pos="-720"/>
        </w:tabs>
        <w:suppressAutoHyphens/>
        <w:rPr>
          <w:rFonts w:ascii="Times New Roman" w:hAnsi="Times New Roman"/>
          <w:szCs w:val="24"/>
        </w:rPr>
      </w:pPr>
    </w:p>
    <w:p w:rsidR="006B4BFE" w:rsidRDefault="00003421" w:rsidP="000438E8">
      <w:pPr>
        <w:tabs>
          <w:tab w:val="left" w:pos="0"/>
        </w:tabs>
        <w:suppressAutoHyphens/>
        <w:rPr>
          <w:rFonts w:ascii="Times New Roman" w:hAnsi="Times New Roman"/>
          <w:szCs w:val="24"/>
        </w:rPr>
      </w:pPr>
      <w:r>
        <w:rPr>
          <w:rFonts w:ascii="Times New Roman" w:hAnsi="Times New Roman"/>
          <w:szCs w:val="24"/>
        </w:rPr>
        <w:t>This is a new collection.</w:t>
      </w:r>
    </w:p>
    <w:p w:rsidR="00003421" w:rsidRDefault="00003421" w:rsidP="000438E8">
      <w:pPr>
        <w:tabs>
          <w:tab w:val="left" w:pos="0"/>
        </w:tabs>
        <w:suppressAutoHyphens/>
        <w:rPr>
          <w:rFonts w:ascii="Times New Roman" w:hAnsi="Times New Roman"/>
          <w:szCs w:val="24"/>
        </w:rPr>
      </w:pPr>
    </w:p>
    <w:p w:rsidR="00C5235E" w:rsidRDefault="00C5235E" w:rsidP="000438E8">
      <w:pPr>
        <w:tabs>
          <w:tab w:val="left" w:pos="0"/>
        </w:tabs>
        <w:suppressAutoHyphens/>
        <w:rPr>
          <w:rFonts w:ascii="Times New Roman" w:hAnsi="Times New Roman"/>
          <w:szCs w:val="24"/>
        </w:rPr>
      </w:pPr>
    </w:p>
    <w:p w:rsidR="00C6391A" w:rsidRPr="002568E6" w:rsidRDefault="00C6391A"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2" w:name="_Toc401831372"/>
      <w:bookmarkStart w:id="33" w:name="_Toc401832416"/>
      <w:r w:rsidRPr="002568E6">
        <w:rPr>
          <w:szCs w:val="24"/>
        </w:rPr>
        <w:t xml:space="preserve">A16.  </w:t>
      </w:r>
      <w:proofErr w:type="gramStart"/>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2"/>
      <w:bookmarkEnd w:id="33"/>
      <w:proofErr w:type="gramEnd"/>
      <w:r w:rsidRPr="002568E6">
        <w:rPr>
          <w:szCs w:val="24"/>
        </w:rPr>
        <w:t xml:space="preserve"> </w:t>
      </w:r>
    </w:p>
    <w:p w:rsidR="00A308DB" w:rsidRPr="002568E6" w:rsidRDefault="00A308DB" w:rsidP="000438E8">
      <w:pPr>
        <w:tabs>
          <w:tab w:val="left" w:pos="0"/>
        </w:tabs>
        <w:suppressAutoHyphens/>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RDefault="00ED28F2" w:rsidP="00003421">
      <w:pPr>
        <w:tabs>
          <w:tab w:val="left" w:pos="-720"/>
        </w:tabs>
        <w:suppressAutoHyphens/>
        <w:spacing w:line="480" w:lineRule="auto"/>
        <w:rPr>
          <w:rFonts w:ascii="Times New Roman" w:hAnsi="Times New Roman"/>
          <w:szCs w:val="24"/>
        </w:rPr>
      </w:pPr>
    </w:p>
    <w:p w:rsidR="000438E8" w:rsidRDefault="00C5235E" w:rsidP="00003421">
      <w:pPr>
        <w:tabs>
          <w:tab w:val="left" w:pos="0"/>
        </w:tabs>
        <w:suppressAutoHyphens/>
        <w:spacing w:line="480" w:lineRule="auto"/>
        <w:rPr>
          <w:rFonts w:ascii="Times New Roman" w:hAnsi="Times New Roman"/>
          <w:szCs w:val="24"/>
        </w:rPr>
      </w:pPr>
      <w:r w:rsidRPr="00003421">
        <w:rPr>
          <w:rFonts w:ascii="Times New Roman" w:hAnsi="Times New Roman"/>
          <w:szCs w:val="24"/>
        </w:rPr>
        <w:t>FNS publishes on an annual basis a State Activity Report which includes tables of State activity</w:t>
      </w:r>
      <w:r w:rsidR="00DE2A72">
        <w:rPr>
          <w:rFonts w:ascii="Times New Roman" w:hAnsi="Times New Roman"/>
          <w:szCs w:val="24"/>
        </w:rPr>
        <w:t xml:space="preserve"> data</w:t>
      </w:r>
      <w:r w:rsidRPr="00003421">
        <w:rPr>
          <w:rFonts w:ascii="Times New Roman" w:hAnsi="Times New Roman"/>
          <w:szCs w:val="24"/>
        </w:rPr>
        <w:t>.  These tables include participation and issuance by State agenc</w:t>
      </w:r>
      <w:r w:rsidR="00DE2A72">
        <w:rPr>
          <w:rFonts w:ascii="Times New Roman" w:hAnsi="Times New Roman"/>
          <w:szCs w:val="24"/>
        </w:rPr>
        <w:t>ies</w:t>
      </w:r>
      <w:r w:rsidRPr="00003421">
        <w:rPr>
          <w:rFonts w:ascii="Times New Roman" w:hAnsi="Times New Roman"/>
          <w:szCs w:val="24"/>
        </w:rPr>
        <w:t xml:space="preserve"> compiled from the </w:t>
      </w:r>
      <w:r w:rsidR="00003421" w:rsidRPr="00003421">
        <w:rPr>
          <w:rFonts w:ascii="Times New Roman" w:hAnsi="Times New Roman"/>
          <w:szCs w:val="24"/>
        </w:rPr>
        <w:t xml:space="preserve">Program Activity Statement.  </w:t>
      </w:r>
      <w:r w:rsidRPr="00003421">
        <w:rPr>
          <w:rFonts w:ascii="Times New Roman" w:hAnsi="Times New Roman"/>
          <w:szCs w:val="24"/>
        </w:rPr>
        <w:t xml:space="preserve">This report is normally published in June and is distributed internally within FNS and to State agencies; and is available on the FNS public webpage.  </w:t>
      </w:r>
    </w:p>
    <w:p w:rsidR="00003421" w:rsidRDefault="00003421" w:rsidP="000438E8">
      <w:pPr>
        <w:tabs>
          <w:tab w:val="left" w:pos="0"/>
        </w:tabs>
        <w:suppressAutoHyphens/>
        <w:rPr>
          <w:rFonts w:ascii="Times New Roman" w:hAnsi="Times New Roman"/>
          <w:szCs w:val="24"/>
        </w:rPr>
      </w:pPr>
    </w:p>
    <w:p w:rsidR="00C5235E" w:rsidRPr="002568E6" w:rsidRDefault="00C5235E"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4" w:name="_Toc401831373"/>
      <w:bookmarkStart w:id="35" w:name="_Toc401832417"/>
      <w:r w:rsidRPr="002568E6">
        <w:rPr>
          <w:szCs w:val="24"/>
        </w:rPr>
        <w:t xml:space="preserve">A17.  </w:t>
      </w:r>
      <w:proofErr w:type="gramStart"/>
      <w:r w:rsidR="001C6CBE" w:rsidRPr="002568E6">
        <w:rPr>
          <w:szCs w:val="24"/>
        </w:rPr>
        <w:t>Displaying the OMB Approval Expiration Date.</w:t>
      </w:r>
      <w:bookmarkEnd w:id="34"/>
      <w:bookmarkEnd w:id="35"/>
      <w:proofErr w:type="gramEnd"/>
    </w:p>
    <w:p w:rsidR="0062567E" w:rsidRPr="002568E6" w:rsidRDefault="0062567E" w:rsidP="0062567E">
      <w:pPr>
        <w:pStyle w:val="ListParagraph"/>
        <w:widowControl/>
        <w:spacing w:line="240" w:lineRule="auto"/>
        <w:ind w:left="0"/>
        <w:rPr>
          <w:b/>
          <w:szCs w:val="24"/>
        </w:rPr>
      </w:pPr>
    </w:p>
    <w:p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RDefault="00ED28F2" w:rsidP="00ED28F2">
      <w:pPr>
        <w:tabs>
          <w:tab w:val="left" w:pos="-720"/>
        </w:tabs>
        <w:suppressAutoHyphens/>
        <w:rPr>
          <w:rFonts w:ascii="Times New Roman" w:hAnsi="Times New Roman"/>
          <w:szCs w:val="24"/>
        </w:rPr>
      </w:pPr>
    </w:p>
    <w:p w:rsidR="000438E8" w:rsidRPr="002568E6" w:rsidRDefault="00C5235E" w:rsidP="00003421">
      <w:pPr>
        <w:tabs>
          <w:tab w:val="left" w:pos="0"/>
        </w:tabs>
        <w:suppressAutoHyphens/>
        <w:spacing w:line="480" w:lineRule="auto"/>
        <w:rPr>
          <w:rFonts w:ascii="Times New Roman" w:hAnsi="Times New Roman"/>
          <w:szCs w:val="24"/>
        </w:rPr>
      </w:pPr>
      <w:r w:rsidRPr="00003421">
        <w:rPr>
          <w:rFonts w:ascii="Times New Roman" w:hAnsi="Times New Roman"/>
          <w:szCs w:val="24"/>
        </w:rPr>
        <w:t xml:space="preserve">FNS is not seeking approval to omit the expiration date of OMB approval on the </w:t>
      </w:r>
      <w:r w:rsidR="00003421" w:rsidRPr="00003421">
        <w:rPr>
          <w:rFonts w:ascii="Times New Roman" w:hAnsi="Times New Roman"/>
          <w:szCs w:val="24"/>
        </w:rPr>
        <w:t>Program Activity Statement.</w:t>
      </w:r>
      <w:r w:rsidRPr="00C5235E">
        <w:rPr>
          <w:rFonts w:ascii="Times New Roman" w:hAnsi="Times New Roman"/>
          <w:szCs w:val="24"/>
        </w:rPr>
        <w:t xml:space="preserve">  </w:t>
      </w:r>
    </w:p>
    <w:p w:rsidR="00C5235E" w:rsidRDefault="00C5235E" w:rsidP="0062567E">
      <w:pPr>
        <w:pStyle w:val="Heading1"/>
        <w:rPr>
          <w:szCs w:val="24"/>
        </w:rPr>
      </w:pPr>
      <w:bookmarkStart w:id="36" w:name="_Toc401831374"/>
      <w:bookmarkStart w:id="37" w:name="_Toc401832418"/>
    </w:p>
    <w:p w:rsidR="00A308DB" w:rsidRPr="002568E6" w:rsidRDefault="000438E8" w:rsidP="0062567E">
      <w:pPr>
        <w:pStyle w:val="Heading1"/>
        <w:rPr>
          <w:szCs w:val="24"/>
        </w:rPr>
      </w:pPr>
      <w:r w:rsidRPr="002568E6">
        <w:rPr>
          <w:szCs w:val="24"/>
        </w:rPr>
        <w:t xml:space="preserve">A18.  </w:t>
      </w:r>
      <w:proofErr w:type="gramStart"/>
      <w:r w:rsidRPr="002568E6">
        <w:rPr>
          <w:szCs w:val="24"/>
        </w:rPr>
        <w:t>Exception</w:t>
      </w:r>
      <w:r w:rsidR="002568E6">
        <w:rPr>
          <w:szCs w:val="24"/>
        </w:rPr>
        <w:t>s</w:t>
      </w:r>
      <w:r w:rsidRPr="002568E6">
        <w:rPr>
          <w:szCs w:val="24"/>
        </w:rPr>
        <w:t xml:space="preserve"> to the certification statement identified in Item 19.</w:t>
      </w:r>
      <w:bookmarkEnd w:id="36"/>
      <w:bookmarkEnd w:id="37"/>
      <w:proofErr w:type="gramEnd"/>
      <w:r w:rsidR="006F346E" w:rsidRPr="002568E6">
        <w:rPr>
          <w:szCs w:val="24"/>
        </w:rPr>
        <w:t xml:space="preserve">  </w:t>
      </w:r>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rsidR="00ED28F2" w:rsidRPr="002568E6" w:rsidRDefault="00ED28F2" w:rsidP="00ED28F2">
      <w:pPr>
        <w:tabs>
          <w:tab w:val="left" w:pos="-720"/>
        </w:tabs>
        <w:suppressAutoHyphens/>
        <w:rPr>
          <w:rFonts w:ascii="Times New Roman" w:hAnsi="Times New Roman"/>
          <w:szCs w:val="24"/>
        </w:rPr>
      </w:pPr>
    </w:p>
    <w:p w:rsidR="006F346E" w:rsidRPr="002568E6" w:rsidRDefault="00C5235E" w:rsidP="00ED28F2">
      <w:pPr>
        <w:tabs>
          <w:tab w:val="left" w:pos="0"/>
        </w:tabs>
        <w:suppressAutoHyphens/>
        <w:rPr>
          <w:rFonts w:ascii="Times New Roman" w:hAnsi="Times New Roman"/>
          <w:szCs w:val="24"/>
        </w:rPr>
      </w:pPr>
      <w:r w:rsidRPr="00003421">
        <w:rPr>
          <w:rFonts w:ascii="Times New Roman" w:hAnsi="Times New Roman"/>
          <w:szCs w:val="24"/>
        </w:rPr>
        <w:t>There are no exceptions to the certification statement.</w:t>
      </w:r>
    </w:p>
    <w:sectPr w:rsidR="006F346E" w:rsidRPr="002568E6"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0FD" w:rsidRDefault="006D20FD">
      <w:pPr>
        <w:spacing w:line="20" w:lineRule="exact"/>
      </w:pPr>
    </w:p>
  </w:endnote>
  <w:endnote w:type="continuationSeparator" w:id="0">
    <w:p w:rsidR="006D20FD" w:rsidRDefault="006D20FD">
      <w:r>
        <w:t xml:space="preserve"> </w:t>
      </w:r>
    </w:p>
  </w:endnote>
  <w:endnote w:type="continuationNotice" w:id="1">
    <w:p w:rsidR="006D20FD" w:rsidRDefault="006D20FD">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057946"/>
      <w:docPartObj>
        <w:docPartGallery w:val="Page Numbers (Bottom of Page)"/>
        <w:docPartUnique/>
      </w:docPartObj>
    </w:sdtPr>
    <w:sdtEndPr>
      <w:rPr>
        <w:rFonts w:ascii="Times New Roman" w:hAnsi="Times New Roman"/>
        <w:noProof/>
      </w:rPr>
    </w:sdtEndPr>
    <w:sdtContent>
      <w:p w:rsidR="00920B6E" w:rsidRPr="002568E6" w:rsidRDefault="0016550D">
        <w:pPr>
          <w:pStyle w:val="Footer"/>
          <w:jc w:val="center"/>
          <w:rPr>
            <w:rFonts w:ascii="Times New Roman" w:hAnsi="Times New Roman"/>
          </w:rPr>
        </w:pPr>
        <w:r w:rsidRPr="002568E6">
          <w:rPr>
            <w:rFonts w:ascii="Times New Roman" w:hAnsi="Times New Roman"/>
          </w:rPr>
          <w:fldChar w:fldCharType="begin"/>
        </w:r>
        <w:r w:rsidR="00920B6E" w:rsidRPr="002568E6">
          <w:rPr>
            <w:rFonts w:ascii="Times New Roman" w:hAnsi="Times New Roman"/>
          </w:rPr>
          <w:instrText xml:space="preserve"> PAGE   \* MERGEFORMAT </w:instrText>
        </w:r>
        <w:r w:rsidRPr="002568E6">
          <w:rPr>
            <w:rFonts w:ascii="Times New Roman" w:hAnsi="Times New Roman"/>
          </w:rPr>
          <w:fldChar w:fldCharType="separate"/>
        </w:r>
        <w:r w:rsidR="00405F43">
          <w:rPr>
            <w:rFonts w:ascii="Times New Roman" w:hAnsi="Times New Roman"/>
            <w:noProof/>
          </w:rPr>
          <w:t>19</w:t>
        </w:r>
        <w:r w:rsidRPr="002568E6">
          <w:rPr>
            <w:rFonts w:ascii="Times New Roman" w:hAnsi="Times New Roman"/>
            <w:noProof/>
          </w:rPr>
          <w:fldChar w:fldCharType="end"/>
        </w:r>
      </w:p>
    </w:sdtContent>
  </w:sdt>
  <w:p w:rsidR="00920B6E" w:rsidRDefault="00920B6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0FD" w:rsidRDefault="006D20FD">
      <w:r>
        <w:separator/>
      </w:r>
    </w:p>
  </w:footnote>
  <w:footnote w:type="continuationSeparator" w:id="0">
    <w:p w:rsidR="006D20FD" w:rsidRDefault="006D2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0E5AFB"/>
    <w:multiLevelType w:val="hybridMultilevel"/>
    <w:tmpl w:val="6CEC3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B407FB"/>
    <w:multiLevelType w:val="hybridMultilevel"/>
    <w:tmpl w:val="437C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1BB5DCF"/>
    <w:multiLevelType w:val="hybridMultilevel"/>
    <w:tmpl w:val="46CA2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8"/>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10"/>
  </w:num>
  <w:num w:numId="20">
    <w:abstractNumId w:val="19"/>
  </w:num>
  <w:num w:numId="21">
    <w:abstractNumId w:val="1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C00128"/>
    <w:rsid w:val="000007AA"/>
    <w:rsid w:val="00001CB2"/>
    <w:rsid w:val="00001DDD"/>
    <w:rsid w:val="00003421"/>
    <w:rsid w:val="00003E15"/>
    <w:rsid w:val="00003EA5"/>
    <w:rsid w:val="00005823"/>
    <w:rsid w:val="000076A1"/>
    <w:rsid w:val="00007847"/>
    <w:rsid w:val="0000790A"/>
    <w:rsid w:val="00010DE3"/>
    <w:rsid w:val="00010DEC"/>
    <w:rsid w:val="00011958"/>
    <w:rsid w:val="000145E1"/>
    <w:rsid w:val="0001490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643"/>
    <w:rsid w:val="00063761"/>
    <w:rsid w:val="00063800"/>
    <w:rsid w:val="0006449A"/>
    <w:rsid w:val="00064754"/>
    <w:rsid w:val="0006609B"/>
    <w:rsid w:val="00070A9C"/>
    <w:rsid w:val="00071ACF"/>
    <w:rsid w:val="00072177"/>
    <w:rsid w:val="00072C97"/>
    <w:rsid w:val="000750F4"/>
    <w:rsid w:val="00075687"/>
    <w:rsid w:val="00075AFC"/>
    <w:rsid w:val="00076D3A"/>
    <w:rsid w:val="00077B8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2EBA"/>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4750C"/>
    <w:rsid w:val="0015139F"/>
    <w:rsid w:val="00151DF5"/>
    <w:rsid w:val="00154D85"/>
    <w:rsid w:val="00156839"/>
    <w:rsid w:val="00157282"/>
    <w:rsid w:val="00160DAC"/>
    <w:rsid w:val="001613F6"/>
    <w:rsid w:val="0016550D"/>
    <w:rsid w:val="00166501"/>
    <w:rsid w:val="00167686"/>
    <w:rsid w:val="001707E2"/>
    <w:rsid w:val="00171619"/>
    <w:rsid w:val="00172B17"/>
    <w:rsid w:val="0017348C"/>
    <w:rsid w:val="00180150"/>
    <w:rsid w:val="00181E15"/>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D5361"/>
    <w:rsid w:val="001E22E9"/>
    <w:rsid w:val="001E5E66"/>
    <w:rsid w:val="001F054A"/>
    <w:rsid w:val="001F549E"/>
    <w:rsid w:val="001F5D67"/>
    <w:rsid w:val="001F6E85"/>
    <w:rsid w:val="001F73D9"/>
    <w:rsid w:val="00201068"/>
    <w:rsid w:val="00201287"/>
    <w:rsid w:val="00204E6E"/>
    <w:rsid w:val="00205B44"/>
    <w:rsid w:val="002062CF"/>
    <w:rsid w:val="002075EB"/>
    <w:rsid w:val="00210D68"/>
    <w:rsid w:val="00210FA8"/>
    <w:rsid w:val="00211A05"/>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478AF"/>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849AD"/>
    <w:rsid w:val="002900F6"/>
    <w:rsid w:val="002954B1"/>
    <w:rsid w:val="002A1B3D"/>
    <w:rsid w:val="002A7390"/>
    <w:rsid w:val="002B0654"/>
    <w:rsid w:val="002B46E1"/>
    <w:rsid w:val="002B4C15"/>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505"/>
    <w:rsid w:val="00307D2B"/>
    <w:rsid w:val="0031071F"/>
    <w:rsid w:val="003125D7"/>
    <w:rsid w:val="00312A60"/>
    <w:rsid w:val="00313A06"/>
    <w:rsid w:val="003140F4"/>
    <w:rsid w:val="00315029"/>
    <w:rsid w:val="003164E9"/>
    <w:rsid w:val="00324C06"/>
    <w:rsid w:val="0032517C"/>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C27"/>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0F64"/>
    <w:rsid w:val="003F2C34"/>
    <w:rsid w:val="003F7EFD"/>
    <w:rsid w:val="004000FA"/>
    <w:rsid w:val="00400754"/>
    <w:rsid w:val="004033DD"/>
    <w:rsid w:val="004037F9"/>
    <w:rsid w:val="0040495B"/>
    <w:rsid w:val="00405F43"/>
    <w:rsid w:val="004060BE"/>
    <w:rsid w:val="004061F0"/>
    <w:rsid w:val="00407AEA"/>
    <w:rsid w:val="004113AB"/>
    <w:rsid w:val="004127EA"/>
    <w:rsid w:val="00415AE6"/>
    <w:rsid w:val="00417C54"/>
    <w:rsid w:val="004222AF"/>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017"/>
    <w:rsid w:val="00477E91"/>
    <w:rsid w:val="00483781"/>
    <w:rsid w:val="00483CCC"/>
    <w:rsid w:val="00483F2C"/>
    <w:rsid w:val="00494A82"/>
    <w:rsid w:val="004A2D34"/>
    <w:rsid w:val="004A2F08"/>
    <w:rsid w:val="004A48CA"/>
    <w:rsid w:val="004A543C"/>
    <w:rsid w:val="004A6286"/>
    <w:rsid w:val="004A6581"/>
    <w:rsid w:val="004B46EC"/>
    <w:rsid w:val="004C03B1"/>
    <w:rsid w:val="004C2E49"/>
    <w:rsid w:val="004C50AE"/>
    <w:rsid w:val="004C615B"/>
    <w:rsid w:val="004C69A7"/>
    <w:rsid w:val="004C69DF"/>
    <w:rsid w:val="004D04AD"/>
    <w:rsid w:val="004D1FDB"/>
    <w:rsid w:val="004D3638"/>
    <w:rsid w:val="004D43D3"/>
    <w:rsid w:val="004D5E86"/>
    <w:rsid w:val="004E11D8"/>
    <w:rsid w:val="004E160F"/>
    <w:rsid w:val="004E45D9"/>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4A8"/>
    <w:rsid w:val="00505C81"/>
    <w:rsid w:val="00506D32"/>
    <w:rsid w:val="005072CD"/>
    <w:rsid w:val="00510518"/>
    <w:rsid w:val="0051085D"/>
    <w:rsid w:val="00511375"/>
    <w:rsid w:val="00511668"/>
    <w:rsid w:val="00511934"/>
    <w:rsid w:val="00512C6B"/>
    <w:rsid w:val="00520A94"/>
    <w:rsid w:val="005234BE"/>
    <w:rsid w:val="005266CA"/>
    <w:rsid w:val="00533EA9"/>
    <w:rsid w:val="005358BC"/>
    <w:rsid w:val="005364A3"/>
    <w:rsid w:val="0053713F"/>
    <w:rsid w:val="00540608"/>
    <w:rsid w:val="00540C0C"/>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B36"/>
    <w:rsid w:val="005A3F80"/>
    <w:rsid w:val="005A4F79"/>
    <w:rsid w:val="005A598F"/>
    <w:rsid w:val="005B172E"/>
    <w:rsid w:val="005B2A87"/>
    <w:rsid w:val="005C04BB"/>
    <w:rsid w:val="005C286E"/>
    <w:rsid w:val="005C33B4"/>
    <w:rsid w:val="005C423C"/>
    <w:rsid w:val="005C50FC"/>
    <w:rsid w:val="005C54B0"/>
    <w:rsid w:val="005C6321"/>
    <w:rsid w:val="005C777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1C09"/>
    <w:rsid w:val="00603FF7"/>
    <w:rsid w:val="00604BE2"/>
    <w:rsid w:val="006059DF"/>
    <w:rsid w:val="0060707B"/>
    <w:rsid w:val="00616358"/>
    <w:rsid w:val="00617B1B"/>
    <w:rsid w:val="0062182F"/>
    <w:rsid w:val="00621FA7"/>
    <w:rsid w:val="0062241E"/>
    <w:rsid w:val="006226A2"/>
    <w:rsid w:val="006228E2"/>
    <w:rsid w:val="00624639"/>
    <w:rsid w:val="0062567E"/>
    <w:rsid w:val="00626691"/>
    <w:rsid w:val="00630C90"/>
    <w:rsid w:val="0063244C"/>
    <w:rsid w:val="00632A77"/>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EC3"/>
    <w:rsid w:val="006C6F61"/>
    <w:rsid w:val="006C7186"/>
    <w:rsid w:val="006D0EAD"/>
    <w:rsid w:val="006D0FF5"/>
    <w:rsid w:val="006D20FD"/>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2CA7"/>
    <w:rsid w:val="007532C9"/>
    <w:rsid w:val="00754981"/>
    <w:rsid w:val="00756119"/>
    <w:rsid w:val="0075702F"/>
    <w:rsid w:val="00760434"/>
    <w:rsid w:val="00761877"/>
    <w:rsid w:val="00763D19"/>
    <w:rsid w:val="00764AB6"/>
    <w:rsid w:val="007704A9"/>
    <w:rsid w:val="00772867"/>
    <w:rsid w:val="00772B26"/>
    <w:rsid w:val="0077330C"/>
    <w:rsid w:val="00776D16"/>
    <w:rsid w:val="00777161"/>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676A"/>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3CA1"/>
    <w:rsid w:val="00904305"/>
    <w:rsid w:val="009049D1"/>
    <w:rsid w:val="00904B63"/>
    <w:rsid w:val="00905A5F"/>
    <w:rsid w:val="009062BF"/>
    <w:rsid w:val="00906F7A"/>
    <w:rsid w:val="00910330"/>
    <w:rsid w:val="00910824"/>
    <w:rsid w:val="00910CCC"/>
    <w:rsid w:val="009141DF"/>
    <w:rsid w:val="00917120"/>
    <w:rsid w:val="009171A0"/>
    <w:rsid w:val="00920B6E"/>
    <w:rsid w:val="00920B77"/>
    <w:rsid w:val="00921A94"/>
    <w:rsid w:val="0092248C"/>
    <w:rsid w:val="00922DEC"/>
    <w:rsid w:val="00922FC1"/>
    <w:rsid w:val="009232EE"/>
    <w:rsid w:val="00923F25"/>
    <w:rsid w:val="0092466F"/>
    <w:rsid w:val="009258EB"/>
    <w:rsid w:val="00925D56"/>
    <w:rsid w:val="0092640D"/>
    <w:rsid w:val="0092668F"/>
    <w:rsid w:val="0092699F"/>
    <w:rsid w:val="00930FCC"/>
    <w:rsid w:val="009361A2"/>
    <w:rsid w:val="009379DE"/>
    <w:rsid w:val="0094179F"/>
    <w:rsid w:val="0094446A"/>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5A"/>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26C4"/>
    <w:rsid w:val="00AA55D2"/>
    <w:rsid w:val="00AA6BEE"/>
    <w:rsid w:val="00AB5F42"/>
    <w:rsid w:val="00AB67B2"/>
    <w:rsid w:val="00AB6B56"/>
    <w:rsid w:val="00AC0DA1"/>
    <w:rsid w:val="00AC1CF7"/>
    <w:rsid w:val="00AC2B52"/>
    <w:rsid w:val="00AC61A8"/>
    <w:rsid w:val="00AD1B31"/>
    <w:rsid w:val="00AD2642"/>
    <w:rsid w:val="00AD2789"/>
    <w:rsid w:val="00AD2800"/>
    <w:rsid w:val="00AD427A"/>
    <w:rsid w:val="00AD4629"/>
    <w:rsid w:val="00AD6ECF"/>
    <w:rsid w:val="00AE0DA1"/>
    <w:rsid w:val="00AE1EB1"/>
    <w:rsid w:val="00AE4F48"/>
    <w:rsid w:val="00AE5974"/>
    <w:rsid w:val="00AE6A0B"/>
    <w:rsid w:val="00AE7A2F"/>
    <w:rsid w:val="00AF143D"/>
    <w:rsid w:val="00AF32EA"/>
    <w:rsid w:val="00AF3B32"/>
    <w:rsid w:val="00AF55EF"/>
    <w:rsid w:val="00AF7AC8"/>
    <w:rsid w:val="00B01286"/>
    <w:rsid w:val="00B01769"/>
    <w:rsid w:val="00B01B6B"/>
    <w:rsid w:val="00B06CD9"/>
    <w:rsid w:val="00B12FBB"/>
    <w:rsid w:val="00B151E1"/>
    <w:rsid w:val="00B20E43"/>
    <w:rsid w:val="00B2117C"/>
    <w:rsid w:val="00B22E0E"/>
    <w:rsid w:val="00B257FB"/>
    <w:rsid w:val="00B303B9"/>
    <w:rsid w:val="00B30A20"/>
    <w:rsid w:val="00B327AA"/>
    <w:rsid w:val="00B335C9"/>
    <w:rsid w:val="00B33FB9"/>
    <w:rsid w:val="00B35F66"/>
    <w:rsid w:val="00B36D92"/>
    <w:rsid w:val="00B40E2C"/>
    <w:rsid w:val="00B410B9"/>
    <w:rsid w:val="00B4117A"/>
    <w:rsid w:val="00B421EB"/>
    <w:rsid w:val="00B42633"/>
    <w:rsid w:val="00B42A4C"/>
    <w:rsid w:val="00B44520"/>
    <w:rsid w:val="00B44E8E"/>
    <w:rsid w:val="00B45036"/>
    <w:rsid w:val="00B46119"/>
    <w:rsid w:val="00B5016E"/>
    <w:rsid w:val="00B502BF"/>
    <w:rsid w:val="00B5275C"/>
    <w:rsid w:val="00B52C79"/>
    <w:rsid w:val="00B534DA"/>
    <w:rsid w:val="00B55CA4"/>
    <w:rsid w:val="00B616CD"/>
    <w:rsid w:val="00B62726"/>
    <w:rsid w:val="00B6562C"/>
    <w:rsid w:val="00B677F2"/>
    <w:rsid w:val="00B7232F"/>
    <w:rsid w:val="00B73492"/>
    <w:rsid w:val="00B77958"/>
    <w:rsid w:val="00B77C3D"/>
    <w:rsid w:val="00B8362B"/>
    <w:rsid w:val="00B868A4"/>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5943"/>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6F36"/>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235E"/>
    <w:rsid w:val="00C5330F"/>
    <w:rsid w:val="00C54A1A"/>
    <w:rsid w:val="00C557D4"/>
    <w:rsid w:val="00C55A6C"/>
    <w:rsid w:val="00C5617B"/>
    <w:rsid w:val="00C6025D"/>
    <w:rsid w:val="00C619D0"/>
    <w:rsid w:val="00C61B37"/>
    <w:rsid w:val="00C6391A"/>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9463E"/>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442D"/>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900"/>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0D98"/>
    <w:rsid w:val="00D713CE"/>
    <w:rsid w:val="00D71DFC"/>
    <w:rsid w:val="00D726F8"/>
    <w:rsid w:val="00D7624B"/>
    <w:rsid w:val="00D76CF7"/>
    <w:rsid w:val="00D77B69"/>
    <w:rsid w:val="00D77F76"/>
    <w:rsid w:val="00D803BD"/>
    <w:rsid w:val="00D815E8"/>
    <w:rsid w:val="00D81A25"/>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00C"/>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2A72"/>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9D6"/>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48C"/>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461C"/>
    <w:rsid w:val="00F26E4E"/>
    <w:rsid w:val="00F27614"/>
    <w:rsid w:val="00F305A7"/>
    <w:rsid w:val="00F31DC7"/>
    <w:rsid w:val="00F326B3"/>
    <w:rsid w:val="00F36057"/>
    <w:rsid w:val="00F36940"/>
    <w:rsid w:val="00F4115C"/>
    <w:rsid w:val="00F411CB"/>
    <w:rsid w:val="00F42720"/>
    <w:rsid w:val="00F443C6"/>
    <w:rsid w:val="00F45742"/>
    <w:rsid w:val="00F507F6"/>
    <w:rsid w:val="00F51A73"/>
    <w:rsid w:val="00F5252E"/>
    <w:rsid w:val="00F54087"/>
    <w:rsid w:val="00F55F14"/>
    <w:rsid w:val="00F56824"/>
    <w:rsid w:val="00F570E0"/>
    <w:rsid w:val="00F62E54"/>
    <w:rsid w:val="00F63FAF"/>
    <w:rsid w:val="00F64EFC"/>
    <w:rsid w:val="00F64F10"/>
    <w:rsid w:val="00F65818"/>
    <w:rsid w:val="00F65888"/>
    <w:rsid w:val="00F65E43"/>
    <w:rsid w:val="00F7052B"/>
    <w:rsid w:val="00F71782"/>
    <w:rsid w:val="00F7632B"/>
    <w:rsid w:val="00F80F6C"/>
    <w:rsid w:val="00F8269D"/>
    <w:rsid w:val="00F82BCE"/>
    <w:rsid w:val="00F84248"/>
    <w:rsid w:val="00F854FE"/>
    <w:rsid w:val="00F85E79"/>
    <w:rsid w:val="00F868A2"/>
    <w:rsid w:val="00F8793E"/>
    <w:rsid w:val="00F91587"/>
    <w:rsid w:val="00F943AD"/>
    <w:rsid w:val="00F9533E"/>
    <w:rsid w:val="00F95373"/>
    <w:rsid w:val="00F960C4"/>
    <w:rsid w:val="00F96207"/>
    <w:rsid w:val="00F97372"/>
    <w:rsid w:val="00FA03F2"/>
    <w:rsid w:val="00FA2369"/>
    <w:rsid w:val="00FA37DD"/>
    <w:rsid w:val="00FA5256"/>
    <w:rsid w:val="00FB385D"/>
    <w:rsid w:val="00FB41E1"/>
    <w:rsid w:val="00FB58AE"/>
    <w:rsid w:val="00FB6150"/>
    <w:rsid w:val="00FB7807"/>
    <w:rsid w:val="00FB7AB0"/>
    <w:rsid w:val="00FC26B5"/>
    <w:rsid w:val="00FC282C"/>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00C"/>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rsid w:val="0001490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00C"/>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rsid w:val="0001490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06331888">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30208163">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0088386">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CF556109-2A12-4A7E-B308-188ABA89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4737</Words>
  <Characters>27672</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32345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Windows User</cp:lastModifiedBy>
  <cp:revision>2</cp:revision>
  <cp:lastPrinted>2015-06-17T12:59:00Z</cp:lastPrinted>
  <dcterms:created xsi:type="dcterms:W3CDTF">2016-03-10T14:58:00Z</dcterms:created>
  <dcterms:modified xsi:type="dcterms:W3CDTF">2016-03-10T14:58:00Z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