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AED83" w14:textId="77777777" w:rsidR="005E714A" w:rsidRDefault="00F06866" w:rsidP="00F06866">
      <w:pPr>
        <w:pStyle w:val="Heading2"/>
        <w:tabs>
          <w:tab w:val="left" w:pos="900"/>
        </w:tabs>
        <w:ind w:right="-180"/>
      </w:pPr>
      <w:bookmarkStart w:id="0" w:name="_GoBack"/>
      <w:bookmarkEnd w:id="0"/>
      <w:r>
        <w:rPr>
          <w:sz w:val="28"/>
        </w:rPr>
        <w:t xml:space="preserve">Request for </w:t>
      </w:r>
      <w:r w:rsidR="002F1CD5">
        <w:rPr>
          <w:sz w:val="28"/>
        </w:rPr>
        <w:t xml:space="preserve">Renewal </w:t>
      </w:r>
      <w:r>
        <w:rPr>
          <w:sz w:val="28"/>
        </w:rPr>
        <w:t xml:space="preserve">under the </w:t>
      </w:r>
      <w:r w:rsidRPr="00F06866">
        <w:rPr>
          <w:sz w:val="28"/>
        </w:rPr>
        <w:t>“Generic Clearance for the Collection of Routine Customer Feedback”</w:t>
      </w:r>
      <w:r>
        <w:rPr>
          <w:sz w:val="28"/>
        </w:rPr>
        <w:t xml:space="preserve"> (OMB Control </w:t>
      </w:r>
      <w:r w:rsidRPr="00775C6C">
        <w:rPr>
          <w:sz w:val="28"/>
        </w:rPr>
        <w:t xml:space="preserve">Number: </w:t>
      </w:r>
      <w:r w:rsidR="0072328F" w:rsidRPr="00E621C4">
        <w:rPr>
          <w:szCs w:val="20"/>
        </w:rPr>
        <w:t>0938-</w:t>
      </w:r>
      <w:r w:rsidR="007C28E0">
        <w:rPr>
          <w:szCs w:val="20"/>
        </w:rPr>
        <w:t>1185</w:t>
      </w:r>
      <w:r>
        <w:rPr>
          <w:sz w:val="28"/>
        </w:rPr>
        <w:t>)</w:t>
      </w:r>
    </w:p>
    <w:p w14:paraId="4866AA3C" w14:textId="77777777" w:rsidR="0072328F" w:rsidRPr="0072328F" w:rsidRDefault="007B6298" w:rsidP="0072328F">
      <w:pPr>
        <w:rPr>
          <w:rFonts w:ascii="Cambria" w:hAnsi="Cambria"/>
          <w:b/>
          <w:i/>
          <w:sz w:val="48"/>
          <w:szCs w:val="48"/>
        </w:rPr>
      </w:pPr>
      <w:r>
        <w:rPr>
          <w:b/>
          <w:noProof/>
        </w:rPr>
        <mc:AlternateContent>
          <mc:Choice Requires="wps">
            <w:drawing>
              <wp:anchor distT="0" distB="0" distL="114300" distR="114300" simplePos="0" relativeHeight="251657728" behindDoc="0" locked="0" layoutInCell="0" allowOverlap="1" wp14:anchorId="32C7297D" wp14:editId="1D8F601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055CA">
        <w:t xml:space="preserve">Evaluation of </w:t>
      </w:r>
      <w:r w:rsidR="00176AF5">
        <w:t xml:space="preserve">Stakeholder Training - </w:t>
      </w:r>
      <w:r w:rsidR="006055CA">
        <w:t xml:space="preserve">Health Insurance Marketplace and Market Stabilization Programs </w:t>
      </w:r>
    </w:p>
    <w:p w14:paraId="259D8C00" w14:textId="77777777" w:rsidR="00E50293" w:rsidRPr="009239AA" w:rsidRDefault="00E50293" w:rsidP="00434E33">
      <w:pPr>
        <w:rPr>
          <w:b/>
        </w:rPr>
      </w:pPr>
    </w:p>
    <w:p w14:paraId="2810AB6D" w14:textId="77777777" w:rsidR="001B0AAA" w:rsidRDefault="00F15956">
      <w:r>
        <w:rPr>
          <w:b/>
        </w:rPr>
        <w:t>PURPOSE</w:t>
      </w:r>
      <w:r w:rsidRPr="009239AA">
        <w:rPr>
          <w:b/>
        </w:rPr>
        <w:t>:</w:t>
      </w:r>
      <w:r w:rsidR="00C14CC4" w:rsidRPr="009239AA">
        <w:rPr>
          <w:b/>
        </w:rPr>
        <w:t xml:space="preserve">  </w:t>
      </w:r>
    </w:p>
    <w:p w14:paraId="228D3CC1" w14:textId="77777777" w:rsidR="006055CA" w:rsidRDefault="006055CA">
      <w:pPr>
        <w:rPr>
          <w:kern w:val="2"/>
        </w:rPr>
      </w:pPr>
    </w:p>
    <w:p w14:paraId="1F608EE2" w14:textId="77777777" w:rsidR="006055CA" w:rsidRPr="00AC63D4" w:rsidRDefault="006055CA">
      <w:pPr>
        <w:rPr>
          <w:kern w:val="2"/>
        </w:rPr>
      </w:pPr>
      <w:r w:rsidRPr="00AC63D4">
        <w:t>The Patient Protection and Affordable Care Act of 2010</w:t>
      </w:r>
      <w:r w:rsidR="002B5A6E" w:rsidRPr="00AC63D4">
        <w:t xml:space="preserve"> (ACA)</w:t>
      </w:r>
      <w:r w:rsidRPr="00AC63D4">
        <w:t xml:space="preserve"> was enacted to assist millions of Americans in obtaining affordable health care services and to allow more employers to offer insurance coverage</w:t>
      </w:r>
      <w:r w:rsidR="006A1777" w:rsidRPr="006A1777">
        <w:t xml:space="preserve"> to their employees</w:t>
      </w:r>
      <w:r w:rsidRPr="00AC63D4">
        <w:t xml:space="preserve"> in a cost effective manner.  </w:t>
      </w:r>
      <w:r w:rsidR="006A1777">
        <w:t>Since the implementation of ACA</w:t>
      </w:r>
      <w:r w:rsidRPr="00AC63D4">
        <w:t xml:space="preserve"> in 2014, individuals and small businesse</w:t>
      </w:r>
      <w:r w:rsidR="009C7EC7">
        <w:t>s have been</w:t>
      </w:r>
      <w:r w:rsidRPr="00AC63D4">
        <w:t xml:space="preserve"> able to purchase private health insurance through competitive marketplaces called</w:t>
      </w:r>
      <w:r w:rsidR="006A1777">
        <w:t xml:space="preserve"> the</w:t>
      </w:r>
      <w:r w:rsidRPr="00AC63D4">
        <w:t xml:space="preserve"> “Health Insurance Marketplace” (Marketplace), also known as “</w:t>
      </w:r>
      <w:r w:rsidR="00FD3E3C" w:rsidRPr="00AC63D4">
        <w:t xml:space="preserve">Affordable Insurance Exchanges” or </w:t>
      </w:r>
      <w:r w:rsidRPr="00AC63D4">
        <w:t>‘‘Exchanges.”</w:t>
      </w:r>
      <w:r w:rsidR="00FD3E3C" w:rsidRPr="00AC63D4">
        <w:t xml:space="preserve">  The </w:t>
      </w:r>
      <w:r w:rsidRPr="00AC63D4">
        <w:rPr>
          <w:kern w:val="2"/>
        </w:rPr>
        <w:t>C</w:t>
      </w:r>
      <w:r w:rsidR="00FD3E3C" w:rsidRPr="00AC63D4">
        <w:rPr>
          <w:kern w:val="2"/>
        </w:rPr>
        <w:t>enters for Medicare &amp; Medicaid Services (CMS)</w:t>
      </w:r>
      <w:r w:rsidRPr="00AC63D4">
        <w:rPr>
          <w:kern w:val="2"/>
        </w:rPr>
        <w:t xml:space="preserve"> </w:t>
      </w:r>
      <w:r w:rsidR="00636268">
        <w:rPr>
          <w:kern w:val="2"/>
        </w:rPr>
        <w:t>issued</w:t>
      </w:r>
      <w:r w:rsidRPr="00AC63D4">
        <w:rPr>
          <w:kern w:val="2"/>
        </w:rPr>
        <w:t xml:space="preserve"> regulations for the establishment and practices of Marketplaces in </w:t>
      </w:r>
      <w:r w:rsidR="00B76795" w:rsidRPr="00AC63D4">
        <w:rPr>
          <w:kern w:val="2"/>
        </w:rPr>
        <w:t>States</w:t>
      </w:r>
      <w:r w:rsidRPr="00AC63D4">
        <w:rPr>
          <w:kern w:val="2"/>
        </w:rPr>
        <w:t xml:space="preserve">, as well as for the </w:t>
      </w:r>
      <w:r w:rsidR="002B5A6E" w:rsidRPr="00AC63D4">
        <w:rPr>
          <w:kern w:val="2"/>
        </w:rPr>
        <w:t xml:space="preserve">market stabilizing </w:t>
      </w:r>
      <w:r w:rsidRPr="00AC63D4">
        <w:rPr>
          <w:kern w:val="2"/>
        </w:rPr>
        <w:t>progra</w:t>
      </w:r>
      <w:r w:rsidR="00FD3E3C" w:rsidRPr="00AC63D4">
        <w:rPr>
          <w:kern w:val="2"/>
        </w:rPr>
        <w:t>ms</w:t>
      </w:r>
      <w:r w:rsidRPr="00AC63D4">
        <w:rPr>
          <w:kern w:val="2"/>
        </w:rPr>
        <w:t xml:space="preserve">. The cooperation and coordination of </w:t>
      </w:r>
      <w:r w:rsidR="00B76795" w:rsidRPr="00AC63D4">
        <w:rPr>
          <w:kern w:val="2"/>
        </w:rPr>
        <w:t>States</w:t>
      </w:r>
      <w:r w:rsidRPr="00AC63D4">
        <w:rPr>
          <w:kern w:val="2"/>
        </w:rPr>
        <w:t xml:space="preserve">, health insurance </w:t>
      </w:r>
      <w:r w:rsidR="002B5A6E" w:rsidRPr="00AC63D4">
        <w:rPr>
          <w:kern w:val="2"/>
        </w:rPr>
        <w:t>issuers</w:t>
      </w:r>
      <w:r w:rsidRPr="00AC63D4">
        <w:rPr>
          <w:kern w:val="2"/>
        </w:rPr>
        <w:t>, the Federal Government and other key stakeholders is essential to the</w:t>
      </w:r>
      <w:r w:rsidR="009C7EC7">
        <w:rPr>
          <w:kern w:val="2"/>
        </w:rPr>
        <w:t xml:space="preserve"> continued</w:t>
      </w:r>
      <w:r w:rsidRPr="00AC63D4">
        <w:rPr>
          <w:kern w:val="2"/>
        </w:rPr>
        <w:t xml:space="preserve"> success of the Marketplace and associated market stabilization programs.  </w:t>
      </w:r>
    </w:p>
    <w:p w14:paraId="5656349D" w14:textId="77777777" w:rsidR="006055CA" w:rsidRPr="00AC63D4" w:rsidRDefault="006055CA">
      <w:pPr>
        <w:rPr>
          <w:kern w:val="2"/>
        </w:rPr>
      </w:pPr>
    </w:p>
    <w:p w14:paraId="442D53EF" w14:textId="77777777" w:rsidR="006055CA" w:rsidRPr="00AC63D4" w:rsidRDefault="002B5A6E" w:rsidP="00AC4215">
      <w:pPr>
        <w:rPr>
          <w:kern w:val="2"/>
        </w:rPr>
      </w:pPr>
      <w:r w:rsidRPr="00AC63D4">
        <w:rPr>
          <w:kern w:val="2"/>
        </w:rPr>
        <w:t>CMS</w:t>
      </w:r>
      <w:r w:rsidR="006055CA" w:rsidRPr="00AC63D4">
        <w:rPr>
          <w:kern w:val="2"/>
        </w:rPr>
        <w:t xml:space="preserve"> is strongly committed to providing appropriate education and technical outreach to </w:t>
      </w:r>
      <w:r w:rsidR="00B76795" w:rsidRPr="00AC63D4">
        <w:rPr>
          <w:kern w:val="2"/>
        </w:rPr>
        <w:t>States</w:t>
      </w:r>
      <w:r w:rsidR="006055CA" w:rsidRPr="00AC63D4">
        <w:rPr>
          <w:kern w:val="2"/>
        </w:rPr>
        <w:t xml:space="preserve">, issuers, self-insured group health plans and third-party administrators (TPA) participating in the Marketplace </w:t>
      </w:r>
      <w:r w:rsidR="00FD3E3C" w:rsidRPr="00AC63D4">
        <w:rPr>
          <w:kern w:val="2"/>
        </w:rPr>
        <w:t>and/</w:t>
      </w:r>
      <w:r w:rsidR="006055CA" w:rsidRPr="00AC63D4">
        <w:rPr>
          <w:kern w:val="2"/>
        </w:rPr>
        <w:t xml:space="preserve">or market stabilization programs mandated by the </w:t>
      </w:r>
      <w:r w:rsidR="00FD3E3C" w:rsidRPr="00AC63D4">
        <w:rPr>
          <w:kern w:val="2"/>
        </w:rPr>
        <w:t>ACA</w:t>
      </w:r>
      <w:r w:rsidR="006055CA" w:rsidRPr="00AC63D4">
        <w:rPr>
          <w:kern w:val="2"/>
        </w:rPr>
        <w:t>.</w:t>
      </w:r>
      <w:r w:rsidR="006A1777">
        <w:rPr>
          <w:kern w:val="2"/>
        </w:rPr>
        <w:t xml:space="preserve"> </w:t>
      </w:r>
      <w:r w:rsidR="006055CA" w:rsidRPr="00AC63D4">
        <w:rPr>
          <w:kern w:val="2"/>
        </w:rPr>
        <w:t xml:space="preserve"> In addition, </w:t>
      </w:r>
      <w:r w:rsidR="00926DA2" w:rsidRPr="00AC63D4">
        <w:rPr>
          <w:kern w:val="2"/>
        </w:rPr>
        <w:t xml:space="preserve">CMS recognizes that the success of Marketplaces and associated programs relies on the cooperation and coordination of States, issuers, self-insured health plans, third-party administrators (TPA) of self-insured health plans, health insurance agents and brokers, and other stakeholders. </w:t>
      </w:r>
    </w:p>
    <w:p w14:paraId="19F9DD0E" w14:textId="77777777" w:rsidR="00776A1E" w:rsidRPr="00AC63D4" w:rsidRDefault="00776A1E" w:rsidP="00AC4215"/>
    <w:p w14:paraId="21A224C6" w14:textId="77777777" w:rsidR="00636268" w:rsidRDefault="00B470AB" w:rsidP="008A094A">
      <w:r w:rsidRPr="00AC63D4">
        <w:t xml:space="preserve">CMS procured the services of a contractor, </w:t>
      </w:r>
      <w:r w:rsidR="00926DA2" w:rsidRPr="00AC63D4">
        <w:t xml:space="preserve">A. </w:t>
      </w:r>
      <w:proofErr w:type="spellStart"/>
      <w:r w:rsidR="00926DA2" w:rsidRPr="00AC63D4">
        <w:t>Reddix</w:t>
      </w:r>
      <w:proofErr w:type="spellEnd"/>
      <w:r w:rsidR="00926DA2" w:rsidRPr="00AC63D4">
        <w:t xml:space="preserve"> &amp; Associates (</w:t>
      </w:r>
      <w:r w:rsidRPr="00AC63D4">
        <w:t>ARDX</w:t>
      </w:r>
      <w:r w:rsidR="00926DA2" w:rsidRPr="00AC63D4">
        <w:t>)</w:t>
      </w:r>
      <w:r w:rsidRPr="00AC63D4">
        <w:t>, to help with its training and technical outreach efforts</w:t>
      </w:r>
      <w:r w:rsidR="00574ABB" w:rsidRPr="00AC63D4">
        <w:t xml:space="preserve"> that support Marketplace and </w:t>
      </w:r>
      <w:proofErr w:type="gramStart"/>
      <w:r w:rsidR="00574ABB" w:rsidRPr="00AC63D4">
        <w:t>market stabilization program development</w:t>
      </w:r>
      <w:proofErr w:type="gramEnd"/>
      <w:r w:rsidRPr="00AC63D4">
        <w:t>.   With the services of the contractor, CMS provide</w:t>
      </w:r>
      <w:r w:rsidR="00576474">
        <w:t>s</w:t>
      </w:r>
      <w:r w:rsidRPr="00AC63D4">
        <w:t xml:space="preserve"> training and technical assistance primarily through weekly, bi-weekly, monthly, and quarterly webinars</w:t>
      </w:r>
      <w:r w:rsidR="00E44F79">
        <w:t>, Q&amp;A sessions</w:t>
      </w:r>
      <w:proofErr w:type="gramStart"/>
      <w:r w:rsidR="00E44F79">
        <w:t xml:space="preserve">, </w:t>
      </w:r>
      <w:r w:rsidRPr="00AC63D4">
        <w:t xml:space="preserve"> and</w:t>
      </w:r>
      <w:proofErr w:type="gramEnd"/>
      <w:r w:rsidRPr="00AC63D4">
        <w:t xml:space="preserve"> user group series.  A web portal (www.REGTAP.info) </w:t>
      </w:r>
      <w:proofErr w:type="gramStart"/>
      <w:r w:rsidRPr="00AC63D4">
        <w:t>was developed</w:t>
      </w:r>
      <w:proofErr w:type="gramEnd"/>
      <w:r w:rsidRPr="00AC63D4">
        <w:t xml:space="preserve"> to support CMS’ training efforts and to provide a centralized location for resource information, training session registration, and technical assistance.</w:t>
      </w:r>
      <w:r w:rsidR="00C74335">
        <w:t xml:space="preserve">  A</w:t>
      </w:r>
      <w:r w:rsidRPr="00AC63D4">
        <w:t>RDX utilize</w:t>
      </w:r>
      <w:r w:rsidR="00576474">
        <w:t>s</w:t>
      </w:r>
      <w:r w:rsidRPr="00AC63D4">
        <w:t xml:space="preserve"> surveys as part of</w:t>
      </w:r>
      <w:r w:rsidR="00C67955" w:rsidRPr="00AC63D4">
        <w:t xml:space="preserve"> a </w:t>
      </w:r>
      <w:r w:rsidR="00776A1E" w:rsidRPr="00AC63D4">
        <w:t>comprehensive evaluation</w:t>
      </w:r>
      <w:r w:rsidRPr="00AC63D4">
        <w:t xml:space="preserve"> process and solicit</w:t>
      </w:r>
      <w:r w:rsidR="00576474">
        <w:t>s</w:t>
      </w:r>
      <w:r w:rsidRPr="00AC63D4">
        <w:t xml:space="preserve"> </w:t>
      </w:r>
      <w:r w:rsidRPr="00AC63D4">
        <w:rPr>
          <w:u w:val="single"/>
        </w:rPr>
        <w:t>voluntary</w:t>
      </w:r>
      <w:r w:rsidRPr="00AC63D4">
        <w:t xml:space="preserve"> feedback from stakeholders regarding </w:t>
      </w:r>
      <w:r w:rsidR="006E6523">
        <w:t>t</w:t>
      </w:r>
      <w:r w:rsidRPr="00AC63D4">
        <w:t>raining sessions and technical assistance provided</w:t>
      </w:r>
      <w:r w:rsidR="00C67955" w:rsidRPr="00AC63D4">
        <w:t xml:space="preserve"> under this contract</w:t>
      </w:r>
      <w:r w:rsidR="006E6523">
        <w:t>.</w:t>
      </w:r>
      <w:r w:rsidR="00C74335">
        <w:t xml:space="preserve">  The Registration for Technical Assistance Portal (REGTAP) </w:t>
      </w:r>
      <w:r w:rsidR="00636268">
        <w:t>invites users to</w:t>
      </w:r>
      <w:r w:rsidR="00C74335">
        <w:t xml:space="preserve"> provide general comments regarding the portal.</w:t>
      </w:r>
      <w:r w:rsidR="00636268">
        <w:t xml:space="preserve">   </w:t>
      </w:r>
      <w:r w:rsidR="00636268" w:rsidRPr="00636268">
        <w:t xml:space="preserve">  </w:t>
      </w:r>
      <w:r w:rsidR="006E6523">
        <w:t xml:space="preserve"> </w:t>
      </w:r>
    </w:p>
    <w:p w14:paraId="64698CBB" w14:textId="77777777" w:rsidR="00636268" w:rsidRDefault="00636268" w:rsidP="008A094A"/>
    <w:p w14:paraId="4048C2BE" w14:textId="77777777" w:rsidR="00C74335" w:rsidRDefault="00C74335" w:rsidP="00C74335">
      <w:r w:rsidRPr="00C74335">
        <w:t>CMS is requesting renewal of OMB No. 0938-1185 (Expiration Date: 12/3</w:t>
      </w:r>
      <w:r w:rsidR="007F66B5">
        <w:t>1</w:t>
      </w:r>
      <w:r w:rsidRPr="00C74335">
        <w:t xml:space="preserve">/2015).  We are submitting </w:t>
      </w:r>
      <w:r w:rsidR="009F2E16">
        <w:t>four</w:t>
      </w:r>
      <w:r w:rsidR="003E63B0">
        <w:t xml:space="preserve"> (</w:t>
      </w:r>
      <w:r w:rsidR="00E44F79">
        <w:t>4</w:t>
      </w:r>
      <w:r w:rsidR="003E63B0">
        <w:t>)</w:t>
      </w:r>
      <w:r w:rsidRPr="00C74335">
        <w:t xml:space="preserve"> related packages for simultaneous approval. </w:t>
      </w:r>
      <w:proofErr w:type="gramStart"/>
      <w:r w:rsidRPr="00C74335">
        <w:t>Personally</w:t>
      </w:r>
      <w:proofErr w:type="gramEnd"/>
      <w:r w:rsidRPr="00C74335">
        <w:t xml:space="preserve"> Identifiable Information will not be collected as a part of any of these instruments.</w:t>
      </w:r>
      <w:r w:rsidR="003E63B0">
        <w:t xml:space="preserve"> The evaluation instruments include:</w:t>
      </w:r>
    </w:p>
    <w:p w14:paraId="4263C093" w14:textId="77777777" w:rsidR="003E63B0" w:rsidRPr="00C74335" w:rsidRDefault="003E63B0" w:rsidP="00C74335"/>
    <w:p w14:paraId="07DFA12C" w14:textId="77777777" w:rsidR="00C67955" w:rsidRPr="00AC63D4" w:rsidRDefault="00B470AB" w:rsidP="0087075C">
      <w:pPr>
        <w:numPr>
          <w:ilvl w:val="0"/>
          <w:numId w:val="49"/>
        </w:numPr>
      </w:pPr>
      <w:r w:rsidRPr="00AC63D4">
        <w:t>On</w:t>
      </w:r>
      <w:r w:rsidR="00801618" w:rsidRPr="00AC63D4">
        <w:t>-</w:t>
      </w:r>
      <w:r w:rsidRPr="00AC63D4">
        <w:t xml:space="preserve">site Post-Training </w:t>
      </w:r>
      <w:r w:rsidR="0087075C">
        <w:t xml:space="preserve">Hardcopy </w:t>
      </w:r>
      <w:r w:rsidRPr="00AC63D4">
        <w:t xml:space="preserve">Surveys provided </w:t>
      </w:r>
      <w:r w:rsidR="0031015F">
        <w:t>to</w:t>
      </w:r>
      <w:r w:rsidRPr="00AC63D4">
        <w:t xml:space="preserve"> each participant</w:t>
      </w:r>
      <w:r w:rsidR="0031015F">
        <w:t xml:space="preserve"> a</w:t>
      </w:r>
      <w:r w:rsidRPr="00AC63D4">
        <w:t>t the end of each day of the onsite event</w:t>
      </w:r>
      <w:r w:rsidR="00F14EEE">
        <w:t>, with an online version for remote participants</w:t>
      </w:r>
      <w:r w:rsidR="0087075C">
        <w:t xml:space="preserve"> (a link appearing upon exiting the session and</w:t>
      </w:r>
      <w:r w:rsidR="0087075C" w:rsidRPr="0087075C">
        <w:t xml:space="preserve"> follow-up survey emailed to participants</w:t>
      </w:r>
      <w:r w:rsidR="0087075C">
        <w:t>)</w:t>
      </w:r>
      <w:r w:rsidRPr="00AC63D4">
        <w:t xml:space="preserve">; </w:t>
      </w:r>
    </w:p>
    <w:p w14:paraId="2936B954" w14:textId="77777777" w:rsidR="00C67955" w:rsidRPr="00AC63D4" w:rsidRDefault="00B470AB" w:rsidP="0087075C">
      <w:pPr>
        <w:numPr>
          <w:ilvl w:val="0"/>
          <w:numId w:val="49"/>
        </w:numPr>
      </w:pPr>
      <w:r w:rsidRPr="00AC63D4">
        <w:lastRenderedPageBreak/>
        <w:t>Webinar Post-Training Participant Surveys</w:t>
      </w:r>
      <w:r w:rsidR="00F14EEE">
        <w:t xml:space="preserve"> administered using a polling feature at the end of each session,</w:t>
      </w:r>
      <w:r w:rsidR="0087075C">
        <w:t xml:space="preserve"> with </w:t>
      </w:r>
      <w:r w:rsidR="0087075C" w:rsidRPr="0087075C">
        <w:t>a</w:t>
      </w:r>
      <w:r w:rsidR="0087075C">
        <w:t xml:space="preserve"> follow-up</w:t>
      </w:r>
      <w:r w:rsidR="0087075C" w:rsidRPr="0087075C">
        <w:t xml:space="preserve"> link appearing upon exiting the session and</w:t>
      </w:r>
      <w:r w:rsidR="0087075C">
        <w:t xml:space="preserve"> a second</w:t>
      </w:r>
      <w:r w:rsidR="0087075C" w:rsidRPr="0087075C">
        <w:t xml:space="preserve"> follow-up survey emailed to participants)</w:t>
      </w:r>
      <w:r w:rsidRPr="00AC63D4">
        <w:t xml:space="preserve">; </w:t>
      </w:r>
      <w:r w:rsidR="00C67955" w:rsidRPr="00AC63D4">
        <w:t xml:space="preserve"> </w:t>
      </w:r>
    </w:p>
    <w:p w14:paraId="337082AA" w14:textId="77777777" w:rsidR="00F14EEE" w:rsidRPr="00F14EEE" w:rsidRDefault="0087075C" w:rsidP="0087075C">
      <w:pPr>
        <w:numPr>
          <w:ilvl w:val="0"/>
          <w:numId w:val="49"/>
        </w:numPr>
      </w:pPr>
      <w:r>
        <w:t>Webinar-based Q&amp;A P</w:t>
      </w:r>
      <w:r w:rsidR="00F14EEE" w:rsidRPr="00F14EEE">
        <w:t>ost-Training Participant Surveys</w:t>
      </w:r>
      <w:r>
        <w:t xml:space="preserve"> </w:t>
      </w:r>
      <w:r w:rsidRPr="0087075C">
        <w:t xml:space="preserve">administered using a polling feature at the end of each session, with a follow-up link appearing upon exiting the session and a second follow-up survey emailed to participants);  </w:t>
      </w:r>
      <w:r>
        <w:t xml:space="preserve">                 </w:t>
      </w:r>
      <w:r w:rsidR="00F14EEE" w:rsidRPr="00F14EEE">
        <w:t xml:space="preserve">  </w:t>
      </w:r>
    </w:p>
    <w:p w14:paraId="7E51819B" w14:textId="77777777" w:rsidR="00624576" w:rsidRPr="00624576" w:rsidRDefault="00624576" w:rsidP="00624576">
      <w:pPr>
        <w:numPr>
          <w:ilvl w:val="0"/>
          <w:numId w:val="49"/>
        </w:numPr>
      </w:pPr>
      <w:r w:rsidRPr="00624576">
        <w:t>User Group Post-Training Surveys emailed to participants following the sessions in which they participated</w:t>
      </w:r>
      <w:r>
        <w:t>.</w:t>
      </w:r>
    </w:p>
    <w:p w14:paraId="17E60CF3" w14:textId="77777777" w:rsidR="006A1777" w:rsidRDefault="006A1777" w:rsidP="006A1777"/>
    <w:p w14:paraId="6F8B80A5" w14:textId="77777777" w:rsidR="00AC4215" w:rsidRPr="001275F9" w:rsidRDefault="003A1A29" w:rsidP="00AC4215">
      <w:pPr>
        <w:rPr>
          <w:rFonts w:ascii="Calibri" w:hAnsi="Calibri"/>
          <w:i/>
          <w:sz w:val="22"/>
          <w:szCs w:val="22"/>
        </w:rPr>
      </w:pPr>
      <w:r>
        <w:t>The s</w:t>
      </w:r>
      <w:r w:rsidR="00AC4215" w:rsidRPr="00AC63D4">
        <w:t>urvey results will help to determine stakeholders’ level of satisfaction</w:t>
      </w:r>
      <w:r w:rsidR="0060228D" w:rsidRPr="00AC63D4">
        <w:t xml:space="preserve"> with trainings</w:t>
      </w:r>
      <w:r w:rsidR="00AC4215" w:rsidRPr="00AC63D4">
        <w:t>, identify any issues with training and technical assistance delivery, clarify stakeholders’ needs and preferences, and define best practices</w:t>
      </w:r>
      <w:r w:rsidR="00574ABB" w:rsidRPr="00AC63D4">
        <w:t xml:space="preserve"> for training and technical assistance</w:t>
      </w:r>
      <w:r w:rsidR="00AC4215" w:rsidRPr="00AC63D4">
        <w:t xml:space="preserve">. </w:t>
      </w:r>
      <w:r w:rsidR="002345A6" w:rsidRPr="00AC63D4">
        <w:t xml:space="preserve"> </w:t>
      </w:r>
      <w:r w:rsidR="00AC4215" w:rsidRPr="00AC63D4">
        <w:t xml:space="preserve">ARDX will conduct on-going evaluations and utilize results </w:t>
      </w:r>
      <w:proofErr w:type="gramStart"/>
      <w:r w:rsidR="00AC4215" w:rsidRPr="00AC63D4">
        <w:t>to continually improve</w:t>
      </w:r>
      <w:proofErr w:type="gramEnd"/>
      <w:r w:rsidR="00AC4215" w:rsidRPr="00AC63D4">
        <w:t xml:space="preserve"> the services provided to stakeholders. </w:t>
      </w:r>
      <w:r w:rsidR="00B36654" w:rsidRPr="00AC63D4">
        <w:t xml:space="preserve"> </w:t>
      </w:r>
    </w:p>
    <w:p w14:paraId="55D326E3" w14:textId="77777777" w:rsidR="00AC4215" w:rsidRPr="00AC4215" w:rsidRDefault="00AC4215" w:rsidP="00AC42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Calibri" w:hAnsi="Calibri" w:cs="Shruti"/>
          <w:sz w:val="22"/>
          <w:szCs w:val="22"/>
        </w:rPr>
      </w:pPr>
    </w:p>
    <w:p w14:paraId="2087B081"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08AF6C5" w14:textId="77777777" w:rsidR="00F15956" w:rsidRDefault="00F15956"/>
    <w:p w14:paraId="3E2995FE" w14:textId="77777777" w:rsidR="001C6D03" w:rsidRPr="00AC63D4" w:rsidRDefault="007B4755" w:rsidP="001C6D03">
      <w:r w:rsidRPr="007B0BA1">
        <w:t>Respondents</w:t>
      </w:r>
      <w:r w:rsidR="00B26AB2" w:rsidRPr="007B0BA1">
        <w:t xml:space="preserve"> include stakeholders </w:t>
      </w:r>
      <w:r w:rsidR="00354F9B" w:rsidRPr="007B0BA1">
        <w:t xml:space="preserve">participating </w:t>
      </w:r>
      <w:r w:rsidR="00B26AB2" w:rsidRPr="007B0BA1">
        <w:t>in the</w:t>
      </w:r>
      <w:r w:rsidR="001B7EA4" w:rsidRPr="007B0BA1">
        <w:t xml:space="preserve"> Health Insurance </w:t>
      </w:r>
      <w:r w:rsidR="004B0597" w:rsidRPr="007B0BA1">
        <w:t xml:space="preserve">Marketplace </w:t>
      </w:r>
      <w:r w:rsidR="004A23F0" w:rsidRPr="007B0BA1">
        <w:t>and</w:t>
      </w:r>
      <w:r w:rsidR="00354F9B" w:rsidRPr="007B0BA1">
        <w:t xml:space="preserve"> in the market stabilization programs </w:t>
      </w:r>
      <w:r w:rsidR="00B26AB2" w:rsidRPr="007B0BA1">
        <w:t>(e.g., health insurance issuers,</w:t>
      </w:r>
      <w:r w:rsidR="000D1E16" w:rsidRPr="007B0BA1">
        <w:t xml:space="preserve"> self-insured group health plans, third-party administrators,</w:t>
      </w:r>
      <w:r w:rsidR="00B26AB2" w:rsidRPr="007B0BA1">
        <w:t xml:space="preserve"> agents, brokers and other entities).</w:t>
      </w:r>
      <w:r w:rsidR="00AC2F92">
        <w:t xml:space="preserve"> </w:t>
      </w:r>
      <w:r w:rsidR="001C6D03" w:rsidRPr="007B0BA1">
        <w:t xml:space="preserve">The following </w:t>
      </w:r>
      <w:r w:rsidR="00F12AE6" w:rsidRPr="007B0BA1">
        <w:t xml:space="preserve">Stakeholder Training </w:t>
      </w:r>
      <w:r w:rsidR="001C6D03" w:rsidRPr="007B0BA1">
        <w:t xml:space="preserve">events </w:t>
      </w:r>
      <w:proofErr w:type="gramStart"/>
      <w:r w:rsidR="001C6D03" w:rsidRPr="007B0BA1">
        <w:t>are planned</w:t>
      </w:r>
      <w:proofErr w:type="gramEnd"/>
      <w:r w:rsidR="001C6D03" w:rsidRPr="007B0BA1">
        <w:t xml:space="preserve"> for</w:t>
      </w:r>
      <w:r w:rsidR="00AC2F92">
        <w:t xml:space="preserve"> the requested OMB Clearance period (</w:t>
      </w:r>
      <w:r w:rsidR="00F932C7">
        <w:t>January 2016-September 2017</w:t>
      </w:r>
      <w:r w:rsidR="00AC2F92">
        <w:t>)</w:t>
      </w:r>
      <w:r w:rsidR="001C6D03" w:rsidRPr="007B0BA1">
        <w:t xml:space="preserve">: </w:t>
      </w:r>
      <w:r w:rsidR="00F932C7">
        <w:t xml:space="preserve">One </w:t>
      </w:r>
      <w:r w:rsidR="001C6D03" w:rsidRPr="007B0BA1">
        <w:t>On-Site</w:t>
      </w:r>
      <w:r w:rsidR="00F932C7">
        <w:t>,</w:t>
      </w:r>
      <w:r w:rsidR="001C6D03" w:rsidRPr="007B0BA1">
        <w:t xml:space="preserve"> </w:t>
      </w:r>
      <w:r w:rsidR="00F12AE6" w:rsidRPr="007B0BA1">
        <w:t>2</w:t>
      </w:r>
      <w:r w:rsidR="00F932C7">
        <w:t>-</w:t>
      </w:r>
      <w:r w:rsidR="001C6D03" w:rsidRPr="007B0BA1">
        <w:t>day</w:t>
      </w:r>
      <w:r w:rsidR="00F932C7">
        <w:t xml:space="preserve"> Training</w:t>
      </w:r>
      <w:r w:rsidR="001C6D03" w:rsidRPr="007B0BA1">
        <w:t>;</w:t>
      </w:r>
      <w:r w:rsidR="00F932C7">
        <w:t xml:space="preserve"> 199</w:t>
      </w:r>
      <w:r w:rsidR="001C6D03" w:rsidRPr="007B0BA1">
        <w:t xml:space="preserve"> Webinars</w:t>
      </w:r>
      <w:r w:rsidR="00F932C7">
        <w:t xml:space="preserve">; 50 Webinar-based Q&amp;A Sessions; and </w:t>
      </w:r>
      <w:r w:rsidR="00AC2F92">
        <w:t xml:space="preserve">35 </w:t>
      </w:r>
      <w:r w:rsidR="001C6D03" w:rsidRPr="007B0BA1">
        <w:t>User Groups.</w:t>
      </w:r>
    </w:p>
    <w:p w14:paraId="5C6C147A" w14:textId="77777777" w:rsidR="00F15956" w:rsidRDefault="00F15956"/>
    <w:p w14:paraId="395A790B" w14:textId="77777777" w:rsidR="00F06866" w:rsidRPr="00F06866" w:rsidRDefault="00F06866">
      <w:pPr>
        <w:rPr>
          <w:b/>
        </w:rPr>
      </w:pPr>
      <w:r>
        <w:rPr>
          <w:b/>
        </w:rPr>
        <w:t>TYPE OF COLLECTION:</w:t>
      </w:r>
      <w:r w:rsidRPr="00F06866">
        <w:t xml:space="preserve"> (Check one)</w:t>
      </w:r>
    </w:p>
    <w:p w14:paraId="5EE263FA" w14:textId="77777777" w:rsidR="00441434" w:rsidRPr="00434E33" w:rsidRDefault="00441434" w:rsidP="0096108F">
      <w:pPr>
        <w:pStyle w:val="BodyTextIndent"/>
        <w:tabs>
          <w:tab w:val="left" w:pos="360"/>
        </w:tabs>
        <w:ind w:left="0"/>
        <w:rPr>
          <w:bCs/>
          <w:sz w:val="16"/>
          <w:szCs w:val="16"/>
        </w:rPr>
      </w:pPr>
    </w:p>
    <w:p w14:paraId="2E22448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26AB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3AB357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A303629"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69A8175" w14:textId="77777777" w:rsidR="00434E33" w:rsidRDefault="00434E33">
      <w:pPr>
        <w:pStyle w:val="Header"/>
        <w:tabs>
          <w:tab w:val="clear" w:pos="4320"/>
          <w:tab w:val="clear" w:pos="8640"/>
        </w:tabs>
      </w:pPr>
    </w:p>
    <w:p w14:paraId="2065590C" w14:textId="77777777" w:rsidR="00CA2650" w:rsidRDefault="00441434">
      <w:pPr>
        <w:rPr>
          <w:b/>
        </w:rPr>
      </w:pPr>
      <w:r>
        <w:rPr>
          <w:b/>
        </w:rPr>
        <w:t>C</w:t>
      </w:r>
      <w:r w:rsidR="009C13B9">
        <w:rPr>
          <w:b/>
        </w:rPr>
        <w:t>ERTIFICATION:</w:t>
      </w:r>
    </w:p>
    <w:p w14:paraId="6B15D86E" w14:textId="77777777" w:rsidR="00441434" w:rsidRDefault="00441434">
      <w:pPr>
        <w:rPr>
          <w:sz w:val="16"/>
          <w:szCs w:val="16"/>
        </w:rPr>
      </w:pPr>
    </w:p>
    <w:p w14:paraId="401CE135" w14:textId="77777777" w:rsidR="008101A5" w:rsidRPr="009C13B9" w:rsidRDefault="008101A5" w:rsidP="008101A5">
      <w:r>
        <w:t xml:space="preserve">I certify the following </w:t>
      </w:r>
      <w:proofErr w:type="gramStart"/>
      <w:r>
        <w:t>to be true</w:t>
      </w:r>
      <w:proofErr w:type="gramEnd"/>
      <w:r>
        <w:t xml:space="preserve">: </w:t>
      </w:r>
    </w:p>
    <w:p w14:paraId="2EF881CD" w14:textId="77777777" w:rsidR="008101A5" w:rsidRDefault="008101A5" w:rsidP="008101A5">
      <w:pPr>
        <w:pStyle w:val="ListParagraph"/>
        <w:numPr>
          <w:ilvl w:val="0"/>
          <w:numId w:val="14"/>
        </w:numPr>
      </w:pPr>
      <w:r>
        <w:t>The collection is voluntary.</w:t>
      </w:r>
      <w:r w:rsidRPr="00C14CC4">
        <w:t xml:space="preserve"> </w:t>
      </w:r>
    </w:p>
    <w:p w14:paraId="0E985D4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63E60E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218530A" w14:textId="77777777" w:rsidR="008101A5" w:rsidRDefault="008101A5" w:rsidP="008101A5">
      <w:pPr>
        <w:pStyle w:val="ListParagraph"/>
        <w:numPr>
          <w:ilvl w:val="0"/>
          <w:numId w:val="14"/>
        </w:numPr>
      </w:pPr>
      <w:r>
        <w:t xml:space="preserve">The results </w:t>
      </w:r>
      <w:proofErr w:type="gramStart"/>
      <w:r>
        <w:t xml:space="preserve">are </w:t>
      </w:r>
      <w:r>
        <w:rPr>
          <w:u w:val="single"/>
        </w:rPr>
        <w:t>not</w:t>
      </w:r>
      <w:r w:rsidRPr="00895229">
        <w:t xml:space="preserve"> </w:t>
      </w:r>
      <w:r>
        <w:t>intended to be</w:t>
      </w:r>
      <w:r w:rsidRPr="00C14CC4">
        <w:t xml:space="preserve"> </w:t>
      </w:r>
      <w:r>
        <w:t>disseminated</w:t>
      </w:r>
      <w:proofErr w:type="gramEnd"/>
      <w:r>
        <w:t xml:space="preserve"> to the p</w:t>
      </w:r>
      <w:r w:rsidRPr="009C13B9">
        <w:t>ublic</w:t>
      </w:r>
      <w:r>
        <w:t>.</w:t>
      </w:r>
      <w:r>
        <w:tab/>
      </w:r>
      <w:r>
        <w:tab/>
      </w:r>
    </w:p>
    <w:p w14:paraId="1A36674C" w14:textId="77777777" w:rsidR="008101A5" w:rsidRDefault="008101A5" w:rsidP="008101A5">
      <w:pPr>
        <w:pStyle w:val="ListParagraph"/>
        <w:numPr>
          <w:ilvl w:val="0"/>
          <w:numId w:val="14"/>
        </w:numPr>
      </w:pPr>
      <w:r>
        <w:t xml:space="preserve">Information gathered will not be used </w:t>
      </w:r>
      <w:proofErr w:type="gramStart"/>
      <w:r>
        <w:t>for the purpose of</w:t>
      </w:r>
      <w:proofErr w:type="gramEnd"/>
      <w:r>
        <w:t xml:space="preserve"> </w:t>
      </w:r>
      <w:r w:rsidRPr="00E854FE">
        <w:rPr>
          <w:u w:val="single"/>
        </w:rPr>
        <w:t>substantially</w:t>
      </w:r>
      <w:r>
        <w:t xml:space="preserve"> informing </w:t>
      </w:r>
      <w:r w:rsidRPr="00E854FE">
        <w:rPr>
          <w:u w:val="single"/>
        </w:rPr>
        <w:t xml:space="preserve">influential </w:t>
      </w:r>
      <w:r>
        <w:t xml:space="preserve">policy decisions. </w:t>
      </w:r>
    </w:p>
    <w:p w14:paraId="34259F15" w14:textId="77777777" w:rsidR="008101A5" w:rsidRDefault="008101A5" w:rsidP="008101A5">
      <w:pPr>
        <w:pStyle w:val="ListParagraph"/>
        <w:numPr>
          <w:ilvl w:val="0"/>
          <w:numId w:val="14"/>
        </w:numPr>
      </w:pPr>
      <w:r>
        <w:t xml:space="preserve">The collection </w:t>
      </w:r>
      <w:proofErr w:type="gramStart"/>
      <w:r>
        <w:t>is targeted</w:t>
      </w:r>
      <w:proofErr w:type="gramEnd"/>
      <w:r>
        <w:t xml:space="preserve"> to the solicitation of opinions from respondents who have experience with the program or may have experience with the program in the future.</w:t>
      </w:r>
    </w:p>
    <w:p w14:paraId="2254C59E" w14:textId="77777777" w:rsidR="009C13B9" w:rsidRDefault="009C13B9" w:rsidP="009C13B9"/>
    <w:p w14:paraId="292E01D6" w14:textId="77777777" w:rsidR="009C13B9" w:rsidRDefault="009C13B9" w:rsidP="009C13B9">
      <w:r>
        <w:t>Name:</w:t>
      </w:r>
      <w:r w:rsidR="00AA2378">
        <w:t xml:space="preserve"> </w:t>
      </w:r>
      <w:r>
        <w:t>___</w:t>
      </w:r>
      <w:r w:rsidR="00176AF5" w:rsidRPr="00AC63D4" w:rsidDel="00176AF5">
        <w:rPr>
          <w:u w:val="single"/>
        </w:rPr>
        <w:t xml:space="preserve"> </w:t>
      </w:r>
      <w:r>
        <w:t>_____________________________________________</w:t>
      </w:r>
    </w:p>
    <w:p w14:paraId="65093480" w14:textId="77777777" w:rsidR="009C13B9" w:rsidRDefault="009C13B9" w:rsidP="009C13B9">
      <w:pPr>
        <w:pStyle w:val="ListParagraph"/>
        <w:ind w:left="360"/>
      </w:pPr>
    </w:p>
    <w:p w14:paraId="2D2FF076" w14:textId="77777777" w:rsidR="009C13B9" w:rsidRDefault="009C13B9" w:rsidP="009C13B9">
      <w:r>
        <w:t>To assist review, please provide answers to the following question:</w:t>
      </w:r>
    </w:p>
    <w:p w14:paraId="2328B02B" w14:textId="77777777" w:rsidR="009C13B9" w:rsidRDefault="009C13B9" w:rsidP="009C13B9">
      <w:pPr>
        <w:pStyle w:val="ListParagraph"/>
        <w:ind w:left="360"/>
      </w:pPr>
    </w:p>
    <w:p w14:paraId="6AFB182B" w14:textId="77777777" w:rsidR="009C13B9" w:rsidRPr="00C86E91" w:rsidRDefault="00C86E91" w:rsidP="00C86E91">
      <w:pPr>
        <w:rPr>
          <w:b/>
        </w:rPr>
      </w:pPr>
      <w:r w:rsidRPr="00C86E91">
        <w:rPr>
          <w:b/>
        </w:rPr>
        <w:lastRenderedPageBreak/>
        <w:t>Personally Identifiable Information:</w:t>
      </w:r>
    </w:p>
    <w:p w14:paraId="3DDB0C74"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26AB2">
        <w:t>x</w:t>
      </w:r>
      <w:r w:rsidR="009239AA">
        <w:t xml:space="preserve">]  No </w:t>
      </w:r>
    </w:p>
    <w:p w14:paraId="17798819"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C66E546" w14:textId="77777777"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14:paraId="02767F22" w14:textId="77777777" w:rsidR="000856AD" w:rsidRDefault="000856AD" w:rsidP="00C86E91">
      <w:pPr>
        <w:pStyle w:val="ListParagraph"/>
        <w:ind w:left="0"/>
        <w:rPr>
          <w:b/>
        </w:rPr>
      </w:pPr>
    </w:p>
    <w:p w14:paraId="16F7E085" w14:textId="77777777" w:rsidR="00C86E91" w:rsidRPr="00C86E91" w:rsidRDefault="00CB1078" w:rsidP="00C86E91">
      <w:pPr>
        <w:pStyle w:val="ListParagraph"/>
        <w:ind w:left="0"/>
        <w:rPr>
          <w:b/>
        </w:rPr>
      </w:pPr>
      <w:r>
        <w:rPr>
          <w:b/>
        </w:rPr>
        <w:t>Gifts or Payments</w:t>
      </w:r>
      <w:r w:rsidR="00C86E91">
        <w:rPr>
          <w:b/>
        </w:rPr>
        <w:t>:</w:t>
      </w:r>
    </w:p>
    <w:p w14:paraId="3E6D0564" w14:textId="77777777" w:rsidR="00C86E91" w:rsidRDefault="00C86E91" w:rsidP="00C86E91">
      <w:proofErr w:type="gramStart"/>
      <w:r>
        <w:t>Is an incentive (e.g., money or reimbursement of expenses, token of appreciation) provided</w:t>
      </w:r>
      <w:proofErr w:type="gramEnd"/>
      <w:r>
        <w:t xml:space="preserve"> to participants?  [  ] Yes [</w:t>
      </w:r>
      <w:r w:rsidR="00B26AB2">
        <w:t>x</w:t>
      </w:r>
      <w:r>
        <w:t xml:space="preserve">] No  </w:t>
      </w:r>
    </w:p>
    <w:p w14:paraId="7774AB36" w14:textId="77777777" w:rsidR="004D6E14" w:rsidRDefault="004D6E14">
      <w:pPr>
        <w:rPr>
          <w:b/>
        </w:rPr>
      </w:pPr>
    </w:p>
    <w:p w14:paraId="51D9274F" w14:textId="77777777" w:rsidR="005E714A" w:rsidRDefault="00374CB1" w:rsidP="00C86E91">
      <w:pPr>
        <w:rPr>
          <w:i/>
        </w:rPr>
      </w:pPr>
      <w:r>
        <w:rPr>
          <w:b/>
        </w:rPr>
        <w:t>ANNUAL</w:t>
      </w:r>
      <w:r w:rsidR="004B7E04">
        <w:rPr>
          <w:b/>
        </w:rPr>
        <w:t xml:space="preserve"> ESTIMATED</w:t>
      </w:r>
      <w:r>
        <w:rPr>
          <w:b/>
        </w:rPr>
        <w:t xml:space="preserve"> </w:t>
      </w:r>
      <w:r w:rsidR="005E714A">
        <w:rPr>
          <w:b/>
        </w:rPr>
        <w:t>BURDEN HOUR</w:t>
      </w:r>
      <w:r w:rsidR="00441434">
        <w:rPr>
          <w:b/>
        </w:rPr>
        <w:t>S</w:t>
      </w:r>
      <w:r w:rsidR="005E714A">
        <w:t xml:space="preserve"> </w:t>
      </w:r>
    </w:p>
    <w:p w14:paraId="12C5E2BC" w14:textId="77777777" w:rsidR="006832D9" w:rsidRPr="006832D9" w:rsidRDefault="006832D9"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800"/>
        <w:gridCol w:w="1620"/>
        <w:gridCol w:w="1440"/>
        <w:gridCol w:w="1440"/>
      </w:tblGrid>
      <w:tr w:rsidR="004B7BBE" w14:paraId="66120862" w14:textId="77777777" w:rsidTr="004B7BBE">
        <w:trPr>
          <w:trHeight w:val="274"/>
        </w:trPr>
        <w:tc>
          <w:tcPr>
            <w:tcW w:w="3438" w:type="dxa"/>
            <w:tcBorders>
              <w:bottom w:val="single" w:sz="4" w:space="0" w:color="auto"/>
            </w:tcBorders>
          </w:tcPr>
          <w:p w14:paraId="4C980264" w14:textId="77777777" w:rsidR="004B7BBE" w:rsidRPr="0001027E" w:rsidRDefault="004B7BBE" w:rsidP="006D3318">
            <w:pPr>
              <w:rPr>
                <w:b/>
              </w:rPr>
            </w:pPr>
            <w:r w:rsidRPr="0001027E">
              <w:rPr>
                <w:b/>
              </w:rPr>
              <w:t xml:space="preserve">Category of Respondent </w:t>
            </w:r>
          </w:p>
        </w:tc>
        <w:tc>
          <w:tcPr>
            <w:tcW w:w="1800" w:type="dxa"/>
            <w:tcBorders>
              <w:bottom w:val="single" w:sz="4" w:space="0" w:color="auto"/>
            </w:tcBorders>
          </w:tcPr>
          <w:p w14:paraId="7EA083BA" w14:textId="77777777" w:rsidR="004B7BBE" w:rsidRPr="0001027E" w:rsidRDefault="004B7BBE" w:rsidP="006D3318">
            <w:pPr>
              <w:rPr>
                <w:b/>
              </w:rPr>
            </w:pPr>
            <w:r w:rsidRPr="0001027E">
              <w:rPr>
                <w:b/>
              </w:rPr>
              <w:t>No. of Respondents</w:t>
            </w:r>
          </w:p>
        </w:tc>
        <w:tc>
          <w:tcPr>
            <w:tcW w:w="1620" w:type="dxa"/>
            <w:tcBorders>
              <w:bottom w:val="single" w:sz="4" w:space="0" w:color="auto"/>
            </w:tcBorders>
          </w:tcPr>
          <w:p w14:paraId="6EEA68C2" w14:textId="77777777" w:rsidR="004B7BBE" w:rsidRPr="0001027E" w:rsidRDefault="004B7BBE" w:rsidP="006D3318">
            <w:pPr>
              <w:rPr>
                <w:b/>
              </w:rPr>
            </w:pPr>
            <w:r w:rsidRPr="0001027E">
              <w:rPr>
                <w:b/>
              </w:rPr>
              <w:t>Participation Time</w:t>
            </w:r>
          </w:p>
        </w:tc>
        <w:tc>
          <w:tcPr>
            <w:tcW w:w="1440" w:type="dxa"/>
            <w:tcBorders>
              <w:bottom w:val="single" w:sz="4" w:space="0" w:color="auto"/>
            </w:tcBorders>
          </w:tcPr>
          <w:p w14:paraId="31C1D3C9" w14:textId="77777777" w:rsidR="004B7BBE" w:rsidRDefault="004B7BBE" w:rsidP="006D3318">
            <w:pPr>
              <w:rPr>
                <w:b/>
              </w:rPr>
            </w:pPr>
            <w:r>
              <w:rPr>
                <w:b/>
              </w:rPr>
              <w:t>Total</w:t>
            </w:r>
            <w:r w:rsidR="00C46105">
              <w:rPr>
                <w:b/>
              </w:rPr>
              <w:t xml:space="preserve"> Estimated</w:t>
            </w:r>
          </w:p>
          <w:p w14:paraId="73E6A2DA" w14:textId="77777777" w:rsidR="004B7BBE" w:rsidRPr="0001027E" w:rsidRDefault="004B7BBE" w:rsidP="004B7BBE">
            <w:pPr>
              <w:rPr>
                <w:b/>
              </w:rPr>
            </w:pPr>
            <w:r w:rsidRPr="0001027E">
              <w:rPr>
                <w:b/>
              </w:rPr>
              <w:t>Burden</w:t>
            </w:r>
            <w:r>
              <w:rPr>
                <w:b/>
              </w:rPr>
              <w:t xml:space="preserve"> Hours</w:t>
            </w:r>
          </w:p>
        </w:tc>
        <w:tc>
          <w:tcPr>
            <w:tcW w:w="1440" w:type="dxa"/>
            <w:tcBorders>
              <w:bottom w:val="single" w:sz="4" w:space="0" w:color="auto"/>
            </w:tcBorders>
          </w:tcPr>
          <w:p w14:paraId="7202876B" w14:textId="77777777" w:rsidR="004B7BBE" w:rsidRDefault="004B7BBE" w:rsidP="004B7BBE">
            <w:pPr>
              <w:rPr>
                <w:b/>
              </w:rPr>
            </w:pPr>
            <w:r>
              <w:rPr>
                <w:b/>
              </w:rPr>
              <w:t>Total</w:t>
            </w:r>
            <w:r w:rsidR="00C46105">
              <w:rPr>
                <w:b/>
              </w:rPr>
              <w:t xml:space="preserve"> Estimated</w:t>
            </w:r>
            <w:r>
              <w:rPr>
                <w:b/>
              </w:rPr>
              <w:t xml:space="preserve"> </w:t>
            </w:r>
            <w:r w:rsidR="002E2C28">
              <w:rPr>
                <w:b/>
              </w:rPr>
              <w:t xml:space="preserve"> Respondent Cost</w:t>
            </w:r>
            <w:r>
              <w:rPr>
                <w:b/>
              </w:rPr>
              <w:t xml:space="preserve"> Burden </w:t>
            </w:r>
          </w:p>
        </w:tc>
      </w:tr>
      <w:tr w:rsidR="007F7464" w14:paraId="1BCD02CE" w14:textId="77777777" w:rsidTr="007F7464">
        <w:trPr>
          <w:trHeight w:val="274"/>
        </w:trPr>
        <w:tc>
          <w:tcPr>
            <w:tcW w:w="3438" w:type="dxa"/>
            <w:shd w:val="clear" w:color="auto" w:fill="D9D9D9"/>
          </w:tcPr>
          <w:p w14:paraId="5CD882D3" w14:textId="77777777" w:rsidR="007F7464" w:rsidRDefault="007F7464" w:rsidP="00574ABB">
            <w:r>
              <w:t xml:space="preserve">Private Sector – </w:t>
            </w:r>
            <w:r w:rsidRPr="00370587">
              <w:t>Health</w:t>
            </w:r>
            <w:r>
              <w:t xml:space="preserve"> Insurance</w:t>
            </w:r>
            <w:r w:rsidRPr="00370587">
              <w:t xml:space="preserve"> Marketplace Stakeholders</w:t>
            </w:r>
          </w:p>
        </w:tc>
        <w:tc>
          <w:tcPr>
            <w:tcW w:w="1800" w:type="dxa"/>
            <w:shd w:val="clear" w:color="auto" w:fill="D9D9D9"/>
          </w:tcPr>
          <w:p w14:paraId="791FAFB7" w14:textId="77777777" w:rsidR="007F7464" w:rsidRDefault="007F7464" w:rsidP="006D3318"/>
        </w:tc>
        <w:tc>
          <w:tcPr>
            <w:tcW w:w="1620" w:type="dxa"/>
            <w:shd w:val="clear" w:color="auto" w:fill="D9D9D9"/>
          </w:tcPr>
          <w:p w14:paraId="4FA5023B" w14:textId="77777777" w:rsidR="007F7464" w:rsidRDefault="007F7464" w:rsidP="006D3318"/>
        </w:tc>
        <w:tc>
          <w:tcPr>
            <w:tcW w:w="1440" w:type="dxa"/>
            <w:shd w:val="clear" w:color="auto" w:fill="D9D9D9"/>
          </w:tcPr>
          <w:p w14:paraId="085369ED" w14:textId="77777777" w:rsidR="007F7464" w:rsidRDefault="007F7464" w:rsidP="006D3318"/>
        </w:tc>
        <w:tc>
          <w:tcPr>
            <w:tcW w:w="1440" w:type="dxa"/>
            <w:shd w:val="clear" w:color="auto" w:fill="D9D9D9"/>
          </w:tcPr>
          <w:p w14:paraId="0313706F" w14:textId="77777777" w:rsidR="007F7464" w:rsidRDefault="007F7464" w:rsidP="006D3318"/>
        </w:tc>
      </w:tr>
      <w:tr w:rsidR="00093580" w14:paraId="101C8A44" w14:textId="77777777" w:rsidTr="00C264D4">
        <w:trPr>
          <w:trHeight w:val="274"/>
        </w:trPr>
        <w:tc>
          <w:tcPr>
            <w:tcW w:w="3438" w:type="dxa"/>
          </w:tcPr>
          <w:p w14:paraId="22F16052" w14:textId="77777777" w:rsidR="00093580" w:rsidRPr="00370587" w:rsidRDefault="00093580" w:rsidP="006D3318">
            <w:r>
              <w:t xml:space="preserve">Webinar </w:t>
            </w:r>
          </w:p>
        </w:tc>
        <w:tc>
          <w:tcPr>
            <w:tcW w:w="1800" w:type="dxa"/>
          </w:tcPr>
          <w:p w14:paraId="2108FF36" w14:textId="77777777" w:rsidR="00093580" w:rsidRPr="001911CD" w:rsidRDefault="00093580" w:rsidP="006D3318">
            <w:r>
              <w:t>22</w:t>
            </w:r>
            <w:r w:rsidRPr="001911CD">
              <w:t>,</w:t>
            </w:r>
            <w:r>
              <w:t>959</w:t>
            </w:r>
          </w:p>
          <w:p w14:paraId="713370CA" w14:textId="77777777" w:rsidR="00093580" w:rsidRPr="001911CD" w:rsidRDefault="00093580" w:rsidP="006D3318"/>
        </w:tc>
        <w:tc>
          <w:tcPr>
            <w:tcW w:w="1620" w:type="dxa"/>
          </w:tcPr>
          <w:p w14:paraId="5D7ADBBC" w14:textId="77777777" w:rsidR="00093580" w:rsidRDefault="00093580" w:rsidP="006D3318">
            <w:r>
              <w:t>15</w:t>
            </w:r>
            <w:r w:rsidRPr="00370587">
              <w:t xml:space="preserve"> </w:t>
            </w:r>
            <w:r>
              <w:t xml:space="preserve">minutes </w:t>
            </w:r>
            <w:r w:rsidRPr="00370587">
              <w:t xml:space="preserve">per </w:t>
            </w:r>
          </w:p>
          <w:p w14:paraId="4D4C99EE" w14:textId="77777777" w:rsidR="00093580" w:rsidRPr="00370587" w:rsidRDefault="00093580" w:rsidP="006D3318">
            <w:r w:rsidRPr="00370587">
              <w:t>respondent</w:t>
            </w:r>
          </w:p>
        </w:tc>
        <w:tc>
          <w:tcPr>
            <w:tcW w:w="1440" w:type="dxa"/>
          </w:tcPr>
          <w:p w14:paraId="0EBA291D" w14:textId="77777777" w:rsidR="00093580" w:rsidRPr="00370587" w:rsidRDefault="00093580" w:rsidP="00572D6F">
            <w:r>
              <w:t>5740</w:t>
            </w:r>
            <w:r>
              <w:br/>
              <w:t>hours</w:t>
            </w:r>
          </w:p>
        </w:tc>
        <w:tc>
          <w:tcPr>
            <w:tcW w:w="1440" w:type="dxa"/>
          </w:tcPr>
          <w:p w14:paraId="16C7F55C" w14:textId="77777777" w:rsidR="00093580" w:rsidRDefault="00093580" w:rsidP="00C264D4">
            <w:pPr>
              <w:rPr>
                <w:rFonts w:ascii="Calibri" w:hAnsi="Calibri"/>
                <w:color w:val="000000"/>
                <w:sz w:val="22"/>
                <w:szCs w:val="22"/>
              </w:rPr>
            </w:pPr>
            <w:r>
              <w:rPr>
                <w:rFonts w:ascii="Calibri" w:hAnsi="Calibri"/>
                <w:color w:val="000000"/>
                <w:sz w:val="22"/>
                <w:szCs w:val="22"/>
              </w:rPr>
              <w:t>$170,300.61</w:t>
            </w:r>
          </w:p>
        </w:tc>
      </w:tr>
      <w:tr w:rsidR="00093580" w14:paraId="213AEF96" w14:textId="77777777" w:rsidTr="00C264D4">
        <w:trPr>
          <w:trHeight w:val="274"/>
        </w:trPr>
        <w:tc>
          <w:tcPr>
            <w:tcW w:w="3438" w:type="dxa"/>
          </w:tcPr>
          <w:p w14:paraId="31F0FCE4" w14:textId="77777777" w:rsidR="00093580" w:rsidRPr="00370587" w:rsidRDefault="00093580" w:rsidP="009E4761">
            <w:r>
              <w:t xml:space="preserve">Webinar-based Q&amp;A Session </w:t>
            </w:r>
          </w:p>
        </w:tc>
        <w:tc>
          <w:tcPr>
            <w:tcW w:w="1800" w:type="dxa"/>
          </w:tcPr>
          <w:p w14:paraId="0522746C" w14:textId="77777777" w:rsidR="00093580" w:rsidRPr="00041E3D" w:rsidRDefault="00093580" w:rsidP="006D3318">
            <w:r>
              <w:t>5</w:t>
            </w:r>
            <w:r w:rsidRPr="00041E3D">
              <w:t>,</w:t>
            </w:r>
            <w:r>
              <w:t>740</w:t>
            </w:r>
          </w:p>
          <w:p w14:paraId="15D9128D" w14:textId="77777777" w:rsidR="00093580" w:rsidRPr="00041E3D" w:rsidRDefault="00093580" w:rsidP="006D3318"/>
        </w:tc>
        <w:tc>
          <w:tcPr>
            <w:tcW w:w="1620" w:type="dxa"/>
          </w:tcPr>
          <w:p w14:paraId="43A9715B" w14:textId="77777777" w:rsidR="00093580" w:rsidRPr="00370587" w:rsidRDefault="00093580" w:rsidP="006D3318">
            <w:r>
              <w:t>15</w:t>
            </w:r>
            <w:r w:rsidRPr="00370587">
              <w:t xml:space="preserve"> </w:t>
            </w:r>
            <w:r>
              <w:t xml:space="preserve">minutes </w:t>
            </w:r>
            <w:r w:rsidRPr="00370587">
              <w:t>per respondent</w:t>
            </w:r>
          </w:p>
        </w:tc>
        <w:tc>
          <w:tcPr>
            <w:tcW w:w="1440" w:type="dxa"/>
          </w:tcPr>
          <w:p w14:paraId="566E8A7F" w14:textId="77777777" w:rsidR="00093580" w:rsidRPr="00370587" w:rsidRDefault="00093580" w:rsidP="00572D6F">
            <w:r>
              <w:t>1435</w:t>
            </w:r>
            <w:r>
              <w:br/>
              <w:t>hours</w:t>
            </w:r>
          </w:p>
        </w:tc>
        <w:tc>
          <w:tcPr>
            <w:tcW w:w="1440" w:type="dxa"/>
          </w:tcPr>
          <w:p w14:paraId="69C40D31" w14:textId="77777777" w:rsidR="00093580" w:rsidRDefault="00093580" w:rsidP="00C264D4">
            <w:pPr>
              <w:rPr>
                <w:rFonts w:ascii="Calibri" w:hAnsi="Calibri"/>
                <w:color w:val="000000"/>
                <w:sz w:val="22"/>
                <w:szCs w:val="22"/>
              </w:rPr>
            </w:pPr>
            <w:r>
              <w:rPr>
                <w:rFonts w:ascii="Calibri" w:hAnsi="Calibri"/>
                <w:color w:val="000000"/>
                <w:sz w:val="22"/>
                <w:szCs w:val="22"/>
              </w:rPr>
              <w:t>$42,575.15</w:t>
            </w:r>
          </w:p>
        </w:tc>
      </w:tr>
      <w:tr w:rsidR="00093580" w14:paraId="1F18CC67" w14:textId="77777777" w:rsidTr="00C264D4">
        <w:trPr>
          <w:trHeight w:val="274"/>
        </w:trPr>
        <w:tc>
          <w:tcPr>
            <w:tcW w:w="3438" w:type="dxa"/>
          </w:tcPr>
          <w:p w14:paraId="6D061EB6" w14:textId="77777777" w:rsidR="00093580" w:rsidRPr="00370587" w:rsidRDefault="00093580" w:rsidP="006D3318">
            <w:r>
              <w:t>User Group</w:t>
            </w:r>
          </w:p>
        </w:tc>
        <w:tc>
          <w:tcPr>
            <w:tcW w:w="1800" w:type="dxa"/>
          </w:tcPr>
          <w:p w14:paraId="1ED5286D" w14:textId="77777777" w:rsidR="00093580" w:rsidRPr="00041E3D" w:rsidRDefault="00093580" w:rsidP="004B7E04">
            <w:r>
              <w:t>3,073</w:t>
            </w:r>
          </w:p>
        </w:tc>
        <w:tc>
          <w:tcPr>
            <w:tcW w:w="1620" w:type="dxa"/>
          </w:tcPr>
          <w:p w14:paraId="727C9E42" w14:textId="77777777" w:rsidR="00093580" w:rsidRPr="00370587" w:rsidRDefault="00093580" w:rsidP="008F5EB9">
            <w:r>
              <w:t>15</w:t>
            </w:r>
            <w:r w:rsidRPr="00370587">
              <w:t xml:space="preserve"> </w:t>
            </w:r>
            <w:r>
              <w:t xml:space="preserve">minutes </w:t>
            </w:r>
            <w:r w:rsidRPr="00370587">
              <w:t>per respondent</w:t>
            </w:r>
          </w:p>
        </w:tc>
        <w:tc>
          <w:tcPr>
            <w:tcW w:w="1440" w:type="dxa"/>
          </w:tcPr>
          <w:p w14:paraId="31D040D0" w14:textId="77777777" w:rsidR="00093580" w:rsidRPr="00370587" w:rsidRDefault="00093580" w:rsidP="00572D6F">
            <w:r>
              <w:t>768</w:t>
            </w:r>
            <w:r>
              <w:br/>
              <w:t>hours</w:t>
            </w:r>
          </w:p>
        </w:tc>
        <w:tc>
          <w:tcPr>
            <w:tcW w:w="1440" w:type="dxa"/>
          </w:tcPr>
          <w:p w14:paraId="1D5348B3" w14:textId="77777777" w:rsidR="00093580" w:rsidRDefault="00093580" w:rsidP="00C264D4">
            <w:pPr>
              <w:rPr>
                <w:rFonts w:ascii="Calibri" w:hAnsi="Calibri"/>
                <w:color w:val="000000"/>
                <w:sz w:val="22"/>
                <w:szCs w:val="22"/>
              </w:rPr>
            </w:pPr>
            <w:r>
              <w:rPr>
                <w:rFonts w:ascii="Calibri" w:hAnsi="Calibri"/>
                <w:color w:val="000000"/>
                <w:sz w:val="22"/>
                <w:szCs w:val="22"/>
              </w:rPr>
              <w:t>$22,795.46</w:t>
            </w:r>
          </w:p>
        </w:tc>
      </w:tr>
      <w:tr w:rsidR="00093580" w14:paraId="00B9CEA7" w14:textId="77777777" w:rsidTr="00C264D4">
        <w:trPr>
          <w:trHeight w:val="289"/>
        </w:trPr>
        <w:tc>
          <w:tcPr>
            <w:tcW w:w="3438" w:type="dxa"/>
          </w:tcPr>
          <w:p w14:paraId="156648F0" w14:textId="77777777" w:rsidR="00093580" w:rsidRPr="00370587" w:rsidRDefault="00093580" w:rsidP="008F5EB9">
            <w:r>
              <w:t>On-Site Training (including remote participants)</w:t>
            </w:r>
            <w:r w:rsidRPr="00370587">
              <w:t xml:space="preserve"> </w:t>
            </w:r>
          </w:p>
        </w:tc>
        <w:tc>
          <w:tcPr>
            <w:tcW w:w="1800" w:type="dxa"/>
          </w:tcPr>
          <w:p w14:paraId="1008D789" w14:textId="77777777" w:rsidR="00093580" w:rsidRPr="001911CD" w:rsidRDefault="00093580" w:rsidP="008F5EB9">
            <w:r>
              <w:t>590</w:t>
            </w:r>
          </w:p>
          <w:p w14:paraId="3E416D06" w14:textId="77777777" w:rsidR="00093580" w:rsidRPr="001911CD" w:rsidRDefault="00093580" w:rsidP="008F5EB9"/>
        </w:tc>
        <w:tc>
          <w:tcPr>
            <w:tcW w:w="1620" w:type="dxa"/>
          </w:tcPr>
          <w:p w14:paraId="6F00593E" w14:textId="77777777" w:rsidR="00093580" w:rsidRPr="00370587" w:rsidRDefault="00093580" w:rsidP="008F5EB9">
            <w:r>
              <w:t>15</w:t>
            </w:r>
            <w:r w:rsidRPr="00370587">
              <w:t xml:space="preserve"> </w:t>
            </w:r>
            <w:r>
              <w:t xml:space="preserve">minutes </w:t>
            </w:r>
            <w:r w:rsidRPr="00370587">
              <w:t>per respondent</w:t>
            </w:r>
          </w:p>
        </w:tc>
        <w:tc>
          <w:tcPr>
            <w:tcW w:w="1440" w:type="dxa"/>
          </w:tcPr>
          <w:p w14:paraId="7B6C8619" w14:textId="77777777" w:rsidR="00093580" w:rsidRDefault="00093580" w:rsidP="00CE6B6D">
            <w:r>
              <w:t>147</w:t>
            </w:r>
          </w:p>
          <w:p w14:paraId="0D61608D" w14:textId="77777777" w:rsidR="00093580" w:rsidRPr="00370587" w:rsidRDefault="00093580" w:rsidP="00CE6B6D">
            <w:r>
              <w:t>hours</w:t>
            </w:r>
          </w:p>
        </w:tc>
        <w:tc>
          <w:tcPr>
            <w:tcW w:w="1440" w:type="dxa"/>
          </w:tcPr>
          <w:p w14:paraId="6BC1B140" w14:textId="77777777" w:rsidR="00093580" w:rsidRDefault="00093580" w:rsidP="00C264D4">
            <w:pPr>
              <w:rPr>
                <w:rFonts w:ascii="Calibri" w:hAnsi="Calibri"/>
                <w:color w:val="000000"/>
                <w:sz w:val="22"/>
                <w:szCs w:val="22"/>
              </w:rPr>
            </w:pPr>
            <w:r>
              <w:rPr>
                <w:rFonts w:ascii="Calibri" w:hAnsi="Calibri"/>
                <w:color w:val="000000"/>
                <w:sz w:val="22"/>
                <w:szCs w:val="22"/>
              </w:rPr>
              <w:t>$4,375.40</w:t>
            </w:r>
          </w:p>
        </w:tc>
      </w:tr>
      <w:tr w:rsidR="00093580" w14:paraId="7EA0E225" w14:textId="77777777" w:rsidTr="00C264D4">
        <w:trPr>
          <w:trHeight w:val="289"/>
        </w:trPr>
        <w:tc>
          <w:tcPr>
            <w:tcW w:w="3438" w:type="dxa"/>
          </w:tcPr>
          <w:p w14:paraId="73398D72" w14:textId="77777777" w:rsidR="00093580" w:rsidRPr="00370587" w:rsidRDefault="00093580" w:rsidP="006D3318">
            <w:pPr>
              <w:rPr>
                <w:b/>
              </w:rPr>
            </w:pPr>
            <w:r w:rsidRPr="00370587">
              <w:rPr>
                <w:b/>
              </w:rPr>
              <w:t>Totals</w:t>
            </w:r>
          </w:p>
        </w:tc>
        <w:tc>
          <w:tcPr>
            <w:tcW w:w="1800" w:type="dxa"/>
          </w:tcPr>
          <w:p w14:paraId="01F431C6" w14:textId="77777777" w:rsidR="00093580" w:rsidRPr="00445C45" w:rsidRDefault="00093580" w:rsidP="00572D6F">
            <w:pPr>
              <w:rPr>
                <w:b/>
              </w:rPr>
            </w:pPr>
            <w:r>
              <w:rPr>
                <w:b/>
              </w:rPr>
              <w:t>32</w:t>
            </w:r>
            <w:r w:rsidRPr="00445C45">
              <w:rPr>
                <w:b/>
              </w:rPr>
              <w:t>,</w:t>
            </w:r>
            <w:r>
              <w:rPr>
                <w:b/>
              </w:rPr>
              <w:t>362</w:t>
            </w:r>
          </w:p>
        </w:tc>
        <w:tc>
          <w:tcPr>
            <w:tcW w:w="1620" w:type="dxa"/>
          </w:tcPr>
          <w:p w14:paraId="10263267" w14:textId="77777777" w:rsidR="00093580" w:rsidRPr="00370587" w:rsidRDefault="00093580" w:rsidP="006D3318">
            <w:r w:rsidRPr="00176AF5">
              <w:rPr>
                <w:b/>
              </w:rPr>
              <w:t>15 minutes</w:t>
            </w:r>
            <w:r>
              <w:t xml:space="preserve"> </w:t>
            </w:r>
            <w:r w:rsidRPr="00370587">
              <w:rPr>
                <w:b/>
              </w:rPr>
              <w:t>per respondent</w:t>
            </w:r>
          </w:p>
        </w:tc>
        <w:tc>
          <w:tcPr>
            <w:tcW w:w="1440" w:type="dxa"/>
          </w:tcPr>
          <w:p w14:paraId="2468591D" w14:textId="77777777" w:rsidR="00093580" w:rsidRPr="00370587" w:rsidRDefault="00093580" w:rsidP="00572D6F">
            <w:pPr>
              <w:rPr>
                <w:b/>
              </w:rPr>
            </w:pPr>
            <w:r>
              <w:rPr>
                <w:b/>
              </w:rPr>
              <w:t>8091</w:t>
            </w:r>
            <w:r>
              <w:rPr>
                <w:b/>
              </w:rPr>
              <w:br/>
              <w:t>hours</w:t>
            </w:r>
          </w:p>
        </w:tc>
        <w:tc>
          <w:tcPr>
            <w:tcW w:w="1440" w:type="dxa"/>
          </w:tcPr>
          <w:p w14:paraId="522F60C9" w14:textId="77777777" w:rsidR="00093580" w:rsidRDefault="00093580" w:rsidP="00C264D4">
            <w:pPr>
              <w:rPr>
                <w:rFonts w:ascii="Calibri" w:hAnsi="Calibri"/>
                <w:color w:val="000000"/>
                <w:sz w:val="22"/>
                <w:szCs w:val="22"/>
              </w:rPr>
            </w:pPr>
            <w:r>
              <w:rPr>
                <w:rFonts w:ascii="Calibri" w:hAnsi="Calibri"/>
                <w:color w:val="000000"/>
                <w:sz w:val="22"/>
                <w:szCs w:val="22"/>
              </w:rPr>
              <w:t>$240,046.62</w:t>
            </w:r>
          </w:p>
        </w:tc>
      </w:tr>
    </w:tbl>
    <w:p w14:paraId="7D10B18E" w14:textId="77777777" w:rsidR="00EE5D93" w:rsidRDefault="00EE5D93">
      <w:pPr>
        <w:rPr>
          <w:b/>
        </w:rPr>
      </w:pPr>
    </w:p>
    <w:p w14:paraId="04788834" w14:textId="77777777" w:rsidR="002854B2" w:rsidRPr="002854B2" w:rsidRDefault="001C39F7" w:rsidP="002854B2">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2854B2">
        <w:t xml:space="preserve">, </w:t>
      </w:r>
      <w:r w:rsidR="002854B2" w:rsidRPr="002854B2">
        <w:t>including but not limited to the data collection activities</w:t>
      </w:r>
      <w:r w:rsidR="002854B2">
        <w:t xml:space="preserve"> </w:t>
      </w:r>
      <w:r w:rsidR="002854B2" w:rsidRPr="002854B2">
        <w:t>described in this submission</w:t>
      </w:r>
      <w:r w:rsidR="002854B2">
        <w:t xml:space="preserve"> </w:t>
      </w:r>
      <w:r w:rsidR="00C86E91">
        <w:t>is</w:t>
      </w:r>
      <w:r w:rsidR="002854B2">
        <w:t xml:space="preserve"> </w:t>
      </w:r>
      <w:r w:rsidR="001C6D03" w:rsidRPr="00041E3D">
        <w:t>$</w:t>
      </w:r>
      <w:r w:rsidR="00DD3A6A">
        <w:t>3</w:t>
      </w:r>
      <w:r w:rsidR="00514D12" w:rsidRPr="00041E3D">
        <w:t>25</w:t>
      </w:r>
      <w:r w:rsidR="001C6D03" w:rsidRPr="00041E3D">
        <w:t>,000</w:t>
      </w:r>
      <w:r w:rsidR="003D6DA8" w:rsidRPr="00041E3D">
        <w:t>.</w:t>
      </w:r>
      <w:r w:rsidR="002854B2" w:rsidRPr="002854B2">
        <w:t xml:space="preserve"> Included are costs associated with background research, requirements gathering, evaluation design, instrument design and pretest, systems development, data collection activities, analysis, and reporting.</w:t>
      </w:r>
    </w:p>
    <w:p w14:paraId="1F0DF0DC" w14:textId="77777777" w:rsidR="00ED6492" w:rsidRDefault="00ED6492"/>
    <w:p w14:paraId="74DDE3B6" w14:textId="77777777" w:rsidR="0069403B" w:rsidRDefault="00ED6492" w:rsidP="00F06866">
      <w:pPr>
        <w:rPr>
          <w:b/>
        </w:rPr>
      </w:pPr>
      <w:r>
        <w:rPr>
          <w:b/>
          <w:bCs/>
          <w:u w:val="single"/>
        </w:rPr>
        <w:t xml:space="preserve">If you are conducting a focus group, survey, or plan to employ statistical methods, </w:t>
      </w:r>
      <w:r w:rsidR="00F12AE6">
        <w:rPr>
          <w:b/>
          <w:bCs/>
          <w:u w:val="single"/>
        </w:rPr>
        <w:t xml:space="preserve">please </w:t>
      </w:r>
      <w:proofErr w:type="gramStart"/>
      <w:r w:rsidR="00F12AE6">
        <w:rPr>
          <w:b/>
          <w:bCs/>
          <w:u w:val="single"/>
        </w:rPr>
        <w:t>provide</w:t>
      </w:r>
      <w:proofErr w:type="gramEnd"/>
      <w:r w:rsidR="0069403B">
        <w:rPr>
          <w:b/>
          <w:bCs/>
          <w:u w:val="single"/>
        </w:rPr>
        <w:t xml:space="preserve"> answers to the following questions:</w:t>
      </w:r>
    </w:p>
    <w:p w14:paraId="7F75BB5E" w14:textId="77777777" w:rsidR="0069403B" w:rsidRDefault="0069403B" w:rsidP="00F06866">
      <w:pPr>
        <w:rPr>
          <w:b/>
        </w:rPr>
      </w:pPr>
    </w:p>
    <w:p w14:paraId="62A207E6" w14:textId="77777777" w:rsidR="001021F2" w:rsidRDefault="001021F2" w:rsidP="00F06866">
      <w:pPr>
        <w:rPr>
          <w:b/>
        </w:rPr>
      </w:pPr>
    </w:p>
    <w:p w14:paraId="7D15DB0B" w14:textId="77777777" w:rsidR="001021F2" w:rsidRDefault="001021F2" w:rsidP="00F06866">
      <w:pPr>
        <w:rPr>
          <w:b/>
        </w:rPr>
      </w:pPr>
    </w:p>
    <w:p w14:paraId="4A8122B1" w14:textId="77777777" w:rsidR="00F06866" w:rsidRDefault="00636621" w:rsidP="00F06866">
      <w:pPr>
        <w:rPr>
          <w:b/>
        </w:rPr>
      </w:pPr>
      <w:r>
        <w:rPr>
          <w:b/>
        </w:rPr>
        <w:lastRenderedPageBreak/>
        <w:t>The</w:t>
      </w:r>
      <w:r w:rsidR="0069403B">
        <w:rPr>
          <w:b/>
        </w:rPr>
        <w:t xml:space="preserve"> select</w:t>
      </w:r>
      <w:r>
        <w:rPr>
          <w:b/>
        </w:rPr>
        <w:t>ion of your targeted respondents</w:t>
      </w:r>
    </w:p>
    <w:p w14:paraId="571CB724" w14:textId="77777777" w:rsidR="0069403B" w:rsidRDefault="0069403B" w:rsidP="0069403B">
      <w:pPr>
        <w:pStyle w:val="ListParagraph"/>
        <w:numPr>
          <w:ilvl w:val="0"/>
          <w:numId w:val="15"/>
        </w:numPr>
      </w:pPr>
      <w:proofErr w:type="gramStart"/>
      <w:r>
        <w:t>Do you have a customer list or something similar that defines the universe of potential respondents</w:t>
      </w:r>
      <w:r w:rsidR="00636621">
        <w:t xml:space="preserve"> and do you have a sampling plan for selecting from this universe</w:t>
      </w:r>
      <w:r>
        <w:t>?</w:t>
      </w:r>
      <w:proofErr w:type="gramEnd"/>
      <w:r>
        <w:tab/>
      </w:r>
      <w:r>
        <w:tab/>
      </w:r>
      <w:r>
        <w:tab/>
      </w:r>
      <w:r w:rsidR="00FC06E9" w:rsidDel="00FC06E9">
        <w:t xml:space="preserve"> </w:t>
      </w:r>
      <w:r>
        <w:t>[ ] Yes</w:t>
      </w:r>
      <w:r>
        <w:tab/>
        <w:t>[</w:t>
      </w:r>
      <w:r w:rsidR="00353868">
        <w:t>x</w:t>
      </w:r>
      <w:r>
        <w:t>] No</w:t>
      </w:r>
    </w:p>
    <w:p w14:paraId="03AACDED" w14:textId="77777777" w:rsidR="00636621" w:rsidRDefault="00636621" w:rsidP="00636621">
      <w:pPr>
        <w:pStyle w:val="ListParagraph"/>
      </w:pPr>
    </w:p>
    <w:p w14:paraId="4AAABB8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rsidRPr="00AC63D4">
        <w:t>If the answer is no, please provide a description of how you plan to identify your potential group of respondents</w:t>
      </w:r>
      <w:r w:rsidR="001B0AAA" w:rsidRPr="00AC63D4">
        <w:t xml:space="preserve"> and how you will select them</w:t>
      </w:r>
      <w:r w:rsidRPr="00AC63D4">
        <w:t>?</w:t>
      </w:r>
    </w:p>
    <w:p w14:paraId="12E87632" w14:textId="77777777" w:rsidR="00AC63D4" w:rsidRDefault="00AC63D4" w:rsidP="00A403BB">
      <w:pPr>
        <w:pStyle w:val="ListParagraph"/>
      </w:pPr>
    </w:p>
    <w:p w14:paraId="7B0B1B53" w14:textId="77777777" w:rsidR="00185C77" w:rsidRDefault="00AC63D4" w:rsidP="00A403BB">
      <w:pPr>
        <w:pStyle w:val="ListParagraph"/>
      </w:pPr>
      <w:r>
        <w:t>All registrants participat</w:t>
      </w:r>
      <w:r w:rsidR="001911CD">
        <w:t>ing</w:t>
      </w:r>
      <w:r>
        <w:t xml:space="preserve"> in an on-site training, webinar,</w:t>
      </w:r>
      <w:r w:rsidR="00185C77">
        <w:t xml:space="preserve"> Q&amp;A session,</w:t>
      </w:r>
      <w:r>
        <w:t xml:space="preserve"> and/or user group session </w:t>
      </w:r>
      <w:proofErr w:type="gramStart"/>
      <w:r>
        <w:t>will be afforded</w:t>
      </w:r>
      <w:proofErr w:type="gramEnd"/>
      <w:r>
        <w:t xml:space="preserve"> the opportunity to voluntarily participate in the survey.</w:t>
      </w:r>
      <w:r w:rsidR="001911CD">
        <w:t xml:space="preserve"> </w:t>
      </w:r>
    </w:p>
    <w:p w14:paraId="74244413" w14:textId="77777777" w:rsidR="001021F2" w:rsidRDefault="001021F2" w:rsidP="00A403BB">
      <w:pPr>
        <w:rPr>
          <w:b/>
        </w:rPr>
      </w:pPr>
    </w:p>
    <w:p w14:paraId="2E546FBC" w14:textId="77777777" w:rsidR="00A403BB" w:rsidRDefault="00A403BB" w:rsidP="00A403BB">
      <w:pPr>
        <w:rPr>
          <w:b/>
        </w:rPr>
      </w:pPr>
      <w:r>
        <w:rPr>
          <w:b/>
        </w:rPr>
        <w:t>Administration of the Instrument</w:t>
      </w:r>
    </w:p>
    <w:p w14:paraId="784F493F" w14:textId="77777777" w:rsidR="00A403BB" w:rsidRDefault="001B0AAA" w:rsidP="00A403BB">
      <w:pPr>
        <w:pStyle w:val="ListParagraph"/>
        <w:numPr>
          <w:ilvl w:val="0"/>
          <w:numId w:val="17"/>
        </w:numPr>
      </w:pPr>
      <w:r>
        <w:t>H</w:t>
      </w:r>
      <w:r w:rsidR="00A403BB">
        <w:t>ow will you collect the information? (Check all that apply)</w:t>
      </w:r>
    </w:p>
    <w:p w14:paraId="14BA00CF" w14:textId="77777777" w:rsidR="001B0AAA" w:rsidRDefault="00A403BB" w:rsidP="001B0AAA">
      <w:pPr>
        <w:ind w:left="720"/>
      </w:pPr>
      <w:r>
        <w:t>[</w:t>
      </w:r>
      <w:r w:rsidR="00353868">
        <w:t>x</w:t>
      </w:r>
      <w:r>
        <w:t>] Web-based</w:t>
      </w:r>
      <w:r w:rsidR="001B0AAA">
        <w:t xml:space="preserve"> or other forms of Social Media </w:t>
      </w:r>
    </w:p>
    <w:p w14:paraId="3EBDAFAF" w14:textId="77777777" w:rsidR="001B0AAA" w:rsidRDefault="00A403BB" w:rsidP="001B0AAA">
      <w:pPr>
        <w:ind w:left="720"/>
      </w:pPr>
      <w:r>
        <w:t xml:space="preserve">[ </w:t>
      </w:r>
      <w:r w:rsidR="001B0AAA">
        <w:t xml:space="preserve"> </w:t>
      </w:r>
      <w:r>
        <w:t>] Telephone</w:t>
      </w:r>
      <w:r>
        <w:tab/>
      </w:r>
    </w:p>
    <w:p w14:paraId="0E09A60B" w14:textId="77777777" w:rsidR="001B0AAA" w:rsidRDefault="00A403BB" w:rsidP="001B0AAA">
      <w:pPr>
        <w:ind w:left="720"/>
      </w:pPr>
      <w:r>
        <w:t>[</w:t>
      </w:r>
      <w:r w:rsidR="00353868">
        <w:t>x</w:t>
      </w:r>
      <w:r>
        <w:t>] In-person</w:t>
      </w:r>
      <w:r>
        <w:tab/>
      </w:r>
    </w:p>
    <w:p w14:paraId="2333A2D4" w14:textId="77777777" w:rsidR="001B0AAA" w:rsidRDefault="00A403BB" w:rsidP="001B0AAA">
      <w:pPr>
        <w:ind w:left="720"/>
      </w:pPr>
      <w:r>
        <w:t xml:space="preserve">[ </w:t>
      </w:r>
      <w:r w:rsidR="001B0AAA">
        <w:t xml:space="preserve"> </w:t>
      </w:r>
      <w:r>
        <w:t>] Mail</w:t>
      </w:r>
      <w:r w:rsidR="001B0AAA">
        <w:t xml:space="preserve"> </w:t>
      </w:r>
    </w:p>
    <w:p w14:paraId="0EFA66A7" w14:textId="77777777" w:rsidR="001B0AAA" w:rsidRDefault="00A403BB" w:rsidP="001B0AAA">
      <w:pPr>
        <w:ind w:left="720"/>
      </w:pPr>
      <w:r>
        <w:t xml:space="preserve">[ </w:t>
      </w:r>
      <w:r w:rsidR="001B0AAA">
        <w:t xml:space="preserve"> </w:t>
      </w:r>
      <w:r>
        <w:t>] Other, Explain</w:t>
      </w:r>
    </w:p>
    <w:p w14:paraId="3740BAA8" w14:textId="77777777" w:rsidR="00176AF5" w:rsidRDefault="00176AF5" w:rsidP="001B0AAA">
      <w:pPr>
        <w:ind w:left="720"/>
      </w:pPr>
    </w:p>
    <w:p w14:paraId="49459C64" w14:textId="77777777" w:rsidR="00F24CFC" w:rsidRDefault="00F24CFC" w:rsidP="00F24CFC">
      <w:pPr>
        <w:pStyle w:val="ListParagraph"/>
        <w:numPr>
          <w:ilvl w:val="0"/>
          <w:numId w:val="17"/>
        </w:numPr>
      </w:pPr>
      <w:proofErr w:type="gramStart"/>
      <w:r>
        <w:t>Will interviewers or facilitators be used</w:t>
      </w:r>
      <w:proofErr w:type="gramEnd"/>
      <w:r>
        <w:t>?  [  ] Yes [</w:t>
      </w:r>
      <w:r w:rsidR="00353868">
        <w:t>x</w:t>
      </w:r>
      <w:r>
        <w:t>] No</w:t>
      </w:r>
    </w:p>
    <w:p w14:paraId="0E8D8E9C" w14:textId="77777777" w:rsidR="00FC06E9" w:rsidRDefault="00FC06E9" w:rsidP="00FC06E9">
      <w:pPr>
        <w:pStyle w:val="ListParagraph"/>
        <w:ind w:left="0"/>
      </w:pPr>
    </w:p>
    <w:p w14:paraId="67A4A7D3" w14:textId="77777777" w:rsidR="0024521E" w:rsidRPr="00F24CFC" w:rsidRDefault="00F24CFC" w:rsidP="00FC06E9">
      <w:pPr>
        <w:pStyle w:val="ListParagraph"/>
        <w:ind w:left="0"/>
        <w:rPr>
          <w:b/>
        </w:rPr>
      </w:pPr>
      <w:r w:rsidRPr="00F24CFC">
        <w:rPr>
          <w:b/>
        </w:rPr>
        <w:t xml:space="preserve">Please make sure that all instruments, instructions, and scripts </w:t>
      </w:r>
      <w:proofErr w:type="gramStart"/>
      <w:r w:rsidRPr="00F24CFC">
        <w:rPr>
          <w:b/>
        </w:rPr>
        <w:t>are submitted</w:t>
      </w:r>
      <w:proofErr w:type="gramEnd"/>
      <w:r w:rsidRPr="00F24CFC">
        <w:rPr>
          <w:b/>
        </w:rPr>
        <w:t xml:space="preserve"> with the request.</w:t>
      </w:r>
    </w:p>
    <w:sectPr w:rsidR="0024521E" w:rsidRP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B7829" w14:textId="77777777" w:rsidR="00430146" w:rsidRDefault="00430146">
      <w:r>
        <w:separator/>
      </w:r>
    </w:p>
  </w:endnote>
  <w:endnote w:type="continuationSeparator" w:id="0">
    <w:p w14:paraId="3DAE71D0" w14:textId="77777777" w:rsidR="00430146" w:rsidRDefault="0043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4403" w14:textId="77777777" w:rsidR="008A094A" w:rsidRDefault="007B6298">
    <w:pPr>
      <w:pStyle w:val="Footer"/>
      <w:tabs>
        <w:tab w:val="clear" w:pos="8640"/>
        <w:tab w:val="right" w:pos="9000"/>
      </w:tabs>
      <w:jc w:val="center"/>
      <w:rPr>
        <w:i/>
        <w:iCs/>
        <w:sz w:val="18"/>
        <w:szCs w:val="18"/>
      </w:rPr>
    </w:pPr>
    <w:r>
      <w:rPr>
        <w:noProof/>
        <w:sz w:val="20"/>
        <w:szCs w:val="20"/>
      </w:rPr>
      <mc:AlternateContent>
        <mc:Choice Requires="wps">
          <w:drawing>
            <wp:anchor distT="0" distB="0" distL="114300" distR="114300" simplePos="0" relativeHeight="251657728" behindDoc="0" locked="0" layoutInCell="1" allowOverlap="1" wp14:anchorId="4CFFA429" wp14:editId="0649A385">
              <wp:simplePos x="0" y="0"/>
              <wp:positionH relativeFrom="column">
                <wp:posOffset>-114300</wp:posOffset>
              </wp:positionH>
              <wp:positionV relativeFrom="paragraph">
                <wp:posOffset>59055</wp:posOffset>
              </wp:positionV>
              <wp:extent cx="6162675" cy="9525"/>
              <wp:effectExtent l="9525" t="11430" r="952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pt;margin-top:4.65pt;width:485.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"/>
          </w:pict>
        </mc:Fallback>
      </mc:AlternateContent>
    </w:r>
    <w:r w:rsidR="008A094A">
      <w:rPr>
        <w:rStyle w:val="PageNumber"/>
        <w:sz w:val="20"/>
        <w:szCs w:val="20"/>
      </w:rPr>
      <w:br/>
    </w:r>
    <w:r w:rsidR="008A094A" w:rsidRPr="008A094A">
      <w:rPr>
        <w:rFonts w:ascii="Calibri" w:hAnsi="Calibri" w:cs="Calibri"/>
        <w:b/>
        <w:bCs/>
        <w:color w:val="FF0000"/>
        <w:sz w:val="18"/>
        <w:szCs w:val="18"/>
      </w:rPr>
      <w:t xml:space="preserve">INFORMATION NOT RELEASABLE TO THE PUBLIC UNLESS AUTHORIZED BY LAW: </w:t>
    </w:r>
    <w:r w:rsidR="008A094A" w:rsidRPr="008A094A">
      <w:rPr>
        <w:rFonts w:ascii="Calibri" w:hAnsi="Calibri" w:cs="Calibri"/>
        <w:iCs/>
        <w:sz w:val="18"/>
        <w:szCs w:val="18"/>
      </w:rPr>
      <w:t>This information has not been publicly disclosed and may be privileged and confidential.  It is for internal government use only and must not be disseminated, distributed, or copied to persons not authorized to receive the information.</w:t>
    </w:r>
    <w:r w:rsidR="008A094A">
      <w:rPr>
        <w:i/>
        <w:iCs/>
        <w:sz w:val="18"/>
        <w:szCs w:val="18"/>
      </w:rPr>
      <w:t>  Unauthorized disclosure may result in prosecution to the fullest extent of the law</w:t>
    </w:r>
  </w:p>
  <w:p w14:paraId="1286D7F2" w14:textId="77777777" w:rsidR="008A094A" w:rsidRDefault="008A094A" w:rsidP="008A094A">
    <w:pPr>
      <w:pStyle w:val="Footer"/>
      <w:tabs>
        <w:tab w:val="clear" w:pos="8640"/>
        <w:tab w:val="right" w:pos="9000"/>
      </w:tabs>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77C0">
      <w:rPr>
        <w:rStyle w:val="PageNumber"/>
        <w:noProof/>
        <w:sz w:val="20"/>
        <w:szCs w:val="20"/>
      </w:rPr>
      <w:t>3</w:t>
    </w:r>
    <w:r>
      <w:rPr>
        <w:rStyle w:val="PageNumber"/>
        <w:sz w:val="20"/>
        <w:szCs w:val="20"/>
      </w:rPr>
      <w:fldChar w:fldCharType="end"/>
    </w:r>
  </w:p>
  <w:p w14:paraId="5A1722DF" w14:textId="77777777" w:rsidR="008A094A" w:rsidRDefault="008A094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0C999" w14:textId="77777777" w:rsidR="00430146" w:rsidRDefault="00430146">
      <w:r>
        <w:separator/>
      </w:r>
    </w:p>
  </w:footnote>
  <w:footnote w:type="continuationSeparator" w:id="0">
    <w:p w14:paraId="44394FAB" w14:textId="77777777" w:rsidR="00430146" w:rsidRDefault="00430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00D9D"/>
    <w:multiLevelType w:val="hybridMultilevel"/>
    <w:tmpl w:val="F6D28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501270"/>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FA5FF6"/>
    <w:multiLevelType w:val="hybridMultilevel"/>
    <w:tmpl w:val="7BBC5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0E6858"/>
    <w:multiLevelType w:val="hybridMultilevel"/>
    <w:tmpl w:val="A814A5F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21C40ED3"/>
    <w:multiLevelType w:val="hybridMultilevel"/>
    <w:tmpl w:val="D9ECD38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7B44D1"/>
    <w:multiLevelType w:val="multilevel"/>
    <w:tmpl w:val="A5F2C65C"/>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B21983"/>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77BB7"/>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867696"/>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nsid w:val="3D96621E"/>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092FA0"/>
    <w:multiLevelType w:val="multilevel"/>
    <w:tmpl w:val="7BBC8100"/>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331D2F"/>
    <w:multiLevelType w:val="multilevel"/>
    <w:tmpl w:val="D9644F24"/>
    <w:lvl w:ilvl="0">
      <w:start w:val="1"/>
      <w:numFmt w:val="decimal"/>
      <w:lvlText w:val="%1."/>
      <w:lvlJc w:val="left"/>
      <w:pPr>
        <w:ind w:left="720" w:hanging="360"/>
      </w:pPr>
      <w:rPr>
        <w:rFonts w:ascii="Times New Roman" w:eastAsia="Calibri" w:hAnsi="Times New Roman" w:cs="Times New Roman"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1427C3"/>
    <w:multiLevelType w:val="hybridMultilevel"/>
    <w:tmpl w:val="4C027272"/>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612536"/>
    <w:multiLevelType w:val="hybridMultilevel"/>
    <w:tmpl w:val="7D4E89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AB0980"/>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AF09AC"/>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B731C"/>
    <w:multiLevelType w:val="hybridMultilevel"/>
    <w:tmpl w:val="ABE03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D50F2F"/>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120C03"/>
    <w:multiLevelType w:val="hybridMultilevel"/>
    <w:tmpl w:val="3E442676"/>
    <w:lvl w:ilvl="0" w:tplc="D2A0DE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73606"/>
    <w:multiLevelType w:val="hybridMultilevel"/>
    <w:tmpl w:val="AAE49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0">
    <w:nsid w:val="6BEB61DE"/>
    <w:multiLevelType w:val="hybridMultilevel"/>
    <w:tmpl w:val="97A04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52519"/>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C1C12"/>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5">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876F83"/>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46"/>
  </w:num>
  <w:num w:numId="3">
    <w:abstractNumId w:val="44"/>
  </w:num>
  <w:num w:numId="4">
    <w:abstractNumId w:val="47"/>
  </w:num>
  <w:num w:numId="5">
    <w:abstractNumId w:val="5"/>
  </w:num>
  <w:num w:numId="6">
    <w:abstractNumId w:val="1"/>
  </w:num>
  <w:num w:numId="7">
    <w:abstractNumId w:val="21"/>
  </w:num>
  <w:num w:numId="8">
    <w:abstractNumId w:val="39"/>
  </w:num>
  <w:num w:numId="9">
    <w:abstractNumId w:val="24"/>
  </w:num>
  <w:num w:numId="10">
    <w:abstractNumId w:val="2"/>
  </w:num>
  <w:num w:numId="11">
    <w:abstractNumId w:val="11"/>
  </w:num>
  <w:num w:numId="12">
    <w:abstractNumId w:val="15"/>
  </w:num>
  <w:num w:numId="13">
    <w:abstractNumId w:val="0"/>
  </w:num>
  <w:num w:numId="14">
    <w:abstractNumId w:val="43"/>
  </w:num>
  <w:num w:numId="15">
    <w:abstractNumId w:val="38"/>
  </w:num>
  <w:num w:numId="16">
    <w:abstractNumId w:val="31"/>
  </w:num>
  <w:num w:numId="17">
    <w:abstractNumId w:val="6"/>
  </w:num>
  <w:num w:numId="18">
    <w:abstractNumId w:val="7"/>
  </w:num>
  <w:num w:numId="19">
    <w:abstractNumId w:val="29"/>
  </w:num>
  <w:num w:numId="20">
    <w:abstractNumId w:val="18"/>
  </w:num>
  <w:num w:numId="21">
    <w:abstractNumId w:val="9"/>
  </w:num>
  <w:num w:numId="22">
    <w:abstractNumId w:val="48"/>
  </w:num>
  <w:num w:numId="23">
    <w:abstractNumId w:val="32"/>
  </w:num>
  <w:num w:numId="24">
    <w:abstractNumId w:val="8"/>
  </w:num>
  <w:num w:numId="25">
    <w:abstractNumId w:val="45"/>
  </w:num>
  <w:num w:numId="26">
    <w:abstractNumId w:val="35"/>
  </w:num>
  <w:num w:numId="27">
    <w:abstractNumId w:val="10"/>
  </w:num>
  <w:num w:numId="28">
    <w:abstractNumId w:val="36"/>
  </w:num>
  <w:num w:numId="29">
    <w:abstractNumId w:val="4"/>
  </w:num>
  <w:num w:numId="30">
    <w:abstractNumId w:val="19"/>
  </w:num>
  <w:num w:numId="31">
    <w:abstractNumId w:val="27"/>
  </w:num>
  <w:num w:numId="32">
    <w:abstractNumId w:val="37"/>
  </w:num>
  <w:num w:numId="33">
    <w:abstractNumId w:val="42"/>
  </w:num>
  <w:num w:numId="34">
    <w:abstractNumId w:val="30"/>
  </w:num>
  <w:num w:numId="35">
    <w:abstractNumId w:val="41"/>
  </w:num>
  <w:num w:numId="36">
    <w:abstractNumId w:val="17"/>
  </w:num>
  <w:num w:numId="37">
    <w:abstractNumId w:val="20"/>
  </w:num>
  <w:num w:numId="38">
    <w:abstractNumId w:val="22"/>
  </w:num>
  <w:num w:numId="39">
    <w:abstractNumId w:val="12"/>
  </w:num>
  <w:num w:numId="40">
    <w:abstractNumId w:val="34"/>
  </w:num>
  <w:num w:numId="41">
    <w:abstractNumId w:val="26"/>
  </w:num>
  <w:num w:numId="42">
    <w:abstractNumId w:val="14"/>
  </w:num>
  <w:num w:numId="43">
    <w:abstractNumId w:val="28"/>
  </w:num>
  <w:num w:numId="44">
    <w:abstractNumId w:val="3"/>
  </w:num>
  <w:num w:numId="45">
    <w:abstractNumId w:val="16"/>
  </w:num>
  <w:num w:numId="46">
    <w:abstractNumId w:val="23"/>
  </w:num>
  <w:num w:numId="47">
    <w:abstractNumId w:val="13"/>
  </w:num>
  <w:num w:numId="48">
    <w:abstractNumId w:val="3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462C"/>
    <w:rsid w:val="00023A57"/>
    <w:rsid w:val="000243C2"/>
    <w:rsid w:val="00036B18"/>
    <w:rsid w:val="00041E3D"/>
    <w:rsid w:val="00047A64"/>
    <w:rsid w:val="00067329"/>
    <w:rsid w:val="000701DB"/>
    <w:rsid w:val="000856AD"/>
    <w:rsid w:val="000909FD"/>
    <w:rsid w:val="00093580"/>
    <w:rsid w:val="000A5B95"/>
    <w:rsid w:val="000B2838"/>
    <w:rsid w:val="000B4742"/>
    <w:rsid w:val="000C0889"/>
    <w:rsid w:val="000C787C"/>
    <w:rsid w:val="000D1E16"/>
    <w:rsid w:val="000D37F7"/>
    <w:rsid w:val="000D44CA"/>
    <w:rsid w:val="000E200B"/>
    <w:rsid w:val="000F01D6"/>
    <w:rsid w:val="000F1913"/>
    <w:rsid w:val="000F47CA"/>
    <w:rsid w:val="000F68BE"/>
    <w:rsid w:val="000F6923"/>
    <w:rsid w:val="001021F2"/>
    <w:rsid w:val="001275F9"/>
    <w:rsid w:val="001736B8"/>
    <w:rsid w:val="00173D06"/>
    <w:rsid w:val="00176AF5"/>
    <w:rsid w:val="00185C77"/>
    <w:rsid w:val="001911CD"/>
    <w:rsid w:val="001927A4"/>
    <w:rsid w:val="00193CD8"/>
    <w:rsid w:val="001946AB"/>
    <w:rsid w:val="00194AC6"/>
    <w:rsid w:val="001A23B0"/>
    <w:rsid w:val="001A25CC"/>
    <w:rsid w:val="001A34E1"/>
    <w:rsid w:val="001B0AAA"/>
    <w:rsid w:val="001B7EA4"/>
    <w:rsid w:val="001C381C"/>
    <w:rsid w:val="001C39F7"/>
    <w:rsid w:val="001C6D03"/>
    <w:rsid w:val="001C77C0"/>
    <w:rsid w:val="001F63FC"/>
    <w:rsid w:val="00232467"/>
    <w:rsid w:val="002345A6"/>
    <w:rsid w:val="00237B48"/>
    <w:rsid w:val="00241D15"/>
    <w:rsid w:val="0024521E"/>
    <w:rsid w:val="00247DB3"/>
    <w:rsid w:val="00263C3D"/>
    <w:rsid w:val="00274D0B"/>
    <w:rsid w:val="00276DA2"/>
    <w:rsid w:val="002854B2"/>
    <w:rsid w:val="002B052D"/>
    <w:rsid w:val="002B34CD"/>
    <w:rsid w:val="002B3C95"/>
    <w:rsid w:val="002B5A6E"/>
    <w:rsid w:val="002C364F"/>
    <w:rsid w:val="002D0B92"/>
    <w:rsid w:val="002D1FB9"/>
    <w:rsid w:val="002D2FC1"/>
    <w:rsid w:val="002E18DB"/>
    <w:rsid w:val="002E2C28"/>
    <w:rsid w:val="002F1CD5"/>
    <w:rsid w:val="0031015F"/>
    <w:rsid w:val="00340CBC"/>
    <w:rsid w:val="00353868"/>
    <w:rsid w:val="00354F9B"/>
    <w:rsid w:val="00370587"/>
    <w:rsid w:val="00374CB1"/>
    <w:rsid w:val="003A1A29"/>
    <w:rsid w:val="003B214E"/>
    <w:rsid w:val="003D5BBE"/>
    <w:rsid w:val="003D6DA8"/>
    <w:rsid w:val="003E3C61"/>
    <w:rsid w:val="003E63B0"/>
    <w:rsid w:val="003F1C5B"/>
    <w:rsid w:val="0040058B"/>
    <w:rsid w:val="00416BE3"/>
    <w:rsid w:val="00430146"/>
    <w:rsid w:val="00434E33"/>
    <w:rsid w:val="00441434"/>
    <w:rsid w:val="00445B32"/>
    <w:rsid w:val="00445C45"/>
    <w:rsid w:val="004471CC"/>
    <w:rsid w:val="0045264C"/>
    <w:rsid w:val="004876EC"/>
    <w:rsid w:val="00487AEB"/>
    <w:rsid w:val="00493FC7"/>
    <w:rsid w:val="004A23F0"/>
    <w:rsid w:val="004B0597"/>
    <w:rsid w:val="004B7BBE"/>
    <w:rsid w:val="004B7E04"/>
    <w:rsid w:val="004D6E14"/>
    <w:rsid w:val="005009B0"/>
    <w:rsid w:val="00502E25"/>
    <w:rsid w:val="00504180"/>
    <w:rsid w:val="00514D12"/>
    <w:rsid w:val="00572D6F"/>
    <w:rsid w:val="00574ABB"/>
    <w:rsid w:val="00576474"/>
    <w:rsid w:val="0059457C"/>
    <w:rsid w:val="00594E97"/>
    <w:rsid w:val="005A06CC"/>
    <w:rsid w:val="005A1006"/>
    <w:rsid w:val="005E625F"/>
    <w:rsid w:val="005E714A"/>
    <w:rsid w:val="005F693D"/>
    <w:rsid w:val="00600BA4"/>
    <w:rsid w:val="0060228D"/>
    <w:rsid w:val="006055CA"/>
    <w:rsid w:val="006140A0"/>
    <w:rsid w:val="00624576"/>
    <w:rsid w:val="00633462"/>
    <w:rsid w:val="00636268"/>
    <w:rsid w:val="00636621"/>
    <w:rsid w:val="00642B49"/>
    <w:rsid w:val="006832D9"/>
    <w:rsid w:val="0069403B"/>
    <w:rsid w:val="006A1777"/>
    <w:rsid w:val="006D3318"/>
    <w:rsid w:val="006E6523"/>
    <w:rsid w:val="006F09F2"/>
    <w:rsid w:val="006F3DDE"/>
    <w:rsid w:val="00701B0C"/>
    <w:rsid w:val="00704678"/>
    <w:rsid w:val="0072328F"/>
    <w:rsid w:val="00725CDC"/>
    <w:rsid w:val="007425E7"/>
    <w:rsid w:val="00775C6C"/>
    <w:rsid w:val="00776A1E"/>
    <w:rsid w:val="00796078"/>
    <w:rsid w:val="007B0BA1"/>
    <w:rsid w:val="007B4755"/>
    <w:rsid w:val="007B5384"/>
    <w:rsid w:val="007B6298"/>
    <w:rsid w:val="007C28E0"/>
    <w:rsid w:val="007F66B5"/>
    <w:rsid w:val="007F7080"/>
    <w:rsid w:val="007F7464"/>
    <w:rsid w:val="00801618"/>
    <w:rsid w:val="00802607"/>
    <w:rsid w:val="008101A5"/>
    <w:rsid w:val="00822664"/>
    <w:rsid w:val="00825613"/>
    <w:rsid w:val="00831BC3"/>
    <w:rsid w:val="00833CF4"/>
    <w:rsid w:val="00843796"/>
    <w:rsid w:val="00850096"/>
    <w:rsid w:val="0087075C"/>
    <w:rsid w:val="00895229"/>
    <w:rsid w:val="008A094A"/>
    <w:rsid w:val="008B2EB3"/>
    <w:rsid w:val="008C2C89"/>
    <w:rsid w:val="008F0203"/>
    <w:rsid w:val="008F50D4"/>
    <w:rsid w:val="008F5EB9"/>
    <w:rsid w:val="009106D6"/>
    <w:rsid w:val="009239AA"/>
    <w:rsid w:val="00926DA2"/>
    <w:rsid w:val="00935ADA"/>
    <w:rsid w:val="00946B6C"/>
    <w:rsid w:val="00955A71"/>
    <w:rsid w:val="0096108F"/>
    <w:rsid w:val="0099291A"/>
    <w:rsid w:val="009A23EF"/>
    <w:rsid w:val="009C13B9"/>
    <w:rsid w:val="009C7EC7"/>
    <w:rsid w:val="009D01A2"/>
    <w:rsid w:val="009D2225"/>
    <w:rsid w:val="009D4469"/>
    <w:rsid w:val="009E4761"/>
    <w:rsid w:val="009F2E16"/>
    <w:rsid w:val="009F5923"/>
    <w:rsid w:val="00A032B3"/>
    <w:rsid w:val="00A403BB"/>
    <w:rsid w:val="00A45702"/>
    <w:rsid w:val="00A66F34"/>
    <w:rsid w:val="00A674DF"/>
    <w:rsid w:val="00A83AA6"/>
    <w:rsid w:val="00A934D6"/>
    <w:rsid w:val="00AA2378"/>
    <w:rsid w:val="00AB0B59"/>
    <w:rsid w:val="00AC2F92"/>
    <w:rsid w:val="00AC4215"/>
    <w:rsid w:val="00AC63D4"/>
    <w:rsid w:val="00AD0342"/>
    <w:rsid w:val="00AE1809"/>
    <w:rsid w:val="00B17578"/>
    <w:rsid w:val="00B22EA0"/>
    <w:rsid w:val="00B26AB2"/>
    <w:rsid w:val="00B36654"/>
    <w:rsid w:val="00B470AB"/>
    <w:rsid w:val="00B553C2"/>
    <w:rsid w:val="00B7084C"/>
    <w:rsid w:val="00B76795"/>
    <w:rsid w:val="00B80D76"/>
    <w:rsid w:val="00BA2105"/>
    <w:rsid w:val="00BA6621"/>
    <w:rsid w:val="00BA7E06"/>
    <w:rsid w:val="00BB0A1C"/>
    <w:rsid w:val="00BB43B5"/>
    <w:rsid w:val="00BB6219"/>
    <w:rsid w:val="00BD03ED"/>
    <w:rsid w:val="00BD290F"/>
    <w:rsid w:val="00BE70E1"/>
    <w:rsid w:val="00BF513C"/>
    <w:rsid w:val="00C14CC4"/>
    <w:rsid w:val="00C264D4"/>
    <w:rsid w:val="00C329D0"/>
    <w:rsid w:val="00C33C52"/>
    <w:rsid w:val="00C40D8B"/>
    <w:rsid w:val="00C46105"/>
    <w:rsid w:val="00C63145"/>
    <w:rsid w:val="00C67955"/>
    <w:rsid w:val="00C72DE7"/>
    <w:rsid w:val="00C74335"/>
    <w:rsid w:val="00C8407A"/>
    <w:rsid w:val="00C8488C"/>
    <w:rsid w:val="00C86E91"/>
    <w:rsid w:val="00CA2650"/>
    <w:rsid w:val="00CB04F8"/>
    <w:rsid w:val="00CB1078"/>
    <w:rsid w:val="00CC6FAF"/>
    <w:rsid w:val="00CE087A"/>
    <w:rsid w:val="00CE6B6D"/>
    <w:rsid w:val="00CF6542"/>
    <w:rsid w:val="00D24698"/>
    <w:rsid w:val="00D6383F"/>
    <w:rsid w:val="00D70245"/>
    <w:rsid w:val="00DA44B1"/>
    <w:rsid w:val="00DB59D0"/>
    <w:rsid w:val="00DC33D3"/>
    <w:rsid w:val="00DD3A6A"/>
    <w:rsid w:val="00E032D6"/>
    <w:rsid w:val="00E26329"/>
    <w:rsid w:val="00E26C5B"/>
    <w:rsid w:val="00E36528"/>
    <w:rsid w:val="00E40B50"/>
    <w:rsid w:val="00E44F79"/>
    <w:rsid w:val="00E4552F"/>
    <w:rsid w:val="00E50293"/>
    <w:rsid w:val="00E621C4"/>
    <w:rsid w:val="00E65FFC"/>
    <w:rsid w:val="00E744EA"/>
    <w:rsid w:val="00E80951"/>
    <w:rsid w:val="00E86CC6"/>
    <w:rsid w:val="00E87ED3"/>
    <w:rsid w:val="00E935CC"/>
    <w:rsid w:val="00EB56B3"/>
    <w:rsid w:val="00ED6492"/>
    <w:rsid w:val="00EE5D93"/>
    <w:rsid w:val="00EF2095"/>
    <w:rsid w:val="00EF3619"/>
    <w:rsid w:val="00F06866"/>
    <w:rsid w:val="00F12AE6"/>
    <w:rsid w:val="00F13B56"/>
    <w:rsid w:val="00F14EEE"/>
    <w:rsid w:val="00F15956"/>
    <w:rsid w:val="00F24CFC"/>
    <w:rsid w:val="00F3170F"/>
    <w:rsid w:val="00F41646"/>
    <w:rsid w:val="00F510A1"/>
    <w:rsid w:val="00F932C7"/>
    <w:rsid w:val="00F976B0"/>
    <w:rsid w:val="00FA6DE7"/>
    <w:rsid w:val="00FC06E9"/>
    <w:rsid w:val="00FC0A8E"/>
    <w:rsid w:val="00FC6FBF"/>
    <w:rsid w:val="00FD26C7"/>
    <w:rsid w:val="00FD3AD8"/>
    <w:rsid w:val="00FD3E3C"/>
    <w:rsid w:val="00FE2FA6"/>
    <w:rsid w:val="00FE338A"/>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E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AB0B59"/>
    <w:rPr>
      <w:color w:val="0000FF"/>
      <w:u w:val="single"/>
    </w:rPr>
  </w:style>
  <w:style w:type="character" w:customStyle="1" w:styleId="FooterChar">
    <w:name w:val="Footer Char"/>
    <w:link w:val="Footer"/>
    <w:uiPriority w:val="99"/>
    <w:rsid w:val="008A09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AB0B59"/>
    <w:rPr>
      <w:color w:val="0000FF"/>
      <w:u w:val="single"/>
    </w:rPr>
  </w:style>
  <w:style w:type="character" w:customStyle="1" w:styleId="FooterChar">
    <w:name w:val="Footer Char"/>
    <w:link w:val="Footer"/>
    <w:uiPriority w:val="99"/>
    <w:rsid w:val="008A0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560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A16F8CC0F784697ABFC880F0218F8" ma:contentTypeVersion="1" ma:contentTypeDescription="Create a new document." ma:contentTypeScope="" ma:versionID="5b296747e04f621d0796e6c12643fe9f">
  <xsd:schema xmlns:xsd="http://www.w3.org/2001/XMLSchema" xmlns:xs="http://www.w3.org/2001/XMLSchema" xmlns:p="http://schemas.microsoft.com/office/2006/metadata/properties" targetNamespace="http://schemas.microsoft.com/office/2006/metadata/properties" ma:root="true" ma:fieldsID="44125742a376a942025fa104fe1fb6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704FA-F0BB-4059-B2B2-3C1329060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E77B38-C3F4-4F9B-A585-0F62FE460E53}">
  <ds:schemaRefs>
    <ds:schemaRef ds:uri="http://schemas.microsoft.com/sharepoint/v3/contenttype/forms"/>
  </ds:schemaRefs>
</ds:datastoreItem>
</file>

<file path=customXml/itemProps3.xml><?xml version="1.0" encoding="utf-8"?>
<ds:datastoreItem xmlns:ds="http://schemas.openxmlformats.org/officeDocument/2006/customXml" ds:itemID="{247D9881-28F5-4E91-9E80-542DCE01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JAMAA HILL</cp:lastModifiedBy>
  <cp:revision>2</cp:revision>
  <cp:lastPrinted>2013-06-19T16:43:00Z</cp:lastPrinted>
  <dcterms:created xsi:type="dcterms:W3CDTF">2015-08-28T13:18:00Z</dcterms:created>
  <dcterms:modified xsi:type="dcterms:W3CDTF">2015-08-28T13:18:00Z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0x01010077AA16F8CC0F784697ABFC880F0218F8</vt:lpwstr>
  </property>
</Properties>
</file>