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85A" w:rsidRDefault="0065485A">
      <w:pPr>
        <w:rPr>
          <w:rFonts w:ascii="Times New Roman" w:hAnsi="Times New Roman"/>
        </w:rPr>
      </w:pPr>
      <w:bookmarkStart w:id="0" w:name="_GoBack"/>
      <w:bookmarkEnd w:id="0"/>
      <w:r>
        <w:rPr>
          <w:rFonts w:ascii="Times New Roman" w:hAnsi="Times New Roman"/>
        </w:rPr>
        <w:t xml:space="preserve">SUPPORTING STATEMENT FOR PAPERWORK REDUCTION ACT </w:t>
      </w:r>
      <w:r w:rsidR="000F3AB0">
        <w:rPr>
          <w:rFonts w:ascii="Times New Roman" w:hAnsi="Times New Roman"/>
        </w:rPr>
        <w:t xml:space="preserve">OF </w:t>
      </w:r>
      <w:r>
        <w:rPr>
          <w:rFonts w:ascii="Times New Roman" w:hAnsi="Times New Roman"/>
        </w:rPr>
        <w:t>1995 SUBMISSIONS</w:t>
      </w:r>
    </w:p>
    <w:p w:rsidR="0065485A" w:rsidRDefault="0065485A">
      <w:pPr>
        <w:rPr>
          <w:rFonts w:ascii="Times New Roman" w:hAnsi="Times New Roman"/>
        </w:rPr>
      </w:pPr>
    </w:p>
    <w:p w:rsidR="0065485A" w:rsidRPr="006A565F" w:rsidRDefault="0065485A" w:rsidP="006A565F">
      <w:pPr>
        <w:pStyle w:val="ListParagraph"/>
        <w:numPr>
          <w:ilvl w:val="0"/>
          <w:numId w:val="11"/>
        </w:numPr>
        <w:ind w:hanging="720"/>
        <w:rPr>
          <w:rFonts w:ascii="Times New Roman" w:hAnsi="Times New Roman"/>
        </w:rPr>
      </w:pPr>
      <w:r w:rsidRPr="006A565F">
        <w:rPr>
          <w:rFonts w:ascii="Times New Roman" w:hAnsi="Times New Roman"/>
          <w:b/>
          <w:bCs/>
        </w:rPr>
        <w:t>Justification</w:t>
      </w:r>
    </w:p>
    <w:p w:rsidR="0065485A" w:rsidRDefault="0065485A">
      <w:pPr>
        <w:rPr>
          <w:rFonts w:ascii="Times New Roman" w:hAnsi="Times New Roman"/>
        </w:rPr>
      </w:pPr>
    </w:p>
    <w:p w:rsidR="0065485A" w:rsidRDefault="0065485A">
      <w:pPr>
        <w:pStyle w:val="Quick1"/>
        <w:numPr>
          <w:ilvl w:val="0"/>
          <w:numId w:val="1"/>
        </w:numPr>
        <w:tabs>
          <w:tab w:val="left" w:pos="-1440"/>
          <w:tab w:val="num" w:pos="720"/>
        </w:tabs>
        <w:rPr>
          <w:rFonts w:ascii="Times New Roman" w:hAnsi="Times New Roman"/>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5485A" w:rsidRDefault="0065485A">
      <w:pPr>
        <w:rPr>
          <w:rFonts w:ascii="Times New Roman" w:hAnsi="Times New Roman"/>
        </w:rPr>
      </w:pPr>
    </w:p>
    <w:p w:rsidR="001A4C42" w:rsidRDefault="00962E47" w:rsidP="006A565F">
      <w:pPr>
        <w:ind w:left="720"/>
        <w:rPr>
          <w:rFonts w:ascii="Times New Roman" w:hAnsi="Times New Roman"/>
          <w:color w:val="000000"/>
        </w:rPr>
      </w:pPr>
      <w:r>
        <w:rPr>
          <w:rFonts w:ascii="Times New Roman" w:hAnsi="Times New Roman"/>
          <w:color w:val="000000"/>
        </w:rPr>
        <w:t>Se</w:t>
      </w:r>
      <w:r w:rsidR="001A4C42">
        <w:rPr>
          <w:rFonts w:ascii="Times New Roman" w:hAnsi="Times New Roman"/>
          <w:color w:val="000000"/>
        </w:rPr>
        <w:t>ction 406(a)(1)(A)</w:t>
      </w:r>
      <w:r w:rsidR="00333267">
        <w:rPr>
          <w:rFonts w:ascii="Times New Roman" w:hAnsi="Times New Roman"/>
          <w:color w:val="000000"/>
        </w:rPr>
        <w:t xml:space="preserve"> through </w:t>
      </w:r>
      <w:r w:rsidR="001A4C42">
        <w:rPr>
          <w:rFonts w:ascii="Times New Roman" w:hAnsi="Times New Roman"/>
          <w:color w:val="000000"/>
        </w:rPr>
        <w:t xml:space="preserve">(D) </w:t>
      </w:r>
      <w:r>
        <w:rPr>
          <w:rFonts w:ascii="Times New Roman" w:hAnsi="Times New Roman"/>
          <w:color w:val="000000"/>
        </w:rPr>
        <w:t>o</w:t>
      </w:r>
      <w:r w:rsidR="0050695A">
        <w:rPr>
          <w:rFonts w:ascii="Times New Roman" w:hAnsi="Times New Roman"/>
          <w:color w:val="000000"/>
        </w:rPr>
        <w:t>f</w:t>
      </w:r>
      <w:r>
        <w:rPr>
          <w:rFonts w:ascii="Times New Roman" w:hAnsi="Times New Roman"/>
          <w:color w:val="000000"/>
        </w:rPr>
        <w:t xml:space="preserve"> the Employee Retirement Income Security Act of 1974 (“ERISA) </w:t>
      </w:r>
      <w:r w:rsidR="001A4C42">
        <w:rPr>
          <w:rFonts w:ascii="Times New Roman" w:hAnsi="Times New Roman"/>
          <w:color w:val="000000"/>
        </w:rPr>
        <w:t xml:space="preserve">and </w:t>
      </w:r>
      <w:r>
        <w:rPr>
          <w:rFonts w:ascii="Times New Roman" w:hAnsi="Times New Roman"/>
          <w:color w:val="000000"/>
        </w:rPr>
        <w:t>Internal Revenue Code (“</w:t>
      </w:r>
      <w:r w:rsidR="001A4C42">
        <w:rPr>
          <w:rFonts w:ascii="Times New Roman" w:hAnsi="Times New Roman"/>
          <w:color w:val="000000"/>
        </w:rPr>
        <w:t>Code</w:t>
      </w:r>
      <w:r>
        <w:rPr>
          <w:rFonts w:ascii="Times New Roman" w:hAnsi="Times New Roman"/>
          <w:color w:val="000000"/>
        </w:rPr>
        <w:t>”)</w:t>
      </w:r>
      <w:r w:rsidR="001A4C42">
        <w:rPr>
          <w:rFonts w:ascii="Times New Roman" w:hAnsi="Times New Roman"/>
          <w:color w:val="000000"/>
        </w:rPr>
        <w:t xml:space="preserve"> section 4975(c)(1)(A)</w:t>
      </w:r>
      <w:r w:rsidR="00333267">
        <w:rPr>
          <w:rFonts w:ascii="Times New Roman" w:hAnsi="Times New Roman"/>
          <w:color w:val="000000"/>
        </w:rPr>
        <w:t xml:space="preserve"> through </w:t>
      </w:r>
      <w:r w:rsidR="001A4C42">
        <w:rPr>
          <w:rFonts w:ascii="Times New Roman" w:hAnsi="Times New Roman"/>
          <w:color w:val="000000"/>
        </w:rPr>
        <w:t>(D) prohibit certain transactions between plans or IRAs and “parties in interest,” as defined in ERISA section 3(14), or “disqualified persons,” as defined in Code section 4975(e)(2).  Fiduciaries and other service providers are parties in interest and disqualified persons under ERISA and the Code.  As a result, they are prohibited from engaging in (1) the sale, exchange</w:t>
      </w:r>
      <w:r w:rsidR="00293187">
        <w:rPr>
          <w:rFonts w:ascii="Times New Roman" w:hAnsi="Times New Roman"/>
          <w:color w:val="000000"/>
        </w:rPr>
        <w:t>,</w:t>
      </w:r>
      <w:r w:rsidR="001A4C42">
        <w:rPr>
          <w:rFonts w:ascii="Times New Roman" w:hAnsi="Times New Roman"/>
          <w:color w:val="000000"/>
        </w:rPr>
        <w:t xml:space="preserve"> or leasing of property with a plan or IRA, (2) the lending of money or other extension of credit to a plan or IRA, (3) the furnishing of goods, services</w:t>
      </w:r>
      <w:r w:rsidR="00293187">
        <w:rPr>
          <w:rFonts w:ascii="Times New Roman" w:hAnsi="Times New Roman"/>
          <w:color w:val="000000"/>
        </w:rPr>
        <w:t>,</w:t>
      </w:r>
      <w:r w:rsidR="001A4C42">
        <w:rPr>
          <w:rFonts w:ascii="Times New Roman" w:hAnsi="Times New Roman"/>
          <w:color w:val="000000"/>
        </w:rPr>
        <w:t xml:space="preserve"> or facilities to a plan or IRA and (4) the transfer to or use by or for the benefit of a party in interest of plan assets.</w:t>
      </w:r>
    </w:p>
    <w:p w:rsidR="001A4C42" w:rsidRDefault="001A4C42" w:rsidP="006A565F">
      <w:pPr>
        <w:ind w:left="720"/>
        <w:rPr>
          <w:rFonts w:ascii="Times New Roman" w:hAnsi="Times New Roman"/>
          <w:color w:val="000000"/>
        </w:rPr>
      </w:pPr>
    </w:p>
    <w:p w:rsidR="001A4C42" w:rsidRPr="0078280B" w:rsidRDefault="001A4C42" w:rsidP="006A565F">
      <w:pPr>
        <w:ind w:left="720"/>
        <w:rPr>
          <w:rFonts w:ascii="Times New Roman" w:hAnsi="Times New Roman"/>
          <w:color w:val="000000"/>
        </w:rPr>
      </w:pPr>
      <w:r w:rsidRPr="0078280B">
        <w:rPr>
          <w:rFonts w:ascii="Times New Roman" w:hAnsi="Times New Roman"/>
        </w:rPr>
        <w:t xml:space="preserve">In the absence of an exemption, ERISA and the Code generally prohibit fiduciaries from using their authority to affect or increase their own compensation.  </w:t>
      </w:r>
      <w:r w:rsidRPr="0078280B">
        <w:rPr>
          <w:rFonts w:ascii="Times New Roman" w:hAnsi="Times New Roman"/>
          <w:color w:val="000000"/>
        </w:rPr>
        <w:t>ERISA section 406(b) and Code section 4975(c</w:t>
      </w:r>
      <w:proofErr w:type="gramStart"/>
      <w:r w:rsidRPr="0078280B">
        <w:rPr>
          <w:rFonts w:ascii="Times New Roman" w:hAnsi="Times New Roman"/>
          <w:color w:val="000000"/>
        </w:rPr>
        <w:t>)(</w:t>
      </w:r>
      <w:proofErr w:type="gramEnd"/>
      <w:r w:rsidRPr="0078280B">
        <w:rPr>
          <w:rFonts w:ascii="Times New Roman" w:hAnsi="Times New Roman"/>
          <w:color w:val="000000"/>
        </w:rPr>
        <w:t>1)(E)</w:t>
      </w:r>
      <w:r>
        <w:rPr>
          <w:rFonts w:ascii="Times New Roman" w:hAnsi="Times New Roman"/>
          <w:color w:val="000000"/>
        </w:rPr>
        <w:t xml:space="preserve">-(F) are aimed at fiduciaries only. </w:t>
      </w:r>
      <w:r w:rsidR="00293187">
        <w:rPr>
          <w:rFonts w:ascii="Times New Roman" w:hAnsi="Times New Roman"/>
          <w:color w:val="000000"/>
        </w:rPr>
        <w:t xml:space="preserve"> </w:t>
      </w:r>
      <w:r>
        <w:rPr>
          <w:rFonts w:ascii="Times New Roman" w:hAnsi="Times New Roman"/>
          <w:color w:val="000000"/>
        </w:rPr>
        <w:t>These provisions</w:t>
      </w:r>
      <w:r w:rsidRPr="0078280B">
        <w:rPr>
          <w:rFonts w:ascii="Times New Roman" w:hAnsi="Times New Roman"/>
          <w:color w:val="000000"/>
        </w:rPr>
        <w:t xml:space="preserve"> </w:t>
      </w:r>
      <w:r>
        <w:rPr>
          <w:rFonts w:ascii="Times New Roman" w:hAnsi="Times New Roman"/>
          <w:color w:val="000000"/>
        </w:rPr>
        <w:t xml:space="preserve">generally </w:t>
      </w:r>
      <w:r w:rsidRPr="0078280B">
        <w:rPr>
          <w:rFonts w:ascii="Times New Roman" w:hAnsi="Times New Roman"/>
          <w:color w:val="000000"/>
        </w:rPr>
        <w:t>prohibit a fiduciary from dealing with the income or assets of a plan or IRA in his or her own interest or his or her own account</w:t>
      </w:r>
      <w:r>
        <w:rPr>
          <w:rFonts w:ascii="Times New Roman" w:hAnsi="Times New Roman"/>
          <w:color w:val="000000"/>
        </w:rPr>
        <w:t xml:space="preserve"> and from receiving payments from third parties in connection with transactions involving the plan or IRA</w:t>
      </w:r>
      <w:r w:rsidRPr="0078280B">
        <w:rPr>
          <w:rFonts w:ascii="Times New Roman" w:hAnsi="Times New Roman"/>
          <w:color w:val="000000"/>
        </w:rPr>
        <w:t>.  Parallel regulations issued by the Departments of Labor and the Treasury explain that these provisions impose on fiduciaries of plans and IRAs a duty not to act on conflicts of interest that</w:t>
      </w:r>
      <w:r>
        <w:rPr>
          <w:rFonts w:ascii="Times New Roman" w:hAnsi="Times New Roman"/>
          <w:color w:val="000000"/>
        </w:rPr>
        <w:t xml:space="preserve"> may</w:t>
      </w:r>
      <w:r w:rsidRPr="0078280B">
        <w:rPr>
          <w:rFonts w:ascii="Times New Roman" w:hAnsi="Times New Roman"/>
          <w:color w:val="000000"/>
        </w:rPr>
        <w:t xml:space="preserve"> affect the fiduciary’s best judgment on behalf of the plan or IRA.  </w:t>
      </w:r>
      <w:r>
        <w:rPr>
          <w:rFonts w:ascii="Times New Roman" w:hAnsi="Times New Roman"/>
          <w:color w:val="000000"/>
        </w:rPr>
        <w:t>Under these provisions</w:t>
      </w:r>
      <w:r w:rsidRPr="0078280B">
        <w:rPr>
          <w:rFonts w:ascii="Times New Roman" w:hAnsi="Times New Roman"/>
          <w:color w:val="000000"/>
        </w:rPr>
        <w:t>, a fiduciary</w:t>
      </w:r>
      <w:r>
        <w:rPr>
          <w:rFonts w:ascii="Times New Roman" w:hAnsi="Times New Roman"/>
          <w:color w:val="000000"/>
        </w:rPr>
        <w:t xml:space="preserve"> </w:t>
      </w:r>
      <w:r w:rsidRPr="0078280B">
        <w:rPr>
          <w:rFonts w:ascii="Times New Roman" w:hAnsi="Times New Roman"/>
          <w:color w:val="000000"/>
        </w:rPr>
        <w:t>may not cause a plan or IRA to pay an additional fee to such fiduciary, or to a person in which such fiduciary has an interest that may affect the exercise of the fiduciary’s best judgment</w:t>
      </w:r>
      <w:r>
        <w:rPr>
          <w:rFonts w:ascii="Times New Roman" w:hAnsi="Times New Roman"/>
          <w:color w:val="000000"/>
        </w:rPr>
        <w:t>.</w:t>
      </w:r>
    </w:p>
    <w:p w:rsidR="001A4C42" w:rsidRPr="0078280B" w:rsidRDefault="001A4C42" w:rsidP="006A565F">
      <w:pPr>
        <w:ind w:left="720"/>
        <w:rPr>
          <w:rFonts w:ascii="Times New Roman" w:hAnsi="Times New Roman"/>
          <w:color w:val="000000"/>
        </w:rPr>
      </w:pPr>
    </w:p>
    <w:p w:rsidR="001A4C42" w:rsidRDefault="00364AD4" w:rsidP="006A565F">
      <w:pPr>
        <w:ind w:left="720"/>
        <w:rPr>
          <w:rFonts w:ascii="Times New Roman" w:hAnsi="Times New Roman"/>
          <w:color w:val="000000"/>
        </w:rPr>
      </w:pPr>
      <w:r>
        <w:rPr>
          <w:rFonts w:ascii="Times New Roman" w:hAnsi="Times New Roman"/>
          <w:color w:val="000000"/>
        </w:rPr>
        <w:t>T</w:t>
      </w:r>
      <w:r w:rsidR="001A4C42">
        <w:rPr>
          <w:rFonts w:ascii="Times New Roman" w:hAnsi="Times New Roman"/>
          <w:color w:val="000000"/>
        </w:rPr>
        <w:t>he receipt of a commission on the sale of a</w:t>
      </w:r>
      <w:r w:rsidR="00CE06EF">
        <w:rPr>
          <w:rFonts w:ascii="Times New Roman" w:hAnsi="Times New Roman"/>
          <w:color w:val="000000"/>
        </w:rPr>
        <w:t xml:space="preserve"> Covered Annuity Contract</w:t>
      </w:r>
      <w:r w:rsidR="001A4C42">
        <w:rPr>
          <w:rFonts w:ascii="Times New Roman" w:hAnsi="Times New Roman"/>
          <w:color w:val="000000"/>
        </w:rPr>
        <w:t xml:space="preserve"> or mutual fund shares by a fiduciary that recommended the investment violates </w:t>
      </w:r>
      <w:r w:rsidR="001A4C42" w:rsidRPr="0078280B">
        <w:rPr>
          <w:rFonts w:ascii="Times New Roman" w:hAnsi="Times New Roman"/>
          <w:color w:val="000000"/>
        </w:rPr>
        <w:t xml:space="preserve">the prohibited transaction </w:t>
      </w:r>
      <w:proofErr w:type="gramStart"/>
      <w:r w:rsidR="001A4C42" w:rsidRPr="0078280B">
        <w:rPr>
          <w:rFonts w:ascii="Times New Roman" w:hAnsi="Times New Roman"/>
          <w:color w:val="000000"/>
        </w:rPr>
        <w:t>provisions</w:t>
      </w:r>
      <w:proofErr w:type="gramEnd"/>
      <w:r w:rsidR="001A4C42" w:rsidRPr="0078280B">
        <w:rPr>
          <w:rFonts w:ascii="Times New Roman" w:hAnsi="Times New Roman"/>
          <w:color w:val="000000"/>
        </w:rPr>
        <w:t xml:space="preserve"> of ERISA section 406(b) and Code section 4975(c)(1)(E)</w:t>
      </w:r>
      <w:r w:rsidR="001A4C42">
        <w:rPr>
          <w:rFonts w:ascii="Times New Roman" w:hAnsi="Times New Roman"/>
          <w:color w:val="000000"/>
        </w:rPr>
        <w:t xml:space="preserve"> and (F).  The effecting of the sale by a fiduciary or service provider is a service, potentially in violation of ERISA section 406(a)(1)(C) and Code section 4975(c)(1)(C).  Finally, the purchase of a</w:t>
      </w:r>
      <w:r w:rsidR="00D12DBF">
        <w:rPr>
          <w:rFonts w:ascii="Times New Roman" w:hAnsi="Times New Roman"/>
          <w:color w:val="000000"/>
        </w:rPr>
        <w:t xml:space="preserve"> Covered Annuity Contract</w:t>
      </w:r>
      <w:r w:rsidR="001A4C42">
        <w:rPr>
          <w:rFonts w:ascii="Times New Roman" w:hAnsi="Times New Roman"/>
          <w:color w:val="000000"/>
        </w:rPr>
        <w:t xml:space="preserve"> by a plan or IRA from an insurance company that is a fiduciary, service provider or other party in interest or disqualified person, </w:t>
      </w:r>
      <w:r w:rsidR="000B3D5E">
        <w:rPr>
          <w:rFonts w:ascii="Times New Roman" w:hAnsi="Times New Roman"/>
          <w:color w:val="000000"/>
        </w:rPr>
        <w:t xml:space="preserve">and the purchase of mutual fund shares by a plan from an Investment Company principal </w:t>
      </w:r>
      <w:r w:rsidR="000B3D5E">
        <w:rPr>
          <w:rFonts w:ascii="Times New Roman" w:hAnsi="Times New Roman"/>
          <w:color w:val="000000"/>
        </w:rPr>
        <w:lastRenderedPageBreak/>
        <w:t xml:space="preserve">underwriter that is a fiduciary, service provider or other part in interest or disqualified person, </w:t>
      </w:r>
      <w:r w:rsidR="001A4C42">
        <w:rPr>
          <w:rFonts w:ascii="Times New Roman" w:hAnsi="Times New Roman"/>
          <w:color w:val="000000"/>
        </w:rPr>
        <w:t>violates ERISA section 406(a)(1)(A) and (D) and Code section 4975(c)(1)(A) and (D).</w:t>
      </w:r>
    </w:p>
    <w:p w:rsidR="001A4C42" w:rsidRDefault="001A4C42" w:rsidP="006A565F">
      <w:pPr>
        <w:ind w:left="720"/>
        <w:rPr>
          <w:rFonts w:ascii="Times New Roman" w:hAnsi="Times New Roman"/>
        </w:rPr>
      </w:pPr>
    </w:p>
    <w:p w:rsidR="00364AD4" w:rsidRPr="0078280B" w:rsidRDefault="00364AD4" w:rsidP="00364AD4">
      <w:pPr>
        <w:ind w:left="720"/>
        <w:rPr>
          <w:rFonts w:ascii="Times New Roman" w:hAnsi="Times New Roman"/>
        </w:rPr>
      </w:pPr>
      <w:r w:rsidRPr="0078280B">
        <w:rPr>
          <w:rFonts w:ascii="Times New Roman" w:hAnsi="Times New Roman"/>
        </w:rPr>
        <w:t>The Secretary of Labor may grant and amend administrative exemptions from the prohibited transaction provisions of ERISA and the Code.</w:t>
      </w:r>
      <w:r w:rsidRPr="0078280B">
        <w:rPr>
          <w:rFonts w:ascii="Times New Roman" w:hAnsi="Times New Roman"/>
          <w:vertAlign w:val="superscript"/>
        </w:rPr>
        <w:footnoteReference w:id="1"/>
      </w:r>
      <w:r w:rsidRPr="0078280B">
        <w:rPr>
          <w:rFonts w:ascii="Times New Roman" w:hAnsi="Times New Roman"/>
        </w:rPr>
        <w:t xml:space="preserve">  Before granting an exemption, the Department must find that the exemption is administratively feasible, in the interests of plans, their participants and beneficiaries and IRA owners, and protective of the rights of participants and beneficiaries of such plans and IRA owners.</w:t>
      </w:r>
    </w:p>
    <w:p w:rsidR="00364AD4" w:rsidRDefault="00364AD4" w:rsidP="006A565F">
      <w:pPr>
        <w:ind w:left="720"/>
        <w:rPr>
          <w:rFonts w:ascii="Times New Roman" w:hAnsi="Times New Roman"/>
        </w:rPr>
      </w:pPr>
    </w:p>
    <w:p w:rsidR="00986A30" w:rsidRDefault="00986A30" w:rsidP="006A565F">
      <w:pPr>
        <w:ind w:left="720"/>
        <w:rPr>
          <w:rFonts w:ascii="Times New Roman" w:hAnsi="Times New Roman"/>
        </w:rPr>
      </w:pPr>
      <w:bookmarkStart w:id="1" w:name="OLE_LINK3"/>
      <w:bookmarkStart w:id="2" w:name="OLE_LINK4"/>
      <w:r w:rsidRPr="009176F1">
        <w:rPr>
          <w:rFonts w:ascii="Times New Roman" w:hAnsi="Times New Roman"/>
        </w:rPr>
        <w:t>The Department is</w:t>
      </w:r>
      <w:r>
        <w:rPr>
          <w:rFonts w:ascii="Times New Roman" w:hAnsi="Times New Roman"/>
        </w:rPr>
        <w:t xml:space="preserve"> amend</w:t>
      </w:r>
      <w:r w:rsidR="00BE2BEC">
        <w:rPr>
          <w:rFonts w:ascii="Times New Roman" w:hAnsi="Times New Roman"/>
        </w:rPr>
        <w:t>ing</w:t>
      </w:r>
      <w:r>
        <w:rPr>
          <w:rFonts w:ascii="Times New Roman" w:hAnsi="Times New Roman"/>
        </w:rPr>
        <w:t xml:space="preserve"> PTE 8</w:t>
      </w:r>
      <w:r w:rsidR="00DB14EF">
        <w:rPr>
          <w:rFonts w:ascii="Times New Roman" w:hAnsi="Times New Roman"/>
        </w:rPr>
        <w:t>4-24</w:t>
      </w:r>
      <w:r w:rsidRPr="009176F1">
        <w:rPr>
          <w:rFonts w:ascii="Times New Roman" w:hAnsi="Times New Roman"/>
        </w:rPr>
        <w:t xml:space="preserve"> </w:t>
      </w:r>
      <w:r w:rsidR="00C90B29" w:rsidRPr="00C90B29">
        <w:rPr>
          <w:rFonts w:ascii="Times New Roman" w:hAnsi="Times New Roman"/>
        </w:rPr>
        <w:t>in connection with its final regulation defining who is a “fiduciary” of an employee benefit plan under ERISA as a result of giving investment advice to a plan or its participants or beneficiaries (</w:t>
      </w:r>
      <w:r w:rsidR="000144A9">
        <w:rPr>
          <w:rFonts w:ascii="Times New Roman" w:hAnsi="Times New Roman"/>
        </w:rPr>
        <w:t>Final</w:t>
      </w:r>
      <w:r w:rsidR="00BD0EB7">
        <w:rPr>
          <w:rFonts w:ascii="Times New Roman" w:hAnsi="Times New Roman"/>
        </w:rPr>
        <w:t xml:space="preserve"> </w:t>
      </w:r>
      <w:r w:rsidR="00C90B29" w:rsidRPr="00C90B29">
        <w:rPr>
          <w:rFonts w:ascii="Times New Roman" w:hAnsi="Times New Roman"/>
        </w:rPr>
        <w:t xml:space="preserve">Regulation).  The </w:t>
      </w:r>
      <w:r w:rsidR="006D4217">
        <w:rPr>
          <w:rFonts w:ascii="Times New Roman" w:hAnsi="Times New Roman"/>
        </w:rPr>
        <w:t>F</w:t>
      </w:r>
      <w:r w:rsidR="00C90B29" w:rsidRPr="00C90B29">
        <w:rPr>
          <w:rFonts w:ascii="Times New Roman" w:hAnsi="Times New Roman"/>
        </w:rPr>
        <w:t xml:space="preserve">inal </w:t>
      </w:r>
      <w:r w:rsidR="006D4217">
        <w:rPr>
          <w:rFonts w:ascii="Times New Roman" w:hAnsi="Times New Roman"/>
        </w:rPr>
        <w:t>Regulation</w:t>
      </w:r>
      <w:r w:rsidR="00C90B29" w:rsidRPr="00C90B29">
        <w:rPr>
          <w:rFonts w:ascii="Times New Roman" w:hAnsi="Times New Roman"/>
        </w:rPr>
        <w:t xml:space="preserve"> also applies to the definition of a “fiduciary” of a plan (including an IRA under the Code</w:t>
      </w:r>
      <w:r w:rsidR="00611185">
        <w:rPr>
          <w:rFonts w:ascii="Times New Roman" w:hAnsi="Times New Roman"/>
        </w:rPr>
        <w:t>)</w:t>
      </w:r>
      <w:r w:rsidR="00C90B29" w:rsidRPr="00C90B29">
        <w:rPr>
          <w:rFonts w:ascii="Times New Roman" w:hAnsi="Times New Roman"/>
        </w:rPr>
        <w:t>.</w:t>
      </w:r>
      <w:r w:rsidRPr="009176F1">
        <w:rPr>
          <w:rFonts w:ascii="Times New Roman" w:hAnsi="Times New Roman"/>
        </w:rPr>
        <w:t xml:space="preserve">  </w:t>
      </w:r>
      <w:r w:rsidRPr="003E663D">
        <w:rPr>
          <w:rFonts w:ascii="Times New Roman" w:hAnsi="Times New Roman"/>
        </w:rPr>
        <w:t xml:space="preserve">The </w:t>
      </w:r>
      <w:r w:rsidR="006D4217">
        <w:rPr>
          <w:rFonts w:ascii="Times New Roman" w:hAnsi="Times New Roman"/>
        </w:rPr>
        <w:t xml:space="preserve">Final </w:t>
      </w:r>
      <w:r>
        <w:rPr>
          <w:rFonts w:ascii="Times New Roman" w:hAnsi="Times New Roman"/>
        </w:rPr>
        <w:t>R</w:t>
      </w:r>
      <w:r w:rsidRPr="003E663D">
        <w:rPr>
          <w:rFonts w:ascii="Times New Roman" w:hAnsi="Times New Roman"/>
        </w:rPr>
        <w:t xml:space="preserve">egulation </w:t>
      </w:r>
      <w:r>
        <w:rPr>
          <w:rFonts w:ascii="Times New Roman" w:hAnsi="Times New Roman"/>
        </w:rPr>
        <w:t>amend</w:t>
      </w:r>
      <w:r w:rsidR="000C2161">
        <w:rPr>
          <w:rFonts w:ascii="Times New Roman" w:hAnsi="Times New Roman"/>
        </w:rPr>
        <w:t>s</w:t>
      </w:r>
      <w:r>
        <w:rPr>
          <w:rFonts w:ascii="Times New Roman" w:hAnsi="Times New Roman"/>
        </w:rPr>
        <w:t xml:space="preserve"> </w:t>
      </w:r>
      <w:r w:rsidR="00D4581B">
        <w:rPr>
          <w:rFonts w:ascii="Times New Roman" w:hAnsi="Times New Roman"/>
        </w:rPr>
        <w:t xml:space="preserve">a prior regulation specifying when a person is a </w:t>
      </w:r>
      <w:r>
        <w:rPr>
          <w:rFonts w:ascii="Times New Roman" w:hAnsi="Times New Roman"/>
        </w:rPr>
        <w:t xml:space="preserve">fiduciary under ERISA and the Code by reason of the provision of investment </w:t>
      </w:r>
      <w:r w:rsidRPr="003E663D">
        <w:rPr>
          <w:rFonts w:ascii="Times New Roman" w:hAnsi="Times New Roman"/>
        </w:rPr>
        <w:t>advice for a fee or other compensation regarding assets of a plan or IR</w:t>
      </w:r>
      <w:r>
        <w:rPr>
          <w:rFonts w:ascii="Times New Roman" w:hAnsi="Times New Roman"/>
        </w:rPr>
        <w:t>A</w:t>
      </w:r>
      <w:r w:rsidRPr="003E663D">
        <w:rPr>
          <w:rFonts w:ascii="Times New Roman" w:hAnsi="Times New Roman"/>
        </w:rPr>
        <w:t xml:space="preserve">.  </w:t>
      </w:r>
      <w:r w:rsidR="00BE2BEC">
        <w:rPr>
          <w:rFonts w:ascii="Times New Roman" w:hAnsi="Times New Roman"/>
        </w:rPr>
        <w:t>T</w:t>
      </w:r>
      <w:r w:rsidRPr="003E663D">
        <w:rPr>
          <w:rFonts w:ascii="Times New Roman" w:hAnsi="Times New Roman"/>
        </w:rPr>
        <w:t xml:space="preserve">he </w:t>
      </w:r>
      <w:r w:rsidR="006D4217">
        <w:rPr>
          <w:rFonts w:ascii="Times New Roman" w:hAnsi="Times New Roman"/>
        </w:rPr>
        <w:t xml:space="preserve">Final </w:t>
      </w:r>
      <w:r w:rsidR="002A5F3E">
        <w:rPr>
          <w:rFonts w:ascii="Times New Roman" w:hAnsi="Times New Roman"/>
        </w:rPr>
        <w:t>R</w:t>
      </w:r>
      <w:r w:rsidRPr="003E663D">
        <w:rPr>
          <w:rFonts w:ascii="Times New Roman" w:hAnsi="Times New Roman"/>
        </w:rPr>
        <w:t>egulation replace</w:t>
      </w:r>
      <w:r w:rsidR="002A5F3E">
        <w:rPr>
          <w:rFonts w:ascii="Times New Roman" w:hAnsi="Times New Roman"/>
        </w:rPr>
        <w:t xml:space="preserve">s </w:t>
      </w:r>
      <w:r w:rsidRPr="003E663D">
        <w:rPr>
          <w:rFonts w:ascii="Times New Roman" w:hAnsi="Times New Roman"/>
        </w:rPr>
        <w:t xml:space="preserve">an existing regulation </w:t>
      </w:r>
      <w:r w:rsidR="00D4581B">
        <w:rPr>
          <w:rFonts w:ascii="Times New Roman" w:hAnsi="Times New Roman"/>
        </w:rPr>
        <w:t>dating to</w:t>
      </w:r>
      <w:r w:rsidRPr="003E663D">
        <w:rPr>
          <w:rFonts w:ascii="Times New Roman" w:hAnsi="Times New Roman"/>
        </w:rPr>
        <w:t xml:space="preserve"> 1975</w:t>
      </w:r>
      <w:r w:rsidR="006D4217">
        <w:rPr>
          <w:rFonts w:ascii="Times New Roman" w:hAnsi="Times New Roman"/>
        </w:rPr>
        <w:t xml:space="preserve"> and</w:t>
      </w:r>
      <w:r w:rsidR="00D4581B" w:rsidRPr="00A44672">
        <w:rPr>
          <w:rFonts w:ascii="Times New Roman" w:hAnsi="Times New Roman"/>
        </w:rPr>
        <w:t xml:space="preserve"> takes into account the advent of 401(k) plans and IRAs, the dramatic increase in rollovers, and other developments that have transformed the retirement plan landscape and the associated investment market over the four decades since the existing regulation was issued.  In light of the extensive changes in retirement investment practices and relationships, the </w:t>
      </w:r>
      <w:r w:rsidR="005A3F5D">
        <w:rPr>
          <w:rFonts w:ascii="Times New Roman" w:hAnsi="Times New Roman"/>
        </w:rPr>
        <w:t xml:space="preserve">Final </w:t>
      </w:r>
      <w:r w:rsidR="00D4581B" w:rsidRPr="00A44672">
        <w:rPr>
          <w:rFonts w:ascii="Times New Roman" w:hAnsi="Times New Roman"/>
        </w:rPr>
        <w:t>Regulation updates existing rules to distinguish more appropriately</w:t>
      </w:r>
      <w:r w:rsidRPr="003E663D">
        <w:rPr>
          <w:rFonts w:ascii="Times New Roman" w:hAnsi="Times New Roman"/>
        </w:rPr>
        <w:t xml:space="preserve"> between the sorts of advice relationships that should be treated as fiduciary in natur</w:t>
      </w:r>
      <w:r>
        <w:rPr>
          <w:rFonts w:ascii="Times New Roman" w:hAnsi="Times New Roman"/>
        </w:rPr>
        <w:t>e and those that should not.</w:t>
      </w:r>
    </w:p>
    <w:p w:rsidR="00CB5B6A" w:rsidRDefault="00CB5B6A" w:rsidP="006A565F">
      <w:pPr>
        <w:ind w:left="720"/>
        <w:rPr>
          <w:rFonts w:ascii="Times New Roman" w:hAnsi="Times New Roman"/>
        </w:rPr>
      </w:pPr>
    </w:p>
    <w:p w:rsidR="0050695A" w:rsidRPr="00461569" w:rsidRDefault="0050695A" w:rsidP="0050695A">
      <w:pPr>
        <w:ind w:left="720"/>
        <w:rPr>
          <w:rFonts w:ascii="Times New Roman" w:hAnsi="Times New Roman"/>
        </w:rPr>
      </w:pPr>
      <w:r w:rsidRPr="00461569">
        <w:rPr>
          <w:rFonts w:ascii="Times New Roman" w:hAnsi="Times New Roman"/>
        </w:rPr>
        <w:t>PTE 84-24, as amended, provide</w:t>
      </w:r>
      <w:r>
        <w:rPr>
          <w:rFonts w:ascii="Times New Roman" w:hAnsi="Times New Roman"/>
        </w:rPr>
        <w:t>s</w:t>
      </w:r>
      <w:r w:rsidRPr="00461569">
        <w:rPr>
          <w:rFonts w:ascii="Times New Roman" w:hAnsi="Times New Roman"/>
        </w:rPr>
        <w:t xml:space="preserve"> an exemption for certain prohibited transactions that </w:t>
      </w:r>
      <w:proofErr w:type="gramStart"/>
      <w:r>
        <w:rPr>
          <w:rFonts w:ascii="Times New Roman" w:hAnsi="Times New Roman"/>
        </w:rPr>
        <w:t>occur</w:t>
      </w:r>
      <w:proofErr w:type="gramEnd"/>
      <w:r w:rsidRPr="00461569">
        <w:rPr>
          <w:rFonts w:ascii="Times New Roman" w:hAnsi="Times New Roman"/>
        </w:rPr>
        <w:t xml:space="preserve"> when investment advice fiduciaries and other service providers receive compensation for their recommendation that plans or IRAs purchase “Covered Annuity Contracts” and insurance contracts.  A Covered Annuity Contract</w:t>
      </w:r>
      <w:r w:rsidR="001E31C3">
        <w:rPr>
          <w:rFonts w:ascii="Times New Roman" w:hAnsi="Times New Roman"/>
        </w:rPr>
        <w:t>s</w:t>
      </w:r>
      <w:r w:rsidRPr="00461569">
        <w:rPr>
          <w:rFonts w:ascii="Times New Roman" w:hAnsi="Times New Roman"/>
        </w:rPr>
        <w:t xml:space="preserve"> </w:t>
      </w:r>
      <w:r w:rsidR="001E31C3">
        <w:rPr>
          <w:rFonts w:ascii="Times New Roman" w:hAnsi="Times New Roman"/>
        </w:rPr>
        <w:t>are</w:t>
      </w:r>
      <w:r w:rsidRPr="00461569">
        <w:rPr>
          <w:rFonts w:ascii="Times New Roman" w:hAnsi="Times New Roman"/>
        </w:rPr>
        <w:t xml:space="preserve"> defined as annuity contract</w:t>
      </w:r>
      <w:r w:rsidR="00726B6D">
        <w:rPr>
          <w:rFonts w:ascii="Times New Roman" w:hAnsi="Times New Roman"/>
        </w:rPr>
        <w:t>s</w:t>
      </w:r>
      <w:r w:rsidRPr="00461569">
        <w:rPr>
          <w:rFonts w:ascii="Times New Roman" w:hAnsi="Times New Roman"/>
        </w:rPr>
        <w:t xml:space="preserve"> </w:t>
      </w:r>
      <w:r w:rsidR="00726B6D">
        <w:rPr>
          <w:rFonts w:ascii="Times New Roman" w:hAnsi="Times New Roman"/>
        </w:rPr>
        <w:t>that are not</w:t>
      </w:r>
      <w:r w:rsidR="00046FBB">
        <w:rPr>
          <w:rFonts w:ascii="Times New Roman" w:hAnsi="Times New Roman"/>
        </w:rPr>
        <w:t xml:space="preserve"> </w:t>
      </w:r>
      <w:r w:rsidRPr="00461569">
        <w:rPr>
          <w:rFonts w:ascii="Times New Roman" w:hAnsi="Times New Roman"/>
        </w:rPr>
        <w:t>variable annuity contract</w:t>
      </w:r>
      <w:r w:rsidR="00726B6D">
        <w:rPr>
          <w:rFonts w:ascii="Times New Roman" w:hAnsi="Times New Roman"/>
        </w:rPr>
        <w:t>s</w:t>
      </w:r>
      <w:r w:rsidRPr="00461569">
        <w:rPr>
          <w:rFonts w:ascii="Times New Roman" w:hAnsi="Times New Roman"/>
        </w:rPr>
        <w:t xml:space="preserve"> (group or individual), other annuity contrac</w:t>
      </w:r>
      <w:r w:rsidR="00726B6D">
        <w:rPr>
          <w:rFonts w:ascii="Times New Roman" w:hAnsi="Times New Roman"/>
        </w:rPr>
        <w:t xml:space="preserve">ts </w:t>
      </w:r>
      <w:r w:rsidRPr="00461569">
        <w:rPr>
          <w:rFonts w:ascii="Times New Roman" w:hAnsi="Times New Roman"/>
        </w:rPr>
        <w:t xml:space="preserve">that </w:t>
      </w:r>
      <w:r w:rsidR="00726B6D">
        <w:rPr>
          <w:rFonts w:ascii="Times New Roman" w:hAnsi="Times New Roman"/>
        </w:rPr>
        <w:t>are</w:t>
      </w:r>
      <w:r w:rsidRPr="00461569">
        <w:rPr>
          <w:rFonts w:ascii="Times New Roman" w:hAnsi="Times New Roman"/>
        </w:rPr>
        <w:t xml:space="preserve"> non-exempt securit</w:t>
      </w:r>
      <w:r w:rsidR="001E31C3">
        <w:rPr>
          <w:rFonts w:ascii="Times New Roman" w:hAnsi="Times New Roman"/>
        </w:rPr>
        <w:t>ies</w:t>
      </w:r>
      <w:r w:rsidRPr="00461569">
        <w:rPr>
          <w:rFonts w:ascii="Times New Roman" w:hAnsi="Times New Roman"/>
        </w:rPr>
        <w:t xml:space="preserve"> under federal securities law,</w:t>
      </w:r>
      <w:r w:rsidR="001E31C3">
        <w:rPr>
          <w:rFonts w:ascii="Times New Roman" w:hAnsi="Times New Roman"/>
        </w:rPr>
        <w:t xml:space="preserve"> and </w:t>
      </w:r>
      <w:r w:rsidRPr="00461569">
        <w:rPr>
          <w:rFonts w:ascii="Times New Roman" w:hAnsi="Times New Roman"/>
        </w:rPr>
        <w:t>indexed annuity contract</w:t>
      </w:r>
      <w:r w:rsidR="001E31C3">
        <w:rPr>
          <w:rFonts w:ascii="Times New Roman" w:hAnsi="Times New Roman"/>
        </w:rPr>
        <w:t>s</w:t>
      </w:r>
      <w:r w:rsidRPr="00461569">
        <w:rPr>
          <w:rFonts w:ascii="Times New Roman" w:hAnsi="Times New Roman"/>
        </w:rPr>
        <w:t>.   IRAs are defined in the exemption to include other plans described in Code section 4975(e</w:t>
      </w:r>
      <w:proofErr w:type="gramStart"/>
      <w:r w:rsidRPr="00461569">
        <w:rPr>
          <w:rFonts w:ascii="Times New Roman" w:hAnsi="Times New Roman"/>
        </w:rPr>
        <w:t>)(</w:t>
      </w:r>
      <w:proofErr w:type="gramEnd"/>
      <w:r w:rsidRPr="00461569">
        <w:rPr>
          <w:rFonts w:ascii="Times New Roman" w:hAnsi="Times New Roman"/>
        </w:rPr>
        <w:t xml:space="preserve">1)(B)-(F), such as Archer MSAs, health savings accounts and Coverdell education savings accounts.  Relief is also provided for certain prohibited transactions that occur when investment advice fiduciaries and other service providers receive compensation as a result of </w:t>
      </w:r>
      <w:r w:rsidR="00B92E79">
        <w:rPr>
          <w:rFonts w:ascii="Times New Roman" w:hAnsi="Times New Roman"/>
        </w:rPr>
        <w:t xml:space="preserve">their </w:t>
      </w:r>
      <w:r w:rsidRPr="00461569">
        <w:rPr>
          <w:rFonts w:ascii="Times New Roman" w:hAnsi="Times New Roman"/>
        </w:rPr>
        <w:t xml:space="preserve">recommendations that plans purchase securities in an </w:t>
      </w:r>
      <w:r w:rsidRPr="00461569">
        <w:rPr>
          <w:rFonts w:ascii="Times New Roman" w:hAnsi="Times New Roman"/>
        </w:rPr>
        <w:lastRenderedPageBreak/>
        <w:t xml:space="preserve">investment company registered under the Investment Company Act of 1940 (e.g., a mutual fund).  The exemption permits insurance agents, insurance brokers, pension consultants and investment company principal underwriters that are parties in interest or fiduciaries with respect to plan investors to effect these purchases and receive a commission on them.  The exemption is also available for the prohibited transaction that occurs when the insurance company selling the Covered Annuity Contract or insurance contract is a party in interest or disqualified person with respect to the plan or IRA.  </w:t>
      </w:r>
    </w:p>
    <w:p w:rsidR="0050695A" w:rsidRDefault="0050695A" w:rsidP="006A565F">
      <w:pPr>
        <w:ind w:left="720"/>
        <w:rPr>
          <w:rFonts w:ascii="Times New Roman" w:hAnsi="Times New Roman"/>
        </w:rPr>
      </w:pPr>
    </w:p>
    <w:p w:rsidR="003132F2" w:rsidRDefault="003132F2" w:rsidP="006A565F">
      <w:pPr>
        <w:ind w:left="720"/>
        <w:rPr>
          <w:rFonts w:ascii="Times New Roman" w:hAnsi="Times New Roman"/>
        </w:rPr>
      </w:pPr>
      <w:r>
        <w:rPr>
          <w:rFonts w:ascii="Times New Roman" w:hAnsi="Times New Roman"/>
        </w:rPr>
        <w:t>The amendment replac</w:t>
      </w:r>
      <w:r w:rsidR="008E7EB2">
        <w:rPr>
          <w:rFonts w:ascii="Times New Roman" w:hAnsi="Times New Roman"/>
        </w:rPr>
        <w:t>es</w:t>
      </w:r>
      <w:r>
        <w:rPr>
          <w:rFonts w:ascii="Times New Roman" w:hAnsi="Times New Roman"/>
        </w:rPr>
        <w:t xml:space="preserve"> </w:t>
      </w:r>
      <w:r w:rsidR="00987F6D">
        <w:rPr>
          <w:rFonts w:ascii="Times New Roman" w:hAnsi="Times New Roman"/>
        </w:rPr>
        <w:t xml:space="preserve">the </w:t>
      </w:r>
      <w:r>
        <w:rPr>
          <w:rFonts w:ascii="Times New Roman" w:hAnsi="Times New Roman"/>
        </w:rPr>
        <w:t>limited recordkeeping requirement in section V(e) of PTE 84-24</w:t>
      </w:r>
      <w:r w:rsidR="00AE666B">
        <w:rPr>
          <w:rFonts w:ascii="Times New Roman" w:hAnsi="Times New Roman"/>
        </w:rPr>
        <w:t>,</w:t>
      </w:r>
      <w:r>
        <w:rPr>
          <w:rFonts w:ascii="Times New Roman" w:hAnsi="Times New Roman"/>
        </w:rPr>
        <w:t xml:space="preserve"> discussed above</w:t>
      </w:r>
      <w:r w:rsidR="00AE666B">
        <w:rPr>
          <w:rFonts w:ascii="Times New Roman" w:hAnsi="Times New Roman"/>
        </w:rPr>
        <w:t>,</w:t>
      </w:r>
      <w:r>
        <w:rPr>
          <w:rFonts w:ascii="Times New Roman" w:hAnsi="Times New Roman"/>
        </w:rPr>
        <w:t xml:space="preserve"> with a more robust requirement in section V of the  amend</w:t>
      </w:r>
      <w:r w:rsidR="0009357C">
        <w:rPr>
          <w:rFonts w:ascii="Times New Roman" w:hAnsi="Times New Roman"/>
        </w:rPr>
        <w:t>ed exemption</w:t>
      </w:r>
      <w:r>
        <w:rPr>
          <w:rFonts w:ascii="Times New Roman" w:hAnsi="Times New Roman"/>
        </w:rPr>
        <w:t xml:space="preserve"> that </w:t>
      </w:r>
      <w:r w:rsidRPr="0078280B">
        <w:rPr>
          <w:rFonts w:ascii="Times New Roman" w:hAnsi="Times New Roman"/>
        </w:rPr>
        <w:t>require</w:t>
      </w:r>
      <w:r w:rsidR="0009357C">
        <w:rPr>
          <w:rFonts w:ascii="Times New Roman" w:hAnsi="Times New Roman"/>
        </w:rPr>
        <w:t>s</w:t>
      </w:r>
      <w:r w:rsidRPr="0078280B">
        <w:rPr>
          <w:rFonts w:ascii="Times New Roman" w:hAnsi="Times New Roman"/>
        </w:rPr>
        <w:t xml:space="preserve"> the fiduciary engaging in a transaction covered by the exemption </w:t>
      </w:r>
      <w:r w:rsidR="00987F6D" w:rsidRPr="00783D3B">
        <w:rPr>
          <w:rFonts w:ascii="Times New Roman" w:hAnsi="Times New Roman"/>
        </w:rPr>
        <w:t>to maintain or cause to be maintained for six year</w:t>
      </w:r>
      <w:r w:rsidR="00962E47">
        <w:rPr>
          <w:rFonts w:ascii="Times New Roman" w:hAnsi="Times New Roman"/>
        </w:rPr>
        <w:t>s</w:t>
      </w:r>
      <w:r w:rsidR="0009357C">
        <w:rPr>
          <w:rFonts w:ascii="Times New Roman" w:hAnsi="Times New Roman"/>
        </w:rPr>
        <w:t>,</w:t>
      </w:r>
      <w:r w:rsidR="00987F6D" w:rsidRPr="00783D3B">
        <w:rPr>
          <w:rFonts w:ascii="Times New Roman" w:hAnsi="Times New Roman"/>
        </w:rPr>
        <w:t xml:space="preserve"> </w:t>
      </w:r>
      <w:r w:rsidR="00987F6D">
        <w:rPr>
          <w:rFonts w:ascii="Times New Roman" w:hAnsi="Times New Roman"/>
        </w:rPr>
        <w:t>and disclose upon request</w:t>
      </w:r>
      <w:r w:rsidR="0009357C">
        <w:rPr>
          <w:rFonts w:ascii="Times New Roman" w:hAnsi="Times New Roman"/>
        </w:rPr>
        <w:t>,</w:t>
      </w:r>
      <w:r w:rsidR="00987F6D">
        <w:rPr>
          <w:rFonts w:ascii="Times New Roman" w:hAnsi="Times New Roman"/>
        </w:rPr>
        <w:t xml:space="preserve"> </w:t>
      </w:r>
      <w:r w:rsidR="00987F6D" w:rsidRPr="00783D3B">
        <w:rPr>
          <w:rFonts w:ascii="Times New Roman" w:hAnsi="Times New Roman"/>
        </w:rPr>
        <w:t xml:space="preserve">the records necessary for the Department, Internal Revenue Service, </w:t>
      </w:r>
      <w:r w:rsidR="007F3F3C">
        <w:rPr>
          <w:rFonts w:ascii="Times New Roman" w:hAnsi="Times New Roman"/>
        </w:rPr>
        <w:t>a</w:t>
      </w:r>
      <w:r w:rsidR="007F3F3C" w:rsidRPr="0078280B">
        <w:rPr>
          <w:rFonts w:ascii="Times New Roman" w:eastAsia="Calibri" w:hAnsi="Times New Roman"/>
        </w:rPr>
        <w:t xml:space="preserve">ny fiduciary of the plan </w:t>
      </w:r>
      <w:r w:rsidR="007F3F3C">
        <w:rPr>
          <w:rFonts w:ascii="Times New Roman" w:eastAsia="Calibri" w:hAnsi="Times New Roman"/>
        </w:rPr>
        <w:t>(</w:t>
      </w:r>
      <w:r w:rsidR="007F3F3C" w:rsidRPr="0078280B">
        <w:rPr>
          <w:rFonts w:ascii="Times New Roman" w:eastAsia="Calibri" w:hAnsi="Times New Roman"/>
        </w:rPr>
        <w:t xml:space="preserve">or </w:t>
      </w:r>
      <w:r w:rsidR="007F3F3C">
        <w:rPr>
          <w:rFonts w:ascii="Times New Roman" w:eastAsia="Calibri" w:hAnsi="Times New Roman"/>
        </w:rPr>
        <w:t xml:space="preserve">their </w:t>
      </w:r>
      <w:r w:rsidR="007F3F3C" w:rsidRPr="0078280B">
        <w:rPr>
          <w:rFonts w:ascii="Times New Roman" w:eastAsia="Calibri" w:hAnsi="Times New Roman"/>
        </w:rPr>
        <w:t>duly authorized</w:t>
      </w:r>
      <w:r w:rsidR="007F3F3C">
        <w:rPr>
          <w:rFonts w:ascii="Times New Roman" w:eastAsia="Calibri" w:hAnsi="Times New Roman"/>
        </w:rPr>
        <w:t xml:space="preserve"> r</w:t>
      </w:r>
      <w:r w:rsidR="007F3F3C" w:rsidRPr="0078280B">
        <w:rPr>
          <w:rFonts w:ascii="Times New Roman" w:eastAsia="Calibri" w:hAnsi="Times New Roman"/>
        </w:rPr>
        <w:t>epresentative</w:t>
      </w:r>
      <w:r w:rsidR="007F3F3C">
        <w:rPr>
          <w:rFonts w:ascii="Times New Roman" w:eastAsia="Calibri" w:hAnsi="Times New Roman"/>
        </w:rPr>
        <w:t>)</w:t>
      </w:r>
      <w:r w:rsidR="00987F6D" w:rsidRPr="00783D3B">
        <w:rPr>
          <w:rFonts w:ascii="Times New Roman" w:hAnsi="Times New Roman"/>
        </w:rPr>
        <w:t xml:space="preserve">, </w:t>
      </w:r>
      <w:r w:rsidR="007F3F3C">
        <w:rPr>
          <w:rFonts w:ascii="Times New Roman" w:hAnsi="Times New Roman"/>
        </w:rPr>
        <w:t xml:space="preserve">any </w:t>
      </w:r>
      <w:r w:rsidR="00987F6D" w:rsidRPr="00783D3B">
        <w:rPr>
          <w:rFonts w:ascii="Times New Roman" w:hAnsi="Times New Roman"/>
        </w:rPr>
        <w:t>contributing employer or employee organization whose members are covered by the plan</w:t>
      </w:r>
      <w:r w:rsidR="007F3F3C" w:rsidRPr="0078280B">
        <w:rPr>
          <w:rFonts w:ascii="Times New Roman" w:eastAsia="Calibri" w:hAnsi="Times New Roman"/>
        </w:rPr>
        <w:t xml:space="preserve"> </w:t>
      </w:r>
      <w:r w:rsidR="007F3F3C">
        <w:rPr>
          <w:rFonts w:ascii="Times New Roman" w:eastAsia="Calibri" w:hAnsi="Times New Roman"/>
        </w:rPr>
        <w:t>(</w:t>
      </w:r>
      <w:r w:rsidR="007F3F3C" w:rsidRPr="0078280B">
        <w:rPr>
          <w:rFonts w:ascii="Times New Roman" w:eastAsia="Calibri" w:hAnsi="Times New Roman"/>
        </w:rPr>
        <w:t>or any authorized employee or representative of these entities</w:t>
      </w:r>
      <w:r w:rsidR="007F3F3C">
        <w:rPr>
          <w:rFonts w:ascii="Times New Roman" w:eastAsia="Calibri" w:hAnsi="Times New Roman"/>
        </w:rPr>
        <w:t>), or a</w:t>
      </w:r>
      <w:r w:rsidR="007F3F3C" w:rsidRPr="0078280B">
        <w:rPr>
          <w:rFonts w:ascii="Times New Roman" w:eastAsia="Calibri" w:hAnsi="Times New Roman"/>
        </w:rPr>
        <w:t xml:space="preserve">ny participant or beneficiary of the plan </w:t>
      </w:r>
      <w:r w:rsidR="007F3F3C">
        <w:rPr>
          <w:rFonts w:ascii="Times New Roman" w:eastAsia="Calibri" w:hAnsi="Times New Roman"/>
        </w:rPr>
        <w:t>(</w:t>
      </w:r>
      <w:r w:rsidR="007F3F3C" w:rsidRPr="0078280B">
        <w:rPr>
          <w:rFonts w:ascii="Times New Roman" w:eastAsia="Calibri" w:hAnsi="Times New Roman"/>
        </w:rPr>
        <w:t>or the</w:t>
      </w:r>
      <w:r w:rsidR="007F3F3C">
        <w:rPr>
          <w:rFonts w:ascii="Times New Roman" w:eastAsia="Calibri" w:hAnsi="Times New Roman"/>
        </w:rPr>
        <w:t>ir</w:t>
      </w:r>
      <w:r w:rsidR="007F3F3C" w:rsidRPr="0078280B">
        <w:rPr>
          <w:rFonts w:ascii="Times New Roman" w:eastAsia="Calibri" w:hAnsi="Times New Roman"/>
        </w:rPr>
        <w:t xml:space="preserve"> duly authorized representative</w:t>
      </w:r>
      <w:r w:rsidR="007F3F3C">
        <w:rPr>
          <w:rFonts w:ascii="Times New Roman" w:eastAsia="Calibri" w:hAnsi="Times New Roman"/>
        </w:rPr>
        <w:t>)</w:t>
      </w:r>
      <w:r w:rsidR="007F3F3C" w:rsidRPr="0078280B">
        <w:rPr>
          <w:rFonts w:ascii="Times New Roman" w:eastAsia="Calibri" w:hAnsi="Times New Roman"/>
        </w:rPr>
        <w:t xml:space="preserve"> </w:t>
      </w:r>
      <w:r w:rsidR="00987F6D" w:rsidRPr="00783D3B">
        <w:rPr>
          <w:rFonts w:ascii="Times New Roman" w:hAnsi="Times New Roman"/>
        </w:rPr>
        <w:t>to determine whether the conditions of this exemption have been met.</w:t>
      </w:r>
      <w:r w:rsidR="00987F6D">
        <w:rPr>
          <w:rFonts w:ascii="Times New Roman" w:hAnsi="Times New Roman"/>
        </w:rPr>
        <w:t xml:space="preserve"> </w:t>
      </w:r>
      <w:r w:rsidR="000C2161" w:rsidRPr="000C2161">
        <w:rPr>
          <w:rFonts w:ascii="Times New Roman" w:hAnsi="Times New Roman"/>
        </w:rPr>
        <w:t>Section V(b) (2) and (3) of PTE 84-24 provides that parties relying on the exemption do not have to disclose trade secrets or other confidential information to members of the public (</w:t>
      </w:r>
      <w:r w:rsidR="000C2161" w:rsidRPr="000C2161">
        <w:rPr>
          <w:rFonts w:ascii="Times New Roman" w:hAnsi="Times New Roman"/>
          <w:i/>
        </w:rPr>
        <w:t>i.e</w:t>
      </w:r>
      <w:r w:rsidR="000C2161" w:rsidRPr="000C2161">
        <w:rPr>
          <w:rFonts w:ascii="Times New Roman" w:hAnsi="Times New Roman"/>
        </w:rPr>
        <w:t xml:space="preserve">., plan fiduciaries, contributing employers or employee organizations whose members are covered by the plan, participants and beneficiaries and IRA owners), but that in the event a party refuses to disclose information on this basis, it must provide a written notice to the requester advising of the reasons for the refusal and advising that the Department may request such information. </w:t>
      </w:r>
      <w:r w:rsidRPr="0078280B">
        <w:rPr>
          <w:rFonts w:ascii="Times New Roman" w:hAnsi="Times New Roman"/>
        </w:rPr>
        <w:t>The recordkeeping requirement is consistent with other existing exemptions as well as the recordkeeping provisions of the other exemption</w:t>
      </w:r>
      <w:r w:rsidR="0009357C">
        <w:rPr>
          <w:rFonts w:ascii="Times New Roman" w:hAnsi="Times New Roman"/>
        </w:rPr>
        <w:t>s granted and amended</w:t>
      </w:r>
      <w:r w:rsidRPr="0078280B">
        <w:rPr>
          <w:rFonts w:ascii="Times New Roman" w:hAnsi="Times New Roman"/>
        </w:rPr>
        <w:t xml:space="preserve"> in </w:t>
      </w:r>
      <w:r w:rsidR="00987F6D">
        <w:rPr>
          <w:rFonts w:ascii="Times New Roman" w:hAnsi="Times New Roman"/>
        </w:rPr>
        <w:t>connection with the Regulation</w:t>
      </w:r>
      <w:r>
        <w:rPr>
          <w:rFonts w:ascii="Times New Roman" w:hAnsi="Times New Roman"/>
        </w:rPr>
        <w:t xml:space="preserve">, and is intended to be protective of </w:t>
      </w:r>
      <w:r w:rsidRPr="0078280B">
        <w:rPr>
          <w:rFonts w:ascii="Times New Roman" w:hAnsi="Times New Roman"/>
        </w:rPr>
        <w:t>rights of plan participants and beneficiaries and IRA owners</w:t>
      </w:r>
      <w:r>
        <w:rPr>
          <w:rFonts w:ascii="Times New Roman" w:hAnsi="Times New Roman"/>
        </w:rPr>
        <w:t xml:space="preserve"> by ensuring they and the Department can confirm </w:t>
      </w:r>
      <w:r w:rsidR="007F3F3C">
        <w:rPr>
          <w:rFonts w:ascii="Times New Roman" w:hAnsi="Times New Roman"/>
        </w:rPr>
        <w:t xml:space="preserve">that </w:t>
      </w:r>
      <w:r>
        <w:rPr>
          <w:rFonts w:ascii="Times New Roman" w:hAnsi="Times New Roman"/>
        </w:rPr>
        <w:t xml:space="preserve">the </w:t>
      </w:r>
      <w:r w:rsidR="007F3F3C">
        <w:rPr>
          <w:rFonts w:ascii="Times New Roman" w:hAnsi="Times New Roman"/>
        </w:rPr>
        <w:t xml:space="preserve">conditions of the </w:t>
      </w:r>
      <w:r>
        <w:rPr>
          <w:rFonts w:ascii="Times New Roman" w:hAnsi="Times New Roman"/>
        </w:rPr>
        <w:t>exemption ha</w:t>
      </w:r>
      <w:r w:rsidR="007F3F3C">
        <w:rPr>
          <w:rFonts w:ascii="Times New Roman" w:hAnsi="Times New Roman"/>
        </w:rPr>
        <w:t>ve</w:t>
      </w:r>
      <w:r>
        <w:rPr>
          <w:rFonts w:ascii="Times New Roman" w:hAnsi="Times New Roman"/>
        </w:rPr>
        <w:t xml:space="preserve"> been satisfied</w:t>
      </w:r>
      <w:r w:rsidRPr="0078280B">
        <w:rPr>
          <w:rFonts w:ascii="Times New Roman" w:hAnsi="Times New Roman"/>
        </w:rPr>
        <w:t>.</w:t>
      </w:r>
    </w:p>
    <w:p w:rsidR="003132F2" w:rsidRDefault="003132F2" w:rsidP="006A565F">
      <w:pPr>
        <w:ind w:left="720"/>
        <w:rPr>
          <w:rFonts w:ascii="Times New Roman" w:hAnsi="Times New Roman"/>
        </w:rPr>
      </w:pPr>
    </w:p>
    <w:p w:rsidR="00D57B66" w:rsidRDefault="00A019C7" w:rsidP="006A565F">
      <w:pPr>
        <w:ind w:left="720"/>
        <w:rPr>
          <w:rFonts w:ascii="Times New Roman" w:hAnsi="Times New Roman"/>
        </w:rPr>
      </w:pPr>
      <w:r>
        <w:rPr>
          <w:rFonts w:ascii="Times New Roman" w:hAnsi="Times New Roman"/>
        </w:rPr>
        <w:t xml:space="preserve">Additionally, </w:t>
      </w:r>
      <w:bookmarkStart w:id="3" w:name="OLE_LINK1"/>
      <w:bookmarkStart w:id="4" w:name="OLE_LINK2"/>
      <w:r w:rsidR="00962E47">
        <w:rPr>
          <w:rFonts w:ascii="Times New Roman" w:hAnsi="Times New Roman"/>
        </w:rPr>
        <w:t>the amendment</w:t>
      </w:r>
      <w:r w:rsidR="00280826">
        <w:rPr>
          <w:rFonts w:ascii="Times New Roman" w:hAnsi="Times New Roman"/>
        </w:rPr>
        <w:t xml:space="preserve"> to </w:t>
      </w:r>
      <w:r w:rsidR="00962E47">
        <w:rPr>
          <w:rFonts w:ascii="Times New Roman" w:hAnsi="Times New Roman"/>
        </w:rPr>
        <w:t>PTE 84-24</w:t>
      </w:r>
      <w:r w:rsidR="00962E47" w:rsidRPr="0078280B">
        <w:rPr>
          <w:rFonts w:ascii="Times New Roman" w:hAnsi="Times New Roman"/>
        </w:rPr>
        <w:t xml:space="preserve"> </w:t>
      </w:r>
      <w:r w:rsidR="00933DF4" w:rsidRPr="0078280B">
        <w:rPr>
          <w:rFonts w:ascii="Times New Roman" w:hAnsi="Times New Roman"/>
        </w:rPr>
        <w:t xml:space="preserve">would </w:t>
      </w:r>
      <w:r w:rsidR="00933DF4">
        <w:rPr>
          <w:rFonts w:ascii="Times New Roman" w:hAnsi="Times New Roman"/>
        </w:rPr>
        <w:t xml:space="preserve">limit the </w:t>
      </w:r>
      <w:r w:rsidR="00891DCA">
        <w:rPr>
          <w:rFonts w:ascii="Times New Roman" w:hAnsi="Times New Roman"/>
        </w:rPr>
        <w:t xml:space="preserve">scope of the </w:t>
      </w:r>
      <w:r w:rsidR="00933DF4">
        <w:rPr>
          <w:rFonts w:ascii="Times New Roman" w:hAnsi="Times New Roman"/>
        </w:rPr>
        <w:t xml:space="preserve">exemption by revoking relief for insurance agents, insurance brokers and pension consultants to receive a commission in connection with the purchase of annuities that are </w:t>
      </w:r>
      <w:r w:rsidR="00BE2BEC">
        <w:rPr>
          <w:rFonts w:ascii="Times New Roman" w:hAnsi="Times New Roman"/>
        </w:rPr>
        <w:t xml:space="preserve">not </w:t>
      </w:r>
      <w:r w:rsidR="0009357C">
        <w:rPr>
          <w:rFonts w:ascii="Times New Roman" w:hAnsi="Times New Roman"/>
        </w:rPr>
        <w:t>C</w:t>
      </w:r>
      <w:r w:rsidR="00BE2BEC">
        <w:rPr>
          <w:rFonts w:ascii="Times New Roman" w:hAnsi="Times New Roman"/>
        </w:rPr>
        <w:t xml:space="preserve">overed </w:t>
      </w:r>
      <w:r w:rsidR="0009357C">
        <w:rPr>
          <w:rFonts w:ascii="Times New Roman" w:hAnsi="Times New Roman"/>
        </w:rPr>
        <w:t>A</w:t>
      </w:r>
      <w:r w:rsidR="00BE2BEC">
        <w:rPr>
          <w:rFonts w:ascii="Times New Roman" w:hAnsi="Times New Roman"/>
        </w:rPr>
        <w:t>nnuit</w:t>
      </w:r>
      <w:r w:rsidR="0009357C">
        <w:rPr>
          <w:rFonts w:ascii="Times New Roman" w:hAnsi="Times New Roman"/>
        </w:rPr>
        <w:t>y Contracts</w:t>
      </w:r>
      <w:r w:rsidR="00BE2BEC">
        <w:rPr>
          <w:rFonts w:ascii="Times New Roman" w:hAnsi="Times New Roman"/>
        </w:rPr>
        <w:t xml:space="preserve"> </w:t>
      </w:r>
      <w:r w:rsidR="00933DF4">
        <w:rPr>
          <w:rFonts w:ascii="Times New Roman" w:hAnsi="Times New Roman"/>
        </w:rPr>
        <w:t>and for mutual fund principal underwriters to receive a commission in connection with the purchase of mutual fund shares in transactions involving IRAs.</w:t>
      </w:r>
      <w:r w:rsidR="00933DF4" w:rsidRPr="00DE6751">
        <w:rPr>
          <w:rStyle w:val="FootnoteReference"/>
          <w:rFonts w:ascii="Times New Roman" w:hAnsi="Times New Roman"/>
          <w:vertAlign w:val="superscript"/>
        </w:rPr>
        <w:footnoteReference w:id="2"/>
      </w:r>
      <w:r w:rsidR="00933DF4">
        <w:rPr>
          <w:rFonts w:ascii="Times New Roman" w:hAnsi="Times New Roman"/>
        </w:rPr>
        <w:t xml:space="preserve">  The Department is </w:t>
      </w:r>
      <w:r w:rsidR="0009357C">
        <w:rPr>
          <w:rFonts w:ascii="Times New Roman" w:hAnsi="Times New Roman"/>
        </w:rPr>
        <w:t>granting</w:t>
      </w:r>
      <w:r w:rsidR="00BE2BEC">
        <w:rPr>
          <w:rFonts w:ascii="Times New Roman" w:hAnsi="Times New Roman"/>
        </w:rPr>
        <w:t xml:space="preserve"> </w:t>
      </w:r>
      <w:r w:rsidR="00933DF4">
        <w:rPr>
          <w:rFonts w:ascii="Times New Roman" w:hAnsi="Times New Roman"/>
        </w:rPr>
        <w:t xml:space="preserve">a new “Best Interest Contract Exemption” for the </w:t>
      </w:r>
      <w:r w:rsidR="00933DF4" w:rsidRPr="0078280B">
        <w:rPr>
          <w:rFonts w:ascii="Times New Roman" w:hAnsi="Times New Roman"/>
        </w:rPr>
        <w:t xml:space="preserve">receipt of compensation by </w:t>
      </w:r>
      <w:r w:rsidR="00891DCA">
        <w:rPr>
          <w:rFonts w:ascii="Times New Roman" w:hAnsi="Times New Roman"/>
        </w:rPr>
        <w:t xml:space="preserve">investment advice </w:t>
      </w:r>
      <w:r w:rsidR="00933DF4">
        <w:rPr>
          <w:rFonts w:ascii="Times New Roman" w:hAnsi="Times New Roman"/>
        </w:rPr>
        <w:t xml:space="preserve">fiduciaries </w:t>
      </w:r>
      <w:r w:rsidR="0009357C">
        <w:rPr>
          <w:rFonts w:ascii="Times New Roman" w:hAnsi="Times New Roman"/>
        </w:rPr>
        <w:t>in connection with these transactions,</w:t>
      </w:r>
      <w:r w:rsidR="00933DF4">
        <w:rPr>
          <w:rFonts w:ascii="Times New Roman" w:hAnsi="Times New Roman"/>
        </w:rPr>
        <w:t xml:space="preserve"> contemporaneously with the amendment to 84-24.  In the Department’s view, investment </w:t>
      </w:r>
      <w:r w:rsidR="00933DF4">
        <w:rPr>
          <w:rFonts w:ascii="Times New Roman" w:hAnsi="Times New Roman"/>
        </w:rPr>
        <w:lastRenderedPageBreak/>
        <w:t xml:space="preserve">advice transactions involving </w:t>
      </w:r>
      <w:r w:rsidR="0009357C">
        <w:rPr>
          <w:rFonts w:ascii="Times New Roman" w:hAnsi="Times New Roman"/>
        </w:rPr>
        <w:t xml:space="preserve">variable annuities, other </w:t>
      </w:r>
      <w:r w:rsidR="00933DF4">
        <w:rPr>
          <w:rFonts w:ascii="Times New Roman" w:hAnsi="Times New Roman"/>
        </w:rPr>
        <w:t xml:space="preserve">annuities that are </w:t>
      </w:r>
      <w:r w:rsidR="0009357C">
        <w:rPr>
          <w:rFonts w:ascii="Times New Roman" w:hAnsi="Times New Roman"/>
        </w:rPr>
        <w:t xml:space="preserve">non-exempt </w:t>
      </w:r>
      <w:r w:rsidR="00933DF4">
        <w:rPr>
          <w:rFonts w:ascii="Times New Roman" w:hAnsi="Times New Roman"/>
        </w:rPr>
        <w:t>securities</w:t>
      </w:r>
      <w:r w:rsidR="0009357C">
        <w:rPr>
          <w:rFonts w:ascii="Times New Roman" w:hAnsi="Times New Roman"/>
        </w:rPr>
        <w:t xml:space="preserve"> under federal securities laws, and indexed annuities,</w:t>
      </w:r>
      <w:r w:rsidR="00933DF4">
        <w:rPr>
          <w:rFonts w:ascii="Times New Roman" w:hAnsi="Times New Roman"/>
        </w:rPr>
        <w:t xml:space="preserve"> and mutual </w:t>
      </w:r>
      <w:proofErr w:type="gramStart"/>
      <w:r w:rsidR="00933DF4">
        <w:rPr>
          <w:rFonts w:ascii="Times New Roman" w:hAnsi="Times New Roman"/>
        </w:rPr>
        <w:t xml:space="preserve">fund  </w:t>
      </w:r>
      <w:r w:rsidR="0009357C">
        <w:rPr>
          <w:rFonts w:ascii="Times New Roman" w:hAnsi="Times New Roman"/>
        </w:rPr>
        <w:t>transactions</w:t>
      </w:r>
      <w:proofErr w:type="gramEnd"/>
      <w:r w:rsidR="0009357C">
        <w:rPr>
          <w:rFonts w:ascii="Times New Roman" w:hAnsi="Times New Roman"/>
        </w:rPr>
        <w:t xml:space="preserve"> involving </w:t>
      </w:r>
      <w:r w:rsidR="00933DF4">
        <w:rPr>
          <w:rFonts w:ascii="Times New Roman" w:hAnsi="Times New Roman"/>
        </w:rPr>
        <w:t>IRAs</w:t>
      </w:r>
      <w:r w:rsidR="0009357C">
        <w:rPr>
          <w:rFonts w:ascii="Times New Roman" w:hAnsi="Times New Roman"/>
        </w:rPr>
        <w:t>,</w:t>
      </w:r>
      <w:r w:rsidR="00933DF4">
        <w:rPr>
          <w:rFonts w:ascii="Times New Roman" w:hAnsi="Times New Roman"/>
        </w:rPr>
        <w:t xml:space="preserve"> should occur under the conditions of that exemption.  </w:t>
      </w:r>
      <w:r w:rsidR="00933DF4" w:rsidRPr="00933DF4">
        <w:rPr>
          <w:rFonts w:ascii="Times New Roman" w:hAnsi="Times New Roman"/>
        </w:rPr>
        <w:t>On the other hand, the Department h</w:t>
      </w:r>
      <w:r w:rsidR="00280826">
        <w:rPr>
          <w:rFonts w:ascii="Times New Roman" w:hAnsi="Times New Roman"/>
        </w:rPr>
        <w:t>as determined that transactions</w:t>
      </w:r>
      <w:r w:rsidR="00933DF4" w:rsidRPr="00933DF4">
        <w:rPr>
          <w:rFonts w:ascii="Times New Roman" w:hAnsi="Times New Roman"/>
        </w:rPr>
        <w:t xml:space="preserve"> involving insurance and annuity contracts that are </w:t>
      </w:r>
      <w:r w:rsidR="0009357C">
        <w:rPr>
          <w:rFonts w:ascii="Times New Roman" w:hAnsi="Times New Roman"/>
        </w:rPr>
        <w:t>C</w:t>
      </w:r>
      <w:r w:rsidR="00BE2BEC">
        <w:rPr>
          <w:rFonts w:ascii="Times New Roman" w:hAnsi="Times New Roman"/>
        </w:rPr>
        <w:t xml:space="preserve">overed </w:t>
      </w:r>
      <w:r w:rsidR="0009357C">
        <w:rPr>
          <w:rFonts w:ascii="Times New Roman" w:hAnsi="Times New Roman"/>
        </w:rPr>
        <w:t>A</w:t>
      </w:r>
      <w:r w:rsidR="00BE2BEC">
        <w:rPr>
          <w:rFonts w:ascii="Times New Roman" w:hAnsi="Times New Roman"/>
        </w:rPr>
        <w:t>nnuit</w:t>
      </w:r>
      <w:r w:rsidR="0009357C">
        <w:rPr>
          <w:rFonts w:ascii="Times New Roman" w:hAnsi="Times New Roman"/>
        </w:rPr>
        <w:t>y Contracts</w:t>
      </w:r>
      <w:r w:rsidR="00933DF4" w:rsidRPr="00933DF4">
        <w:rPr>
          <w:rFonts w:ascii="Times New Roman" w:hAnsi="Times New Roman"/>
        </w:rPr>
        <w:t xml:space="preserve"> can continue to occur under </w:t>
      </w:r>
      <w:r w:rsidR="00891DCA">
        <w:rPr>
          <w:rFonts w:ascii="Times New Roman" w:hAnsi="Times New Roman"/>
        </w:rPr>
        <w:t xml:space="preserve">the conditions of </w:t>
      </w:r>
      <w:r w:rsidR="00933DF4">
        <w:rPr>
          <w:rFonts w:ascii="Times New Roman" w:hAnsi="Times New Roman"/>
        </w:rPr>
        <w:t>PTE 84-24</w:t>
      </w:r>
      <w:r w:rsidR="00891DCA">
        <w:rPr>
          <w:rFonts w:ascii="Times New Roman" w:hAnsi="Times New Roman"/>
        </w:rPr>
        <w:t>, as amended</w:t>
      </w:r>
      <w:r w:rsidR="00933DF4">
        <w:rPr>
          <w:rFonts w:ascii="Times New Roman" w:hAnsi="Times New Roman"/>
        </w:rPr>
        <w:t>.</w:t>
      </w:r>
      <w:bookmarkEnd w:id="1"/>
      <w:bookmarkEnd w:id="2"/>
      <w:bookmarkEnd w:id="3"/>
      <w:bookmarkEnd w:id="4"/>
    </w:p>
    <w:p w:rsidR="004B2B7D" w:rsidRDefault="004B2B7D" w:rsidP="00DE6751">
      <w:pPr>
        <w:rPr>
          <w:rFonts w:ascii="Times New Roman" w:hAnsi="Times New Roman"/>
        </w:rPr>
      </w:pPr>
    </w:p>
    <w:p w:rsidR="0065485A" w:rsidRDefault="0065485A">
      <w:pPr>
        <w:pStyle w:val="Quick1"/>
        <w:numPr>
          <w:ilvl w:val="0"/>
          <w:numId w:val="1"/>
        </w:numPr>
        <w:rPr>
          <w:rFonts w:ascii="Times New Roman" w:hAnsi="Times New Roman"/>
        </w:rPr>
      </w:pP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65485A" w:rsidRDefault="0065485A" w:rsidP="006A565F">
      <w:pPr>
        <w:ind w:left="720"/>
        <w:rPr>
          <w:rFonts w:ascii="Times New Roman" w:hAnsi="Times New Roman"/>
        </w:rPr>
      </w:pPr>
    </w:p>
    <w:p w:rsidR="006F5847" w:rsidRPr="006F5847" w:rsidRDefault="006F5847" w:rsidP="006A565F">
      <w:pPr>
        <w:ind w:left="720"/>
        <w:rPr>
          <w:rFonts w:ascii="Times New Roman" w:hAnsi="Times New Roman"/>
        </w:rPr>
      </w:pPr>
      <w:r w:rsidRPr="006F5847">
        <w:rPr>
          <w:rFonts w:ascii="Times New Roman" w:hAnsi="Times New Roman"/>
        </w:rPr>
        <w:t xml:space="preserve">In order to receive commissions in conjunction with the purchase of </w:t>
      </w:r>
      <w:r w:rsidR="00FD7FFB">
        <w:rPr>
          <w:rFonts w:ascii="Times New Roman" w:hAnsi="Times New Roman"/>
        </w:rPr>
        <w:t>Covered Annuity Contracts</w:t>
      </w:r>
      <w:r w:rsidRPr="006F5847">
        <w:rPr>
          <w:rFonts w:ascii="Times New Roman" w:hAnsi="Times New Roman"/>
        </w:rPr>
        <w:t xml:space="preserve">, section </w:t>
      </w:r>
      <w:proofErr w:type="gramStart"/>
      <w:r w:rsidRPr="006F5847">
        <w:rPr>
          <w:rFonts w:ascii="Times New Roman" w:hAnsi="Times New Roman"/>
        </w:rPr>
        <w:t>IV(</w:t>
      </w:r>
      <w:proofErr w:type="gramEnd"/>
      <w:r w:rsidRPr="006F5847">
        <w:rPr>
          <w:rFonts w:ascii="Times New Roman" w:hAnsi="Times New Roman"/>
        </w:rPr>
        <w:t>b) of PTE 84-24 requires the insurance agent or broker</w:t>
      </w:r>
      <w:r w:rsidR="0032216E">
        <w:rPr>
          <w:rFonts w:ascii="Times New Roman" w:hAnsi="Times New Roman"/>
        </w:rPr>
        <w:t>,</w:t>
      </w:r>
      <w:r w:rsidRPr="006F5847">
        <w:rPr>
          <w:rFonts w:ascii="Times New Roman" w:hAnsi="Times New Roman"/>
        </w:rPr>
        <w:t xml:space="preserve"> or pension consultant to obtain advance written authorization from a plan fiduciary </w:t>
      </w:r>
      <w:r w:rsidR="004F146C">
        <w:rPr>
          <w:rFonts w:ascii="Times New Roman" w:hAnsi="Times New Roman"/>
        </w:rPr>
        <w:t>(includ</w:t>
      </w:r>
      <w:r w:rsidR="00891DCA">
        <w:rPr>
          <w:rFonts w:ascii="Times New Roman" w:hAnsi="Times New Roman"/>
        </w:rPr>
        <w:t>ing</w:t>
      </w:r>
      <w:r w:rsidR="004F146C">
        <w:rPr>
          <w:rFonts w:ascii="Times New Roman" w:hAnsi="Times New Roman"/>
        </w:rPr>
        <w:t xml:space="preserve"> IRA holders) </w:t>
      </w:r>
      <w:r w:rsidRPr="006F5847">
        <w:rPr>
          <w:rFonts w:ascii="Times New Roman" w:hAnsi="Times New Roman"/>
        </w:rPr>
        <w:t xml:space="preserve">independent of the insurance company (the </w:t>
      </w:r>
      <w:r w:rsidR="00891DCA">
        <w:rPr>
          <w:rFonts w:ascii="Times New Roman" w:hAnsi="Times New Roman"/>
        </w:rPr>
        <w:t xml:space="preserve">independent </w:t>
      </w:r>
      <w:r w:rsidRPr="006F5847">
        <w:rPr>
          <w:rFonts w:ascii="Times New Roman" w:hAnsi="Times New Roman"/>
        </w:rPr>
        <w:t xml:space="preserve">fiduciary) and furnish the </w:t>
      </w:r>
      <w:r w:rsidR="00891DCA">
        <w:rPr>
          <w:rFonts w:ascii="Times New Roman" w:hAnsi="Times New Roman"/>
        </w:rPr>
        <w:t>independent</w:t>
      </w:r>
      <w:r w:rsidRPr="006F5847">
        <w:rPr>
          <w:rFonts w:ascii="Times New Roman" w:hAnsi="Times New Roman"/>
        </w:rPr>
        <w:t xml:space="preserve"> fiduciary with</w:t>
      </w:r>
      <w:r w:rsidR="00891DCA">
        <w:rPr>
          <w:rFonts w:ascii="Times New Roman" w:hAnsi="Times New Roman"/>
        </w:rPr>
        <w:t xml:space="preserve"> a written disclosure</w:t>
      </w:r>
      <w:r w:rsidRPr="006F5847">
        <w:rPr>
          <w:rFonts w:ascii="Times New Roman" w:hAnsi="Times New Roman"/>
        </w:rPr>
        <w:t xml:space="preserve">.  </w:t>
      </w:r>
      <w:r w:rsidR="00891DCA">
        <w:rPr>
          <w:rFonts w:ascii="Times New Roman" w:hAnsi="Times New Roman"/>
        </w:rPr>
        <w:t>The disclosure must include: i</w:t>
      </w:r>
      <w:r w:rsidRPr="006F5847">
        <w:rPr>
          <w:rFonts w:ascii="Times New Roman" w:hAnsi="Times New Roman"/>
        </w:rPr>
        <w:t>f the agent, broker, or consultant is an Affiliate of the insurance company whose contract is being recommended, or if the ability of the agent, broker, or consultant to recommend insurance or annuity contracts is limited by any agreement with the insurance company, the nature of the affiliation, limitation, or relationship</w:t>
      </w:r>
      <w:r w:rsidR="00891DCA">
        <w:rPr>
          <w:rFonts w:ascii="Times New Roman" w:hAnsi="Times New Roman"/>
        </w:rPr>
        <w:t>;</w:t>
      </w:r>
      <w:r w:rsidRPr="006F5847">
        <w:rPr>
          <w:rFonts w:ascii="Times New Roman" w:hAnsi="Times New Roman"/>
        </w:rPr>
        <w:t xml:space="preserve"> the insurance commission</w:t>
      </w:r>
      <w:r w:rsidR="00891DCA">
        <w:rPr>
          <w:rFonts w:ascii="Times New Roman" w:hAnsi="Times New Roman"/>
        </w:rPr>
        <w:t>;</w:t>
      </w:r>
      <w:r w:rsidRPr="006F5847">
        <w:rPr>
          <w:rFonts w:ascii="Times New Roman" w:hAnsi="Times New Roman"/>
        </w:rPr>
        <w:t xml:space="preserve"> and a description of any charges, fees, discounts, penalties, or adjustments which may be imposed under the recommended contract must be disclosed.</w:t>
      </w:r>
    </w:p>
    <w:p w:rsidR="006F5847" w:rsidRPr="006F5847" w:rsidRDefault="006F5847" w:rsidP="006A565F">
      <w:pPr>
        <w:ind w:left="720"/>
        <w:rPr>
          <w:rFonts w:ascii="Times New Roman" w:hAnsi="Times New Roman"/>
        </w:rPr>
      </w:pPr>
    </w:p>
    <w:p w:rsidR="007E49C1" w:rsidRDefault="006F5847" w:rsidP="006A565F">
      <w:pPr>
        <w:ind w:left="720"/>
        <w:rPr>
          <w:rFonts w:ascii="Times New Roman" w:hAnsi="Times New Roman"/>
        </w:rPr>
      </w:pPr>
      <w:r w:rsidRPr="006F5847">
        <w:rPr>
          <w:rFonts w:ascii="Times New Roman" w:hAnsi="Times New Roman"/>
        </w:rPr>
        <w:t xml:space="preserve">In order to receive commissions in conjunction with the purchase </w:t>
      </w:r>
      <w:r w:rsidR="00FD7FFB">
        <w:rPr>
          <w:rFonts w:ascii="Times New Roman" w:hAnsi="Times New Roman"/>
        </w:rPr>
        <w:t xml:space="preserve">by a plan </w:t>
      </w:r>
      <w:r w:rsidRPr="006F5847">
        <w:rPr>
          <w:rFonts w:ascii="Times New Roman" w:hAnsi="Times New Roman"/>
        </w:rPr>
        <w:t>of securities issued by an investment company Principal Underwriter, section IV(c) of PTE 84-24</w:t>
      </w:r>
      <w:r w:rsidR="0032216E">
        <w:rPr>
          <w:rFonts w:ascii="Times New Roman" w:hAnsi="Times New Roman"/>
        </w:rPr>
        <w:t xml:space="preserve"> </w:t>
      </w:r>
      <w:r w:rsidRPr="006F5847">
        <w:rPr>
          <w:rFonts w:ascii="Times New Roman" w:hAnsi="Times New Roman"/>
        </w:rPr>
        <w:t xml:space="preserve">requires the investment company Principal Underwriter to obtain approval from </w:t>
      </w:r>
      <w:r w:rsidR="00891DCA">
        <w:rPr>
          <w:rFonts w:ascii="Times New Roman" w:hAnsi="Times New Roman"/>
        </w:rPr>
        <w:t xml:space="preserve">an </w:t>
      </w:r>
      <w:r w:rsidRPr="006F5847">
        <w:rPr>
          <w:rFonts w:ascii="Times New Roman" w:hAnsi="Times New Roman"/>
        </w:rPr>
        <w:t xml:space="preserve">independent fiduciary and furnish the independent fiduciary with a written disclosure.  </w:t>
      </w:r>
      <w:r w:rsidR="00891DCA">
        <w:rPr>
          <w:rFonts w:ascii="Times New Roman" w:hAnsi="Times New Roman"/>
        </w:rPr>
        <w:t>The disclosure must include: i</w:t>
      </w:r>
      <w:r w:rsidRPr="006F5847">
        <w:rPr>
          <w:rFonts w:ascii="Times New Roman" w:hAnsi="Times New Roman"/>
        </w:rPr>
        <w:t>f the person recommending securities issued by an investment company is the Principal Underwriter of the investment company whose securities are being recommended, the nature of the relationship and of any limitation it places upon the Principal Underwriter’s ability to recommend investment company securities</w:t>
      </w:r>
      <w:r w:rsidR="00891DCA">
        <w:rPr>
          <w:rFonts w:ascii="Times New Roman" w:hAnsi="Times New Roman"/>
        </w:rPr>
        <w:t>;</w:t>
      </w:r>
      <w:r w:rsidRPr="006F5847">
        <w:rPr>
          <w:rFonts w:ascii="Times New Roman" w:hAnsi="Times New Roman"/>
        </w:rPr>
        <w:t xml:space="preserve"> the commission</w:t>
      </w:r>
      <w:r w:rsidR="00891DCA">
        <w:rPr>
          <w:rFonts w:ascii="Times New Roman" w:hAnsi="Times New Roman"/>
        </w:rPr>
        <w:t>;</w:t>
      </w:r>
      <w:r w:rsidRPr="006F5847">
        <w:rPr>
          <w:rFonts w:ascii="Times New Roman" w:hAnsi="Times New Roman"/>
        </w:rPr>
        <w:t xml:space="preserve"> and a description of any charges, fees, discounts, penalties, or adjustments which may be imposed under the recommended securities in connection with the purchase, holding, exchange, termination, or sale of the securities.  Unless facts or circumstances would indicate the contrary, the approval required under section IV(c) may be presumed if the independent fiduciary permits the transaction to proceed after receipt of the written disclosure.</w:t>
      </w:r>
    </w:p>
    <w:p w:rsidR="0069643E" w:rsidRDefault="0069643E" w:rsidP="006A565F">
      <w:pPr>
        <w:ind w:left="720"/>
        <w:rPr>
          <w:rFonts w:ascii="Times New Roman" w:hAnsi="Times New Roman"/>
        </w:rPr>
      </w:pPr>
    </w:p>
    <w:p w:rsidR="0069643E" w:rsidRPr="0069643E" w:rsidRDefault="0069643E" w:rsidP="006A565F">
      <w:pPr>
        <w:ind w:left="720"/>
        <w:rPr>
          <w:rFonts w:ascii="Times New Roman" w:hAnsi="Times New Roman"/>
        </w:rPr>
      </w:pPr>
      <w:r>
        <w:rPr>
          <w:rFonts w:ascii="Times New Roman" w:hAnsi="Times New Roman"/>
        </w:rPr>
        <w:t xml:space="preserve">These </w:t>
      </w:r>
      <w:r w:rsidR="0032216E">
        <w:rPr>
          <w:rFonts w:ascii="Times New Roman" w:hAnsi="Times New Roman"/>
        </w:rPr>
        <w:t xml:space="preserve">disclosure and written authorization </w:t>
      </w:r>
      <w:r>
        <w:rPr>
          <w:rFonts w:ascii="Times New Roman" w:hAnsi="Times New Roman"/>
        </w:rPr>
        <w:t>requirements are designed as appropriate safeguards to ensure the protection of the plan assets involved in the transactions, which, in the absence of the class exemption, would not be permitted.  These safeguards rely on the prior authorization and monitoring of the fiduciary’s activities by a</w:t>
      </w:r>
      <w:r w:rsidR="0032216E">
        <w:rPr>
          <w:rFonts w:ascii="Times New Roman" w:hAnsi="Times New Roman"/>
        </w:rPr>
        <w:t xml:space="preserve">n independent plan </w:t>
      </w:r>
      <w:r w:rsidR="0032216E">
        <w:rPr>
          <w:rFonts w:ascii="Times New Roman" w:hAnsi="Times New Roman"/>
        </w:rPr>
        <w:lastRenderedPageBreak/>
        <w:t>fiduciary</w:t>
      </w:r>
      <w:r w:rsidR="00F16A7B">
        <w:rPr>
          <w:rFonts w:ascii="Times New Roman" w:hAnsi="Times New Roman"/>
        </w:rPr>
        <w:t xml:space="preserve">. </w:t>
      </w:r>
      <w:r w:rsidR="007F3F3C">
        <w:rPr>
          <w:rFonts w:ascii="Times New Roman" w:hAnsi="Times New Roman"/>
        </w:rPr>
        <w:t xml:space="preserve"> Moreover, the </w:t>
      </w:r>
      <w:r w:rsidR="007F3F3C" w:rsidRPr="0078280B">
        <w:rPr>
          <w:rFonts w:ascii="Times New Roman" w:hAnsi="Times New Roman"/>
        </w:rPr>
        <w:t xml:space="preserve">recordkeeping requirement is </w:t>
      </w:r>
      <w:r w:rsidR="007F3F3C">
        <w:rPr>
          <w:rFonts w:ascii="Times New Roman" w:hAnsi="Times New Roman"/>
        </w:rPr>
        <w:t xml:space="preserve">intended to be protective of </w:t>
      </w:r>
      <w:r w:rsidR="007F3F3C" w:rsidRPr="0078280B">
        <w:rPr>
          <w:rFonts w:ascii="Times New Roman" w:hAnsi="Times New Roman"/>
        </w:rPr>
        <w:t>rights of plan participants and beneficiaries and IRA owners</w:t>
      </w:r>
      <w:r w:rsidR="007F3F3C">
        <w:rPr>
          <w:rFonts w:ascii="Times New Roman" w:hAnsi="Times New Roman"/>
        </w:rPr>
        <w:t xml:space="preserve"> by ensuring they and the Department can confirm that the conditions of the exemption has been satisfied</w:t>
      </w:r>
      <w:r>
        <w:rPr>
          <w:rFonts w:ascii="Times New Roman" w:hAnsi="Times New Roman"/>
        </w:rPr>
        <w:t>.</w:t>
      </w:r>
    </w:p>
    <w:p w:rsidR="0065485A" w:rsidRDefault="0065485A" w:rsidP="006A565F">
      <w:pPr>
        <w:ind w:left="720"/>
        <w:rPr>
          <w:rFonts w:ascii="Times New Roman" w:hAnsi="Times New Roman"/>
        </w:rPr>
      </w:pPr>
    </w:p>
    <w:p w:rsidR="009E5C5D" w:rsidRDefault="009E5C5D" w:rsidP="006A565F">
      <w:pPr>
        <w:ind w:left="720"/>
        <w:rPr>
          <w:rFonts w:ascii="Times New Roman" w:hAnsi="Times New Roman"/>
        </w:rPr>
      </w:pPr>
      <w:r>
        <w:rPr>
          <w:rFonts w:ascii="Times New Roman" w:hAnsi="Times New Roman"/>
        </w:rPr>
        <w:t xml:space="preserve">The Department is unable to estimate how frequently records supporting the exempt transactions are examined by either the Department or other parties.  The Department has the authority to request such records and does so from time to time in connection with investigations.  </w:t>
      </w:r>
    </w:p>
    <w:p w:rsidR="001F6551" w:rsidRDefault="001F6551" w:rsidP="006A565F">
      <w:pPr>
        <w:ind w:left="720"/>
        <w:rPr>
          <w:rFonts w:ascii="Times New Roman" w:hAnsi="Times New Roman"/>
        </w:rPr>
      </w:pPr>
    </w:p>
    <w:p w:rsidR="0065485A" w:rsidRDefault="0065485A">
      <w:pPr>
        <w:tabs>
          <w:tab w:val="left" w:pos="-1440"/>
        </w:tabs>
        <w:ind w:left="720" w:hanging="720"/>
        <w:rPr>
          <w:rFonts w:ascii="Times New Roman" w:hAnsi="Times New Roman"/>
          <w:i/>
          <w:iCs/>
        </w:rPr>
      </w:pPr>
      <w:r>
        <w:rPr>
          <w:rFonts w:ascii="Times New Roman" w:hAnsi="Times New Roman"/>
        </w:rPr>
        <w:t>3.</w:t>
      </w:r>
      <w:r>
        <w:rPr>
          <w:rFonts w:ascii="Times New Roman" w:hAnsi="Times New Roman"/>
        </w:rPr>
        <w:tab/>
      </w:r>
      <w:r>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65485A" w:rsidRDefault="0065485A" w:rsidP="006A565F">
      <w:pPr>
        <w:ind w:left="720"/>
        <w:rPr>
          <w:rFonts w:ascii="Times New Roman" w:hAnsi="Times New Roman"/>
        </w:rPr>
      </w:pPr>
    </w:p>
    <w:p w:rsidR="00D4581B" w:rsidRDefault="00D4581B" w:rsidP="00D4581B">
      <w:pPr>
        <w:widowControl/>
        <w:ind w:left="720"/>
        <w:rPr>
          <w:rFonts w:ascii="Times New Roman" w:hAnsi="Times New Roman"/>
        </w:rPr>
      </w:pPr>
      <w:r w:rsidRPr="00747506">
        <w:rPr>
          <w:rFonts w:ascii="Times New Roman" w:hAnsi="Times New Roman"/>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D4581B" w:rsidRDefault="00D4581B" w:rsidP="006A565F">
      <w:pPr>
        <w:ind w:left="720"/>
        <w:rPr>
          <w:rFonts w:ascii="Times New Roman" w:hAnsi="Times New Roman"/>
        </w:rPr>
      </w:pPr>
    </w:p>
    <w:p w:rsidR="0065485A" w:rsidRPr="00FB4276" w:rsidRDefault="007F3F3C" w:rsidP="006A565F">
      <w:pPr>
        <w:ind w:left="720"/>
        <w:rPr>
          <w:rFonts w:ascii="Times New Roman" w:hAnsi="Times New Roman"/>
        </w:rPr>
      </w:pPr>
      <w:r>
        <w:rPr>
          <w:rFonts w:ascii="Times New Roman" w:hAnsi="Times New Roman"/>
        </w:rPr>
        <w:t xml:space="preserve">As further discussed in items 12 and 13 below, the Department has taken into account that some of the disclosures and written authorizations will be delivered electronically. </w:t>
      </w:r>
    </w:p>
    <w:p w:rsidR="0065485A" w:rsidRDefault="0065485A" w:rsidP="006A565F">
      <w:pPr>
        <w:ind w:left="720"/>
        <w:rPr>
          <w:rFonts w:ascii="Times New Roman" w:hAnsi="Times New Roman"/>
        </w:rPr>
      </w:pPr>
    </w:p>
    <w:p w:rsidR="0065485A" w:rsidRDefault="0065485A">
      <w:pPr>
        <w:tabs>
          <w:tab w:val="left" w:pos="-1440"/>
        </w:tabs>
        <w:ind w:left="720" w:hanging="720"/>
        <w:rPr>
          <w:rFonts w:ascii="Times New Roman" w:hAnsi="Times New Roman"/>
        </w:rPr>
      </w:pPr>
      <w:r>
        <w:rPr>
          <w:rFonts w:ascii="Times New Roman" w:hAnsi="Times New Roman"/>
        </w:rPr>
        <w:t>4.</w:t>
      </w:r>
      <w:r>
        <w:rPr>
          <w:rFonts w:ascii="Times New Roman" w:hAnsi="Times New Roman"/>
          <w:i/>
          <w:iCs/>
        </w:rPr>
        <w:tab/>
        <w:t>Describe efforts to identify duplication.  Show specifically why any similar information already available cannot be used or modified for use for the purposes described in Item 2 above.</w:t>
      </w:r>
    </w:p>
    <w:p w:rsidR="0065485A" w:rsidRDefault="0065485A" w:rsidP="006A565F">
      <w:pPr>
        <w:ind w:left="720"/>
        <w:rPr>
          <w:rFonts w:ascii="Times New Roman" w:hAnsi="Times New Roman"/>
        </w:rPr>
      </w:pPr>
    </w:p>
    <w:p w:rsidR="009E5C5D" w:rsidRDefault="009E5C5D" w:rsidP="009E5C5D">
      <w:pPr>
        <w:ind w:left="720"/>
        <w:rPr>
          <w:rFonts w:ascii="Times New Roman" w:hAnsi="Times New Roman"/>
        </w:rPr>
      </w:pPr>
      <w:r>
        <w:rPr>
          <w:rFonts w:ascii="Times New Roman" w:hAnsi="Times New Roman"/>
        </w:rPr>
        <w:t xml:space="preserve">It is likely that duplication of recordkeeping requirements exist with some state and federal banking and securities laws.  However, no duplicate recordkeeping is required because </w:t>
      </w:r>
      <w:r w:rsidR="00745B7E">
        <w:rPr>
          <w:rFonts w:ascii="Times New Roman" w:hAnsi="Times New Roman"/>
        </w:rPr>
        <w:t xml:space="preserve">the exemption allows </w:t>
      </w:r>
      <w:r>
        <w:rPr>
          <w:rFonts w:ascii="Times New Roman" w:hAnsi="Times New Roman"/>
        </w:rPr>
        <w:t>entities to satisfy the requirements of both the exemption and of the other applicable laws through one recordkeeping arrangement.</w:t>
      </w:r>
    </w:p>
    <w:p w:rsidR="0065485A" w:rsidRDefault="0065485A" w:rsidP="006A565F">
      <w:pPr>
        <w:ind w:left="720"/>
        <w:rPr>
          <w:rFonts w:ascii="Times New Roman" w:hAnsi="Times New Roman"/>
        </w:rPr>
      </w:pPr>
    </w:p>
    <w:p w:rsidR="0065485A" w:rsidRDefault="0065485A">
      <w:pPr>
        <w:pStyle w:val="Quick1"/>
        <w:numPr>
          <w:ilvl w:val="0"/>
          <w:numId w:val="2"/>
        </w:numPr>
        <w:tabs>
          <w:tab w:val="left" w:pos="-1440"/>
          <w:tab w:val="num" w:pos="720"/>
        </w:tabs>
        <w:rPr>
          <w:rFonts w:ascii="Times New Roman" w:hAnsi="Times New Roman"/>
          <w:i/>
          <w:iCs/>
        </w:rPr>
      </w:pPr>
      <w:r>
        <w:rPr>
          <w:rFonts w:ascii="Times New Roman" w:hAnsi="Times New Roman"/>
          <w:i/>
          <w:iCs/>
        </w:rPr>
        <w:t>If the collection of information impacts small businesses or other small entities, describe any methods used to minimize burden.</w:t>
      </w:r>
    </w:p>
    <w:p w:rsidR="0065485A" w:rsidRDefault="0065485A" w:rsidP="006A565F">
      <w:pPr>
        <w:ind w:left="720"/>
        <w:rPr>
          <w:rFonts w:ascii="Times New Roman" w:hAnsi="Times New Roman"/>
        </w:rPr>
      </w:pPr>
    </w:p>
    <w:p w:rsidR="00704717" w:rsidRDefault="009C5304" w:rsidP="006A565F">
      <w:pPr>
        <w:ind w:left="720"/>
        <w:rPr>
          <w:rFonts w:ascii="Times New Roman" w:hAnsi="Times New Roman"/>
        </w:rPr>
      </w:pPr>
      <w:r>
        <w:rPr>
          <w:rFonts w:ascii="Times New Roman" w:hAnsi="Times New Roman"/>
        </w:rPr>
        <w:t xml:space="preserve">The information collections impose the minimal burden needed to protect </w:t>
      </w:r>
      <w:r w:rsidR="004A7D01">
        <w:rPr>
          <w:rFonts w:ascii="Times New Roman" w:hAnsi="Times New Roman"/>
        </w:rPr>
        <w:t>the</w:t>
      </w:r>
      <w:r>
        <w:rPr>
          <w:rFonts w:ascii="Times New Roman" w:hAnsi="Times New Roman"/>
        </w:rPr>
        <w:t xml:space="preserve"> assets</w:t>
      </w:r>
      <w:r w:rsidR="004A7D01">
        <w:rPr>
          <w:rFonts w:ascii="Times New Roman" w:hAnsi="Times New Roman"/>
        </w:rPr>
        <w:t xml:space="preserve"> of plans, IRAs and non-ERISA plans</w:t>
      </w:r>
      <w:r>
        <w:rPr>
          <w:rFonts w:ascii="Times New Roman" w:hAnsi="Times New Roman"/>
        </w:rPr>
        <w:t xml:space="preserve"> from </w:t>
      </w:r>
      <w:r w:rsidR="004A7D01">
        <w:rPr>
          <w:rFonts w:ascii="Times New Roman" w:hAnsi="Times New Roman"/>
        </w:rPr>
        <w:t>commission payments</w:t>
      </w:r>
      <w:r>
        <w:rPr>
          <w:rFonts w:ascii="Times New Roman" w:hAnsi="Times New Roman"/>
        </w:rPr>
        <w:t xml:space="preserve"> that are tainted by conflicts of interest.  </w:t>
      </w:r>
      <w:r w:rsidR="00F90CF8">
        <w:rPr>
          <w:rFonts w:ascii="Times New Roman" w:hAnsi="Times New Roman"/>
        </w:rPr>
        <w:t>Although t</w:t>
      </w:r>
      <w:r w:rsidR="00704717">
        <w:rPr>
          <w:rFonts w:ascii="Times New Roman" w:hAnsi="Times New Roman"/>
        </w:rPr>
        <w:t xml:space="preserve">he ICR could impact small insurance agents, insurance </w:t>
      </w:r>
      <w:r w:rsidR="00704717" w:rsidRPr="00FD4631">
        <w:rPr>
          <w:rFonts w:ascii="Times New Roman" w:hAnsi="Times New Roman"/>
        </w:rPr>
        <w:t>brokers</w:t>
      </w:r>
      <w:r w:rsidR="00704717">
        <w:rPr>
          <w:rFonts w:ascii="Times New Roman" w:hAnsi="Times New Roman"/>
        </w:rPr>
        <w:t>,</w:t>
      </w:r>
      <w:r w:rsidR="00F90CF8">
        <w:rPr>
          <w:rFonts w:ascii="Times New Roman" w:hAnsi="Times New Roman"/>
        </w:rPr>
        <w:t xml:space="preserve"> </w:t>
      </w:r>
      <w:r w:rsidR="00704717" w:rsidRPr="00FD4631">
        <w:rPr>
          <w:rFonts w:ascii="Times New Roman" w:hAnsi="Times New Roman"/>
        </w:rPr>
        <w:t>pension consultants</w:t>
      </w:r>
      <w:r w:rsidR="00704717">
        <w:rPr>
          <w:rFonts w:ascii="Times New Roman" w:hAnsi="Times New Roman"/>
        </w:rPr>
        <w:t>, insurance companies, and principal underwrite</w:t>
      </w:r>
      <w:r w:rsidR="00186D0A">
        <w:rPr>
          <w:rFonts w:ascii="Times New Roman" w:hAnsi="Times New Roman"/>
        </w:rPr>
        <w:t>r</w:t>
      </w:r>
      <w:r w:rsidR="00704717">
        <w:rPr>
          <w:rFonts w:ascii="Times New Roman" w:hAnsi="Times New Roman"/>
        </w:rPr>
        <w:t xml:space="preserve">s, the Department believes that most of the impact will be on large entities. The Department has attempted to minimize burden by requiring the disclosures to contain information that is </w:t>
      </w:r>
      <w:r w:rsidR="00704717">
        <w:rPr>
          <w:rFonts w:ascii="Times New Roman" w:hAnsi="Times New Roman"/>
        </w:rPr>
        <w:lastRenderedPageBreak/>
        <w:t xml:space="preserve">readily available to fiduciaries utilizing the exemption and the recordkeeping requirement to </w:t>
      </w:r>
      <w:r w:rsidR="00F90CF8">
        <w:rPr>
          <w:rFonts w:ascii="Times New Roman" w:hAnsi="Times New Roman"/>
        </w:rPr>
        <w:t xml:space="preserve">include </w:t>
      </w:r>
      <w:r w:rsidR="00704717">
        <w:rPr>
          <w:rFonts w:ascii="Times New Roman" w:hAnsi="Times New Roman"/>
        </w:rPr>
        <w:t xml:space="preserve">records </w:t>
      </w:r>
      <w:r w:rsidR="00F90CF8">
        <w:rPr>
          <w:rFonts w:ascii="Times New Roman" w:hAnsi="Times New Roman"/>
        </w:rPr>
        <w:t>that are otherwise m</w:t>
      </w:r>
      <w:r w:rsidR="00704717">
        <w:rPr>
          <w:rFonts w:ascii="Times New Roman" w:hAnsi="Times New Roman"/>
        </w:rPr>
        <w:t xml:space="preserve">aintained </w:t>
      </w:r>
      <w:r w:rsidR="00F90CF8">
        <w:rPr>
          <w:rFonts w:ascii="Times New Roman" w:hAnsi="Times New Roman"/>
        </w:rPr>
        <w:t xml:space="preserve">in </w:t>
      </w:r>
      <w:r w:rsidR="00704717">
        <w:rPr>
          <w:rFonts w:ascii="Times New Roman" w:hAnsi="Times New Roman"/>
        </w:rPr>
        <w:t xml:space="preserve">the normal cost of business. </w:t>
      </w:r>
      <w:r w:rsidR="00F16A7B">
        <w:rPr>
          <w:rFonts w:ascii="Times New Roman" w:hAnsi="Times New Roman"/>
        </w:rPr>
        <w:t xml:space="preserve"> </w:t>
      </w:r>
      <w:r w:rsidR="00745B7E">
        <w:rPr>
          <w:rFonts w:ascii="Times New Roman" w:hAnsi="Times New Roman"/>
        </w:rPr>
        <w:t>T</w:t>
      </w:r>
      <w:r w:rsidR="00DA1664">
        <w:rPr>
          <w:rFonts w:ascii="Times New Roman" w:hAnsi="Times New Roman"/>
        </w:rPr>
        <w:t xml:space="preserve">he information collection </w:t>
      </w:r>
      <w:r w:rsidR="00745B7E">
        <w:rPr>
          <w:rFonts w:ascii="Times New Roman" w:hAnsi="Times New Roman"/>
        </w:rPr>
        <w:t xml:space="preserve">must </w:t>
      </w:r>
      <w:r w:rsidR="00DA1664">
        <w:rPr>
          <w:rFonts w:ascii="Times New Roman" w:hAnsi="Times New Roman"/>
        </w:rPr>
        <w:t>apply</w:t>
      </w:r>
      <w:r w:rsidR="00F90CF8">
        <w:rPr>
          <w:rFonts w:ascii="Times New Roman" w:hAnsi="Times New Roman"/>
        </w:rPr>
        <w:t xml:space="preserve"> equally</w:t>
      </w:r>
      <w:r w:rsidR="00DA1664">
        <w:rPr>
          <w:rFonts w:ascii="Times New Roman" w:hAnsi="Times New Roman"/>
        </w:rPr>
        <w:t xml:space="preserve"> to large and small entities</w:t>
      </w:r>
      <w:r w:rsidR="00F90CF8">
        <w:rPr>
          <w:rFonts w:ascii="Times New Roman" w:hAnsi="Times New Roman"/>
        </w:rPr>
        <w:t xml:space="preserve"> </w:t>
      </w:r>
      <w:r w:rsidR="00DA1664">
        <w:rPr>
          <w:rFonts w:ascii="Times New Roman" w:hAnsi="Times New Roman"/>
        </w:rPr>
        <w:t xml:space="preserve">to ensure that participants and beneficiaries </w:t>
      </w:r>
      <w:r>
        <w:rPr>
          <w:rFonts w:ascii="Times New Roman" w:hAnsi="Times New Roman"/>
        </w:rPr>
        <w:t xml:space="preserve">and IRA owners </w:t>
      </w:r>
      <w:r w:rsidR="00DA1664">
        <w:rPr>
          <w:rFonts w:ascii="Times New Roman" w:hAnsi="Times New Roman"/>
        </w:rPr>
        <w:t xml:space="preserve">are protected when their plans </w:t>
      </w:r>
      <w:r>
        <w:rPr>
          <w:rFonts w:ascii="Times New Roman" w:hAnsi="Times New Roman"/>
        </w:rPr>
        <w:t xml:space="preserve">and IRAs </w:t>
      </w:r>
      <w:r w:rsidR="00DA1664">
        <w:rPr>
          <w:rFonts w:ascii="Times New Roman" w:hAnsi="Times New Roman"/>
        </w:rPr>
        <w:t>engage in transactions that otherwise would be prohibited under ERISA</w:t>
      </w:r>
      <w:r>
        <w:rPr>
          <w:rFonts w:ascii="Times New Roman" w:hAnsi="Times New Roman"/>
        </w:rPr>
        <w:t xml:space="preserve"> and the Code</w:t>
      </w:r>
      <w:r w:rsidR="00DA1664">
        <w:rPr>
          <w:rFonts w:ascii="Times New Roman" w:hAnsi="Times New Roman"/>
        </w:rPr>
        <w:t xml:space="preserve">. </w:t>
      </w:r>
    </w:p>
    <w:p w:rsidR="0065485A" w:rsidRDefault="0065485A" w:rsidP="006A565F">
      <w:pPr>
        <w:ind w:left="720"/>
        <w:rPr>
          <w:rFonts w:ascii="Times New Roman" w:hAnsi="Times New Roman"/>
        </w:rPr>
      </w:pPr>
    </w:p>
    <w:p w:rsidR="0065485A" w:rsidRDefault="0065485A">
      <w:pPr>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65485A" w:rsidRDefault="0065485A" w:rsidP="006A565F">
      <w:pPr>
        <w:ind w:left="720"/>
        <w:rPr>
          <w:rFonts w:ascii="Times New Roman" w:hAnsi="Times New Roman"/>
        </w:rPr>
      </w:pPr>
    </w:p>
    <w:p w:rsidR="00EE6FD4" w:rsidRDefault="00EE6FD4" w:rsidP="006A565F">
      <w:pPr>
        <w:ind w:left="720"/>
        <w:rPr>
          <w:rFonts w:ascii="Times New Roman" w:hAnsi="Times New Roman"/>
        </w:rPr>
      </w:pPr>
      <w:r w:rsidRPr="00AB25C5">
        <w:rPr>
          <w:rFonts w:ascii="Times New Roman" w:hAnsi="Times New Roman"/>
        </w:rPr>
        <w:t xml:space="preserve">The requirements of </w:t>
      </w:r>
      <w:r>
        <w:rPr>
          <w:rFonts w:ascii="Times New Roman" w:hAnsi="Times New Roman"/>
        </w:rPr>
        <w:t xml:space="preserve">this </w:t>
      </w:r>
      <w:r w:rsidRPr="00AB25C5">
        <w:rPr>
          <w:rFonts w:ascii="Times New Roman" w:hAnsi="Times New Roman"/>
        </w:rPr>
        <w:t xml:space="preserve">PTE are only mandatory if </w:t>
      </w:r>
      <w:r>
        <w:rPr>
          <w:rFonts w:ascii="Times New Roman" w:hAnsi="Times New Roman"/>
        </w:rPr>
        <w:t xml:space="preserve">entities </w:t>
      </w:r>
      <w:r w:rsidRPr="00AB25C5">
        <w:rPr>
          <w:rFonts w:ascii="Times New Roman" w:hAnsi="Times New Roman"/>
        </w:rPr>
        <w:t xml:space="preserve">wish to utilize the class exemption.  The frequency is dependent </w:t>
      </w:r>
      <w:r>
        <w:rPr>
          <w:rFonts w:ascii="Times New Roman" w:hAnsi="Times New Roman"/>
        </w:rPr>
        <w:t>up</w:t>
      </w:r>
      <w:r w:rsidRPr="00AB25C5">
        <w:rPr>
          <w:rFonts w:ascii="Times New Roman" w:hAnsi="Times New Roman"/>
        </w:rPr>
        <w:t xml:space="preserve">on the occurrence of such transactions, not on a predetermined time period.  </w:t>
      </w:r>
    </w:p>
    <w:p w:rsidR="00EE6FD4" w:rsidRDefault="00EE6FD4" w:rsidP="006A565F">
      <w:pPr>
        <w:ind w:left="720"/>
        <w:rPr>
          <w:rFonts w:ascii="Times New Roman" w:hAnsi="Times New Roman"/>
        </w:rPr>
      </w:pPr>
    </w:p>
    <w:p w:rsidR="0065485A" w:rsidRDefault="00DA1664" w:rsidP="006A565F">
      <w:pPr>
        <w:ind w:left="720"/>
        <w:rPr>
          <w:rFonts w:ascii="Times New Roman" w:hAnsi="Times New Roman"/>
        </w:rPr>
      </w:pPr>
      <w:r>
        <w:rPr>
          <w:rFonts w:ascii="Times New Roman" w:hAnsi="Times New Roman"/>
        </w:rPr>
        <w:t xml:space="preserve">If the </w:t>
      </w:r>
      <w:r w:rsidR="0065485A">
        <w:rPr>
          <w:rFonts w:ascii="Times New Roman" w:hAnsi="Times New Roman"/>
        </w:rPr>
        <w:t xml:space="preserve">disclosure </w:t>
      </w:r>
      <w:r w:rsidR="00CB5B6A">
        <w:rPr>
          <w:rFonts w:ascii="Times New Roman" w:hAnsi="Times New Roman"/>
        </w:rPr>
        <w:t xml:space="preserve">and recordkeeping </w:t>
      </w:r>
      <w:r w:rsidR="0065485A">
        <w:rPr>
          <w:rFonts w:ascii="Times New Roman" w:hAnsi="Times New Roman"/>
        </w:rPr>
        <w:t xml:space="preserve">requirements </w:t>
      </w:r>
      <w:r>
        <w:rPr>
          <w:rFonts w:ascii="Times New Roman" w:hAnsi="Times New Roman"/>
        </w:rPr>
        <w:t xml:space="preserve">were not included in </w:t>
      </w:r>
      <w:r w:rsidR="0065485A">
        <w:rPr>
          <w:rFonts w:ascii="Times New Roman" w:hAnsi="Times New Roman"/>
        </w:rPr>
        <w:t>PTE 8</w:t>
      </w:r>
      <w:r w:rsidR="0036359D">
        <w:rPr>
          <w:rFonts w:ascii="Times New Roman" w:hAnsi="Times New Roman"/>
        </w:rPr>
        <w:t>4</w:t>
      </w:r>
      <w:r w:rsidR="0065485A">
        <w:rPr>
          <w:rFonts w:ascii="Times New Roman" w:hAnsi="Times New Roman"/>
        </w:rPr>
        <w:t>-</w:t>
      </w:r>
      <w:r w:rsidR="0036359D">
        <w:rPr>
          <w:rFonts w:ascii="Times New Roman" w:hAnsi="Times New Roman"/>
        </w:rPr>
        <w:t>24</w:t>
      </w:r>
      <w:r w:rsidR="0065485A">
        <w:rPr>
          <w:rFonts w:ascii="Times New Roman" w:hAnsi="Times New Roman"/>
        </w:rPr>
        <w:t xml:space="preserve"> </w:t>
      </w:r>
      <w:r>
        <w:rPr>
          <w:rFonts w:ascii="Times New Roman" w:hAnsi="Times New Roman"/>
        </w:rPr>
        <w:t>the Department could not ensure that the exemption is protective of the rights of participants and beneficiaries as required under ERISA section 408(a)</w:t>
      </w:r>
      <w:r w:rsidR="00EE6FD4">
        <w:rPr>
          <w:rFonts w:ascii="Times New Roman" w:hAnsi="Times New Roman"/>
        </w:rPr>
        <w:t xml:space="preserve"> and Code section 4975(c)(2)</w:t>
      </w:r>
      <w:r>
        <w:rPr>
          <w:rFonts w:ascii="Times New Roman" w:hAnsi="Times New Roman"/>
        </w:rPr>
        <w:t>.</w:t>
      </w:r>
    </w:p>
    <w:p w:rsidR="0065485A" w:rsidRDefault="0065485A" w:rsidP="006A565F">
      <w:pPr>
        <w:ind w:left="720"/>
        <w:rPr>
          <w:rFonts w:ascii="Times New Roman" w:hAnsi="Times New Roman"/>
        </w:rPr>
      </w:pPr>
    </w:p>
    <w:p w:rsidR="0065485A" w:rsidRDefault="0065485A">
      <w:pPr>
        <w:pStyle w:val="Quick1"/>
        <w:numPr>
          <w:ilvl w:val="0"/>
          <w:numId w:val="3"/>
        </w:numPr>
        <w:tabs>
          <w:tab w:val="left" w:pos="-1440"/>
          <w:tab w:val="num" w:pos="720"/>
        </w:tabs>
        <w:rPr>
          <w:rFonts w:ascii="Times New Roman" w:hAnsi="Times New Roman"/>
          <w:i/>
          <w:iCs/>
        </w:rPr>
      </w:pPr>
      <w:r>
        <w:rPr>
          <w:rFonts w:ascii="Times New Roman" w:hAnsi="Times New Roman"/>
          <w:i/>
          <w:iCs/>
        </w:rPr>
        <w:t>Explain any special circumstances that would cause an information collection to be conducted in a manner:</w:t>
      </w:r>
    </w:p>
    <w:p w:rsidR="0065485A" w:rsidRDefault="0065485A">
      <w:pPr>
        <w:rPr>
          <w:rFonts w:ascii="Times New Roman" w:hAnsi="Times New Roman"/>
          <w:i/>
          <w:iCs/>
        </w:rPr>
      </w:pPr>
    </w:p>
    <w:p w:rsidR="0065485A" w:rsidRDefault="0065485A">
      <w:pPr>
        <w:pStyle w:val="BodyTextIndent2"/>
      </w:pPr>
      <w:r>
        <w:t>•</w:t>
      </w:r>
      <w:r>
        <w:tab/>
      </w:r>
      <w:proofErr w:type="gramStart"/>
      <w:r>
        <w:t>requiring</w:t>
      </w:r>
      <w:proofErr w:type="gramEnd"/>
      <w:r>
        <w:t xml:space="preserve"> respondents to report information to the agency more often than quarterly;</w:t>
      </w:r>
    </w:p>
    <w:p w:rsidR="0065485A" w:rsidRDefault="0065485A">
      <w:pPr>
        <w:rPr>
          <w:rFonts w:ascii="Times New Roman" w:hAnsi="Times New Roman"/>
          <w:i/>
          <w:iCs/>
        </w:rPr>
      </w:pPr>
    </w:p>
    <w:p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prepare a written response to a collection of information in fewer than 30 days after receipt of it;</w:t>
      </w:r>
    </w:p>
    <w:p w:rsidR="0065485A" w:rsidRDefault="0065485A">
      <w:pPr>
        <w:rPr>
          <w:rFonts w:ascii="Times New Roman" w:hAnsi="Times New Roman"/>
          <w:i/>
          <w:iCs/>
        </w:rPr>
      </w:pPr>
    </w:p>
    <w:p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more than an original and two copies of any document;</w:t>
      </w:r>
    </w:p>
    <w:p w:rsidR="0065485A" w:rsidRDefault="0065485A">
      <w:pPr>
        <w:rPr>
          <w:rFonts w:ascii="Times New Roman" w:hAnsi="Times New Roman"/>
          <w:i/>
          <w:iCs/>
        </w:rPr>
      </w:pPr>
    </w:p>
    <w:p w:rsidR="009B54CB" w:rsidRDefault="0065485A" w:rsidP="009B54CB">
      <w:pPr>
        <w:tabs>
          <w:tab w:val="left" w:pos="-1440"/>
        </w:tabs>
        <w:ind w:left="1440" w:hanging="720"/>
        <w:rPr>
          <w:rFonts w:ascii="Times New Roman" w:eastAsiaTheme="minorHAnsi" w:hAnsi="Times New Roman"/>
          <w:sz w:val="22"/>
          <w:szCs w:val="22"/>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r w:rsidR="009B54CB" w:rsidRPr="009B54CB">
        <w:rPr>
          <w:rFonts w:ascii="Times New Roman" w:eastAsiaTheme="minorHAnsi" w:hAnsi="Times New Roman"/>
          <w:sz w:val="22"/>
          <w:szCs w:val="22"/>
        </w:rPr>
        <w:t xml:space="preserve"> </w:t>
      </w:r>
    </w:p>
    <w:p w:rsidR="0065485A" w:rsidRDefault="0065485A">
      <w:pPr>
        <w:rPr>
          <w:rFonts w:ascii="Times New Roman" w:hAnsi="Times New Roman"/>
          <w:i/>
          <w:iCs/>
        </w:rPr>
      </w:pPr>
    </w:p>
    <w:p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r>
      <w:proofErr w:type="gramStart"/>
      <w:r>
        <w:rPr>
          <w:rFonts w:ascii="Times New Roman" w:hAnsi="Times New Roman"/>
          <w:i/>
          <w:iCs/>
        </w:rPr>
        <w:t>in</w:t>
      </w:r>
      <w:proofErr w:type="gramEnd"/>
      <w:r>
        <w:rPr>
          <w:rFonts w:ascii="Times New Roman" w:hAnsi="Times New Roman"/>
          <w:i/>
          <w:iCs/>
        </w:rPr>
        <w:t xml:space="preserve"> connection with a statistical survey, that is not designed to produce valid and reliable results that can be generalized to the universe of study;</w:t>
      </w:r>
    </w:p>
    <w:p w:rsidR="0065485A" w:rsidRDefault="0065485A">
      <w:pPr>
        <w:rPr>
          <w:rFonts w:ascii="Times New Roman" w:hAnsi="Times New Roman"/>
          <w:i/>
          <w:iCs/>
        </w:rPr>
      </w:pPr>
    </w:p>
    <w:p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rsidR="0065485A" w:rsidRDefault="0065485A">
      <w:pPr>
        <w:rPr>
          <w:rFonts w:ascii="Times New Roman" w:hAnsi="Times New Roman"/>
          <w:i/>
          <w:iCs/>
        </w:rPr>
      </w:pPr>
    </w:p>
    <w:p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 xml:space="preserve">that includes a pledge of confidentiality that is not supported by authority established in statute or regulation, that is not supported by disclosure and data security policies that are consistent with the pledge, or which unnecessarily </w:t>
      </w:r>
      <w:r>
        <w:rPr>
          <w:rFonts w:ascii="Times New Roman" w:hAnsi="Times New Roman"/>
          <w:i/>
          <w:iCs/>
        </w:rPr>
        <w:lastRenderedPageBreak/>
        <w:t>impedes sharing of data with other agencies for compatible confidential use; or</w:t>
      </w:r>
    </w:p>
    <w:p w:rsidR="0065485A" w:rsidRDefault="0065485A">
      <w:pPr>
        <w:rPr>
          <w:rFonts w:ascii="Times New Roman" w:hAnsi="Times New Roman"/>
          <w:i/>
          <w:iCs/>
        </w:rPr>
      </w:pPr>
    </w:p>
    <w:p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65485A" w:rsidRDefault="0065485A" w:rsidP="006A565F">
      <w:pPr>
        <w:ind w:left="720"/>
        <w:rPr>
          <w:rFonts w:ascii="Times New Roman" w:hAnsi="Times New Roman"/>
          <w:i/>
          <w:iCs/>
        </w:rPr>
      </w:pPr>
    </w:p>
    <w:p w:rsidR="0065485A" w:rsidRDefault="00E9607D" w:rsidP="006A565F">
      <w:pPr>
        <w:ind w:left="720"/>
        <w:rPr>
          <w:rFonts w:ascii="Times New Roman" w:hAnsi="Times New Roman"/>
          <w:iCs/>
        </w:rPr>
      </w:pPr>
      <w:r w:rsidRPr="00E9607D">
        <w:rPr>
          <w:rFonts w:ascii="Times New Roman" w:hAnsi="Times New Roman"/>
          <w:iCs/>
        </w:rPr>
        <w:t>Because this exemption is granted under section 408(a) of ERISA and section 4975(c</w:t>
      </w:r>
      <w:proofErr w:type="gramStart"/>
      <w:r w:rsidRPr="00E9607D">
        <w:rPr>
          <w:rFonts w:ascii="Times New Roman" w:hAnsi="Times New Roman"/>
          <w:iCs/>
        </w:rPr>
        <w:t>)(</w:t>
      </w:r>
      <w:proofErr w:type="gramEnd"/>
      <w:r w:rsidRPr="00E9607D">
        <w:rPr>
          <w:rFonts w:ascii="Times New Roman" w:hAnsi="Times New Roman"/>
          <w:iCs/>
        </w:rPr>
        <w:t>2) of the Code, the exclusion from the three year guideline for record retention set forth in 5 CFR 1320.5 is applicable.  Furthermore, as a result of statutory recordkeeping requirements in ERISA, the Code, and other federal laws, the respondents affected by this exemption (financial institutions that deal with employee benefit plans), for the most part, have adopted six-year recordkeeping as standard business practice in order to satisfy those separate recordkeeping requirements.</w:t>
      </w:r>
    </w:p>
    <w:p w:rsidR="00E9607D" w:rsidRDefault="00E9607D" w:rsidP="006A565F">
      <w:pPr>
        <w:ind w:left="720"/>
        <w:rPr>
          <w:rFonts w:ascii="Times New Roman" w:hAnsi="Times New Roman"/>
          <w:iCs/>
        </w:rPr>
      </w:pPr>
    </w:p>
    <w:p w:rsidR="00E9607D" w:rsidRDefault="00E9607D" w:rsidP="00E9607D">
      <w:pPr>
        <w:ind w:left="720"/>
        <w:rPr>
          <w:rFonts w:ascii="Times New Roman" w:hAnsi="Times New Roman"/>
        </w:rPr>
      </w:pPr>
      <w:r>
        <w:rPr>
          <w:rFonts w:ascii="Times New Roman" w:hAnsi="Times New Roman"/>
        </w:rPr>
        <w:t>Under t</w:t>
      </w:r>
      <w:r w:rsidRPr="00CA0390">
        <w:rPr>
          <w:rFonts w:ascii="Times New Roman" w:hAnsi="Times New Roman"/>
        </w:rPr>
        <w:t>he</w:t>
      </w:r>
      <w:r>
        <w:rPr>
          <w:rFonts w:ascii="Times New Roman" w:hAnsi="Times New Roman"/>
        </w:rPr>
        <w:t xml:space="preserve"> recordkeeping provisions of the </w:t>
      </w:r>
      <w:r w:rsidR="009E5C5D">
        <w:rPr>
          <w:rFonts w:ascii="Times New Roman" w:hAnsi="Times New Roman"/>
        </w:rPr>
        <w:t xml:space="preserve">amended </w:t>
      </w:r>
      <w:r>
        <w:rPr>
          <w:rFonts w:ascii="Times New Roman" w:hAnsi="Times New Roman"/>
        </w:rPr>
        <w:t>exemption, fiduciaries</w:t>
      </w:r>
      <w:r w:rsidRPr="00CA0390">
        <w:rPr>
          <w:rFonts w:ascii="Times New Roman" w:hAnsi="Times New Roman"/>
        </w:rPr>
        <w:t xml:space="preserve"> are not required to disclose </w:t>
      </w:r>
      <w:r>
        <w:rPr>
          <w:rFonts w:ascii="Times New Roman" w:hAnsi="Times New Roman"/>
        </w:rPr>
        <w:t xml:space="preserve">records that are </w:t>
      </w:r>
      <w:r w:rsidRPr="00CA0390">
        <w:rPr>
          <w:rFonts w:ascii="Times New Roman" w:hAnsi="Times New Roman"/>
        </w:rPr>
        <w:t>privileged trade secrets or privileged commercial or financial information to</w:t>
      </w:r>
      <w:r>
        <w:rPr>
          <w:rFonts w:ascii="Times New Roman" w:hAnsi="Times New Roman"/>
        </w:rPr>
        <w:t xml:space="preserve"> plan fiduciaries, participants or beneficiaries, IRA owners, or their representatives.  However, if</w:t>
      </w:r>
      <w:r w:rsidRPr="00CA0390">
        <w:rPr>
          <w:rFonts w:ascii="Times New Roman" w:hAnsi="Times New Roman"/>
        </w:rPr>
        <w:t xml:space="preserve"> the </w:t>
      </w:r>
      <w:r>
        <w:rPr>
          <w:rFonts w:ascii="Times New Roman" w:hAnsi="Times New Roman"/>
        </w:rPr>
        <w:t>fiduciary</w:t>
      </w:r>
      <w:r w:rsidRPr="00CA0390">
        <w:rPr>
          <w:rFonts w:ascii="Times New Roman" w:hAnsi="Times New Roman"/>
        </w:rPr>
        <w:t xml:space="preserve"> refuse</w:t>
      </w:r>
      <w:r>
        <w:rPr>
          <w:rFonts w:ascii="Times New Roman" w:hAnsi="Times New Roman"/>
        </w:rPr>
        <w:t>s</w:t>
      </w:r>
      <w:r w:rsidRPr="00CA0390">
        <w:rPr>
          <w:rFonts w:ascii="Times New Roman" w:hAnsi="Times New Roman"/>
        </w:rPr>
        <w:t xml:space="preserve"> to disclose information on the basis that the information is exempt from disclosure, the </w:t>
      </w:r>
      <w:r>
        <w:rPr>
          <w:rFonts w:ascii="Times New Roman" w:hAnsi="Times New Roman"/>
        </w:rPr>
        <w:t>f</w:t>
      </w:r>
      <w:r w:rsidRPr="00CA0390">
        <w:rPr>
          <w:rFonts w:ascii="Times New Roman" w:hAnsi="Times New Roman"/>
        </w:rPr>
        <w:t>i</w:t>
      </w:r>
      <w:r>
        <w:rPr>
          <w:rFonts w:ascii="Times New Roman" w:hAnsi="Times New Roman"/>
        </w:rPr>
        <w:t>duciary</w:t>
      </w:r>
      <w:r w:rsidRPr="00CA0390">
        <w:rPr>
          <w:rFonts w:ascii="Times New Roman" w:hAnsi="Times New Roman"/>
        </w:rPr>
        <w:t xml:space="preserve"> must, by the close of the thirtieth (30th) day following the request, provide a written notice advising the requestor of the reasons for the refusal and that the Department may request such information.</w:t>
      </w:r>
    </w:p>
    <w:p w:rsidR="00E9607D" w:rsidRPr="00E9607D" w:rsidRDefault="00E9607D" w:rsidP="006A565F">
      <w:pPr>
        <w:ind w:left="720"/>
        <w:rPr>
          <w:rFonts w:ascii="Times New Roman" w:hAnsi="Times New Roman"/>
        </w:rPr>
      </w:pPr>
    </w:p>
    <w:p w:rsidR="0065485A" w:rsidRDefault="0065485A">
      <w:pPr>
        <w:tabs>
          <w:tab w:val="left" w:pos="-1440"/>
        </w:tabs>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5485A" w:rsidRDefault="0065485A">
      <w:pPr>
        <w:rPr>
          <w:rFonts w:ascii="Times New Roman" w:hAnsi="Times New Roman"/>
          <w:i/>
          <w:iCs/>
        </w:rPr>
      </w:pPr>
    </w:p>
    <w:p w:rsidR="0065485A" w:rsidRDefault="0065485A">
      <w:pPr>
        <w:ind w:left="720"/>
        <w:rPr>
          <w:rFonts w:ascii="Times New Roman" w:hAnsi="Times New Roman"/>
          <w:i/>
          <w:iCs/>
        </w:rPr>
      </w:pPr>
      <w:r>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5485A" w:rsidRDefault="0065485A">
      <w:pPr>
        <w:rPr>
          <w:rFonts w:ascii="Times New Roman" w:hAnsi="Times New Roman"/>
          <w:i/>
          <w:iCs/>
        </w:rPr>
      </w:pPr>
    </w:p>
    <w:p w:rsidR="0065485A" w:rsidRDefault="0065485A">
      <w:pPr>
        <w:ind w:left="720"/>
        <w:rPr>
          <w:rFonts w:ascii="Times New Roman" w:hAnsi="Times New Roman"/>
          <w:i/>
          <w:iCs/>
        </w:rPr>
      </w:pPr>
      <w:r>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5485A" w:rsidRDefault="0065485A" w:rsidP="006A565F">
      <w:pPr>
        <w:ind w:left="720"/>
        <w:rPr>
          <w:rFonts w:ascii="Times New Roman" w:hAnsi="Times New Roman"/>
        </w:rPr>
      </w:pPr>
    </w:p>
    <w:p w:rsidR="006C1BCF" w:rsidRPr="006C1BCF" w:rsidRDefault="006C1BCF" w:rsidP="006C1BCF">
      <w:pPr>
        <w:ind w:left="720"/>
        <w:rPr>
          <w:rFonts w:ascii="Times New Roman" w:hAnsi="Times New Roman"/>
        </w:rPr>
      </w:pPr>
      <w:r w:rsidRPr="006C1BCF">
        <w:rPr>
          <w:rFonts w:ascii="Times New Roman" w:hAnsi="Times New Roman"/>
        </w:rPr>
        <w:t xml:space="preserve">In accordance with 5 CFR 1320.11, the proposed exemption provided the public with 60 </w:t>
      </w:r>
      <w:r w:rsidRPr="006C1BCF">
        <w:rPr>
          <w:rFonts w:ascii="Times New Roman" w:hAnsi="Times New Roman"/>
        </w:rPr>
        <w:lastRenderedPageBreak/>
        <w:t>days to comment on the information collection and burden estimates.  The Department received over 3,000 public comments in response to the proposed rule and accompanying proposed PTEs and proposed amendments to PTEs.  The public comments were posted on the Department’s website at the following two addresses:  http://www.dol.gov/ebsa/regs/cmt-1210-AB32-2.html and http://www.dol.gov/ebsa/regs/cmt-1210-ZA25.html.</w:t>
      </w:r>
    </w:p>
    <w:p w:rsidR="006C1BCF" w:rsidRPr="006C1BCF" w:rsidRDefault="006C1BCF" w:rsidP="006C1BCF">
      <w:pPr>
        <w:ind w:left="720"/>
        <w:rPr>
          <w:rFonts w:ascii="Times New Roman" w:hAnsi="Times New Roman"/>
        </w:rPr>
      </w:pPr>
    </w:p>
    <w:p w:rsidR="006C1BCF" w:rsidRPr="006C1BCF" w:rsidRDefault="006C1BCF" w:rsidP="006C1BCF">
      <w:pPr>
        <w:ind w:left="720"/>
        <w:rPr>
          <w:rFonts w:ascii="Times New Roman" w:hAnsi="Times New Roman"/>
        </w:rPr>
      </w:pPr>
      <w:r w:rsidRPr="006C1BCF">
        <w:rPr>
          <w:rFonts w:ascii="Times New Roman" w:hAnsi="Times New Roman"/>
        </w:rPr>
        <w:t>Additionally, the Department held four days of public hearings during August 2015 on the proposed rule and accompanying proposed PTEs and proposed amendments to PTEs.  Transcripts, archived video, and other hearing materials were posted on the Department’s website here:  http://www.dol.gov/ebsa/regs/1210-AB32-2-Hearing.html.</w:t>
      </w:r>
    </w:p>
    <w:p w:rsidR="006C1BCF" w:rsidRPr="006C1BCF" w:rsidRDefault="006C1BCF" w:rsidP="006C1BCF">
      <w:pPr>
        <w:ind w:left="720"/>
        <w:rPr>
          <w:rFonts w:ascii="Times New Roman" w:hAnsi="Times New Roman"/>
        </w:rPr>
      </w:pPr>
    </w:p>
    <w:p w:rsidR="00DF2444" w:rsidRPr="006C1BCF" w:rsidRDefault="006C1BCF" w:rsidP="006C1BCF">
      <w:pPr>
        <w:ind w:left="720"/>
        <w:rPr>
          <w:rFonts w:ascii="Times New Roman" w:hAnsi="Times New Roman"/>
        </w:rPr>
      </w:pPr>
      <w:r w:rsidRPr="006C1BCF">
        <w:rPr>
          <w:rFonts w:ascii="Times New Roman" w:hAnsi="Times New Roman"/>
        </w:rPr>
        <w:t>In the public comments and the public hearing, the Department received considerable feedback regarding the workability of the proposed rule and accompanying proposed PTEs and prop</w:t>
      </w:r>
      <w:r w:rsidR="00A615C3">
        <w:rPr>
          <w:rFonts w:ascii="Times New Roman" w:hAnsi="Times New Roman"/>
        </w:rPr>
        <w:t>osed amendments to PTEs</w:t>
      </w:r>
      <w:r w:rsidR="00A03AD7">
        <w:rPr>
          <w:rFonts w:ascii="Times New Roman" w:hAnsi="Times New Roman"/>
        </w:rPr>
        <w:t xml:space="preserve">. </w:t>
      </w:r>
      <w:r w:rsidR="005F78C5">
        <w:rPr>
          <w:rFonts w:ascii="Times New Roman" w:hAnsi="Times New Roman"/>
        </w:rPr>
        <w:t xml:space="preserve"> </w:t>
      </w:r>
      <w:r w:rsidR="00A03AD7">
        <w:rPr>
          <w:rFonts w:ascii="Times New Roman" w:hAnsi="Times New Roman"/>
        </w:rPr>
        <w:t xml:space="preserve">With respect to </w:t>
      </w:r>
      <w:r w:rsidR="00DF2444">
        <w:rPr>
          <w:rFonts w:ascii="Times New Roman" w:hAnsi="Times New Roman"/>
        </w:rPr>
        <w:t xml:space="preserve">the </w:t>
      </w:r>
      <w:r w:rsidR="00A615C3">
        <w:rPr>
          <w:rFonts w:ascii="Times New Roman" w:hAnsi="Times New Roman"/>
        </w:rPr>
        <w:t>amendments to PTE 84-24</w:t>
      </w:r>
      <w:r w:rsidR="00A03AD7">
        <w:rPr>
          <w:rFonts w:ascii="Times New Roman" w:hAnsi="Times New Roman"/>
        </w:rPr>
        <w:t xml:space="preserve">, the Department received </w:t>
      </w:r>
      <w:r w:rsidR="009414BA">
        <w:rPr>
          <w:rFonts w:ascii="Times New Roman" w:hAnsi="Times New Roman"/>
        </w:rPr>
        <w:t xml:space="preserve">multiple comments from one commenter questioning the basis for </w:t>
      </w:r>
      <w:r w:rsidR="008249B9">
        <w:rPr>
          <w:rFonts w:ascii="Times New Roman" w:hAnsi="Times New Roman"/>
        </w:rPr>
        <w:t>the wage rate inputs</w:t>
      </w:r>
      <w:r w:rsidR="00D91ABB">
        <w:rPr>
          <w:rFonts w:ascii="Times New Roman" w:hAnsi="Times New Roman"/>
        </w:rPr>
        <w:t xml:space="preserve"> used to calculate burden.  In response to these comments, the Department adjusted its methodology for calculating wage rates.  </w:t>
      </w:r>
      <w:r w:rsidR="00DF2444">
        <w:rPr>
          <w:rFonts w:ascii="Times New Roman" w:hAnsi="Times New Roman"/>
        </w:rPr>
        <w:t>Th</w:t>
      </w:r>
      <w:r w:rsidR="00F166CD">
        <w:rPr>
          <w:rFonts w:ascii="Times New Roman" w:hAnsi="Times New Roman"/>
        </w:rPr>
        <w:t xml:space="preserve">is methodological </w:t>
      </w:r>
      <w:r w:rsidR="00DF2444">
        <w:rPr>
          <w:rFonts w:ascii="Times New Roman" w:hAnsi="Times New Roman"/>
        </w:rPr>
        <w:t xml:space="preserve">change </w:t>
      </w:r>
      <w:r w:rsidR="00F166CD">
        <w:rPr>
          <w:rFonts w:ascii="Times New Roman" w:hAnsi="Times New Roman"/>
        </w:rPr>
        <w:t xml:space="preserve">is </w:t>
      </w:r>
      <w:r w:rsidR="00DF2444">
        <w:rPr>
          <w:rFonts w:ascii="Times New Roman" w:hAnsi="Times New Roman"/>
        </w:rPr>
        <w:t>discussed in Questions 12 and 13, where applicable.</w:t>
      </w:r>
    </w:p>
    <w:p w:rsidR="0065485A" w:rsidRDefault="0065485A" w:rsidP="006A565F">
      <w:pPr>
        <w:widowControl/>
        <w:ind w:left="720"/>
        <w:rPr>
          <w:rFonts w:ascii="Times New Roman" w:hAnsi="Times New Roman"/>
        </w:rPr>
      </w:pPr>
    </w:p>
    <w:p w:rsidR="0065485A" w:rsidRDefault="0065485A">
      <w:pPr>
        <w:pStyle w:val="Quick1"/>
        <w:numPr>
          <w:ilvl w:val="0"/>
          <w:numId w:val="4"/>
        </w:numPr>
        <w:tabs>
          <w:tab w:val="left" w:pos="-1440"/>
          <w:tab w:val="num" w:pos="720"/>
        </w:tabs>
        <w:rPr>
          <w:rFonts w:ascii="Times New Roman" w:hAnsi="Times New Roman"/>
          <w:i/>
          <w:iCs/>
        </w:rPr>
      </w:pPr>
      <w:r>
        <w:rPr>
          <w:rFonts w:ascii="Times New Roman" w:hAnsi="Times New Roman"/>
          <w:i/>
          <w:iCs/>
        </w:rPr>
        <w:t>Explain any decision to provide any payment or gift to respondents, other than remuneration of contractors or grantees.</w:t>
      </w:r>
    </w:p>
    <w:p w:rsidR="0065485A" w:rsidRDefault="0065485A" w:rsidP="006A565F">
      <w:pPr>
        <w:ind w:left="720"/>
        <w:rPr>
          <w:rFonts w:ascii="Times New Roman" w:hAnsi="Times New Roman"/>
        </w:rPr>
      </w:pPr>
    </w:p>
    <w:p w:rsidR="0065485A" w:rsidRDefault="0065485A" w:rsidP="006A565F">
      <w:pPr>
        <w:ind w:left="720"/>
        <w:rPr>
          <w:rFonts w:ascii="Times New Roman" w:hAnsi="Times New Roman"/>
        </w:rPr>
      </w:pPr>
      <w:r>
        <w:rPr>
          <w:rFonts w:ascii="Times New Roman" w:hAnsi="Times New Roman"/>
        </w:rPr>
        <w:t>No payments or gifts are provided to respondents.</w:t>
      </w:r>
    </w:p>
    <w:p w:rsidR="0065485A" w:rsidRDefault="0065485A" w:rsidP="006A565F">
      <w:pPr>
        <w:ind w:left="720"/>
        <w:rPr>
          <w:rFonts w:ascii="Times New Roman" w:hAnsi="Times New Roman"/>
        </w:rPr>
      </w:pPr>
    </w:p>
    <w:p w:rsidR="0065485A" w:rsidRDefault="0065485A">
      <w:pPr>
        <w:tabs>
          <w:tab w:val="left" w:pos="-1440"/>
        </w:tabs>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rsidR="0065485A" w:rsidRDefault="0065485A" w:rsidP="006A565F">
      <w:pPr>
        <w:ind w:left="720"/>
        <w:rPr>
          <w:rFonts w:ascii="Times New Roman" w:hAnsi="Times New Roman"/>
        </w:rPr>
      </w:pPr>
    </w:p>
    <w:p w:rsidR="0065485A" w:rsidRDefault="0065485A" w:rsidP="000576FB">
      <w:pPr>
        <w:ind w:left="720"/>
        <w:rPr>
          <w:rFonts w:ascii="Times New Roman" w:hAnsi="Times New Roman"/>
        </w:rPr>
      </w:pPr>
      <w:r>
        <w:rPr>
          <w:rFonts w:ascii="Times New Roman" w:hAnsi="Times New Roman"/>
        </w:rPr>
        <w:t>No assurance of confidentiality was provided.</w:t>
      </w:r>
    </w:p>
    <w:p w:rsidR="0065485A" w:rsidRDefault="0065485A" w:rsidP="006A565F">
      <w:pPr>
        <w:ind w:left="720"/>
        <w:rPr>
          <w:rFonts w:ascii="Times New Roman" w:hAnsi="Times New Roman"/>
        </w:rPr>
      </w:pPr>
    </w:p>
    <w:p w:rsidR="0065485A" w:rsidRDefault="0065485A">
      <w:pPr>
        <w:tabs>
          <w:tab w:val="left" w:pos="-1440"/>
        </w:tabs>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5485A" w:rsidRDefault="0065485A" w:rsidP="006A565F">
      <w:pPr>
        <w:ind w:left="720"/>
        <w:rPr>
          <w:rFonts w:ascii="Times New Roman" w:hAnsi="Times New Roman"/>
          <w:i/>
          <w:iCs/>
        </w:rPr>
      </w:pPr>
    </w:p>
    <w:p w:rsidR="0065485A" w:rsidRDefault="0065485A" w:rsidP="000576FB">
      <w:pPr>
        <w:ind w:left="720"/>
        <w:rPr>
          <w:rFonts w:ascii="Times New Roman" w:hAnsi="Times New Roman"/>
        </w:rPr>
      </w:pPr>
      <w:proofErr w:type="gramStart"/>
      <w:r>
        <w:rPr>
          <w:rFonts w:ascii="Times New Roman" w:hAnsi="Times New Roman"/>
        </w:rPr>
        <w:t>None.</w:t>
      </w:r>
      <w:proofErr w:type="gramEnd"/>
    </w:p>
    <w:p w:rsidR="0065485A" w:rsidRDefault="0065485A" w:rsidP="006A565F">
      <w:pPr>
        <w:ind w:left="720"/>
        <w:rPr>
          <w:rFonts w:ascii="Times New Roman" w:hAnsi="Times New Roman"/>
        </w:rPr>
      </w:pPr>
    </w:p>
    <w:p w:rsidR="0065485A" w:rsidRDefault="0065485A">
      <w:pPr>
        <w:tabs>
          <w:tab w:val="left" w:pos="-1440"/>
        </w:tabs>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rsidR="0065485A" w:rsidRDefault="0065485A">
      <w:pPr>
        <w:rPr>
          <w:rFonts w:ascii="Times New Roman" w:hAnsi="Times New Roman"/>
          <w:i/>
          <w:iCs/>
        </w:rPr>
      </w:pPr>
    </w:p>
    <w:p w:rsidR="0065485A" w:rsidRDefault="0065485A">
      <w:pPr>
        <w:tabs>
          <w:tab w:val="left" w:pos="-1440"/>
        </w:tabs>
        <w:ind w:left="1440" w:hanging="720"/>
        <w:rPr>
          <w:rFonts w:ascii="Times New Roman" w:hAnsi="Times New Roman"/>
          <w:i/>
          <w:iCs/>
        </w:rPr>
      </w:pPr>
      <w:r>
        <w:rPr>
          <w:rFonts w:ascii="Times New Roman" w:hAnsi="Times New Roman"/>
          <w:i/>
          <w:iCs/>
        </w:rPr>
        <w:lastRenderedPageBreak/>
        <w:t>•</w:t>
      </w:r>
      <w:r>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5485A" w:rsidRDefault="0065485A">
      <w:pPr>
        <w:tabs>
          <w:tab w:val="left" w:pos="-1440"/>
        </w:tabs>
        <w:ind w:left="1440" w:hanging="720"/>
        <w:rPr>
          <w:rFonts w:ascii="Times New Roman" w:hAnsi="Times New Roman"/>
          <w:i/>
          <w:iCs/>
        </w:rPr>
      </w:pPr>
    </w:p>
    <w:p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If this request for approval covers more than one form, provide separate hour burden estimates for each form and aggregate the hour burdens in Item 13.</w:t>
      </w:r>
    </w:p>
    <w:p w:rsidR="0065485A" w:rsidRDefault="0065485A">
      <w:pPr>
        <w:rPr>
          <w:rFonts w:ascii="Times New Roman" w:hAnsi="Times New Roman"/>
          <w:i/>
          <w:iCs/>
        </w:rPr>
      </w:pPr>
    </w:p>
    <w:p w:rsidR="0065485A" w:rsidRDefault="0065485A">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5485A" w:rsidRDefault="0065485A" w:rsidP="006A565F">
      <w:pPr>
        <w:ind w:left="720"/>
        <w:rPr>
          <w:rFonts w:ascii="Times New Roman" w:hAnsi="Times New Roman"/>
        </w:rPr>
      </w:pPr>
    </w:p>
    <w:p w:rsidR="00D277A2" w:rsidRDefault="00D277A2" w:rsidP="00D277A2">
      <w:pPr>
        <w:ind w:left="720"/>
        <w:rPr>
          <w:rFonts w:ascii="Times New Roman" w:hAnsi="Times New Roman"/>
        </w:rPr>
      </w:pPr>
      <w:r>
        <w:rPr>
          <w:rFonts w:ascii="Times New Roman" w:hAnsi="Times New Roman"/>
        </w:rPr>
        <w:t xml:space="preserve">As discussed in Item 1, above, </w:t>
      </w:r>
      <w:r w:rsidRPr="00760281">
        <w:rPr>
          <w:rFonts w:ascii="Times New Roman" w:hAnsi="Times New Roman"/>
        </w:rPr>
        <w:t xml:space="preserve">Section </w:t>
      </w:r>
      <w:r>
        <w:rPr>
          <w:rFonts w:ascii="Times New Roman" w:hAnsi="Times New Roman"/>
        </w:rPr>
        <w:t>V</w:t>
      </w:r>
      <w:r w:rsidRPr="00760281">
        <w:rPr>
          <w:rFonts w:ascii="Times New Roman" w:hAnsi="Times New Roman"/>
        </w:rPr>
        <w:t xml:space="preserve"> of the class exemption imposes</w:t>
      </w:r>
      <w:r>
        <w:rPr>
          <w:rFonts w:ascii="Times New Roman" w:hAnsi="Times New Roman"/>
        </w:rPr>
        <w:t xml:space="preserve"> written authorization, disclosure, and recordkeeping ICRs.  T</w:t>
      </w:r>
      <w:r w:rsidRPr="0039118B">
        <w:rPr>
          <w:rFonts w:ascii="Times New Roman" w:hAnsi="Times New Roman"/>
        </w:rPr>
        <w:t>he amendment</w:t>
      </w:r>
      <w:r>
        <w:rPr>
          <w:rFonts w:ascii="Times New Roman" w:hAnsi="Times New Roman"/>
        </w:rPr>
        <w:t>s</w:t>
      </w:r>
      <w:r w:rsidRPr="0039118B">
        <w:rPr>
          <w:rFonts w:ascii="Times New Roman" w:hAnsi="Times New Roman"/>
        </w:rPr>
        <w:t xml:space="preserve"> replac</w:t>
      </w:r>
      <w:r>
        <w:rPr>
          <w:rFonts w:ascii="Times New Roman" w:hAnsi="Times New Roman"/>
        </w:rPr>
        <w:t>e</w:t>
      </w:r>
      <w:r w:rsidRPr="0039118B">
        <w:rPr>
          <w:rFonts w:ascii="Times New Roman" w:hAnsi="Times New Roman"/>
        </w:rPr>
        <w:t xml:space="preserve"> the limited recordkeeping requirement in section </w:t>
      </w:r>
      <w:proofErr w:type="gramStart"/>
      <w:r w:rsidRPr="0039118B">
        <w:rPr>
          <w:rFonts w:ascii="Times New Roman" w:hAnsi="Times New Roman"/>
        </w:rPr>
        <w:t>V(</w:t>
      </w:r>
      <w:proofErr w:type="gramEnd"/>
      <w:r w:rsidRPr="0039118B">
        <w:rPr>
          <w:rFonts w:ascii="Times New Roman" w:hAnsi="Times New Roman"/>
        </w:rPr>
        <w:t>e) of PTE 84-24 with a more robust requirement in section V of the amended exemption</w:t>
      </w:r>
      <w:r>
        <w:rPr>
          <w:rFonts w:ascii="Times New Roman" w:hAnsi="Times New Roman"/>
        </w:rPr>
        <w:t xml:space="preserve">.  </w:t>
      </w:r>
      <w:r w:rsidRPr="0039118B">
        <w:rPr>
          <w:rFonts w:ascii="Times New Roman" w:hAnsi="Times New Roman"/>
        </w:rPr>
        <w:t>Additionally, the amendment to PTE 84-24 would limit the scope of the exemption by revoking relief for insurance agents, insurance brokers and pension consultants to receive a commission in connection with the purchase of annuities that are not Covered Annuity Contracts and for mutual fund principal underwriters to receive a commission in connection with the purchase of mutual fund shares in</w:t>
      </w:r>
      <w:r>
        <w:rPr>
          <w:rFonts w:ascii="Times New Roman" w:hAnsi="Times New Roman"/>
        </w:rPr>
        <w:t xml:space="preserve"> transactions involving IRAs.  PTE 84-24</w:t>
      </w:r>
      <w:r w:rsidRPr="0078280B">
        <w:rPr>
          <w:rFonts w:ascii="Times New Roman" w:hAnsi="Times New Roman"/>
        </w:rPr>
        <w:t xml:space="preserve"> w</w:t>
      </w:r>
      <w:r>
        <w:rPr>
          <w:rFonts w:ascii="Times New Roman" w:hAnsi="Times New Roman"/>
        </w:rPr>
        <w:t xml:space="preserve">ill also no longer provide relief for transactions involving annuities that are securities and mutual fund purchases with </w:t>
      </w:r>
      <w:r w:rsidRPr="0078280B">
        <w:rPr>
          <w:rFonts w:ascii="Times New Roman" w:hAnsi="Times New Roman"/>
        </w:rPr>
        <w:t>IRA</w:t>
      </w:r>
      <w:r>
        <w:rPr>
          <w:rFonts w:ascii="Times New Roman" w:hAnsi="Times New Roman"/>
        </w:rPr>
        <w:t>s and other plans defined in Code section 4975(e</w:t>
      </w:r>
      <w:proofErr w:type="gramStart"/>
      <w:r>
        <w:rPr>
          <w:rFonts w:ascii="Times New Roman" w:hAnsi="Times New Roman"/>
        </w:rPr>
        <w:t>)(</w:t>
      </w:r>
      <w:proofErr w:type="gramEnd"/>
      <w:r>
        <w:rPr>
          <w:rFonts w:ascii="Times New Roman" w:hAnsi="Times New Roman"/>
        </w:rPr>
        <w:t>1)(B) through (F)</w:t>
      </w:r>
      <w:r w:rsidRPr="0078280B">
        <w:rPr>
          <w:rFonts w:ascii="Times New Roman" w:hAnsi="Times New Roman"/>
        </w:rPr>
        <w:t>.</w:t>
      </w:r>
      <w:r w:rsidR="007C5711">
        <w:rPr>
          <w:rFonts w:ascii="Times New Roman" w:hAnsi="Times New Roman"/>
        </w:rPr>
        <w:t xml:space="preserve">  </w:t>
      </w:r>
      <w:r>
        <w:rPr>
          <w:rFonts w:ascii="Times New Roman" w:hAnsi="Times New Roman"/>
        </w:rPr>
        <w:t xml:space="preserve">The Department’s estimate of the hour burden associated with the ICRs is discussed below. </w:t>
      </w:r>
    </w:p>
    <w:p w:rsidR="00D277A2" w:rsidRPr="00785249" w:rsidRDefault="00D277A2" w:rsidP="00D277A2">
      <w:pPr>
        <w:pStyle w:val="ListParagraph"/>
        <w:rPr>
          <w:rFonts w:ascii="Times New Roman" w:hAnsi="Times New Roman"/>
        </w:rPr>
      </w:pPr>
    </w:p>
    <w:p w:rsidR="00D277A2" w:rsidRDefault="00D277A2" w:rsidP="00D277A2">
      <w:pPr>
        <w:widowControl/>
        <w:ind w:left="720"/>
        <w:rPr>
          <w:rFonts w:ascii="Times New Roman" w:hAnsi="Times New Roman"/>
        </w:rPr>
      </w:pPr>
      <w:r>
        <w:rPr>
          <w:rFonts w:ascii="Times New Roman" w:hAnsi="Times New Roman"/>
        </w:rPr>
        <w:t xml:space="preserve">According to 2013 Annual Return/Report of Employee Benefit (Form 5500) data and Internal Revenue Service Statistics of Income data, </w:t>
      </w:r>
      <w:r w:rsidR="00BD799B">
        <w:rPr>
          <w:rFonts w:ascii="Times New Roman" w:hAnsi="Times New Roman"/>
        </w:rPr>
        <w:t>t</w:t>
      </w:r>
      <w:r w:rsidR="00C33E3C">
        <w:rPr>
          <w:rFonts w:ascii="Times New Roman" w:hAnsi="Times New Roman"/>
        </w:rPr>
        <w:t xml:space="preserve">he Department </w:t>
      </w:r>
      <w:r>
        <w:rPr>
          <w:rFonts w:ascii="Times New Roman" w:hAnsi="Times New Roman"/>
        </w:rPr>
        <w:t>estimate</w:t>
      </w:r>
      <w:r w:rsidR="00C33E3C">
        <w:rPr>
          <w:rFonts w:ascii="Times New Roman" w:hAnsi="Times New Roman"/>
        </w:rPr>
        <w:t>s</w:t>
      </w:r>
      <w:r>
        <w:rPr>
          <w:rFonts w:ascii="Times New Roman" w:hAnsi="Times New Roman"/>
        </w:rPr>
        <w:t xml:space="preserve"> that there are approximately 681,000 ERISA covered pension plans and approximately 54.4 million individual retirement accounts (IRAs).  </w:t>
      </w:r>
      <w:r w:rsidRPr="00785249">
        <w:rPr>
          <w:rFonts w:ascii="Times New Roman" w:hAnsi="Times New Roman"/>
        </w:rPr>
        <w:t>The Department</w:t>
      </w:r>
      <w:r w:rsidR="00C33E3C">
        <w:rPr>
          <w:rFonts w:ascii="Times New Roman" w:hAnsi="Times New Roman"/>
        </w:rPr>
        <w:t xml:space="preserve"> assumes </w:t>
      </w:r>
      <w:r w:rsidRPr="00785249">
        <w:rPr>
          <w:rFonts w:ascii="Times New Roman" w:hAnsi="Times New Roman"/>
        </w:rPr>
        <w:t xml:space="preserve">that about </w:t>
      </w:r>
      <w:r w:rsidR="00E97C5B">
        <w:rPr>
          <w:rFonts w:ascii="Times New Roman" w:hAnsi="Times New Roman"/>
        </w:rPr>
        <w:t>3</w:t>
      </w:r>
      <w:r w:rsidRPr="00785249">
        <w:rPr>
          <w:rFonts w:ascii="Times New Roman" w:hAnsi="Times New Roman"/>
        </w:rPr>
        <w:t xml:space="preserve">% of these </w:t>
      </w:r>
      <w:proofErr w:type="gramStart"/>
      <w:r w:rsidRPr="00785249">
        <w:rPr>
          <w:rFonts w:ascii="Times New Roman" w:hAnsi="Times New Roman"/>
        </w:rPr>
        <w:t>plans</w:t>
      </w:r>
      <w:proofErr w:type="gramEnd"/>
      <w:r w:rsidRPr="00785249">
        <w:rPr>
          <w:rFonts w:ascii="Times New Roman" w:hAnsi="Times New Roman"/>
        </w:rPr>
        <w:t xml:space="preserve"> (</w:t>
      </w:r>
      <w:r w:rsidR="00E97C5B">
        <w:rPr>
          <w:rFonts w:ascii="Times New Roman" w:hAnsi="Times New Roman"/>
        </w:rPr>
        <w:t>20</w:t>
      </w:r>
      <w:r w:rsidRPr="00785249">
        <w:rPr>
          <w:rFonts w:ascii="Times New Roman" w:hAnsi="Times New Roman"/>
        </w:rPr>
        <w:t>,</w:t>
      </w:r>
      <w:r>
        <w:rPr>
          <w:rFonts w:ascii="Times New Roman" w:hAnsi="Times New Roman"/>
        </w:rPr>
        <w:t>0</w:t>
      </w:r>
      <w:r w:rsidRPr="00785249">
        <w:rPr>
          <w:rFonts w:ascii="Times New Roman" w:hAnsi="Times New Roman"/>
        </w:rPr>
        <w:t xml:space="preserve">00 plans) </w:t>
      </w:r>
      <w:r>
        <w:rPr>
          <w:rFonts w:ascii="Times New Roman" w:hAnsi="Times New Roman"/>
        </w:rPr>
        <w:t xml:space="preserve">and </w:t>
      </w:r>
      <w:r w:rsidR="00E97C5B">
        <w:rPr>
          <w:rFonts w:ascii="Times New Roman" w:hAnsi="Times New Roman"/>
        </w:rPr>
        <w:t>3</w:t>
      </w:r>
      <w:r>
        <w:rPr>
          <w:rFonts w:ascii="Times New Roman" w:hAnsi="Times New Roman"/>
        </w:rPr>
        <w:t>% of these IRAs (</w:t>
      </w:r>
      <w:r w:rsidR="00E97C5B">
        <w:rPr>
          <w:rFonts w:ascii="Times New Roman" w:hAnsi="Times New Roman"/>
        </w:rPr>
        <w:t>1.6</w:t>
      </w:r>
      <w:r>
        <w:rPr>
          <w:rFonts w:ascii="Times New Roman" w:hAnsi="Times New Roman"/>
        </w:rPr>
        <w:t xml:space="preserve"> million IRAs) </w:t>
      </w:r>
      <w:r w:rsidRPr="00785249">
        <w:rPr>
          <w:rFonts w:ascii="Times New Roman" w:hAnsi="Times New Roman"/>
        </w:rPr>
        <w:t xml:space="preserve">use a </w:t>
      </w:r>
      <w:r>
        <w:rPr>
          <w:rFonts w:ascii="Times New Roman" w:hAnsi="Times New Roman"/>
        </w:rPr>
        <w:t>financial institution</w:t>
      </w:r>
      <w:r w:rsidRPr="00785249">
        <w:rPr>
          <w:rFonts w:ascii="Times New Roman" w:hAnsi="Times New Roman"/>
        </w:rPr>
        <w:t xml:space="preserve"> fiduciary that </w:t>
      </w:r>
      <w:r>
        <w:rPr>
          <w:rFonts w:ascii="Times New Roman" w:hAnsi="Times New Roman"/>
        </w:rPr>
        <w:t>will</w:t>
      </w:r>
      <w:r w:rsidRPr="00785249">
        <w:rPr>
          <w:rFonts w:ascii="Times New Roman" w:hAnsi="Times New Roman"/>
        </w:rPr>
        <w:t xml:space="preserve"> take advantage of the exemption.</w:t>
      </w:r>
      <w:r w:rsidR="002756A9" w:rsidRPr="00DE6751">
        <w:rPr>
          <w:rStyle w:val="FootnoteReference"/>
          <w:rFonts w:ascii="Times New Roman" w:hAnsi="Times New Roman"/>
          <w:vertAlign w:val="superscript"/>
        </w:rPr>
        <w:footnoteReference w:id="3"/>
      </w:r>
    </w:p>
    <w:p w:rsidR="00D277A2" w:rsidRPr="00785249" w:rsidRDefault="00D277A2" w:rsidP="00D277A2">
      <w:pPr>
        <w:ind w:left="720"/>
        <w:rPr>
          <w:rFonts w:ascii="Times New Roman" w:hAnsi="Times New Roman"/>
        </w:rPr>
      </w:pPr>
      <w:r w:rsidRPr="00785249">
        <w:rPr>
          <w:rFonts w:ascii="Times New Roman" w:hAnsi="Times New Roman"/>
        </w:rPr>
        <w:t xml:space="preserve"> </w:t>
      </w:r>
    </w:p>
    <w:p w:rsidR="00D277A2" w:rsidRDefault="00D277A2" w:rsidP="00D277A2">
      <w:pPr>
        <w:ind w:left="720"/>
        <w:rPr>
          <w:rFonts w:ascii="Times New Roman" w:hAnsi="Times New Roman"/>
        </w:rPr>
      </w:pPr>
      <w:r>
        <w:rPr>
          <w:rFonts w:ascii="Times New Roman" w:hAnsi="Times New Roman"/>
        </w:rPr>
        <w:t>The Department estimates that a</w:t>
      </w:r>
      <w:r w:rsidRPr="00167143">
        <w:rPr>
          <w:rFonts w:ascii="Times New Roman" w:hAnsi="Times New Roman"/>
        </w:rPr>
        <w:t>pproximately 1,</w:t>
      </w:r>
      <w:r w:rsidR="00915B04">
        <w:rPr>
          <w:rFonts w:ascii="Times New Roman" w:hAnsi="Times New Roman"/>
        </w:rPr>
        <w:t>5</w:t>
      </w:r>
      <w:r w:rsidRPr="00167143">
        <w:rPr>
          <w:rFonts w:ascii="Times New Roman" w:hAnsi="Times New Roman"/>
        </w:rPr>
        <w:t xml:space="preserve">00 Insurance Agents and Brokers, </w:t>
      </w:r>
      <w:r w:rsidRPr="00167143">
        <w:rPr>
          <w:rFonts w:ascii="Times New Roman" w:hAnsi="Times New Roman"/>
        </w:rPr>
        <w:lastRenderedPageBreak/>
        <w:t>Pension Consultants, and Insurance Companies will take advantage of this exemption</w:t>
      </w:r>
      <w:r w:rsidR="006B3D88" w:rsidRPr="009C4531">
        <w:rPr>
          <w:rStyle w:val="FootnoteReference"/>
          <w:rFonts w:ascii="Times New Roman" w:hAnsi="Times New Roman"/>
          <w:vertAlign w:val="superscript"/>
        </w:rPr>
        <w:footnoteReference w:id="4"/>
      </w:r>
      <w:r w:rsidRPr="00167143">
        <w:rPr>
          <w:rFonts w:ascii="Times New Roman" w:hAnsi="Times New Roman"/>
        </w:rPr>
        <w:t xml:space="preserve"> with all of their client plans</w:t>
      </w:r>
      <w:r>
        <w:rPr>
          <w:rFonts w:ascii="Times New Roman" w:hAnsi="Times New Roman"/>
        </w:rPr>
        <w:t xml:space="preserve"> </w:t>
      </w:r>
      <w:r w:rsidR="006B3D88">
        <w:rPr>
          <w:rFonts w:ascii="Times New Roman" w:hAnsi="Times New Roman"/>
        </w:rPr>
        <w:t xml:space="preserve">and IRAs </w:t>
      </w:r>
      <w:r>
        <w:rPr>
          <w:rFonts w:ascii="Times New Roman" w:hAnsi="Times New Roman"/>
        </w:rPr>
        <w:t xml:space="preserve">and </w:t>
      </w:r>
      <w:r w:rsidR="00E62157">
        <w:rPr>
          <w:rFonts w:ascii="Times New Roman" w:hAnsi="Times New Roman"/>
        </w:rPr>
        <w:t>10</w:t>
      </w:r>
      <w:r w:rsidRPr="00167143">
        <w:rPr>
          <w:rFonts w:ascii="Times New Roman" w:hAnsi="Times New Roman"/>
        </w:rPr>
        <w:t xml:space="preserve"> Investment Company Principal Underwriters will take advantage of this exemption once with one client plan.</w:t>
      </w:r>
    </w:p>
    <w:p w:rsidR="00D277A2" w:rsidRDefault="00D277A2" w:rsidP="0039118B">
      <w:pPr>
        <w:ind w:left="720"/>
        <w:rPr>
          <w:rFonts w:ascii="Times New Roman" w:hAnsi="Times New Roman"/>
        </w:rPr>
      </w:pPr>
    </w:p>
    <w:p w:rsidR="00607B7B" w:rsidRPr="00785249" w:rsidRDefault="00E11B8A" w:rsidP="00607B7B">
      <w:pPr>
        <w:ind w:left="720"/>
        <w:rPr>
          <w:rFonts w:ascii="Times New Roman" w:hAnsi="Times New Roman"/>
        </w:rPr>
      </w:pPr>
      <w:r>
        <w:rPr>
          <w:rFonts w:ascii="Times New Roman" w:hAnsi="Times New Roman"/>
        </w:rPr>
        <w:t>For purposes of this analysis, the Department uses the following w</w:t>
      </w:r>
      <w:r w:rsidR="00607B7B" w:rsidRPr="00785249">
        <w:rPr>
          <w:rFonts w:ascii="Times New Roman" w:hAnsi="Times New Roman"/>
        </w:rPr>
        <w:t>age rates</w:t>
      </w:r>
      <w:r w:rsidR="00CC27B2">
        <w:rPr>
          <w:rFonts w:ascii="Times New Roman" w:hAnsi="Times New Roman"/>
        </w:rPr>
        <w:t>:</w:t>
      </w:r>
      <w:r w:rsidR="00607B7B" w:rsidRPr="005B4716">
        <w:rPr>
          <w:rFonts w:ascii="Times New Roman" w:hAnsi="Times New Roman"/>
          <w:iCs/>
          <w:vertAlign w:val="superscript"/>
        </w:rPr>
        <w:footnoteReference w:id="5"/>
      </w:r>
      <w:r w:rsidR="00607B7B">
        <w:rPr>
          <w:rFonts w:ascii="Times New Roman" w:hAnsi="Times New Roman"/>
        </w:rPr>
        <w:t xml:space="preserve">  </w:t>
      </w:r>
      <w:r w:rsidR="00607B7B" w:rsidRPr="00785249">
        <w:rPr>
          <w:rFonts w:ascii="Times New Roman" w:hAnsi="Times New Roman"/>
        </w:rPr>
        <w:t>an in-house rate of $1</w:t>
      </w:r>
      <w:r w:rsidR="00607B7B">
        <w:rPr>
          <w:rFonts w:ascii="Times New Roman" w:hAnsi="Times New Roman"/>
        </w:rPr>
        <w:t>33.61</w:t>
      </w:r>
      <w:r w:rsidR="00607B7B" w:rsidRPr="00785249">
        <w:rPr>
          <w:rFonts w:ascii="Times New Roman" w:hAnsi="Times New Roman"/>
        </w:rPr>
        <w:t xml:space="preserve"> for legal professionals</w:t>
      </w:r>
      <w:r w:rsidR="00607B7B">
        <w:rPr>
          <w:rFonts w:ascii="Times New Roman" w:hAnsi="Times New Roman"/>
        </w:rPr>
        <w:t>,</w:t>
      </w:r>
      <w:r w:rsidR="00607B7B" w:rsidRPr="00785249">
        <w:rPr>
          <w:rFonts w:ascii="Times New Roman" w:hAnsi="Times New Roman"/>
        </w:rPr>
        <w:t xml:space="preserve"> $</w:t>
      </w:r>
      <w:r w:rsidR="00607B7B">
        <w:rPr>
          <w:rFonts w:ascii="Times New Roman" w:hAnsi="Times New Roman"/>
        </w:rPr>
        <w:t>55.21</w:t>
      </w:r>
      <w:r w:rsidR="00607B7B" w:rsidRPr="00785249">
        <w:rPr>
          <w:rFonts w:ascii="Times New Roman" w:hAnsi="Times New Roman"/>
        </w:rPr>
        <w:t xml:space="preserve"> for clerical staff</w:t>
      </w:r>
      <w:r w:rsidR="00607B7B">
        <w:rPr>
          <w:rFonts w:ascii="Times New Roman" w:hAnsi="Times New Roman"/>
        </w:rPr>
        <w:t>, and $167.32 for a financial manager.</w:t>
      </w:r>
      <w:r w:rsidR="00607B7B" w:rsidRPr="00785249">
        <w:rPr>
          <w:rFonts w:ascii="Times New Roman" w:hAnsi="Times New Roman"/>
        </w:rPr>
        <w:t xml:space="preserve"> </w:t>
      </w:r>
      <w:r w:rsidR="00607B7B">
        <w:rPr>
          <w:rFonts w:ascii="Times New Roman" w:hAnsi="Times New Roman"/>
        </w:rPr>
        <w:t xml:space="preserve"> </w:t>
      </w:r>
      <w:r w:rsidR="00607B7B" w:rsidRPr="00785249">
        <w:rPr>
          <w:rFonts w:ascii="Times New Roman" w:hAnsi="Times New Roman"/>
        </w:rPr>
        <w:t>All dollar amounts are measured in 20</w:t>
      </w:r>
      <w:r w:rsidR="00607B7B">
        <w:rPr>
          <w:rFonts w:ascii="Times New Roman" w:hAnsi="Times New Roman"/>
        </w:rPr>
        <w:t>16</w:t>
      </w:r>
      <w:r w:rsidR="00607B7B" w:rsidRPr="00785249">
        <w:rPr>
          <w:rFonts w:ascii="Times New Roman" w:hAnsi="Times New Roman"/>
        </w:rPr>
        <w:t xml:space="preserve"> dollars</w:t>
      </w:r>
      <w:r w:rsidR="00607B7B" w:rsidRPr="005B4716">
        <w:rPr>
          <w:rFonts w:ascii="Times New Roman" w:hAnsi="Times New Roman"/>
        </w:rPr>
        <w:t>.</w:t>
      </w:r>
    </w:p>
    <w:p w:rsidR="00A95426" w:rsidRDefault="00A95426" w:rsidP="006A565F">
      <w:pPr>
        <w:ind w:left="720"/>
        <w:rPr>
          <w:rFonts w:ascii="Times New Roman" w:hAnsi="Times New Roman"/>
        </w:rPr>
      </w:pPr>
    </w:p>
    <w:p w:rsidR="00691402" w:rsidRPr="00785249" w:rsidRDefault="00691402" w:rsidP="00CD7F4A">
      <w:pPr>
        <w:widowControl/>
        <w:numPr>
          <w:ilvl w:val="0"/>
          <w:numId w:val="12"/>
        </w:numPr>
        <w:autoSpaceDE/>
        <w:autoSpaceDN/>
        <w:adjustRightInd/>
        <w:ind w:left="1440" w:hanging="720"/>
        <w:rPr>
          <w:rFonts w:ascii="Times New Roman" w:hAnsi="Times New Roman"/>
        </w:rPr>
      </w:pPr>
      <w:r w:rsidRPr="00785249">
        <w:rPr>
          <w:rFonts w:ascii="Times New Roman" w:hAnsi="Times New Roman"/>
        </w:rPr>
        <w:t xml:space="preserve">Written authorization from the </w:t>
      </w:r>
      <w:r>
        <w:rPr>
          <w:rFonts w:ascii="Times New Roman" w:hAnsi="Times New Roman"/>
        </w:rPr>
        <w:t xml:space="preserve">independent </w:t>
      </w:r>
      <w:r w:rsidRPr="00785249">
        <w:rPr>
          <w:rFonts w:ascii="Times New Roman" w:hAnsi="Times New Roman"/>
        </w:rPr>
        <w:t>plan fiduciary</w:t>
      </w:r>
    </w:p>
    <w:p w:rsidR="00691402" w:rsidRPr="00785249" w:rsidRDefault="00691402" w:rsidP="00691402">
      <w:pPr>
        <w:ind w:left="720"/>
        <w:rPr>
          <w:rFonts w:ascii="Times New Roman" w:hAnsi="Times New Roman"/>
        </w:rPr>
      </w:pPr>
    </w:p>
    <w:p w:rsidR="00691402" w:rsidRDefault="0064347C" w:rsidP="00691402">
      <w:pPr>
        <w:ind w:left="720"/>
        <w:rPr>
          <w:rFonts w:ascii="Times New Roman" w:hAnsi="Times New Roman"/>
        </w:rPr>
      </w:pPr>
      <w:r>
        <w:rPr>
          <w:rFonts w:ascii="Times New Roman" w:hAnsi="Times New Roman"/>
        </w:rPr>
        <w:t>With the amendments to PTE 84-24</w:t>
      </w:r>
      <w:r w:rsidR="00691402" w:rsidRPr="00785249">
        <w:rPr>
          <w:rFonts w:ascii="Times New Roman" w:hAnsi="Times New Roman"/>
        </w:rPr>
        <w:t xml:space="preserve">, the Department estimates that approximately </w:t>
      </w:r>
      <w:r>
        <w:rPr>
          <w:rFonts w:ascii="Times New Roman" w:hAnsi="Times New Roman"/>
        </w:rPr>
        <w:t>20</w:t>
      </w:r>
      <w:r w:rsidR="00691402">
        <w:rPr>
          <w:rFonts w:ascii="Times New Roman" w:hAnsi="Times New Roman"/>
        </w:rPr>
        <w:t>,000</w:t>
      </w:r>
      <w:r w:rsidR="00691402" w:rsidRPr="00785249">
        <w:rPr>
          <w:rFonts w:ascii="Times New Roman" w:hAnsi="Times New Roman"/>
        </w:rPr>
        <w:t xml:space="preserve"> authorizing fiduciaries </w:t>
      </w:r>
      <w:r w:rsidR="00691402">
        <w:rPr>
          <w:rFonts w:ascii="Times New Roman" w:hAnsi="Times New Roman"/>
        </w:rPr>
        <w:t xml:space="preserve">from plans and </w:t>
      </w:r>
      <w:r>
        <w:rPr>
          <w:rFonts w:ascii="Times New Roman" w:hAnsi="Times New Roman"/>
        </w:rPr>
        <w:t>1.6</w:t>
      </w:r>
      <w:r w:rsidR="00691402">
        <w:rPr>
          <w:rFonts w:ascii="Times New Roman" w:hAnsi="Times New Roman"/>
        </w:rPr>
        <w:t xml:space="preserve"> million IRA holders </w:t>
      </w:r>
      <w:r w:rsidR="00691402" w:rsidRPr="00785249">
        <w:rPr>
          <w:rFonts w:ascii="Times New Roman" w:hAnsi="Times New Roman"/>
        </w:rPr>
        <w:t>are expected to send an advance written authorization</w:t>
      </w:r>
      <w:r w:rsidR="00691402">
        <w:rPr>
          <w:rFonts w:ascii="Times New Roman" w:hAnsi="Times New Roman"/>
        </w:rPr>
        <w:t xml:space="preserve"> to the 1,</w:t>
      </w:r>
      <w:r w:rsidR="00915B04">
        <w:rPr>
          <w:rFonts w:ascii="Times New Roman" w:hAnsi="Times New Roman"/>
        </w:rPr>
        <w:t>5</w:t>
      </w:r>
      <w:r w:rsidR="00691402">
        <w:rPr>
          <w:rFonts w:ascii="Times New Roman" w:hAnsi="Times New Roman"/>
        </w:rPr>
        <w:t>00 Insurance Agents and Brokers, Pension Consultants, and Insurance Companies</w:t>
      </w:r>
      <w:r w:rsidR="00691402" w:rsidRPr="00785249">
        <w:rPr>
          <w:rFonts w:ascii="Times New Roman" w:hAnsi="Times New Roman"/>
        </w:rPr>
        <w:t xml:space="preserve">.  </w:t>
      </w:r>
      <w:r w:rsidR="00691402">
        <w:rPr>
          <w:rFonts w:ascii="Times New Roman" w:hAnsi="Times New Roman"/>
        </w:rPr>
        <w:t>In the plan universe, it</w:t>
      </w:r>
      <w:r w:rsidR="00691402" w:rsidRPr="00785249">
        <w:rPr>
          <w:rFonts w:ascii="Times New Roman" w:hAnsi="Times New Roman"/>
        </w:rPr>
        <w:t xml:space="preserve"> is assumed that a legal professional will spend </w:t>
      </w:r>
      <w:r w:rsidR="00691402">
        <w:rPr>
          <w:rFonts w:ascii="Times New Roman" w:hAnsi="Times New Roman"/>
        </w:rPr>
        <w:t>five</w:t>
      </w:r>
      <w:r w:rsidR="00691402" w:rsidRPr="00785249">
        <w:rPr>
          <w:rFonts w:ascii="Times New Roman" w:hAnsi="Times New Roman"/>
        </w:rPr>
        <w:t xml:space="preserve"> hour</w:t>
      </w:r>
      <w:r w:rsidR="00691402">
        <w:rPr>
          <w:rFonts w:ascii="Times New Roman" w:hAnsi="Times New Roman"/>
        </w:rPr>
        <w:t>s</w:t>
      </w:r>
      <w:r w:rsidR="00691402" w:rsidRPr="00785249">
        <w:rPr>
          <w:rFonts w:ascii="Times New Roman" w:hAnsi="Times New Roman"/>
        </w:rPr>
        <w:t xml:space="preserve"> per plan</w:t>
      </w:r>
      <w:r w:rsidR="00691402">
        <w:rPr>
          <w:rFonts w:ascii="Times New Roman" w:hAnsi="Times New Roman"/>
        </w:rPr>
        <w:t xml:space="preserve"> reviewing the disclosures and</w:t>
      </w:r>
      <w:r w:rsidR="00691402" w:rsidRPr="00785249">
        <w:rPr>
          <w:rFonts w:ascii="Times New Roman" w:hAnsi="Times New Roman"/>
        </w:rPr>
        <w:t xml:space="preserve"> preparing an authorization form</w:t>
      </w:r>
      <w:r w:rsidR="00691402">
        <w:rPr>
          <w:rFonts w:ascii="Times New Roman" w:hAnsi="Times New Roman"/>
        </w:rPr>
        <w:t>.</w:t>
      </w:r>
      <w:r w:rsidR="00691402" w:rsidRPr="00785249">
        <w:rPr>
          <w:rFonts w:ascii="Times New Roman" w:hAnsi="Times New Roman"/>
        </w:rPr>
        <w:t xml:space="preserve">  </w:t>
      </w:r>
      <w:r w:rsidR="00691402">
        <w:rPr>
          <w:rFonts w:ascii="Times New Roman" w:hAnsi="Times New Roman"/>
        </w:rPr>
        <w:t xml:space="preserve">In the IRA universe, it is assumed that a legal professional working on behalf of the insurance agent or broker, pension consultant, or insurance company will spend three hours drafting an authorization form for IRA holders to sign.  </w:t>
      </w:r>
      <w:r w:rsidR="00691402" w:rsidRPr="00785249">
        <w:rPr>
          <w:rFonts w:ascii="Times New Roman" w:hAnsi="Times New Roman"/>
        </w:rPr>
        <w:t xml:space="preserve">This results in an hour burden of </w:t>
      </w:r>
      <w:r w:rsidR="009E4E0B">
        <w:rPr>
          <w:rFonts w:ascii="Times New Roman" w:hAnsi="Times New Roman"/>
        </w:rPr>
        <w:t>107</w:t>
      </w:r>
      <w:r w:rsidR="00691402" w:rsidRPr="00785249">
        <w:rPr>
          <w:rFonts w:ascii="Times New Roman" w:hAnsi="Times New Roman"/>
        </w:rPr>
        <w:t>,</w:t>
      </w:r>
      <w:r w:rsidR="00691402">
        <w:rPr>
          <w:rFonts w:ascii="Times New Roman" w:hAnsi="Times New Roman"/>
        </w:rPr>
        <w:t>0</w:t>
      </w:r>
      <w:r w:rsidR="00691402" w:rsidRPr="00785249">
        <w:rPr>
          <w:rFonts w:ascii="Times New Roman" w:hAnsi="Times New Roman"/>
        </w:rPr>
        <w:t>00 hours</w:t>
      </w:r>
      <w:r w:rsidR="00691402" w:rsidRPr="00A146BC">
        <w:rPr>
          <w:rStyle w:val="FootnoteReference"/>
          <w:rFonts w:ascii="Times New Roman" w:hAnsi="Times New Roman"/>
          <w:vertAlign w:val="superscript"/>
        </w:rPr>
        <w:footnoteReference w:id="6"/>
      </w:r>
      <w:r w:rsidR="00691402">
        <w:rPr>
          <w:rFonts w:ascii="Times New Roman" w:hAnsi="Times New Roman"/>
        </w:rPr>
        <w:t xml:space="preserve"> with an equivalent cost of $</w:t>
      </w:r>
      <w:r w:rsidR="009E4E0B">
        <w:rPr>
          <w:rFonts w:ascii="Times New Roman" w:hAnsi="Times New Roman"/>
        </w:rPr>
        <w:t>14.</w:t>
      </w:r>
      <w:r w:rsidR="003922E4">
        <w:rPr>
          <w:rFonts w:ascii="Times New Roman" w:hAnsi="Times New Roman"/>
        </w:rPr>
        <w:t>2</w:t>
      </w:r>
      <w:r w:rsidR="00691402">
        <w:rPr>
          <w:rFonts w:ascii="Times New Roman" w:hAnsi="Times New Roman"/>
        </w:rPr>
        <w:t xml:space="preserve"> million</w:t>
      </w:r>
      <w:r w:rsidR="00691402" w:rsidRPr="00785249">
        <w:rPr>
          <w:rFonts w:ascii="Times New Roman" w:hAnsi="Times New Roman"/>
        </w:rPr>
        <w:t>.</w:t>
      </w:r>
      <w:r w:rsidR="00691402" w:rsidRPr="00A146BC">
        <w:rPr>
          <w:rStyle w:val="FootnoteReference"/>
          <w:rFonts w:ascii="Times New Roman" w:hAnsi="Times New Roman"/>
          <w:vertAlign w:val="superscript"/>
        </w:rPr>
        <w:footnoteReference w:id="7"/>
      </w:r>
      <w:r w:rsidR="00691402" w:rsidRPr="00785249">
        <w:rPr>
          <w:rFonts w:ascii="Times New Roman" w:hAnsi="Times New Roman"/>
        </w:rPr>
        <w:t xml:space="preserve">  </w:t>
      </w:r>
    </w:p>
    <w:p w:rsidR="00691402" w:rsidRDefault="00691402" w:rsidP="00691402">
      <w:pPr>
        <w:ind w:left="720"/>
        <w:rPr>
          <w:rFonts w:ascii="Times New Roman" w:hAnsi="Times New Roman"/>
        </w:rPr>
      </w:pPr>
    </w:p>
    <w:p w:rsidR="00691402" w:rsidRDefault="00691402" w:rsidP="00691402">
      <w:pPr>
        <w:ind w:left="720"/>
        <w:rPr>
          <w:rFonts w:ascii="Times New Roman" w:hAnsi="Times New Roman"/>
        </w:rPr>
      </w:pPr>
      <w:r>
        <w:rPr>
          <w:rFonts w:ascii="Times New Roman" w:hAnsi="Times New Roman"/>
        </w:rPr>
        <w:t>To produce and distribute the authorization, the Department assumes that 51.8 percent of plan authorizations</w:t>
      </w:r>
      <w:r w:rsidR="002E6779" w:rsidRPr="00CD7F4A">
        <w:rPr>
          <w:rStyle w:val="FootnoteReference"/>
          <w:rFonts w:ascii="Times New Roman" w:hAnsi="Times New Roman"/>
          <w:vertAlign w:val="superscript"/>
        </w:rPr>
        <w:footnoteReference w:id="8"/>
      </w:r>
      <w:r>
        <w:rPr>
          <w:rFonts w:ascii="Times New Roman" w:hAnsi="Times New Roman"/>
        </w:rPr>
        <w:t xml:space="preserve"> and 44.1 percent of IRA authorizations will be distributed </w:t>
      </w:r>
      <w:r>
        <w:rPr>
          <w:rFonts w:ascii="Times New Roman" w:hAnsi="Times New Roman"/>
        </w:rPr>
        <w:lastRenderedPageBreak/>
        <w:t>electronically</w:t>
      </w:r>
      <w:r w:rsidR="00FB1576" w:rsidRPr="00CD7F4A">
        <w:rPr>
          <w:rStyle w:val="FootnoteReference"/>
          <w:rFonts w:ascii="Times New Roman" w:hAnsi="Times New Roman"/>
          <w:vertAlign w:val="superscript"/>
        </w:rPr>
        <w:footnoteReference w:id="9"/>
      </w:r>
      <w:r>
        <w:rPr>
          <w:rFonts w:ascii="Times New Roman" w:hAnsi="Times New Roman"/>
        </w:rPr>
        <w:t xml:space="preserve"> through traditional electronic methods at no additional burden, and the remaining 48.2 percent of plan authorizations and 55.9 percent of IRA authorizations will be mailed.  For paper authorizations, the Department </w:t>
      </w:r>
      <w:r w:rsidRPr="00785249">
        <w:rPr>
          <w:rFonts w:ascii="Times New Roman" w:hAnsi="Times New Roman"/>
        </w:rPr>
        <w:t>assume</w:t>
      </w:r>
      <w:r>
        <w:rPr>
          <w:rFonts w:ascii="Times New Roman" w:hAnsi="Times New Roman"/>
        </w:rPr>
        <w:t>s</w:t>
      </w:r>
      <w:r w:rsidRPr="00785249">
        <w:rPr>
          <w:rFonts w:ascii="Times New Roman" w:hAnsi="Times New Roman"/>
        </w:rPr>
        <w:t xml:space="preserve"> that clerical staff will spend </w:t>
      </w:r>
      <w:r>
        <w:rPr>
          <w:rFonts w:ascii="Times New Roman" w:hAnsi="Times New Roman"/>
        </w:rPr>
        <w:t>two minutes</w:t>
      </w:r>
      <w:r w:rsidRPr="00785249">
        <w:rPr>
          <w:rFonts w:ascii="Times New Roman" w:hAnsi="Times New Roman"/>
        </w:rPr>
        <w:t xml:space="preserve"> preparing and sending the authorization resulting in an hour burden of</w:t>
      </w:r>
      <w:r>
        <w:rPr>
          <w:rFonts w:ascii="Times New Roman" w:hAnsi="Times New Roman"/>
        </w:rPr>
        <w:t xml:space="preserve"> approximately</w:t>
      </w:r>
      <w:r w:rsidRPr="00785249">
        <w:rPr>
          <w:rFonts w:ascii="Times New Roman" w:hAnsi="Times New Roman"/>
        </w:rPr>
        <w:t xml:space="preserve"> </w:t>
      </w:r>
      <w:r w:rsidR="00CC685F">
        <w:rPr>
          <w:rFonts w:ascii="Times New Roman" w:hAnsi="Times New Roman"/>
        </w:rPr>
        <w:t>31</w:t>
      </w:r>
      <w:r>
        <w:rPr>
          <w:rFonts w:ascii="Times New Roman" w:hAnsi="Times New Roman"/>
        </w:rPr>
        <w:t>,000</w:t>
      </w:r>
      <w:r w:rsidRPr="00785249">
        <w:rPr>
          <w:rFonts w:ascii="Times New Roman" w:hAnsi="Times New Roman"/>
        </w:rPr>
        <w:t xml:space="preserve"> hours</w:t>
      </w:r>
      <w:r w:rsidRPr="00A146BC">
        <w:rPr>
          <w:rStyle w:val="FootnoteReference"/>
          <w:rFonts w:ascii="Times New Roman" w:hAnsi="Times New Roman"/>
          <w:vertAlign w:val="superscript"/>
        </w:rPr>
        <w:footnoteReference w:id="10"/>
      </w:r>
      <w:r>
        <w:rPr>
          <w:rFonts w:ascii="Times New Roman" w:hAnsi="Times New Roman"/>
        </w:rPr>
        <w:t xml:space="preserve"> with an equivalent cost of $</w:t>
      </w:r>
      <w:r w:rsidR="00CA45CD">
        <w:rPr>
          <w:rFonts w:ascii="Times New Roman" w:hAnsi="Times New Roman"/>
        </w:rPr>
        <w:t>1.7</w:t>
      </w:r>
      <w:r>
        <w:rPr>
          <w:rFonts w:ascii="Times New Roman" w:hAnsi="Times New Roman"/>
        </w:rPr>
        <w:t xml:space="preserve"> million</w:t>
      </w:r>
      <w:r w:rsidRPr="00785249">
        <w:rPr>
          <w:rFonts w:ascii="Times New Roman" w:hAnsi="Times New Roman"/>
        </w:rPr>
        <w:t>.</w:t>
      </w:r>
      <w:r w:rsidRPr="00A146BC">
        <w:rPr>
          <w:rStyle w:val="FootnoteReference"/>
          <w:rFonts w:ascii="Times New Roman" w:hAnsi="Times New Roman"/>
          <w:vertAlign w:val="superscript"/>
        </w:rPr>
        <w:footnoteReference w:id="11"/>
      </w:r>
      <w:r w:rsidRPr="00785249">
        <w:rPr>
          <w:rFonts w:ascii="Times New Roman" w:hAnsi="Times New Roman"/>
        </w:rPr>
        <w:t xml:space="preserve">  </w:t>
      </w:r>
    </w:p>
    <w:p w:rsidR="00691402" w:rsidRDefault="00691402" w:rsidP="00691402">
      <w:pPr>
        <w:ind w:left="720"/>
        <w:rPr>
          <w:rFonts w:ascii="Times New Roman" w:hAnsi="Times New Roman"/>
        </w:rPr>
      </w:pPr>
    </w:p>
    <w:p w:rsidR="00691402" w:rsidRPr="00785249" w:rsidRDefault="00691402" w:rsidP="00691402">
      <w:pPr>
        <w:ind w:left="720"/>
        <w:rPr>
          <w:rFonts w:ascii="Times New Roman" w:hAnsi="Times New Roman"/>
        </w:rPr>
      </w:pPr>
      <w:r>
        <w:rPr>
          <w:rFonts w:ascii="Times New Roman" w:hAnsi="Times New Roman"/>
        </w:rPr>
        <w:t>In total</w:t>
      </w:r>
      <w:r w:rsidRPr="00785249">
        <w:rPr>
          <w:rFonts w:ascii="Times New Roman" w:hAnsi="Times New Roman"/>
        </w:rPr>
        <w:t xml:space="preserve">, </w:t>
      </w:r>
      <w:r>
        <w:rPr>
          <w:rFonts w:ascii="Times New Roman" w:hAnsi="Times New Roman"/>
        </w:rPr>
        <w:t xml:space="preserve">as seen in the table below, </w:t>
      </w:r>
      <w:r w:rsidRPr="00785249">
        <w:rPr>
          <w:rFonts w:ascii="Times New Roman" w:hAnsi="Times New Roman"/>
        </w:rPr>
        <w:t>the written authorization requirement</w:t>
      </w:r>
      <w:r w:rsidR="003F372A">
        <w:rPr>
          <w:rFonts w:ascii="Times New Roman" w:hAnsi="Times New Roman"/>
        </w:rPr>
        <w:t>, under the new conditions of relief,</w:t>
      </w:r>
      <w:r w:rsidRPr="00785249">
        <w:rPr>
          <w:rFonts w:ascii="Times New Roman" w:hAnsi="Times New Roman"/>
        </w:rPr>
        <w:t xml:space="preserve"> is expected to result in a total hour burden of</w:t>
      </w:r>
      <w:r>
        <w:rPr>
          <w:rFonts w:ascii="Times New Roman" w:hAnsi="Times New Roman"/>
        </w:rPr>
        <w:t xml:space="preserve"> </w:t>
      </w:r>
      <w:r w:rsidR="003F372A">
        <w:rPr>
          <w:rFonts w:ascii="Times New Roman" w:hAnsi="Times New Roman"/>
        </w:rPr>
        <w:t>13</w:t>
      </w:r>
      <w:r w:rsidR="004C1A9E">
        <w:rPr>
          <w:rFonts w:ascii="Times New Roman" w:hAnsi="Times New Roman"/>
        </w:rPr>
        <w:t>7</w:t>
      </w:r>
      <w:r>
        <w:rPr>
          <w:rFonts w:ascii="Times New Roman" w:hAnsi="Times New Roman"/>
        </w:rPr>
        <w:t>,000</w:t>
      </w:r>
      <w:r w:rsidRPr="00785249">
        <w:rPr>
          <w:rFonts w:ascii="Times New Roman" w:hAnsi="Times New Roman"/>
        </w:rPr>
        <w:t xml:space="preserve"> hours with an equivalent cost of $</w:t>
      </w:r>
      <w:r w:rsidR="003F372A">
        <w:rPr>
          <w:rFonts w:ascii="Times New Roman" w:hAnsi="Times New Roman"/>
        </w:rPr>
        <w:t>1</w:t>
      </w:r>
      <w:r w:rsidR="004C1A9E">
        <w:rPr>
          <w:rFonts w:ascii="Times New Roman" w:hAnsi="Times New Roman"/>
        </w:rPr>
        <w:t>5.9</w:t>
      </w:r>
      <w:r>
        <w:rPr>
          <w:rFonts w:ascii="Times New Roman" w:hAnsi="Times New Roman"/>
        </w:rPr>
        <w:t xml:space="preserve"> million</w:t>
      </w:r>
      <w:r w:rsidRPr="00785249">
        <w:rPr>
          <w:rFonts w:ascii="Times New Roman" w:hAnsi="Times New Roman"/>
        </w:rPr>
        <w:t xml:space="preserve">. </w:t>
      </w:r>
    </w:p>
    <w:p w:rsidR="00691402" w:rsidRDefault="00691402" w:rsidP="00691402">
      <w:pPr>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520"/>
        <w:gridCol w:w="2808"/>
      </w:tblGrid>
      <w:tr w:rsidR="00691402" w:rsidRPr="00423E8C" w:rsidTr="00CD7F4A">
        <w:tc>
          <w:tcPr>
            <w:tcW w:w="3420" w:type="dxa"/>
            <w:shd w:val="clear" w:color="auto" w:fill="auto"/>
          </w:tcPr>
          <w:p w:rsidR="00691402" w:rsidRPr="00DE6751" w:rsidRDefault="00691402" w:rsidP="00CD7F4A">
            <w:pPr>
              <w:jc w:val="center"/>
              <w:rPr>
                <w:rFonts w:ascii="Times New Roman" w:hAnsi="Times New Roman"/>
                <w:b/>
              </w:rPr>
            </w:pPr>
            <w:r w:rsidRPr="00DE6751">
              <w:rPr>
                <w:rFonts w:ascii="Times New Roman" w:hAnsi="Times New Roman"/>
                <w:b/>
              </w:rPr>
              <w:t>Activity</w:t>
            </w:r>
          </w:p>
        </w:tc>
        <w:tc>
          <w:tcPr>
            <w:tcW w:w="2520" w:type="dxa"/>
            <w:shd w:val="clear" w:color="auto" w:fill="auto"/>
          </w:tcPr>
          <w:p w:rsidR="00691402" w:rsidRPr="00DE6751" w:rsidRDefault="00691402" w:rsidP="00CD7F4A">
            <w:pPr>
              <w:jc w:val="center"/>
              <w:rPr>
                <w:rFonts w:ascii="Times New Roman" w:hAnsi="Times New Roman"/>
                <w:b/>
              </w:rPr>
            </w:pPr>
            <w:r w:rsidRPr="00DE6751">
              <w:rPr>
                <w:rFonts w:ascii="Times New Roman" w:hAnsi="Times New Roman"/>
                <w:b/>
              </w:rPr>
              <w:t>Burden Hours</w:t>
            </w:r>
          </w:p>
        </w:tc>
        <w:tc>
          <w:tcPr>
            <w:tcW w:w="2808" w:type="dxa"/>
            <w:shd w:val="clear" w:color="auto" w:fill="auto"/>
          </w:tcPr>
          <w:p w:rsidR="00691402" w:rsidRPr="00DE6751" w:rsidRDefault="00691402" w:rsidP="00CD7F4A">
            <w:pPr>
              <w:jc w:val="center"/>
              <w:rPr>
                <w:rFonts w:ascii="Times New Roman" w:hAnsi="Times New Roman"/>
                <w:b/>
              </w:rPr>
            </w:pPr>
            <w:r w:rsidRPr="00DE6751">
              <w:rPr>
                <w:rFonts w:ascii="Times New Roman" w:hAnsi="Times New Roman"/>
                <w:b/>
              </w:rPr>
              <w:t>Equivalent Burden Cost</w:t>
            </w:r>
          </w:p>
        </w:tc>
      </w:tr>
      <w:tr w:rsidR="00691402" w:rsidRPr="00423E8C" w:rsidTr="00CD7F4A">
        <w:tc>
          <w:tcPr>
            <w:tcW w:w="3420" w:type="dxa"/>
            <w:shd w:val="clear" w:color="auto" w:fill="auto"/>
          </w:tcPr>
          <w:p w:rsidR="00691402" w:rsidRPr="00423E8C" w:rsidRDefault="00691402" w:rsidP="00CD7F4A">
            <w:pPr>
              <w:rPr>
                <w:rFonts w:ascii="Times New Roman" w:hAnsi="Times New Roman"/>
              </w:rPr>
            </w:pPr>
            <w:r w:rsidRPr="00423E8C">
              <w:rPr>
                <w:rFonts w:ascii="Times New Roman" w:hAnsi="Times New Roman"/>
              </w:rPr>
              <w:t>Legal</w:t>
            </w:r>
          </w:p>
        </w:tc>
        <w:tc>
          <w:tcPr>
            <w:tcW w:w="2520" w:type="dxa"/>
            <w:shd w:val="clear" w:color="auto" w:fill="auto"/>
          </w:tcPr>
          <w:p w:rsidR="00691402" w:rsidRPr="00423E8C" w:rsidRDefault="003F372A" w:rsidP="003F372A">
            <w:pPr>
              <w:jc w:val="right"/>
              <w:rPr>
                <w:rFonts w:ascii="Times New Roman" w:hAnsi="Times New Roman"/>
              </w:rPr>
            </w:pPr>
            <w:r>
              <w:rPr>
                <w:rFonts w:ascii="Times New Roman" w:hAnsi="Times New Roman"/>
              </w:rPr>
              <w:t>10</w:t>
            </w:r>
            <w:r w:rsidR="00691402">
              <w:rPr>
                <w:rFonts w:ascii="Times New Roman" w:hAnsi="Times New Roman"/>
              </w:rPr>
              <w:t>7</w:t>
            </w:r>
            <w:r w:rsidR="00691402" w:rsidRPr="00423E8C">
              <w:rPr>
                <w:rFonts w:ascii="Times New Roman" w:hAnsi="Times New Roman"/>
              </w:rPr>
              <w:t>,000</w:t>
            </w:r>
          </w:p>
        </w:tc>
        <w:tc>
          <w:tcPr>
            <w:tcW w:w="2808" w:type="dxa"/>
            <w:shd w:val="clear" w:color="auto" w:fill="auto"/>
          </w:tcPr>
          <w:p w:rsidR="00691402" w:rsidRPr="00423E8C" w:rsidRDefault="00691402" w:rsidP="004C1A9E">
            <w:pPr>
              <w:jc w:val="right"/>
              <w:rPr>
                <w:rFonts w:ascii="Times New Roman" w:hAnsi="Times New Roman"/>
              </w:rPr>
            </w:pPr>
            <w:r w:rsidRPr="00423E8C">
              <w:rPr>
                <w:rFonts w:ascii="Times New Roman" w:hAnsi="Times New Roman"/>
              </w:rPr>
              <w:t>$</w:t>
            </w:r>
            <w:r w:rsidR="003F372A">
              <w:rPr>
                <w:rFonts w:ascii="Times New Roman" w:hAnsi="Times New Roman"/>
              </w:rPr>
              <w:t>14.</w:t>
            </w:r>
            <w:r w:rsidR="004C1A9E">
              <w:rPr>
                <w:rFonts w:ascii="Times New Roman" w:hAnsi="Times New Roman"/>
              </w:rPr>
              <w:t>2</w:t>
            </w:r>
            <w:r>
              <w:rPr>
                <w:rFonts w:ascii="Times New Roman" w:hAnsi="Times New Roman"/>
              </w:rPr>
              <w:t xml:space="preserve"> million</w:t>
            </w:r>
          </w:p>
        </w:tc>
      </w:tr>
      <w:tr w:rsidR="00691402" w:rsidRPr="00423E8C" w:rsidTr="00CD7F4A">
        <w:tc>
          <w:tcPr>
            <w:tcW w:w="3420" w:type="dxa"/>
            <w:shd w:val="clear" w:color="auto" w:fill="auto"/>
          </w:tcPr>
          <w:p w:rsidR="00691402" w:rsidRPr="00423E8C" w:rsidRDefault="00691402" w:rsidP="00CD7F4A">
            <w:pPr>
              <w:rPr>
                <w:rFonts w:ascii="Times New Roman" w:hAnsi="Times New Roman"/>
              </w:rPr>
            </w:pPr>
            <w:r w:rsidRPr="00423E8C">
              <w:rPr>
                <w:rFonts w:ascii="Times New Roman" w:hAnsi="Times New Roman"/>
              </w:rPr>
              <w:t>Clerical</w:t>
            </w:r>
          </w:p>
        </w:tc>
        <w:tc>
          <w:tcPr>
            <w:tcW w:w="2520" w:type="dxa"/>
            <w:shd w:val="clear" w:color="auto" w:fill="auto"/>
          </w:tcPr>
          <w:p w:rsidR="00691402" w:rsidRPr="00423E8C" w:rsidRDefault="003F372A" w:rsidP="003F372A">
            <w:pPr>
              <w:jc w:val="right"/>
              <w:rPr>
                <w:rFonts w:ascii="Times New Roman" w:hAnsi="Times New Roman"/>
              </w:rPr>
            </w:pPr>
            <w:r>
              <w:rPr>
                <w:rFonts w:ascii="Times New Roman" w:hAnsi="Times New Roman"/>
              </w:rPr>
              <w:t>31</w:t>
            </w:r>
            <w:r w:rsidR="00691402">
              <w:rPr>
                <w:rFonts w:ascii="Times New Roman" w:hAnsi="Times New Roman"/>
              </w:rPr>
              <w:t>,00</w:t>
            </w:r>
            <w:r w:rsidR="00691402" w:rsidRPr="00423E8C">
              <w:rPr>
                <w:rFonts w:ascii="Times New Roman" w:hAnsi="Times New Roman"/>
              </w:rPr>
              <w:t>0</w:t>
            </w:r>
          </w:p>
        </w:tc>
        <w:tc>
          <w:tcPr>
            <w:tcW w:w="2808" w:type="dxa"/>
            <w:shd w:val="clear" w:color="auto" w:fill="auto"/>
          </w:tcPr>
          <w:p w:rsidR="00691402" w:rsidRPr="00423E8C" w:rsidRDefault="00691402" w:rsidP="003F372A">
            <w:pPr>
              <w:jc w:val="right"/>
              <w:rPr>
                <w:rFonts w:ascii="Times New Roman" w:hAnsi="Times New Roman"/>
              </w:rPr>
            </w:pPr>
            <w:r w:rsidRPr="00423E8C">
              <w:rPr>
                <w:rFonts w:ascii="Times New Roman" w:hAnsi="Times New Roman"/>
              </w:rPr>
              <w:t>$</w:t>
            </w:r>
            <w:r w:rsidR="003F372A">
              <w:rPr>
                <w:rFonts w:ascii="Times New Roman" w:hAnsi="Times New Roman"/>
              </w:rPr>
              <w:t>1.7</w:t>
            </w:r>
            <w:r>
              <w:rPr>
                <w:rFonts w:ascii="Times New Roman" w:hAnsi="Times New Roman"/>
              </w:rPr>
              <w:t xml:space="preserve"> million</w:t>
            </w:r>
          </w:p>
        </w:tc>
      </w:tr>
      <w:tr w:rsidR="00691402" w:rsidRPr="00423E8C" w:rsidTr="00CD7F4A">
        <w:tc>
          <w:tcPr>
            <w:tcW w:w="3420" w:type="dxa"/>
            <w:shd w:val="clear" w:color="auto" w:fill="auto"/>
          </w:tcPr>
          <w:p w:rsidR="00691402" w:rsidRPr="00D123F9" w:rsidRDefault="00691402" w:rsidP="00CD7F4A">
            <w:pPr>
              <w:rPr>
                <w:rFonts w:ascii="Times New Roman" w:hAnsi="Times New Roman"/>
                <w:b/>
              </w:rPr>
            </w:pPr>
            <w:r w:rsidRPr="00D123F9">
              <w:rPr>
                <w:rFonts w:ascii="Times New Roman" w:hAnsi="Times New Roman"/>
                <w:b/>
              </w:rPr>
              <w:t>Total</w:t>
            </w:r>
          </w:p>
        </w:tc>
        <w:tc>
          <w:tcPr>
            <w:tcW w:w="2520" w:type="dxa"/>
            <w:shd w:val="clear" w:color="auto" w:fill="auto"/>
          </w:tcPr>
          <w:p w:rsidR="00691402" w:rsidRPr="00D123F9" w:rsidRDefault="003F372A" w:rsidP="004C1A9E">
            <w:pPr>
              <w:jc w:val="right"/>
              <w:rPr>
                <w:rFonts w:ascii="Times New Roman" w:hAnsi="Times New Roman"/>
                <w:b/>
              </w:rPr>
            </w:pPr>
            <w:r>
              <w:rPr>
                <w:rFonts w:ascii="Times New Roman" w:hAnsi="Times New Roman"/>
                <w:b/>
              </w:rPr>
              <w:t>13</w:t>
            </w:r>
            <w:r w:rsidR="004C1A9E">
              <w:rPr>
                <w:rFonts w:ascii="Times New Roman" w:hAnsi="Times New Roman"/>
                <w:b/>
              </w:rPr>
              <w:t>7</w:t>
            </w:r>
            <w:r w:rsidR="00691402" w:rsidRPr="00D123F9">
              <w:rPr>
                <w:rFonts w:ascii="Times New Roman" w:hAnsi="Times New Roman"/>
                <w:b/>
              </w:rPr>
              <w:t>,</w:t>
            </w:r>
            <w:r w:rsidR="00691402">
              <w:rPr>
                <w:rFonts w:ascii="Times New Roman" w:hAnsi="Times New Roman"/>
                <w:b/>
              </w:rPr>
              <w:t>0</w:t>
            </w:r>
            <w:r w:rsidR="00691402" w:rsidRPr="00D123F9">
              <w:rPr>
                <w:rFonts w:ascii="Times New Roman" w:hAnsi="Times New Roman"/>
                <w:b/>
              </w:rPr>
              <w:t>00</w:t>
            </w:r>
          </w:p>
        </w:tc>
        <w:tc>
          <w:tcPr>
            <w:tcW w:w="2808" w:type="dxa"/>
            <w:shd w:val="clear" w:color="auto" w:fill="auto"/>
          </w:tcPr>
          <w:p w:rsidR="00691402" w:rsidRPr="00D123F9" w:rsidRDefault="00691402" w:rsidP="004C1A9E">
            <w:pPr>
              <w:jc w:val="right"/>
              <w:rPr>
                <w:rFonts w:ascii="Times New Roman" w:hAnsi="Times New Roman"/>
                <w:b/>
              </w:rPr>
            </w:pPr>
            <w:r w:rsidRPr="00D123F9">
              <w:rPr>
                <w:rFonts w:ascii="Times New Roman" w:hAnsi="Times New Roman"/>
                <w:b/>
              </w:rPr>
              <w:t>$</w:t>
            </w:r>
            <w:r w:rsidR="003F372A">
              <w:rPr>
                <w:rFonts w:ascii="Times New Roman" w:hAnsi="Times New Roman"/>
                <w:b/>
              </w:rPr>
              <w:t>1</w:t>
            </w:r>
            <w:r w:rsidR="004C1A9E">
              <w:rPr>
                <w:rFonts w:ascii="Times New Roman" w:hAnsi="Times New Roman"/>
                <w:b/>
              </w:rPr>
              <w:t>5.9</w:t>
            </w:r>
            <w:r>
              <w:rPr>
                <w:rFonts w:ascii="Times New Roman" w:hAnsi="Times New Roman"/>
                <w:b/>
              </w:rPr>
              <w:t xml:space="preserve"> million</w:t>
            </w:r>
          </w:p>
        </w:tc>
      </w:tr>
    </w:tbl>
    <w:p w:rsidR="00691402" w:rsidRPr="00785249" w:rsidRDefault="00691402" w:rsidP="00691402">
      <w:pPr>
        <w:ind w:left="720"/>
        <w:rPr>
          <w:rFonts w:ascii="Times New Roman" w:hAnsi="Times New Roman"/>
        </w:rPr>
      </w:pPr>
    </w:p>
    <w:p w:rsidR="00691402" w:rsidRPr="00785249" w:rsidRDefault="00691402" w:rsidP="00300109">
      <w:pPr>
        <w:widowControl/>
        <w:numPr>
          <w:ilvl w:val="0"/>
          <w:numId w:val="12"/>
        </w:numPr>
        <w:autoSpaceDE/>
        <w:autoSpaceDN/>
        <w:adjustRightInd/>
        <w:ind w:left="1440" w:hanging="720"/>
        <w:rPr>
          <w:rFonts w:ascii="Times New Roman" w:hAnsi="Times New Roman"/>
        </w:rPr>
      </w:pPr>
      <w:r>
        <w:rPr>
          <w:rFonts w:ascii="Times New Roman" w:hAnsi="Times New Roman"/>
        </w:rPr>
        <w:t xml:space="preserve">Disclosure </w:t>
      </w:r>
    </w:p>
    <w:p w:rsidR="00691402" w:rsidRPr="00785249" w:rsidRDefault="00691402" w:rsidP="00691402">
      <w:pPr>
        <w:ind w:left="720"/>
        <w:rPr>
          <w:rFonts w:ascii="Times New Roman" w:hAnsi="Times New Roman"/>
        </w:rPr>
      </w:pPr>
    </w:p>
    <w:p w:rsidR="00691402" w:rsidRDefault="003F372A" w:rsidP="00691402">
      <w:pPr>
        <w:ind w:left="720"/>
        <w:rPr>
          <w:rFonts w:ascii="Times New Roman" w:hAnsi="Times New Roman"/>
        </w:rPr>
      </w:pPr>
      <w:r>
        <w:rPr>
          <w:rFonts w:ascii="Times New Roman" w:hAnsi="Times New Roman"/>
        </w:rPr>
        <w:t>With the amendments to PTE 84-24</w:t>
      </w:r>
      <w:r w:rsidR="00691402">
        <w:rPr>
          <w:rFonts w:ascii="Times New Roman" w:hAnsi="Times New Roman"/>
        </w:rPr>
        <w:t>, t</w:t>
      </w:r>
      <w:r w:rsidR="00691402" w:rsidRPr="00785249">
        <w:rPr>
          <w:rFonts w:ascii="Times New Roman" w:hAnsi="Times New Roman"/>
        </w:rPr>
        <w:t xml:space="preserve">he Department estimates that approximately </w:t>
      </w:r>
      <w:r w:rsidR="00691402">
        <w:rPr>
          <w:rFonts w:ascii="Times New Roman" w:hAnsi="Times New Roman"/>
        </w:rPr>
        <w:t>1,</w:t>
      </w:r>
      <w:r w:rsidR="00F11A51">
        <w:rPr>
          <w:rFonts w:ascii="Times New Roman" w:hAnsi="Times New Roman"/>
        </w:rPr>
        <w:t>5</w:t>
      </w:r>
      <w:r w:rsidR="00691402">
        <w:rPr>
          <w:rFonts w:ascii="Times New Roman" w:hAnsi="Times New Roman"/>
        </w:rPr>
        <w:t>00 i</w:t>
      </w:r>
      <w:r w:rsidR="00691402" w:rsidRPr="008F6993">
        <w:rPr>
          <w:rFonts w:ascii="Times New Roman" w:hAnsi="Times New Roman"/>
        </w:rPr>
        <w:t xml:space="preserve">nsurance </w:t>
      </w:r>
      <w:r w:rsidR="00691402">
        <w:rPr>
          <w:rFonts w:ascii="Times New Roman" w:hAnsi="Times New Roman"/>
        </w:rPr>
        <w:t>a</w:t>
      </w:r>
      <w:r w:rsidR="00691402" w:rsidRPr="008F6993">
        <w:rPr>
          <w:rFonts w:ascii="Times New Roman" w:hAnsi="Times New Roman"/>
        </w:rPr>
        <w:t xml:space="preserve">gents and </w:t>
      </w:r>
      <w:r w:rsidR="00691402">
        <w:rPr>
          <w:rFonts w:ascii="Times New Roman" w:hAnsi="Times New Roman"/>
        </w:rPr>
        <w:t>b</w:t>
      </w:r>
      <w:r w:rsidR="00691402" w:rsidRPr="008F6993">
        <w:rPr>
          <w:rFonts w:ascii="Times New Roman" w:hAnsi="Times New Roman"/>
        </w:rPr>
        <w:t xml:space="preserve">rokers, </w:t>
      </w:r>
      <w:r w:rsidR="00691402">
        <w:rPr>
          <w:rFonts w:ascii="Times New Roman" w:hAnsi="Times New Roman"/>
        </w:rPr>
        <w:t>p</w:t>
      </w:r>
      <w:r w:rsidR="00691402" w:rsidRPr="008F6993">
        <w:rPr>
          <w:rFonts w:ascii="Times New Roman" w:hAnsi="Times New Roman"/>
        </w:rPr>
        <w:t xml:space="preserve">ension </w:t>
      </w:r>
      <w:r w:rsidR="00691402">
        <w:rPr>
          <w:rFonts w:ascii="Times New Roman" w:hAnsi="Times New Roman"/>
        </w:rPr>
        <w:t>c</w:t>
      </w:r>
      <w:r w:rsidR="00691402" w:rsidRPr="008F6993">
        <w:rPr>
          <w:rFonts w:ascii="Times New Roman" w:hAnsi="Times New Roman"/>
        </w:rPr>
        <w:t xml:space="preserve">onsultants, and </w:t>
      </w:r>
      <w:r w:rsidR="00691402">
        <w:rPr>
          <w:rFonts w:ascii="Times New Roman" w:hAnsi="Times New Roman"/>
        </w:rPr>
        <w:t>i</w:t>
      </w:r>
      <w:r w:rsidR="00691402" w:rsidRPr="008F6993">
        <w:rPr>
          <w:rFonts w:ascii="Times New Roman" w:hAnsi="Times New Roman"/>
        </w:rPr>
        <w:t xml:space="preserve">nsurance </w:t>
      </w:r>
      <w:r w:rsidR="00691402">
        <w:rPr>
          <w:rFonts w:ascii="Times New Roman" w:hAnsi="Times New Roman"/>
        </w:rPr>
        <w:t>c</w:t>
      </w:r>
      <w:r w:rsidR="00691402" w:rsidRPr="008F6993">
        <w:rPr>
          <w:rFonts w:ascii="Times New Roman" w:hAnsi="Times New Roman"/>
        </w:rPr>
        <w:t>ompanies</w:t>
      </w:r>
      <w:r w:rsidR="00691402">
        <w:rPr>
          <w:rFonts w:ascii="Times New Roman" w:hAnsi="Times New Roman"/>
        </w:rPr>
        <w:t xml:space="preserve"> and </w:t>
      </w:r>
      <w:r>
        <w:rPr>
          <w:rFonts w:ascii="Times New Roman" w:hAnsi="Times New Roman"/>
        </w:rPr>
        <w:t>1</w:t>
      </w:r>
      <w:r w:rsidR="00691402">
        <w:rPr>
          <w:rFonts w:ascii="Times New Roman" w:hAnsi="Times New Roman"/>
        </w:rPr>
        <w:t>0 investment company principal underwriters utilize the exemption.  The Department assumes that each of these insurance agents and brokers, pension consultants, insurance companies, and mutual fund principal underwriters has an in-house attorney spend one hour of legal staff time drafting the disclosure for plans and</w:t>
      </w:r>
      <w:r w:rsidR="00FF2E24">
        <w:rPr>
          <w:rFonts w:ascii="Times New Roman" w:hAnsi="Times New Roman"/>
        </w:rPr>
        <w:t>, with the exception of mutual fund principal underwriters,</w:t>
      </w:r>
      <w:r w:rsidR="00691402">
        <w:rPr>
          <w:rFonts w:ascii="Times New Roman" w:hAnsi="Times New Roman"/>
        </w:rPr>
        <w:t xml:space="preserve"> one hour of legal staff time drafting the disclosure for IRAs.  </w:t>
      </w:r>
      <w:r w:rsidR="00691402" w:rsidRPr="00785249">
        <w:rPr>
          <w:rFonts w:ascii="Times New Roman" w:hAnsi="Times New Roman"/>
        </w:rPr>
        <w:t xml:space="preserve">This results in an hour burden of </w:t>
      </w:r>
      <w:r w:rsidR="00691402">
        <w:rPr>
          <w:rFonts w:ascii="Times New Roman" w:hAnsi="Times New Roman"/>
        </w:rPr>
        <w:t>3</w:t>
      </w:r>
      <w:r w:rsidR="00691402" w:rsidRPr="00785249">
        <w:rPr>
          <w:rFonts w:ascii="Times New Roman" w:hAnsi="Times New Roman"/>
        </w:rPr>
        <w:t>,</w:t>
      </w:r>
      <w:r w:rsidR="00691402">
        <w:rPr>
          <w:rFonts w:ascii="Times New Roman" w:hAnsi="Times New Roman"/>
        </w:rPr>
        <w:t>0</w:t>
      </w:r>
      <w:r w:rsidR="00691402" w:rsidRPr="00785249">
        <w:rPr>
          <w:rFonts w:ascii="Times New Roman" w:hAnsi="Times New Roman"/>
        </w:rPr>
        <w:t>00 hours</w:t>
      </w:r>
      <w:r w:rsidR="00691402" w:rsidRPr="00A146BC">
        <w:rPr>
          <w:rStyle w:val="FootnoteReference"/>
          <w:rFonts w:ascii="Times New Roman" w:hAnsi="Times New Roman"/>
          <w:vertAlign w:val="superscript"/>
        </w:rPr>
        <w:footnoteReference w:id="12"/>
      </w:r>
      <w:r w:rsidR="00691402">
        <w:rPr>
          <w:rFonts w:ascii="Times New Roman" w:hAnsi="Times New Roman"/>
        </w:rPr>
        <w:t xml:space="preserve"> with an equivalent cost of $4</w:t>
      </w:r>
      <w:r w:rsidR="00EE5285">
        <w:rPr>
          <w:rFonts w:ascii="Times New Roman" w:hAnsi="Times New Roman"/>
        </w:rPr>
        <w:t>02</w:t>
      </w:r>
      <w:r w:rsidR="00691402">
        <w:rPr>
          <w:rFonts w:ascii="Times New Roman" w:hAnsi="Times New Roman"/>
        </w:rPr>
        <w:t>,000</w:t>
      </w:r>
      <w:r w:rsidR="00691402" w:rsidRPr="00785249">
        <w:rPr>
          <w:rFonts w:ascii="Times New Roman" w:hAnsi="Times New Roman"/>
        </w:rPr>
        <w:t>.</w:t>
      </w:r>
      <w:r w:rsidR="00691402" w:rsidRPr="00A146BC">
        <w:rPr>
          <w:rStyle w:val="FootnoteReference"/>
          <w:rFonts w:ascii="Times New Roman" w:hAnsi="Times New Roman"/>
          <w:vertAlign w:val="superscript"/>
        </w:rPr>
        <w:footnoteReference w:id="13"/>
      </w:r>
    </w:p>
    <w:p w:rsidR="00691402" w:rsidRDefault="00691402" w:rsidP="00691402">
      <w:pPr>
        <w:ind w:left="720"/>
        <w:rPr>
          <w:rFonts w:ascii="Times New Roman" w:hAnsi="Times New Roman"/>
        </w:rPr>
      </w:pPr>
    </w:p>
    <w:p w:rsidR="00691402" w:rsidRPr="00785249" w:rsidRDefault="00691402" w:rsidP="00691402">
      <w:pPr>
        <w:ind w:left="720"/>
        <w:rPr>
          <w:rFonts w:ascii="Times New Roman" w:hAnsi="Times New Roman"/>
        </w:rPr>
      </w:pPr>
      <w:r>
        <w:rPr>
          <w:rFonts w:ascii="Times New Roman" w:hAnsi="Times New Roman"/>
        </w:rPr>
        <w:t>To produce and distribute the materials, the Department assumes that 51.8 percent will be distributed electronically to plans and 44.1 percent will be distributed electronically to IRAs through traditional electronic methods at no additional burden.  The remaining 48.2 percent for plans and 55.9 percent for IRAs will be mailed.  For paper copies, a</w:t>
      </w:r>
      <w:r w:rsidRPr="00785249">
        <w:rPr>
          <w:rFonts w:ascii="Times New Roman" w:hAnsi="Times New Roman"/>
        </w:rPr>
        <w:t xml:space="preserve"> clerical staff member is assumed to require two minutes to prepare and mail the required </w:t>
      </w:r>
      <w:r w:rsidRPr="00785249">
        <w:rPr>
          <w:rFonts w:ascii="Times New Roman" w:hAnsi="Times New Roman"/>
        </w:rPr>
        <w:lastRenderedPageBreak/>
        <w:t xml:space="preserve">information to the plan fiduciary. </w:t>
      </w:r>
      <w:r>
        <w:rPr>
          <w:rFonts w:ascii="Times New Roman" w:hAnsi="Times New Roman"/>
        </w:rPr>
        <w:t xml:space="preserve"> </w:t>
      </w:r>
      <w:r w:rsidRPr="00785249">
        <w:rPr>
          <w:rFonts w:ascii="Times New Roman" w:hAnsi="Times New Roman"/>
        </w:rPr>
        <w:t xml:space="preserve">This information will be sent to the </w:t>
      </w:r>
      <w:r w:rsidR="00FD5584">
        <w:rPr>
          <w:rFonts w:ascii="Times New Roman" w:hAnsi="Times New Roman"/>
        </w:rPr>
        <w:t>20</w:t>
      </w:r>
      <w:r>
        <w:rPr>
          <w:rFonts w:ascii="Times New Roman" w:hAnsi="Times New Roman"/>
        </w:rPr>
        <w:t>,000</w:t>
      </w:r>
      <w:r w:rsidRPr="00785249">
        <w:rPr>
          <w:rFonts w:ascii="Times New Roman" w:hAnsi="Times New Roman"/>
        </w:rPr>
        <w:t xml:space="preserve"> plans </w:t>
      </w:r>
      <w:r>
        <w:rPr>
          <w:rFonts w:ascii="Times New Roman" w:hAnsi="Times New Roman"/>
        </w:rPr>
        <w:t xml:space="preserve">and </w:t>
      </w:r>
      <w:r w:rsidR="00FD5584">
        <w:rPr>
          <w:rFonts w:ascii="Times New Roman" w:hAnsi="Times New Roman"/>
        </w:rPr>
        <w:t>1.6</w:t>
      </w:r>
      <w:r>
        <w:rPr>
          <w:rFonts w:ascii="Times New Roman" w:hAnsi="Times New Roman"/>
        </w:rPr>
        <w:t xml:space="preserve"> million IRAs </w:t>
      </w:r>
      <w:r w:rsidRPr="00785249">
        <w:rPr>
          <w:rFonts w:ascii="Times New Roman" w:hAnsi="Times New Roman"/>
        </w:rPr>
        <w:t>entering into an agreement with a</w:t>
      </w:r>
      <w:r>
        <w:rPr>
          <w:rFonts w:ascii="Times New Roman" w:hAnsi="Times New Roman"/>
        </w:rPr>
        <w:t>n insurance agent, pension consultant, or mutual fund principal underwriter</w:t>
      </w:r>
      <w:r w:rsidRPr="00785249">
        <w:rPr>
          <w:rFonts w:ascii="Times New Roman" w:hAnsi="Times New Roman"/>
        </w:rPr>
        <w:t xml:space="preserve">, and based on the above, the Department estimates that this requirement results in an hour burden of </w:t>
      </w:r>
      <w:r w:rsidR="00FD5584">
        <w:rPr>
          <w:rFonts w:ascii="Times New Roman" w:hAnsi="Times New Roman"/>
        </w:rPr>
        <w:t>31</w:t>
      </w:r>
      <w:r>
        <w:rPr>
          <w:rFonts w:ascii="Times New Roman" w:hAnsi="Times New Roman"/>
        </w:rPr>
        <w:t>,000</w:t>
      </w:r>
      <w:r w:rsidRPr="00785249">
        <w:rPr>
          <w:rFonts w:ascii="Times New Roman" w:hAnsi="Times New Roman"/>
        </w:rPr>
        <w:t xml:space="preserve"> hours</w:t>
      </w:r>
      <w:r w:rsidRPr="00A146BC">
        <w:rPr>
          <w:rStyle w:val="FootnoteReference"/>
          <w:rFonts w:ascii="Times New Roman" w:hAnsi="Times New Roman"/>
          <w:vertAlign w:val="superscript"/>
        </w:rPr>
        <w:footnoteReference w:id="14"/>
      </w:r>
      <w:r w:rsidRPr="00785249">
        <w:rPr>
          <w:rFonts w:ascii="Times New Roman" w:hAnsi="Times New Roman"/>
        </w:rPr>
        <w:t xml:space="preserve"> with an equivalent cost of $</w:t>
      </w:r>
      <w:r w:rsidR="00FD5584">
        <w:rPr>
          <w:rFonts w:ascii="Times New Roman" w:hAnsi="Times New Roman"/>
        </w:rPr>
        <w:t>1.7</w:t>
      </w:r>
      <w:r>
        <w:rPr>
          <w:rFonts w:ascii="Times New Roman" w:hAnsi="Times New Roman"/>
        </w:rPr>
        <w:t xml:space="preserve"> million</w:t>
      </w:r>
      <w:r w:rsidRPr="00785249">
        <w:rPr>
          <w:rFonts w:ascii="Times New Roman" w:hAnsi="Times New Roman"/>
        </w:rPr>
        <w:t>.</w:t>
      </w:r>
      <w:r w:rsidRPr="00A146BC">
        <w:rPr>
          <w:rStyle w:val="FootnoteReference"/>
          <w:rFonts w:ascii="Times New Roman" w:hAnsi="Times New Roman"/>
          <w:vertAlign w:val="superscript"/>
        </w:rPr>
        <w:footnoteReference w:id="15"/>
      </w:r>
    </w:p>
    <w:p w:rsidR="00691402" w:rsidRPr="00785249" w:rsidRDefault="00691402" w:rsidP="00691402">
      <w:pPr>
        <w:ind w:left="720"/>
        <w:rPr>
          <w:rFonts w:ascii="Times New Roman" w:hAnsi="Times New Roman"/>
        </w:rPr>
      </w:pPr>
    </w:p>
    <w:p w:rsidR="00691402" w:rsidRDefault="00691402" w:rsidP="00691402">
      <w:pPr>
        <w:ind w:left="720"/>
        <w:rPr>
          <w:rFonts w:ascii="Times New Roman" w:hAnsi="Times New Roman"/>
        </w:rPr>
      </w:pPr>
      <w:r w:rsidRPr="00785249">
        <w:rPr>
          <w:rFonts w:ascii="Times New Roman" w:hAnsi="Times New Roman"/>
        </w:rPr>
        <w:t>In total</w:t>
      </w:r>
      <w:r>
        <w:rPr>
          <w:rFonts w:ascii="Times New Roman" w:hAnsi="Times New Roman"/>
        </w:rPr>
        <w:t>, as seen in the table below</w:t>
      </w:r>
      <w:r w:rsidRPr="00785249">
        <w:rPr>
          <w:rFonts w:ascii="Times New Roman" w:hAnsi="Times New Roman"/>
        </w:rPr>
        <w:t xml:space="preserve">, providing the </w:t>
      </w:r>
      <w:r>
        <w:rPr>
          <w:rFonts w:ascii="Times New Roman" w:hAnsi="Times New Roman"/>
        </w:rPr>
        <w:t>pre-authorization materials</w:t>
      </w:r>
      <w:r w:rsidRPr="00785249">
        <w:rPr>
          <w:rFonts w:ascii="Times New Roman" w:hAnsi="Times New Roman"/>
        </w:rPr>
        <w:t xml:space="preserve"> is expected to impose an hour burden of </w:t>
      </w:r>
      <w:r w:rsidR="00680390">
        <w:rPr>
          <w:rFonts w:ascii="Times New Roman" w:hAnsi="Times New Roman"/>
        </w:rPr>
        <w:t>34</w:t>
      </w:r>
      <w:r w:rsidRPr="00785249">
        <w:rPr>
          <w:rFonts w:ascii="Times New Roman" w:hAnsi="Times New Roman"/>
        </w:rPr>
        <w:t>,</w:t>
      </w:r>
      <w:r>
        <w:rPr>
          <w:rFonts w:ascii="Times New Roman" w:hAnsi="Times New Roman"/>
        </w:rPr>
        <w:t>0</w:t>
      </w:r>
      <w:r w:rsidRPr="00785249">
        <w:rPr>
          <w:rFonts w:ascii="Times New Roman" w:hAnsi="Times New Roman"/>
        </w:rPr>
        <w:t>00 hours with an equivalent cost of $</w:t>
      </w:r>
      <w:r w:rsidR="00680390">
        <w:rPr>
          <w:rFonts w:ascii="Times New Roman" w:hAnsi="Times New Roman"/>
        </w:rPr>
        <w:t>2.1 million</w:t>
      </w:r>
      <w:r w:rsidRPr="00785249">
        <w:rPr>
          <w:rFonts w:ascii="Times New Roman" w:hAnsi="Times New Roman"/>
        </w:rPr>
        <w:t>.</w:t>
      </w:r>
    </w:p>
    <w:p w:rsidR="00691402" w:rsidRDefault="00691402" w:rsidP="00691402">
      <w:pPr>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520"/>
        <w:gridCol w:w="2808"/>
      </w:tblGrid>
      <w:tr w:rsidR="00691402" w:rsidRPr="00423E8C" w:rsidTr="00CD7F4A">
        <w:tc>
          <w:tcPr>
            <w:tcW w:w="3420" w:type="dxa"/>
            <w:shd w:val="clear" w:color="auto" w:fill="auto"/>
          </w:tcPr>
          <w:p w:rsidR="00691402" w:rsidRPr="00DE6751" w:rsidRDefault="00691402" w:rsidP="00CD7F4A">
            <w:pPr>
              <w:jc w:val="center"/>
              <w:rPr>
                <w:rFonts w:ascii="Times New Roman" w:hAnsi="Times New Roman"/>
                <w:b/>
              </w:rPr>
            </w:pPr>
            <w:r w:rsidRPr="00DE6751">
              <w:rPr>
                <w:rFonts w:ascii="Times New Roman" w:hAnsi="Times New Roman"/>
                <w:b/>
              </w:rPr>
              <w:t>Activity</w:t>
            </w:r>
          </w:p>
        </w:tc>
        <w:tc>
          <w:tcPr>
            <w:tcW w:w="2520" w:type="dxa"/>
            <w:shd w:val="clear" w:color="auto" w:fill="auto"/>
          </w:tcPr>
          <w:p w:rsidR="00691402" w:rsidRPr="00DE6751" w:rsidRDefault="00691402" w:rsidP="00CD7F4A">
            <w:pPr>
              <w:jc w:val="center"/>
              <w:rPr>
                <w:rFonts w:ascii="Times New Roman" w:hAnsi="Times New Roman"/>
                <w:b/>
              </w:rPr>
            </w:pPr>
            <w:r w:rsidRPr="00DE6751">
              <w:rPr>
                <w:rFonts w:ascii="Times New Roman" w:hAnsi="Times New Roman"/>
                <w:b/>
              </w:rPr>
              <w:t>Burden Hours</w:t>
            </w:r>
          </w:p>
        </w:tc>
        <w:tc>
          <w:tcPr>
            <w:tcW w:w="2808" w:type="dxa"/>
            <w:shd w:val="clear" w:color="auto" w:fill="auto"/>
          </w:tcPr>
          <w:p w:rsidR="00691402" w:rsidRPr="00DE6751" w:rsidRDefault="00691402" w:rsidP="00CD7F4A">
            <w:pPr>
              <w:jc w:val="center"/>
              <w:rPr>
                <w:rFonts w:ascii="Times New Roman" w:hAnsi="Times New Roman"/>
                <w:b/>
              </w:rPr>
            </w:pPr>
            <w:r w:rsidRPr="00DE6751">
              <w:rPr>
                <w:rFonts w:ascii="Times New Roman" w:hAnsi="Times New Roman"/>
                <w:b/>
              </w:rPr>
              <w:t>Equivalent Burden Cost</w:t>
            </w:r>
          </w:p>
        </w:tc>
      </w:tr>
      <w:tr w:rsidR="00691402" w:rsidRPr="00423E8C" w:rsidTr="00CD7F4A">
        <w:tc>
          <w:tcPr>
            <w:tcW w:w="3420" w:type="dxa"/>
            <w:shd w:val="clear" w:color="auto" w:fill="auto"/>
          </w:tcPr>
          <w:p w:rsidR="00691402" w:rsidRPr="00423E8C" w:rsidRDefault="00691402" w:rsidP="00CD7F4A">
            <w:pPr>
              <w:rPr>
                <w:rFonts w:ascii="Times New Roman" w:hAnsi="Times New Roman"/>
              </w:rPr>
            </w:pPr>
            <w:r w:rsidRPr="00423E8C">
              <w:rPr>
                <w:rFonts w:ascii="Times New Roman" w:hAnsi="Times New Roman"/>
              </w:rPr>
              <w:t>Legal</w:t>
            </w:r>
          </w:p>
        </w:tc>
        <w:tc>
          <w:tcPr>
            <w:tcW w:w="2520" w:type="dxa"/>
            <w:shd w:val="clear" w:color="auto" w:fill="auto"/>
          </w:tcPr>
          <w:p w:rsidR="00691402" w:rsidRPr="00423E8C" w:rsidRDefault="00691402" w:rsidP="00CD7F4A">
            <w:pPr>
              <w:jc w:val="right"/>
              <w:rPr>
                <w:rFonts w:ascii="Times New Roman" w:hAnsi="Times New Roman"/>
              </w:rPr>
            </w:pPr>
            <w:r>
              <w:rPr>
                <w:rFonts w:ascii="Times New Roman" w:hAnsi="Times New Roman"/>
              </w:rPr>
              <w:t>3,0</w:t>
            </w:r>
            <w:r w:rsidRPr="00423E8C">
              <w:rPr>
                <w:rFonts w:ascii="Times New Roman" w:hAnsi="Times New Roman"/>
              </w:rPr>
              <w:t>00</w:t>
            </w:r>
          </w:p>
        </w:tc>
        <w:tc>
          <w:tcPr>
            <w:tcW w:w="2808" w:type="dxa"/>
            <w:shd w:val="clear" w:color="auto" w:fill="auto"/>
          </w:tcPr>
          <w:p w:rsidR="00691402" w:rsidRPr="00423E8C" w:rsidRDefault="00691402" w:rsidP="008401DF">
            <w:pPr>
              <w:jc w:val="right"/>
              <w:rPr>
                <w:rFonts w:ascii="Times New Roman" w:hAnsi="Times New Roman"/>
              </w:rPr>
            </w:pPr>
            <w:r w:rsidRPr="00423E8C">
              <w:rPr>
                <w:rFonts w:ascii="Times New Roman" w:hAnsi="Times New Roman"/>
              </w:rPr>
              <w:t>$</w:t>
            </w:r>
            <w:r>
              <w:rPr>
                <w:rFonts w:ascii="Times New Roman" w:hAnsi="Times New Roman"/>
              </w:rPr>
              <w:t>4</w:t>
            </w:r>
            <w:r w:rsidR="008401DF">
              <w:rPr>
                <w:rFonts w:ascii="Times New Roman" w:hAnsi="Times New Roman"/>
              </w:rPr>
              <w:t>0</w:t>
            </w:r>
            <w:r w:rsidR="00FF2E24">
              <w:rPr>
                <w:rFonts w:ascii="Times New Roman" w:hAnsi="Times New Roman"/>
              </w:rPr>
              <w:t>2</w:t>
            </w:r>
            <w:r w:rsidRPr="00423E8C">
              <w:rPr>
                <w:rFonts w:ascii="Times New Roman" w:hAnsi="Times New Roman"/>
              </w:rPr>
              <w:t>,000</w:t>
            </w:r>
          </w:p>
        </w:tc>
      </w:tr>
      <w:tr w:rsidR="00691402" w:rsidRPr="00423E8C" w:rsidTr="00CD7F4A">
        <w:tc>
          <w:tcPr>
            <w:tcW w:w="3420" w:type="dxa"/>
            <w:shd w:val="clear" w:color="auto" w:fill="auto"/>
          </w:tcPr>
          <w:p w:rsidR="00691402" w:rsidRPr="00423E8C" w:rsidRDefault="00691402" w:rsidP="00CD7F4A">
            <w:pPr>
              <w:rPr>
                <w:rFonts w:ascii="Times New Roman" w:hAnsi="Times New Roman"/>
              </w:rPr>
            </w:pPr>
            <w:r w:rsidRPr="00423E8C">
              <w:rPr>
                <w:rFonts w:ascii="Times New Roman" w:hAnsi="Times New Roman"/>
              </w:rPr>
              <w:t>Clerical</w:t>
            </w:r>
          </w:p>
        </w:tc>
        <w:tc>
          <w:tcPr>
            <w:tcW w:w="2520" w:type="dxa"/>
            <w:shd w:val="clear" w:color="auto" w:fill="auto"/>
          </w:tcPr>
          <w:p w:rsidR="00691402" w:rsidRPr="00423E8C" w:rsidRDefault="00F256B3" w:rsidP="00F256B3">
            <w:pPr>
              <w:jc w:val="right"/>
              <w:rPr>
                <w:rFonts w:ascii="Times New Roman" w:hAnsi="Times New Roman"/>
              </w:rPr>
            </w:pPr>
            <w:r>
              <w:rPr>
                <w:rFonts w:ascii="Times New Roman" w:hAnsi="Times New Roman"/>
              </w:rPr>
              <w:t>31</w:t>
            </w:r>
            <w:r w:rsidR="00691402" w:rsidRPr="00423E8C">
              <w:rPr>
                <w:rFonts w:ascii="Times New Roman" w:hAnsi="Times New Roman"/>
              </w:rPr>
              <w:t>,000</w:t>
            </w:r>
          </w:p>
        </w:tc>
        <w:tc>
          <w:tcPr>
            <w:tcW w:w="2808" w:type="dxa"/>
            <w:shd w:val="clear" w:color="auto" w:fill="auto"/>
          </w:tcPr>
          <w:p w:rsidR="00691402" w:rsidRPr="00423E8C" w:rsidRDefault="00691402" w:rsidP="00F256B3">
            <w:pPr>
              <w:jc w:val="right"/>
              <w:rPr>
                <w:rFonts w:ascii="Times New Roman" w:hAnsi="Times New Roman"/>
              </w:rPr>
            </w:pPr>
            <w:r w:rsidRPr="00423E8C">
              <w:rPr>
                <w:rFonts w:ascii="Times New Roman" w:hAnsi="Times New Roman"/>
              </w:rPr>
              <w:t>$</w:t>
            </w:r>
            <w:r w:rsidR="00F256B3">
              <w:rPr>
                <w:rFonts w:ascii="Times New Roman" w:hAnsi="Times New Roman"/>
              </w:rPr>
              <w:t>1.7</w:t>
            </w:r>
            <w:r>
              <w:rPr>
                <w:rFonts w:ascii="Times New Roman" w:hAnsi="Times New Roman"/>
              </w:rPr>
              <w:t xml:space="preserve"> million</w:t>
            </w:r>
          </w:p>
        </w:tc>
      </w:tr>
      <w:tr w:rsidR="00691402" w:rsidRPr="00423E8C" w:rsidTr="00CD7F4A">
        <w:tc>
          <w:tcPr>
            <w:tcW w:w="3420" w:type="dxa"/>
            <w:shd w:val="clear" w:color="auto" w:fill="auto"/>
          </w:tcPr>
          <w:p w:rsidR="00691402" w:rsidRPr="009D3EB4" w:rsidRDefault="00691402" w:rsidP="00CD7F4A">
            <w:pPr>
              <w:rPr>
                <w:rFonts w:ascii="Times New Roman" w:hAnsi="Times New Roman"/>
                <w:b/>
              </w:rPr>
            </w:pPr>
            <w:r w:rsidRPr="009D3EB4">
              <w:rPr>
                <w:rFonts w:ascii="Times New Roman" w:hAnsi="Times New Roman"/>
                <w:b/>
              </w:rPr>
              <w:t>Total</w:t>
            </w:r>
          </w:p>
        </w:tc>
        <w:tc>
          <w:tcPr>
            <w:tcW w:w="2520" w:type="dxa"/>
            <w:shd w:val="clear" w:color="auto" w:fill="auto"/>
          </w:tcPr>
          <w:p w:rsidR="00691402" w:rsidRPr="009D3EB4" w:rsidRDefault="00F256B3" w:rsidP="00F256B3">
            <w:pPr>
              <w:jc w:val="right"/>
              <w:rPr>
                <w:rFonts w:ascii="Times New Roman" w:hAnsi="Times New Roman"/>
                <w:b/>
              </w:rPr>
            </w:pPr>
            <w:r>
              <w:rPr>
                <w:rFonts w:ascii="Times New Roman" w:hAnsi="Times New Roman"/>
                <w:b/>
              </w:rPr>
              <w:t>34</w:t>
            </w:r>
            <w:r w:rsidR="00691402" w:rsidRPr="009D3EB4">
              <w:rPr>
                <w:rFonts w:ascii="Times New Roman" w:hAnsi="Times New Roman"/>
                <w:b/>
              </w:rPr>
              <w:t>,000</w:t>
            </w:r>
          </w:p>
        </w:tc>
        <w:tc>
          <w:tcPr>
            <w:tcW w:w="2808" w:type="dxa"/>
            <w:shd w:val="clear" w:color="auto" w:fill="auto"/>
          </w:tcPr>
          <w:p w:rsidR="00691402" w:rsidRPr="009D3EB4" w:rsidRDefault="00691402" w:rsidP="00680390">
            <w:pPr>
              <w:jc w:val="right"/>
              <w:rPr>
                <w:rFonts w:ascii="Times New Roman" w:hAnsi="Times New Roman"/>
                <w:b/>
              </w:rPr>
            </w:pPr>
            <w:r w:rsidRPr="009D3EB4">
              <w:rPr>
                <w:rFonts w:ascii="Times New Roman" w:hAnsi="Times New Roman"/>
                <w:b/>
              </w:rPr>
              <w:t>$</w:t>
            </w:r>
            <w:r w:rsidR="00680390">
              <w:rPr>
                <w:rFonts w:ascii="Times New Roman" w:hAnsi="Times New Roman"/>
                <w:b/>
              </w:rPr>
              <w:t>2.1</w:t>
            </w:r>
            <w:r>
              <w:rPr>
                <w:rFonts w:ascii="Times New Roman" w:hAnsi="Times New Roman"/>
                <w:b/>
              </w:rPr>
              <w:t xml:space="preserve"> million</w:t>
            </w:r>
          </w:p>
        </w:tc>
      </w:tr>
    </w:tbl>
    <w:p w:rsidR="00691402" w:rsidRPr="00785249" w:rsidRDefault="00691402" w:rsidP="00691402">
      <w:pPr>
        <w:rPr>
          <w:rFonts w:ascii="Times New Roman" w:hAnsi="Times New Roman"/>
        </w:rPr>
      </w:pPr>
    </w:p>
    <w:p w:rsidR="00691402" w:rsidRPr="00785249" w:rsidRDefault="00691402" w:rsidP="00300109">
      <w:pPr>
        <w:widowControl/>
        <w:numPr>
          <w:ilvl w:val="0"/>
          <w:numId w:val="12"/>
        </w:numPr>
        <w:autoSpaceDE/>
        <w:autoSpaceDN/>
        <w:adjustRightInd/>
        <w:ind w:left="1440" w:hanging="720"/>
        <w:rPr>
          <w:rFonts w:ascii="Times New Roman" w:hAnsi="Times New Roman"/>
        </w:rPr>
      </w:pPr>
      <w:r>
        <w:rPr>
          <w:rFonts w:ascii="Times New Roman" w:hAnsi="Times New Roman"/>
        </w:rPr>
        <w:t>Recordkeeping</w:t>
      </w:r>
    </w:p>
    <w:p w:rsidR="00691402" w:rsidRPr="00785249" w:rsidRDefault="00691402" w:rsidP="00691402">
      <w:pPr>
        <w:ind w:left="720"/>
        <w:rPr>
          <w:rFonts w:ascii="Times New Roman" w:hAnsi="Times New Roman"/>
        </w:rPr>
      </w:pPr>
    </w:p>
    <w:p w:rsidR="00691402" w:rsidRPr="00693D36" w:rsidRDefault="00691402" w:rsidP="00691402">
      <w:pPr>
        <w:ind w:left="720"/>
        <w:rPr>
          <w:rFonts w:ascii="Times New Roman" w:hAnsi="Times New Roman"/>
        </w:rPr>
      </w:pPr>
      <w:r w:rsidRPr="00693D36">
        <w:rPr>
          <w:rFonts w:ascii="Times New Roman" w:hAnsi="Times New Roman"/>
        </w:rPr>
        <w:t>The Department assumes that maintaining records is a regular and customary business practice.  Therefore, the Department has estimated that the additional time needed to maintain records consistent with the exemption will only require about one-half hour, on average, annually for a financial manager to organize and collate the documents, and an additional 15 minutes of clerical time to make the documents available for inspection during normal business hours</w:t>
      </w:r>
      <w:r w:rsidR="002D2F6E">
        <w:rPr>
          <w:rFonts w:ascii="Times New Roman" w:hAnsi="Times New Roman"/>
        </w:rPr>
        <w:t>.</w:t>
      </w:r>
    </w:p>
    <w:p w:rsidR="00691402" w:rsidRPr="00693D36" w:rsidRDefault="00691402" w:rsidP="00691402">
      <w:pPr>
        <w:ind w:left="720"/>
        <w:rPr>
          <w:rFonts w:ascii="Times New Roman" w:hAnsi="Times New Roman"/>
        </w:rPr>
      </w:pPr>
    </w:p>
    <w:p w:rsidR="00691402" w:rsidRDefault="002D2F6E" w:rsidP="00691402">
      <w:pPr>
        <w:ind w:left="720"/>
        <w:rPr>
          <w:rFonts w:ascii="Times New Roman" w:hAnsi="Times New Roman"/>
        </w:rPr>
      </w:pPr>
      <w:r w:rsidRPr="002D2F6E">
        <w:rPr>
          <w:rFonts w:ascii="Times New Roman" w:hAnsi="Times New Roman"/>
        </w:rPr>
        <w:t>With the amendments to PTE 84-24</w:t>
      </w:r>
      <w:r w:rsidR="00691402" w:rsidRPr="00295756">
        <w:rPr>
          <w:rFonts w:ascii="Times New Roman" w:hAnsi="Times New Roman"/>
        </w:rPr>
        <w:t>, the Department estimates that there are approximately 1,</w:t>
      </w:r>
      <w:r w:rsidR="00A071E9">
        <w:rPr>
          <w:rFonts w:ascii="Times New Roman" w:hAnsi="Times New Roman"/>
        </w:rPr>
        <w:t>5</w:t>
      </w:r>
      <w:r w:rsidR="00691402" w:rsidRPr="00295756">
        <w:rPr>
          <w:rFonts w:ascii="Times New Roman" w:hAnsi="Times New Roman"/>
        </w:rPr>
        <w:t xml:space="preserve">00 insurance agents and pension consultants and </w:t>
      </w:r>
      <w:r>
        <w:rPr>
          <w:rFonts w:ascii="Times New Roman" w:hAnsi="Times New Roman"/>
        </w:rPr>
        <w:t>1</w:t>
      </w:r>
      <w:r w:rsidR="00691402">
        <w:rPr>
          <w:rFonts w:ascii="Times New Roman" w:hAnsi="Times New Roman"/>
        </w:rPr>
        <w:t>0</w:t>
      </w:r>
      <w:r w:rsidR="00691402" w:rsidRPr="00295756">
        <w:rPr>
          <w:rFonts w:ascii="Times New Roman" w:hAnsi="Times New Roman"/>
        </w:rPr>
        <w:t xml:space="preserve"> mutual fund Principal Underwriters utilizing the exemption.  </w:t>
      </w:r>
      <w:r w:rsidR="00691402" w:rsidRPr="00693D36">
        <w:rPr>
          <w:rFonts w:ascii="Times New Roman" w:hAnsi="Times New Roman"/>
        </w:rPr>
        <w:t xml:space="preserve">Thus, the Department estimates that a total of approximately </w:t>
      </w:r>
      <w:r w:rsidR="00691402">
        <w:rPr>
          <w:rFonts w:ascii="Times New Roman" w:hAnsi="Times New Roman"/>
        </w:rPr>
        <w:t>4</w:t>
      </w:r>
      <w:r w:rsidR="00691402" w:rsidRPr="00693D36">
        <w:rPr>
          <w:rFonts w:ascii="Times New Roman" w:hAnsi="Times New Roman"/>
        </w:rPr>
        <w:t xml:space="preserve">00 hours of clerical time and </w:t>
      </w:r>
      <w:r w:rsidR="00691402">
        <w:rPr>
          <w:rFonts w:ascii="Times New Roman" w:hAnsi="Times New Roman"/>
        </w:rPr>
        <w:t>8</w:t>
      </w:r>
      <w:r w:rsidR="00691402" w:rsidRPr="00693D36">
        <w:rPr>
          <w:rFonts w:ascii="Times New Roman" w:hAnsi="Times New Roman"/>
        </w:rPr>
        <w:t>00 hours of financial manager time  result from this requirement.  At an hourly wage rate of $</w:t>
      </w:r>
      <w:r w:rsidR="00691402">
        <w:rPr>
          <w:rFonts w:ascii="Times New Roman" w:hAnsi="Times New Roman"/>
        </w:rPr>
        <w:t>55.21</w:t>
      </w:r>
      <w:r w:rsidR="00691402" w:rsidRPr="00693D36">
        <w:rPr>
          <w:rFonts w:ascii="Times New Roman" w:hAnsi="Times New Roman"/>
        </w:rPr>
        <w:t xml:space="preserve"> for clerical staff and $1</w:t>
      </w:r>
      <w:r w:rsidR="00691402">
        <w:rPr>
          <w:rFonts w:ascii="Times New Roman" w:hAnsi="Times New Roman"/>
        </w:rPr>
        <w:t>67.32</w:t>
      </w:r>
      <w:r w:rsidR="00691402" w:rsidRPr="00693D36">
        <w:rPr>
          <w:rFonts w:ascii="Times New Roman" w:hAnsi="Times New Roman"/>
        </w:rPr>
        <w:t xml:space="preserve"> for a financial manager, this results in an equivalent cost of $</w:t>
      </w:r>
      <w:r w:rsidR="00691402">
        <w:rPr>
          <w:rFonts w:ascii="Times New Roman" w:hAnsi="Times New Roman"/>
        </w:rPr>
        <w:t>1</w:t>
      </w:r>
      <w:r w:rsidR="00B623FC">
        <w:rPr>
          <w:rFonts w:ascii="Times New Roman" w:hAnsi="Times New Roman"/>
        </w:rPr>
        <w:t>47</w:t>
      </w:r>
      <w:r w:rsidR="00691402" w:rsidRPr="00693D36">
        <w:rPr>
          <w:rFonts w:ascii="Times New Roman" w:hAnsi="Times New Roman"/>
        </w:rPr>
        <w:t>,000.</w:t>
      </w:r>
    </w:p>
    <w:p w:rsidR="00691402" w:rsidRDefault="00691402" w:rsidP="00691402">
      <w:pPr>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520"/>
        <w:gridCol w:w="2808"/>
      </w:tblGrid>
      <w:tr w:rsidR="00691402" w:rsidRPr="00423E8C" w:rsidTr="00CD7F4A">
        <w:tc>
          <w:tcPr>
            <w:tcW w:w="3420" w:type="dxa"/>
            <w:shd w:val="clear" w:color="auto" w:fill="auto"/>
          </w:tcPr>
          <w:p w:rsidR="00691402" w:rsidRPr="00DE6751" w:rsidRDefault="00691402" w:rsidP="00CD7F4A">
            <w:pPr>
              <w:jc w:val="center"/>
              <w:rPr>
                <w:rFonts w:ascii="Times New Roman" w:hAnsi="Times New Roman"/>
                <w:b/>
              </w:rPr>
            </w:pPr>
            <w:r w:rsidRPr="00DE6751">
              <w:rPr>
                <w:rFonts w:ascii="Times New Roman" w:hAnsi="Times New Roman"/>
                <w:b/>
              </w:rPr>
              <w:t>Activity</w:t>
            </w:r>
          </w:p>
        </w:tc>
        <w:tc>
          <w:tcPr>
            <w:tcW w:w="2520" w:type="dxa"/>
            <w:shd w:val="clear" w:color="auto" w:fill="auto"/>
          </w:tcPr>
          <w:p w:rsidR="00691402" w:rsidRPr="00DE6751" w:rsidRDefault="00691402" w:rsidP="00CD7F4A">
            <w:pPr>
              <w:jc w:val="center"/>
              <w:rPr>
                <w:rFonts w:ascii="Times New Roman" w:hAnsi="Times New Roman"/>
                <w:b/>
              </w:rPr>
            </w:pPr>
            <w:r w:rsidRPr="00DE6751">
              <w:rPr>
                <w:rFonts w:ascii="Times New Roman" w:hAnsi="Times New Roman"/>
                <w:b/>
              </w:rPr>
              <w:t>Burden Hours</w:t>
            </w:r>
          </w:p>
        </w:tc>
        <w:tc>
          <w:tcPr>
            <w:tcW w:w="2808" w:type="dxa"/>
            <w:shd w:val="clear" w:color="auto" w:fill="auto"/>
          </w:tcPr>
          <w:p w:rsidR="00691402" w:rsidRPr="00DE6751" w:rsidRDefault="00691402" w:rsidP="00CD7F4A">
            <w:pPr>
              <w:jc w:val="center"/>
              <w:rPr>
                <w:rFonts w:ascii="Times New Roman" w:hAnsi="Times New Roman"/>
                <w:b/>
              </w:rPr>
            </w:pPr>
            <w:r w:rsidRPr="00DE6751">
              <w:rPr>
                <w:rFonts w:ascii="Times New Roman" w:hAnsi="Times New Roman"/>
                <w:b/>
              </w:rPr>
              <w:t>Equivalent Burden Cost</w:t>
            </w:r>
          </w:p>
        </w:tc>
      </w:tr>
      <w:tr w:rsidR="00691402" w:rsidRPr="00423E8C" w:rsidTr="00CD7F4A">
        <w:tc>
          <w:tcPr>
            <w:tcW w:w="3420" w:type="dxa"/>
            <w:shd w:val="clear" w:color="auto" w:fill="auto"/>
          </w:tcPr>
          <w:p w:rsidR="00691402" w:rsidRPr="00423E8C" w:rsidRDefault="00691402" w:rsidP="00CD7F4A">
            <w:pPr>
              <w:rPr>
                <w:rFonts w:ascii="Times New Roman" w:hAnsi="Times New Roman"/>
              </w:rPr>
            </w:pPr>
            <w:r>
              <w:rPr>
                <w:rFonts w:ascii="Times New Roman" w:hAnsi="Times New Roman"/>
              </w:rPr>
              <w:t>Financial Manager</w:t>
            </w:r>
          </w:p>
        </w:tc>
        <w:tc>
          <w:tcPr>
            <w:tcW w:w="2520" w:type="dxa"/>
            <w:shd w:val="clear" w:color="auto" w:fill="auto"/>
          </w:tcPr>
          <w:p w:rsidR="00691402" w:rsidRPr="00423E8C" w:rsidRDefault="00691402" w:rsidP="00CD7F4A">
            <w:pPr>
              <w:jc w:val="right"/>
              <w:rPr>
                <w:rFonts w:ascii="Times New Roman" w:hAnsi="Times New Roman"/>
              </w:rPr>
            </w:pPr>
            <w:r>
              <w:rPr>
                <w:rFonts w:ascii="Times New Roman" w:hAnsi="Times New Roman"/>
              </w:rPr>
              <w:t>8</w:t>
            </w:r>
            <w:r w:rsidRPr="00423E8C">
              <w:rPr>
                <w:rFonts w:ascii="Times New Roman" w:hAnsi="Times New Roman"/>
              </w:rPr>
              <w:t>00</w:t>
            </w:r>
          </w:p>
        </w:tc>
        <w:tc>
          <w:tcPr>
            <w:tcW w:w="2808" w:type="dxa"/>
            <w:shd w:val="clear" w:color="auto" w:fill="auto"/>
          </w:tcPr>
          <w:p w:rsidR="00691402" w:rsidRPr="00423E8C" w:rsidRDefault="00691402" w:rsidP="00A071E9">
            <w:pPr>
              <w:jc w:val="right"/>
              <w:rPr>
                <w:rFonts w:ascii="Times New Roman" w:hAnsi="Times New Roman"/>
              </w:rPr>
            </w:pPr>
            <w:r w:rsidRPr="00423E8C">
              <w:rPr>
                <w:rFonts w:ascii="Times New Roman" w:hAnsi="Times New Roman"/>
              </w:rPr>
              <w:t>$</w:t>
            </w:r>
            <w:r>
              <w:rPr>
                <w:rFonts w:ascii="Times New Roman" w:hAnsi="Times New Roman"/>
              </w:rPr>
              <w:t>1</w:t>
            </w:r>
            <w:r w:rsidR="00A071E9">
              <w:rPr>
                <w:rFonts w:ascii="Times New Roman" w:hAnsi="Times New Roman"/>
              </w:rPr>
              <w:t>26</w:t>
            </w:r>
            <w:r w:rsidRPr="00423E8C">
              <w:rPr>
                <w:rFonts w:ascii="Times New Roman" w:hAnsi="Times New Roman"/>
              </w:rPr>
              <w:t>,000</w:t>
            </w:r>
          </w:p>
        </w:tc>
      </w:tr>
      <w:tr w:rsidR="00691402" w:rsidRPr="00423E8C" w:rsidTr="00CD7F4A">
        <w:tc>
          <w:tcPr>
            <w:tcW w:w="3420" w:type="dxa"/>
            <w:shd w:val="clear" w:color="auto" w:fill="auto"/>
          </w:tcPr>
          <w:p w:rsidR="00691402" w:rsidRPr="00423E8C" w:rsidRDefault="00691402" w:rsidP="00CD7F4A">
            <w:pPr>
              <w:rPr>
                <w:rFonts w:ascii="Times New Roman" w:hAnsi="Times New Roman"/>
              </w:rPr>
            </w:pPr>
            <w:r w:rsidRPr="00423E8C">
              <w:rPr>
                <w:rFonts w:ascii="Times New Roman" w:hAnsi="Times New Roman"/>
              </w:rPr>
              <w:t>Clerical</w:t>
            </w:r>
          </w:p>
        </w:tc>
        <w:tc>
          <w:tcPr>
            <w:tcW w:w="2520" w:type="dxa"/>
            <w:shd w:val="clear" w:color="auto" w:fill="auto"/>
          </w:tcPr>
          <w:p w:rsidR="00691402" w:rsidRPr="00423E8C" w:rsidRDefault="00691402" w:rsidP="00CD7F4A">
            <w:pPr>
              <w:jc w:val="right"/>
              <w:rPr>
                <w:rFonts w:ascii="Times New Roman" w:hAnsi="Times New Roman"/>
              </w:rPr>
            </w:pPr>
            <w:r>
              <w:rPr>
                <w:rFonts w:ascii="Times New Roman" w:hAnsi="Times New Roman"/>
              </w:rPr>
              <w:t>400</w:t>
            </w:r>
          </w:p>
        </w:tc>
        <w:tc>
          <w:tcPr>
            <w:tcW w:w="2808" w:type="dxa"/>
            <w:shd w:val="clear" w:color="auto" w:fill="auto"/>
          </w:tcPr>
          <w:p w:rsidR="00691402" w:rsidRPr="00423E8C" w:rsidRDefault="00691402" w:rsidP="00A071E9">
            <w:pPr>
              <w:jc w:val="right"/>
              <w:rPr>
                <w:rFonts w:ascii="Times New Roman" w:hAnsi="Times New Roman"/>
              </w:rPr>
            </w:pPr>
            <w:r w:rsidRPr="00423E8C">
              <w:rPr>
                <w:rFonts w:ascii="Times New Roman" w:hAnsi="Times New Roman"/>
              </w:rPr>
              <w:t>$</w:t>
            </w:r>
            <w:r>
              <w:rPr>
                <w:rFonts w:ascii="Times New Roman" w:hAnsi="Times New Roman"/>
              </w:rPr>
              <w:t>2</w:t>
            </w:r>
            <w:r w:rsidR="00A071E9">
              <w:rPr>
                <w:rFonts w:ascii="Times New Roman" w:hAnsi="Times New Roman"/>
              </w:rPr>
              <w:t>1</w:t>
            </w:r>
            <w:r w:rsidRPr="00423E8C">
              <w:rPr>
                <w:rFonts w:ascii="Times New Roman" w:hAnsi="Times New Roman"/>
              </w:rPr>
              <w:t>,000</w:t>
            </w:r>
          </w:p>
        </w:tc>
      </w:tr>
      <w:tr w:rsidR="00691402" w:rsidRPr="00423E8C" w:rsidTr="00CD7F4A">
        <w:tc>
          <w:tcPr>
            <w:tcW w:w="3420" w:type="dxa"/>
            <w:shd w:val="clear" w:color="auto" w:fill="auto"/>
          </w:tcPr>
          <w:p w:rsidR="00691402" w:rsidRPr="009D3EB4" w:rsidRDefault="00691402" w:rsidP="00CD7F4A">
            <w:pPr>
              <w:rPr>
                <w:rFonts w:ascii="Times New Roman" w:hAnsi="Times New Roman"/>
                <w:b/>
              </w:rPr>
            </w:pPr>
            <w:r w:rsidRPr="009D3EB4">
              <w:rPr>
                <w:rFonts w:ascii="Times New Roman" w:hAnsi="Times New Roman"/>
                <w:b/>
              </w:rPr>
              <w:t>Total</w:t>
            </w:r>
          </w:p>
        </w:tc>
        <w:tc>
          <w:tcPr>
            <w:tcW w:w="2520" w:type="dxa"/>
            <w:shd w:val="clear" w:color="auto" w:fill="auto"/>
          </w:tcPr>
          <w:p w:rsidR="00691402" w:rsidRPr="009D3EB4" w:rsidRDefault="00691402" w:rsidP="00A071E9">
            <w:pPr>
              <w:jc w:val="right"/>
              <w:rPr>
                <w:rFonts w:ascii="Times New Roman" w:hAnsi="Times New Roman"/>
                <w:b/>
              </w:rPr>
            </w:pPr>
            <w:r>
              <w:rPr>
                <w:rFonts w:ascii="Times New Roman" w:hAnsi="Times New Roman"/>
                <w:b/>
              </w:rPr>
              <w:t>1</w:t>
            </w:r>
            <w:r w:rsidRPr="009D3EB4">
              <w:rPr>
                <w:rFonts w:ascii="Times New Roman" w:hAnsi="Times New Roman"/>
                <w:b/>
              </w:rPr>
              <w:t>,</w:t>
            </w:r>
            <w:r w:rsidR="00A071E9">
              <w:rPr>
                <w:rFonts w:ascii="Times New Roman" w:hAnsi="Times New Roman"/>
                <w:b/>
              </w:rPr>
              <w:t>1</w:t>
            </w:r>
            <w:r w:rsidRPr="009D3EB4">
              <w:rPr>
                <w:rFonts w:ascii="Times New Roman" w:hAnsi="Times New Roman"/>
                <w:b/>
              </w:rPr>
              <w:t>00</w:t>
            </w:r>
          </w:p>
        </w:tc>
        <w:tc>
          <w:tcPr>
            <w:tcW w:w="2808" w:type="dxa"/>
            <w:shd w:val="clear" w:color="auto" w:fill="auto"/>
          </w:tcPr>
          <w:p w:rsidR="00691402" w:rsidRPr="009D3EB4" w:rsidRDefault="00691402" w:rsidP="00A071E9">
            <w:pPr>
              <w:jc w:val="right"/>
              <w:rPr>
                <w:rFonts w:ascii="Times New Roman" w:hAnsi="Times New Roman"/>
                <w:b/>
              </w:rPr>
            </w:pPr>
            <w:r w:rsidRPr="009D3EB4">
              <w:rPr>
                <w:rFonts w:ascii="Times New Roman" w:hAnsi="Times New Roman"/>
                <w:b/>
              </w:rPr>
              <w:t>$</w:t>
            </w:r>
            <w:r>
              <w:rPr>
                <w:rFonts w:ascii="Times New Roman" w:hAnsi="Times New Roman"/>
                <w:b/>
              </w:rPr>
              <w:t>1</w:t>
            </w:r>
            <w:r w:rsidR="00A071E9">
              <w:rPr>
                <w:rFonts w:ascii="Times New Roman" w:hAnsi="Times New Roman"/>
                <w:b/>
              </w:rPr>
              <w:t>4</w:t>
            </w:r>
            <w:r w:rsidR="008C3B2E">
              <w:rPr>
                <w:rFonts w:ascii="Times New Roman" w:hAnsi="Times New Roman"/>
                <w:b/>
              </w:rPr>
              <w:t>7</w:t>
            </w:r>
            <w:r w:rsidRPr="009D3EB4">
              <w:rPr>
                <w:rFonts w:ascii="Times New Roman" w:hAnsi="Times New Roman"/>
                <w:b/>
              </w:rPr>
              <w:t>,000</w:t>
            </w:r>
          </w:p>
        </w:tc>
      </w:tr>
    </w:tbl>
    <w:p w:rsidR="00691402" w:rsidRDefault="00691402" w:rsidP="00691402">
      <w:pPr>
        <w:ind w:left="720"/>
        <w:rPr>
          <w:rFonts w:ascii="Times New Roman" w:hAnsi="Times New Roman"/>
        </w:rPr>
      </w:pPr>
    </w:p>
    <w:p w:rsidR="00691402" w:rsidRPr="00A146BC" w:rsidRDefault="00691402" w:rsidP="00691402">
      <w:pPr>
        <w:ind w:left="720"/>
        <w:rPr>
          <w:rFonts w:ascii="Times New Roman" w:hAnsi="Times New Roman"/>
          <w:u w:val="single"/>
        </w:rPr>
      </w:pPr>
      <w:r w:rsidRPr="00A146BC">
        <w:rPr>
          <w:rFonts w:ascii="Times New Roman" w:hAnsi="Times New Roman"/>
          <w:u w:val="single"/>
        </w:rPr>
        <w:t xml:space="preserve">Summary </w:t>
      </w:r>
    </w:p>
    <w:p w:rsidR="00691402" w:rsidRPr="00785249" w:rsidRDefault="00691402" w:rsidP="00691402">
      <w:pPr>
        <w:ind w:left="720"/>
        <w:rPr>
          <w:rFonts w:ascii="Times New Roman" w:hAnsi="Times New Roman"/>
        </w:rPr>
      </w:pPr>
    </w:p>
    <w:p w:rsidR="00691402" w:rsidRPr="00785249" w:rsidRDefault="00691402" w:rsidP="00691402">
      <w:pPr>
        <w:ind w:left="720"/>
        <w:rPr>
          <w:rFonts w:ascii="Times New Roman" w:hAnsi="Times New Roman"/>
        </w:rPr>
      </w:pPr>
      <w:r w:rsidRPr="00FB4006">
        <w:rPr>
          <w:rFonts w:ascii="Times New Roman" w:hAnsi="Times New Roman"/>
        </w:rPr>
        <w:t xml:space="preserve">In total, the </w:t>
      </w:r>
      <w:r w:rsidR="008C3B2E">
        <w:rPr>
          <w:rFonts w:ascii="Times New Roman" w:hAnsi="Times New Roman"/>
        </w:rPr>
        <w:t xml:space="preserve">amended </w:t>
      </w:r>
      <w:r w:rsidRPr="00FB4006">
        <w:rPr>
          <w:rFonts w:ascii="Times New Roman" w:hAnsi="Times New Roman"/>
        </w:rPr>
        <w:t xml:space="preserve">conditions of this exemption will result in the production of </w:t>
      </w:r>
      <w:r w:rsidR="008C3B2E">
        <w:rPr>
          <w:rFonts w:ascii="Times New Roman" w:hAnsi="Times New Roman"/>
        </w:rPr>
        <w:t>3.3</w:t>
      </w:r>
      <w:r>
        <w:rPr>
          <w:rFonts w:ascii="Times New Roman" w:hAnsi="Times New Roman"/>
        </w:rPr>
        <w:t xml:space="preserve"> million</w:t>
      </w:r>
      <w:r w:rsidRPr="00FB4006">
        <w:rPr>
          <w:rFonts w:ascii="Times New Roman" w:hAnsi="Times New Roman"/>
        </w:rPr>
        <w:t xml:space="preserve"> </w:t>
      </w:r>
      <w:r>
        <w:rPr>
          <w:rFonts w:ascii="Times New Roman" w:hAnsi="Times New Roman"/>
        </w:rPr>
        <w:t xml:space="preserve">written authorizations and </w:t>
      </w:r>
      <w:r w:rsidRPr="00FB4006">
        <w:rPr>
          <w:rFonts w:ascii="Times New Roman" w:hAnsi="Times New Roman"/>
        </w:rPr>
        <w:t xml:space="preserve">disclosures.  Electronic methods will be used to </w:t>
      </w:r>
      <w:r w:rsidRPr="00FB4006">
        <w:rPr>
          <w:rFonts w:ascii="Times New Roman" w:hAnsi="Times New Roman"/>
        </w:rPr>
        <w:lastRenderedPageBreak/>
        <w:t xml:space="preserve">distribute </w:t>
      </w:r>
      <w:r>
        <w:rPr>
          <w:rFonts w:ascii="Times New Roman" w:hAnsi="Times New Roman"/>
        </w:rPr>
        <w:t>51.8</w:t>
      </w:r>
      <w:r w:rsidRPr="00FB4006">
        <w:rPr>
          <w:rFonts w:ascii="Times New Roman" w:hAnsi="Times New Roman"/>
        </w:rPr>
        <w:t xml:space="preserve"> percent of disclosures</w:t>
      </w:r>
      <w:r>
        <w:rPr>
          <w:rFonts w:ascii="Times New Roman" w:hAnsi="Times New Roman"/>
        </w:rPr>
        <w:t xml:space="preserve"> to and authorizations from plans and 44.1 percent of disclosures to and authorizations from IRAs</w:t>
      </w:r>
      <w:r w:rsidRPr="00FB4006">
        <w:rPr>
          <w:rFonts w:ascii="Times New Roman" w:hAnsi="Times New Roman"/>
        </w:rPr>
        <w:t xml:space="preserve">, at de </w:t>
      </w:r>
      <w:proofErr w:type="spellStart"/>
      <w:r w:rsidRPr="00FB4006">
        <w:rPr>
          <w:rFonts w:ascii="Times New Roman" w:hAnsi="Times New Roman"/>
        </w:rPr>
        <w:t>minimis</w:t>
      </w:r>
      <w:proofErr w:type="spellEnd"/>
      <w:r w:rsidRPr="00FB4006">
        <w:rPr>
          <w:rFonts w:ascii="Times New Roman" w:hAnsi="Times New Roman"/>
        </w:rPr>
        <w:t xml:space="preserve"> burden, while </w:t>
      </w:r>
      <w:r>
        <w:rPr>
          <w:rFonts w:ascii="Times New Roman" w:hAnsi="Times New Roman"/>
        </w:rPr>
        <w:t>the remainder</w:t>
      </w:r>
      <w:r w:rsidRPr="00FB4006">
        <w:rPr>
          <w:rFonts w:ascii="Times New Roman" w:hAnsi="Times New Roman"/>
        </w:rPr>
        <w:t xml:space="preserve"> will be on paper.  Production and distribution of paper disclosures will result in an overall burden of </w:t>
      </w:r>
      <w:r w:rsidR="008C3B2E">
        <w:rPr>
          <w:rFonts w:ascii="Times New Roman" w:hAnsi="Times New Roman"/>
        </w:rPr>
        <w:t>17</w:t>
      </w:r>
      <w:r w:rsidR="00B623FC">
        <w:rPr>
          <w:rFonts w:ascii="Times New Roman" w:hAnsi="Times New Roman"/>
        </w:rPr>
        <w:t>2</w:t>
      </w:r>
      <w:r w:rsidRPr="00FB4006">
        <w:rPr>
          <w:rFonts w:ascii="Times New Roman" w:hAnsi="Times New Roman"/>
        </w:rPr>
        <w:t>,000 hours with an equivalent cost of $</w:t>
      </w:r>
      <w:r w:rsidR="008C3B2E">
        <w:rPr>
          <w:rFonts w:ascii="Times New Roman" w:hAnsi="Times New Roman"/>
        </w:rPr>
        <w:t>18.</w:t>
      </w:r>
      <w:r w:rsidR="00B623FC">
        <w:rPr>
          <w:rFonts w:ascii="Times New Roman" w:hAnsi="Times New Roman"/>
        </w:rPr>
        <w:t>2</w:t>
      </w:r>
      <w:r w:rsidRPr="00FB4006">
        <w:rPr>
          <w:rFonts w:ascii="Times New Roman" w:hAnsi="Times New Roman"/>
        </w:rPr>
        <w:t xml:space="preserve"> million.</w:t>
      </w:r>
    </w:p>
    <w:p w:rsidR="00691402" w:rsidRDefault="00691402" w:rsidP="00691402">
      <w:pPr>
        <w:ind w:left="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520"/>
        <w:gridCol w:w="2808"/>
      </w:tblGrid>
      <w:tr w:rsidR="00691402" w:rsidRPr="00423E8C" w:rsidTr="00CD7F4A">
        <w:tc>
          <w:tcPr>
            <w:tcW w:w="3420" w:type="dxa"/>
            <w:shd w:val="clear" w:color="auto" w:fill="auto"/>
          </w:tcPr>
          <w:p w:rsidR="00691402" w:rsidRPr="00DE6751" w:rsidRDefault="00691402" w:rsidP="00CD7F4A">
            <w:pPr>
              <w:jc w:val="center"/>
              <w:rPr>
                <w:rFonts w:ascii="Times New Roman" w:hAnsi="Times New Roman"/>
                <w:b/>
              </w:rPr>
            </w:pPr>
            <w:r w:rsidRPr="00DE6751">
              <w:rPr>
                <w:rFonts w:ascii="Times New Roman" w:hAnsi="Times New Roman"/>
                <w:b/>
              </w:rPr>
              <w:t>Activity</w:t>
            </w:r>
          </w:p>
        </w:tc>
        <w:tc>
          <w:tcPr>
            <w:tcW w:w="2520" w:type="dxa"/>
            <w:shd w:val="clear" w:color="auto" w:fill="auto"/>
          </w:tcPr>
          <w:p w:rsidR="00691402" w:rsidRPr="00DE6751" w:rsidRDefault="00691402" w:rsidP="00CD7F4A">
            <w:pPr>
              <w:jc w:val="center"/>
              <w:rPr>
                <w:rFonts w:ascii="Times New Roman" w:hAnsi="Times New Roman"/>
                <w:b/>
              </w:rPr>
            </w:pPr>
            <w:r w:rsidRPr="00DE6751">
              <w:rPr>
                <w:rFonts w:ascii="Times New Roman" w:hAnsi="Times New Roman"/>
                <w:b/>
              </w:rPr>
              <w:t>Burden Hours</w:t>
            </w:r>
          </w:p>
        </w:tc>
        <w:tc>
          <w:tcPr>
            <w:tcW w:w="2808" w:type="dxa"/>
            <w:shd w:val="clear" w:color="auto" w:fill="auto"/>
          </w:tcPr>
          <w:p w:rsidR="00691402" w:rsidRPr="00DE6751" w:rsidRDefault="00691402" w:rsidP="00CD7F4A">
            <w:pPr>
              <w:jc w:val="center"/>
              <w:rPr>
                <w:rFonts w:ascii="Times New Roman" w:hAnsi="Times New Roman"/>
                <w:b/>
              </w:rPr>
            </w:pPr>
            <w:r w:rsidRPr="00DE6751">
              <w:rPr>
                <w:rFonts w:ascii="Times New Roman" w:hAnsi="Times New Roman"/>
                <w:b/>
              </w:rPr>
              <w:t>Equivalent Burden Cost</w:t>
            </w:r>
          </w:p>
        </w:tc>
      </w:tr>
      <w:tr w:rsidR="00691402" w:rsidRPr="00423E8C" w:rsidTr="00CD7F4A">
        <w:tc>
          <w:tcPr>
            <w:tcW w:w="3420" w:type="dxa"/>
            <w:shd w:val="clear" w:color="auto" w:fill="auto"/>
          </w:tcPr>
          <w:p w:rsidR="00691402" w:rsidRPr="00423E8C" w:rsidRDefault="00691402" w:rsidP="00CD7F4A">
            <w:pPr>
              <w:rPr>
                <w:rFonts w:ascii="Times New Roman" w:hAnsi="Times New Roman"/>
              </w:rPr>
            </w:pPr>
            <w:r w:rsidRPr="00423E8C">
              <w:rPr>
                <w:rFonts w:ascii="Times New Roman" w:hAnsi="Times New Roman"/>
              </w:rPr>
              <w:t>1.  Written authorization from the authorizing plan fiduciary</w:t>
            </w:r>
          </w:p>
        </w:tc>
        <w:tc>
          <w:tcPr>
            <w:tcW w:w="2520" w:type="dxa"/>
            <w:shd w:val="clear" w:color="auto" w:fill="auto"/>
          </w:tcPr>
          <w:p w:rsidR="00691402" w:rsidRPr="00423E8C" w:rsidRDefault="008C3B2E" w:rsidP="00B623FC">
            <w:pPr>
              <w:jc w:val="right"/>
              <w:rPr>
                <w:rFonts w:ascii="Times New Roman" w:hAnsi="Times New Roman"/>
              </w:rPr>
            </w:pPr>
            <w:r>
              <w:rPr>
                <w:rFonts w:ascii="Times New Roman" w:hAnsi="Times New Roman"/>
              </w:rPr>
              <w:t>13</w:t>
            </w:r>
            <w:r w:rsidR="00B623FC">
              <w:rPr>
                <w:rFonts w:ascii="Times New Roman" w:hAnsi="Times New Roman"/>
              </w:rPr>
              <w:t>7</w:t>
            </w:r>
            <w:r w:rsidR="00691402" w:rsidRPr="00423E8C">
              <w:rPr>
                <w:rFonts w:ascii="Times New Roman" w:hAnsi="Times New Roman"/>
              </w:rPr>
              <w:t>,</w:t>
            </w:r>
            <w:r w:rsidR="00691402">
              <w:rPr>
                <w:rFonts w:ascii="Times New Roman" w:hAnsi="Times New Roman"/>
              </w:rPr>
              <w:t>0</w:t>
            </w:r>
            <w:r w:rsidR="00691402" w:rsidRPr="00423E8C">
              <w:rPr>
                <w:rFonts w:ascii="Times New Roman" w:hAnsi="Times New Roman"/>
              </w:rPr>
              <w:t>00</w:t>
            </w:r>
          </w:p>
        </w:tc>
        <w:tc>
          <w:tcPr>
            <w:tcW w:w="2808" w:type="dxa"/>
            <w:shd w:val="clear" w:color="auto" w:fill="auto"/>
          </w:tcPr>
          <w:p w:rsidR="00691402" w:rsidRPr="00423E8C" w:rsidRDefault="00691402" w:rsidP="00B623FC">
            <w:pPr>
              <w:jc w:val="right"/>
              <w:rPr>
                <w:rFonts w:ascii="Times New Roman" w:hAnsi="Times New Roman"/>
              </w:rPr>
            </w:pPr>
            <w:r w:rsidRPr="00423E8C">
              <w:rPr>
                <w:rFonts w:ascii="Times New Roman" w:hAnsi="Times New Roman"/>
              </w:rPr>
              <w:t>$</w:t>
            </w:r>
            <w:r w:rsidR="008C3B2E">
              <w:rPr>
                <w:rFonts w:ascii="Times New Roman" w:hAnsi="Times New Roman"/>
              </w:rPr>
              <w:t>1</w:t>
            </w:r>
            <w:r w:rsidR="00B623FC">
              <w:rPr>
                <w:rFonts w:ascii="Times New Roman" w:hAnsi="Times New Roman"/>
              </w:rPr>
              <w:t>5.9</w:t>
            </w:r>
            <w:r>
              <w:rPr>
                <w:rFonts w:ascii="Times New Roman" w:hAnsi="Times New Roman"/>
              </w:rPr>
              <w:t xml:space="preserve"> million</w:t>
            </w:r>
          </w:p>
        </w:tc>
      </w:tr>
      <w:tr w:rsidR="00691402" w:rsidRPr="00423E8C" w:rsidTr="00CD7F4A">
        <w:tc>
          <w:tcPr>
            <w:tcW w:w="3420" w:type="dxa"/>
            <w:shd w:val="clear" w:color="auto" w:fill="auto"/>
          </w:tcPr>
          <w:p w:rsidR="00691402" w:rsidRPr="00423E8C" w:rsidRDefault="00691402" w:rsidP="00CD7F4A">
            <w:pPr>
              <w:rPr>
                <w:rFonts w:ascii="Times New Roman" w:hAnsi="Times New Roman"/>
              </w:rPr>
            </w:pPr>
            <w:r w:rsidRPr="00423E8C">
              <w:rPr>
                <w:rFonts w:ascii="Times New Roman" w:hAnsi="Times New Roman"/>
              </w:rPr>
              <w:t>2.  Provision of materials for evaluation of authorization of transaction</w:t>
            </w:r>
          </w:p>
        </w:tc>
        <w:tc>
          <w:tcPr>
            <w:tcW w:w="2520" w:type="dxa"/>
            <w:shd w:val="clear" w:color="auto" w:fill="auto"/>
          </w:tcPr>
          <w:p w:rsidR="00691402" w:rsidRPr="00423E8C" w:rsidRDefault="008C3B2E" w:rsidP="008C3B2E">
            <w:pPr>
              <w:jc w:val="right"/>
              <w:rPr>
                <w:rFonts w:ascii="Times New Roman" w:hAnsi="Times New Roman"/>
              </w:rPr>
            </w:pPr>
            <w:r>
              <w:rPr>
                <w:rFonts w:ascii="Times New Roman" w:hAnsi="Times New Roman"/>
              </w:rPr>
              <w:t>34</w:t>
            </w:r>
            <w:r w:rsidR="00691402">
              <w:rPr>
                <w:rFonts w:ascii="Times New Roman" w:hAnsi="Times New Roman"/>
              </w:rPr>
              <w:t>,0</w:t>
            </w:r>
            <w:r w:rsidR="00691402" w:rsidRPr="00423E8C">
              <w:rPr>
                <w:rFonts w:ascii="Times New Roman" w:hAnsi="Times New Roman"/>
              </w:rPr>
              <w:t>00</w:t>
            </w:r>
          </w:p>
        </w:tc>
        <w:tc>
          <w:tcPr>
            <w:tcW w:w="2808" w:type="dxa"/>
            <w:shd w:val="clear" w:color="auto" w:fill="auto"/>
          </w:tcPr>
          <w:p w:rsidR="00691402" w:rsidRPr="00423E8C" w:rsidRDefault="00691402" w:rsidP="008C3B2E">
            <w:pPr>
              <w:jc w:val="right"/>
              <w:rPr>
                <w:rFonts w:ascii="Times New Roman" w:hAnsi="Times New Roman"/>
              </w:rPr>
            </w:pPr>
            <w:r w:rsidRPr="00423E8C">
              <w:rPr>
                <w:rFonts w:ascii="Times New Roman" w:hAnsi="Times New Roman"/>
              </w:rPr>
              <w:t>$</w:t>
            </w:r>
            <w:r w:rsidR="008C3B2E">
              <w:rPr>
                <w:rFonts w:ascii="Times New Roman" w:hAnsi="Times New Roman"/>
              </w:rPr>
              <w:t>2.1</w:t>
            </w:r>
            <w:r>
              <w:rPr>
                <w:rFonts w:ascii="Times New Roman" w:hAnsi="Times New Roman"/>
              </w:rPr>
              <w:t xml:space="preserve"> million</w:t>
            </w:r>
          </w:p>
        </w:tc>
      </w:tr>
      <w:tr w:rsidR="00691402" w:rsidRPr="00423E8C" w:rsidTr="00CD7F4A">
        <w:tc>
          <w:tcPr>
            <w:tcW w:w="3420" w:type="dxa"/>
            <w:shd w:val="clear" w:color="auto" w:fill="auto"/>
          </w:tcPr>
          <w:p w:rsidR="00691402" w:rsidRPr="00423E8C" w:rsidRDefault="00691402" w:rsidP="00CD7F4A">
            <w:pPr>
              <w:rPr>
                <w:rFonts w:ascii="Times New Roman" w:hAnsi="Times New Roman"/>
              </w:rPr>
            </w:pPr>
            <w:r w:rsidRPr="00423E8C">
              <w:rPr>
                <w:rFonts w:ascii="Times New Roman" w:hAnsi="Times New Roman"/>
              </w:rPr>
              <w:t xml:space="preserve">3.  </w:t>
            </w:r>
            <w:r>
              <w:rPr>
                <w:rFonts w:ascii="Times New Roman" w:hAnsi="Times New Roman"/>
              </w:rPr>
              <w:t>Recordkeeping</w:t>
            </w:r>
          </w:p>
        </w:tc>
        <w:tc>
          <w:tcPr>
            <w:tcW w:w="2520" w:type="dxa"/>
            <w:shd w:val="clear" w:color="auto" w:fill="auto"/>
          </w:tcPr>
          <w:p w:rsidR="00691402" w:rsidRPr="00423E8C" w:rsidRDefault="00691402" w:rsidP="00C27AB5">
            <w:pPr>
              <w:jc w:val="right"/>
              <w:rPr>
                <w:rFonts w:ascii="Times New Roman" w:hAnsi="Times New Roman"/>
              </w:rPr>
            </w:pPr>
            <w:r>
              <w:rPr>
                <w:rFonts w:ascii="Times New Roman" w:hAnsi="Times New Roman"/>
              </w:rPr>
              <w:t>1</w:t>
            </w:r>
            <w:r w:rsidRPr="00423E8C">
              <w:rPr>
                <w:rFonts w:ascii="Times New Roman" w:hAnsi="Times New Roman"/>
              </w:rPr>
              <w:t>,</w:t>
            </w:r>
            <w:r w:rsidR="00C27AB5">
              <w:rPr>
                <w:rFonts w:ascii="Times New Roman" w:hAnsi="Times New Roman"/>
              </w:rPr>
              <w:t>1</w:t>
            </w:r>
            <w:r w:rsidRPr="00423E8C">
              <w:rPr>
                <w:rFonts w:ascii="Times New Roman" w:hAnsi="Times New Roman"/>
              </w:rPr>
              <w:t>00</w:t>
            </w:r>
          </w:p>
        </w:tc>
        <w:tc>
          <w:tcPr>
            <w:tcW w:w="2808" w:type="dxa"/>
            <w:shd w:val="clear" w:color="auto" w:fill="auto"/>
          </w:tcPr>
          <w:p w:rsidR="00691402" w:rsidRPr="00423E8C" w:rsidRDefault="00691402" w:rsidP="00C27AB5">
            <w:pPr>
              <w:jc w:val="right"/>
              <w:rPr>
                <w:rFonts w:ascii="Times New Roman" w:hAnsi="Times New Roman"/>
              </w:rPr>
            </w:pPr>
            <w:r w:rsidRPr="00423E8C">
              <w:rPr>
                <w:rFonts w:ascii="Times New Roman" w:hAnsi="Times New Roman"/>
              </w:rPr>
              <w:t>$</w:t>
            </w:r>
            <w:r>
              <w:rPr>
                <w:rFonts w:ascii="Times New Roman" w:hAnsi="Times New Roman"/>
              </w:rPr>
              <w:t>1</w:t>
            </w:r>
            <w:r w:rsidR="00C27AB5">
              <w:rPr>
                <w:rFonts w:ascii="Times New Roman" w:hAnsi="Times New Roman"/>
              </w:rPr>
              <w:t>4</w:t>
            </w:r>
            <w:r w:rsidR="008C3B2E">
              <w:rPr>
                <w:rFonts w:ascii="Times New Roman" w:hAnsi="Times New Roman"/>
              </w:rPr>
              <w:t>7</w:t>
            </w:r>
            <w:r w:rsidRPr="00423E8C">
              <w:rPr>
                <w:rFonts w:ascii="Times New Roman" w:hAnsi="Times New Roman"/>
              </w:rPr>
              <w:t>,000</w:t>
            </w:r>
          </w:p>
        </w:tc>
      </w:tr>
      <w:tr w:rsidR="00691402" w:rsidRPr="00423E8C" w:rsidTr="00CD7F4A">
        <w:tc>
          <w:tcPr>
            <w:tcW w:w="3420" w:type="dxa"/>
            <w:shd w:val="clear" w:color="auto" w:fill="auto"/>
          </w:tcPr>
          <w:p w:rsidR="00691402" w:rsidRPr="009D3EB4" w:rsidRDefault="00691402" w:rsidP="00CD7F4A">
            <w:pPr>
              <w:rPr>
                <w:rFonts w:ascii="Times New Roman" w:hAnsi="Times New Roman"/>
                <w:b/>
              </w:rPr>
            </w:pPr>
            <w:r w:rsidRPr="009D3EB4">
              <w:rPr>
                <w:rFonts w:ascii="Times New Roman" w:hAnsi="Times New Roman"/>
                <w:b/>
              </w:rPr>
              <w:t>Total</w:t>
            </w:r>
          </w:p>
        </w:tc>
        <w:tc>
          <w:tcPr>
            <w:tcW w:w="2520" w:type="dxa"/>
            <w:shd w:val="clear" w:color="auto" w:fill="auto"/>
          </w:tcPr>
          <w:p w:rsidR="00691402" w:rsidRPr="009D3EB4" w:rsidRDefault="008C3B2E" w:rsidP="00B623FC">
            <w:pPr>
              <w:jc w:val="right"/>
              <w:rPr>
                <w:rFonts w:ascii="Times New Roman" w:hAnsi="Times New Roman"/>
                <w:b/>
              </w:rPr>
            </w:pPr>
            <w:r>
              <w:rPr>
                <w:rFonts w:ascii="Times New Roman" w:hAnsi="Times New Roman"/>
                <w:b/>
              </w:rPr>
              <w:t>17</w:t>
            </w:r>
            <w:r w:rsidR="00B623FC">
              <w:rPr>
                <w:rFonts w:ascii="Times New Roman" w:hAnsi="Times New Roman"/>
                <w:b/>
              </w:rPr>
              <w:t>2</w:t>
            </w:r>
            <w:r w:rsidR="00691402" w:rsidRPr="009D3EB4">
              <w:rPr>
                <w:rFonts w:ascii="Times New Roman" w:hAnsi="Times New Roman"/>
                <w:b/>
              </w:rPr>
              <w:t>,000</w:t>
            </w:r>
          </w:p>
        </w:tc>
        <w:tc>
          <w:tcPr>
            <w:tcW w:w="2808" w:type="dxa"/>
            <w:shd w:val="clear" w:color="auto" w:fill="auto"/>
          </w:tcPr>
          <w:p w:rsidR="00691402" w:rsidRPr="009D3EB4" w:rsidRDefault="00691402" w:rsidP="00B623FC">
            <w:pPr>
              <w:jc w:val="right"/>
              <w:rPr>
                <w:rFonts w:ascii="Times New Roman" w:hAnsi="Times New Roman"/>
                <w:b/>
              </w:rPr>
            </w:pPr>
            <w:r w:rsidRPr="009D3EB4">
              <w:rPr>
                <w:rFonts w:ascii="Times New Roman" w:hAnsi="Times New Roman"/>
                <w:b/>
              </w:rPr>
              <w:t>$</w:t>
            </w:r>
            <w:r w:rsidR="008C3B2E">
              <w:rPr>
                <w:rFonts w:ascii="Times New Roman" w:hAnsi="Times New Roman"/>
                <w:b/>
              </w:rPr>
              <w:t>18.</w:t>
            </w:r>
            <w:r w:rsidR="00B623FC">
              <w:rPr>
                <w:rFonts w:ascii="Times New Roman" w:hAnsi="Times New Roman"/>
                <w:b/>
              </w:rPr>
              <w:t>2</w:t>
            </w:r>
            <w:r w:rsidRPr="009D3EB4">
              <w:rPr>
                <w:rFonts w:ascii="Times New Roman" w:hAnsi="Times New Roman"/>
                <w:b/>
              </w:rPr>
              <w:t xml:space="preserve"> million</w:t>
            </w:r>
          </w:p>
        </w:tc>
      </w:tr>
    </w:tbl>
    <w:p w:rsidR="00691402" w:rsidRDefault="00691402" w:rsidP="00691402">
      <w:pPr>
        <w:ind w:left="720"/>
        <w:rPr>
          <w:rFonts w:ascii="Times New Roman" w:hAnsi="Times New Roman"/>
        </w:rPr>
      </w:pPr>
    </w:p>
    <w:p w:rsidR="004E2827" w:rsidRDefault="004E2827" w:rsidP="00CD7F4A">
      <w:pPr>
        <w:pStyle w:val="Quick1"/>
        <w:numPr>
          <w:ilvl w:val="0"/>
          <w:numId w:val="0"/>
        </w:numPr>
        <w:tabs>
          <w:tab w:val="left" w:pos="-1440"/>
        </w:tabs>
        <w:ind w:left="720"/>
        <w:rPr>
          <w:rFonts w:ascii="Times New Roman" w:hAnsi="Times New Roman"/>
          <w:i/>
          <w:iCs/>
        </w:rPr>
      </w:pPr>
    </w:p>
    <w:p w:rsidR="0065485A" w:rsidRDefault="0065485A">
      <w:pPr>
        <w:pStyle w:val="Quick1"/>
        <w:tabs>
          <w:tab w:val="left" w:pos="-1440"/>
          <w:tab w:val="num" w:pos="720"/>
        </w:tabs>
        <w:rPr>
          <w:rFonts w:ascii="Times New Roman" w:hAnsi="Times New Roman"/>
          <w:i/>
          <w:iCs/>
        </w:rPr>
      </w:pPr>
      <w:r>
        <w:rPr>
          <w:rFonts w:ascii="Times New Roman" w:hAnsi="Times New Roman"/>
          <w:i/>
          <w:iCs/>
        </w:rPr>
        <w:t xml:space="preserve">Provide an estimate of the total annual cost burden to respondents or </w:t>
      </w:r>
      <w:proofErr w:type="spellStart"/>
      <w:r>
        <w:rPr>
          <w:rFonts w:ascii="Times New Roman" w:hAnsi="Times New Roman"/>
          <w:i/>
          <w:iCs/>
        </w:rPr>
        <w:t>recordkeepers</w:t>
      </w:r>
      <w:proofErr w:type="spellEnd"/>
      <w:r>
        <w:rPr>
          <w:rFonts w:ascii="Times New Roman" w:hAnsi="Times New Roman"/>
          <w:i/>
          <w:iCs/>
        </w:rPr>
        <w:t xml:space="preserve"> resulting from the collection of information.  (Do not include the cost of any hour burden shown in Items 12 or 14).</w:t>
      </w:r>
    </w:p>
    <w:p w:rsidR="0065485A" w:rsidRDefault="0065485A" w:rsidP="006A565F">
      <w:pPr>
        <w:ind w:left="720"/>
        <w:rPr>
          <w:rFonts w:ascii="Times New Roman" w:hAnsi="Times New Roman"/>
        </w:rPr>
      </w:pPr>
    </w:p>
    <w:p w:rsidR="00785249" w:rsidRPr="00785249" w:rsidRDefault="00785249" w:rsidP="006A565F">
      <w:pPr>
        <w:ind w:left="720"/>
        <w:rPr>
          <w:rFonts w:ascii="Times New Roman" w:hAnsi="Times New Roman"/>
        </w:rPr>
      </w:pPr>
      <w:r w:rsidRPr="00785249">
        <w:rPr>
          <w:rFonts w:ascii="Times New Roman" w:hAnsi="Times New Roman"/>
        </w:rPr>
        <w:t xml:space="preserve">As discussed in item 12 above, the exemption imposes </w:t>
      </w:r>
      <w:r w:rsidR="00852DDF">
        <w:rPr>
          <w:rFonts w:ascii="Times New Roman" w:hAnsi="Times New Roman"/>
        </w:rPr>
        <w:t>three</w:t>
      </w:r>
      <w:r w:rsidRPr="00785249">
        <w:rPr>
          <w:rFonts w:ascii="Times New Roman" w:hAnsi="Times New Roman"/>
        </w:rPr>
        <w:t xml:space="preserve"> information requests on authorizing fiduciaries and </w:t>
      </w:r>
      <w:r w:rsidR="00852DDF">
        <w:rPr>
          <w:rFonts w:ascii="Times New Roman" w:hAnsi="Times New Roman"/>
        </w:rPr>
        <w:t xml:space="preserve">insurance agents, pension consultants, and mutual fund </w:t>
      </w:r>
      <w:r w:rsidR="00333267">
        <w:rPr>
          <w:rFonts w:ascii="Times New Roman" w:hAnsi="Times New Roman"/>
        </w:rPr>
        <w:t>p</w:t>
      </w:r>
      <w:r w:rsidR="00852DDF">
        <w:rPr>
          <w:rFonts w:ascii="Times New Roman" w:hAnsi="Times New Roman"/>
        </w:rPr>
        <w:t xml:space="preserve">rincipal </w:t>
      </w:r>
      <w:r w:rsidR="00333267">
        <w:rPr>
          <w:rFonts w:ascii="Times New Roman" w:hAnsi="Times New Roman"/>
        </w:rPr>
        <w:t>u</w:t>
      </w:r>
      <w:r w:rsidR="00852DDF">
        <w:rPr>
          <w:rFonts w:ascii="Times New Roman" w:hAnsi="Times New Roman"/>
        </w:rPr>
        <w:t>nderwriters</w:t>
      </w:r>
      <w:r w:rsidRPr="00785249">
        <w:rPr>
          <w:rFonts w:ascii="Times New Roman" w:hAnsi="Times New Roman"/>
        </w:rPr>
        <w:t xml:space="preserve"> to qualify for the relief provided in the exemption.  The cost burden that is associated with complying with these ICRs is discussed below. </w:t>
      </w:r>
      <w:r w:rsidR="00E12424">
        <w:rPr>
          <w:rFonts w:ascii="Times New Roman" w:hAnsi="Times New Roman"/>
        </w:rPr>
        <w:t xml:space="preserve"> </w:t>
      </w:r>
      <w:r w:rsidRPr="00785249">
        <w:rPr>
          <w:rFonts w:ascii="Times New Roman" w:hAnsi="Times New Roman"/>
        </w:rPr>
        <w:t>These estimates are in addition to the hour burden estimates discussed in item</w:t>
      </w:r>
      <w:r w:rsidR="000C6BEE">
        <w:rPr>
          <w:rFonts w:ascii="Times New Roman" w:hAnsi="Times New Roman"/>
        </w:rPr>
        <w:t xml:space="preserve"> </w:t>
      </w:r>
      <w:r w:rsidRPr="00785249">
        <w:rPr>
          <w:rFonts w:ascii="Times New Roman" w:hAnsi="Times New Roman"/>
        </w:rPr>
        <w:t>12.</w:t>
      </w:r>
    </w:p>
    <w:p w:rsidR="00E41A1C" w:rsidRDefault="00E41A1C" w:rsidP="006A565F">
      <w:pPr>
        <w:ind w:left="720"/>
        <w:rPr>
          <w:rFonts w:ascii="Times New Roman" w:hAnsi="Times New Roman"/>
        </w:rPr>
      </w:pPr>
    </w:p>
    <w:p w:rsidR="00785249" w:rsidRPr="00785249" w:rsidRDefault="00785249" w:rsidP="006A565F">
      <w:pPr>
        <w:ind w:left="720"/>
        <w:rPr>
          <w:rFonts w:ascii="Times New Roman" w:hAnsi="Times New Roman"/>
        </w:rPr>
      </w:pPr>
      <w:r w:rsidRPr="00785249">
        <w:rPr>
          <w:rFonts w:ascii="Times New Roman" w:hAnsi="Times New Roman"/>
        </w:rPr>
        <w:t xml:space="preserve">The Department used the same assumptions </w:t>
      </w:r>
      <w:r w:rsidR="00BD5135">
        <w:rPr>
          <w:rFonts w:ascii="Times New Roman" w:hAnsi="Times New Roman"/>
        </w:rPr>
        <w:t>that w</w:t>
      </w:r>
      <w:r w:rsidRPr="00785249">
        <w:rPr>
          <w:rFonts w:ascii="Times New Roman" w:hAnsi="Times New Roman"/>
        </w:rPr>
        <w:t>ere used in determining the hour burden</w:t>
      </w:r>
      <w:r w:rsidR="00BD5135">
        <w:rPr>
          <w:rFonts w:ascii="Times New Roman" w:hAnsi="Times New Roman"/>
        </w:rPr>
        <w:t xml:space="preserve"> in estimating the cost burden</w:t>
      </w:r>
      <w:r w:rsidRPr="00785249">
        <w:rPr>
          <w:rFonts w:ascii="Times New Roman" w:hAnsi="Times New Roman"/>
        </w:rPr>
        <w:t xml:space="preserve">.  In addition, the Department assumes that electronic means will be used to deliver </w:t>
      </w:r>
      <w:r w:rsidR="00D747AF">
        <w:rPr>
          <w:rFonts w:ascii="Times New Roman" w:hAnsi="Times New Roman"/>
        </w:rPr>
        <w:t>51.8</w:t>
      </w:r>
      <w:r w:rsidRPr="00785249">
        <w:rPr>
          <w:rFonts w:ascii="Times New Roman" w:hAnsi="Times New Roman"/>
        </w:rPr>
        <w:t xml:space="preserve"> percent of the required information </w:t>
      </w:r>
      <w:r w:rsidR="00852DDF">
        <w:rPr>
          <w:rFonts w:ascii="Times New Roman" w:hAnsi="Times New Roman"/>
        </w:rPr>
        <w:t xml:space="preserve">to plans and </w:t>
      </w:r>
      <w:r w:rsidR="00D747AF">
        <w:rPr>
          <w:rFonts w:ascii="Times New Roman" w:hAnsi="Times New Roman"/>
        </w:rPr>
        <w:t>44.1</w:t>
      </w:r>
      <w:r w:rsidR="00852DDF">
        <w:rPr>
          <w:rFonts w:ascii="Times New Roman" w:hAnsi="Times New Roman"/>
        </w:rPr>
        <w:t xml:space="preserve"> percent of the required information to IRAs </w:t>
      </w:r>
      <w:r w:rsidRPr="00785249">
        <w:rPr>
          <w:rFonts w:ascii="Times New Roman" w:hAnsi="Times New Roman"/>
        </w:rPr>
        <w:t xml:space="preserve">with no associated cost burden. </w:t>
      </w:r>
      <w:r w:rsidR="00D747AF">
        <w:rPr>
          <w:rFonts w:ascii="Times New Roman" w:hAnsi="Times New Roman"/>
        </w:rPr>
        <w:t xml:space="preserve"> </w:t>
      </w:r>
      <w:r w:rsidRPr="00785249">
        <w:rPr>
          <w:rFonts w:ascii="Times New Roman" w:hAnsi="Times New Roman"/>
        </w:rPr>
        <w:t xml:space="preserve">For the required information not sent electronically, the Department estimates that a cost of 5 cents per page for paper and printing costs </w:t>
      </w:r>
      <w:r w:rsidR="00D05D69">
        <w:rPr>
          <w:rFonts w:ascii="Times New Roman" w:hAnsi="Times New Roman"/>
        </w:rPr>
        <w:t xml:space="preserve">and </w:t>
      </w:r>
      <w:r w:rsidRPr="00785249">
        <w:rPr>
          <w:rFonts w:ascii="Times New Roman" w:hAnsi="Times New Roman"/>
        </w:rPr>
        <w:t>4</w:t>
      </w:r>
      <w:r w:rsidR="00E41A1C">
        <w:rPr>
          <w:rFonts w:ascii="Times New Roman" w:hAnsi="Times New Roman"/>
        </w:rPr>
        <w:t>9</w:t>
      </w:r>
      <w:r w:rsidRPr="00785249">
        <w:rPr>
          <w:rFonts w:ascii="Times New Roman" w:hAnsi="Times New Roman"/>
        </w:rPr>
        <w:t xml:space="preserve"> cents </w:t>
      </w:r>
      <w:r w:rsidR="00D05D69">
        <w:rPr>
          <w:rFonts w:ascii="Times New Roman" w:hAnsi="Times New Roman"/>
        </w:rPr>
        <w:t xml:space="preserve">of postage cost </w:t>
      </w:r>
      <w:r w:rsidRPr="00785249">
        <w:rPr>
          <w:rFonts w:ascii="Times New Roman" w:hAnsi="Times New Roman"/>
        </w:rPr>
        <w:t>per mailing will be incurred.</w:t>
      </w:r>
    </w:p>
    <w:p w:rsidR="00785249" w:rsidRPr="00785249" w:rsidRDefault="00785249" w:rsidP="006A565F">
      <w:pPr>
        <w:ind w:left="720"/>
        <w:rPr>
          <w:rFonts w:ascii="Times New Roman" w:hAnsi="Times New Roman"/>
        </w:rPr>
      </w:pPr>
    </w:p>
    <w:p w:rsidR="00785249" w:rsidRPr="00785249" w:rsidRDefault="00785249" w:rsidP="006A565F">
      <w:pPr>
        <w:ind w:left="720"/>
        <w:rPr>
          <w:rFonts w:ascii="Times New Roman" w:hAnsi="Times New Roman"/>
        </w:rPr>
      </w:pPr>
      <w:r w:rsidRPr="00785249">
        <w:rPr>
          <w:rFonts w:ascii="Times New Roman" w:hAnsi="Times New Roman"/>
        </w:rPr>
        <w:t>The annual cost burden is calculated as follows:</w:t>
      </w:r>
    </w:p>
    <w:p w:rsidR="003F3851" w:rsidRPr="00785249" w:rsidRDefault="003F3851" w:rsidP="003F3851">
      <w:pPr>
        <w:ind w:left="720"/>
        <w:rPr>
          <w:rFonts w:ascii="Times New Roman" w:hAnsi="Times New Roman"/>
        </w:rPr>
      </w:pPr>
    </w:p>
    <w:p w:rsidR="003F3851" w:rsidRPr="00785249" w:rsidRDefault="003F3851" w:rsidP="00CD7F4A">
      <w:pPr>
        <w:widowControl/>
        <w:numPr>
          <w:ilvl w:val="0"/>
          <w:numId w:val="13"/>
        </w:numPr>
        <w:autoSpaceDE/>
        <w:autoSpaceDN/>
        <w:adjustRightInd/>
        <w:ind w:left="1440" w:hanging="720"/>
        <w:rPr>
          <w:rFonts w:ascii="Times New Roman" w:hAnsi="Times New Roman"/>
        </w:rPr>
      </w:pPr>
      <w:r w:rsidRPr="00785249">
        <w:rPr>
          <w:rFonts w:ascii="Times New Roman" w:hAnsi="Times New Roman"/>
        </w:rPr>
        <w:t xml:space="preserve">Written authorization from the </w:t>
      </w:r>
      <w:r>
        <w:rPr>
          <w:rFonts w:ascii="Times New Roman" w:hAnsi="Times New Roman"/>
        </w:rPr>
        <w:t xml:space="preserve">independent </w:t>
      </w:r>
      <w:r w:rsidRPr="00785249">
        <w:rPr>
          <w:rFonts w:ascii="Times New Roman" w:hAnsi="Times New Roman"/>
        </w:rPr>
        <w:t xml:space="preserve"> plan fiduciary</w:t>
      </w:r>
    </w:p>
    <w:p w:rsidR="003F3851" w:rsidRPr="00785249" w:rsidRDefault="003F3851" w:rsidP="003F3851">
      <w:pPr>
        <w:ind w:left="720"/>
        <w:rPr>
          <w:rFonts w:ascii="Times New Roman" w:hAnsi="Times New Roman"/>
        </w:rPr>
      </w:pPr>
    </w:p>
    <w:p w:rsidR="003F3851" w:rsidRPr="00785249" w:rsidRDefault="003F3851" w:rsidP="003F3851">
      <w:pPr>
        <w:ind w:left="720"/>
        <w:rPr>
          <w:rFonts w:ascii="Times New Roman" w:hAnsi="Times New Roman"/>
        </w:rPr>
      </w:pPr>
      <w:r>
        <w:rPr>
          <w:rFonts w:ascii="Times New Roman" w:hAnsi="Times New Roman"/>
        </w:rPr>
        <w:t>The Department</w:t>
      </w:r>
      <w:r w:rsidRPr="00785249">
        <w:rPr>
          <w:rFonts w:ascii="Times New Roman" w:hAnsi="Times New Roman"/>
        </w:rPr>
        <w:t xml:space="preserve"> assume</w:t>
      </w:r>
      <w:r>
        <w:rPr>
          <w:rFonts w:ascii="Times New Roman" w:hAnsi="Times New Roman"/>
        </w:rPr>
        <w:t>s</w:t>
      </w:r>
      <w:r w:rsidRPr="00785249">
        <w:rPr>
          <w:rFonts w:ascii="Times New Roman" w:hAnsi="Times New Roman"/>
        </w:rPr>
        <w:t xml:space="preserve"> that the authorization will include two pages.  </w:t>
      </w:r>
      <w:r>
        <w:rPr>
          <w:rFonts w:ascii="Times New Roman" w:hAnsi="Times New Roman"/>
        </w:rPr>
        <w:t>P</w:t>
      </w:r>
      <w:r w:rsidRPr="00785249">
        <w:rPr>
          <w:rFonts w:ascii="Times New Roman" w:hAnsi="Times New Roman"/>
        </w:rPr>
        <w:t xml:space="preserve">lans </w:t>
      </w:r>
      <w:r>
        <w:rPr>
          <w:rFonts w:ascii="Times New Roman" w:hAnsi="Times New Roman"/>
        </w:rPr>
        <w:t>and IRAs</w:t>
      </w:r>
      <w:r w:rsidRPr="00785249">
        <w:rPr>
          <w:rFonts w:ascii="Times New Roman" w:hAnsi="Times New Roman"/>
        </w:rPr>
        <w:t xml:space="preserve"> will have to send the authorization; therefore about </w:t>
      </w:r>
      <w:r w:rsidR="008102CA">
        <w:rPr>
          <w:rFonts w:ascii="Times New Roman" w:hAnsi="Times New Roman"/>
        </w:rPr>
        <w:t>20</w:t>
      </w:r>
      <w:r>
        <w:rPr>
          <w:rFonts w:ascii="Times New Roman" w:hAnsi="Times New Roman"/>
        </w:rPr>
        <w:t>,000</w:t>
      </w:r>
      <w:r w:rsidRPr="00785249">
        <w:rPr>
          <w:rFonts w:ascii="Times New Roman" w:hAnsi="Times New Roman"/>
        </w:rPr>
        <w:t xml:space="preserve"> plans</w:t>
      </w:r>
      <w:r>
        <w:rPr>
          <w:rFonts w:ascii="Times New Roman" w:hAnsi="Times New Roman"/>
        </w:rPr>
        <w:t xml:space="preserve"> and </w:t>
      </w:r>
      <w:r w:rsidR="008102CA">
        <w:rPr>
          <w:rFonts w:ascii="Times New Roman" w:hAnsi="Times New Roman"/>
        </w:rPr>
        <w:t>1.6</w:t>
      </w:r>
      <w:r>
        <w:rPr>
          <w:rFonts w:ascii="Times New Roman" w:hAnsi="Times New Roman"/>
        </w:rPr>
        <w:t xml:space="preserve"> million IRAs</w:t>
      </w:r>
      <w:r w:rsidRPr="00785249">
        <w:rPr>
          <w:rFonts w:ascii="Times New Roman" w:hAnsi="Times New Roman"/>
        </w:rPr>
        <w:t xml:space="preserve"> will have to send the authorization each year with </w:t>
      </w:r>
      <w:r>
        <w:rPr>
          <w:rFonts w:ascii="Times New Roman" w:hAnsi="Times New Roman"/>
        </w:rPr>
        <w:t>51.8</w:t>
      </w:r>
      <w:r w:rsidRPr="00785249">
        <w:rPr>
          <w:rFonts w:ascii="Times New Roman" w:hAnsi="Times New Roman"/>
        </w:rPr>
        <w:t xml:space="preserve"> percent </w:t>
      </w:r>
      <w:r>
        <w:rPr>
          <w:rFonts w:ascii="Times New Roman" w:hAnsi="Times New Roman"/>
        </w:rPr>
        <w:t xml:space="preserve">of plan authorizations and 44.1 percent IRA authorizations </w:t>
      </w:r>
      <w:r w:rsidRPr="00785249">
        <w:rPr>
          <w:rFonts w:ascii="Times New Roman" w:hAnsi="Times New Roman"/>
        </w:rPr>
        <w:t xml:space="preserve">being sent electronically.  </w:t>
      </w:r>
      <w:r>
        <w:rPr>
          <w:rFonts w:ascii="Times New Roman" w:hAnsi="Times New Roman"/>
        </w:rPr>
        <w:t xml:space="preserve">Paper authorizations will cost </w:t>
      </w:r>
      <w:r>
        <w:rPr>
          <w:rFonts w:ascii="Times New Roman" w:hAnsi="Times New Roman"/>
        </w:rPr>
        <w:lastRenderedPageBreak/>
        <w:t xml:space="preserve">$0.59 each, which </w:t>
      </w:r>
      <w:r w:rsidRPr="00785249">
        <w:rPr>
          <w:rFonts w:ascii="Times New Roman" w:hAnsi="Times New Roman"/>
        </w:rPr>
        <w:t>results in a cost burden of approximately $</w:t>
      </w:r>
      <w:r w:rsidR="008102CA">
        <w:rPr>
          <w:rFonts w:ascii="Times New Roman" w:hAnsi="Times New Roman"/>
        </w:rPr>
        <w:t>544,000</w:t>
      </w:r>
      <w:r w:rsidRPr="00785249">
        <w:rPr>
          <w:rFonts w:ascii="Times New Roman" w:hAnsi="Times New Roman"/>
        </w:rPr>
        <w:t>.</w:t>
      </w:r>
      <w:r w:rsidRPr="00A146BC">
        <w:rPr>
          <w:rStyle w:val="FootnoteReference"/>
          <w:rFonts w:ascii="Times New Roman" w:hAnsi="Times New Roman"/>
          <w:vertAlign w:val="superscript"/>
        </w:rPr>
        <w:footnoteReference w:id="16"/>
      </w:r>
    </w:p>
    <w:p w:rsidR="003F3851" w:rsidRPr="00785249" w:rsidRDefault="003F3851" w:rsidP="003F3851">
      <w:pPr>
        <w:ind w:left="720"/>
        <w:rPr>
          <w:rFonts w:ascii="Times New Roman" w:hAnsi="Times New Roman"/>
        </w:rPr>
      </w:pPr>
    </w:p>
    <w:p w:rsidR="003F3851" w:rsidRPr="00785249" w:rsidRDefault="003F3851" w:rsidP="00DD2948">
      <w:pPr>
        <w:widowControl/>
        <w:numPr>
          <w:ilvl w:val="0"/>
          <w:numId w:val="13"/>
        </w:numPr>
        <w:autoSpaceDE/>
        <w:autoSpaceDN/>
        <w:adjustRightInd/>
        <w:ind w:left="1440" w:hanging="720"/>
        <w:rPr>
          <w:rFonts w:ascii="Times New Roman" w:hAnsi="Times New Roman"/>
        </w:rPr>
      </w:pPr>
      <w:r w:rsidRPr="00785249">
        <w:rPr>
          <w:rFonts w:ascii="Times New Roman" w:hAnsi="Times New Roman"/>
        </w:rPr>
        <w:t xml:space="preserve">Provision of </w:t>
      </w:r>
      <w:r>
        <w:rPr>
          <w:rFonts w:ascii="Times New Roman" w:hAnsi="Times New Roman"/>
        </w:rPr>
        <w:t xml:space="preserve">disclosure </w:t>
      </w:r>
      <w:r w:rsidRPr="00785249">
        <w:rPr>
          <w:rFonts w:ascii="Times New Roman" w:hAnsi="Times New Roman"/>
        </w:rPr>
        <w:t>materials</w:t>
      </w:r>
    </w:p>
    <w:p w:rsidR="003F3851" w:rsidRPr="00785249" w:rsidRDefault="003F3851" w:rsidP="003F3851">
      <w:pPr>
        <w:ind w:left="720"/>
        <w:rPr>
          <w:rFonts w:ascii="Times New Roman" w:hAnsi="Times New Roman"/>
        </w:rPr>
      </w:pPr>
    </w:p>
    <w:p w:rsidR="003F3851" w:rsidRPr="00785249" w:rsidRDefault="003F3851" w:rsidP="003F3851">
      <w:pPr>
        <w:ind w:left="720"/>
        <w:rPr>
          <w:rFonts w:ascii="Times New Roman" w:hAnsi="Times New Roman"/>
        </w:rPr>
      </w:pPr>
      <w:r>
        <w:rPr>
          <w:rFonts w:ascii="Times New Roman" w:hAnsi="Times New Roman"/>
        </w:rPr>
        <w:t>The Department assumes that t</w:t>
      </w:r>
      <w:r w:rsidRPr="00785249">
        <w:rPr>
          <w:rFonts w:ascii="Times New Roman" w:hAnsi="Times New Roman"/>
        </w:rPr>
        <w:t xml:space="preserve">his information </w:t>
      </w:r>
      <w:r>
        <w:rPr>
          <w:rFonts w:ascii="Times New Roman" w:hAnsi="Times New Roman"/>
        </w:rPr>
        <w:t xml:space="preserve">will </w:t>
      </w:r>
      <w:r w:rsidRPr="00785249">
        <w:rPr>
          <w:rFonts w:ascii="Times New Roman" w:hAnsi="Times New Roman"/>
        </w:rPr>
        <w:t xml:space="preserve">include seven pages.  Once again, approximately </w:t>
      </w:r>
      <w:r w:rsidR="00BB0AD0">
        <w:rPr>
          <w:rFonts w:ascii="Times New Roman" w:hAnsi="Times New Roman"/>
        </w:rPr>
        <w:t>20</w:t>
      </w:r>
      <w:r>
        <w:rPr>
          <w:rFonts w:ascii="Times New Roman" w:hAnsi="Times New Roman"/>
        </w:rPr>
        <w:t>,0</w:t>
      </w:r>
      <w:r w:rsidRPr="00785249">
        <w:rPr>
          <w:rFonts w:ascii="Times New Roman" w:hAnsi="Times New Roman"/>
        </w:rPr>
        <w:t xml:space="preserve">00 authorizing plan fiduciaries </w:t>
      </w:r>
      <w:r>
        <w:rPr>
          <w:rFonts w:ascii="Times New Roman" w:hAnsi="Times New Roman"/>
        </w:rPr>
        <w:t xml:space="preserve">and </w:t>
      </w:r>
      <w:r w:rsidR="00BB0AD0">
        <w:rPr>
          <w:rFonts w:ascii="Times New Roman" w:hAnsi="Times New Roman"/>
        </w:rPr>
        <w:t>1.6</w:t>
      </w:r>
      <w:r>
        <w:rPr>
          <w:rFonts w:ascii="Times New Roman" w:hAnsi="Times New Roman"/>
        </w:rPr>
        <w:t xml:space="preserve"> million IRA holders </w:t>
      </w:r>
      <w:r w:rsidRPr="00785249">
        <w:rPr>
          <w:rFonts w:ascii="Times New Roman" w:hAnsi="Times New Roman"/>
        </w:rPr>
        <w:t xml:space="preserve">will receive this information </w:t>
      </w:r>
      <w:r>
        <w:rPr>
          <w:rFonts w:ascii="Times New Roman" w:hAnsi="Times New Roman"/>
        </w:rPr>
        <w:t>with 51.8</w:t>
      </w:r>
      <w:r w:rsidRPr="00785249">
        <w:rPr>
          <w:rFonts w:ascii="Times New Roman" w:hAnsi="Times New Roman"/>
        </w:rPr>
        <w:t xml:space="preserve"> percent </w:t>
      </w:r>
      <w:r>
        <w:rPr>
          <w:rFonts w:ascii="Times New Roman" w:hAnsi="Times New Roman"/>
        </w:rPr>
        <w:t>of plans and 44.1 percent of IRAs receiving</w:t>
      </w:r>
      <w:r w:rsidRPr="00785249">
        <w:rPr>
          <w:rFonts w:ascii="Times New Roman" w:hAnsi="Times New Roman"/>
        </w:rPr>
        <w:t xml:space="preserve"> the inform</w:t>
      </w:r>
      <w:r>
        <w:rPr>
          <w:rFonts w:ascii="Times New Roman" w:hAnsi="Times New Roman"/>
        </w:rPr>
        <w:t xml:space="preserve">ation electronically at no cost.  The Department estimates that paper distribution will cost $0.84 each, which results </w:t>
      </w:r>
      <w:r w:rsidRPr="00785249">
        <w:rPr>
          <w:rFonts w:ascii="Times New Roman" w:hAnsi="Times New Roman"/>
        </w:rPr>
        <w:t xml:space="preserve">in a cost burden of about </w:t>
      </w:r>
      <w:r>
        <w:rPr>
          <w:rFonts w:ascii="Times New Roman" w:hAnsi="Times New Roman"/>
        </w:rPr>
        <w:t xml:space="preserve">approximately </w:t>
      </w:r>
      <w:r w:rsidRPr="00785249">
        <w:rPr>
          <w:rFonts w:ascii="Times New Roman" w:hAnsi="Times New Roman"/>
        </w:rPr>
        <w:t>$</w:t>
      </w:r>
      <w:r w:rsidR="00BB0AD0">
        <w:rPr>
          <w:rFonts w:ascii="Times New Roman" w:hAnsi="Times New Roman"/>
        </w:rPr>
        <w:t>775,000</w:t>
      </w:r>
      <w:r w:rsidRPr="00785249">
        <w:rPr>
          <w:rFonts w:ascii="Times New Roman" w:hAnsi="Times New Roman"/>
        </w:rPr>
        <w:t>.</w:t>
      </w:r>
      <w:r w:rsidRPr="00A146BC">
        <w:rPr>
          <w:rStyle w:val="FootnoteReference"/>
          <w:rFonts w:ascii="Times New Roman" w:hAnsi="Times New Roman"/>
          <w:vertAlign w:val="superscript"/>
        </w:rPr>
        <w:footnoteReference w:id="17"/>
      </w:r>
    </w:p>
    <w:p w:rsidR="003F3851" w:rsidRPr="00785249" w:rsidRDefault="003F3851" w:rsidP="003F3851">
      <w:pPr>
        <w:ind w:left="720"/>
        <w:rPr>
          <w:rFonts w:ascii="Times New Roman" w:hAnsi="Times New Roman"/>
        </w:rPr>
      </w:pPr>
    </w:p>
    <w:p w:rsidR="003F3851" w:rsidRPr="00A146BC" w:rsidRDefault="003F3851" w:rsidP="003F3851">
      <w:pPr>
        <w:ind w:left="720"/>
        <w:rPr>
          <w:rFonts w:ascii="Times New Roman" w:hAnsi="Times New Roman"/>
          <w:u w:val="single"/>
        </w:rPr>
      </w:pPr>
      <w:r w:rsidRPr="00A146BC">
        <w:rPr>
          <w:rFonts w:ascii="Times New Roman" w:hAnsi="Times New Roman"/>
          <w:u w:val="single"/>
        </w:rPr>
        <w:t>Summary</w:t>
      </w:r>
    </w:p>
    <w:p w:rsidR="003F3851" w:rsidRDefault="003F3851" w:rsidP="003F3851">
      <w:pPr>
        <w:ind w:left="720"/>
        <w:rPr>
          <w:rFonts w:ascii="Times New Roman" w:hAnsi="Times New Roman"/>
        </w:rPr>
      </w:pPr>
    </w:p>
    <w:p w:rsidR="003F3851" w:rsidRDefault="003F3851" w:rsidP="003F3851">
      <w:pPr>
        <w:ind w:left="720"/>
        <w:rPr>
          <w:rFonts w:ascii="Times New Roman" w:hAnsi="Times New Roman"/>
        </w:rPr>
      </w:pPr>
      <w:r>
        <w:rPr>
          <w:rFonts w:ascii="Times New Roman" w:hAnsi="Times New Roman"/>
        </w:rPr>
        <w:t xml:space="preserve">In total, the Department estimates that the conditions of PTE 84-24 will result in the production of </w:t>
      </w:r>
      <w:r w:rsidR="00BB0AD0">
        <w:rPr>
          <w:rFonts w:ascii="Times New Roman" w:hAnsi="Times New Roman"/>
        </w:rPr>
        <w:t>3.3</w:t>
      </w:r>
      <w:r>
        <w:rPr>
          <w:rFonts w:ascii="Times New Roman" w:hAnsi="Times New Roman"/>
        </w:rPr>
        <w:t xml:space="preserve"> million authorizations and disclosures.  Electronic methods will be used to distribute 51.8 percent of disclosures to and authorizations from plans and 44.1 percent of disclosures to and authorizations from IRAs, at de </w:t>
      </w:r>
      <w:proofErr w:type="spellStart"/>
      <w:r>
        <w:rPr>
          <w:rFonts w:ascii="Times New Roman" w:hAnsi="Times New Roman"/>
        </w:rPr>
        <w:t>minimis</w:t>
      </w:r>
      <w:proofErr w:type="spellEnd"/>
      <w:r>
        <w:rPr>
          <w:rFonts w:ascii="Times New Roman" w:hAnsi="Times New Roman"/>
        </w:rPr>
        <w:t xml:space="preserve"> cost.  As seen in the table below, production of paper disclosures will total approximately $</w:t>
      </w:r>
      <w:r w:rsidR="00BB0AD0">
        <w:rPr>
          <w:rFonts w:ascii="Times New Roman" w:hAnsi="Times New Roman"/>
        </w:rPr>
        <w:t>1.3</w:t>
      </w:r>
      <w:r>
        <w:rPr>
          <w:rFonts w:ascii="Times New Roman" w:hAnsi="Times New Roman"/>
        </w:rPr>
        <w:t xml:space="preserve"> million.</w:t>
      </w:r>
    </w:p>
    <w:p w:rsidR="003F3851" w:rsidRDefault="003F3851" w:rsidP="003F3851">
      <w:pPr>
        <w:ind w:left="720"/>
        <w:rPr>
          <w:rFonts w:ascii="Times New Roman" w:hAnsi="Times New Roman"/>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1458"/>
      </w:tblGrid>
      <w:tr w:rsidR="003F3851" w:rsidRPr="00423E8C" w:rsidTr="00CD7F4A">
        <w:tc>
          <w:tcPr>
            <w:tcW w:w="7290" w:type="dxa"/>
            <w:shd w:val="clear" w:color="auto" w:fill="auto"/>
          </w:tcPr>
          <w:p w:rsidR="003F3851" w:rsidRPr="00DE6751" w:rsidRDefault="003F3851" w:rsidP="00CD7F4A">
            <w:pPr>
              <w:jc w:val="center"/>
              <w:rPr>
                <w:rFonts w:ascii="Times New Roman" w:hAnsi="Times New Roman"/>
                <w:b/>
              </w:rPr>
            </w:pPr>
            <w:r w:rsidRPr="00DE6751">
              <w:rPr>
                <w:rFonts w:ascii="Times New Roman" w:hAnsi="Times New Roman"/>
                <w:b/>
              </w:rPr>
              <w:t>Activity</w:t>
            </w:r>
          </w:p>
        </w:tc>
        <w:tc>
          <w:tcPr>
            <w:tcW w:w="1458" w:type="dxa"/>
            <w:shd w:val="clear" w:color="auto" w:fill="auto"/>
          </w:tcPr>
          <w:p w:rsidR="003F3851" w:rsidRPr="00DE6751" w:rsidRDefault="003F3851" w:rsidP="00CD7F4A">
            <w:pPr>
              <w:jc w:val="center"/>
              <w:rPr>
                <w:rFonts w:ascii="Times New Roman" w:hAnsi="Times New Roman"/>
                <w:b/>
              </w:rPr>
            </w:pPr>
            <w:r w:rsidRPr="00DE6751">
              <w:rPr>
                <w:rFonts w:ascii="Times New Roman" w:hAnsi="Times New Roman"/>
                <w:b/>
              </w:rPr>
              <w:t>Cost</w:t>
            </w:r>
          </w:p>
        </w:tc>
      </w:tr>
      <w:tr w:rsidR="003F3851" w:rsidRPr="00423E8C" w:rsidTr="00CD7F4A">
        <w:tc>
          <w:tcPr>
            <w:tcW w:w="7290" w:type="dxa"/>
            <w:shd w:val="clear" w:color="auto" w:fill="auto"/>
          </w:tcPr>
          <w:p w:rsidR="003F3851" w:rsidRPr="00423E8C" w:rsidRDefault="003F3851" w:rsidP="00CD7F4A">
            <w:pPr>
              <w:rPr>
                <w:rFonts w:ascii="Times New Roman" w:hAnsi="Times New Roman"/>
              </w:rPr>
            </w:pPr>
            <w:r w:rsidRPr="00423E8C">
              <w:rPr>
                <w:rFonts w:ascii="Times New Roman" w:hAnsi="Times New Roman"/>
              </w:rPr>
              <w:t>1.  Written authorization from the authorizing plan fiduciary to the broker-dealer</w:t>
            </w:r>
          </w:p>
        </w:tc>
        <w:tc>
          <w:tcPr>
            <w:tcW w:w="1458" w:type="dxa"/>
            <w:shd w:val="clear" w:color="auto" w:fill="auto"/>
          </w:tcPr>
          <w:p w:rsidR="003F3851" w:rsidRPr="00423E8C" w:rsidRDefault="003F3851" w:rsidP="00E63FD0">
            <w:pPr>
              <w:jc w:val="right"/>
              <w:rPr>
                <w:rFonts w:ascii="Times New Roman" w:hAnsi="Times New Roman"/>
              </w:rPr>
            </w:pPr>
            <w:r w:rsidRPr="00423E8C">
              <w:rPr>
                <w:rFonts w:ascii="Times New Roman" w:hAnsi="Times New Roman"/>
              </w:rPr>
              <w:t>$</w:t>
            </w:r>
            <w:r w:rsidR="00E63FD0">
              <w:rPr>
                <w:rFonts w:ascii="Times New Roman" w:hAnsi="Times New Roman"/>
              </w:rPr>
              <w:t>544,000</w:t>
            </w:r>
          </w:p>
        </w:tc>
      </w:tr>
      <w:tr w:rsidR="003F3851" w:rsidRPr="00423E8C" w:rsidTr="00CD7F4A">
        <w:tc>
          <w:tcPr>
            <w:tcW w:w="7290" w:type="dxa"/>
            <w:shd w:val="clear" w:color="auto" w:fill="auto"/>
          </w:tcPr>
          <w:p w:rsidR="003F3851" w:rsidRPr="00423E8C" w:rsidRDefault="003F3851" w:rsidP="00CD7F4A">
            <w:pPr>
              <w:rPr>
                <w:rFonts w:ascii="Times New Roman" w:hAnsi="Times New Roman"/>
              </w:rPr>
            </w:pPr>
            <w:r w:rsidRPr="00423E8C">
              <w:rPr>
                <w:rFonts w:ascii="Times New Roman" w:hAnsi="Times New Roman"/>
              </w:rPr>
              <w:t>2.  Provision of materials for evaluation of authorization of transaction</w:t>
            </w:r>
          </w:p>
        </w:tc>
        <w:tc>
          <w:tcPr>
            <w:tcW w:w="1458" w:type="dxa"/>
            <w:shd w:val="clear" w:color="auto" w:fill="auto"/>
          </w:tcPr>
          <w:p w:rsidR="003F3851" w:rsidRPr="00423E8C" w:rsidRDefault="003F3851" w:rsidP="00E63FD0">
            <w:pPr>
              <w:jc w:val="right"/>
              <w:rPr>
                <w:rFonts w:ascii="Times New Roman" w:hAnsi="Times New Roman"/>
              </w:rPr>
            </w:pPr>
            <w:r w:rsidRPr="00423E8C">
              <w:rPr>
                <w:rFonts w:ascii="Times New Roman" w:hAnsi="Times New Roman"/>
              </w:rPr>
              <w:t>$</w:t>
            </w:r>
            <w:r w:rsidR="00E63FD0">
              <w:rPr>
                <w:rFonts w:ascii="Times New Roman" w:hAnsi="Times New Roman"/>
              </w:rPr>
              <w:t>775,000</w:t>
            </w:r>
          </w:p>
        </w:tc>
      </w:tr>
      <w:tr w:rsidR="003F3851" w:rsidRPr="00423E8C" w:rsidTr="00CD7F4A">
        <w:tc>
          <w:tcPr>
            <w:tcW w:w="7290" w:type="dxa"/>
            <w:shd w:val="clear" w:color="auto" w:fill="auto"/>
          </w:tcPr>
          <w:p w:rsidR="003F3851" w:rsidRPr="004F505C" w:rsidRDefault="003F3851" w:rsidP="00CD7F4A">
            <w:pPr>
              <w:rPr>
                <w:rFonts w:ascii="Times New Roman" w:hAnsi="Times New Roman"/>
                <w:b/>
              </w:rPr>
            </w:pPr>
            <w:r w:rsidRPr="004F505C">
              <w:rPr>
                <w:rFonts w:ascii="Times New Roman" w:hAnsi="Times New Roman"/>
                <w:b/>
              </w:rPr>
              <w:t>Total</w:t>
            </w:r>
          </w:p>
        </w:tc>
        <w:tc>
          <w:tcPr>
            <w:tcW w:w="1458" w:type="dxa"/>
            <w:shd w:val="clear" w:color="auto" w:fill="auto"/>
          </w:tcPr>
          <w:p w:rsidR="003F3851" w:rsidRPr="004F505C" w:rsidRDefault="003F3851" w:rsidP="00BB0AD0">
            <w:pPr>
              <w:jc w:val="right"/>
              <w:rPr>
                <w:rFonts w:ascii="Times New Roman" w:hAnsi="Times New Roman"/>
                <w:b/>
              </w:rPr>
            </w:pPr>
            <w:r w:rsidRPr="004F505C">
              <w:rPr>
                <w:rFonts w:ascii="Times New Roman" w:hAnsi="Times New Roman"/>
                <w:b/>
              </w:rPr>
              <w:t>$</w:t>
            </w:r>
            <w:r w:rsidR="00BB0AD0">
              <w:rPr>
                <w:rFonts w:ascii="Times New Roman" w:hAnsi="Times New Roman"/>
                <w:b/>
              </w:rPr>
              <w:t>1.3</w:t>
            </w:r>
            <w:r>
              <w:rPr>
                <w:rFonts w:ascii="Times New Roman" w:hAnsi="Times New Roman"/>
                <w:b/>
              </w:rPr>
              <w:t xml:space="preserve"> million</w:t>
            </w:r>
          </w:p>
        </w:tc>
      </w:tr>
    </w:tbl>
    <w:p w:rsidR="003F3851" w:rsidRDefault="003F3851" w:rsidP="003F3851">
      <w:pPr>
        <w:ind w:left="720"/>
        <w:rPr>
          <w:rFonts w:ascii="Times New Roman" w:hAnsi="Times New Roman"/>
        </w:rPr>
      </w:pPr>
    </w:p>
    <w:p w:rsidR="003F3851" w:rsidRDefault="003F3851" w:rsidP="00A146BC">
      <w:pPr>
        <w:ind w:firstLine="720"/>
        <w:rPr>
          <w:rFonts w:ascii="Times New Roman" w:hAnsi="Times New Roman"/>
        </w:rPr>
      </w:pPr>
    </w:p>
    <w:p w:rsidR="002370D1" w:rsidRPr="00785249" w:rsidRDefault="002370D1" w:rsidP="00A146BC">
      <w:pPr>
        <w:ind w:firstLine="720"/>
        <w:rPr>
          <w:rFonts w:ascii="Times New Roman" w:hAnsi="Times New Roman"/>
        </w:rPr>
      </w:pPr>
    </w:p>
    <w:p w:rsidR="0065485A" w:rsidRDefault="0065485A">
      <w:pPr>
        <w:tabs>
          <w:tab w:val="left" w:pos="-1440"/>
        </w:tabs>
        <w:ind w:left="720" w:hanging="720"/>
        <w:rPr>
          <w:rFonts w:ascii="Times New Roman" w:hAnsi="Times New Roman"/>
          <w:i/>
          <w:iCs/>
        </w:rPr>
      </w:pPr>
      <w:r>
        <w:rPr>
          <w:rFonts w:ascii="Times New Roman" w:hAnsi="Times New Roman"/>
        </w:rPr>
        <w:t>14.</w:t>
      </w:r>
      <w:r>
        <w:rPr>
          <w:rFonts w:ascii="Times New Roman" w:hAnsi="Times New Roman"/>
        </w:rPr>
        <w:tab/>
      </w:r>
      <w:r>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5485A" w:rsidRDefault="0065485A" w:rsidP="006A565F">
      <w:pPr>
        <w:ind w:left="720"/>
        <w:rPr>
          <w:rFonts w:ascii="Times New Roman" w:hAnsi="Times New Roman"/>
        </w:rPr>
      </w:pPr>
    </w:p>
    <w:p w:rsidR="0065485A" w:rsidRDefault="0065485A" w:rsidP="000576FB">
      <w:pPr>
        <w:ind w:left="720"/>
        <w:rPr>
          <w:rFonts w:ascii="Times New Roman" w:hAnsi="Times New Roman"/>
        </w:rPr>
      </w:pPr>
      <w:r>
        <w:rPr>
          <w:rFonts w:ascii="Times New Roman" w:hAnsi="Times New Roman"/>
        </w:rPr>
        <w:t>There are no ongoing costs to the Federal government.</w:t>
      </w:r>
    </w:p>
    <w:p w:rsidR="0065485A" w:rsidRDefault="0065485A" w:rsidP="006A565F">
      <w:pPr>
        <w:ind w:left="720"/>
        <w:rPr>
          <w:rFonts w:ascii="Times New Roman" w:hAnsi="Times New Roman"/>
        </w:rPr>
      </w:pPr>
    </w:p>
    <w:p w:rsidR="0065485A" w:rsidRDefault="0065485A">
      <w:pPr>
        <w:tabs>
          <w:tab w:val="left" w:pos="-1440"/>
        </w:tabs>
        <w:ind w:left="720" w:hanging="720"/>
        <w:rPr>
          <w:rFonts w:ascii="Times New Roman" w:hAnsi="Times New Roman"/>
          <w:i/>
          <w:iCs/>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reported in Items 13 or 14.</w:t>
      </w:r>
    </w:p>
    <w:p w:rsidR="0065485A" w:rsidRDefault="0065485A" w:rsidP="006A565F">
      <w:pPr>
        <w:ind w:left="720"/>
        <w:rPr>
          <w:rFonts w:ascii="Times New Roman" w:hAnsi="Times New Roman"/>
          <w:i/>
          <w:iCs/>
        </w:rPr>
      </w:pPr>
    </w:p>
    <w:p w:rsidR="0065485A" w:rsidRPr="00175B1E" w:rsidRDefault="0078587D" w:rsidP="006A565F">
      <w:pPr>
        <w:ind w:left="720"/>
        <w:rPr>
          <w:rFonts w:ascii="Times New Roman" w:hAnsi="Times New Roman"/>
        </w:rPr>
      </w:pPr>
      <w:r>
        <w:rPr>
          <w:rFonts w:ascii="Times New Roman" w:hAnsi="Times New Roman"/>
        </w:rPr>
        <w:t xml:space="preserve">This analysis </w:t>
      </w:r>
      <w:r w:rsidR="003C19FB">
        <w:rPr>
          <w:rFonts w:ascii="Times New Roman" w:hAnsi="Times New Roman"/>
        </w:rPr>
        <w:t xml:space="preserve">adjusts assumptions on PTE usage to reflect the impact of the </w:t>
      </w:r>
      <w:r w:rsidR="007F1E26">
        <w:rPr>
          <w:rFonts w:ascii="Times New Roman" w:hAnsi="Times New Roman"/>
        </w:rPr>
        <w:t>R</w:t>
      </w:r>
      <w:r w:rsidR="003C19FB">
        <w:rPr>
          <w:rFonts w:ascii="Times New Roman" w:hAnsi="Times New Roman"/>
        </w:rPr>
        <w:t>egulation</w:t>
      </w:r>
      <w:r>
        <w:rPr>
          <w:rFonts w:ascii="Times New Roman" w:hAnsi="Times New Roman"/>
        </w:rPr>
        <w:t>.</w:t>
      </w:r>
    </w:p>
    <w:p w:rsidR="0065485A" w:rsidRDefault="0065485A" w:rsidP="006A565F">
      <w:pPr>
        <w:tabs>
          <w:tab w:val="left" w:pos="-1440"/>
        </w:tabs>
        <w:ind w:left="720"/>
        <w:rPr>
          <w:rFonts w:ascii="Times New Roman" w:hAnsi="Times New Roman"/>
        </w:rPr>
      </w:pPr>
    </w:p>
    <w:p w:rsidR="0065485A" w:rsidRDefault="0065485A">
      <w:pPr>
        <w:tabs>
          <w:tab w:val="left" w:pos="-1440"/>
        </w:tabs>
        <w:ind w:left="720" w:hanging="720"/>
        <w:rPr>
          <w:rFonts w:ascii="Times New Roman" w:hAnsi="Times New Roman"/>
          <w:i/>
          <w:iCs/>
        </w:rPr>
      </w:pPr>
      <w:r>
        <w:rPr>
          <w:rFonts w:ascii="Times New Roman" w:hAnsi="Times New Roman"/>
        </w:rPr>
        <w:t>16.</w:t>
      </w:r>
      <w:r>
        <w:rPr>
          <w:rFonts w:ascii="Times New Roman" w:hAnsi="Times New Roman"/>
        </w:rPr>
        <w:tab/>
      </w:r>
      <w:r>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5485A" w:rsidRDefault="0065485A" w:rsidP="006A565F">
      <w:pPr>
        <w:ind w:left="720"/>
        <w:rPr>
          <w:rFonts w:ascii="Times New Roman" w:hAnsi="Times New Roman"/>
        </w:rPr>
      </w:pPr>
    </w:p>
    <w:p w:rsidR="0065485A" w:rsidRDefault="0065485A" w:rsidP="000576FB">
      <w:pPr>
        <w:ind w:left="720"/>
        <w:rPr>
          <w:rFonts w:ascii="Times New Roman" w:hAnsi="Times New Roman"/>
        </w:rPr>
      </w:pPr>
      <w:r>
        <w:rPr>
          <w:rFonts w:ascii="Times New Roman" w:hAnsi="Times New Roman"/>
        </w:rPr>
        <w:t>This is not a collection of information for statistical use.</w:t>
      </w:r>
    </w:p>
    <w:p w:rsidR="0065485A" w:rsidRDefault="0065485A" w:rsidP="006A565F">
      <w:pPr>
        <w:ind w:left="720"/>
        <w:rPr>
          <w:rFonts w:ascii="Times New Roman" w:hAnsi="Times New Roman"/>
        </w:rPr>
      </w:pPr>
    </w:p>
    <w:p w:rsidR="0065485A" w:rsidRDefault="0065485A">
      <w:pPr>
        <w:tabs>
          <w:tab w:val="left" w:pos="-1440"/>
        </w:tabs>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rsidR="0065485A" w:rsidRDefault="0065485A" w:rsidP="006A565F">
      <w:pPr>
        <w:ind w:left="720"/>
        <w:rPr>
          <w:rFonts w:ascii="Times New Roman" w:hAnsi="Times New Roman"/>
        </w:rPr>
      </w:pPr>
    </w:p>
    <w:p w:rsidR="0065485A" w:rsidRDefault="0065485A" w:rsidP="000576FB">
      <w:pPr>
        <w:ind w:left="720"/>
        <w:rPr>
          <w:rFonts w:ascii="Times New Roman" w:hAnsi="Times New Roman"/>
        </w:rPr>
      </w:pPr>
      <w:r>
        <w:rPr>
          <w:rFonts w:ascii="Times New Roman" w:hAnsi="Times New Roman"/>
        </w:rPr>
        <w:t>The collection of information will display a currently valid OMB control number.</w:t>
      </w:r>
    </w:p>
    <w:p w:rsidR="0065485A" w:rsidRDefault="0065485A" w:rsidP="006A565F">
      <w:pPr>
        <w:ind w:left="720"/>
        <w:rPr>
          <w:rFonts w:ascii="Times New Roman" w:hAnsi="Times New Roman"/>
        </w:rPr>
      </w:pPr>
    </w:p>
    <w:p w:rsidR="0065485A" w:rsidRDefault="0065485A">
      <w:pPr>
        <w:tabs>
          <w:tab w:val="left" w:pos="-1440"/>
        </w:tabs>
        <w:ind w:left="720" w:hanging="720"/>
        <w:rPr>
          <w:rFonts w:ascii="Times New Roman" w:hAnsi="Times New Roman"/>
          <w:i/>
          <w:iCs/>
        </w:rPr>
      </w:pPr>
      <w:r>
        <w:rPr>
          <w:rFonts w:ascii="Times New Roman" w:hAnsi="Times New Roman"/>
        </w:rPr>
        <w:t>18.</w:t>
      </w:r>
      <w:r>
        <w:rPr>
          <w:rFonts w:ascii="Times New Roman" w:hAnsi="Times New Roman"/>
        </w:rPr>
        <w:tab/>
      </w:r>
      <w:r>
        <w:rPr>
          <w:rFonts w:ascii="Times New Roman" w:hAnsi="Times New Roman"/>
          <w:i/>
          <w:iCs/>
        </w:rPr>
        <w:t>Explain each exception to the certification statement identified in Item 19, "Certification for Paperwork Reduction Act Submission</w:t>
      </w:r>
      <w:r w:rsidR="004911C0">
        <w:rPr>
          <w:rFonts w:ascii="Times New Roman" w:hAnsi="Times New Roman"/>
          <w:i/>
          <w:iCs/>
        </w:rPr>
        <w:t>.</w:t>
      </w:r>
      <w:r>
        <w:rPr>
          <w:rFonts w:ascii="Times New Roman" w:hAnsi="Times New Roman"/>
          <w:i/>
          <w:iCs/>
        </w:rPr>
        <w:t>"</w:t>
      </w:r>
    </w:p>
    <w:p w:rsidR="0065485A" w:rsidRDefault="0065485A" w:rsidP="006A565F">
      <w:pPr>
        <w:ind w:left="720"/>
        <w:rPr>
          <w:rFonts w:ascii="Times New Roman" w:hAnsi="Times New Roman"/>
        </w:rPr>
      </w:pPr>
    </w:p>
    <w:p w:rsidR="0065485A" w:rsidRDefault="0065485A" w:rsidP="006A565F">
      <w:pPr>
        <w:ind w:left="720"/>
        <w:rPr>
          <w:rFonts w:ascii="Times New Roman" w:hAnsi="Times New Roman"/>
        </w:rPr>
      </w:pPr>
      <w:r>
        <w:rPr>
          <w:rFonts w:ascii="Times New Roman" w:hAnsi="Times New Roman"/>
        </w:rPr>
        <w:t>Not applicable; no exceptions to the certification statement.</w:t>
      </w:r>
    </w:p>
    <w:p w:rsidR="000B1032" w:rsidRDefault="000B1032" w:rsidP="006A565F">
      <w:pPr>
        <w:ind w:left="720"/>
        <w:rPr>
          <w:rFonts w:ascii="Times New Roman" w:hAnsi="Times New Roman"/>
        </w:rPr>
      </w:pPr>
    </w:p>
    <w:p w:rsidR="000B1032" w:rsidRDefault="000B1032" w:rsidP="000B1032">
      <w:pPr>
        <w:tabs>
          <w:tab w:val="left" w:pos="-1440"/>
        </w:tabs>
        <w:ind w:left="720" w:hanging="720"/>
        <w:rPr>
          <w:rFonts w:ascii="Times New Roman" w:hAnsi="Times New Roman"/>
        </w:rPr>
      </w:pPr>
      <w:r>
        <w:rPr>
          <w:rFonts w:ascii="Times New Roman" w:hAnsi="Times New Roman"/>
          <w:b/>
          <w:bCs/>
        </w:rPr>
        <w:t>B.</w:t>
      </w:r>
      <w:r>
        <w:rPr>
          <w:rFonts w:ascii="Times New Roman" w:hAnsi="Times New Roman"/>
          <w:b/>
          <w:bCs/>
        </w:rPr>
        <w:tab/>
        <w:t>Collections of Information Employing Statistical Methods</w:t>
      </w:r>
    </w:p>
    <w:p w:rsidR="000B1032" w:rsidRDefault="000B1032" w:rsidP="006A565F">
      <w:pPr>
        <w:ind w:left="720"/>
        <w:rPr>
          <w:rFonts w:ascii="Times New Roman" w:hAnsi="Times New Roman"/>
        </w:rPr>
      </w:pPr>
    </w:p>
    <w:p w:rsidR="0065485A" w:rsidRDefault="000B1032" w:rsidP="006A565F">
      <w:pPr>
        <w:ind w:left="720"/>
        <w:rPr>
          <w:rFonts w:ascii="Times New Roman" w:hAnsi="Times New Roman"/>
        </w:rPr>
      </w:pPr>
      <w:r>
        <w:rPr>
          <w:rFonts w:ascii="Times New Roman" w:hAnsi="Times New Roman"/>
        </w:rPr>
        <w:t>Not applicable.  The use of statistical methods is not relevant to this collection of information.</w:t>
      </w:r>
    </w:p>
    <w:sectPr w:rsidR="0065485A">
      <w:headerReference w:type="default" r:id="rId9"/>
      <w:footerReference w:type="even" r:id="rId10"/>
      <w:footerReference w:type="default" r:id="rId11"/>
      <w:endnotePr>
        <w:numFmt w:val="decimal"/>
      </w:endnotePr>
      <w:type w:val="continuous"/>
      <w:pgSz w:w="12240" w:h="15840" w:code="1"/>
      <w:pgMar w:top="1354" w:right="1440" w:bottom="1152" w:left="1440" w:header="1354"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681" w:rsidRDefault="00593681">
      <w:r>
        <w:separator/>
      </w:r>
    </w:p>
  </w:endnote>
  <w:endnote w:type="continuationSeparator" w:id="0">
    <w:p w:rsidR="00593681" w:rsidRDefault="0059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681" w:rsidRDefault="005936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3681" w:rsidRDefault="005936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681" w:rsidRDefault="005936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45D5">
      <w:rPr>
        <w:rStyle w:val="PageNumber"/>
        <w:noProof/>
      </w:rPr>
      <w:t>8</w:t>
    </w:r>
    <w:r>
      <w:rPr>
        <w:rStyle w:val="PageNumber"/>
      </w:rPr>
      <w:fldChar w:fldCharType="end"/>
    </w:r>
  </w:p>
  <w:p w:rsidR="00593681" w:rsidRDefault="005936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681" w:rsidRDefault="00593681">
      <w:r>
        <w:separator/>
      </w:r>
    </w:p>
  </w:footnote>
  <w:footnote w:type="continuationSeparator" w:id="0">
    <w:p w:rsidR="00593681" w:rsidRDefault="00593681">
      <w:r>
        <w:continuationSeparator/>
      </w:r>
    </w:p>
  </w:footnote>
  <w:footnote w:id="1">
    <w:p w:rsidR="00593681" w:rsidRPr="006A565F" w:rsidRDefault="00593681" w:rsidP="001A4C42">
      <w:pPr>
        <w:pStyle w:val="FootnoteText"/>
        <w:rPr>
          <w:rFonts w:ascii="Times New Roman" w:hAnsi="Times New Roman"/>
        </w:rPr>
      </w:pPr>
      <w:r w:rsidRPr="006A565F">
        <w:rPr>
          <w:rStyle w:val="FootnoteReference"/>
          <w:rFonts w:ascii="Times New Roman" w:eastAsiaTheme="majorEastAsia" w:hAnsi="Times New Roman"/>
          <w:vertAlign w:val="superscript"/>
        </w:rPr>
        <w:footnoteRef/>
      </w:r>
      <w:r w:rsidRPr="006A565F">
        <w:rPr>
          <w:rFonts w:ascii="Times New Roman" w:hAnsi="Times New Roman"/>
        </w:rPr>
        <w:t xml:space="preserve"> Regulations at 29 CFR </w:t>
      </w:r>
      <w:proofErr w:type="gramStart"/>
      <w:r w:rsidRPr="006A565F">
        <w:rPr>
          <w:rFonts w:ascii="Times New Roman" w:hAnsi="Times New Roman"/>
        </w:rPr>
        <w:t>section</w:t>
      </w:r>
      <w:proofErr w:type="gramEnd"/>
      <w:r w:rsidRPr="006A565F">
        <w:rPr>
          <w:rFonts w:ascii="Times New Roman" w:hAnsi="Times New Roman"/>
        </w:rPr>
        <w:t xml:space="preserve"> 2570.30 to 2570.52 describe the procedures for applying for an administrative exemption under ERISA.</w:t>
      </w:r>
      <w:r w:rsidRPr="007F3F3C">
        <w:rPr>
          <w:rFonts w:ascii="Times New Roman" w:hAnsi="Times New Roman"/>
        </w:rPr>
        <w:t xml:space="preserve">  </w:t>
      </w:r>
      <w:r w:rsidRPr="006A565F">
        <w:rPr>
          <w:rFonts w:ascii="Times New Roman" w:hAnsi="Times New Roman"/>
        </w:rPr>
        <w:t>Code section 4975(c</w:t>
      </w:r>
      <w:proofErr w:type="gramStart"/>
      <w:r w:rsidRPr="006A565F">
        <w:rPr>
          <w:rFonts w:ascii="Times New Roman" w:hAnsi="Times New Roman"/>
        </w:rPr>
        <w:t>)(</w:t>
      </w:r>
      <w:proofErr w:type="gramEnd"/>
      <w:r w:rsidRPr="006A565F">
        <w:rPr>
          <w:rFonts w:ascii="Times New Roman" w:hAnsi="Times New Roman"/>
        </w:rPr>
        <w:t xml:space="preserve">2) authorizes the Secretary of the Treasury to grant exemptions from the parallel prohibited transaction provisions of the Code.  </w:t>
      </w:r>
      <w:r w:rsidRPr="006A565F">
        <w:rPr>
          <w:rFonts w:ascii="Times New Roman" w:eastAsiaTheme="minorHAnsi" w:hAnsi="Times New Roman"/>
        </w:rPr>
        <w:t>Reorganization Plan No. 4 of 1978 (5 U.S.C. app. at 214 (2000)) generally transferred the authority of the Secretary of the Treasury to issue administrative exemptions under Code section 4975 to the Secretary of Labor.</w:t>
      </w:r>
    </w:p>
  </w:footnote>
  <w:footnote w:id="2">
    <w:p w:rsidR="00593681" w:rsidRPr="00DE6751" w:rsidRDefault="00593681" w:rsidP="00933DF4">
      <w:pPr>
        <w:pStyle w:val="FootnoteText"/>
        <w:rPr>
          <w:rFonts w:ascii="Times New Roman" w:hAnsi="Times New Roman"/>
        </w:rPr>
      </w:pPr>
      <w:r w:rsidRPr="00DE6751">
        <w:rPr>
          <w:rStyle w:val="FootnoteReference"/>
          <w:rFonts w:ascii="Times New Roman" w:hAnsi="Times New Roman"/>
          <w:sz w:val="24"/>
          <w:szCs w:val="24"/>
          <w:vertAlign w:val="superscript"/>
        </w:rPr>
        <w:footnoteRef/>
      </w:r>
      <w:r w:rsidRPr="00DD3036">
        <w:rPr>
          <w:rFonts w:ascii="Times New Roman" w:hAnsi="Times New Roman"/>
          <w:sz w:val="24"/>
          <w:szCs w:val="24"/>
        </w:rPr>
        <w:t xml:space="preserve"> </w:t>
      </w:r>
      <w:r w:rsidRPr="00DE6751">
        <w:rPr>
          <w:rFonts w:ascii="Times New Roman" w:hAnsi="Times New Roman"/>
        </w:rPr>
        <w:t>For purposes of this amendment, the terms “Individual Retirement Account” or “IRA” mean any trust, account or annuity described in Code section 4975(e</w:t>
      </w:r>
      <w:proofErr w:type="gramStart"/>
      <w:r w:rsidRPr="00DE6751">
        <w:rPr>
          <w:rFonts w:ascii="Times New Roman" w:hAnsi="Times New Roman"/>
        </w:rPr>
        <w:t>)(</w:t>
      </w:r>
      <w:proofErr w:type="gramEnd"/>
      <w:r w:rsidRPr="00DE6751">
        <w:rPr>
          <w:rFonts w:ascii="Times New Roman" w:hAnsi="Times New Roman"/>
        </w:rPr>
        <w:t>1)(B) through (F), including, for example, an individual retirement account described in section 408(a) of the Code and a health savings account described in section 223(d) of the Code.</w:t>
      </w:r>
    </w:p>
  </w:footnote>
  <w:footnote w:id="3">
    <w:p w:rsidR="002756A9" w:rsidRPr="00DE6751" w:rsidRDefault="002756A9" w:rsidP="002756A9">
      <w:pPr>
        <w:pStyle w:val="FootnoteText"/>
        <w:rPr>
          <w:rFonts w:ascii="Times New Roman" w:hAnsi="Times New Roman"/>
        </w:rPr>
      </w:pPr>
      <w:r w:rsidRPr="00DE6751">
        <w:rPr>
          <w:rStyle w:val="FootnoteReference"/>
          <w:rFonts w:ascii="Times New Roman" w:hAnsi="Times New Roman"/>
          <w:vertAlign w:val="superscript"/>
        </w:rPr>
        <w:footnoteRef/>
      </w:r>
      <w:r w:rsidRPr="00DE6751">
        <w:rPr>
          <w:rFonts w:ascii="Times New Roman" w:hAnsi="Times New Roman"/>
        </w:rPr>
        <w:t xml:space="preserve"> Figure A15 of ICI's </w:t>
      </w:r>
      <w:r>
        <w:rPr>
          <w:rFonts w:ascii="Times New Roman" w:hAnsi="Times New Roman"/>
        </w:rPr>
        <w:t>February 2016</w:t>
      </w:r>
      <w:r w:rsidRPr="00DE6751">
        <w:rPr>
          <w:rFonts w:ascii="Times New Roman" w:hAnsi="Times New Roman"/>
        </w:rPr>
        <w:t xml:space="preserve"> Appendix:  Additional Data on IRA Ownership in 201</w:t>
      </w:r>
      <w:r>
        <w:rPr>
          <w:rFonts w:ascii="Times New Roman" w:hAnsi="Times New Roman"/>
        </w:rPr>
        <w:t>5</w:t>
      </w:r>
      <w:r w:rsidRPr="00DE6751">
        <w:rPr>
          <w:rFonts w:ascii="Times New Roman" w:hAnsi="Times New Roman"/>
        </w:rPr>
        <w:t xml:space="preserve"> states that </w:t>
      </w:r>
      <w:r>
        <w:rPr>
          <w:rFonts w:ascii="Times New Roman" w:hAnsi="Times New Roman"/>
        </w:rPr>
        <w:t>8</w:t>
      </w:r>
      <w:r w:rsidRPr="00DE6751">
        <w:rPr>
          <w:rFonts w:ascii="Times New Roman" w:hAnsi="Times New Roman"/>
        </w:rPr>
        <w:t xml:space="preserve"> percent of traditional IRAs with rollovers are held by insurance companies.</w:t>
      </w:r>
      <w:r>
        <w:rPr>
          <w:rFonts w:ascii="Times New Roman" w:hAnsi="Times New Roman"/>
        </w:rPr>
        <w:t xml:space="preserve">  This number has been adjusted downward to 3 percent to reflect the removal of transactions not covered by this exemption.</w:t>
      </w:r>
    </w:p>
  </w:footnote>
  <w:footnote w:id="4">
    <w:p w:rsidR="006B3D88" w:rsidRPr="009C4531" w:rsidRDefault="006B3D88" w:rsidP="006B3D88">
      <w:pPr>
        <w:pStyle w:val="FootnoteText"/>
        <w:rPr>
          <w:rFonts w:ascii="Times New Roman" w:hAnsi="Times New Roman"/>
        </w:rPr>
      </w:pPr>
      <w:r w:rsidRPr="009C4531">
        <w:rPr>
          <w:rStyle w:val="FootnoteReference"/>
          <w:rFonts w:ascii="Times New Roman" w:hAnsi="Times New Roman"/>
          <w:vertAlign w:val="superscript"/>
        </w:rPr>
        <w:footnoteRef/>
      </w:r>
      <w:r w:rsidRPr="009C4531">
        <w:rPr>
          <w:rFonts w:ascii="Times New Roman" w:hAnsi="Times New Roman"/>
        </w:rPr>
        <w:t xml:space="preserve"> </w:t>
      </w:r>
      <w:r w:rsidR="008D2129" w:rsidRPr="008D2129">
        <w:rPr>
          <w:rFonts w:ascii="Times New Roman" w:hAnsi="Times New Roman"/>
        </w:rPr>
        <w:t>According to 2013 Form 5500 data, 1,007 pension consultants service the retirement market.  Additionally, SNL Financial data show that 398 life insurance companies reported receiving either individual or group annuity considerations in 2014.  The Department has used these data as the count of insurance companies working in the ERISA-covered plan and IRA markets.  The Department has rounded up to 1,500 to account for any other pension consultants or insurance companies that may not otherwise be accounted for.</w:t>
      </w:r>
    </w:p>
  </w:footnote>
  <w:footnote w:id="5">
    <w:p w:rsidR="00607B7B" w:rsidRPr="005B4716" w:rsidRDefault="00607B7B" w:rsidP="00607B7B">
      <w:pPr>
        <w:pStyle w:val="FootnoteText"/>
        <w:rPr>
          <w:rFonts w:ascii="Times New Roman" w:hAnsi="Times New Roman"/>
        </w:rPr>
      </w:pPr>
      <w:r w:rsidRPr="005B4716">
        <w:rPr>
          <w:rStyle w:val="FootnoteReference"/>
          <w:rFonts w:ascii="Times New Roman" w:hAnsi="Times New Roman"/>
          <w:vertAlign w:val="superscript"/>
        </w:rPr>
        <w:footnoteRef/>
      </w:r>
      <w:r w:rsidRPr="005B4716">
        <w:rPr>
          <w:rStyle w:val="FootnoteReference"/>
          <w:rFonts w:ascii="Times New Roman" w:hAnsi="Times New Roman"/>
          <w:vertAlign w:val="superscript"/>
        </w:rPr>
        <w:t xml:space="preserve"> </w:t>
      </w:r>
      <w:r w:rsidR="006A33D1" w:rsidRPr="006A33D1">
        <w:rPr>
          <w:rFonts w:ascii="Times New Roman" w:hAnsi="Times New Roman"/>
        </w:rPr>
        <w:t xml:space="preserve">For a description of the Department’s methodology for calculating wage rates, see </w:t>
      </w:r>
      <w:r w:rsidR="00692EF0" w:rsidRPr="00692EF0">
        <w:rPr>
          <w:rFonts w:ascii="Times New Roman" w:hAnsi="Times New Roman"/>
        </w:rPr>
        <w:t>http://www.dol.gov/ebsa/pdf/labor-cost-inputs-used-in-ebsa-opr-ria-and-pra-burden-calculations-march-2016.pdf</w:t>
      </w:r>
      <w:r w:rsidR="006A33D1" w:rsidRPr="006A33D1">
        <w:rPr>
          <w:rFonts w:ascii="Times New Roman" w:hAnsi="Times New Roman"/>
        </w:rPr>
        <w:t>.  The Department’s methodology for calculating the overhead cost input of its wage rates was adjusted from the proposed amendment to this PTE to the final amendment to this PTE.  In the proposal, the Department based its overhead cost estimates on longstanding internal EBSA calculations for the cost of overhead.  In response to a public comment stating that the overhead cost estimates were too low and without any supporting evidence, the Department incorporated published US Census Bureau survey data on overhead costs into its wage rate estimates.</w:t>
      </w:r>
    </w:p>
  </w:footnote>
  <w:footnote w:id="6">
    <w:p w:rsidR="00593681" w:rsidRPr="00A146BC" w:rsidRDefault="00593681"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(20,000</w:t>
      </w:r>
      <w:r w:rsidRPr="00A146BC">
        <w:rPr>
          <w:rFonts w:ascii="Times New Roman" w:hAnsi="Times New Roman"/>
        </w:rPr>
        <w:t xml:space="preserve"> plans x </w:t>
      </w:r>
      <w:r>
        <w:rPr>
          <w:rFonts w:ascii="Times New Roman" w:hAnsi="Times New Roman"/>
        </w:rPr>
        <w:t>5</w:t>
      </w:r>
      <w:r w:rsidRPr="00A146BC">
        <w:rPr>
          <w:rFonts w:ascii="Times New Roman" w:hAnsi="Times New Roman"/>
        </w:rPr>
        <w:t xml:space="preserve"> hour</w:t>
      </w:r>
      <w:r>
        <w:rPr>
          <w:rFonts w:ascii="Times New Roman" w:hAnsi="Times New Roman"/>
        </w:rPr>
        <w:t>s</w:t>
      </w:r>
      <w:r w:rsidRPr="00A146BC">
        <w:rPr>
          <w:rFonts w:ascii="Times New Roman" w:hAnsi="Times New Roman"/>
        </w:rPr>
        <w:t xml:space="preserve"> per plan</w:t>
      </w:r>
      <w:r>
        <w:rPr>
          <w:rFonts w:ascii="Times New Roman" w:hAnsi="Times New Roman"/>
        </w:rPr>
        <w:t>) + (1,</w:t>
      </w:r>
      <w:r w:rsidR="00915B04">
        <w:rPr>
          <w:rFonts w:ascii="Times New Roman" w:hAnsi="Times New Roman"/>
        </w:rPr>
        <w:t>5</w:t>
      </w:r>
      <w:r>
        <w:rPr>
          <w:rFonts w:ascii="Times New Roman" w:hAnsi="Times New Roman"/>
        </w:rPr>
        <w:t xml:space="preserve">00 insurance agents and brokers, pension consultants, and insurance companies x 3 hours per insurance agent, broker, pension consultant, or insurance company) </w:t>
      </w:r>
      <w:r w:rsidRPr="00A146BC">
        <w:rPr>
          <w:rFonts w:ascii="Times New Roman" w:hAnsi="Times New Roman"/>
        </w:rPr>
        <w:t xml:space="preserve">= </w:t>
      </w:r>
      <w:r>
        <w:rPr>
          <w:rFonts w:ascii="Times New Roman" w:hAnsi="Times New Roman"/>
        </w:rPr>
        <w:t>107</w:t>
      </w:r>
      <w:r w:rsidRPr="00A146BC">
        <w:rPr>
          <w:rFonts w:ascii="Times New Roman" w:hAnsi="Times New Roman"/>
        </w:rPr>
        <w:t>,000 hours</w:t>
      </w:r>
    </w:p>
  </w:footnote>
  <w:footnote w:id="7">
    <w:p w:rsidR="00593681" w:rsidRPr="00A146BC" w:rsidRDefault="00593681"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107</w:t>
      </w:r>
      <w:r w:rsidRPr="00A146BC">
        <w:rPr>
          <w:rFonts w:ascii="Times New Roman" w:hAnsi="Times New Roman"/>
        </w:rPr>
        <w:t>,000 hours x $1</w:t>
      </w:r>
      <w:r>
        <w:rPr>
          <w:rFonts w:ascii="Times New Roman" w:hAnsi="Times New Roman"/>
        </w:rPr>
        <w:t>33.61</w:t>
      </w:r>
      <w:r w:rsidRPr="00A146BC">
        <w:rPr>
          <w:rFonts w:ascii="Times New Roman" w:hAnsi="Times New Roman"/>
        </w:rPr>
        <w:t xml:space="preserve"> per hour = $</w:t>
      </w:r>
      <w:r>
        <w:rPr>
          <w:rFonts w:ascii="Times New Roman" w:hAnsi="Times New Roman"/>
        </w:rPr>
        <w:t>14.</w:t>
      </w:r>
      <w:r w:rsidR="003922E4">
        <w:rPr>
          <w:rFonts w:ascii="Times New Roman" w:hAnsi="Times New Roman"/>
        </w:rPr>
        <w:t>2</w:t>
      </w:r>
      <w:r>
        <w:rPr>
          <w:rFonts w:ascii="Times New Roman" w:hAnsi="Times New Roman"/>
        </w:rPr>
        <w:t xml:space="preserve"> million</w:t>
      </w:r>
    </w:p>
  </w:footnote>
  <w:footnote w:id="8">
    <w:p w:rsidR="002E6779" w:rsidRPr="00CD7F4A" w:rsidRDefault="002E6779" w:rsidP="002E6779">
      <w:pPr>
        <w:pStyle w:val="FootnoteText"/>
        <w:rPr>
          <w:rFonts w:ascii="Times New Roman" w:hAnsi="Times New Roman"/>
        </w:rPr>
      </w:pPr>
      <w:r w:rsidRPr="00CD7F4A">
        <w:rPr>
          <w:rStyle w:val="FootnoteReference"/>
          <w:rFonts w:ascii="Times New Roman" w:hAnsi="Times New Roman"/>
          <w:vertAlign w:val="superscript"/>
        </w:rPr>
        <w:footnoteRef/>
      </w:r>
      <w:r w:rsidRPr="00CD7F4A">
        <w:rPr>
          <w:rFonts w:ascii="Times New Roman" w:hAnsi="Times New Roman"/>
        </w:rPr>
        <w:t xml:space="preserve"> According to data from the National Telecommunications and Information Agency (NTIA), 33.4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28.1 percent receiving electronic disclosure at work).  Additionally, the NTIA reports that 38.9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23.7 percent receiving electronic disclosure outside of work).  Combining the 28.1 percent who receive electronic disclosure at work with the 23.7 percent who receive electronic disclosure outside of work produces a total of 51.8 percent who will receive electronic disclosure overall</w:t>
      </w:r>
    </w:p>
  </w:footnote>
  <w:footnote w:id="9">
    <w:p w:rsidR="00FB1576" w:rsidRPr="00CD7F4A" w:rsidRDefault="00FB1576" w:rsidP="00FB1576">
      <w:pPr>
        <w:pStyle w:val="FootnoteText"/>
        <w:rPr>
          <w:rFonts w:ascii="Times New Roman" w:hAnsi="Times New Roman"/>
        </w:rPr>
      </w:pPr>
      <w:r w:rsidRPr="00CD7F4A">
        <w:rPr>
          <w:rStyle w:val="FootnoteReference"/>
          <w:rFonts w:ascii="Times New Roman" w:hAnsi="Times New Roman"/>
          <w:vertAlign w:val="superscript"/>
        </w:rPr>
        <w:footnoteRef/>
      </w:r>
      <w:r w:rsidRPr="00CD7F4A">
        <w:rPr>
          <w:rFonts w:ascii="Times New Roman" w:hAnsi="Times New Roman"/>
        </w:rPr>
        <w:t xml:space="preserve"> According to data from the NTIA, 72.4 percent of individuals age 25 and older have access to the internet.  According to a Pew Research Center survey, 61 percent of internet users use online banking, which is used as the proxy for the number of internet users who will opt in for electronic disclosure.  Combining these data produces an estimate of 44.1 percent of individuals who will receive electronic disclosures.</w:t>
      </w:r>
    </w:p>
  </w:footnote>
  <w:footnote w:id="10">
    <w:p w:rsidR="00593681" w:rsidRPr="00A146BC" w:rsidRDefault="00593681"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[(20,</w:t>
      </w:r>
      <w:r w:rsidRPr="00A146BC">
        <w:rPr>
          <w:rFonts w:ascii="Times New Roman" w:hAnsi="Times New Roman"/>
        </w:rPr>
        <w:t xml:space="preserve">000 plans x </w:t>
      </w:r>
      <w:r>
        <w:rPr>
          <w:rFonts w:ascii="Times New Roman" w:hAnsi="Times New Roman"/>
        </w:rPr>
        <w:t>48.2</w:t>
      </w:r>
      <w:r w:rsidRPr="00A146BC">
        <w:rPr>
          <w:rFonts w:ascii="Times New Roman" w:hAnsi="Times New Roman"/>
        </w:rPr>
        <w:t xml:space="preserve"> percent paper</w:t>
      </w:r>
      <w:r>
        <w:rPr>
          <w:rFonts w:ascii="Times New Roman" w:hAnsi="Times New Roman"/>
        </w:rPr>
        <w:t>) + (1.6 million IRAs x 55.9 percent paper)]</w:t>
      </w:r>
      <w:r w:rsidRPr="00A146BC">
        <w:rPr>
          <w:rFonts w:ascii="Times New Roman" w:hAnsi="Times New Roman"/>
        </w:rPr>
        <w:t xml:space="preserve"> x 2 minutes per plan</w:t>
      </w:r>
      <w:r>
        <w:rPr>
          <w:rFonts w:ascii="Times New Roman" w:hAnsi="Times New Roman"/>
        </w:rPr>
        <w:t xml:space="preserve"> or IRA</w:t>
      </w:r>
      <w:r w:rsidRPr="00A146BC">
        <w:rPr>
          <w:rFonts w:ascii="Times New Roman" w:hAnsi="Times New Roman"/>
        </w:rPr>
        <w:t xml:space="preserve"> = </w:t>
      </w:r>
      <w:r>
        <w:rPr>
          <w:rFonts w:ascii="Times New Roman" w:hAnsi="Times New Roman"/>
        </w:rPr>
        <w:t>31,0</w:t>
      </w:r>
      <w:r w:rsidRPr="00A146BC">
        <w:rPr>
          <w:rFonts w:ascii="Times New Roman" w:hAnsi="Times New Roman"/>
        </w:rPr>
        <w:t>00 hours</w:t>
      </w:r>
    </w:p>
  </w:footnote>
  <w:footnote w:id="11">
    <w:p w:rsidR="00593681" w:rsidRPr="00A146BC" w:rsidRDefault="00593681"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31,0</w:t>
      </w:r>
      <w:r w:rsidRPr="00A146BC">
        <w:rPr>
          <w:rFonts w:ascii="Times New Roman" w:hAnsi="Times New Roman"/>
        </w:rPr>
        <w:t>00 hours x $</w:t>
      </w:r>
      <w:r>
        <w:rPr>
          <w:rFonts w:ascii="Times New Roman" w:hAnsi="Times New Roman"/>
        </w:rPr>
        <w:t>55.21</w:t>
      </w:r>
      <w:r w:rsidRPr="00A146BC">
        <w:rPr>
          <w:rFonts w:ascii="Times New Roman" w:hAnsi="Times New Roman"/>
        </w:rPr>
        <w:t xml:space="preserve"> per hour = $</w:t>
      </w:r>
      <w:r>
        <w:rPr>
          <w:rFonts w:ascii="Times New Roman" w:hAnsi="Times New Roman"/>
        </w:rPr>
        <w:t>1.7 million</w:t>
      </w:r>
    </w:p>
  </w:footnote>
  <w:footnote w:id="12">
    <w:p w:rsidR="00593681" w:rsidRPr="00A146BC" w:rsidRDefault="00593681"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[1,</w:t>
      </w:r>
      <w:r w:rsidR="00EE5285">
        <w:rPr>
          <w:rFonts w:ascii="Times New Roman" w:hAnsi="Times New Roman"/>
        </w:rPr>
        <w:t>5</w:t>
      </w:r>
      <w:r>
        <w:rPr>
          <w:rFonts w:ascii="Times New Roman" w:hAnsi="Times New Roman"/>
        </w:rPr>
        <w:t xml:space="preserve">00 insurance agents and brokers, pension consultants, and insurance companies </w:t>
      </w:r>
      <w:r w:rsidRPr="00A146BC">
        <w:rPr>
          <w:rFonts w:ascii="Times New Roman" w:hAnsi="Times New Roman"/>
        </w:rPr>
        <w:t xml:space="preserve">x </w:t>
      </w:r>
      <w:r>
        <w:rPr>
          <w:rFonts w:ascii="Times New Roman" w:hAnsi="Times New Roman"/>
        </w:rPr>
        <w:t>(</w:t>
      </w:r>
      <w:r w:rsidRPr="00A146BC">
        <w:rPr>
          <w:rFonts w:ascii="Times New Roman" w:hAnsi="Times New Roman"/>
        </w:rPr>
        <w:t xml:space="preserve">1 hour </w:t>
      </w:r>
      <w:r>
        <w:rPr>
          <w:rFonts w:ascii="Times New Roman" w:hAnsi="Times New Roman"/>
        </w:rPr>
        <w:t xml:space="preserve">for plans  + 1 hour for IRAs)] + (10 Investment Company Principal Underwriters x 1 hour for plans) </w:t>
      </w:r>
      <w:r w:rsidRPr="00A146BC">
        <w:rPr>
          <w:rFonts w:ascii="Times New Roman" w:hAnsi="Times New Roman"/>
        </w:rPr>
        <w:t xml:space="preserve">= </w:t>
      </w:r>
      <w:r>
        <w:rPr>
          <w:rFonts w:ascii="Times New Roman" w:hAnsi="Times New Roman"/>
        </w:rPr>
        <w:t>3</w:t>
      </w:r>
      <w:r w:rsidRPr="00A146BC">
        <w:rPr>
          <w:rFonts w:ascii="Times New Roman" w:hAnsi="Times New Roman"/>
        </w:rPr>
        <w:t>,000 hours</w:t>
      </w:r>
    </w:p>
  </w:footnote>
  <w:footnote w:id="13">
    <w:p w:rsidR="00593681" w:rsidRPr="00A146BC" w:rsidRDefault="00593681"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3</w:t>
      </w:r>
      <w:r w:rsidRPr="00A146BC">
        <w:rPr>
          <w:rFonts w:ascii="Times New Roman" w:hAnsi="Times New Roman"/>
        </w:rPr>
        <w:t>,000 hours x $1</w:t>
      </w:r>
      <w:r>
        <w:rPr>
          <w:rFonts w:ascii="Times New Roman" w:hAnsi="Times New Roman"/>
        </w:rPr>
        <w:t>33.61</w:t>
      </w:r>
      <w:r w:rsidRPr="00A146BC">
        <w:rPr>
          <w:rFonts w:ascii="Times New Roman" w:hAnsi="Times New Roman"/>
        </w:rPr>
        <w:t xml:space="preserve"> per hour = $</w:t>
      </w:r>
      <w:r>
        <w:rPr>
          <w:rFonts w:ascii="Times New Roman" w:hAnsi="Times New Roman"/>
        </w:rPr>
        <w:t>4</w:t>
      </w:r>
      <w:r w:rsidR="00EE5285">
        <w:rPr>
          <w:rFonts w:ascii="Times New Roman" w:hAnsi="Times New Roman"/>
        </w:rPr>
        <w:t>0</w:t>
      </w:r>
      <w:r>
        <w:rPr>
          <w:rFonts w:ascii="Times New Roman" w:hAnsi="Times New Roman"/>
        </w:rPr>
        <w:t>2,000</w:t>
      </w:r>
    </w:p>
  </w:footnote>
  <w:footnote w:id="14">
    <w:p w:rsidR="00593681" w:rsidRPr="00A146BC" w:rsidRDefault="00593681"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[(20</w:t>
      </w:r>
      <w:r w:rsidRPr="00A146BC">
        <w:rPr>
          <w:rFonts w:ascii="Times New Roman" w:hAnsi="Times New Roman"/>
        </w:rPr>
        <w:t xml:space="preserve">,000 plans x </w:t>
      </w:r>
      <w:r>
        <w:rPr>
          <w:rFonts w:ascii="Times New Roman" w:hAnsi="Times New Roman"/>
        </w:rPr>
        <w:t>48.2</w:t>
      </w:r>
      <w:r w:rsidRPr="00A146BC">
        <w:rPr>
          <w:rFonts w:ascii="Times New Roman" w:hAnsi="Times New Roman"/>
        </w:rPr>
        <w:t xml:space="preserve"> percent paper</w:t>
      </w:r>
      <w:r>
        <w:rPr>
          <w:rFonts w:ascii="Times New Roman" w:hAnsi="Times New Roman"/>
        </w:rPr>
        <w:t>) + (1.6 million IRAs x 55.9 percent paper)]</w:t>
      </w:r>
      <w:r w:rsidRPr="00A146BC">
        <w:rPr>
          <w:rFonts w:ascii="Times New Roman" w:hAnsi="Times New Roman"/>
        </w:rPr>
        <w:t xml:space="preserve"> x 2 minutes per plan </w:t>
      </w:r>
      <w:r>
        <w:rPr>
          <w:rFonts w:ascii="Times New Roman" w:hAnsi="Times New Roman"/>
        </w:rPr>
        <w:t xml:space="preserve">or IRA </w:t>
      </w:r>
      <w:r w:rsidRPr="00A146BC">
        <w:rPr>
          <w:rFonts w:ascii="Times New Roman" w:hAnsi="Times New Roman"/>
        </w:rPr>
        <w:t xml:space="preserve">= </w:t>
      </w:r>
      <w:r>
        <w:rPr>
          <w:rFonts w:ascii="Times New Roman" w:hAnsi="Times New Roman"/>
        </w:rPr>
        <w:t>31,0</w:t>
      </w:r>
      <w:r w:rsidRPr="00A146BC">
        <w:rPr>
          <w:rFonts w:ascii="Times New Roman" w:hAnsi="Times New Roman"/>
        </w:rPr>
        <w:t>00 hours</w:t>
      </w:r>
    </w:p>
  </w:footnote>
  <w:footnote w:id="15">
    <w:p w:rsidR="00593681" w:rsidRPr="00A146BC" w:rsidRDefault="00593681" w:rsidP="00691402">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31,0</w:t>
      </w:r>
      <w:r w:rsidRPr="00A146BC">
        <w:rPr>
          <w:rFonts w:ascii="Times New Roman" w:hAnsi="Times New Roman"/>
        </w:rPr>
        <w:t>00 hours x $</w:t>
      </w:r>
      <w:r>
        <w:rPr>
          <w:rFonts w:ascii="Times New Roman" w:hAnsi="Times New Roman"/>
        </w:rPr>
        <w:t>55.21</w:t>
      </w:r>
      <w:r w:rsidRPr="00A146BC">
        <w:rPr>
          <w:rFonts w:ascii="Times New Roman" w:hAnsi="Times New Roman"/>
        </w:rPr>
        <w:t xml:space="preserve"> = $</w:t>
      </w:r>
      <w:r>
        <w:rPr>
          <w:rFonts w:ascii="Times New Roman" w:hAnsi="Times New Roman"/>
        </w:rPr>
        <w:t>1.7 million</w:t>
      </w:r>
    </w:p>
  </w:footnote>
  <w:footnote w:id="16">
    <w:p w:rsidR="00593681" w:rsidRPr="00A146BC" w:rsidRDefault="00593681" w:rsidP="003F3851">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[(20,000 plan</w:t>
      </w:r>
      <w:r w:rsidRPr="00A146BC">
        <w:rPr>
          <w:rFonts w:ascii="Times New Roman" w:hAnsi="Times New Roman"/>
        </w:rPr>
        <w:t xml:space="preserve"> authorizations x </w:t>
      </w:r>
      <w:r>
        <w:rPr>
          <w:rFonts w:ascii="Times New Roman" w:hAnsi="Times New Roman"/>
        </w:rPr>
        <w:t>51.8</w:t>
      </w:r>
      <w:r w:rsidRPr="00A146BC">
        <w:rPr>
          <w:rFonts w:ascii="Times New Roman" w:hAnsi="Times New Roman"/>
        </w:rPr>
        <w:t xml:space="preserve"> percent paper</w:t>
      </w:r>
      <w:r>
        <w:rPr>
          <w:rFonts w:ascii="Times New Roman" w:hAnsi="Times New Roman"/>
        </w:rPr>
        <w:t>) + (1.6 million IRA authorizations x 55.9 percent paper)]</w:t>
      </w:r>
      <w:r w:rsidRPr="00A146BC">
        <w:rPr>
          <w:rFonts w:ascii="Times New Roman" w:hAnsi="Times New Roman"/>
        </w:rPr>
        <w:t xml:space="preserve"> x $0.59 = $</w:t>
      </w:r>
      <w:r>
        <w:rPr>
          <w:rFonts w:ascii="Times New Roman" w:hAnsi="Times New Roman"/>
        </w:rPr>
        <w:t>544,000</w:t>
      </w:r>
    </w:p>
  </w:footnote>
  <w:footnote w:id="17">
    <w:p w:rsidR="00593681" w:rsidRPr="00A146BC" w:rsidRDefault="00593681" w:rsidP="003F3851">
      <w:pPr>
        <w:pStyle w:val="FootnoteText"/>
        <w:rPr>
          <w:rFonts w:ascii="Times New Roman" w:hAnsi="Times New Roman"/>
        </w:rPr>
      </w:pPr>
      <w:r w:rsidRPr="00A146BC">
        <w:rPr>
          <w:rStyle w:val="FootnoteReference"/>
          <w:rFonts w:ascii="Times New Roman" w:hAnsi="Times New Roman"/>
          <w:vertAlign w:val="superscript"/>
        </w:rPr>
        <w:footnoteRef/>
      </w:r>
      <w:r w:rsidRPr="00A146BC">
        <w:rPr>
          <w:rFonts w:ascii="Times New Roman" w:hAnsi="Times New Roman"/>
        </w:rPr>
        <w:t xml:space="preserve"> </w:t>
      </w:r>
      <w:r>
        <w:rPr>
          <w:rFonts w:ascii="Times New Roman" w:hAnsi="Times New Roman"/>
        </w:rPr>
        <w:t>[(20,000 plan</w:t>
      </w:r>
      <w:r w:rsidRPr="00A146BC">
        <w:rPr>
          <w:rFonts w:ascii="Times New Roman" w:hAnsi="Times New Roman"/>
        </w:rPr>
        <w:t xml:space="preserve"> materials packages x </w:t>
      </w:r>
      <w:r>
        <w:rPr>
          <w:rFonts w:ascii="Times New Roman" w:hAnsi="Times New Roman"/>
        </w:rPr>
        <w:t>48.2</w:t>
      </w:r>
      <w:r w:rsidRPr="00A146BC">
        <w:rPr>
          <w:rFonts w:ascii="Times New Roman" w:hAnsi="Times New Roman"/>
        </w:rPr>
        <w:t xml:space="preserve"> percent paper</w:t>
      </w:r>
      <w:r>
        <w:rPr>
          <w:rFonts w:ascii="Times New Roman" w:hAnsi="Times New Roman"/>
        </w:rPr>
        <w:t>) + (1.6 million IRA materials packages x 55.9 percent paper)]</w:t>
      </w:r>
      <w:r w:rsidRPr="00A146BC">
        <w:rPr>
          <w:rFonts w:ascii="Times New Roman" w:hAnsi="Times New Roman"/>
        </w:rPr>
        <w:t xml:space="preserve"> x $0.84 = $</w:t>
      </w:r>
      <w:r>
        <w:rPr>
          <w:rFonts w:ascii="Times New Roman" w:hAnsi="Times New Roman"/>
        </w:rPr>
        <w:t>775,000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681" w:rsidRDefault="00593681">
    <w:pPr>
      <w:jc w:val="right"/>
      <w:rPr>
        <w:rFonts w:ascii="CG Times" w:hAnsi="CG Times"/>
        <w:b/>
        <w:bCs/>
        <w:sz w:val="20"/>
        <w:szCs w:val="20"/>
      </w:rPr>
    </w:pPr>
    <w:r>
      <w:rPr>
        <w:rFonts w:ascii="CG Times" w:hAnsi="CG Times"/>
        <w:b/>
        <w:bCs/>
        <w:sz w:val="20"/>
        <w:szCs w:val="20"/>
      </w:rPr>
      <w:t>Prohibited Transaction Exemption 84-24</w:t>
    </w:r>
  </w:p>
  <w:p w:rsidR="00593681" w:rsidRDefault="00593681">
    <w:pPr>
      <w:jc w:val="right"/>
      <w:rPr>
        <w:rFonts w:ascii="CG Times" w:hAnsi="CG Times"/>
        <w:b/>
        <w:bCs/>
        <w:sz w:val="20"/>
        <w:szCs w:val="20"/>
      </w:rPr>
    </w:pPr>
    <w:r>
      <w:rPr>
        <w:rFonts w:ascii="CG Times" w:hAnsi="CG Times"/>
        <w:b/>
        <w:bCs/>
        <w:sz w:val="20"/>
        <w:szCs w:val="20"/>
      </w:rPr>
      <w:t>(Insurance and Annuity Contracts and Mutual Fund Principal Underwriters)</w:t>
    </w:r>
  </w:p>
  <w:p w:rsidR="00593681" w:rsidRDefault="00593681">
    <w:pPr>
      <w:jc w:val="right"/>
      <w:rPr>
        <w:rFonts w:ascii="Times New Roman" w:hAnsi="Times New Roman"/>
        <w:sz w:val="20"/>
        <w:szCs w:val="20"/>
      </w:rPr>
    </w:pPr>
    <w:r>
      <w:rPr>
        <w:rFonts w:ascii="CG Times" w:hAnsi="CG Times"/>
        <w:b/>
        <w:bCs/>
        <w:sz w:val="20"/>
        <w:szCs w:val="20"/>
      </w:rPr>
      <w:t xml:space="preserve">OMB Control Number 1210-NEW </w:t>
    </w:r>
  </w:p>
  <w:p w:rsidR="00593681" w:rsidRDefault="006C1BCF" w:rsidP="00FB4276">
    <w:pPr>
      <w:pStyle w:val="Heading1"/>
      <w:rPr>
        <w:b w:val="0"/>
        <w:bCs w:val="0"/>
      </w:rPr>
    </w:pPr>
    <w:r>
      <w:t>April</w:t>
    </w:r>
    <w:r w:rsidR="00593681">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3BD7B62"/>
    <w:multiLevelType w:val="hybridMultilevel"/>
    <w:tmpl w:val="AB7EB3BE"/>
    <w:lvl w:ilvl="0" w:tplc="9620BE3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9563B8"/>
    <w:multiLevelType w:val="hybridMultilevel"/>
    <w:tmpl w:val="2F4E5276"/>
    <w:lvl w:ilvl="0" w:tplc="19E835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B75B6"/>
    <w:multiLevelType w:val="hybridMultilevel"/>
    <w:tmpl w:val="783CFEE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155A92"/>
    <w:multiLevelType w:val="hybridMultilevel"/>
    <w:tmpl w:val="4E021308"/>
    <w:lvl w:ilvl="0" w:tplc="F21CCC4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28421B"/>
    <w:multiLevelType w:val="hybridMultilevel"/>
    <w:tmpl w:val="783CFEE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565829"/>
    <w:multiLevelType w:val="hybridMultilevel"/>
    <w:tmpl w:val="A86225A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7828DD"/>
    <w:multiLevelType w:val="hybridMultilevel"/>
    <w:tmpl w:val="A86225A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931A5E"/>
    <w:multiLevelType w:val="hybridMultilevel"/>
    <w:tmpl w:val="8162FA80"/>
    <w:lvl w:ilvl="0" w:tplc="04090011">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0"/>
    <w:lvlOverride w:ilvl="0">
      <w:lvl w:ilvl="0">
        <w:start w:val="1"/>
        <w:numFmt w:val="decimal"/>
        <w:pStyle w:val="Quick1"/>
        <w:lvlText w:val="%1."/>
        <w:lvlJc w:val="left"/>
      </w:lvl>
    </w:lvlOverride>
  </w:num>
  <w:num w:numId="2">
    <w:abstractNumId w:val="0"/>
    <w:lvlOverride w:ilvl="0">
      <w:startOverride w:val="5"/>
      <w:lvl w:ilvl="0">
        <w:start w:val="5"/>
        <w:numFmt w:val="decimal"/>
        <w:pStyle w:val="Quick1"/>
        <w:lvlText w:val="%1."/>
        <w:lvlJc w:val="left"/>
      </w:lvl>
    </w:lvlOverride>
  </w:num>
  <w:num w:numId="3">
    <w:abstractNumId w:val="0"/>
    <w:lvlOverride w:ilvl="0">
      <w:startOverride w:val="7"/>
      <w:lvl w:ilvl="0">
        <w:start w:val="7"/>
        <w:numFmt w:val="decimal"/>
        <w:pStyle w:val="Quick1"/>
        <w:lvlText w:val="%1."/>
        <w:lvlJc w:val="left"/>
      </w:lvl>
    </w:lvlOverride>
  </w:num>
  <w:num w:numId="4">
    <w:abstractNumId w:val="0"/>
    <w:lvlOverride w:ilvl="0">
      <w:startOverride w:val="9"/>
      <w:lvl w:ilvl="0">
        <w:start w:val="9"/>
        <w:numFmt w:val="decimal"/>
        <w:pStyle w:val="Quick1"/>
        <w:lvlText w:val="%1."/>
        <w:lvlJc w:val="left"/>
      </w:lvl>
    </w:lvlOverride>
  </w:num>
  <w:num w:numId="5">
    <w:abstractNumId w:val="0"/>
    <w:lvlOverride w:ilvl="0">
      <w:startOverride w:val="13"/>
      <w:lvl w:ilvl="0">
        <w:start w:val="13"/>
        <w:numFmt w:val="decimal"/>
        <w:pStyle w:val="Quick1"/>
        <w:lvlText w:val="%1."/>
        <w:lvlJc w:val="left"/>
      </w:lvl>
    </w:lvlOverride>
  </w:num>
  <w:num w:numId="6">
    <w:abstractNumId w:val="2"/>
  </w:num>
  <w:num w:numId="7">
    <w:abstractNumId w:val="9"/>
  </w:num>
  <w:num w:numId="8">
    <w:abstractNumId w:val="6"/>
  </w:num>
  <w:num w:numId="9">
    <w:abstractNumId w:val="7"/>
  </w:num>
  <w:num w:numId="10">
    <w:abstractNumId w:val="5"/>
  </w:num>
  <w:num w:numId="11">
    <w:abstractNumId w:val="3"/>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C"/>
    <w:rsid w:val="00003D3E"/>
    <w:rsid w:val="000057C8"/>
    <w:rsid w:val="000128D6"/>
    <w:rsid w:val="000144A9"/>
    <w:rsid w:val="00015BD7"/>
    <w:rsid w:val="00025CBA"/>
    <w:rsid w:val="00041430"/>
    <w:rsid w:val="000469BE"/>
    <w:rsid w:val="00046FBB"/>
    <w:rsid w:val="00050AC6"/>
    <w:rsid w:val="00052937"/>
    <w:rsid w:val="00056C79"/>
    <w:rsid w:val="000576FB"/>
    <w:rsid w:val="000641A1"/>
    <w:rsid w:val="000658DA"/>
    <w:rsid w:val="000829C1"/>
    <w:rsid w:val="000909C7"/>
    <w:rsid w:val="0009357C"/>
    <w:rsid w:val="00094856"/>
    <w:rsid w:val="00097548"/>
    <w:rsid w:val="000A0875"/>
    <w:rsid w:val="000B1032"/>
    <w:rsid w:val="000B3D5E"/>
    <w:rsid w:val="000B4D6B"/>
    <w:rsid w:val="000C2161"/>
    <w:rsid w:val="000C568C"/>
    <w:rsid w:val="000C6BEE"/>
    <w:rsid w:val="000D4265"/>
    <w:rsid w:val="000E3DB7"/>
    <w:rsid w:val="000F3AB0"/>
    <w:rsid w:val="000F5EEB"/>
    <w:rsid w:val="00102853"/>
    <w:rsid w:val="00107CE3"/>
    <w:rsid w:val="001211E8"/>
    <w:rsid w:val="00122A48"/>
    <w:rsid w:val="00123BCA"/>
    <w:rsid w:val="0012486C"/>
    <w:rsid w:val="001255A4"/>
    <w:rsid w:val="001339FF"/>
    <w:rsid w:val="00141B61"/>
    <w:rsid w:val="001505E9"/>
    <w:rsid w:val="00150D6B"/>
    <w:rsid w:val="0015369A"/>
    <w:rsid w:val="0016146D"/>
    <w:rsid w:val="00163B5F"/>
    <w:rsid w:val="00167118"/>
    <w:rsid w:val="00167143"/>
    <w:rsid w:val="00167EE8"/>
    <w:rsid w:val="00173682"/>
    <w:rsid w:val="00175B1E"/>
    <w:rsid w:val="00180D1F"/>
    <w:rsid w:val="00183402"/>
    <w:rsid w:val="00184079"/>
    <w:rsid w:val="00185A52"/>
    <w:rsid w:val="00186D0A"/>
    <w:rsid w:val="00193F39"/>
    <w:rsid w:val="00194D75"/>
    <w:rsid w:val="001A4C42"/>
    <w:rsid w:val="001B0CB8"/>
    <w:rsid w:val="001C10B6"/>
    <w:rsid w:val="001C17A3"/>
    <w:rsid w:val="001D13C9"/>
    <w:rsid w:val="001D1CAE"/>
    <w:rsid w:val="001E31C3"/>
    <w:rsid w:val="001E7D5D"/>
    <w:rsid w:val="001F04C1"/>
    <w:rsid w:val="001F6551"/>
    <w:rsid w:val="001F6F9B"/>
    <w:rsid w:val="00201386"/>
    <w:rsid w:val="0020393A"/>
    <w:rsid w:val="00204578"/>
    <w:rsid w:val="0020678C"/>
    <w:rsid w:val="00225A2D"/>
    <w:rsid w:val="002351A3"/>
    <w:rsid w:val="00235620"/>
    <w:rsid w:val="00235C3C"/>
    <w:rsid w:val="00236255"/>
    <w:rsid w:val="002370D1"/>
    <w:rsid w:val="0025627D"/>
    <w:rsid w:val="00266377"/>
    <w:rsid w:val="0027043B"/>
    <w:rsid w:val="002756A9"/>
    <w:rsid w:val="00280826"/>
    <w:rsid w:val="00282222"/>
    <w:rsid w:val="00286632"/>
    <w:rsid w:val="00286C8D"/>
    <w:rsid w:val="00293187"/>
    <w:rsid w:val="00295756"/>
    <w:rsid w:val="00297F2F"/>
    <w:rsid w:val="002A03FD"/>
    <w:rsid w:val="002A1038"/>
    <w:rsid w:val="002A3257"/>
    <w:rsid w:val="002A5F3E"/>
    <w:rsid w:val="002D2F6E"/>
    <w:rsid w:val="002E0699"/>
    <w:rsid w:val="002E0FCB"/>
    <w:rsid w:val="002E6779"/>
    <w:rsid w:val="002F1916"/>
    <w:rsid w:val="002F1E24"/>
    <w:rsid w:val="002F5589"/>
    <w:rsid w:val="002F6EDE"/>
    <w:rsid w:val="00300109"/>
    <w:rsid w:val="00300F0C"/>
    <w:rsid w:val="00304C4B"/>
    <w:rsid w:val="003132F2"/>
    <w:rsid w:val="0032216E"/>
    <w:rsid w:val="00330300"/>
    <w:rsid w:val="00330825"/>
    <w:rsid w:val="00330D3C"/>
    <w:rsid w:val="00333267"/>
    <w:rsid w:val="003348FF"/>
    <w:rsid w:val="00341866"/>
    <w:rsid w:val="0034503E"/>
    <w:rsid w:val="00355C8C"/>
    <w:rsid w:val="0036216C"/>
    <w:rsid w:val="0036359D"/>
    <w:rsid w:val="00364750"/>
    <w:rsid w:val="00364AD4"/>
    <w:rsid w:val="0037325F"/>
    <w:rsid w:val="00381783"/>
    <w:rsid w:val="0039118B"/>
    <w:rsid w:val="003922E4"/>
    <w:rsid w:val="003A0CDF"/>
    <w:rsid w:val="003A5C5D"/>
    <w:rsid w:val="003B0CCA"/>
    <w:rsid w:val="003B238F"/>
    <w:rsid w:val="003B74C8"/>
    <w:rsid w:val="003C08B5"/>
    <w:rsid w:val="003C19FB"/>
    <w:rsid w:val="003D1DFC"/>
    <w:rsid w:val="003E138A"/>
    <w:rsid w:val="003E2270"/>
    <w:rsid w:val="003E22D5"/>
    <w:rsid w:val="003E5735"/>
    <w:rsid w:val="003F372A"/>
    <w:rsid w:val="003F3851"/>
    <w:rsid w:val="003F5835"/>
    <w:rsid w:val="004079E5"/>
    <w:rsid w:val="004159F5"/>
    <w:rsid w:val="004177B1"/>
    <w:rsid w:val="00417F69"/>
    <w:rsid w:val="0042124C"/>
    <w:rsid w:val="00422EE7"/>
    <w:rsid w:val="0044769F"/>
    <w:rsid w:val="00454DF6"/>
    <w:rsid w:val="00457E23"/>
    <w:rsid w:val="00460272"/>
    <w:rsid w:val="00460A97"/>
    <w:rsid w:val="00461569"/>
    <w:rsid w:val="00484F8E"/>
    <w:rsid w:val="00484F92"/>
    <w:rsid w:val="004911C0"/>
    <w:rsid w:val="00492039"/>
    <w:rsid w:val="004A2D99"/>
    <w:rsid w:val="004A4B1F"/>
    <w:rsid w:val="004A7D01"/>
    <w:rsid w:val="004B0369"/>
    <w:rsid w:val="004B06C8"/>
    <w:rsid w:val="004B2B7D"/>
    <w:rsid w:val="004B5FCA"/>
    <w:rsid w:val="004C0938"/>
    <w:rsid w:val="004C1A9E"/>
    <w:rsid w:val="004C2B2F"/>
    <w:rsid w:val="004C395B"/>
    <w:rsid w:val="004C6F26"/>
    <w:rsid w:val="004C75C5"/>
    <w:rsid w:val="004C7F9E"/>
    <w:rsid w:val="004D22FA"/>
    <w:rsid w:val="004D2988"/>
    <w:rsid w:val="004D6695"/>
    <w:rsid w:val="004D7699"/>
    <w:rsid w:val="004E2827"/>
    <w:rsid w:val="004F146C"/>
    <w:rsid w:val="004F3086"/>
    <w:rsid w:val="0050695A"/>
    <w:rsid w:val="00523AC8"/>
    <w:rsid w:val="00527888"/>
    <w:rsid w:val="005350B6"/>
    <w:rsid w:val="00535228"/>
    <w:rsid w:val="00535990"/>
    <w:rsid w:val="005439FF"/>
    <w:rsid w:val="0054488E"/>
    <w:rsid w:val="005559CC"/>
    <w:rsid w:val="00561110"/>
    <w:rsid w:val="00561393"/>
    <w:rsid w:val="00570EB0"/>
    <w:rsid w:val="0058727D"/>
    <w:rsid w:val="00593681"/>
    <w:rsid w:val="005968B2"/>
    <w:rsid w:val="005A3F5D"/>
    <w:rsid w:val="005A75CB"/>
    <w:rsid w:val="005B0346"/>
    <w:rsid w:val="005B1F8A"/>
    <w:rsid w:val="005B2AEF"/>
    <w:rsid w:val="005B4716"/>
    <w:rsid w:val="005B7255"/>
    <w:rsid w:val="005C1515"/>
    <w:rsid w:val="005D0046"/>
    <w:rsid w:val="005D4C72"/>
    <w:rsid w:val="005D619A"/>
    <w:rsid w:val="005D6ED6"/>
    <w:rsid w:val="005D7375"/>
    <w:rsid w:val="005E2D80"/>
    <w:rsid w:val="005E3D14"/>
    <w:rsid w:val="005F68B0"/>
    <w:rsid w:val="005F78C5"/>
    <w:rsid w:val="00601E1C"/>
    <w:rsid w:val="00607B7B"/>
    <w:rsid w:val="00611185"/>
    <w:rsid w:val="00620B31"/>
    <w:rsid w:val="00621477"/>
    <w:rsid w:val="00621973"/>
    <w:rsid w:val="006230BE"/>
    <w:rsid w:val="00624F4D"/>
    <w:rsid w:val="00625B93"/>
    <w:rsid w:val="00627305"/>
    <w:rsid w:val="00641121"/>
    <w:rsid w:val="0064347C"/>
    <w:rsid w:val="006438DF"/>
    <w:rsid w:val="0065485A"/>
    <w:rsid w:val="006552D5"/>
    <w:rsid w:val="00666CF1"/>
    <w:rsid w:val="00670367"/>
    <w:rsid w:val="00674A7E"/>
    <w:rsid w:val="00674D25"/>
    <w:rsid w:val="00680390"/>
    <w:rsid w:val="00687A09"/>
    <w:rsid w:val="00691402"/>
    <w:rsid w:val="00692C5D"/>
    <w:rsid w:val="00692EF0"/>
    <w:rsid w:val="00693D36"/>
    <w:rsid w:val="0069643E"/>
    <w:rsid w:val="006A33D1"/>
    <w:rsid w:val="006A565F"/>
    <w:rsid w:val="006B3D88"/>
    <w:rsid w:val="006B6DA0"/>
    <w:rsid w:val="006B7245"/>
    <w:rsid w:val="006C1BCF"/>
    <w:rsid w:val="006C2562"/>
    <w:rsid w:val="006C4769"/>
    <w:rsid w:val="006D4217"/>
    <w:rsid w:val="006D73E2"/>
    <w:rsid w:val="006F5847"/>
    <w:rsid w:val="00704717"/>
    <w:rsid w:val="00707A6A"/>
    <w:rsid w:val="0071318B"/>
    <w:rsid w:val="0072136A"/>
    <w:rsid w:val="00723A70"/>
    <w:rsid w:val="00724025"/>
    <w:rsid w:val="00726B6D"/>
    <w:rsid w:val="007272F5"/>
    <w:rsid w:val="00733038"/>
    <w:rsid w:val="00745B7E"/>
    <w:rsid w:val="0074704E"/>
    <w:rsid w:val="00747052"/>
    <w:rsid w:val="00750412"/>
    <w:rsid w:val="00760281"/>
    <w:rsid w:val="00782594"/>
    <w:rsid w:val="00783540"/>
    <w:rsid w:val="00785249"/>
    <w:rsid w:val="0078587D"/>
    <w:rsid w:val="00786E94"/>
    <w:rsid w:val="0079471B"/>
    <w:rsid w:val="00795362"/>
    <w:rsid w:val="007A2759"/>
    <w:rsid w:val="007B0E8C"/>
    <w:rsid w:val="007B3775"/>
    <w:rsid w:val="007B3C4A"/>
    <w:rsid w:val="007C0A61"/>
    <w:rsid w:val="007C5711"/>
    <w:rsid w:val="007D1EE4"/>
    <w:rsid w:val="007D42CD"/>
    <w:rsid w:val="007D7A8C"/>
    <w:rsid w:val="007E2626"/>
    <w:rsid w:val="007E49C1"/>
    <w:rsid w:val="007F1E26"/>
    <w:rsid w:val="007F3052"/>
    <w:rsid w:val="007F3F3C"/>
    <w:rsid w:val="007F4818"/>
    <w:rsid w:val="008102CA"/>
    <w:rsid w:val="008123C6"/>
    <w:rsid w:val="00816EEF"/>
    <w:rsid w:val="008249B9"/>
    <w:rsid w:val="008364C1"/>
    <w:rsid w:val="008401DF"/>
    <w:rsid w:val="00845D62"/>
    <w:rsid w:val="00850DDB"/>
    <w:rsid w:val="00852DDF"/>
    <w:rsid w:val="008555C2"/>
    <w:rsid w:val="00863B86"/>
    <w:rsid w:val="00867D19"/>
    <w:rsid w:val="00870CE2"/>
    <w:rsid w:val="00872A46"/>
    <w:rsid w:val="008749C2"/>
    <w:rsid w:val="0087589F"/>
    <w:rsid w:val="00877C94"/>
    <w:rsid w:val="008875D5"/>
    <w:rsid w:val="00891DCA"/>
    <w:rsid w:val="00896337"/>
    <w:rsid w:val="008A48FC"/>
    <w:rsid w:val="008B4B2E"/>
    <w:rsid w:val="008B5B14"/>
    <w:rsid w:val="008C3B2E"/>
    <w:rsid w:val="008C78B5"/>
    <w:rsid w:val="008C7B85"/>
    <w:rsid w:val="008D2129"/>
    <w:rsid w:val="008D2BE4"/>
    <w:rsid w:val="008E45F7"/>
    <w:rsid w:val="008E7EB2"/>
    <w:rsid w:val="008F1DC9"/>
    <w:rsid w:val="008F2AD5"/>
    <w:rsid w:val="008F3FD8"/>
    <w:rsid w:val="008F46E2"/>
    <w:rsid w:val="008F6993"/>
    <w:rsid w:val="008F7315"/>
    <w:rsid w:val="009039B5"/>
    <w:rsid w:val="009045D5"/>
    <w:rsid w:val="009125B1"/>
    <w:rsid w:val="009136EF"/>
    <w:rsid w:val="009148E2"/>
    <w:rsid w:val="00915B04"/>
    <w:rsid w:val="00920232"/>
    <w:rsid w:val="00924AC3"/>
    <w:rsid w:val="00930379"/>
    <w:rsid w:val="00930B40"/>
    <w:rsid w:val="009310EF"/>
    <w:rsid w:val="00933DF4"/>
    <w:rsid w:val="009414BA"/>
    <w:rsid w:val="0094262A"/>
    <w:rsid w:val="00943735"/>
    <w:rsid w:val="009470AC"/>
    <w:rsid w:val="00956D4F"/>
    <w:rsid w:val="0095755B"/>
    <w:rsid w:val="00962E47"/>
    <w:rsid w:val="00964949"/>
    <w:rsid w:val="00967ED2"/>
    <w:rsid w:val="009731F2"/>
    <w:rsid w:val="00985FD1"/>
    <w:rsid w:val="00986A30"/>
    <w:rsid w:val="00986D7E"/>
    <w:rsid w:val="00987F6D"/>
    <w:rsid w:val="009A125A"/>
    <w:rsid w:val="009B1FD4"/>
    <w:rsid w:val="009B54CB"/>
    <w:rsid w:val="009C1AB6"/>
    <w:rsid w:val="009C1D64"/>
    <w:rsid w:val="009C43A9"/>
    <w:rsid w:val="009C4531"/>
    <w:rsid w:val="009C4A28"/>
    <w:rsid w:val="009C5161"/>
    <w:rsid w:val="009C5304"/>
    <w:rsid w:val="009C5625"/>
    <w:rsid w:val="009C6155"/>
    <w:rsid w:val="009D2297"/>
    <w:rsid w:val="009E041E"/>
    <w:rsid w:val="009E1BF1"/>
    <w:rsid w:val="009E2860"/>
    <w:rsid w:val="009E4E0B"/>
    <w:rsid w:val="009E5C5D"/>
    <w:rsid w:val="009F76A3"/>
    <w:rsid w:val="00A006E5"/>
    <w:rsid w:val="00A019C7"/>
    <w:rsid w:val="00A03AD7"/>
    <w:rsid w:val="00A0572D"/>
    <w:rsid w:val="00A05C79"/>
    <w:rsid w:val="00A071E9"/>
    <w:rsid w:val="00A07BA9"/>
    <w:rsid w:val="00A104B6"/>
    <w:rsid w:val="00A146BC"/>
    <w:rsid w:val="00A17C0D"/>
    <w:rsid w:val="00A271D3"/>
    <w:rsid w:val="00A31C59"/>
    <w:rsid w:val="00A40319"/>
    <w:rsid w:val="00A4064B"/>
    <w:rsid w:val="00A40B1D"/>
    <w:rsid w:val="00A5654A"/>
    <w:rsid w:val="00A5714F"/>
    <w:rsid w:val="00A615C3"/>
    <w:rsid w:val="00A62D35"/>
    <w:rsid w:val="00A671D6"/>
    <w:rsid w:val="00A67C23"/>
    <w:rsid w:val="00A70650"/>
    <w:rsid w:val="00A71B61"/>
    <w:rsid w:val="00A83769"/>
    <w:rsid w:val="00A84C57"/>
    <w:rsid w:val="00A84C8E"/>
    <w:rsid w:val="00A85F40"/>
    <w:rsid w:val="00A94E12"/>
    <w:rsid w:val="00A95426"/>
    <w:rsid w:val="00A96CC4"/>
    <w:rsid w:val="00AB169C"/>
    <w:rsid w:val="00AB7098"/>
    <w:rsid w:val="00AC4327"/>
    <w:rsid w:val="00AC6E28"/>
    <w:rsid w:val="00AD2CA9"/>
    <w:rsid w:val="00AD2CEC"/>
    <w:rsid w:val="00AD5CAC"/>
    <w:rsid w:val="00AE666B"/>
    <w:rsid w:val="00AF3DB3"/>
    <w:rsid w:val="00AF6AEC"/>
    <w:rsid w:val="00B00998"/>
    <w:rsid w:val="00B06483"/>
    <w:rsid w:val="00B164F7"/>
    <w:rsid w:val="00B250F0"/>
    <w:rsid w:val="00B440D8"/>
    <w:rsid w:val="00B4638D"/>
    <w:rsid w:val="00B47B09"/>
    <w:rsid w:val="00B50E4A"/>
    <w:rsid w:val="00B52AF7"/>
    <w:rsid w:val="00B55FAD"/>
    <w:rsid w:val="00B57885"/>
    <w:rsid w:val="00B623FC"/>
    <w:rsid w:val="00B63354"/>
    <w:rsid w:val="00B70DA9"/>
    <w:rsid w:val="00B8063C"/>
    <w:rsid w:val="00B8718B"/>
    <w:rsid w:val="00B87434"/>
    <w:rsid w:val="00B87AAD"/>
    <w:rsid w:val="00B92E79"/>
    <w:rsid w:val="00BA1FD7"/>
    <w:rsid w:val="00BA2093"/>
    <w:rsid w:val="00BA3D09"/>
    <w:rsid w:val="00BA6828"/>
    <w:rsid w:val="00BA6961"/>
    <w:rsid w:val="00BB0AD0"/>
    <w:rsid w:val="00BD0953"/>
    <w:rsid w:val="00BD0EB7"/>
    <w:rsid w:val="00BD15E6"/>
    <w:rsid w:val="00BD20ED"/>
    <w:rsid w:val="00BD4F80"/>
    <w:rsid w:val="00BD5135"/>
    <w:rsid w:val="00BD55F7"/>
    <w:rsid w:val="00BD6BCA"/>
    <w:rsid w:val="00BD7246"/>
    <w:rsid w:val="00BD74ED"/>
    <w:rsid w:val="00BD799B"/>
    <w:rsid w:val="00BE2BEC"/>
    <w:rsid w:val="00BF43F3"/>
    <w:rsid w:val="00C159CB"/>
    <w:rsid w:val="00C1623D"/>
    <w:rsid w:val="00C25FE4"/>
    <w:rsid w:val="00C26B51"/>
    <w:rsid w:val="00C278C1"/>
    <w:rsid w:val="00C27AB5"/>
    <w:rsid w:val="00C30125"/>
    <w:rsid w:val="00C3134B"/>
    <w:rsid w:val="00C33B78"/>
    <w:rsid w:val="00C33E3C"/>
    <w:rsid w:val="00C354C7"/>
    <w:rsid w:val="00C40B89"/>
    <w:rsid w:val="00C44CCF"/>
    <w:rsid w:val="00C4597D"/>
    <w:rsid w:val="00C50243"/>
    <w:rsid w:val="00C534B1"/>
    <w:rsid w:val="00C544CB"/>
    <w:rsid w:val="00C55888"/>
    <w:rsid w:val="00C671B5"/>
    <w:rsid w:val="00C8075A"/>
    <w:rsid w:val="00C82157"/>
    <w:rsid w:val="00C845A2"/>
    <w:rsid w:val="00C90B29"/>
    <w:rsid w:val="00CA010A"/>
    <w:rsid w:val="00CA45CD"/>
    <w:rsid w:val="00CA664B"/>
    <w:rsid w:val="00CB5B6A"/>
    <w:rsid w:val="00CC1F00"/>
    <w:rsid w:val="00CC27B2"/>
    <w:rsid w:val="00CC685F"/>
    <w:rsid w:val="00CD7F4A"/>
    <w:rsid w:val="00CE06EF"/>
    <w:rsid w:val="00CE0A08"/>
    <w:rsid w:val="00CE3688"/>
    <w:rsid w:val="00CE67E1"/>
    <w:rsid w:val="00CE6A3B"/>
    <w:rsid w:val="00CE7DF1"/>
    <w:rsid w:val="00CF4567"/>
    <w:rsid w:val="00CF7381"/>
    <w:rsid w:val="00D05D69"/>
    <w:rsid w:val="00D05FD8"/>
    <w:rsid w:val="00D076D7"/>
    <w:rsid w:val="00D12DBF"/>
    <w:rsid w:val="00D13A05"/>
    <w:rsid w:val="00D163D7"/>
    <w:rsid w:val="00D20998"/>
    <w:rsid w:val="00D2452A"/>
    <w:rsid w:val="00D24922"/>
    <w:rsid w:val="00D277A2"/>
    <w:rsid w:val="00D35A92"/>
    <w:rsid w:val="00D43263"/>
    <w:rsid w:val="00D43B88"/>
    <w:rsid w:val="00D4581B"/>
    <w:rsid w:val="00D51378"/>
    <w:rsid w:val="00D534D9"/>
    <w:rsid w:val="00D55744"/>
    <w:rsid w:val="00D57B66"/>
    <w:rsid w:val="00D6267A"/>
    <w:rsid w:val="00D635DB"/>
    <w:rsid w:val="00D63C89"/>
    <w:rsid w:val="00D70D65"/>
    <w:rsid w:val="00D747AF"/>
    <w:rsid w:val="00D77107"/>
    <w:rsid w:val="00D77C90"/>
    <w:rsid w:val="00D816A7"/>
    <w:rsid w:val="00D90017"/>
    <w:rsid w:val="00D90202"/>
    <w:rsid w:val="00D91ABB"/>
    <w:rsid w:val="00D95D03"/>
    <w:rsid w:val="00D9734E"/>
    <w:rsid w:val="00DA1664"/>
    <w:rsid w:val="00DA1798"/>
    <w:rsid w:val="00DA29C3"/>
    <w:rsid w:val="00DA2B44"/>
    <w:rsid w:val="00DA4CD6"/>
    <w:rsid w:val="00DB14EF"/>
    <w:rsid w:val="00DB1993"/>
    <w:rsid w:val="00DB1E46"/>
    <w:rsid w:val="00DB35EE"/>
    <w:rsid w:val="00DB559D"/>
    <w:rsid w:val="00DB5F84"/>
    <w:rsid w:val="00DB7AA8"/>
    <w:rsid w:val="00DC08C2"/>
    <w:rsid w:val="00DC210A"/>
    <w:rsid w:val="00DC6E1E"/>
    <w:rsid w:val="00DD200C"/>
    <w:rsid w:val="00DD2948"/>
    <w:rsid w:val="00DD2EED"/>
    <w:rsid w:val="00DD770B"/>
    <w:rsid w:val="00DD7AD0"/>
    <w:rsid w:val="00DE1E3D"/>
    <w:rsid w:val="00DE6751"/>
    <w:rsid w:val="00DF2444"/>
    <w:rsid w:val="00E01C77"/>
    <w:rsid w:val="00E06A77"/>
    <w:rsid w:val="00E11B8A"/>
    <w:rsid w:val="00E12424"/>
    <w:rsid w:val="00E141B1"/>
    <w:rsid w:val="00E36D20"/>
    <w:rsid w:val="00E41A1C"/>
    <w:rsid w:val="00E50266"/>
    <w:rsid w:val="00E55F7B"/>
    <w:rsid w:val="00E61432"/>
    <w:rsid w:val="00E62157"/>
    <w:rsid w:val="00E63FD0"/>
    <w:rsid w:val="00E64B05"/>
    <w:rsid w:val="00E65E8A"/>
    <w:rsid w:val="00E7499B"/>
    <w:rsid w:val="00E81A7F"/>
    <w:rsid w:val="00E9607D"/>
    <w:rsid w:val="00E97C5B"/>
    <w:rsid w:val="00EA6D69"/>
    <w:rsid w:val="00EA7228"/>
    <w:rsid w:val="00EA7712"/>
    <w:rsid w:val="00EB038A"/>
    <w:rsid w:val="00EB3504"/>
    <w:rsid w:val="00EB5CDB"/>
    <w:rsid w:val="00EB76D0"/>
    <w:rsid w:val="00EC538E"/>
    <w:rsid w:val="00EC7BAD"/>
    <w:rsid w:val="00ED25A1"/>
    <w:rsid w:val="00ED2688"/>
    <w:rsid w:val="00ED3F35"/>
    <w:rsid w:val="00ED5757"/>
    <w:rsid w:val="00ED6E0C"/>
    <w:rsid w:val="00EE5285"/>
    <w:rsid w:val="00EE5BED"/>
    <w:rsid w:val="00EE6FD4"/>
    <w:rsid w:val="00EF0670"/>
    <w:rsid w:val="00F05BD4"/>
    <w:rsid w:val="00F073C1"/>
    <w:rsid w:val="00F11A51"/>
    <w:rsid w:val="00F122D8"/>
    <w:rsid w:val="00F166CD"/>
    <w:rsid w:val="00F16A7B"/>
    <w:rsid w:val="00F2153E"/>
    <w:rsid w:val="00F256B3"/>
    <w:rsid w:val="00F30011"/>
    <w:rsid w:val="00F31AEC"/>
    <w:rsid w:val="00F36382"/>
    <w:rsid w:val="00F411BA"/>
    <w:rsid w:val="00F47057"/>
    <w:rsid w:val="00F4791C"/>
    <w:rsid w:val="00F51F2B"/>
    <w:rsid w:val="00F55FB0"/>
    <w:rsid w:val="00F56367"/>
    <w:rsid w:val="00F7310B"/>
    <w:rsid w:val="00F743A7"/>
    <w:rsid w:val="00F8149A"/>
    <w:rsid w:val="00F829A6"/>
    <w:rsid w:val="00F8352A"/>
    <w:rsid w:val="00F86A2B"/>
    <w:rsid w:val="00F90CF8"/>
    <w:rsid w:val="00F95168"/>
    <w:rsid w:val="00F97E74"/>
    <w:rsid w:val="00FA56D8"/>
    <w:rsid w:val="00FB0320"/>
    <w:rsid w:val="00FB1576"/>
    <w:rsid w:val="00FB4006"/>
    <w:rsid w:val="00FB4276"/>
    <w:rsid w:val="00FB5D2C"/>
    <w:rsid w:val="00FB6686"/>
    <w:rsid w:val="00FC240E"/>
    <w:rsid w:val="00FC6693"/>
    <w:rsid w:val="00FC7FFA"/>
    <w:rsid w:val="00FD5584"/>
    <w:rsid w:val="00FD6425"/>
    <w:rsid w:val="00FD7FFB"/>
    <w:rsid w:val="00FE7A24"/>
    <w:rsid w:val="00FE7C2A"/>
    <w:rsid w:val="00FF2E24"/>
    <w:rsid w:val="00FF3B74"/>
    <w:rsid w:val="00F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686"/>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style>
  <w:style w:type="paragraph" w:customStyle="1" w:styleId="Quick1">
    <w:name w:val="Quick 1."/>
    <w:basedOn w:val="Normal"/>
    <w:pPr>
      <w:numPr>
        <w:numId w:val="5"/>
      </w:numPr>
      <w:ind w:left="720" w:hanging="720"/>
    </w:pPr>
  </w:style>
  <w:style w:type="paragraph" w:styleId="BodyTextIndent">
    <w:name w:val="Body Text Indent"/>
    <w:basedOn w:val="Normal"/>
    <w:pPr>
      <w:ind w:firstLine="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rPr>
      <w:sz w:val="20"/>
      <w:szCs w:val="20"/>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BodyTextIndent3">
    <w:name w:val="Body Text Indent 3"/>
    <w:basedOn w:val="Normal"/>
    <w:pPr>
      <w:tabs>
        <w:tab w:val="left" w:pos="-1440"/>
      </w:tabs>
      <w:ind w:left="720"/>
    </w:pPr>
    <w:rPr>
      <w:rFonts w:ascii="Times New Roman" w:hAnsi="Times New Roman"/>
    </w:rPr>
  </w:style>
  <w:style w:type="character" w:styleId="PageNumber">
    <w:name w:val="page number"/>
    <w:basedOn w:val="DefaultParagraphFont"/>
  </w:style>
  <w:style w:type="character" w:styleId="CommentReference">
    <w:name w:val="annotation reference"/>
    <w:semiHidden/>
    <w:rsid w:val="00785249"/>
    <w:rPr>
      <w:sz w:val="16"/>
      <w:szCs w:val="16"/>
    </w:rPr>
  </w:style>
  <w:style w:type="paragraph" w:styleId="CommentText">
    <w:name w:val="annotation text"/>
    <w:basedOn w:val="Normal"/>
    <w:uiPriority w:val="99"/>
    <w:rsid w:val="00785249"/>
    <w:pPr>
      <w:widowControl/>
      <w:autoSpaceDE/>
      <w:autoSpaceDN/>
      <w:adjustRightInd/>
    </w:pPr>
    <w:rPr>
      <w:rFonts w:ascii="Times New Roman" w:hAnsi="Times New Roman"/>
      <w:sz w:val="20"/>
      <w:szCs w:val="20"/>
    </w:rPr>
  </w:style>
  <w:style w:type="paragraph" w:styleId="BalloonText">
    <w:name w:val="Balloon Text"/>
    <w:basedOn w:val="Normal"/>
    <w:semiHidden/>
    <w:rsid w:val="00785249"/>
    <w:rPr>
      <w:rFonts w:ascii="Tahoma" w:hAnsi="Tahoma" w:cs="Tahoma"/>
      <w:sz w:val="16"/>
      <w:szCs w:val="16"/>
    </w:rPr>
  </w:style>
  <w:style w:type="paragraph" w:styleId="CommentSubject">
    <w:name w:val="annotation subject"/>
    <w:basedOn w:val="CommentText"/>
    <w:next w:val="CommentText"/>
    <w:semiHidden/>
    <w:rsid w:val="005D4C72"/>
    <w:pPr>
      <w:widowControl w:val="0"/>
      <w:autoSpaceDE w:val="0"/>
      <w:autoSpaceDN w:val="0"/>
      <w:adjustRightInd w:val="0"/>
    </w:pPr>
    <w:rPr>
      <w:rFonts w:ascii="Courier" w:hAnsi="Courier"/>
      <w:b/>
      <w:bCs/>
    </w:rPr>
  </w:style>
  <w:style w:type="character" w:customStyle="1" w:styleId="FootnoteTextChar">
    <w:name w:val="Footnote Text Char"/>
    <w:link w:val="FootnoteText"/>
    <w:uiPriority w:val="99"/>
    <w:rsid w:val="005B4716"/>
    <w:rPr>
      <w:rFonts w:ascii="Courier" w:hAnsi="Courier"/>
    </w:rPr>
  </w:style>
  <w:style w:type="paragraph" w:styleId="ListParagraph">
    <w:name w:val="List Paragraph"/>
    <w:basedOn w:val="Normal"/>
    <w:uiPriority w:val="34"/>
    <w:qFormat/>
    <w:rsid w:val="00FB6686"/>
    <w:pPr>
      <w:ind w:left="720"/>
      <w:contextualSpacing/>
    </w:pPr>
  </w:style>
  <w:style w:type="paragraph" w:styleId="Revision">
    <w:name w:val="Revision"/>
    <w:hidden/>
    <w:uiPriority w:val="99"/>
    <w:semiHidden/>
    <w:rsid w:val="00692C5D"/>
    <w:rPr>
      <w:rFonts w:ascii="Courier" w:hAnsi="Courier"/>
      <w:sz w:val="24"/>
      <w:szCs w:val="24"/>
    </w:rPr>
  </w:style>
  <w:style w:type="paragraph" w:styleId="HTMLPreformatted">
    <w:name w:val="HTML Preformatted"/>
    <w:basedOn w:val="Normal"/>
    <w:link w:val="HTMLPreformattedChar"/>
    <w:rsid w:val="00AE666B"/>
    <w:rPr>
      <w:rFonts w:ascii="Consolas" w:hAnsi="Consolas" w:cs="Consolas"/>
      <w:sz w:val="20"/>
      <w:szCs w:val="20"/>
    </w:rPr>
  </w:style>
  <w:style w:type="character" w:customStyle="1" w:styleId="HTMLPreformattedChar">
    <w:name w:val="HTML Preformatted Char"/>
    <w:basedOn w:val="DefaultParagraphFont"/>
    <w:link w:val="HTMLPreformatted"/>
    <w:rsid w:val="00AE666B"/>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686"/>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style>
  <w:style w:type="paragraph" w:customStyle="1" w:styleId="Quick1">
    <w:name w:val="Quick 1."/>
    <w:basedOn w:val="Normal"/>
    <w:pPr>
      <w:numPr>
        <w:numId w:val="5"/>
      </w:numPr>
      <w:ind w:left="720" w:hanging="720"/>
    </w:pPr>
  </w:style>
  <w:style w:type="paragraph" w:styleId="BodyTextIndent">
    <w:name w:val="Body Text Indent"/>
    <w:basedOn w:val="Normal"/>
    <w:pPr>
      <w:ind w:firstLine="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rPr>
      <w:sz w:val="20"/>
      <w:szCs w:val="20"/>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BodyTextIndent3">
    <w:name w:val="Body Text Indent 3"/>
    <w:basedOn w:val="Normal"/>
    <w:pPr>
      <w:tabs>
        <w:tab w:val="left" w:pos="-1440"/>
      </w:tabs>
      <w:ind w:left="720"/>
    </w:pPr>
    <w:rPr>
      <w:rFonts w:ascii="Times New Roman" w:hAnsi="Times New Roman"/>
    </w:rPr>
  </w:style>
  <w:style w:type="character" w:styleId="PageNumber">
    <w:name w:val="page number"/>
    <w:basedOn w:val="DefaultParagraphFont"/>
  </w:style>
  <w:style w:type="character" w:styleId="CommentReference">
    <w:name w:val="annotation reference"/>
    <w:semiHidden/>
    <w:rsid w:val="00785249"/>
    <w:rPr>
      <w:sz w:val="16"/>
      <w:szCs w:val="16"/>
    </w:rPr>
  </w:style>
  <w:style w:type="paragraph" w:styleId="CommentText">
    <w:name w:val="annotation text"/>
    <w:basedOn w:val="Normal"/>
    <w:uiPriority w:val="99"/>
    <w:rsid w:val="00785249"/>
    <w:pPr>
      <w:widowControl/>
      <w:autoSpaceDE/>
      <w:autoSpaceDN/>
      <w:adjustRightInd/>
    </w:pPr>
    <w:rPr>
      <w:rFonts w:ascii="Times New Roman" w:hAnsi="Times New Roman"/>
      <w:sz w:val="20"/>
      <w:szCs w:val="20"/>
    </w:rPr>
  </w:style>
  <w:style w:type="paragraph" w:styleId="BalloonText">
    <w:name w:val="Balloon Text"/>
    <w:basedOn w:val="Normal"/>
    <w:semiHidden/>
    <w:rsid w:val="00785249"/>
    <w:rPr>
      <w:rFonts w:ascii="Tahoma" w:hAnsi="Tahoma" w:cs="Tahoma"/>
      <w:sz w:val="16"/>
      <w:szCs w:val="16"/>
    </w:rPr>
  </w:style>
  <w:style w:type="paragraph" w:styleId="CommentSubject">
    <w:name w:val="annotation subject"/>
    <w:basedOn w:val="CommentText"/>
    <w:next w:val="CommentText"/>
    <w:semiHidden/>
    <w:rsid w:val="005D4C72"/>
    <w:pPr>
      <w:widowControl w:val="0"/>
      <w:autoSpaceDE w:val="0"/>
      <w:autoSpaceDN w:val="0"/>
      <w:adjustRightInd w:val="0"/>
    </w:pPr>
    <w:rPr>
      <w:rFonts w:ascii="Courier" w:hAnsi="Courier"/>
      <w:b/>
      <w:bCs/>
    </w:rPr>
  </w:style>
  <w:style w:type="character" w:customStyle="1" w:styleId="FootnoteTextChar">
    <w:name w:val="Footnote Text Char"/>
    <w:link w:val="FootnoteText"/>
    <w:uiPriority w:val="99"/>
    <w:rsid w:val="005B4716"/>
    <w:rPr>
      <w:rFonts w:ascii="Courier" w:hAnsi="Courier"/>
    </w:rPr>
  </w:style>
  <w:style w:type="paragraph" w:styleId="ListParagraph">
    <w:name w:val="List Paragraph"/>
    <w:basedOn w:val="Normal"/>
    <w:uiPriority w:val="34"/>
    <w:qFormat/>
    <w:rsid w:val="00FB6686"/>
    <w:pPr>
      <w:ind w:left="720"/>
      <w:contextualSpacing/>
    </w:pPr>
  </w:style>
  <w:style w:type="paragraph" w:styleId="Revision">
    <w:name w:val="Revision"/>
    <w:hidden/>
    <w:uiPriority w:val="99"/>
    <w:semiHidden/>
    <w:rsid w:val="00692C5D"/>
    <w:rPr>
      <w:rFonts w:ascii="Courier" w:hAnsi="Courier"/>
      <w:sz w:val="24"/>
      <w:szCs w:val="24"/>
    </w:rPr>
  </w:style>
  <w:style w:type="paragraph" w:styleId="HTMLPreformatted">
    <w:name w:val="HTML Preformatted"/>
    <w:basedOn w:val="Normal"/>
    <w:link w:val="HTMLPreformattedChar"/>
    <w:rsid w:val="00AE666B"/>
    <w:rPr>
      <w:rFonts w:ascii="Consolas" w:hAnsi="Consolas" w:cs="Consolas"/>
      <w:sz w:val="20"/>
      <w:szCs w:val="20"/>
    </w:rPr>
  </w:style>
  <w:style w:type="character" w:customStyle="1" w:styleId="HTMLPreformattedChar">
    <w:name w:val="HTML Preformatted Char"/>
    <w:basedOn w:val="DefaultParagraphFont"/>
    <w:link w:val="HTMLPreformatted"/>
    <w:rsid w:val="00AE666B"/>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2675">
      <w:bodyDiv w:val="1"/>
      <w:marLeft w:val="0"/>
      <w:marRight w:val="0"/>
      <w:marTop w:val="0"/>
      <w:marBottom w:val="0"/>
      <w:divBdr>
        <w:top w:val="none" w:sz="0" w:space="0" w:color="auto"/>
        <w:left w:val="none" w:sz="0" w:space="0" w:color="auto"/>
        <w:bottom w:val="none" w:sz="0" w:space="0" w:color="auto"/>
        <w:right w:val="none" w:sz="0" w:space="0" w:color="auto"/>
      </w:divBdr>
      <w:divsChild>
        <w:div w:id="1091925354">
          <w:marLeft w:val="0"/>
          <w:marRight w:val="0"/>
          <w:marTop w:val="0"/>
          <w:marBottom w:val="0"/>
          <w:divBdr>
            <w:top w:val="none" w:sz="0" w:space="0" w:color="auto"/>
            <w:left w:val="none" w:sz="0" w:space="0" w:color="auto"/>
            <w:bottom w:val="none" w:sz="0" w:space="0" w:color="auto"/>
            <w:right w:val="none" w:sz="0" w:space="0" w:color="auto"/>
          </w:divBdr>
          <w:divsChild>
            <w:div w:id="87194904">
              <w:marLeft w:val="0"/>
              <w:marRight w:val="0"/>
              <w:marTop w:val="0"/>
              <w:marBottom w:val="0"/>
              <w:divBdr>
                <w:top w:val="none" w:sz="0" w:space="0" w:color="auto"/>
                <w:left w:val="none" w:sz="0" w:space="0" w:color="auto"/>
                <w:bottom w:val="none" w:sz="0" w:space="0" w:color="auto"/>
                <w:right w:val="none" w:sz="0" w:space="0" w:color="auto"/>
              </w:divBdr>
              <w:divsChild>
                <w:div w:id="5651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85954">
      <w:bodyDiv w:val="1"/>
      <w:marLeft w:val="0"/>
      <w:marRight w:val="0"/>
      <w:marTop w:val="0"/>
      <w:marBottom w:val="0"/>
      <w:divBdr>
        <w:top w:val="none" w:sz="0" w:space="0" w:color="auto"/>
        <w:left w:val="none" w:sz="0" w:space="0" w:color="auto"/>
        <w:bottom w:val="none" w:sz="0" w:space="0" w:color="auto"/>
        <w:right w:val="none" w:sz="0" w:space="0" w:color="auto"/>
      </w:divBdr>
    </w:div>
    <w:div w:id="284967405">
      <w:bodyDiv w:val="1"/>
      <w:marLeft w:val="0"/>
      <w:marRight w:val="0"/>
      <w:marTop w:val="0"/>
      <w:marBottom w:val="0"/>
      <w:divBdr>
        <w:top w:val="none" w:sz="0" w:space="0" w:color="auto"/>
        <w:left w:val="none" w:sz="0" w:space="0" w:color="auto"/>
        <w:bottom w:val="none" w:sz="0" w:space="0" w:color="auto"/>
        <w:right w:val="none" w:sz="0" w:space="0" w:color="auto"/>
      </w:divBdr>
    </w:div>
    <w:div w:id="401760648">
      <w:bodyDiv w:val="1"/>
      <w:marLeft w:val="0"/>
      <w:marRight w:val="0"/>
      <w:marTop w:val="0"/>
      <w:marBottom w:val="0"/>
      <w:divBdr>
        <w:top w:val="none" w:sz="0" w:space="0" w:color="auto"/>
        <w:left w:val="none" w:sz="0" w:space="0" w:color="auto"/>
        <w:bottom w:val="none" w:sz="0" w:space="0" w:color="auto"/>
        <w:right w:val="none" w:sz="0" w:space="0" w:color="auto"/>
      </w:divBdr>
    </w:div>
    <w:div w:id="848183352">
      <w:bodyDiv w:val="1"/>
      <w:marLeft w:val="0"/>
      <w:marRight w:val="0"/>
      <w:marTop w:val="0"/>
      <w:marBottom w:val="0"/>
      <w:divBdr>
        <w:top w:val="none" w:sz="0" w:space="0" w:color="auto"/>
        <w:left w:val="none" w:sz="0" w:space="0" w:color="auto"/>
        <w:bottom w:val="none" w:sz="0" w:space="0" w:color="auto"/>
        <w:right w:val="none" w:sz="0" w:space="0" w:color="auto"/>
      </w:divBdr>
    </w:div>
    <w:div w:id="1163398359">
      <w:bodyDiv w:val="1"/>
      <w:marLeft w:val="0"/>
      <w:marRight w:val="0"/>
      <w:marTop w:val="0"/>
      <w:marBottom w:val="0"/>
      <w:divBdr>
        <w:top w:val="none" w:sz="0" w:space="0" w:color="auto"/>
        <w:left w:val="none" w:sz="0" w:space="0" w:color="auto"/>
        <w:bottom w:val="none" w:sz="0" w:space="0" w:color="auto"/>
        <w:right w:val="none" w:sz="0" w:space="0" w:color="auto"/>
      </w:divBdr>
    </w:div>
    <w:div w:id="1550146973">
      <w:bodyDiv w:val="1"/>
      <w:marLeft w:val="0"/>
      <w:marRight w:val="0"/>
      <w:marTop w:val="0"/>
      <w:marBottom w:val="0"/>
      <w:divBdr>
        <w:top w:val="none" w:sz="0" w:space="0" w:color="auto"/>
        <w:left w:val="none" w:sz="0" w:space="0" w:color="auto"/>
        <w:bottom w:val="none" w:sz="0" w:space="0" w:color="auto"/>
        <w:right w:val="none" w:sz="0" w:space="0" w:color="auto"/>
      </w:divBdr>
    </w:div>
    <w:div w:id="20591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1E654-8763-4586-9A15-D2DB7CB6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5192</Words>
  <Characters>29598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Beckmann, Allan - EBSA</cp:lastModifiedBy>
  <cp:revision>6</cp:revision>
  <cp:lastPrinted>2016-02-29T16:42:00Z</cp:lastPrinted>
  <dcterms:created xsi:type="dcterms:W3CDTF">2016-04-01T18:26:00Z</dcterms:created>
  <dcterms:modified xsi:type="dcterms:W3CDTF">2016-04-05T14:56:00Z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