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103" w:rsidRPr="009F74C5" w:rsidRDefault="00D70103" w:rsidP="00D70103">
      <w:pPr>
        <w:spacing w:after="0" w:line="240" w:lineRule="auto"/>
        <w:outlineLvl w:val="2"/>
        <w:rPr>
          <w:rFonts w:ascii="Times New Roman" w:eastAsia="Times New Roman" w:hAnsi="Times New Roman" w:cs="Times New Roman"/>
          <w:b/>
          <w:bCs/>
          <w:caps/>
          <w:sz w:val="27"/>
          <w:szCs w:val="27"/>
        </w:rPr>
      </w:pPr>
      <w:r w:rsidRPr="009F74C5">
        <w:rPr>
          <w:rFonts w:ascii="Times New Roman" w:eastAsia="Times New Roman" w:hAnsi="Times New Roman" w:cs="Times New Roman"/>
          <w:b/>
          <w:bCs/>
          <w:caps/>
          <w:sz w:val="27"/>
          <w:szCs w:val="27"/>
        </w:rPr>
        <w:t>Electronic Code of Federal Regulations</w:t>
      </w:r>
    </w:p>
    <w:p w:rsidR="00D70103" w:rsidRDefault="00D70103" w:rsidP="00D70103">
      <w:pPr>
        <w:spacing w:after="0" w:line="240" w:lineRule="auto"/>
        <w:jc w:val="center"/>
        <w:rPr>
          <w:rFonts w:ascii="Arial" w:eastAsia="Times New Roman" w:hAnsi="Arial" w:cs="Arial"/>
          <w:sz w:val="20"/>
          <w:szCs w:val="20"/>
        </w:rPr>
      </w:pPr>
    </w:p>
    <w:p w:rsidR="00FF12AA" w:rsidRDefault="00FF12AA" w:rsidP="00BB082E">
      <w:pPr>
        <w:spacing w:after="0" w:line="240" w:lineRule="auto"/>
        <w:rPr>
          <w:rFonts w:ascii="Arial" w:eastAsia="Times New Roman" w:hAnsi="Arial" w:cs="Arial"/>
          <w:sz w:val="20"/>
          <w:szCs w:val="20"/>
        </w:rPr>
      </w:pPr>
      <w:bookmarkStart w:id="0" w:name="_GoBack"/>
      <w:r w:rsidRPr="009F74C5">
        <w:rPr>
          <w:rFonts w:ascii="Arial" w:eastAsia="Times New Roman" w:hAnsi="Arial" w:cs="Arial"/>
          <w:b/>
          <w:bCs/>
          <w:color w:val="FF0000"/>
          <w:sz w:val="27"/>
          <w:szCs w:val="27"/>
        </w:rPr>
        <w:t>e-CFR data is current as of June 5, 2015</w:t>
      </w:r>
    </w:p>
    <w:bookmarkEnd w:id="0"/>
    <w:p w:rsidR="00FF12AA" w:rsidRPr="009F74C5" w:rsidRDefault="00FF12AA" w:rsidP="00D70103">
      <w:pPr>
        <w:spacing w:after="0" w:line="240" w:lineRule="auto"/>
        <w:jc w:val="center"/>
        <w:rPr>
          <w:rFonts w:ascii="Arial" w:eastAsia="Times New Roman" w:hAnsi="Arial" w:cs="Arial"/>
          <w:vanish/>
          <w:sz w:val="20"/>
          <w:szCs w:val="20"/>
        </w:rPr>
      </w:pPr>
    </w:p>
    <w:p w:rsidR="00FF12AA" w:rsidRPr="009F74C5" w:rsidRDefault="00FF12AA" w:rsidP="00D70103">
      <w:pPr>
        <w:spacing w:before="200" w:after="100" w:afterAutospacing="1" w:line="240" w:lineRule="auto"/>
        <w:rPr>
          <w:rFonts w:ascii="Arial" w:eastAsia="Times New Roman" w:hAnsi="Arial" w:cs="Arial"/>
          <w:sz w:val="20"/>
          <w:szCs w:val="20"/>
        </w:rPr>
      </w:pPr>
      <w:hyperlink r:id="rId8" w:history="1">
        <w:r w:rsidRPr="00FF12AA">
          <w:rPr>
            <w:rFonts w:ascii="Arial" w:eastAsia="Times New Roman" w:hAnsi="Arial" w:cs="Arial"/>
            <w:color w:val="0000FF"/>
            <w:sz w:val="17"/>
            <w:szCs w:val="17"/>
            <w:u w:val="single"/>
          </w:rPr>
          <w:t>Title 29</w:t>
        </w:r>
      </w:hyperlink>
      <w:hyperlink r:id="rId9" w:tooltip="find government publications with gpo's federal digital system" w:history="1">
        <w:r w:rsidRPr="00FF12AA">
          <w:rPr>
            <w:rFonts w:ascii="Arial" w:eastAsia="Times New Roman" w:hAnsi="Arial" w:cs="Arial"/>
            <w:color w:val="990033"/>
            <w:sz w:val="17"/>
            <w:szCs w:val="17"/>
            <w:u w:val="single"/>
          </w:rPr>
          <w:t xml:space="preserve">FDsys: </w:t>
        </w:r>
        <w:r w:rsidRPr="00FF12AA">
          <w:rPr>
            <w:rFonts w:ascii="Arial" w:eastAsia="Times New Roman" w:hAnsi="Arial" w:cs="Arial"/>
            <w:color w:val="990033"/>
            <w:sz w:val="17"/>
            <w:szCs w:val="17"/>
            <w:u w:val="single"/>
          </w:rPr>
          <w:br/>
          <w:t>GPO's Federal Digital System</w:t>
        </w:r>
        <w:r w:rsidRPr="009F74C5">
          <w:rPr>
            <w:rFonts w:ascii="Arial" w:eastAsia="Times New Roman" w:hAnsi="Arial" w:cs="Arial"/>
            <w:color w:val="990033"/>
            <w:sz w:val="17"/>
            <w:szCs w:val="17"/>
          </w:rPr>
          <w:t xml:space="preserve"> </w:t>
        </w:r>
      </w:hyperlink>
      <w:r w:rsidRPr="009F74C5">
        <w:rPr>
          <w:rFonts w:ascii="Arial" w:eastAsia="Times New Roman" w:hAnsi="Arial" w:cs="Arial"/>
          <w:sz w:val="20"/>
          <w:szCs w:val="20"/>
        </w:rPr>
        <w:t xml:space="preserve"> → </w:t>
      </w:r>
      <w:hyperlink r:id="rId10" w:history="1">
        <w:r w:rsidRPr="009F74C5">
          <w:rPr>
            <w:rFonts w:ascii="Arial" w:eastAsia="Times New Roman" w:hAnsi="Arial" w:cs="Arial"/>
            <w:color w:val="0000FF"/>
            <w:sz w:val="17"/>
            <w:szCs w:val="17"/>
          </w:rPr>
          <w:t>Subtitle B</w:t>
        </w:r>
      </w:hyperlink>
      <w:r w:rsidRPr="009F74C5">
        <w:rPr>
          <w:rFonts w:ascii="Arial" w:eastAsia="Times New Roman" w:hAnsi="Arial" w:cs="Arial"/>
          <w:sz w:val="20"/>
          <w:szCs w:val="20"/>
        </w:rPr>
        <w:t xml:space="preserve"> → </w:t>
      </w:r>
      <w:hyperlink r:id="rId11" w:history="1">
        <w:r w:rsidRPr="009F74C5">
          <w:rPr>
            <w:rFonts w:ascii="Arial" w:eastAsia="Times New Roman" w:hAnsi="Arial" w:cs="Arial"/>
            <w:color w:val="0000FF"/>
            <w:sz w:val="17"/>
            <w:szCs w:val="17"/>
          </w:rPr>
          <w:t>Chapter XVII</w:t>
        </w:r>
      </w:hyperlink>
      <w:r w:rsidRPr="009F74C5">
        <w:rPr>
          <w:rFonts w:ascii="Arial" w:eastAsia="Times New Roman" w:hAnsi="Arial" w:cs="Arial"/>
          <w:sz w:val="20"/>
          <w:szCs w:val="20"/>
        </w:rPr>
        <w:t xml:space="preserve"> → Part 1926</w:t>
      </w:r>
    </w:p>
    <w:p w:rsidR="00D70103" w:rsidRPr="009F74C5" w:rsidRDefault="00D70103" w:rsidP="00D70103">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 xml:space="preserve">Title 29: Labor </w:t>
      </w:r>
    </w:p>
    <w:p w:rsidR="00D70103" w:rsidRPr="009F74C5" w:rsidRDefault="000507F6" w:rsidP="00D70103">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5" style="width:0;height:1.5pt" o:hralign="center" o:hrstd="t" o:hr="t" fillcolor="#a0a0a0" stroked="f"/>
        </w:pict>
      </w:r>
    </w:p>
    <w:p w:rsidR="00D70103" w:rsidRPr="009F74C5" w:rsidRDefault="00D70103" w:rsidP="00D70103">
      <w:pPr>
        <w:spacing w:before="200" w:after="100" w:line="240" w:lineRule="auto"/>
        <w:outlineLvl w:val="1"/>
        <w:rPr>
          <w:rFonts w:ascii="Arial" w:eastAsia="Times New Roman" w:hAnsi="Arial" w:cs="Arial"/>
          <w:b/>
          <w:bCs/>
          <w:sz w:val="20"/>
          <w:szCs w:val="20"/>
        </w:rPr>
      </w:pPr>
      <w:bookmarkStart w:id="1" w:name="_top"/>
      <w:bookmarkEnd w:id="1"/>
      <w:r w:rsidRPr="009F74C5">
        <w:rPr>
          <w:rFonts w:ascii="Arial" w:eastAsia="Times New Roman" w:hAnsi="Arial" w:cs="Arial"/>
          <w:b/>
          <w:bCs/>
          <w:sz w:val="20"/>
          <w:szCs w:val="20"/>
        </w:rPr>
        <w:t>PART 1926—SAFETY AND HEALTH REGULATIONS FOR CONSTRUCTION</w:t>
      </w:r>
    </w:p>
    <w:p w:rsidR="00D70103" w:rsidRPr="009F74C5" w:rsidRDefault="000507F6" w:rsidP="00D70103">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6" style="width:0;height:1.5pt" o:hralign="center" o:hrstd="t" o:hr="t" fillcolor="#a0a0a0" stroked="f"/>
        </w:pict>
      </w:r>
    </w:p>
    <w:p w:rsidR="00D70103" w:rsidRPr="009F74C5" w:rsidRDefault="00402AAF" w:rsidP="001D60A2">
      <w:pPr>
        <w:rPr>
          <w:rFonts w:ascii="Arial" w:eastAsia="Times New Roman" w:hAnsi="Arial" w:cs="Arial"/>
          <w:b/>
          <w:bCs/>
          <w:sz w:val="27"/>
          <w:szCs w:val="27"/>
        </w:rPr>
      </w:pPr>
      <w:bookmarkStart w:id="2" w:name="se29.8.1926_14"/>
      <w:bookmarkEnd w:id="2"/>
      <w:r>
        <w:rPr>
          <w:rFonts w:ascii="Arial" w:eastAsia="Times New Roman" w:hAnsi="Arial" w:cs="Arial"/>
          <w:b/>
          <w:bCs/>
          <w:sz w:val="27"/>
          <w:szCs w:val="27"/>
        </w:rPr>
        <w:t>S</w:t>
      </w:r>
      <w:r w:rsidR="00D70103" w:rsidRPr="009F74C5">
        <w:rPr>
          <w:rFonts w:ascii="Arial" w:eastAsia="Times New Roman" w:hAnsi="Arial" w:cs="Arial"/>
          <w:b/>
          <w:bCs/>
          <w:sz w:val="27"/>
          <w:szCs w:val="27"/>
        </w:rPr>
        <w:t>ubpart U—Blasting and the Use of Explosives</w:t>
      </w:r>
    </w:p>
    <w:p w:rsidR="00D70103" w:rsidRPr="009F74C5" w:rsidRDefault="00D70103" w:rsidP="00D70103">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Sec. 107, Contract Work Hours and Safety Standards Act (40 U.S.C. 333); secs. 4, 6, 8, Occupational Safety and Health Act of 1970 (29 U.S.C. 653, 655, 657); Secretary of Labor's Order No. 12-71 (36 FR 8754), 8-76 (41 FR 25059), 9-83 (48 FR 35736), or 6-96 (62 FR 111), as applicable; and 29 CFR part 1911. </w:t>
      </w:r>
    </w:p>
    <w:p w:rsidR="00D70103" w:rsidRPr="009F74C5" w:rsidRDefault="000507F6" w:rsidP="00D70103">
      <w:pPr>
        <w:spacing w:before="200" w:after="100" w:afterAutospacing="1" w:line="240" w:lineRule="auto"/>
        <w:rPr>
          <w:rFonts w:ascii="Arial" w:eastAsia="Times New Roman" w:hAnsi="Arial" w:cs="Arial"/>
          <w:sz w:val="20"/>
          <w:szCs w:val="20"/>
        </w:rPr>
      </w:pPr>
      <w:hyperlink r:id="rId12" w:anchor="_top" w:history="1">
        <w:r w:rsidR="00D70103">
          <w:rPr>
            <w:rFonts w:ascii="Arial" w:eastAsia="Times New Roman" w:hAnsi="Arial" w:cs="Arial"/>
            <w:noProof/>
            <w:color w:val="0000FF"/>
            <w:sz w:val="17"/>
            <w:szCs w:val="17"/>
          </w:rPr>
          <w:drawing>
            <wp:inline distT="0" distB="0" distL="0" distR="0" wp14:anchorId="417AD907" wp14:editId="20E4AAC0">
              <wp:extent cx="152400" cy="152400"/>
              <wp:effectExtent l="0" t="0" r="0" b="0"/>
              <wp:docPr id="223" name="Picture 22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D70103">
      <w:pPr>
        <w:spacing w:before="200" w:after="100" w:line="240" w:lineRule="auto"/>
        <w:outlineLvl w:val="1"/>
        <w:rPr>
          <w:rFonts w:ascii="Arial" w:eastAsia="Times New Roman" w:hAnsi="Arial" w:cs="Arial"/>
          <w:b/>
          <w:bCs/>
          <w:sz w:val="20"/>
          <w:szCs w:val="20"/>
        </w:rPr>
      </w:pPr>
      <w:bookmarkStart w:id="3" w:name="se29.8.1926_1900"/>
      <w:bookmarkEnd w:id="3"/>
      <w:r w:rsidRPr="009F74C5">
        <w:rPr>
          <w:rFonts w:ascii="Arial" w:eastAsia="Times New Roman" w:hAnsi="Arial" w:cs="Arial"/>
          <w:b/>
          <w:bCs/>
          <w:sz w:val="20"/>
          <w:szCs w:val="20"/>
        </w:rPr>
        <w:t>§1926.900   General provisions.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shall permit only authorized and qualified persons to handle and use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Smoking, firearms, matches, open flame lamps, and other fires, flame or heat producing devices and sparks shall be prohibited in or near explosive magazines or while explosives are being handled, transported or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No person shall be allowed to handle or use explosives while under the influence of intoxicating liquors, narcotics, or other dangerous drugs.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All explosives shall be accounted for at all times. Explosives not being used shall be kept in a locked magazine, unavailable to persons not authorized to handle them. The employer shall maintain an inventory and use record of all explosives. Appropriate authorities shall be notified of any loss, theft, or unauthorized entry into a magazine.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No explosives or blasting agents shall be abandoned.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No fire shall be fought where the fire is in imminent danger of contact with explosives. All employees shall be removed to a safe area and the fire area guarded against intruders.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Original containers, or Class II magazines, shall be used for taking detonators and other explosives from storage magazines to the blasting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When blasting is done in congested areas or in proximity to a structure, railway, or highway, or any other installation that may be damaged, the blaster shall take special precautions in the loading, delaying, initiation, and confinement of each blast with mats or other methods so as to control the throw of fragments, and thus prevent bodily injury to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Employees authorized to prepare explosive charges or conduct blasting operations shall use every reasonable precaution including, but not limited to, visual and audible warning signals, flags, or barricades, to ensure employee safety.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Insofar as possible, blasting operations above ground shall be conducted between sunup and sundown.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Due precautions shall be taken to prevent accidental discharge of electric blasting caps from current induced by radar, radio transmitters, lightning, adjacent powerlines, dust storms, or other sources of extraneous electricity. These precautions shall include: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Detonators shall be short-circuited in holes which have been primed and shunted until wired into the blasting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suspension of all blasting operations and removal of persons from the blasting area during the approach and progress of an electric storm;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 The prominent display of adequate signs, warning against the use of mobile radio transmitters, on all roads within 1,000 feet of blasting operations. Whenever adherence to the 1,000-foot distance would create an operational handicap, a competent person shall be consulted to evaluate the particular situation, and alternative provisions may be made which are adequately designed to prevent any premature firing of electric blasting caps. A description of any such alternatives shall be reduced to writing and shall be certified as meeting the purposes of this subdivision by the competent person consulted. The description shall be maintained at the construction site during the duration of the work, and shall be available for inspection by representatives of the Secretary of Labor.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Specimens of signs which would meet the requirements of paragraph (k)(3) of this section are the following:</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3EA14AE0" wp14:editId="4CC248DE">
            <wp:extent cx="1615440" cy="861060"/>
            <wp:effectExtent l="0" t="0" r="3810" b="0"/>
            <wp:docPr id="222" name="Picture 222" descr="eCFR graphic ec30oc91.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CFR graphic ec30oc91.04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440" cy="86106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6"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Ensuring that mobile radio transmitters which are less than 100 feet away from electric blasting caps, in other than original containers, shall be deenergized and effectively locked;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Compliance with the recommendations of The Institute of the Makers of Explosives with regard to blasting in the vicinity of radio transmitters as stipulated in Radio Frequency Energy—A Potential Hazard in the Use of Electric Blasting Caps, IME Publication No. 20, March 1971.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Empty boxes and paper and fiber packing materials, which have previously contained high explosives, shall not be used again for any purpose, but shall be destroyed by burning at an approved location.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Explosives, blasting agents, and blasting supplies that are obviously deteriorated or damaged shall not be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(n) Delivery and issue of explosives shall only be made by and to authorized persons and into authorized magazines or approved temporary storage or handling areas.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(o) Blasting operations in the proximity of overhead power lines, communication lines, utility services, or other services and structures shall not be carried on until the operators and/or owners have been notified and measures for safe control have been taken.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 The use of black powder shall be prohibited.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All loading and firing shall be directed and supervised by competent persons thoroughly experienced in this field.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(r) All blasts shall be fired electrically with an electric blasting machine or properly designed electric power source, except as provided in §1926.906 (a) and (r).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 Buildings used for the mixing of blasting agents shall conform to the requirements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Buildings shall be of noncombustible construction or sheet metal on wood studs.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Floors in a mixing plant shall be of concrete or of other nonabsorbent materials.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All fuel oil storage facilities shall be separated from the mixing plant and located in such a manner that in case of tank rupture, the oil will drain away from the mixing plant building.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building shall be well ventilated.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Heating units which do not depend on combustion processes, when properly designed and located, may be used in the building. All direct sources of heat shall be provided exclusively from units located outside the mixing building.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 Buildings used for the mixing of water gels shall conform to the requirements of this subdivision.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Buildings shall be of noncombustible construction or sheet metal on wood studs.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Floors in a mixing plant shall be of concrete or of other nonabsorbent materials.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Where fuel oil is used all fuel oil storage facilities shall be separated from the mixing plant and located in such a manner that in case of tank rupture, the oil will drain away from the mixing plant building.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building shall be well ventilated.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Heating units that do not depend on combustion processes, when properly designed and located, may be used in the building. All direct sources of heat shall be provided exclusively from units located outside of the mixing building.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(6)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58 FR 35183, June 30, 1993]</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7" w:anchor="_top" w:history="1">
        <w:r w:rsidR="00D70103">
          <w:rPr>
            <w:rFonts w:ascii="Arial" w:eastAsia="Times New Roman" w:hAnsi="Arial" w:cs="Arial"/>
            <w:noProof/>
            <w:color w:val="0000FF"/>
            <w:sz w:val="17"/>
            <w:szCs w:val="17"/>
          </w:rPr>
          <w:drawing>
            <wp:inline distT="0" distB="0" distL="0" distR="0" wp14:anchorId="54725027" wp14:editId="4079CA66">
              <wp:extent cx="152400" cy="152400"/>
              <wp:effectExtent l="0" t="0" r="0" b="0"/>
              <wp:docPr id="221" name="Picture 22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 w:name="se29.8.1926_1901"/>
      <w:bookmarkEnd w:id="4"/>
      <w:r w:rsidRPr="009F74C5">
        <w:rPr>
          <w:rFonts w:ascii="Arial" w:eastAsia="Times New Roman" w:hAnsi="Arial" w:cs="Arial"/>
          <w:b/>
          <w:bCs/>
          <w:sz w:val="20"/>
          <w:szCs w:val="20"/>
        </w:rPr>
        <w:t>§1926.901   Blaster qualifications.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blaster shall be able to understand and give written and oral orders.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blaster shall be in good physical condition and not be addicted to narcotics, intoxicants, or similar types of drugs.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blaster shall be qualified, by reason of training, knowledge, or experience, in the field of transporting, storing, handling, and use of explosives, and have a working knowledge of State and local laws and regulations which pertain to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Blasters shall be required to furnish satisfactory evidence of competency in handling explosives and performing in a safe manner the type of blasting that will be required.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blaster shall be knowledgeable and competent in the use of each type of blasting method used.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8" w:anchor="_top" w:history="1">
        <w:r w:rsidR="00D70103">
          <w:rPr>
            <w:rFonts w:ascii="Arial" w:eastAsia="Times New Roman" w:hAnsi="Arial" w:cs="Arial"/>
            <w:noProof/>
            <w:color w:val="0000FF"/>
            <w:sz w:val="17"/>
            <w:szCs w:val="17"/>
          </w:rPr>
          <w:drawing>
            <wp:inline distT="0" distB="0" distL="0" distR="0" wp14:anchorId="1B5689EB" wp14:editId="61F5AE32">
              <wp:extent cx="152400" cy="152400"/>
              <wp:effectExtent l="0" t="0" r="0" b="0"/>
              <wp:docPr id="220" name="Picture 22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5" w:name="se29.8.1926_1902"/>
      <w:bookmarkEnd w:id="5"/>
      <w:r w:rsidRPr="009F74C5">
        <w:rPr>
          <w:rFonts w:ascii="Arial" w:eastAsia="Times New Roman" w:hAnsi="Arial" w:cs="Arial"/>
          <w:b/>
          <w:bCs/>
          <w:sz w:val="20"/>
          <w:szCs w:val="20"/>
        </w:rPr>
        <w:t>§1926.902   Surface transportation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Transportation of explosives shall meet the provisions of Department of Transportation regulations contained in 46 CFR parts 146-149, Water Carriers; 49 CFR parts 171-179, Highways and Railways; 49 CFR part 195, Pipelines; and 49 CFR parts 390-397, Motor Carriers.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Motor vehicles or conveyances transporting explosives shall only be driven by, and be in the charge of, a licensed driver who is physically fit. He shall be familiar with the local, State, and Federal regulation governing the transportation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No person shall smoke, or carry matches or any other flame-producing device, nor shall firearms or loaded cartridges be carried while in or near a motor vehicle or conveyance transporting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Explosives, blasting agents, and blasting supplies shall not be transported with other materials or cargoes. Blasting caps (including electric) shall not be transported in the same vehicle with other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Vehicles used for transporting explosives shall be strong enough to carry the load without difficulty, and shall be in good mechanical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When explosives are transported by a vehicle with an open body, a Class II magazine or original manufacturer's container shall be securely mounted on the bed to contain the cargo.</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(g) All vehicles used for the transportation of explosives shall have tight floors and any exposed spark-producing metal on the inside of the body shall be covered with wood, or other nonsparking material, to prevent contact with containers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Every motor vehicle or conveyance used for transporting explosives shall be marked or placarded on both sides, the front, and the rear with the word “Explosives” in red letters, not less than 4 inches in height, on white background. In addition to such marking or placarding, the motor vehicle or conveyance may display, in such a manner that it will be readily visible from all directions, a red flag 18 inches by 30 inches, with the word “Explosives” painted, stamped, or sewed thereon, in white letters, at least 6 inches in height.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Each vehicle used for transportation of explosives shall be equipped with a fully charged fire extinguisher, in good condition. An Underwriters Laboratory-approved extinguisher of not less than 10-ABC rating will meet the minimum requirement. The driver shall be trained in the use of the extinguisher on his vehicle.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Motor vehicles or conveyances carrying explosives, blasting agents, or blasting supplies, shall not be taken inside a garage or shop for repairs or servicing.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No motor vehicle transporting explosives shall be left unattended.</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58 FR 35311, June 30, 1993]</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9" w:anchor="_top" w:history="1">
        <w:r w:rsidR="00D70103">
          <w:rPr>
            <w:rFonts w:ascii="Arial" w:eastAsia="Times New Roman" w:hAnsi="Arial" w:cs="Arial"/>
            <w:noProof/>
            <w:color w:val="0000FF"/>
            <w:sz w:val="17"/>
            <w:szCs w:val="17"/>
          </w:rPr>
          <w:drawing>
            <wp:inline distT="0" distB="0" distL="0" distR="0" wp14:anchorId="2928AC5A" wp14:editId="1868B9A9">
              <wp:extent cx="152400" cy="152400"/>
              <wp:effectExtent l="0" t="0" r="0" b="0"/>
              <wp:docPr id="219" name="Picture 21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6" w:name="se29.8.1926_1903"/>
      <w:bookmarkEnd w:id="6"/>
      <w:r w:rsidRPr="009F74C5">
        <w:rPr>
          <w:rFonts w:ascii="Arial" w:eastAsia="Times New Roman" w:hAnsi="Arial" w:cs="Arial"/>
          <w:b/>
          <w:bCs/>
          <w:sz w:val="20"/>
          <w:szCs w:val="20"/>
        </w:rPr>
        <w:t>§1926.903   Underground transportation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All explosives or blasting agents in transit underground shall be taken to the place of use or storage without delay.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quantity of explosives or blasting agents taken to an underground loading area shall not exceed the amount estimated to be necessary for the blast.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Explosives in transit shall not be left unattended.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hoist operator shall be notified before explosives or blasting agents are transported in a shaft conveyance.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Trucks used for the transportation of explosives underground shall have the electrical system checked weekly to detect any failures which may constitute an electrical hazard. A certification record which includes the date of the inspection; the signature of the person who performed the inspection; and a serial number, or other identifier, of the truck inspected shall be prepared and the most recent certification record shall be maintained on file.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installation of auxiliary lights on truck beds, which are powered by the truck's electrical system, shall be prohibited.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Explosives and blasting agents shall be hoisted, lowered, or conveyed in a powder car. No other materials, supplies, or equipment shall be transported in the same conveyance at the same time.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No one, except the operator, his helper, and the powderman, shall be permitted to ride on a conveyance transporting explosives and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No person shall ride in any shaft conveyance transporting explosives and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No explosives or blasting agents shall be transported on any locomotive. At least two car lengths shall separate the locomotive from the powder car.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No explosives or blasting agents shall be transported on a man haul trip.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The car or conveyance containing explosives or blasting agents shall be pulled, not pushed, whenever possible.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The powder car or conveyance especially built for the purpose of transporting explosives or blasting agents shall bear a reflectorized sign on each side with the word “Explosives” in letters, not less than 4 inches in height; upon a background of sharply contrasting color.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Compartments for transporting detonators and explosives in the same car or conveyance shall be physically separated by a distance of 24 inches or by a solid partition at least 6 inches thick.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(o) Detonators and other explosives shall not be transported at the same time in any shaft conveyance.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 Explosives, blasting agents, or blasting supplies shall not be transported with other materials.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Explosives or blasting agents, not in original containers, shall be placed in a suitable container when transported manually.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(r) Detonators, primers, and other explosives shall be carried in separate containers when transported manually.</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52 FR 36382, Sept. 28, 1987]</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0" w:anchor="_top" w:history="1">
        <w:r w:rsidR="00D70103">
          <w:rPr>
            <w:rFonts w:ascii="Arial" w:eastAsia="Times New Roman" w:hAnsi="Arial" w:cs="Arial"/>
            <w:noProof/>
            <w:color w:val="0000FF"/>
            <w:sz w:val="17"/>
            <w:szCs w:val="17"/>
          </w:rPr>
          <w:drawing>
            <wp:inline distT="0" distB="0" distL="0" distR="0" wp14:anchorId="04A74E62" wp14:editId="2176ABBE">
              <wp:extent cx="152400" cy="152400"/>
              <wp:effectExtent l="0" t="0" r="0" b="0"/>
              <wp:docPr id="218" name="Picture 21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7" w:name="se29.8.1926_1904"/>
      <w:bookmarkEnd w:id="7"/>
      <w:r w:rsidRPr="009F74C5">
        <w:rPr>
          <w:rFonts w:ascii="Arial" w:eastAsia="Times New Roman" w:hAnsi="Arial" w:cs="Arial"/>
          <w:b/>
          <w:bCs/>
          <w:sz w:val="20"/>
          <w:szCs w:val="20"/>
        </w:rPr>
        <w:t>§1926.904   Storage of explosives and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Explosives and related materials shall be stored in approved facilities required under the applicable provisions of the Bureau of Alcohol, Tobacco and Firearms regulations contained in 27 CFR part 55, Commerce in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Blasting caps, electric blasting caps, detonating primers, and primed cartridges shall not be stored in the same magazine with other explosives or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Smoking and open flames shall not be permitted within 50 feet of explosives and detonator storage magazine.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No explosives or blasting agents shall be permanently stored in any underground operation until the operation has been developed to the point where at least two modes of exit have been provided.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Permanent underground storage magazines shall be at least 300 feet from any shaft, adit, or active underground working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Permanent underground magazines containing detonators shall not be located closer than 50 feet to any magazine containing other explosives or blasting agents.</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lastRenderedPageBreak/>
        <w:t>[44 FR 8577, Feb. 9, 1979; 44 FR 20940, Apr. 6, 1979, as amended at 58 FR 35311, June 30, 1993]</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1" w:anchor="_top" w:history="1">
        <w:r w:rsidR="00D70103">
          <w:rPr>
            <w:rFonts w:ascii="Arial" w:eastAsia="Times New Roman" w:hAnsi="Arial" w:cs="Arial"/>
            <w:noProof/>
            <w:color w:val="0000FF"/>
            <w:sz w:val="17"/>
            <w:szCs w:val="17"/>
          </w:rPr>
          <w:drawing>
            <wp:inline distT="0" distB="0" distL="0" distR="0" wp14:anchorId="60A75CF5" wp14:editId="0FA6010B">
              <wp:extent cx="152400" cy="152400"/>
              <wp:effectExtent l="0" t="0" r="0" b="0"/>
              <wp:docPr id="217" name="Picture 21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8" w:name="se29.8.1926_1905"/>
      <w:bookmarkEnd w:id="8"/>
      <w:r w:rsidRPr="009F74C5">
        <w:rPr>
          <w:rFonts w:ascii="Arial" w:eastAsia="Times New Roman" w:hAnsi="Arial" w:cs="Arial"/>
          <w:b/>
          <w:bCs/>
          <w:sz w:val="20"/>
          <w:szCs w:val="20"/>
        </w:rPr>
        <w:t>§1926.905   Loading of explosives or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Procedures that permit safe and efficient loading shall be established before loading is started.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All drill holes shall be sufficiently large to admit freely the insertion of the cartridges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Tamping shall be done only with wood rods or plastic tamping poles without exposed metal parts, but nonsparking metal connectors may be used for jointed poles. Violent tamping shall be avoided. The primer shall never be tamped.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No holes shall be loaded except those to be fired in the next round of blasting. After loading, all remaining explosives and detonators shall be immediately returned to an authorized magazine.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Drilling shall not be started until all remaining butts of old holes are examined for unexploded charges, and if any are found, they shall be refired before work proceeds.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No person shall be allowed to deepen drill holes which have contained explosives or blasting agents.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No explosives or blasting agents shall be left unattended at the blast site.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Machines and all tools not used for loading explosives into bore holes shall be removed from the immediate location of holes before explosives are delivered. Equipment shall not be operated within 50 feet of loaded holes.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No activity of any nature other than that which is required for loading holes with explosives shall be permitted in a blast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Powerlines and portable electric cables for equipment being used shall be kept a safe distance from explosives or blasting agents being loaded into drill holes. Cables in the proximity of the blast area shall be deenergized and locked out by the blaster.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Holes shall be checked prior to loading to determine depth and conditions. Where a hole has been loaded with explosives but the explosives have failed to detonate, there shall be no drilling within 50 feet of the hole.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When loading a long line of holes with more than one loading crew, the crews shall be separated by practical distance consistent with efficient operation and supervision of crews.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No explosive shall be loaded or used underground in the presence of combustible gases or combustible dusts.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No explosives other than those in Fume Class 1, as set forth by the Institute of Makers of Explosives, shall be used; however, explosives complying with the requirements of Fume Class 2 and Fume Class 3 may be used if adequate ventilation has been provided.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(o) All blast holes in open work shall be stemmed to the collar or to a point which will confine the charge.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(p) Warning signs, indicating a blast area, shall be maintained at all approaches to the blast area. The warning sign lettering shall not be less than 4 inches in height on a contrasting background.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A bore hole shall never be sprung when it is adjacent to or near a hole that is loaded. Flashlight batteries shall not be used for springing holes.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(r) Drill holes which have been sprung or chambered, and which are not water-filled, shall be allowed to cool before explosives are loaded.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 No loaded holes shall be left unattended or unprotected.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 The blaster shall keep an accurate, up-to-date record of explosives, blasting agents, and blasting supplies used in a blast and shall keep an accurate running inventory of all explosives and blasting agents stored on the operation.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(u) When loading blasting agents pneumatically over electric blasting caps, semiconductive delivery hose shall be used and the equipment shall be bonded and grounded.</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58 FR 35184, June 30, 1993]</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2" w:anchor="_top" w:history="1">
        <w:r w:rsidR="00D70103">
          <w:rPr>
            <w:rFonts w:ascii="Arial" w:eastAsia="Times New Roman" w:hAnsi="Arial" w:cs="Arial"/>
            <w:noProof/>
            <w:color w:val="0000FF"/>
            <w:sz w:val="17"/>
            <w:szCs w:val="17"/>
          </w:rPr>
          <w:drawing>
            <wp:inline distT="0" distB="0" distL="0" distR="0" wp14:anchorId="6E82B4E5" wp14:editId="2762B459">
              <wp:extent cx="152400" cy="152400"/>
              <wp:effectExtent l="0" t="0" r="0" b="0"/>
              <wp:docPr id="216" name="Picture 21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9" w:name="se29.8.1926_1906"/>
      <w:bookmarkEnd w:id="9"/>
      <w:r w:rsidRPr="009F74C5">
        <w:rPr>
          <w:rFonts w:ascii="Arial" w:eastAsia="Times New Roman" w:hAnsi="Arial" w:cs="Arial"/>
          <w:b/>
          <w:bCs/>
          <w:sz w:val="20"/>
          <w:szCs w:val="20"/>
        </w:rPr>
        <w:t>§1926.906   Initiation of explosive charges—electric blasting.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Electric blasting caps shall not be used where sources of extraneous electricity make the use of electric blasting caps dangerous. Blasting cap leg wires shall be kept short-circuited (shunted) until they are connected into the circuit for firing.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Before adopting any system of electrical firing, the blaster shall conduct a thorough survey for extraneous currents, and all dangerous currents shall be eliminated before any holes are loaded.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In any single blast using electric blasting caps, all caps shall be of the same style or function, and of the same manufacture.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Electric blasting shall be carried out by using blasting circuits or power circuits in accordance with the electric blasting cap manufacturer's recommendations, or an approved contractor or his designated representative.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When firing a circuit of electric blasting caps, care must be exercised to ensure that an adequate quantity of delivered current is available, in accordance with the manufacturer's recommendations.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Connecting wires and lead wires shall be insulated single solid wires of sufficient current-carrying capacity.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Bus wires shall be solid single wires of sufficient current-carrying capacity.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When firing electrically, the insulation on all firing lines shall be adequate and in good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power circuit used for firing electric blasting caps shall not be grounded.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(j) In underground operations when firing from a power circuit, a safety switch shall be placed in the permanent firing line at intervals. This switch shall be made so it can be locked only in the “Off” position and shall be provided with a short-circuiting arrangement of the firing lines to the cap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In underground operations there shall be a “lightning” gap of at least 5 feet in the firing system ahead of the main firing switch; that is, between this switch and the source of power. This gap shall be bridged by a flexible jumper cord just before firing the blast.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When firing from a power circuit, the firing switch shall be locked in the open or “Off” position at all times, except when firing. It shall be so designed that the firing lines to the cap circuit are automatically short-circuited when the switch is in the “Off” position. Keys to this switch shall be entrusted only to the blaster.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Blasting machines shall be in good condition and the efficiency of the machine shall be tested periodically to make certain that it can deliver power at its rated capacity.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When firing with blasting machines, the connections shall be made as recommended by the manufacturer of the electric blasting caps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(o) The number of electric blasting caps connected to a blasting machine shall not be in excess of its rated capacity. Furthermore, in primary blasting, a series circuit shall contain no more caps than the limits recommended by the manufacturer of the electric blasting caps in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 The blaster shall be in charge of the blasting machines, and no other person shall connect the leading wires to the machine.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Blasters, when testing circuits to charged holes, shall use only blasting galvanometers or other instruments that are specifically designed for this purpose.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(r) Whenever the possibility exists that a leading line or blasting wire might be thrown over a live powerline by the force of an explosion, care shall be taken to see that the total length of wires are kept too short to hit the lines, or that the wires are securely anchored to the ground. If neither of these requirements can be satisfied, a nonelectric system shall be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 In electrical firing, only the man making leading wire connections shall fire the shot. All connections shall be made from the bore hole back to the source of firing current, and the leading wires shall remain shorted and not be connected to the blasting machine or other source of current until the charge is to be fired.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 After firing an electric blast from a blasting machine, the leading wires shall be immediately disconnected from the machine and short-circuited.</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63 FR 33469, June 18, 1998]</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3" w:anchor="_top" w:history="1">
        <w:r w:rsidR="00D70103">
          <w:rPr>
            <w:rFonts w:ascii="Arial" w:eastAsia="Times New Roman" w:hAnsi="Arial" w:cs="Arial"/>
            <w:noProof/>
            <w:color w:val="0000FF"/>
            <w:sz w:val="17"/>
            <w:szCs w:val="17"/>
          </w:rPr>
          <w:drawing>
            <wp:inline distT="0" distB="0" distL="0" distR="0" wp14:anchorId="10AD7740" wp14:editId="69C49F93">
              <wp:extent cx="152400" cy="152400"/>
              <wp:effectExtent l="0" t="0" r="0" b="0"/>
              <wp:docPr id="215" name="Picture 21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0" w:name="se29.8.1926_1907"/>
      <w:bookmarkEnd w:id="10"/>
      <w:r w:rsidRPr="009F74C5">
        <w:rPr>
          <w:rFonts w:ascii="Arial" w:eastAsia="Times New Roman" w:hAnsi="Arial" w:cs="Arial"/>
          <w:b/>
          <w:bCs/>
          <w:sz w:val="20"/>
          <w:szCs w:val="20"/>
        </w:rPr>
        <w:t>§1926.907   Use of safety fuse.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Safety fuse shall only be used where sources of extraneous electricity make the use of electric blasting caps dangerous. The use of a fuse that has been hammered or injured in any way shall be forbidden.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The hanging of a fuse on nails or other projections which will cause a sharp bend to be formed in the fuse is prohibited.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Before capping safety fuse, a short length shall be cut from the end of the supply reel so as to assure a fresh cut end in each blasting cap.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Only a cap crimper of approved design shall be used for attaching blasting caps to safety fuse. Crimpers shall be kept in good repair and accessible for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No unused cap or short capped fuse shall be placed in any hole to be blasted; such unused detonators shall be removed from the working place and destroyed.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No fuse shall be capped, or primers made up, in any magazine or near any possible source of ignition.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No one shall be permitted to carry detonators or primers of any kind on his person.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The minimum length of safety fuse to be used in blasting shall be as required by State law, but shall not be less than 30 inches.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At least two men shall be present when multiple cap and fuse blasting is done by hand lighting methods.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Not more than 12 fuses shall be lighted by each blaster when hand lighting devices are used. However, when two or more safety fuses in a group are lighted as one by means of igniter cord, or other similar fuse-lighting devices, they may be considered as one fuse.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The so-called “drop fuse” method of dropping or pushing a primer or any explosive with a lighted fuse attached is forbidden.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Cap and fuse shall not be used for firing mudcap charges unless charges are separated sufficiently to prevent one charge from dislodging other shots in the blast.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When blasting with safety fuses, consideration shall be given to the length and burning rate of the fuse. Sufficient time, with a margin of safety, shall always be provided for the blaster to reach a place of safety.</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4" w:anchor="_top" w:history="1">
        <w:r w:rsidR="00D70103">
          <w:rPr>
            <w:rFonts w:ascii="Arial" w:eastAsia="Times New Roman" w:hAnsi="Arial" w:cs="Arial"/>
            <w:noProof/>
            <w:color w:val="0000FF"/>
            <w:sz w:val="17"/>
            <w:szCs w:val="17"/>
          </w:rPr>
          <w:drawing>
            <wp:inline distT="0" distB="0" distL="0" distR="0" wp14:anchorId="372AB5A0" wp14:editId="7C869230">
              <wp:extent cx="152400" cy="152400"/>
              <wp:effectExtent l="0" t="0" r="0" b="0"/>
              <wp:docPr id="214" name="Picture 21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1" w:name="se29.8.1926_1908"/>
      <w:bookmarkEnd w:id="11"/>
      <w:r w:rsidRPr="009F74C5">
        <w:rPr>
          <w:rFonts w:ascii="Arial" w:eastAsia="Times New Roman" w:hAnsi="Arial" w:cs="Arial"/>
          <w:b/>
          <w:bCs/>
          <w:sz w:val="20"/>
          <w:szCs w:val="20"/>
        </w:rPr>
        <w:t>§1926.908   Use of detonating cord.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Care shall be taken to select a detonating cord consistent with the type and physical condition of the bore hole and stemming and the type of explosives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Detonating cord shall be handled and used with the same respect and care given other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line of detonating cord extending out of a bore hole or from a charge shall be cut from the supply spool before loading the remainder of the bore hole or placing additional charges.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Detonating cord shall be handled and used with care to avoid damaging or severing the cord during and after loading and hooking-up.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(e) Detonating cord connections shall be competent and positive in accordance with approved and recommended methods. Knot-type or other cord-to-cord connections shall be made only with detonating cord in which the explosive core is dry.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All detonating cord trunklines and branchlines shall be free of loops, sharp kinks, or angles that direct the cord back toward the oncoming line of detonation.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All detonating cord connections shall be inspected before firing the blast.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When detonating cord millisecond-delay connectors or short-interval-delay electric blasting caps are used with detonating cord, the practice shall conform strictly to the manufacturer's recommendations.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When connecting a blasting cap or an electric blasting cap to detonating cord, the cap shall be taped or otherwise attached securely along the side or the end of the detonating cord, with the end of the cap containing the explosive charge pointed in the direction in which the detonation is to proceed.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Detonators for firing the trunkline shall not be brought to the loading area nor attached to the detonating cord until everything else is in readiness for the blast.</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5" w:anchor="_top" w:history="1">
        <w:r w:rsidR="00D70103">
          <w:rPr>
            <w:rFonts w:ascii="Arial" w:eastAsia="Times New Roman" w:hAnsi="Arial" w:cs="Arial"/>
            <w:noProof/>
            <w:color w:val="0000FF"/>
            <w:sz w:val="17"/>
            <w:szCs w:val="17"/>
          </w:rPr>
          <w:drawing>
            <wp:inline distT="0" distB="0" distL="0" distR="0" wp14:anchorId="51A33E30" wp14:editId="7E958FED">
              <wp:extent cx="152400" cy="152400"/>
              <wp:effectExtent l="0" t="0" r="0" b="0"/>
              <wp:docPr id="213" name="Picture 21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2" w:name="se29.8.1926_1909"/>
      <w:bookmarkEnd w:id="12"/>
      <w:r w:rsidRPr="009F74C5">
        <w:rPr>
          <w:rFonts w:ascii="Arial" w:eastAsia="Times New Roman" w:hAnsi="Arial" w:cs="Arial"/>
          <w:b/>
          <w:bCs/>
          <w:sz w:val="20"/>
          <w:szCs w:val="20"/>
        </w:rPr>
        <w:t>§1926.909   Firing the blast.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code of blasting signals equivalent to Table U-1, shall be posted on one or more conspicuous places at the operation, and all employees shall be required to familiarize themselves with the code and conform to it. Danger signs shall be placed at suitable locations.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Before a blast is fired, a loud warning signal shall be given by the blaster in charge, who has made certain that all surplus explosives are in a safe place and all employees, vehicles, and equipment are at a safe distance, or under sufficient cover.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Flagmen shall be safely stationed on highways which pass through the danger zone so as to stop traffic during blasting operations.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It shall be the duty of the blaster to fix the time of blasting.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Before firing an underground blast, warning shall be given, and all possible entries into the blasting area, and any entrances to any working place where a drift, raise, or other opening is about to hole through, shall be carefully guarded. The blaster shall make sure that all employees are out of the blast area before firing a blast.</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Table U-1</w:t>
      </w:r>
    </w:p>
    <w:p w:rsidR="00D70103" w:rsidRPr="009F74C5" w:rsidRDefault="00D70103" w:rsidP="000507F6">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mallCaps/>
          <w:sz w:val="18"/>
          <w:szCs w:val="18"/>
        </w:rPr>
        <w:t>Warning Signal</w:t>
      </w:r>
      <w:r w:rsidRPr="009F74C5">
        <w:rPr>
          <w:rFonts w:ascii="Arial" w:eastAsia="Times New Roman" w:hAnsi="Arial" w:cs="Arial"/>
          <w:sz w:val="18"/>
          <w:szCs w:val="18"/>
        </w:rPr>
        <w:t>—A 1-minute series of long blasts 5 minutes prior to blast signal.</w:t>
      </w:r>
    </w:p>
    <w:p w:rsidR="00D70103" w:rsidRPr="009F74C5" w:rsidRDefault="00D70103" w:rsidP="000507F6">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mallCaps/>
          <w:sz w:val="18"/>
          <w:szCs w:val="18"/>
        </w:rPr>
        <w:t>Blast Signal</w:t>
      </w:r>
      <w:r w:rsidRPr="009F74C5">
        <w:rPr>
          <w:rFonts w:ascii="Arial" w:eastAsia="Times New Roman" w:hAnsi="Arial" w:cs="Arial"/>
          <w:sz w:val="18"/>
          <w:szCs w:val="18"/>
        </w:rPr>
        <w:t>—A series of short blasts 1 minute prior to the shot.</w:t>
      </w:r>
    </w:p>
    <w:p w:rsidR="00D70103" w:rsidRPr="009F74C5" w:rsidRDefault="00D70103" w:rsidP="000507F6">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mallCaps/>
          <w:sz w:val="18"/>
          <w:szCs w:val="18"/>
        </w:rPr>
        <w:t>All Clear Signal</w:t>
      </w:r>
      <w:r w:rsidRPr="009F74C5">
        <w:rPr>
          <w:rFonts w:ascii="Arial" w:eastAsia="Times New Roman" w:hAnsi="Arial" w:cs="Arial"/>
          <w:sz w:val="18"/>
          <w:szCs w:val="18"/>
        </w:rPr>
        <w:t>—A prolonged blast following the inspection of blast area.</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6" w:anchor="_top" w:history="1">
        <w:r w:rsidR="00D70103">
          <w:rPr>
            <w:rFonts w:ascii="Arial" w:eastAsia="Times New Roman" w:hAnsi="Arial" w:cs="Arial"/>
            <w:noProof/>
            <w:color w:val="0000FF"/>
            <w:sz w:val="17"/>
            <w:szCs w:val="17"/>
          </w:rPr>
          <w:drawing>
            <wp:inline distT="0" distB="0" distL="0" distR="0" wp14:anchorId="4ABF64CB" wp14:editId="2B8A9697">
              <wp:extent cx="152400" cy="152400"/>
              <wp:effectExtent l="0" t="0" r="0" b="0"/>
              <wp:docPr id="212" name="Picture 21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3" w:name="se29.8.1926_1910"/>
      <w:bookmarkEnd w:id="13"/>
      <w:r w:rsidRPr="009F74C5">
        <w:rPr>
          <w:rFonts w:ascii="Arial" w:eastAsia="Times New Roman" w:hAnsi="Arial" w:cs="Arial"/>
          <w:b/>
          <w:bCs/>
          <w:sz w:val="20"/>
          <w:szCs w:val="20"/>
        </w:rPr>
        <w:t>§1926.910   Inspection after blasting.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(a) Immediately after the blast has been fired, the firing line shall be disconnected from the blasting machine, or where power switches are used, they shall be locked open or in the off position.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Sufficient time shall be allowed, not less than 15 minutes in tunnels, for the smoke and fumes to leave the blasted area before returning to the shot. An inspection of the area and the surrounding rubble shall be made by the blaster to determine if all charges have been exploded before employees are allowed to return to the operation, and in tunnels, after the muck pile has been wetted down.</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7" w:anchor="_top" w:history="1">
        <w:r w:rsidR="00D70103">
          <w:rPr>
            <w:rFonts w:ascii="Arial" w:eastAsia="Times New Roman" w:hAnsi="Arial" w:cs="Arial"/>
            <w:noProof/>
            <w:color w:val="0000FF"/>
            <w:sz w:val="17"/>
            <w:szCs w:val="17"/>
          </w:rPr>
          <w:drawing>
            <wp:inline distT="0" distB="0" distL="0" distR="0" wp14:anchorId="7EBFE655" wp14:editId="22F45606">
              <wp:extent cx="152400" cy="152400"/>
              <wp:effectExtent l="0" t="0" r="0" b="0"/>
              <wp:docPr id="211" name="Picture 21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4" w:name="se29.8.1926_1911"/>
      <w:bookmarkEnd w:id="14"/>
      <w:r w:rsidRPr="009F74C5">
        <w:rPr>
          <w:rFonts w:ascii="Arial" w:eastAsia="Times New Roman" w:hAnsi="Arial" w:cs="Arial"/>
          <w:b/>
          <w:bCs/>
          <w:sz w:val="20"/>
          <w:szCs w:val="20"/>
        </w:rPr>
        <w:t>§1926.911   Misfires.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If a misfire is found, the blaster shall provide proper safeguards for excluding all employees from the danger zone.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No other work shall be done except that necessary to remove the hazard of the misfire and only those employees necessary to do the work shall remain in the danger zone.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No attempt shall be made to extract explosives from any charged or misfired hole; a new primer shall be put in and the hole reblasted. If refiring of the misfired hole presents a hazard, the explosives may be removed by washing out with water or, where the misfire is under water, blown out with air.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If there are any misfires while using cap and fuse, all employees shall remain away from the charge for at least 1 hour. Misfires shall be handled under the direction of the person in charge of the blasting. All wires shall be carefully traced and a search made for unexploded charges.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No drilling, digging, or picking shall be permitted until all missed holes have been detonated or the authorized representative has approved that work can proceed.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8" w:anchor="_top" w:history="1">
        <w:r w:rsidR="00D70103">
          <w:rPr>
            <w:rFonts w:ascii="Arial" w:eastAsia="Times New Roman" w:hAnsi="Arial" w:cs="Arial"/>
            <w:noProof/>
            <w:color w:val="0000FF"/>
            <w:sz w:val="17"/>
            <w:szCs w:val="17"/>
          </w:rPr>
          <w:drawing>
            <wp:inline distT="0" distB="0" distL="0" distR="0" wp14:anchorId="1294E37F" wp14:editId="74E84544">
              <wp:extent cx="152400" cy="152400"/>
              <wp:effectExtent l="0" t="0" r="0" b="0"/>
              <wp:docPr id="210" name="Picture 21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5" w:name="se29.8.1926_1912"/>
      <w:bookmarkEnd w:id="15"/>
      <w:r w:rsidRPr="009F74C5">
        <w:rPr>
          <w:rFonts w:ascii="Arial" w:eastAsia="Times New Roman" w:hAnsi="Arial" w:cs="Arial"/>
          <w:b/>
          <w:bCs/>
          <w:sz w:val="20"/>
          <w:szCs w:val="20"/>
        </w:rPr>
        <w:t>§1926.912   Underwater blasting.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blaster shall conduct all blasting operations, and no shot shall be fired without his approval.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Loading tubes and casings of dissimilar metals shall not be used because of possible electric transient currents from galvanic action of the metals and water.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Only water-resistant blasting caps and detonating cords shall be used for all marine blasting. Loading shall be done through a nonsparking metal loading tube when tube is necessary.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No blast shall be fired while any vessel under way is closer than 1,500 feet to the blasting area. Those on board vessels or craft moored or anchored within 1,500 feet shall be notified before a blast is fired.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No blast shall be fired while any swimming or diving operations are in progress in the vicinity of the blasting area. If such operations are in progress, signals and arrangements shall be agreed upon to assure that no blast shall be fired while any person is in the water.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Blasting flags shall be displayed.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(g) The storage and handling of explosives aboard vessels used in underwater blasting operations shall be according to provisions outlined herein on handling and storing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When more than one charge is placed under water, a float device shall be attached to an element of each charge in such manner that it will be released by the firing. Misfires shall be handled in accordance with the requirements of §1926.911.</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29" w:anchor="_top" w:history="1">
        <w:r w:rsidR="00D70103">
          <w:rPr>
            <w:rFonts w:ascii="Arial" w:eastAsia="Times New Roman" w:hAnsi="Arial" w:cs="Arial"/>
            <w:noProof/>
            <w:color w:val="0000FF"/>
            <w:sz w:val="17"/>
            <w:szCs w:val="17"/>
          </w:rPr>
          <w:drawing>
            <wp:inline distT="0" distB="0" distL="0" distR="0" wp14:anchorId="0DB64282" wp14:editId="242231FF">
              <wp:extent cx="152400" cy="152400"/>
              <wp:effectExtent l="0" t="0" r="0" b="0"/>
              <wp:docPr id="209" name="Picture 20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6" w:name="se29.8.1926_1913"/>
      <w:bookmarkEnd w:id="16"/>
      <w:r w:rsidRPr="009F74C5">
        <w:rPr>
          <w:rFonts w:ascii="Arial" w:eastAsia="Times New Roman" w:hAnsi="Arial" w:cs="Arial"/>
          <w:b/>
          <w:bCs/>
          <w:sz w:val="20"/>
          <w:szCs w:val="20"/>
        </w:rPr>
        <w:t>§1926.913   Blasting in excavation work under compressed air.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Detonators and explosives shall not be stored or kept in tunnels, shafts, or caissons. Detonators and explosives for each round shall be taken directly from the magazines to the blasting zone and immediately loaded. Detonators and explosives left over after loading a round shall be removed from the working chamber before the connecting wires are connected up.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When detonators or explosives are brought into an air lock, no employee except the powderman, blaster, lock tender and the employees necessary for carrying, shall be permitted to enter the air lock. No other material, supplies, or equipment shall be locked through with the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Detonators and explosives shall be taken separately into pressure working chambers.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blaster or powderman shall be responsible for the receipt, unloading, storage, and on-site transportation of explosives and detonators.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All metal pipes, rails, air locks, and steel tunnel lining shall be electrically bonded together and grounded at or near the portal or shaft, and such pipes and rails shall be cross-bonded together at not less than 1,000-foot intervals throughout the length of the tunnel. In addition, each low air supply pipe shall be grounded at its delivery end.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explosives suitable for use in wet holes shall be water-resistant and shall be Fume Class 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When tunnel excavation in rock face is approaching mixed face, and when tunnel excavation is in mixed face, blasting shall be performed with light charges and with light burden on each hole. Advance drilling shall be performed as tunnel excavation in rock face approaches mixed face, to determine the general nature and extent of rock cover and the remaining distance ahead to soft ground as excavation advances.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0" w:anchor="_top" w:history="1">
        <w:r w:rsidR="00D70103">
          <w:rPr>
            <w:rFonts w:ascii="Arial" w:eastAsia="Times New Roman" w:hAnsi="Arial" w:cs="Arial"/>
            <w:noProof/>
            <w:color w:val="0000FF"/>
            <w:sz w:val="17"/>
            <w:szCs w:val="17"/>
          </w:rPr>
          <w:drawing>
            <wp:inline distT="0" distB="0" distL="0" distR="0" wp14:anchorId="4EE4C307" wp14:editId="391AB0A5">
              <wp:extent cx="152400" cy="152400"/>
              <wp:effectExtent l="0" t="0" r="0" b="0"/>
              <wp:docPr id="208" name="Picture 20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7" w:name="se29.8.1926_1914"/>
      <w:bookmarkEnd w:id="17"/>
      <w:r w:rsidRPr="009F74C5">
        <w:rPr>
          <w:rFonts w:ascii="Arial" w:eastAsia="Times New Roman" w:hAnsi="Arial" w:cs="Arial"/>
          <w:b/>
          <w:bCs/>
          <w:sz w:val="20"/>
          <w:szCs w:val="20"/>
        </w:rPr>
        <w:t>§1926.914   Definitions applicable to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American Table of Distances</w:t>
      </w:r>
      <w:r w:rsidRPr="009F74C5">
        <w:rPr>
          <w:rFonts w:ascii="Arial" w:eastAsia="Times New Roman" w:hAnsi="Arial" w:cs="Arial"/>
          <w:sz w:val="20"/>
          <w:szCs w:val="20"/>
        </w:rPr>
        <w:t xml:space="preserve"> (also known as Quantity Distance Tables) means American Table of Distances for Storage of Explosives as revised and approved by the Institute of the Makers of Explosives, June 5, 1964.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Approved storage facility</w:t>
      </w:r>
      <w:r w:rsidRPr="009F74C5">
        <w:rPr>
          <w:rFonts w:ascii="Arial" w:eastAsia="Times New Roman" w:hAnsi="Arial" w:cs="Arial"/>
          <w:sz w:val="20"/>
          <w:szCs w:val="20"/>
        </w:rPr>
        <w:t>—A facility for the storage of explosive materials conforming to the requirements of this part and covered by a license or permit issued under authority of the Bureau of Alcohol, Tobacco and Firearms. (See 27 CFR part 55)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Blast area</w:t>
      </w:r>
      <w:r w:rsidRPr="009F74C5">
        <w:rPr>
          <w:rFonts w:ascii="Arial" w:eastAsia="Times New Roman" w:hAnsi="Arial" w:cs="Arial"/>
          <w:sz w:val="20"/>
          <w:szCs w:val="20"/>
        </w:rPr>
        <w:t>—The area in which explosives loading and blasting operations are being conducted.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(d) </w:t>
      </w:r>
      <w:r w:rsidRPr="009F74C5">
        <w:rPr>
          <w:rFonts w:ascii="Arial" w:eastAsia="Times New Roman" w:hAnsi="Arial" w:cs="Arial"/>
          <w:i/>
          <w:iCs/>
          <w:sz w:val="20"/>
          <w:szCs w:val="20"/>
        </w:rPr>
        <w:t>Blaster</w:t>
      </w:r>
      <w:r w:rsidRPr="009F74C5">
        <w:rPr>
          <w:rFonts w:ascii="Arial" w:eastAsia="Times New Roman" w:hAnsi="Arial" w:cs="Arial"/>
          <w:sz w:val="20"/>
          <w:szCs w:val="20"/>
        </w:rPr>
        <w:t>—The person or persons authorized to use explosives for blasting purposes and meeting the qualifications contained in §1926.901.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Blasting agent</w:t>
      </w:r>
      <w:r w:rsidRPr="009F74C5">
        <w:rPr>
          <w:rFonts w:ascii="Arial" w:eastAsia="Times New Roman" w:hAnsi="Arial" w:cs="Arial"/>
          <w:sz w:val="20"/>
          <w:szCs w:val="20"/>
        </w:rPr>
        <w:t>—A blasting agent is any material or mixture consisting of a fuel and oxidizer used for blasting, but not classified an explosive and in which none of the ingredients is classified as an explosive provided the furnished (mixed) product cannot be detonated with a No. 8 test blasting cap when confined. A common blasting agent presently in use is a mixture of ammonium nitrate (NH</w:t>
      </w:r>
      <w:r w:rsidRPr="009F74C5">
        <w:rPr>
          <w:rFonts w:ascii="Arial" w:eastAsia="Times New Roman" w:hAnsi="Arial" w:cs="Arial"/>
          <w:sz w:val="14"/>
          <w:szCs w:val="14"/>
          <w:vertAlign w:val="subscript"/>
        </w:rPr>
        <w:t>4</w:t>
      </w:r>
      <w:r w:rsidRPr="009F74C5">
        <w:rPr>
          <w:rFonts w:ascii="Arial" w:eastAsia="Times New Roman" w:hAnsi="Arial" w:cs="Arial"/>
          <w:sz w:val="20"/>
          <w:szCs w:val="20"/>
        </w:rPr>
        <w:t xml:space="preserve"> NO</w:t>
      </w:r>
      <w:r w:rsidRPr="009F74C5">
        <w:rPr>
          <w:rFonts w:ascii="Arial" w:eastAsia="Times New Roman" w:hAnsi="Arial" w:cs="Arial"/>
          <w:sz w:val="14"/>
          <w:szCs w:val="14"/>
          <w:vertAlign w:val="subscript"/>
        </w:rPr>
        <w:t>3</w:t>
      </w:r>
      <w:r w:rsidRPr="009F74C5">
        <w:rPr>
          <w:rFonts w:ascii="Arial" w:eastAsia="Times New Roman" w:hAnsi="Arial" w:cs="Arial"/>
          <w:sz w:val="20"/>
          <w:szCs w:val="20"/>
        </w:rPr>
        <w:t>) and carbonaceous combustibles, such as fuel oil or coal, and may either be procured, premixed and packaged from explosives companies or mixed in the field.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Blasting cap</w:t>
      </w:r>
      <w:r w:rsidRPr="009F74C5">
        <w:rPr>
          <w:rFonts w:ascii="Arial" w:eastAsia="Times New Roman" w:hAnsi="Arial" w:cs="Arial"/>
          <w:sz w:val="20"/>
          <w:szCs w:val="20"/>
        </w:rPr>
        <w:t>—A metallic tube closed at one end, containing a charge of one or more detonating compounds, and designed for and capable of detonation from the sparks or flame from a safety fuse inserted and crimped into the open end.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Block holing</w:t>
      </w:r>
      <w:r w:rsidRPr="009F74C5">
        <w:rPr>
          <w:rFonts w:ascii="Arial" w:eastAsia="Times New Roman" w:hAnsi="Arial" w:cs="Arial"/>
          <w:sz w:val="20"/>
          <w:szCs w:val="20"/>
        </w:rPr>
        <w:t>—The breaking of boulders by firing a charge of explosives that has been loaded in a drill hole.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Conveyance</w:t>
      </w:r>
      <w:r w:rsidRPr="009F74C5">
        <w:rPr>
          <w:rFonts w:ascii="Arial" w:eastAsia="Times New Roman" w:hAnsi="Arial" w:cs="Arial"/>
          <w:sz w:val="20"/>
          <w:szCs w:val="20"/>
        </w:rPr>
        <w:t>—Any unit for transporting explosives or blasting agents, including but not limited to trucks, trailers, rail cars, barges, and vessels.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Detonating cord</w:t>
      </w:r>
      <w:r w:rsidRPr="009F74C5">
        <w:rPr>
          <w:rFonts w:ascii="Arial" w:eastAsia="Times New Roman" w:hAnsi="Arial" w:cs="Arial"/>
          <w:sz w:val="20"/>
          <w:szCs w:val="20"/>
        </w:rPr>
        <w:t>—A flexible cord containing a center core of high explosives which when detonated, will have sufficient strength to detonate other cap-sensitive explosives with which it is in contact.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Detonator</w:t>
      </w:r>
      <w:r w:rsidRPr="009F74C5">
        <w:rPr>
          <w:rFonts w:ascii="Arial" w:eastAsia="Times New Roman" w:hAnsi="Arial" w:cs="Arial"/>
          <w:sz w:val="20"/>
          <w:szCs w:val="20"/>
        </w:rPr>
        <w:t>—Blasting caps, electric blasting caps, delay electric blasting caps, and nonelectric delay blasting caps.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Electric blasting cap</w:t>
      </w:r>
      <w:r w:rsidRPr="009F74C5">
        <w:rPr>
          <w:rFonts w:ascii="Arial" w:eastAsia="Times New Roman" w:hAnsi="Arial" w:cs="Arial"/>
          <w:sz w:val="20"/>
          <w:szCs w:val="20"/>
        </w:rPr>
        <w:t>—A blasting cap designed for and capable of detonation by means of an electric current.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(l) </w:t>
      </w:r>
      <w:r w:rsidRPr="009F74C5">
        <w:rPr>
          <w:rFonts w:ascii="Arial" w:eastAsia="Times New Roman" w:hAnsi="Arial" w:cs="Arial"/>
          <w:i/>
          <w:iCs/>
          <w:sz w:val="20"/>
          <w:szCs w:val="20"/>
        </w:rPr>
        <w:t>Electric blasting circuitry</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Bus wire. An expendable wire, used in parallel or series, in parallel circuits, to which are connected the leg wires of electric blasting caps.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Connecting wire. An insulated expendable wire used between electric blasting caps and the leading wires or between the bus wire and the leading wires.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Leading wire. An insulated wire used between the electric power source and the electric blasting cap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Permanent blasting wire. A permanently mounted insulated wire used between the electric power source and the electric blasting cap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Electric delay blasting caps</w:t>
      </w:r>
      <w:r w:rsidRPr="009F74C5">
        <w:rPr>
          <w:rFonts w:ascii="Arial" w:eastAsia="Times New Roman" w:hAnsi="Arial" w:cs="Arial"/>
          <w:sz w:val="20"/>
          <w:szCs w:val="20"/>
        </w:rPr>
        <w:t>—Caps designed to detonate at a predetermined period of time after energy is applied to the ignition system.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Explosives</w:t>
      </w:r>
      <w:r w:rsidRPr="009F74C5">
        <w:rPr>
          <w:rFonts w:ascii="Arial" w:eastAsia="Times New Roman" w:hAnsi="Arial" w:cs="Arial"/>
          <w:sz w:val="20"/>
          <w:szCs w:val="20"/>
        </w:rPr>
        <w:t>—(1) Any chemical compound, mixture, or device, the primary or common purpose of which is to function by explosion; that is, with substantially instantaneous release of gas and heat, unless such compound, mixture or device is otherwise specifically classified by the U.S. Department of Transportation.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All material which is classified as Class A, Class B, and Class C Explosives by the U.S. Department of Transportation.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Classification of explosives by the U.S. Department of Transportation is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Class A Explosives.</w:t>
      </w:r>
      <w:r w:rsidRPr="009F74C5">
        <w:rPr>
          <w:rFonts w:ascii="Arial" w:eastAsia="Times New Roman" w:hAnsi="Arial" w:cs="Arial"/>
          <w:sz w:val="18"/>
          <w:szCs w:val="18"/>
        </w:rPr>
        <w:t xml:space="preserve"> Possessing detonating hazard, such as dynamite, nitroglycerin, picric acid, lead azide, fulminate of mercury, black powder, blasting caps, and detonating primers.</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Class B Explosives.</w:t>
      </w:r>
      <w:r w:rsidRPr="009F74C5">
        <w:rPr>
          <w:rFonts w:ascii="Arial" w:eastAsia="Times New Roman" w:hAnsi="Arial" w:cs="Arial"/>
          <w:sz w:val="18"/>
          <w:szCs w:val="18"/>
        </w:rPr>
        <w:t xml:space="preserve"> Possessing flammable hazard, such as propellant explosives, including some smokeless propellants.</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Class C Explosives.</w:t>
      </w:r>
      <w:r w:rsidRPr="009F74C5">
        <w:rPr>
          <w:rFonts w:ascii="Arial" w:eastAsia="Times New Roman" w:hAnsi="Arial" w:cs="Arial"/>
          <w:sz w:val="18"/>
          <w:szCs w:val="18"/>
        </w:rPr>
        <w:t xml:space="preserve"> Include certain types of manufactured articles which contain Class A or Class B explosives, or both, as components, but in restricted quantities.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Fuse lighters</w:t>
      </w:r>
      <w:r w:rsidRPr="009F74C5">
        <w:rPr>
          <w:rFonts w:ascii="Arial" w:eastAsia="Times New Roman" w:hAnsi="Arial" w:cs="Arial"/>
          <w:sz w:val="20"/>
          <w:szCs w:val="20"/>
        </w:rPr>
        <w:t>—Special devices for the purpose of igniting safety fuse.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(p) </w:t>
      </w:r>
      <w:r w:rsidRPr="009F74C5">
        <w:rPr>
          <w:rFonts w:ascii="Arial" w:eastAsia="Times New Roman" w:hAnsi="Arial" w:cs="Arial"/>
          <w:i/>
          <w:iCs/>
          <w:sz w:val="20"/>
          <w:szCs w:val="20"/>
        </w:rPr>
        <w:t>Magazine</w:t>
      </w:r>
      <w:r w:rsidRPr="009F74C5">
        <w:rPr>
          <w:rFonts w:ascii="Arial" w:eastAsia="Times New Roman" w:hAnsi="Arial" w:cs="Arial"/>
          <w:sz w:val="20"/>
          <w:szCs w:val="20"/>
        </w:rPr>
        <w:t>—Any building or structure, other than an explosives manufacturing building, used for the storage of explosives.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(q) </w:t>
      </w:r>
      <w:r w:rsidRPr="009F74C5">
        <w:rPr>
          <w:rFonts w:ascii="Arial" w:eastAsia="Times New Roman" w:hAnsi="Arial" w:cs="Arial"/>
          <w:i/>
          <w:iCs/>
          <w:sz w:val="20"/>
          <w:szCs w:val="20"/>
        </w:rPr>
        <w:t>Misfire</w:t>
      </w:r>
      <w:r w:rsidRPr="009F74C5">
        <w:rPr>
          <w:rFonts w:ascii="Arial" w:eastAsia="Times New Roman" w:hAnsi="Arial" w:cs="Arial"/>
          <w:sz w:val="20"/>
          <w:szCs w:val="20"/>
        </w:rPr>
        <w:t>—An explosive charge which failed to detonate.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(r) </w:t>
      </w:r>
      <w:r w:rsidRPr="009F74C5">
        <w:rPr>
          <w:rFonts w:ascii="Arial" w:eastAsia="Times New Roman" w:hAnsi="Arial" w:cs="Arial"/>
          <w:i/>
          <w:iCs/>
          <w:sz w:val="20"/>
          <w:szCs w:val="20"/>
        </w:rPr>
        <w:t>Mud-capping</w:t>
      </w:r>
      <w:r w:rsidRPr="009F74C5">
        <w:rPr>
          <w:rFonts w:ascii="Arial" w:eastAsia="Times New Roman" w:hAnsi="Arial" w:cs="Arial"/>
          <w:sz w:val="20"/>
          <w:szCs w:val="20"/>
        </w:rPr>
        <w:t xml:space="preserve"> (sometimes known as bulldozing, adobe blasting, or dobying). The blasting of boulders by placing a quantity of explosives against a rock, boulder, or other object without confining the explosives in a drill hole.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(s) </w:t>
      </w:r>
      <w:r w:rsidRPr="009F74C5">
        <w:rPr>
          <w:rFonts w:ascii="Arial" w:eastAsia="Times New Roman" w:hAnsi="Arial" w:cs="Arial"/>
          <w:i/>
          <w:iCs/>
          <w:sz w:val="20"/>
          <w:szCs w:val="20"/>
        </w:rPr>
        <w:t>Nonelectric delay blasting cap</w:t>
      </w:r>
      <w:r w:rsidRPr="009F74C5">
        <w:rPr>
          <w:rFonts w:ascii="Arial" w:eastAsia="Times New Roman" w:hAnsi="Arial" w:cs="Arial"/>
          <w:sz w:val="20"/>
          <w:szCs w:val="20"/>
        </w:rPr>
        <w:t>—A blasting cap with an integral delay element in conjunction with and capable of being detonated by a detonation impulse or signal from miniaturized detonating cord.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(t) </w:t>
      </w:r>
      <w:r w:rsidRPr="009F74C5">
        <w:rPr>
          <w:rFonts w:ascii="Arial" w:eastAsia="Times New Roman" w:hAnsi="Arial" w:cs="Arial"/>
          <w:i/>
          <w:iCs/>
          <w:sz w:val="20"/>
          <w:szCs w:val="20"/>
        </w:rPr>
        <w:t>Primary blasting</w:t>
      </w:r>
      <w:r w:rsidRPr="009F74C5">
        <w:rPr>
          <w:rFonts w:ascii="Arial" w:eastAsia="Times New Roman" w:hAnsi="Arial" w:cs="Arial"/>
          <w:sz w:val="20"/>
          <w:szCs w:val="20"/>
        </w:rPr>
        <w:t>—The blasting operation by which the original rock formation is dislodged from its natural location.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(u) </w:t>
      </w:r>
      <w:r w:rsidRPr="009F74C5">
        <w:rPr>
          <w:rFonts w:ascii="Arial" w:eastAsia="Times New Roman" w:hAnsi="Arial" w:cs="Arial"/>
          <w:i/>
          <w:iCs/>
          <w:sz w:val="20"/>
          <w:szCs w:val="20"/>
        </w:rPr>
        <w:t>Primer</w:t>
      </w:r>
      <w:r w:rsidRPr="009F74C5">
        <w:rPr>
          <w:rFonts w:ascii="Arial" w:eastAsia="Times New Roman" w:hAnsi="Arial" w:cs="Arial"/>
          <w:sz w:val="20"/>
          <w:szCs w:val="20"/>
        </w:rPr>
        <w:t>—A cartridge or container of explosives into which a detonator or detonating cord is inserted or attached.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w:t>
      </w:r>
      <w:r w:rsidRPr="009F74C5">
        <w:rPr>
          <w:rFonts w:ascii="Arial" w:eastAsia="Times New Roman" w:hAnsi="Arial" w:cs="Arial"/>
          <w:i/>
          <w:iCs/>
          <w:sz w:val="20"/>
          <w:szCs w:val="20"/>
        </w:rPr>
        <w:t>Safety fuse</w:t>
      </w:r>
      <w:r w:rsidRPr="009F74C5">
        <w:rPr>
          <w:rFonts w:ascii="Arial" w:eastAsia="Times New Roman" w:hAnsi="Arial" w:cs="Arial"/>
          <w:sz w:val="20"/>
          <w:szCs w:val="20"/>
        </w:rPr>
        <w:t>—A flexible cord containing an internal burning medium by which fire is conveyed at a continuous and uniform rate for the purpose of firing blasting caps.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(w) </w:t>
      </w:r>
      <w:r w:rsidRPr="009F74C5">
        <w:rPr>
          <w:rFonts w:ascii="Arial" w:eastAsia="Times New Roman" w:hAnsi="Arial" w:cs="Arial"/>
          <w:i/>
          <w:iCs/>
          <w:sz w:val="20"/>
          <w:szCs w:val="20"/>
        </w:rPr>
        <w:t>Secondary blasting</w:t>
      </w:r>
      <w:r w:rsidRPr="009F74C5">
        <w:rPr>
          <w:rFonts w:ascii="Arial" w:eastAsia="Times New Roman" w:hAnsi="Arial" w:cs="Arial"/>
          <w:sz w:val="20"/>
          <w:szCs w:val="20"/>
        </w:rPr>
        <w:t>—The reduction of oversize material by the use of explosives to the dimension required for handling, including mudcapping and blockholing.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(x) </w:t>
      </w:r>
      <w:r w:rsidRPr="009F74C5">
        <w:rPr>
          <w:rFonts w:ascii="Arial" w:eastAsia="Times New Roman" w:hAnsi="Arial" w:cs="Arial"/>
          <w:i/>
          <w:iCs/>
          <w:sz w:val="20"/>
          <w:szCs w:val="20"/>
        </w:rPr>
        <w:t>Stemming</w:t>
      </w:r>
      <w:r w:rsidRPr="009F74C5">
        <w:rPr>
          <w:rFonts w:ascii="Arial" w:eastAsia="Times New Roman" w:hAnsi="Arial" w:cs="Arial"/>
          <w:sz w:val="20"/>
          <w:szCs w:val="20"/>
        </w:rPr>
        <w:t>—A suitable inert incombustible material or device used to confine or separate explosives in a drill hole, or to cover explosives in mud-capping.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(y) </w:t>
      </w:r>
      <w:r w:rsidRPr="009F74C5">
        <w:rPr>
          <w:rFonts w:ascii="Arial" w:eastAsia="Times New Roman" w:hAnsi="Arial" w:cs="Arial"/>
          <w:i/>
          <w:iCs/>
          <w:sz w:val="20"/>
          <w:szCs w:val="20"/>
        </w:rPr>
        <w:t>Springing</w:t>
      </w:r>
      <w:r w:rsidRPr="009F74C5">
        <w:rPr>
          <w:rFonts w:ascii="Arial" w:eastAsia="Times New Roman" w:hAnsi="Arial" w:cs="Arial"/>
          <w:sz w:val="20"/>
          <w:szCs w:val="20"/>
        </w:rPr>
        <w:t>—The creation of a pocket in the bottom of a drill hole by the use of a moderate quantity of explosives in order that larger quantities or explosives may be inserted therein.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(z) </w:t>
      </w:r>
      <w:r w:rsidRPr="009F74C5">
        <w:rPr>
          <w:rFonts w:ascii="Arial" w:eastAsia="Times New Roman" w:hAnsi="Arial" w:cs="Arial"/>
          <w:i/>
          <w:iCs/>
          <w:sz w:val="20"/>
          <w:szCs w:val="20"/>
        </w:rPr>
        <w:t>Water gels, or slurry explosives</w:t>
      </w:r>
      <w:r w:rsidRPr="009F74C5">
        <w:rPr>
          <w:rFonts w:ascii="Arial" w:eastAsia="Times New Roman" w:hAnsi="Arial" w:cs="Arial"/>
          <w:sz w:val="20"/>
          <w:szCs w:val="20"/>
        </w:rPr>
        <w:t>—A wide variety of materials used for blasting. They all contain substantial proportions of water and high proportions of ammonium nitrate, some of which is in solution in the water. Two broad classes of water gels are: (1) Those which are sensitized by a material classed as an explosive, such as TNT or smokeless powder, and (2) those which contain no ingredient classified as an explosive; these are sensitized with metals such as aluminum or with other fuels. Water gels may be premixed at an explosives plant or mixed at the site immediately before delivery into the bore hole.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(aa) </w:t>
      </w:r>
      <w:r w:rsidRPr="009F74C5">
        <w:rPr>
          <w:rFonts w:ascii="Arial" w:eastAsia="Times New Roman" w:hAnsi="Arial" w:cs="Arial"/>
          <w:i/>
          <w:iCs/>
          <w:sz w:val="20"/>
          <w:szCs w:val="20"/>
        </w:rPr>
        <w:t>Semiconductive hose.</w:t>
      </w:r>
      <w:r w:rsidRPr="009F74C5">
        <w:rPr>
          <w:rFonts w:ascii="Arial" w:eastAsia="Times New Roman" w:hAnsi="Arial" w:cs="Arial"/>
          <w:sz w:val="20"/>
          <w:szCs w:val="20"/>
        </w:rPr>
        <w:t xml:space="preserve"> Semiconductive hose—a hose with an electrical resistance high enough to limit flow of stray electric currents to safe levels, yet not so high as to prevent drainage of static electric charges to ground; hose of not more than 2 megohms resistance over its entire length and of not less than 5,000 ohms per foot meets the requirement.</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[44 FR 8577, Feb. 9, 1979; 44 FR 20940, Apr. 6, 1979, as amended at 58 FR 35184 and 35311, June 30, 1993]</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1" w:anchor="_top" w:history="1">
        <w:r w:rsidR="00D70103">
          <w:rPr>
            <w:rFonts w:ascii="Arial" w:eastAsia="Times New Roman" w:hAnsi="Arial" w:cs="Arial"/>
            <w:noProof/>
            <w:color w:val="0000FF"/>
            <w:sz w:val="17"/>
            <w:szCs w:val="17"/>
          </w:rPr>
          <w:drawing>
            <wp:inline distT="0" distB="0" distL="0" distR="0" wp14:anchorId="4FF78042" wp14:editId="65004768">
              <wp:extent cx="152400" cy="152400"/>
              <wp:effectExtent l="0" t="0" r="0" b="0"/>
              <wp:docPr id="207" name="Picture 20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7"/>
          <w:szCs w:val="27"/>
        </w:rPr>
      </w:pPr>
      <w:bookmarkStart w:id="18" w:name="sp29.8.1926.v"/>
      <w:bookmarkEnd w:id="18"/>
      <w:r w:rsidRPr="009F74C5">
        <w:rPr>
          <w:rFonts w:ascii="Arial" w:eastAsia="Times New Roman" w:hAnsi="Arial" w:cs="Arial"/>
          <w:b/>
          <w:bCs/>
          <w:sz w:val="27"/>
          <w:szCs w:val="27"/>
        </w:rPr>
        <w:t>Subpart V—Electric Power Transmission and Distribution</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Source:</w:t>
      </w:r>
      <w:r w:rsidRPr="009F74C5">
        <w:rPr>
          <w:rFonts w:ascii="Arial" w:eastAsia="Times New Roman" w:hAnsi="Arial" w:cs="Arial"/>
          <w:sz w:val="18"/>
          <w:szCs w:val="18"/>
        </w:rPr>
        <w:t xml:space="preserve"> 79 FR 20696, Apr. 11, 2014, unless otherwise noted. </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40 U.S.C. 3701 </w:t>
      </w:r>
      <w:r w:rsidRPr="009F74C5">
        <w:rPr>
          <w:rFonts w:ascii="Arial" w:eastAsia="Times New Roman" w:hAnsi="Arial" w:cs="Arial"/>
          <w:i/>
          <w:iCs/>
          <w:sz w:val="18"/>
          <w:szCs w:val="18"/>
        </w:rPr>
        <w:t>et seq.;</w:t>
      </w:r>
      <w:r w:rsidRPr="009F74C5">
        <w:rPr>
          <w:rFonts w:ascii="Arial" w:eastAsia="Times New Roman" w:hAnsi="Arial" w:cs="Arial"/>
          <w:sz w:val="18"/>
          <w:szCs w:val="18"/>
        </w:rPr>
        <w:t xml:space="preserve"> 29 U.S.C. 653, 655, 657; Secretary of Labor's Order No. 1-2012 (77 FR 3912); and 29 CFR Part 1911. </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2" w:anchor="_top" w:history="1">
        <w:r w:rsidR="00D70103">
          <w:rPr>
            <w:rFonts w:ascii="Arial" w:eastAsia="Times New Roman" w:hAnsi="Arial" w:cs="Arial"/>
            <w:noProof/>
            <w:color w:val="0000FF"/>
            <w:sz w:val="17"/>
            <w:szCs w:val="17"/>
          </w:rPr>
          <w:drawing>
            <wp:inline distT="0" distB="0" distL="0" distR="0" wp14:anchorId="56C03C0B" wp14:editId="27CC54FA">
              <wp:extent cx="152400" cy="152400"/>
              <wp:effectExtent l="0" t="0" r="0" b="0"/>
              <wp:docPr id="206" name="Picture 20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19" w:name="se29.8.1926_1950"/>
      <w:bookmarkEnd w:id="19"/>
      <w:r w:rsidRPr="009F74C5">
        <w:rPr>
          <w:rFonts w:ascii="Arial" w:eastAsia="Times New Roman" w:hAnsi="Arial" w:cs="Arial"/>
          <w:b/>
          <w:bCs/>
          <w:sz w:val="20"/>
          <w:szCs w:val="20"/>
        </w:rPr>
        <w:t>§1926.950   General.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Scope.</w:t>
      </w:r>
      <w:r w:rsidRPr="009F74C5">
        <w:rPr>
          <w:rFonts w:ascii="Arial" w:eastAsia="Times New Roman" w:hAnsi="Arial" w:cs="Arial"/>
          <w:sz w:val="20"/>
          <w:szCs w:val="20"/>
        </w:rPr>
        <w:t xml:space="preserve"> (i) This subpart, except for paragraph (a)(3) of this section, covers the construction of electric power transmission and distribution lines and equipment. As used in this subpart, the term “construction” includes the erection of new electric transmission and distribution lines and equipment, and the alteration, conversion, and improvement of existing electric transmission and distribution lines and equipment.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)(1)(</w:t>
      </w:r>
      <w:r w:rsidRPr="009F74C5">
        <w:rPr>
          <w:rFonts w:ascii="Arial" w:eastAsia="Times New Roman" w:hAnsi="Arial" w:cs="Arial"/>
          <w:sz w:val="18"/>
          <w:szCs w:val="18"/>
        </w:rPr>
        <w:t>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An employer that complies with §1910.269 of this chapter will be considered in compliance with requirements in this subpart that do not reference other subparts of this part. Compliance with §1910.269 of this chapter will not excuse an employer from compliance obligations under other subparts of this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Notwithstanding paragraph (a)(1)(i) of this section, this subpart does not apply to electrical safety-related work practices for unqualified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Other part 1926 standards.</w:t>
      </w:r>
      <w:r w:rsidRPr="009F74C5">
        <w:rPr>
          <w:rFonts w:ascii="Arial" w:eastAsia="Times New Roman" w:hAnsi="Arial" w:cs="Arial"/>
          <w:sz w:val="20"/>
          <w:szCs w:val="20"/>
        </w:rPr>
        <w:t xml:space="preserve"> This subpart applies in addition to all other applicable standards contained in this part 1926. Employers covered under this subpart are not exempt from complying with other applicable provisions in part 1926 by the operation of §1910.5(c) of this chapter. Specific references in this subpart to other sections of part 1926 are provided for emphasis only.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Applicable part 1910 requirements.</w:t>
      </w:r>
      <w:r w:rsidRPr="009F74C5">
        <w:rPr>
          <w:rFonts w:ascii="Arial" w:eastAsia="Times New Roman" w:hAnsi="Arial" w:cs="Arial"/>
          <w:sz w:val="20"/>
          <w:szCs w:val="20"/>
        </w:rPr>
        <w:t xml:space="preserve"> Line-clearance tree-trimming operations and work involving electric power generation installations shall comply with §1910.269 of this chapter.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Training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All employees.</w:t>
      </w:r>
      <w:r w:rsidRPr="009F74C5">
        <w:rPr>
          <w:rFonts w:ascii="Arial" w:eastAsia="Times New Roman" w:hAnsi="Arial" w:cs="Arial"/>
          <w:sz w:val="20"/>
          <w:szCs w:val="20"/>
        </w:rPr>
        <w:t xml:space="preserve"> (i) Each employee shall be trained in, and familiar with, the safety-related work practices, safety procedures, and other safety requirements in this subpart that pertain to his or her job assignments.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Each employee shall also be trained in and familiar with any other safety practices, including applicable emergency procedures (such as pole-top and manhole rescue), that are not specifically addressed by this subpart but that are related to his or her work and are necessary for his or her safety.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degree of training shall be determined by the risk to the employee for the hazard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Qualified employees.</w:t>
      </w:r>
      <w:r w:rsidRPr="009F74C5">
        <w:rPr>
          <w:rFonts w:ascii="Arial" w:eastAsia="Times New Roman" w:hAnsi="Arial" w:cs="Arial"/>
          <w:sz w:val="20"/>
          <w:szCs w:val="20"/>
        </w:rPr>
        <w:t xml:space="preserve"> Each qualified employee shall also be trained and competent 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The skills and techniques necessary to distinguish exposed live parts from other parts of electric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skills and techniques necessary to determine the nominal voltage of exposed live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minimum approach distances specified in this subpart corresponding to the voltages to which the qualified employee will be exposed and the skills and techniques necessary to maintain those distances,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proper use of the special precautionary techniques, personal protective equipment, insulating and shielding materials, and insulated tools for working on or near exposed energized parts of electric equipment,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recognition of electrical hazards to which the employee may be exposed and the skills and techniques necessary to control or avoid these hazards.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For the purposes of this subpart, a person must have the training required by paragraph (b)(2) of this section to be considered a qualified person.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Supervision and annual inspection.</w:t>
      </w:r>
      <w:r w:rsidRPr="009F74C5">
        <w:rPr>
          <w:rFonts w:ascii="Arial" w:eastAsia="Times New Roman" w:hAnsi="Arial" w:cs="Arial"/>
          <w:sz w:val="20"/>
          <w:szCs w:val="20"/>
        </w:rPr>
        <w:t xml:space="preserve"> The employer shall determine, through regular supervision and through inspections conducted on at least an annual basis, that each employee is complying with the safety-related work practices required by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Additional training.</w:t>
      </w:r>
      <w:r w:rsidRPr="009F74C5">
        <w:rPr>
          <w:rFonts w:ascii="Arial" w:eastAsia="Times New Roman" w:hAnsi="Arial" w:cs="Arial"/>
          <w:sz w:val="20"/>
          <w:szCs w:val="20"/>
        </w:rPr>
        <w:t xml:space="preserve"> An employee shall receive additional training (or retraining) under any of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If the supervision or annual inspections required by paragraph (b)(3) of this section indicate that the employee is not complying with the safety-related work practices required by this subpart,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new technology, new types of equipment, or changes in procedures necessitate the use of safety-related work practices that are different from those which the employee would normally use,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he or she must employ safety-related work practices that are not normally used during his or her regular job duties.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)(4)(</w:t>
      </w:r>
      <w:r w:rsidRPr="009F74C5">
        <w:rPr>
          <w:rFonts w:ascii="Arial" w:eastAsia="Times New Roman" w:hAnsi="Arial" w:cs="Arial"/>
          <w:sz w:val="18"/>
          <w:szCs w:val="18"/>
        </w:rPr>
        <w:t>iii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The Occupational Safety and Health Administration considers tasks that are performed less often than once per year to necessitate retraining before the performance of the work practices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Type of training.</w:t>
      </w:r>
      <w:r w:rsidRPr="009F74C5">
        <w:rPr>
          <w:rFonts w:ascii="Arial" w:eastAsia="Times New Roman" w:hAnsi="Arial" w:cs="Arial"/>
          <w:sz w:val="20"/>
          <w:szCs w:val="20"/>
        </w:rPr>
        <w:t xml:space="preserve"> The training required by paragraph (b) of this section shall be of the classroom or on-the-job type.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Training goals.</w:t>
      </w:r>
      <w:r w:rsidRPr="009F74C5">
        <w:rPr>
          <w:rFonts w:ascii="Arial" w:eastAsia="Times New Roman" w:hAnsi="Arial" w:cs="Arial"/>
          <w:sz w:val="20"/>
          <w:szCs w:val="20"/>
        </w:rPr>
        <w:t xml:space="preserve"> The training shall establish employee proficiency in the work practices required by this subpart and shall introduce the procedures necessary for compliance with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Demonstration of proficiency.</w:t>
      </w:r>
      <w:r w:rsidRPr="009F74C5">
        <w:rPr>
          <w:rFonts w:ascii="Arial" w:eastAsia="Times New Roman" w:hAnsi="Arial" w:cs="Arial"/>
          <w:sz w:val="20"/>
          <w:szCs w:val="20"/>
        </w:rPr>
        <w:t xml:space="preserve"> The employer shall ensure that each employee has demonstrated proficiency in the work practices involved before that employee is considered as having completed the training required by paragraph (b) of this section.</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1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)(7):</w:t>
      </w:r>
      <w:r w:rsidRPr="009F74C5">
        <w:rPr>
          <w:rFonts w:ascii="Arial" w:eastAsia="Times New Roman" w:hAnsi="Arial" w:cs="Arial"/>
          <w:sz w:val="18"/>
          <w:szCs w:val="18"/>
        </w:rPr>
        <w:t xml:space="preserve"> Though they are not required by this paragraph, employment records that indicate that an employee has successfully completed the required training are one way of keeping track of when an employee has demonstrated proficiency.</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lastRenderedPageBreak/>
        <w:t>Note 2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)(7):</w:t>
      </w:r>
      <w:r w:rsidRPr="009F74C5">
        <w:rPr>
          <w:rFonts w:ascii="Arial" w:eastAsia="Times New Roman" w:hAnsi="Arial" w:cs="Arial"/>
          <w:sz w:val="18"/>
          <w:szCs w:val="18"/>
        </w:rPr>
        <w:t xml:space="preserve"> For an employee with previous training, an employer may determine that that employee has demonstrated the proficiency required by this paragraph using the following process: (1) Confirm that the employee has the training required by paragraph (b) of this section, (2) use an examination or interview to make an initial determination that the employee understands the relevant safety-related work practices before he or she performs any work covered by this subpart, and (3) supervise the employee closely until that employee has demonstrated proficiency as required by this paragraph.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Information transfer</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Host employer responsibilities.</w:t>
      </w:r>
      <w:r w:rsidRPr="009F74C5">
        <w:rPr>
          <w:rFonts w:ascii="Arial" w:eastAsia="Times New Roman" w:hAnsi="Arial" w:cs="Arial"/>
          <w:sz w:val="20"/>
          <w:szCs w:val="20"/>
        </w:rPr>
        <w:t xml:space="preserve"> Before work begins, the host employer shall inform contract employers of:</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characteristics of the host employer's installation that are related to the safety of the work to be performed and are listed in paragraphs (d)(1) through (d)(5) of this section;</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)(1)(</w:t>
      </w:r>
      <w:r w:rsidRPr="009F74C5">
        <w:rPr>
          <w:rFonts w:ascii="Arial" w:eastAsia="Times New Roman" w:hAnsi="Arial" w:cs="Arial"/>
          <w:sz w:val="18"/>
          <w:szCs w:val="18"/>
        </w:rPr>
        <w:t>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This paragraph requires the host employer to obtain information listed in paragraphs (d)(1) through (d)(5) of this section if it does not have this information in existing records.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Conditions that are related to the safety of the work to be performed, that are listed in paragraphs (d)(6) through (d)(8) of this section, and that are known to the host employer;</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)(1)(</w:t>
      </w:r>
      <w:r w:rsidRPr="009F74C5">
        <w:rPr>
          <w:rFonts w:ascii="Arial" w:eastAsia="Times New Roman" w:hAnsi="Arial" w:cs="Arial"/>
          <w:sz w:val="18"/>
          <w:szCs w:val="18"/>
        </w:rPr>
        <w:t>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Information about the design and operation of the host employer's installation that the contract employer needs to make the assessments required by this subpart; and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)(1)(</w:t>
      </w:r>
      <w:r w:rsidRPr="009F74C5">
        <w:rPr>
          <w:rFonts w:ascii="Arial" w:eastAsia="Times New Roman" w:hAnsi="Arial" w:cs="Arial"/>
          <w:sz w:val="18"/>
          <w:szCs w:val="18"/>
        </w:rPr>
        <w:t>iii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This paragraph requires the host employer to obtain information about the design and operation of its installation that contract employers need to make required assessments if it does not have this information in existing records.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Any other information about the design and operation of the host employer's installation that is known by the host employer, that the contract employer requests, and that is related to the protection of the contract employer's employees.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)(1)(</w:t>
      </w:r>
      <w:r w:rsidRPr="009F74C5">
        <w:rPr>
          <w:rFonts w:ascii="Arial" w:eastAsia="Times New Roman" w:hAnsi="Arial" w:cs="Arial"/>
          <w:sz w:val="18"/>
          <w:szCs w:val="18"/>
        </w:rPr>
        <w:t>iv</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Contract employer responsibilities.</w:t>
      </w:r>
      <w:r w:rsidRPr="009F74C5">
        <w:rPr>
          <w:rFonts w:ascii="Arial" w:eastAsia="Times New Roman" w:hAnsi="Arial" w:cs="Arial"/>
          <w:sz w:val="20"/>
          <w:szCs w:val="20"/>
        </w:rPr>
        <w:t xml:space="preserve"> (i) The contract employer shall ensure that each of its employees is instructed in the hazardous conditions relevant to the employee's work that the contract employer is aware of as a result of information communicated to the contract employer by the host employer under paragraph (c)(1)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Before work begins, the contract employer shall advise the host employer of any unique hazardous conditions presented by the contract employer's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contract employer shall advise the host employer of any unanticipated hazardous conditions found during the contract employer's work that the host employer did not mention under paragraph (c)(1) of this section. The contract employer shall provide this information to the host employer within 2 working days after discovering the hazardous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Joint host- and contract-employer responsibilities.</w:t>
      </w:r>
      <w:r w:rsidRPr="009F74C5">
        <w:rPr>
          <w:rFonts w:ascii="Arial" w:eastAsia="Times New Roman" w:hAnsi="Arial" w:cs="Arial"/>
          <w:sz w:val="20"/>
          <w:szCs w:val="20"/>
        </w:rPr>
        <w:t xml:space="preserve"> The contract employer and the host employer shall coordinate their work rules and procedures so that each employee of the contract employer and the host employer is protected as required by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Existing characteristics and conditions.</w:t>
      </w:r>
      <w:r w:rsidRPr="009F74C5">
        <w:rPr>
          <w:rFonts w:ascii="Arial" w:eastAsia="Times New Roman" w:hAnsi="Arial" w:cs="Arial"/>
          <w:sz w:val="20"/>
          <w:szCs w:val="20"/>
        </w:rPr>
        <w:t xml:space="preserve"> Existing characteristics and conditions of electric lines and equipment that are related to the safety of the work to be performed shall be determined before work on or near the lines or equipment is started. Such characteristics and conditions include, but are not limited to:</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nominal voltages of lines and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maximum switching-transient 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presence of hazardous induced 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presence of protective grounds and equipment grounding conductors,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locations of circuits and equipment, including electric supply lines, communication lines, and fire-protective signaling circuits,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The condition of protective grounds and equipment grounding conductors,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The condition of poles,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Environmental conditions relating to safety.</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3" w:anchor="_top" w:history="1">
        <w:r w:rsidR="00D70103">
          <w:rPr>
            <w:rFonts w:ascii="Arial" w:eastAsia="Times New Roman" w:hAnsi="Arial" w:cs="Arial"/>
            <w:noProof/>
            <w:color w:val="0000FF"/>
            <w:sz w:val="17"/>
            <w:szCs w:val="17"/>
          </w:rPr>
          <w:drawing>
            <wp:inline distT="0" distB="0" distL="0" distR="0" wp14:anchorId="64E4D2A2" wp14:editId="39718C8F">
              <wp:extent cx="152400" cy="152400"/>
              <wp:effectExtent l="0" t="0" r="0" b="0"/>
              <wp:docPr id="205" name="Picture 20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0" w:name="se29.8.1926_1951"/>
      <w:bookmarkEnd w:id="20"/>
      <w:r w:rsidRPr="009F74C5">
        <w:rPr>
          <w:rFonts w:ascii="Arial" w:eastAsia="Times New Roman" w:hAnsi="Arial" w:cs="Arial"/>
          <w:b/>
          <w:bCs/>
          <w:sz w:val="20"/>
          <w:szCs w:val="20"/>
        </w:rPr>
        <w:t>§1926.951   Medical services and first aid.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employer shall provide medical services and first aid as required in §1926.50.</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First-aid training.</w:t>
      </w:r>
      <w:r w:rsidRPr="009F74C5">
        <w:rPr>
          <w:rFonts w:ascii="Arial" w:eastAsia="Times New Roman" w:hAnsi="Arial" w:cs="Arial"/>
          <w:sz w:val="20"/>
          <w:szCs w:val="20"/>
        </w:rPr>
        <w:t xml:space="preserve"> In addition to the requirements of §1926.50, when employees are performing work on, or associated with, exposed lines or equipment energized at 50 volts or more, persons with first-aid training shall be available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Field work.</w:t>
      </w:r>
      <w:r w:rsidRPr="009F74C5">
        <w:rPr>
          <w:rFonts w:ascii="Arial" w:eastAsia="Times New Roman" w:hAnsi="Arial" w:cs="Arial"/>
          <w:sz w:val="20"/>
          <w:szCs w:val="20"/>
        </w:rPr>
        <w:t xml:space="preserve"> For field work involving two or more employees at a work location, at least two trained persons shall be available.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Fixed work locations.</w:t>
      </w:r>
      <w:r w:rsidRPr="009F74C5">
        <w:rPr>
          <w:rFonts w:ascii="Arial" w:eastAsia="Times New Roman" w:hAnsi="Arial" w:cs="Arial"/>
          <w:sz w:val="20"/>
          <w:szCs w:val="20"/>
        </w:rPr>
        <w:t xml:space="preserve"> For fixed work locations such as substations, the number of trained persons available shall be sufficient to ensure that each employee exposed to electric shock can be reached within 4 minutes by a trained person. However, where the existing number of employees is insufficient to meet this requirement (at a remote substation, for example), each employee at the work location shall be a trained employee.</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4" w:anchor="_top" w:history="1">
        <w:r w:rsidR="00D70103">
          <w:rPr>
            <w:rFonts w:ascii="Arial" w:eastAsia="Times New Roman" w:hAnsi="Arial" w:cs="Arial"/>
            <w:noProof/>
            <w:color w:val="0000FF"/>
            <w:sz w:val="17"/>
            <w:szCs w:val="17"/>
          </w:rPr>
          <w:drawing>
            <wp:inline distT="0" distB="0" distL="0" distR="0" wp14:anchorId="542A1F84" wp14:editId="6F07F56C">
              <wp:extent cx="152400" cy="152400"/>
              <wp:effectExtent l="0" t="0" r="0" b="0"/>
              <wp:docPr id="204" name="Picture 20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1" w:name="se29.8.1926_1952"/>
      <w:bookmarkEnd w:id="21"/>
      <w:r w:rsidRPr="009F74C5">
        <w:rPr>
          <w:rFonts w:ascii="Arial" w:eastAsia="Times New Roman" w:hAnsi="Arial" w:cs="Arial"/>
          <w:b/>
          <w:bCs/>
          <w:sz w:val="20"/>
          <w:szCs w:val="20"/>
        </w:rPr>
        <w:t>§1926.952   Job briefing.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Before each job</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Information provided by the employer.</w:t>
      </w:r>
      <w:r w:rsidRPr="009F74C5">
        <w:rPr>
          <w:rFonts w:ascii="Arial" w:eastAsia="Times New Roman" w:hAnsi="Arial" w:cs="Arial"/>
          <w:sz w:val="20"/>
          <w:szCs w:val="20"/>
        </w:rPr>
        <w:t xml:space="preserve"> In assigning an employee or a group of employees to perform a job, the employer shall provide the employee in charge of the job with all </w:t>
      </w:r>
      <w:r w:rsidRPr="009F74C5">
        <w:rPr>
          <w:rFonts w:ascii="Arial" w:eastAsia="Times New Roman" w:hAnsi="Arial" w:cs="Arial"/>
          <w:sz w:val="20"/>
          <w:szCs w:val="20"/>
        </w:rPr>
        <w:lastRenderedPageBreak/>
        <w:t>available information that relates to the determination of existing characteristics and conditions required by §1926.950(d).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Briefing by the employee in charge.</w:t>
      </w:r>
      <w:r w:rsidRPr="009F74C5">
        <w:rPr>
          <w:rFonts w:ascii="Arial" w:eastAsia="Times New Roman" w:hAnsi="Arial" w:cs="Arial"/>
          <w:sz w:val="20"/>
          <w:szCs w:val="20"/>
        </w:rPr>
        <w:t xml:space="preserve"> The employer shall ensure that the employee in charge conducts a job briefing that meets paragraphs (b), (c), and (d) of this section with the employees involved before they start each job.</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Subjects to be covered.</w:t>
      </w:r>
      <w:r w:rsidRPr="009F74C5">
        <w:rPr>
          <w:rFonts w:ascii="Arial" w:eastAsia="Times New Roman" w:hAnsi="Arial" w:cs="Arial"/>
          <w:sz w:val="20"/>
          <w:szCs w:val="20"/>
        </w:rPr>
        <w:t xml:space="preserve"> The briefing shall cover at least the following subjects: Hazards associated with the job, work procedures involved, special precautions, energy-source controls, and personal protective equipment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Number of briefings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At least one before each day or shift.</w:t>
      </w:r>
      <w:r w:rsidRPr="009F74C5">
        <w:rPr>
          <w:rFonts w:ascii="Arial" w:eastAsia="Times New Roman" w:hAnsi="Arial" w:cs="Arial"/>
          <w:sz w:val="20"/>
          <w:szCs w:val="20"/>
        </w:rPr>
        <w:t xml:space="preserve"> If the work or operations to be performed during the work day or shift are repetitive and similar, at least one job briefing shall be conducted before the start of the first job of each day or shift.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Additional briefings.</w:t>
      </w:r>
      <w:r w:rsidRPr="009F74C5">
        <w:rPr>
          <w:rFonts w:ascii="Arial" w:eastAsia="Times New Roman" w:hAnsi="Arial" w:cs="Arial"/>
          <w:sz w:val="20"/>
          <w:szCs w:val="20"/>
        </w:rPr>
        <w:t xml:space="preserve"> Additional job briefings shall be held if significant changes, which might affect the safety of the employees, occur during the course of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Extent of briefing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Short discussion.</w:t>
      </w:r>
      <w:r w:rsidRPr="009F74C5">
        <w:rPr>
          <w:rFonts w:ascii="Arial" w:eastAsia="Times New Roman" w:hAnsi="Arial" w:cs="Arial"/>
          <w:sz w:val="20"/>
          <w:szCs w:val="20"/>
        </w:rPr>
        <w:t xml:space="preserve"> A brief discussion is satisfactory if the work involved is routine and if the employees, by virtue of training and experience, can reasonably be expected to recognize and avoid the hazards involved in the job.</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Detailed discussion.</w:t>
      </w:r>
      <w:r w:rsidRPr="009F74C5">
        <w:rPr>
          <w:rFonts w:ascii="Arial" w:eastAsia="Times New Roman" w:hAnsi="Arial" w:cs="Arial"/>
          <w:sz w:val="20"/>
          <w:szCs w:val="20"/>
        </w:rPr>
        <w:t xml:space="preserve"> A more extensive discussion shall be conducted: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If the work is complicated or particularly hazardous,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employee cannot be expected to recognize and avoid the hazards involved in the job.</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The briefing must address all the subjects listed in paragraph (b)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Working alone.</w:t>
      </w:r>
      <w:r w:rsidRPr="009F74C5">
        <w:rPr>
          <w:rFonts w:ascii="Arial" w:eastAsia="Times New Roman" w:hAnsi="Arial" w:cs="Arial"/>
          <w:sz w:val="20"/>
          <w:szCs w:val="20"/>
        </w:rPr>
        <w:t xml:space="preserve"> An employee working alone need not conduct a job briefing. However, the employer shall ensure that the tasks to be performed are planned as if a briefing were required.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5" w:anchor="_top" w:history="1">
        <w:r w:rsidR="00D70103">
          <w:rPr>
            <w:rFonts w:ascii="Arial" w:eastAsia="Times New Roman" w:hAnsi="Arial" w:cs="Arial"/>
            <w:noProof/>
            <w:color w:val="0000FF"/>
            <w:sz w:val="17"/>
            <w:szCs w:val="17"/>
          </w:rPr>
          <w:drawing>
            <wp:inline distT="0" distB="0" distL="0" distR="0" wp14:anchorId="1F5F34B6" wp14:editId="2275E2FD">
              <wp:extent cx="152400" cy="152400"/>
              <wp:effectExtent l="0" t="0" r="0" b="0"/>
              <wp:docPr id="203" name="Picture 20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2" w:name="se29.8.1926_1953"/>
      <w:bookmarkEnd w:id="22"/>
      <w:r w:rsidRPr="009F74C5">
        <w:rPr>
          <w:rFonts w:ascii="Arial" w:eastAsia="Times New Roman" w:hAnsi="Arial" w:cs="Arial"/>
          <w:b/>
          <w:bCs/>
          <w:sz w:val="20"/>
          <w:szCs w:val="20"/>
        </w:rPr>
        <w:t>§1926.953   Enclosed spaces.</w:t>
      </w:r>
    </w:p>
    <w:p w:rsidR="00D70103" w:rsidRPr="009F74C5" w:rsidRDefault="000507F6" w:rsidP="000507F6">
      <w:pPr>
        <w:spacing w:before="100" w:beforeAutospacing="1" w:after="100" w:afterAutospacing="1" w:line="240" w:lineRule="auto"/>
        <w:rPr>
          <w:rFonts w:ascii="Arial" w:eastAsia="Times New Roman" w:hAnsi="Arial" w:cs="Arial"/>
          <w:sz w:val="20"/>
          <w:szCs w:val="20"/>
        </w:rPr>
      </w:pPr>
      <w:hyperlink r:id="rId36" w:history="1">
        <w:r w:rsidR="00D70103" w:rsidRPr="009F74C5">
          <w:rPr>
            <w:rFonts w:ascii="Arial" w:eastAsia="Times New Roman" w:hAnsi="Arial" w:cs="Arial"/>
            <w:color w:val="0000FF"/>
            <w:sz w:val="17"/>
            <w:szCs w:val="17"/>
          </w:rPr>
          <w:t>Link to an amendment published at 80 FR 25518, May 4, 2015.</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This section covers enclosed spaces that may be entered by employees. It does not apply to vented vaults if the employer makes a determination that the ventilation system is operating to protect employees before they enter the space. This section applies to routine entry into enclosed spaces. If, after the employer takes the precautions given in this section and in §1926.965, the hazards remaining in the enclosed space endanger the life of an entrant or could interfere with an entrant's escape from the space, then entry into the enclosed space shall meet the permit-space entry requirements of paragraphs (d) through (k) of §1910.146 of this chapter.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Safe work practices.</w:t>
      </w:r>
      <w:r w:rsidRPr="009F74C5">
        <w:rPr>
          <w:rFonts w:ascii="Arial" w:eastAsia="Times New Roman" w:hAnsi="Arial" w:cs="Arial"/>
          <w:sz w:val="20"/>
          <w:szCs w:val="20"/>
        </w:rPr>
        <w:t xml:space="preserve"> The employer shall ensure the use of safe work practices for entry into, and work in, enclosed spaces and for rescue of employees from such spaces.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(c) </w:t>
      </w:r>
      <w:r w:rsidRPr="009F74C5">
        <w:rPr>
          <w:rFonts w:ascii="Arial" w:eastAsia="Times New Roman" w:hAnsi="Arial" w:cs="Arial"/>
          <w:i/>
          <w:iCs/>
          <w:sz w:val="20"/>
          <w:szCs w:val="20"/>
        </w:rPr>
        <w:t>Training.</w:t>
      </w:r>
      <w:r w:rsidRPr="009F74C5">
        <w:rPr>
          <w:rFonts w:ascii="Arial" w:eastAsia="Times New Roman" w:hAnsi="Arial" w:cs="Arial"/>
          <w:sz w:val="20"/>
          <w:szCs w:val="20"/>
        </w:rPr>
        <w:t xml:space="preserve"> Each employee who enters an enclosed space or who serves as an attendant shall be trained in the hazards of enclosed-space entry, in enclosed-space entry procedures, and in enclosed-space rescue procedures.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Rescue equipment.</w:t>
      </w:r>
      <w:r w:rsidRPr="009F74C5">
        <w:rPr>
          <w:rFonts w:ascii="Arial" w:eastAsia="Times New Roman" w:hAnsi="Arial" w:cs="Arial"/>
          <w:sz w:val="20"/>
          <w:szCs w:val="20"/>
        </w:rPr>
        <w:t xml:space="preserve"> Employers shall provide equipment to ensure the prompt and safe rescue of employees from the enclosed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Evaluating potential hazards.</w:t>
      </w:r>
      <w:r w:rsidRPr="009F74C5">
        <w:rPr>
          <w:rFonts w:ascii="Arial" w:eastAsia="Times New Roman" w:hAnsi="Arial" w:cs="Arial"/>
          <w:sz w:val="20"/>
          <w:szCs w:val="20"/>
        </w:rPr>
        <w:t xml:space="preserve"> Before any entrance cover to an enclosed space is removed, the employer shall determine whether it is safe to do so by checking for the presence of any atmospheric pressure or temperature differences and by evaluating whether there might be a hazardous atmosphere in the space. Any conditions making it unsafe to remove the cover shall be eliminated before the cover is removed.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e</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The determination called for in this paragraph may consist of a check of the conditions that might foreseeably be in the enclosed space. For example, the cover could be checked to see if it is hot and, if it is fastened in place, could be loosened gradually to release any residual pressure. An evaluation also needs to be made of whether conditions at the site could cause a hazardous atmosphere, such as an oxygen-deficient or flammable atmosphere, to develop within the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Removing covers.</w:t>
      </w:r>
      <w:r w:rsidRPr="009F74C5">
        <w:rPr>
          <w:rFonts w:ascii="Arial" w:eastAsia="Times New Roman" w:hAnsi="Arial" w:cs="Arial"/>
          <w:sz w:val="20"/>
          <w:szCs w:val="20"/>
        </w:rPr>
        <w:t xml:space="preserve"> When covers are removed from enclosed spaces, the opening shall be promptly guarded by a railing, temporary cover, or other barrier designed to prevent an accidental fall through the opening and to protect employees working in the space from objects entering the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Hazardous atmosphere.</w:t>
      </w:r>
      <w:r w:rsidRPr="009F74C5">
        <w:rPr>
          <w:rFonts w:ascii="Arial" w:eastAsia="Times New Roman" w:hAnsi="Arial" w:cs="Arial"/>
          <w:sz w:val="20"/>
          <w:szCs w:val="20"/>
        </w:rPr>
        <w:t xml:space="preserve"> Employees may not enter any enclosed space while it contains a hazardous atmosphere, unless the entry conforms to the permit-required confined spaces standard in §1910.146 of this chapter.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Attendants.</w:t>
      </w:r>
      <w:r w:rsidRPr="009F74C5">
        <w:rPr>
          <w:rFonts w:ascii="Arial" w:eastAsia="Times New Roman" w:hAnsi="Arial" w:cs="Arial"/>
          <w:sz w:val="20"/>
          <w:szCs w:val="20"/>
        </w:rPr>
        <w:t xml:space="preserve"> While work is being performed in the enclosed space, an attendant with first-aid training shall be immediately available outside the enclosed space to provide assistance if a hazard exists because of traffic patterns in the area of the opening used for entry. The attendant is not precluded from performing other duties outside the enclosed space if these duties do not distract the attendant from: Monitoring employees within the space or ensuring that it is safe for employees to enter and exit the space.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h</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§1926.965 for additional requirements on attendants for work in manholes and vaults.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Calibration of test instruments.</w:t>
      </w:r>
      <w:r w:rsidRPr="009F74C5">
        <w:rPr>
          <w:rFonts w:ascii="Arial" w:eastAsia="Times New Roman" w:hAnsi="Arial" w:cs="Arial"/>
          <w:sz w:val="20"/>
          <w:szCs w:val="20"/>
        </w:rPr>
        <w:t xml:space="preserve"> Test instruments used to monitor atmospheres in enclosed spaces shall be kept in calibration and shall have a minimum accuracy of ±10 percent.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Testing for oxygen deficiency.</w:t>
      </w:r>
      <w:r w:rsidRPr="009F74C5">
        <w:rPr>
          <w:rFonts w:ascii="Arial" w:eastAsia="Times New Roman" w:hAnsi="Arial" w:cs="Arial"/>
          <w:sz w:val="20"/>
          <w:szCs w:val="20"/>
        </w:rPr>
        <w:t xml:space="preserve"> Before an employee enters an enclosed space, the atmosphere in the enclosed space shall be tested for oxygen deficiency with a direct-reading meter or similar instrument, capable of collection and immediate analysis of data samples without the need for off-site evaluation. If continuous forced-air ventilation is provided, testing is not required provided that the procedures used ensure that employees are not exposed to the hazards posed by oxygen deficiency.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Testing for flammable gases and vapors.</w:t>
      </w:r>
      <w:r w:rsidRPr="009F74C5">
        <w:rPr>
          <w:rFonts w:ascii="Arial" w:eastAsia="Times New Roman" w:hAnsi="Arial" w:cs="Arial"/>
          <w:sz w:val="20"/>
          <w:szCs w:val="20"/>
        </w:rPr>
        <w:t xml:space="preserve"> Before an employee enters an enclosed space, the internal atmosphere shall be tested for flammable gases and vapors with a direct-reading meter or similar instrument capable of collection and immediate analysis of data samples without the need for off-site evaluation. This test shall be performed after the oxygen testing and ventilation required by paragraph (j) of this section demonstrate that there is sufficient oxygen to ensure the accuracy of the test for flammability.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(l) </w:t>
      </w:r>
      <w:r w:rsidRPr="009F74C5">
        <w:rPr>
          <w:rFonts w:ascii="Arial" w:eastAsia="Times New Roman" w:hAnsi="Arial" w:cs="Arial"/>
          <w:i/>
          <w:iCs/>
          <w:sz w:val="20"/>
          <w:szCs w:val="20"/>
        </w:rPr>
        <w:t>Ventilation, and monitoring for flammable gases or vapors.</w:t>
      </w:r>
      <w:r w:rsidRPr="009F74C5">
        <w:rPr>
          <w:rFonts w:ascii="Arial" w:eastAsia="Times New Roman" w:hAnsi="Arial" w:cs="Arial"/>
          <w:sz w:val="20"/>
          <w:szCs w:val="20"/>
        </w:rPr>
        <w:t xml:space="preserve"> If flammable gases or vapors are detected or if an oxygen deficiency is found, forced-air ventilation shall be used to maintain oxygen at a safe level and to prevent a hazardous concentration of flammable gases and vapors from accumulating. A continuous monitoring program to ensure that no increase in flammable gas or vapor concentration above safe levels occurs may be followed in lieu of ventilation if flammable gases or vapors are initially detected at safe levels.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l</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the definition of “hazardous atmosphere” for guidance in determining whether a specific concentration of a substance is hazardous.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Specific ventilation requirements.</w:t>
      </w:r>
      <w:r w:rsidRPr="009F74C5">
        <w:rPr>
          <w:rFonts w:ascii="Arial" w:eastAsia="Times New Roman" w:hAnsi="Arial" w:cs="Arial"/>
          <w:sz w:val="20"/>
          <w:szCs w:val="20"/>
        </w:rPr>
        <w:t xml:space="preserve"> If continuous forced-air ventilation is used, it shall begin before entry is made and shall be maintained long enough for the employer to be able to demonstrate that a safe atmosphere exists before employees are allowed to enter the work area. The forced-air ventilation shall be so directed as to ventilate the immediate area where employees are present within the enclosed space and shall continue until all employees leave the enclosed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Air supply.</w:t>
      </w:r>
      <w:r w:rsidRPr="009F74C5">
        <w:rPr>
          <w:rFonts w:ascii="Arial" w:eastAsia="Times New Roman" w:hAnsi="Arial" w:cs="Arial"/>
          <w:sz w:val="20"/>
          <w:szCs w:val="20"/>
        </w:rPr>
        <w:t xml:space="preserve"> The air supply for the continuous forced-air ventilation shall be from a clean source and may not increase the hazards in the enclosed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Open flames.</w:t>
      </w:r>
      <w:r w:rsidRPr="009F74C5">
        <w:rPr>
          <w:rFonts w:ascii="Arial" w:eastAsia="Times New Roman" w:hAnsi="Arial" w:cs="Arial"/>
          <w:sz w:val="20"/>
          <w:szCs w:val="20"/>
        </w:rPr>
        <w:t xml:space="preserve"> If open flames are used in enclosed spaces, a test for flammable gases and vapors shall be made immediately before the open flame device is used and at least once per hour while the device is used in the space. Testing shall be conducted more frequently if conditions present in the enclosed space indicate that once per hour is insufficient to detect hazardous accumulations of flammable gases or vapors.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o</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the definition of “hazardous atmosphere” for guidance in determining whether a specific concentration of a substance is hazardous.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§1926.953:</w:t>
      </w:r>
      <w:r w:rsidRPr="009F74C5">
        <w:rPr>
          <w:rFonts w:ascii="Arial" w:eastAsia="Times New Roman" w:hAnsi="Arial" w:cs="Arial"/>
          <w:sz w:val="18"/>
          <w:szCs w:val="18"/>
        </w:rPr>
        <w:t xml:space="preserve"> Entries into enclosed spaces conducted in accordance with the permit-space entry requirements of paragraphs (d) through (k) of §1910.146 of this chapter are considered as complying with this section.</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7" w:anchor="_top" w:history="1">
        <w:r w:rsidR="00D70103">
          <w:rPr>
            <w:rFonts w:ascii="Arial" w:eastAsia="Times New Roman" w:hAnsi="Arial" w:cs="Arial"/>
            <w:noProof/>
            <w:color w:val="0000FF"/>
            <w:sz w:val="17"/>
            <w:szCs w:val="17"/>
          </w:rPr>
          <w:drawing>
            <wp:inline distT="0" distB="0" distL="0" distR="0" wp14:anchorId="1F91D895" wp14:editId="392E8959">
              <wp:extent cx="152400" cy="152400"/>
              <wp:effectExtent l="0" t="0" r="0" b="0"/>
              <wp:docPr id="202" name="Picture 20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3" w:name="se29.8.1926_1954"/>
      <w:bookmarkEnd w:id="23"/>
      <w:r w:rsidRPr="009F74C5">
        <w:rPr>
          <w:rFonts w:ascii="Arial" w:eastAsia="Times New Roman" w:hAnsi="Arial" w:cs="Arial"/>
          <w:b/>
          <w:bCs/>
          <w:sz w:val="20"/>
          <w:szCs w:val="20"/>
        </w:rPr>
        <w:t>§1926.954   Personal protective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Personal protective equipment shall meet the requirements of subpart E of this part.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Paragraph (d) of §1926.95 sets employer payment obligations for the personal protective equipment required by this subpart, including, but not limited to, the fall protection equipment required by paragraph (b) of this section, the electrical protective equipment required by §1926.960(c), and the flame-resistant and arc-rated clothing and other protective equipment required by §1926.960(g).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Fall protection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Personal fall arrest systems.</w:t>
      </w:r>
      <w:r w:rsidRPr="009F74C5">
        <w:rPr>
          <w:rFonts w:ascii="Arial" w:eastAsia="Times New Roman" w:hAnsi="Arial" w:cs="Arial"/>
          <w:sz w:val="20"/>
          <w:szCs w:val="20"/>
        </w:rPr>
        <w:t xml:space="preserve"> (i) Personal fall arrest systems shall meet the requirements of subpart M of this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Personal fall arrest equipment used by employees who are exposed to hazards from flames or electric arcs, as determined by the employer under §1926.960(g)(1), shall be capable of passing a drop test equivalent to that required by paragraph (b)(2)(xii) of this section after exposure to an electric arc with a heat energy of 40±5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Work-positioning equipment.</w:t>
      </w:r>
      <w:r w:rsidRPr="009F74C5">
        <w:rPr>
          <w:rFonts w:ascii="Arial" w:eastAsia="Times New Roman" w:hAnsi="Arial" w:cs="Arial"/>
          <w:sz w:val="20"/>
          <w:szCs w:val="20"/>
        </w:rPr>
        <w:t xml:space="preserve"> Body belts and positioning straps for work-positioning equipment shall meet the following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Hardware for body belts and positioning straps shall meet the following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Hardware shall be made of drop-forged steel, pressed steel, formed steel, or equivalent material.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Hardware shall have a corrosion-resistant finish.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Hardware surfaces shall be smooth and free of sharp edges.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Buckles shall be capable of withstanding an 8.9-kilonewton (2,000-pound-force) tension test with a maximum permanent deformation no greater than 0.4 millimeters (0.0156 inches).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D rings shall be capable of withstanding a 22-kilonewton (5,000-pound-force) tensile test without cracking or breaking.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Snaphooks shall be capable of withstanding a 22-kilonewton (5,000-pound-force) tension test without failure.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iv</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Distortion of the snaphook sufficient to release the keeper is considered to be tensile failure of a snaphook.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Top grain leather or leather substitute may be used in the manufacture of body belts and positioning straps; however, leather and leather substitutes may not be used alone as a load-bearing component of the assembly.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Plied fabric used in positioning straps and in load-bearing parts of body belts shall be constructed in such a way that no raw edges are exposed and the plies do not separate.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Positioning straps shall be capable of withstanding the following tests: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dielectric test of 819.7 volts, AC, per centimeter (25,000 volts per foot) for 3 minutes without visible deterioration;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leakage test of 98.4 volts, AC, per centimeter (3,000 volts per foot) with a leakage current of no more than 1 mA;</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paragraphs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vii</w:t>
      </w:r>
      <w:r w:rsidRPr="009F74C5">
        <w:rPr>
          <w:rFonts w:ascii="Arial" w:eastAsia="Times New Roman" w:hAnsi="Arial" w:cs="Arial"/>
          <w:smallCaps/>
          <w:sz w:val="18"/>
          <w:szCs w:val="18"/>
        </w:rPr>
        <w:t>)(A) and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vii</w:t>
      </w:r>
      <w:r w:rsidRPr="009F74C5">
        <w:rPr>
          <w:rFonts w:ascii="Arial" w:eastAsia="Times New Roman" w:hAnsi="Arial" w:cs="Arial"/>
          <w:smallCaps/>
          <w:sz w:val="18"/>
          <w:szCs w:val="18"/>
        </w:rPr>
        <w:t>)(B):</w:t>
      </w:r>
      <w:r w:rsidRPr="009F74C5">
        <w:rPr>
          <w:rFonts w:ascii="Arial" w:eastAsia="Times New Roman" w:hAnsi="Arial" w:cs="Arial"/>
          <w:sz w:val="18"/>
          <w:szCs w:val="18"/>
        </w:rPr>
        <w:t xml:space="preserve"> Positioning straps that pass direct-current tests at equivalent voltages are considered as meeting this requirement.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Tension tests of 20 kilonewtons (4,500 pounds-force) for sections free of buckle holes and of 15 kilonewtons (3,500 pounds-force) for sections with buckle holes;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 buckle-tear test with a load of 4.4 kilonewtons (1,000 pounds-force);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flammability test in accordance with Table V-1.</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V-1—Flammability Test</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271"/>
        <w:gridCol w:w="4113"/>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Test method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Criteria for passing the test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Vertically suspend a 500-mm (19.7-inch) length of strapping supporting a 100-kg (220.5-lb) weight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Any flames on the positioning strap shall self extinguish.</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Use a butane or propane burner with a 76-mm (3-inch) flame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 positioning strap shall continue to support the 100-kg (220.5-lb) mass.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Direct the flame to an edge of the strapping at a distance of 25 mm (1 inch).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Remove the flame after 5 seconds.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Wait for any flames on the positioning strap to stop burning.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The cushion part of the body belt shall contain no exposed rivets on the inside and shall be at least 76 millimeters (3 inches) in width.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Tool loops shall be situated on the body of a body belt so that the 100 millimeters (4 inches) of the body belt that is in the center of the back, measuring from D ring to D ring, is free of tool loops and any other attachments.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Copper, steel, or equivalent liners shall be used around the bars of D rings to prevent wear between these members and the leather or fabric enclosing them.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 Snaphooks shall be of the locking type meeting the following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locking mechanism shall first be released, or a destructive force shall be placed on the keeper, before the keeper will open.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force in the range of 6.7 N (1.5 lbf) to 17.8 N (4 lbf) shall be required to release the locking mechanism.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With the locking mechanism released and with a force applied on the keeper against the face of the nose, the keeper may not begin to open with a force of 11.2 N (2.5 lbf) or less and shall begin to open with a maximum force of 17.8 N (4 lbf).</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 Body belts and positioning straps shall be capable of withstanding a drop test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test mass shall be rigidly constructed of steel or equivalent material with a mass of 100 kg (220.5 lbm). For work-positioning equipment used by employees weighing more than 140 kg (310 lbm) fully equipped, the test mass shall be increased proportionately (that is, the test mass must equal the mass of the equipped worker divided by 1.4).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For body belts, the body belt shall be fitted snugly around the test mass and shall be attached to the test-structure anchorage point by means of a wire rope.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For positioning straps, the strap shall be adjusted to its shortest length possible to accommodate the test and connected to the test-structure anchorage point at one end and to the test mass on the other end.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test mass shall be dropped an unobstructed distance of 1 meter (39.4 inches) from a supporting structure that will sustain minimal deflection during the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Body belts shall successfully arrest the fall of the test mass and shall be capable of supporting the mass after the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(F) Positioning straps shall successfully arrest the fall of the test mass without breaking, and the arrest force may not exceed 17.8 kilonewtons (4,000 pounds-force). Additionally, snaphooks on positioning straps may not distort to such an extent that the keeper would release.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When used by employees weighing no more than 140 kg (310 lbm) fully equipped, body belts and positioning straps that conform to American Society of Testing and Materials </w:t>
      </w:r>
      <w:r w:rsidRPr="009F74C5">
        <w:rPr>
          <w:rFonts w:ascii="Arial" w:eastAsia="Times New Roman" w:hAnsi="Arial" w:cs="Arial"/>
          <w:i/>
          <w:iCs/>
          <w:sz w:val="18"/>
          <w:szCs w:val="18"/>
        </w:rPr>
        <w:t>Standard Specifications for Personal Climbing Equipment,</w:t>
      </w:r>
      <w:r w:rsidRPr="009F74C5">
        <w:rPr>
          <w:rFonts w:ascii="Arial" w:eastAsia="Times New Roman" w:hAnsi="Arial" w:cs="Arial"/>
          <w:sz w:val="18"/>
          <w:szCs w:val="18"/>
        </w:rPr>
        <w:t xml:space="preserve"> ASTM F887-12</w:t>
      </w:r>
      <w:r w:rsidRPr="009F74C5">
        <w:rPr>
          <w:rFonts w:ascii="Arial" w:eastAsia="Times New Roman" w:hAnsi="Arial" w:cs="Arial"/>
          <w:sz w:val="13"/>
          <w:szCs w:val="13"/>
          <w:vertAlign w:val="superscript"/>
        </w:rPr>
        <w:t>e1</w:t>
      </w:r>
      <w:r w:rsidRPr="009F74C5">
        <w:rPr>
          <w:rFonts w:ascii="Arial" w:eastAsia="Times New Roman" w:hAnsi="Arial" w:cs="Arial"/>
          <w:sz w:val="18"/>
          <w:szCs w:val="18"/>
        </w:rPr>
        <w:t>, are deemed to be in compliance with paragraph (b)(2)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Care and use of personal fall protection equipment.</w:t>
      </w:r>
      <w:r w:rsidRPr="009F74C5">
        <w:rPr>
          <w:rFonts w:ascii="Arial" w:eastAsia="Times New Roman" w:hAnsi="Arial" w:cs="Arial"/>
          <w:sz w:val="20"/>
          <w:szCs w:val="20"/>
        </w:rPr>
        <w:t xml:space="preserve"> (i) Work-positioning equipment shall be inspected before use each day to determine that the equipment is in safe working condition. Work-positioning equipment that is not in safe working condition may not be used.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Appendix F to this subpart contains guidelines for inspecting work-positioning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Personal fall arrest systems shall be used in accordance with §1926.502(d).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Fall protection equipment rigged to arrest falls is considered a fall arrest system and must meet the applicable requirements for the design and use of those systems. Fall protection equipment rigged for work positioning is considered work-positioning equipment and must meet the applicable requirements for the design and use of that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employees use fall protection systems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Each employee working from an aerial lift shall use a fall restraint system or a personal fall arrest system. Paragraph (b)(2)(v) of §1926.453 does not apply.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Except as provided in paragraph (b)(3)(iii)(C) of this section, each employee in elevated locations more than 1.2 meters (4 feet) above the ground on poles, towers, or similar structures shall use a personal fall arrest system, work-positioning equipment, or fall restraint system, as appropriate, if the employer has not provided other fall protection meeting subpart M of this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Until March 31, 2015, a qualified employee climbing or changing location on poles, towers, or similar structures need not use fall protection equipment, unless conditions, such as, but not limited to, ice, high winds, the design of the structure (for example, no provision for holding on with hands), or the presence of contaminants on the structure, could cause the employee to lose his or her grip or footing. On and after April 1, 2015, each qualified employee climbing or changing location on poles, towers, or similar structures must use fall protection equipment unless the employer can demonstrate that climbing or changing location with fall protection is infeasible or creates a greater hazard than climbing or changing location without it.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1 to paragraphs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iii</w:t>
      </w:r>
      <w:r w:rsidRPr="009F74C5">
        <w:rPr>
          <w:rFonts w:ascii="Arial" w:eastAsia="Times New Roman" w:hAnsi="Arial" w:cs="Arial"/>
          <w:smallCaps/>
          <w:sz w:val="18"/>
          <w:szCs w:val="18"/>
        </w:rPr>
        <w:t>)(B) and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iii</w:t>
      </w:r>
      <w:r w:rsidRPr="009F74C5">
        <w:rPr>
          <w:rFonts w:ascii="Arial" w:eastAsia="Times New Roman" w:hAnsi="Arial" w:cs="Arial"/>
          <w:smallCaps/>
          <w:sz w:val="18"/>
          <w:szCs w:val="18"/>
        </w:rPr>
        <w:t>)(C):</w:t>
      </w:r>
      <w:r w:rsidRPr="009F74C5">
        <w:rPr>
          <w:rFonts w:ascii="Arial" w:eastAsia="Times New Roman" w:hAnsi="Arial" w:cs="Arial"/>
          <w:sz w:val="18"/>
          <w:szCs w:val="18"/>
        </w:rPr>
        <w:t xml:space="preserve"> These paragraphs apply to structures that support overhead electric power transmission and distribution lines and equipment. They do not apply to portions of buildings, such as loading docks, or to electric equipment, such as transformers and capacitors. Subpart M of this part contains the duty to provide fall protection associated with walking and working surfaces.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2 to paragraphs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iii</w:t>
      </w:r>
      <w:r w:rsidRPr="009F74C5">
        <w:rPr>
          <w:rFonts w:ascii="Arial" w:eastAsia="Times New Roman" w:hAnsi="Arial" w:cs="Arial"/>
          <w:smallCaps/>
          <w:sz w:val="18"/>
          <w:szCs w:val="18"/>
        </w:rPr>
        <w:t>)(B) and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iii</w:t>
      </w:r>
      <w:r w:rsidRPr="009F74C5">
        <w:rPr>
          <w:rFonts w:ascii="Arial" w:eastAsia="Times New Roman" w:hAnsi="Arial" w:cs="Arial"/>
          <w:smallCaps/>
          <w:sz w:val="18"/>
          <w:szCs w:val="18"/>
        </w:rPr>
        <w:t>)(C):</w:t>
      </w:r>
      <w:r w:rsidRPr="009F74C5">
        <w:rPr>
          <w:rFonts w:ascii="Arial" w:eastAsia="Times New Roman" w:hAnsi="Arial" w:cs="Arial"/>
          <w:sz w:val="18"/>
          <w:szCs w:val="18"/>
        </w:rPr>
        <w:t xml:space="preserve"> Until the employer ensures that employees are proficient in climbing and the use of fall protection under §1926.950(b)(7), the employees are not considered “qualified employees” for the purposes of paragraphs (b)(3)(iii)(B) and (b)(3)(iii)(C) of this section. These paragraphs require unqualified employees (including trainees) to use fall protection any time they are more than 1.2 meters (4 feet) above the ground.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On and after April 1, 2015, work-positioning systems shall be rigged so that an employee can free fall no more than 0.6 meters (2 feet).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 Anchorages for work-positioning equipment shall be capable of supporting at least twice the potential impact load of an employee's fall, or 13.3 kilonewtons (3,000 pounds-force), whichever is greater.</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)(3)(</w:t>
      </w:r>
      <w:r w:rsidRPr="009F74C5">
        <w:rPr>
          <w:rFonts w:ascii="Arial" w:eastAsia="Times New Roman" w:hAnsi="Arial" w:cs="Arial"/>
          <w:sz w:val="18"/>
          <w:szCs w:val="18"/>
        </w:rPr>
        <w:t>v</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Wood-pole fall-restriction devices meeting American Society of Testing and Materials </w:t>
      </w:r>
      <w:r w:rsidRPr="009F74C5">
        <w:rPr>
          <w:rFonts w:ascii="Arial" w:eastAsia="Times New Roman" w:hAnsi="Arial" w:cs="Arial"/>
          <w:i/>
          <w:iCs/>
          <w:sz w:val="18"/>
          <w:szCs w:val="18"/>
        </w:rPr>
        <w:t>Standard Specifications for Personal Climbing Equipment,</w:t>
      </w:r>
      <w:r w:rsidRPr="009F74C5">
        <w:rPr>
          <w:rFonts w:ascii="Arial" w:eastAsia="Times New Roman" w:hAnsi="Arial" w:cs="Arial"/>
          <w:sz w:val="18"/>
          <w:szCs w:val="18"/>
        </w:rPr>
        <w:t xml:space="preserve"> ASTM F887-12</w:t>
      </w:r>
      <w:r w:rsidRPr="009F74C5">
        <w:rPr>
          <w:rFonts w:ascii="Arial" w:eastAsia="Times New Roman" w:hAnsi="Arial" w:cs="Arial"/>
          <w:sz w:val="13"/>
          <w:szCs w:val="13"/>
          <w:vertAlign w:val="superscript"/>
        </w:rPr>
        <w:t>e1</w:t>
      </w:r>
      <w:r w:rsidRPr="009F74C5">
        <w:rPr>
          <w:rFonts w:ascii="Arial" w:eastAsia="Times New Roman" w:hAnsi="Arial" w:cs="Arial"/>
          <w:sz w:val="18"/>
          <w:szCs w:val="18"/>
        </w:rPr>
        <w:t>, are deemed to meet the anchorage-strength requirement when they are used in accordance with manufacturers' instructions.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Unless the snaphook is a locking type and designed specifically for the following connections, snaphooks on work-positioning equipment may not be engaged: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Directly to webbing, rope, or wire rope;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To each other;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To a D ring to which another snaphook or other connector is attached;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To a horizontal lifeline;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To any object that is incompatibly shaped or dimensioned in relation to the snaphook such that accidental disengagement could occur should the connected object sufficiently depress the snaphook keeper to allow release of the object.</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8" w:anchor="_top" w:history="1">
        <w:r w:rsidR="00D70103">
          <w:rPr>
            <w:rFonts w:ascii="Arial" w:eastAsia="Times New Roman" w:hAnsi="Arial" w:cs="Arial"/>
            <w:noProof/>
            <w:color w:val="0000FF"/>
            <w:sz w:val="17"/>
            <w:szCs w:val="17"/>
          </w:rPr>
          <w:drawing>
            <wp:inline distT="0" distB="0" distL="0" distR="0" wp14:anchorId="4957DE2B" wp14:editId="4AF2F25C">
              <wp:extent cx="152400" cy="152400"/>
              <wp:effectExtent l="0" t="0" r="0" b="0"/>
              <wp:docPr id="201" name="Picture 20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4" w:name="se29.8.1926_1955"/>
      <w:bookmarkEnd w:id="24"/>
      <w:r w:rsidRPr="009F74C5">
        <w:rPr>
          <w:rFonts w:ascii="Arial" w:eastAsia="Times New Roman" w:hAnsi="Arial" w:cs="Arial"/>
          <w:b/>
          <w:bCs/>
          <w:sz w:val="20"/>
          <w:szCs w:val="20"/>
        </w:rPr>
        <w:t>§1926.955   Portable ladders and platforms.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Requirements for portable ladders contained in subpart X of this part apply in addition to the requirements of this section, except as specifically noted in paragraph (b)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Special ladders and platforms.</w:t>
      </w:r>
      <w:r w:rsidRPr="009F74C5">
        <w:rPr>
          <w:rFonts w:ascii="Arial" w:eastAsia="Times New Roman" w:hAnsi="Arial" w:cs="Arial"/>
          <w:sz w:val="20"/>
          <w:szCs w:val="20"/>
        </w:rPr>
        <w:t xml:space="preserve"> Portable ladders used on structures or conductors in conjunction with overhead line work need not meet §1926.1053(b)(5)(i) and (b)(12). Portable ladders and platforms used on structures or conductors in conjunction with overhead line work shall meet the following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Design load.</w:t>
      </w:r>
      <w:r w:rsidRPr="009F74C5">
        <w:rPr>
          <w:rFonts w:ascii="Arial" w:eastAsia="Times New Roman" w:hAnsi="Arial" w:cs="Arial"/>
          <w:sz w:val="20"/>
          <w:szCs w:val="20"/>
        </w:rPr>
        <w:t xml:space="preserve"> In the configurations in which they are used, portable platforms shall be capable of supporting without failure at least 2.5 times the maximum intended load.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Maximum load.</w:t>
      </w:r>
      <w:r w:rsidRPr="009F74C5">
        <w:rPr>
          <w:rFonts w:ascii="Arial" w:eastAsia="Times New Roman" w:hAnsi="Arial" w:cs="Arial"/>
          <w:sz w:val="20"/>
          <w:szCs w:val="20"/>
        </w:rPr>
        <w:t xml:space="preserve"> Portable ladders and platforms may not be loaded in excess of the working loads for which they are designed.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Securing in place.</w:t>
      </w:r>
      <w:r w:rsidRPr="009F74C5">
        <w:rPr>
          <w:rFonts w:ascii="Arial" w:eastAsia="Times New Roman" w:hAnsi="Arial" w:cs="Arial"/>
          <w:sz w:val="20"/>
          <w:szCs w:val="20"/>
        </w:rPr>
        <w:t xml:space="preserve"> Portable ladders and platforms shall be secured to prevent them from becoming dislodged.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Intended use.</w:t>
      </w:r>
      <w:r w:rsidRPr="009F74C5">
        <w:rPr>
          <w:rFonts w:ascii="Arial" w:eastAsia="Times New Roman" w:hAnsi="Arial" w:cs="Arial"/>
          <w:sz w:val="20"/>
          <w:szCs w:val="20"/>
        </w:rPr>
        <w:t xml:space="preserve"> Portable ladders and platforms may be used only in applications for which they are designed.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Conductive ladders.</w:t>
      </w:r>
      <w:r w:rsidRPr="009F74C5">
        <w:rPr>
          <w:rFonts w:ascii="Arial" w:eastAsia="Times New Roman" w:hAnsi="Arial" w:cs="Arial"/>
          <w:sz w:val="20"/>
          <w:szCs w:val="20"/>
        </w:rPr>
        <w:t xml:space="preserve"> Portable metal ladders and other portable conductive ladders may not be used near exposed energized lines or equipment. However, in specialized high-voltage work, conductive ladders shall be used when the employer demonstrates that nonconductive ladders would present a greater hazard to employees than conductive ladders.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39" w:anchor="_top" w:history="1">
        <w:r w:rsidR="00D70103">
          <w:rPr>
            <w:rFonts w:ascii="Arial" w:eastAsia="Times New Roman" w:hAnsi="Arial" w:cs="Arial"/>
            <w:noProof/>
            <w:color w:val="0000FF"/>
            <w:sz w:val="17"/>
            <w:szCs w:val="17"/>
          </w:rPr>
          <w:drawing>
            <wp:inline distT="0" distB="0" distL="0" distR="0" wp14:anchorId="65488BFC" wp14:editId="2B2F3736">
              <wp:extent cx="152400" cy="152400"/>
              <wp:effectExtent l="0" t="0" r="0" b="0"/>
              <wp:docPr id="200" name="Picture 20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5" w:name="se29.8.1926_1956"/>
      <w:bookmarkEnd w:id="25"/>
      <w:r w:rsidRPr="009F74C5">
        <w:rPr>
          <w:rFonts w:ascii="Arial" w:eastAsia="Times New Roman" w:hAnsi="Arial" w:cs="Arial"/>
          <w:b/>
          <w:bCs/>
          <w:sz w:val="20"/>
          <w:szCs w:val="20"/>
        </w:rPr>
        <w:t>§1926.956   Hand and portable power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Paragraph (b) of this section applies to electric equipment connected by cord and plug. Paragraph (c) of this section applies to portable and vehicle-mounted generators used to supply cord- and plug-connected equipment. Paragraph (d) of this section applies to hydraulic and pneumatic tools.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Cord- and plug-connected equipment.</w:t>
      </w:r>
      <w:r w:rsidRPr="009F74C5">
        <w:rPr>
          <w:rFonts w:ascii="Arial" w:eastAsia="Times New Roman" w:hAnsi="Arial" w:cs="Arial"/>
          <w:sz w:val="20"/>
          <w:szCs w:val="20"/>
        </w:rPr>
        <w:t xml:space="preserve"> Cord- and plug-connected equipment not covered by subpart K of this part shall comply with one of the following instead of §1926.302(a)(1):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equipment shall be equipped with a cord containing an equipment grounding conductor connected to the equipment frame and to a means for grounding the other end of the conductor (however, this option may not be used where the introduction of the ground into the work environment increases the hazard to an employee);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equipment shall be of the double-insulated type conforming to subpart K of this part;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equipment shall be connected to the power supply through an isolating transformer with an ungrounded secondary of not more than 50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Portable and vehicle-mounted generators.</w:t>
      </w:r>
      <w:r w:rsidRPr="009F74C5">
        <w:rPr>
          <w:rFonts w:ascii="Arial" w:eastAsia="Times New Roman" w:hAnsi="Arial" w:cs="Arial"/>
          <w:sz w:val="20"/>
          <w:szCs w:val="20"/>
        </w:rPr>
        <w:t xml:space="preserve"> Portable and vehicle-mounted generators used to supply cord- and plug-connected equipment covered by paragraph (b) of this section shall meet the following requirements: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Equipment to be supplied.</w:t>
      </w:r>
      <w:r w:rsidRPr="009F74C5">
        <w:rPr>
          <w:rFonts w:ascii="Arial" w:eastAsia="Times New Roman" w:hAnsi="Arial" w:cs="Arial"/>
          <w:sz w:val="20"/>
          <w:szCs w:val="20"/>
        </w:rPr>
        <w:t xml:space="preserve"> The generator may only supply equipment located on the generator or the vehicle and cord- and plug-connected equipment through receptacles mounted on the generator or the vehicle.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Equipment grounding.</w:t>
      </w:r>
      <w:r w:rsidRPr="009F74C5">
        <w:rPr>
          <w:rFonts w:ascii="Arial" w:eastAsia="Times New Roman" w:hAnsi="Arial" w:cs="Arial"/>
          <w:sz w:val="20"/>
          <w:szCs w:val="20"/>
        </w:rPr>
        <w:t xml:space="preserve"> The non-current-carrying metal parts of equipment and the equipment grounding conductor terminals of the receptacles shall be bonded to the generator frame.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Bonding the frame.</w:t>
      </w:r>
      <w:r w:rsidRPr="009F74C5">
        <w:rPr>
          <w:rFonts w:ascii="Arial" w:eastAsia="Times New Roman" w:hAnsi="Arial" w:cs="Arial"/>
          <w:sz w:val="20"/>
          <w:szCs w:val="20"/>
        </w:rPr>
        <w:t xml:space="preserve"> For vehicle-mounted generators, the frame of the generator shall be bonded to the vehicle frame.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Bonding the neutral conductor.</w:t>
      </w:r>
      <w:r w:rsidRPr="009F74C5">
        <w:rPr>
          <w:rFonts w:ascii="Arial" w:eastAsia="Times New Roman" w:hAnsi="Arial" w:cs="Arial"/>
          <w:sz w:val="20"/>
          <w:szCs w:val="20"/>
        </w:rPr>
        <w:t xml:space="preserve"> Any neutral conductor shall be bonded to the generator frame.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Hydraulic and pneumatic tools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Hydraulic fluid in insulating tools.</w:t>
      </w:r>
      <w:r w:rsidRPr="009F74C5">
        <w:rPr>
          <w:rFonts w:ascii="Arial" w:eastAsia="Times New Roman" w:hAnsi="Arial" w:cs="Arial"/>
          <w:sz w:val="20"/>
          <w:szCs w:val="20"/>
        </w:rPr>
        <w:t xml:space="preserve"> Paragraph (d)(1) of §1926.302 does not apply to hydraulic fluid used in insulating sections of hydraulic tools.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Operating pressure.</w:t>
      </w:r>
      <w:r w:rsidRPr="009F74C5">
        <w:rPr>
          <w:rFonts w:ascii="Arial" w:eastAsia="Times New Roman" w:hAnsi="Arial" w:cs="Arial"/>
          <w:sz w:val="20"/>
          <w:szCs w:val="20"/>
        </w:rPr>
        <w:t xml:space="preserve"> Safe operating pressures for hydraulic and pneumatic tools, hoses, valves, pipes, filters, and fittings may not be exceeded.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If any hazardous defects are present, no operating pressure is safe, and the hydraulic or pneumatic equipment involved may not be used. In the absence of defects, the maximum rated operating pressure is the maximum safe pressure.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Work near energized parts.</w:t>
      </w:r>
      <w:r w:rsidRPr="009F74C5">
        <w:rPr>
          <w:rFonts w:ascii="Arial" w:eastAsia="Times New Roman" w:hAnsi="Arial" w:cs="Arial"/>
          <w:sz w:val="20"/>
          <w:szCs w:val="20"/>
        </w:rPr>
        <w:t xml:space="preserve"> A hydraulic or pneumatic tool used where it may contact exposed energized parts shall be designed and maintained for such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Protection against vacuum formation.</w:t>
      </w:r>
      <w:r w:rsidRPr="009F74C5">
        <w:rPr>
          <w:rFonts w:ascii="Arial" w:eastAsia="Times New Roman" w:hAnsi="Arial" w:cs="Arial"/>
          <w:sz w:val="20"/>
          <w:szCs w:val="20"/>
        </w:rPr>
        <w:t xml:space="preserve"> The hydraulic system supplying a hydraulic tool used where it may contact exposed live parts shall provide protection against loss of insulating value, for the voltage involved, due to the formation of a partial vacuum in the hydraulic line.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)(4):</w:t>
      </w:r>
      <w:r w:rsidRPr="009F74C5">
        <w:rPr>
          <w:rFonts w:ascii="Arial" w:eastAsia="Times New Roman" w:hAnsi="Arial" w:cs="Arial"/>
          <w:sz w:val="18"/>
          <w:szCs w:val="18"/>
        </w:rPr>
        <w:t xml:space="preserve"> Use of hydraulic lines that do not have check valves and that have a separation of more than 10.7 meters (35 feet) between the oil reservoir and the upper end of the hydraulic system promotes the formation of a partial vacuum.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Protection against the accumulation of moisture.</w:t>
      </w:r>
      <w:r w:rsidRPr="009F74C5">
        <w:rPr>
          <w:rFonts w:ascii="Arial" w:eastAsia="Times New Roman" w:hAnsi="Arial" w:cs="Arial"/>
          <w:sz w:val="20"/>
          <w:szCs w:val="20"/>
        </w:rPr>
        <w:t xml:space="preserve"> A pneumatic tool used on energized electric lines or equipment, or used where it may contact exposed live parts, shall provide protection against the accumulation of moisture in the air supply.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Breaking connections.</w:t>
      </w:r>
      <w:r w:rsidRPr="009F74C5">
        <w:rPr>
          <w:rFonts w:ascii="Arial" w:eastAsia="Times New Roman" w:hAnsi="Arial" w:cs="Arial"/>
          <w:sz w:val="20"/>
          <w:szCs w:val="20"/>
        </w:rPr>
        <w:t xml:space="preserve"> Pressure shall be released before connections are broken, unless quick-acting, self-closing connectors are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Leaks.</w:t>
      </w:r>
      <w:r w:rsidRPr="009F74C5">
        <w:rPr>
          <w:rFonts w:ascii="Arial" w:eastAsia="Times New Roman" w:hAnsi="Arial" w:cs="Arial"/>
          <w:sz w:val="20"/>
          <w:szCs w:val="20"/>
        </w:rPr>
        <w:t xml:space="preserve"> Employers must ensure that employees do not use any part of their bodies to locate, or attempt to stop, a hydraulic leak.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Hoses.</w:t>
      </w:r>
      <w:r w:rsidRPr="009F74C5">
        <w:rPr>
          <w:rFonts w:ascii="Arial" w:eastAsia="Times New Roman" w:hAnsi="Arial" w:cs="Arial"/>
          <w:sz w:val="20"/>
          <w:szCs w:val="20"/>
        </w:rPr>
        <w:t xml:space="preserve"> Hoses may not be kinked.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0" w:anchor="_top" w:history="1">
        <w:r w:rsidR="00D70103">
          <w:rPr>
            <w:rFonts w:ascii="Arial" w:eastAsia="Times New Roman" w:hAnsi="Arial" w:cs="Arial"/>
            <w:noProof/>
            <w:color w:val="0000FF"/>
            <w:sz w:val="17"/>
            <w:szCs w:val="17"/>
          </w:rPr>
          <w:drawing>
            <wp:inline distT="0" distB="0" distL="0" distR="0" wp14:anchorId="4D65E556" wp14:editId="591C0276">
              <wp:extent cx="152400" cy="152400"/>
              <wp:effectExtent l="0" t="0" r="0" b="0"/>
              <wp:docPr id="199" name="Picture 19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6" w:name="se29.8.1926_1957"/>
      <w:bookmarkEnd w:id="26"/>
      <w:r w:rsidRPr="009F74C5">
        <w:rPr>
          <w:rFonts w:ascii="Arial" w:eastAsia="Times New Roman" w:hAnsi="Arial" w:cs="Arial"/>
          <w:b/>
          <w:bCs/>
          <w:sz w:val="20"/>
          <w:szCs w:val="20"/>
        </w:rPr>
        <w:t>§1926.957   Live-line tools.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Design of tools.</w:t>
      </w:r>
      <w:r w:rsidRPr="009F74C5">
        <w:rPr>
          <w:rFonts w:ascii="Arial" w:eastAsia="Times New Roman" w:hAnsi="Arial" w:cs="Arial"/>
          <w:sz w:val="20"/>
          <w:szCs w:val="20"/>
        </w:rPr>
        <w:t xml:space="preserve"> Live-line tool rods, tubes, and poles shall be designed and constructed to withstand the following minimum tests: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Fiberglass-reinforced plastic.</w:t>
      </w:r>
      <w:r w:rsidRPr="009F74C5">
        <w:rPr>
          <w:rFonts w:ascii="Arial" w:eastAsia="Times New Roman" w:hAnsi="Arial" w:cs="Arial"/>
          <w:sz w:val="20"/>
          <w:szCs w:val="20"/>
        </w:rPr>
        <w:t xml:space="preserve"> If the tool is made of fiberglass-reinforced plastic (FRP), it shall withstand 328,100 volts per meter (100,000 volts per foot) of length for 5 minutes, or</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)(1):</w:t>
      </w:r>
      <w:r w:rsidRPr="009F74C5">
        <w:rPr>
          <w:rFonts w:ascii="Arial" w:eastAsia="Times New Roman" w:hAnsi="Arial" w:cs="Arial"/>
          <w:sz w:val="18"/>
          <w:szCs w:val="18"/>
        </w:rPr>
        <w:t xml:space="preserve"> Live-line tools using rod and tube that meet ASTM F711-02 (2007), </w:t>
      </w:r>
      <w:r w:rsidRPr="009F74C5">
        <w:rPr>
          <w:rFonts w:ascii="Arial" w:eastAsia="Times New Roman" w:hAnsi="Arial" w:cs="Arial"/>
          <w:i/>
          <w:iCs/>
          <w:sz w:val="18"/>
          <w:szCs w:val="18"/>
        </w:rPr>
        <w:t>Standard Specification for Fiberglass-Reinforced Plastic (FRP) Rod and Tube Used in Live Line Tools,</w:t>
      </w:r>
      <w:r w:rsidRPr="009F74C5">
        <w:rPr>
          <w:rFonts w:ascii="Arial" w:eastAsia="Times New Roman" w:hAnsi="Arial" w:cs="Arial"/>
          <w:sz w:val="18"/>
          <w:szCs w:val="18"/>
        </w:rPr>
        <w:t xml:space="preserve"> are deemed to comply with paragraph (a)(1)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Wood.</w:t>
      </w:r>
      <w:r w:rsidRPr="009F74C5">
        <w:rPr>
          <w:rFonts w:ascii="Arial" w:eastAsia="Times New Roman" w:hAnsi="Arial" w:cs="Arial"/>
          <w:sz w:val="20"/>
          <w:szCs w:val="20"/>
        </w:rPr>
        <w:t xml:space="preserve"> If the tool is made of wood, it shall withstand 246,100 volts per meter (75,000 volts per foot) of length for 3 minutes,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Equivalent tests.</w:t>
      </w:r>
      <w:r w:rsidRPr="009F74C5">
        <w:rPr>
          <w:rFonts w:ascii="Arial" w:eastAsia="Times New Roman" w:hAnsi="Arial" w:cs="Arial"/>
          <w:sz w:val="20"/>
          <w:szCs w:val="20"/>
        </w:rPr>
        <w:t xml:space="preserve"> The tool shall withstand other tests that the employer can demonstrate are equivalent.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Condition of tools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Daily inspection.</w:t>
      </w:r>
      <w:r w:rsidRPr="009F74C5">
        <w:rPr>
          <w:rFonts w:ascii="Arial" w:eastAsia="Times New Roman" w:hAnsi="Arial" w:cs="Arial"/>
          <w:sz w:val="20"/>
          <w:szCs w:val="20"/>
        </w:rPr>
        <w:t xml:space="preserve"> Each live-line tool shall be wiped clean and visually inspected for defects before use each day.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Defects.</w:t>
      </w:r>
      <w:r w:rsidRPr="009F74C5">
        <w:rPr>
          <w:rFonts w:ascii="Arial" w:eastAsia="Times New Roman" w:hAnsi="Arial" w:cs="Arial"/>
          <w:sz w:val="20"/>
          <w:szCs w:val="20"/>
        </w:rPr>
        <w:t xml:space="preserve"> If any defect or contamination that could adversely affect the insulating qualities or mechanical integrity of the live-line tool is present after wiping, the tool shall be removed from service and examined and tested according to paragraph (b)(3) of this section before being returned to service.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Biennial inspection and testing.</w:t>
      </w:r>
      <w:r w:rsidRPr="009F74C5">
        <w:rPr>
          <w:rFonts w:ascii="Arial" w:eastAsia="Times New Roman" w:hAnsi="Arial" w:cs="Arial"/>
          <w:sz w:val="20"/>
          <w:szCs w:val="20"/>
        </w:rPr>
        <w:t xml:space="preserve"> Live-line tools used for primary employee protection shall be removed from service every 2 years, and whenever required under paragraph (b)(2) of this section, for examination, cleaning, repair, and testing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Each tool shall be thoroughly examined for defects.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If a defect or contamination that could adversely affect the insulating qualities or mechanical integrity of the live-line tool is found, the tool shall be repaired and refinished or shall be permanently removed from service. If no such defect or contamination is found, the tool shall be cleaned and waxed.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tool shall be tested in accordance with paragraphs (b)(3)(iv) and (b)(3)(v) of this section under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After the tool has been repaired or refinished;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After the examination if repair or refinishing is not performed, unless the tool is made of FRP rod or foam-filled FRP tube and the employer can demonstrate that the tool has no defects that could cause it to fail during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test method used shall be designed to verify the tool's integrity along its entire working length and, if the tool is made of fiberglass-reinforced plastic, its integrity under wet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voltage applied during the tests shall be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246,100 volts per meter (75,000 volts per foot) of length for 1 minute if the tool is made of fiberglass,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164,000 volts per meter (50,000 volts per foot) of length for 1 minute if the tool is made of wood,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Other tests that the employer can demonstrate are equivalent.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Guidelines for the examination, cleaning, repairing, and in-service testing of live-line tools are specified in the Institute of Electrical and Electronics Engineers' </w:t>
      </w:r>
      <w:r w:rsidRPr="009F74C5">
        <w:rPr>
          <w:rFonts w:ascii="Arial" w:eastAsia="Times New Roman" w:hAnsi="Arial" w:cs="Arial"/>
          <w:i/>
          <w:iCs/>
          <w:sz w:val="18"/>
          <w:szCs w:val="18"/>
        </w:rPr>
        <w:t>IEEE Guide for Maintenance Methods on Energized Power Lines,</w:t>
      </w:r>
      <w:r w:rsidRPr="009F74C5">
        <w:rPr>
          <w:rFonts w:ascii="Arial" w:eastAsia="Times New Roman" w:hAnsi="Arial" w:cs="Arial"/>
          <w:sz w:val="18"/>
          <w:szCs w:val="18"/>
        </w:rPr>
        <w:t xml:space="preserve"> IEEE Std 516-2009.</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1" w:anchor="_top" w:history="1">
        <w:r w:rsidR="00D70103">
          <w:rPr>
            <w:rFonts w:ascii="Arial" w:eastAsia="Times New Roman" w:hAnsi="Arial" w:cs="Arial"/>
            <w:noProof/>
            <w:color w:val="0000FF"/>
            <w:sz w:val="17"/>
            <w:szCs w:val="17"/>
          </w:rPr>
          <w:drawing>
            <wp:inline distT="0" distB="0" distL="0" distR="0" wp14:anchorId="22974A20" wp14:editId="21037EA0">
              <wp:extent cx="152400" cy="152400"/>
              <wp:effectExtent l="0" t="0" r="0" b="0"/>
              <wp:docPr id="198" name="Picture 19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7" w:name="se29.8.1926_1958"/>
      <w:bookmarkEnd w:id="27"/>
      <w:r w:rsidRPr="009F74C5">
        <w:rPr>
          <w:rFonts w:ascii="Arial" w:eastAsia="Times New Roman" w:hAnsi="Arial" w:cs="Arial"/>
          <w:b/>
          <w:bCs/>
          <w:sz w:val="20"/>
          <w:szCs w:val="20"/>
        </w:rPr>
        <w:t>§1926.958   Materials handling and storage.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Materials handling and storage shall comply with applicable material-handling and material-storage requirements in this part, including those in subparts N and CC of this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Materials storage near energized lines or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Unrestricted areas.</w:t>
      </w:r>
      <w:r w:rsidRPr="009F74C5">
        <w:rPr>
          <w:rFonts w:ascii="Arial" w:eastAsia="Times New Roman" w:hAnsi="Arial" w:cs="Arial"/>
          <w:sz w:val="20"/>
          <w:szCs w:val="20"/>
        </w:rPr>
        <w:t xml:space="preserve"> In areas to which access is not restricted to qualified persons only, materials or equipment may not be stored closer to energized lines or exposed energized parts of equipment than the following distances, plus a distance that provides for the maximum sag and side swing of all conductors and for the height and movement of material-handling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For lines and equipment energized at 50 kilovolts or less, the distance is 3.05 meters (10 feet).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lines and equipment energized at more than 50 kilovolts, the distance is 3.05 meters (10 feet) plus 0.10 meter (4 inches) for every 10 kilovolts over 50 kilovolts.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Restricted areas.</w:t>
      </w:r>
      <w:r w:rsidRPr="009F74C5">
        <w:rPr>
          <w:rFonts w:ascii="Arial" w:eastAsia="Times New Roman" w:hAnsi="Arial" w:cs="Arial"/>
          <w:sz w:val="20"/>
          <w:szCs w:val="20"/>
        </w:rPr>
        <w:t xml:space="preserve"> In areas restricted to qualified employees, materials may not be stored within the working space about energized lines or equipment.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Paragraph (b) of §1926.966 specifies the size of the working space.</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2" w:anchor="_top" w:history="1">
        <w:r w:rsidR="00D70103">
          <w:rPr>
            <w:rFonts w:ascii="Arial" w:eastAsia="Times New Roman" w:hAnsi="Arial" w:cs="Arial"/>
            <w:noProof/>
            <w:color w:val="0000FF"/>
            <w:sz w:val="17"/>
            <w:szCs w:val="17"/>
          </w:rPr>
          <w:drawing>
            <wp:inline distT="0" distB="0" distL="0" distR="0" wp14:anchorId="1E1D812A" wp14:editId="6CF0F535">
              <wp:extent cx="152400" cy="152400"/>
              <wp:effectExtent l="0" t="0" r="0" b="0"/>
              <wp:docPr id="197" name="Picture 19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8" w:name="se29.8.1926_1959"/>
      <w:bookmarkEnd w:id="28"/>
      <w:r w:rsidRPr="009F74C5">
        <w:rPr>
          <w:rFonts w:ascii="Arial" w:eastAsia="Times New Roman" w:hAnsi="Arial" w:cs="Arial"/>
          <w:b/>
          <w:bCs/>
          <w:sz w:val="20"/>
          <w:szCs w:val="20"/>
        </w:rPr>
        <w:t>§1926.959   Mechanical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 requirements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Other applicable requirements.</w:t>
      </w:r>
      <w:r w:rsidRPr="009F74C5">
        <w:rPr>
          <w:rFonts w:ascii="Arial" w:eastAsia="Times New Roman" w:hAnsi="Arial" w:cs="Arial"/>
          <w:sz w:val="20"/>
          <w:szCs w:val="20"/>
        </w:rPr>
        <w:t xml:space="preserve"> Mechanical equipment shall be operated in accordance with applicable requirements in this part, including subparts N, O, and CC of this part, except that §1926.600(a)(6) does not apply to operations performed by qualified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Inspection before use.</w:t>
      </w:r>
      <w:r w:rsidRPr="009F74C5">
        <w:rPr>
          <w:rFonts w:ascii="Arial" w:eastAsia="Times New Roman" w:hAnsi="Arial" w:cs="Arial"/>
          <w:sz w:val="20"/>
          <w:szCs w:val="20"/>
        </w:rPr>
        <w:t xml:space="preserve"> The critical safety components of mechanical elevating and rotating equipment shall receive a thorough visual inspection before use on each shift.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Critical safety components of mechanical elevating and rotating equipment are components for which failure would result in free fall or free rotation of the boom.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Operator.</w:t>
      </w:r>
      <w:r w:rsidRPr="009F74C5">
        <w:rPr>
          <w:rFonts w:ascii="Arial" w:eastAsia="Times New Roman" w:hAnsi="Arial" w:cs="Arial"/>
          <w:sz w:val="20"/>
          <w:szCs w:val="20"/>
        </w:rPr>
        <w:t xml:space="preserve"> The operator of an electric line truck may not leave his or her position at the controls while a load is suspended, unless the employer can demonstrate that no employee (including the operator) is endangered.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Outriggers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Extend outriggers.</w:t>
      </w:r>
      <w:r w:rsidRPr="009F74C5">
        <w:rPr>
          <w:rFonts w:ascii="Arial" w:eastAsia="Times New Roman" w:hAnsi="Arial" w:cs="Arial"/>
          <w:sz w:val="20"/>
          <w:szCs w:val="20"/>
        </w:rPr>
        <w:t xml:space="preserve"> Mobile equipment, if provided with outriggers, shall be operated with the outriggers extended and firmly set, except as provided in paragraph (b)(3)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Clear view.</w:t>
      </w:r>
      <w:r w:rsidRPr="009F74C5">
        <w:rPr>
          <w:rFonts w:ascii="Arial" w:eastAsia="Times New Roman" w:hAnsi="Arial" w:cs="Arial"/>
          <w:sz w:val="20"/>
          <w:szCs w:val="20"/>
        </w:rPr>
        <w:t xml:space="preserve"> Outriggers may not be extended or retracted outside of the clear view of the operator unless all employees are outside the range of possible equipment motion.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Operation without outriggers.</w:t>
      </w:r>
      <w:r w:rsidRPr="009F74C5">
        <w:rPr>
          <w:rFonts w:ascii="Arial" w:eastAsia="Times New Roman" w:hAnsi="Arial" w:cs="Arial"/>
          <w:sz w:val="20"/>
          <w:szCs w:val="20"/>
        </w:rPr>
        <w:t xml:space="preserve"> If the work area or the terrain precludes the use of outriggers, the equipment may be operated only within its maximum load ratings specified by the equipment manufacturer for the particular configuration of the equipment without outriggers.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Applied loads.</w:t>
      </w:r>
      <w:r w:rsidRPr="009F74C5">
        <w:rPr>
          <w:rFonts w:ascii="Arial" w:eastAsia="Times New Roman" w:hAnsi="Arial" w:cs="Arial"/>
          <w:sz w:val="20"/>
          <w:szCs w:val="20"/>
        </w:rPr>
        <w:t xml:space="preserve"> Mechanical equipment used to lift or move lines or other material shall be used within its maximum load rating and other design limitations for the conditions under which the mechanical equipment is being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Operations near energized lines or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Minimum approach distance.</w:t>
      </w:r>
      <w:r w:rsidRPr="009F74C5">
        <w:rPr>
          <w:rFonts w:ascii="Arial" w:eastAsia="Times New Roman" w:hAnsi="Arial" w:cs="Arial"/>
          <w:sz w:val="20"/>
          <w:szCs w:val="20"/>
        </w:rPr>
        <w:t xml:space="preserve"> Mechanical equipment shall be operated so that the minimum approach distances, established by the employer under §1926.960(c)(1)(i), are maintained from exposed energized lines and equipment. However, the insulated portion of an aerial lift operated by a qualified employee in the lift is exempt from this requirement if the applicable minimum approach distance is maintained between the uninsulated portions of the aerial lift and exposed objects having a different electrical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Observer.</w:t>
      </w:r>
      <w:r w:rsidRPr="009F74C5">
        <w:rPr>
          <w:rFonts w:ascii="Arial" w:eastAsia="Times New Roman" w:hAnsi="Arial" w:cs="Arial"/>
          <w:sz w:val="20"/>
          <w:szCs w:val="20"/>
        </w:rPr>
        <w:t xml:space="preserve"> A designated employee other than the equipment operator shall observe the approach distance to exposed lines and equipment and provide timely warnings before the minimum approach distance required by paragraph (d)(1) of this section is reached, unless the employer can demonstrate that the operator can accurately determine that the minimum approach distance is being maintained.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Extra precautions.</w:t>
      </w:r>
      <w:r w:rsidRPr="009F74C5">
        <w:rPr>
          <w:rFonts w:ascii="Arial" w:eastAsia="Times New Roman" w:hAnsi="Arial" w:cs="Arial"/>
          <w:sz w:val="20"/>
          <w:szCs w:val="20"/>
        </w:rPr>
        <w:t xml:space="preserve"> If, during operation of the mechanical equipment, that equipment could become energized, the operation also shall comply with at least one of paragraphs (d)(3)(i) through (d)(3)(iii)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energized lines or equipment exposed to contact shall be covered with insulating protective material that will withstand the type of contact that could be made during the operation.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mechanical equipment shall be insulated for the voltage involved. The mechanical equipment shall be positioned so that its uninsulated portions cannot approach the energized lines or equipment any closer than the minimum approach distances, established by the employer under §1926.960(c)(1)(i).</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Each employee shall be protected from hazards that could arise from mechanical equipment contact with energized lines or equipment. The measures used shall ensure that employees will not be exposed to hazardous differences in electric potential. Unless the employer can demonstrate that the methods in use protect each employee from the hazards that could arise if the mechanical equipment contacts the energized line or equipment, the measures used shall include all of the following techniques: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Using the best available ground to minimize the time the lines or electric equipment remain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Bonding mechanical equipment together to minimize potential differences,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Providing ground mats to extend areas of equipotential,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Employing insulating protective equipment or barricades to guard against any remaining hazardous electrical potential differences.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)(3)(</w:t>
      </w:r>
      <w:r w:rsidRPr="009F74C5">
        <w:rPr>
          <w:rFonts w:ascii="Arial" w:eastAsia="Times New Roman" w:hAnsi="Arial" w:cs="Arial"/>
          <w:sz w:val="18"/>
          <w:szCs w:val="18"/>
        </w:rPr>
        <w:t>iii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Appendix C to this subpart contains information on hazardous step and touch potentials and on methods of protecting employees from hazards resulting from such potentials.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3" w:anchor="_top" w:history="1">
        <w:r w:rsidR="00D70103">
          <w:rPr>
            <w:rFonts w:ascii="Arial" w:eastAsia="Times New Roman" w:hAnsi="Arial" w:cs="Arial"/>
            <w:noProof/>
            <w:color w:val="0000FF"/>
            <w:sz w:val="17"/>
            <w:szCs w:val="17"/>
          </w:rPr>
          <w:drawing>
            <wp:inline distT="0" distB="0" distL="0" distR="0" wp14:anchorId="72FBE0FF" wp14:editId="43F3824F">
              <wp:extent cx="152400" cy="152400"/>
              <wp:effectExtent l="0" t="0" r="0" b="0"/>
              <wp:docPr id="196" name="Picture 19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29" w:name="se29.8.1926_1960"/>
      <w:bookmarkEnd w:id="29"/>
      <w:r w:rsidRPr="009F74C5">
        <w:rPr>
          <w:rFonts w:ascii="Arial" w:eastAsia="Times New Roman" w:hAnsi="Arial" w:cs="Arial"/>
          <w:b/>
          <w:bCs/>
          <w:sz w:val="20"/>
          <w:szCs w:val="20"/>
        </w:rPr>
        <w:t>§1926.960   Working on or near exposed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applies to work on exposed live parts, or near enough to them to expose the employee to any hazard they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Qualified employees only.</w:t>
      </w:r>
      <w:r w:rsidRPr="009F74C5">
        <w:rPr>
          <w:rFonts w:ascii="Arial" w:eastAsia="Times New Roman" w:hAnsi="Arial" w:cs="Arial"/>
          <w:sz w:val="20"/>
          <w:szCs w:val="20"/>
        </w:rPr>
        <w:t xml:space="preserve"> (i) Only qualified employees may work on or with exposed energized lines or parts of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Only qualified employees may work in areas containing unguarded, uninsulated energized lines or parts of equipment operating at 50 volts or more.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Treat as energized.</w:t>
      </w:r>
      <w:r w:rsidRPr="009F74C5">
        <w:rPr>
          <w:rFonts w:ascii="Arial" w:eastAsia="Times New Roman" w:hAnsi="Arial" w:cs="Arial"/>
          <w:sz w:val="20"/>
          <w:szCs w:val="20"/>
        </w:rPr>
        <w:t xml:space="preserve"> Electric lines and equipment shall be considered and treated as energized unless they have been deenergized in accordance with §1926.961.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At least two employees.</w:t>
      </w:r>
      <w:r w:rsidRPr="009F74C5">
        <w:rPr>
          <w:rFonts w:ascii="Arial" w:eastAsia="Times New Roman" w:hAnsi="Arial" w:cs="Arial"/>
          <w:sz w:val="20"/>
          <w:szCs w:val="20"/>
        </w:rPr>
        <w:t xml:space="preserve"> (i) Except as provided in paragraph (b)(3)(ii) of this section, at least two employees shall be present while any employees perform the following types of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Installation, removal, or repair of lines energized at more than 600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Installation, removal, or repair of deenergized lines if an employee is exposed to contact with other parts energized at more than 600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Installation, removal, or repair of equipment, such as transformers, capacitors, and regulators, if an employee is exposed to contact with parts energized at more than 600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(D) Work involving the use of mechanical equipment, other than insulated aerial lifts, near parts energized at more than 600 volts,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Other work that exposes an employee to electrical hazards greater than, or equal to, the electrical hazards posed by operations listed specifically in paragraphs (b)(3)(i)(A) through (b)(3)(i)(D)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Paragraph (b)(3)(i) of this section does not apply to the following operations: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Routine circuit switching, when the employer can demonstrate that conditions at the site allow safe performance of this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Work performed with live-line tools when the position of the employee is such that he or she is neither within reach of, nor otherwise exposed to contact with, energized parts,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Emergency repairs to the extent necessary to safeguard the general public.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Live work</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Minimum approach distances.</w:t>
      </w:r>
      <w:r w:rsidRPr="009F74C5">
        <w:rPr>
          <w:rFonts w:ascii="Arial" w:eastAsia="Times New Roman" w:hAnsi="Arial" w:cs="Arial"/>
          <w:sz w:val="20"/>
          <w:szCs w:val="20"/>
        </w:rPr>
        <w:t xml:space="preserve"> (i) The employer shall establish minimum approach distances no less than the distances computed by Table V-2 for ac systems or Table V-7 for dc systems.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No later than April 1, 2015, for voltages over 72.5 kilovolts, the employer shall determine the maximum anticipated per-unit transient overvoltage, phase-to-ground, through an engineering analysis or assume a maximum anticipated per-unit transient overvoltage, phase-to-ground, in accordance with Table V-8. When the employer uses portable protective gaps to control the maximum transient overvoltage, the value of the maximum anticipated per-unit transient overvoltage, phase-to-ground, must provide for five standard deviations between the statistical sparkover voltage of the gap and the statistical withstand voltage corresponding to the electrical component of the minimum approach distance. The employer shall make any engineering analysis conducted to determine maximum anticipated per-unit transient overvoltage available upon request to employees and to the Assistant Secretary or designee for examination and copying.</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)(1)(</w:t>
      </w:r>
      <w:r w:rsidRPr="009F74C5">
        <w:rPr>
          <w:rFonts w:ascii="Arial" w:eastAsia="Times New Roman" w:hAnsi="Arial" w:cs="Arial"/>
          <w:sz w:val="18"/>
          <w:szCs w:val="18"/>
        </w:rPr>
        <w:t>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appendix B to this subpart for information on how to calculate the maximum anticipated per-unit transient overvoltage, phase-to-ground, when the employer uses portable protective gaps to reduce maximum transient overvoltages.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no employee approaches or takes any conductive object closer to exposed energized parts than the employer's established minimum approach distance, unless: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employee is insulated from the energized part (rubber insulating gloves or rubber insulating gloves and sleeves worn in accordance with paragraph (c)(2) of this section constitutes insulation of the employee from the energized part upon which the employee is working provided that the employee has control of the part in a manner sufficient to prevent exposure to uninsulated portions of the employee's body),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energized part is insulated from the employee and from any other conductive object at a different potential,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employee is insulated from any other exposed conductive object in accordance with the requirements for live-line barehand work in §1926.964(c).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Type of insulation.</w:t>
      </w:r>
      <w:r w:rsidRPr="009F74C5">
        <w:rPr>
          <w:rFonts w:ascii="Arial" w:eastAsia="Times New Roman" w:hAnsi="Arial" w:cs="Arial"/>
          <w:sz w:val="20"/>
          <w:szCs w:val="20"/>
        </w:rPr>
        <w:t xml:space="preserve"> (i) When an employee uses rubber insulating gloves as insulation from energized parts (under paragraph (c)(1)(iii)(A) of this section), the employer shall ensure that the </w:t>
      </w:r>
      <w:r w:rsidRPr="009F74C5">
        <w:rPr>
          <w:rFonts w:ascii="Arial" w:eastAsia="Times New Roman" w:hAnsi="Arial" w:cs="Arial"/>
          <w:sz w:val="20"/>
          <w:szCs w:val="20"/>
        </w:rPr>
        <w:lastRenderedPageBreak/>
        <w:t>employee also uses rubber insulating sleeves. However, an employee need not use rubber insulating sleeves if:</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Exposed energized parts on which the employee is not working are insulated from the employee;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When installing insulation for purposes of paragraph (c)(2)(i)(A) of this section, the employee installs the insulation from a position that does not expose his or her upper arm to contact with other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 an employee uses rubber insulating gloves or rubber insulating gloves and sleeves as insulation from energized parts (under paragraph (c)(1)(iii)(A) of this section), the employer shall ensure that the employee: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Puts on the rubber insulating gloves and sleeves in a position where he or she cannot reach into the minimum approach distance, established by the employer under paragraph (c)(1) of this section;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Does not remove the rubber insulating gloves and sleeves until he or she is in a position where he or she cannot reach into the minimum approach distance, established by the employer under paragraph (c)(1)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Working position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Working from below.</w:t>
      </w:r>
      <w:r w:rsidRPr="009F74C5">
        <w:rPr>
          <w:rFonts w:ascii="Arial" w:eastAsia="Times New Roman" w:hAnsi="Arial" w:cs="Arial"/>
          <w:sz w:val="20"/>
          <w:szCs w:val="20"/>
        </w:rPr>
        <w:t xml:space="preserve"> The employer shall ensure that each employee, to the extent that other safety-related conditions at the worksite permit, works in a position from which a slip or shock will not bring the employee's body into contact with exposed, uninsulated parts energized at a potential different from the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Requirements for working without electrical protective equipment.</w:t>
      </w:r>
      <w:r w:rsidRPr="009F74C5">
        <w:rPr>
          <w:rFonts w:ascii="Arial" w:eastAsia="Times New Roman" w:hAnsi="Arial" w:cs="Arial"/>
          <w:sz w:val="20"/>
          <w:szCs w:val="20"/>
        </w:rPr>
        <w:t xml:space="preserve"> When an employee performs work near exposed parts energized at more than 600 volts, but not more than 72.5 kilovolts, and is not wearing rubber insulating gloves, being protected by insulating equipment covering the energized parts, performing work using live-line tools, or performing live-line barehand work under §1926.964(c), the employee shall work from a position where he or she cannot reach into the minimum approach distance, established by the employer under paragraph (c)(1)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Making connections.</w:t>
      </w:r>
      <w:r w:rsidRPr="009F74C5">
        <w:rPr>
          <w:rFonts w:ascii="Arial" w:eastAsia="Times New Roman" w:hAnsi="Arial" w:cs="Arial"/>
          <w:sz w:val="20"/>
          <w:szCs w:val="20"/>
        </w:rPr>
        <w:t xml:space="preserve"> The employer shall ensure that employees make connections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Connecting.</w:t>
      </w:r>
      <w:r w:rsidRPr="009F74C5">
        <w:rPr>
          <w:rFonts w:ascii="Arial" w:eastAsia="Times New Roman" w:hAnsi="Arial" w:cs="Arial"/>
          <w:sz w:val="20"/>
          <w:szCs w:val="20"/>
        </w:rPr>
        <w:t xml:space="preserve"> In connecting deenergized equipment or lines to an energized circuit by means of a conducting wire or device, an employee shall first attach the wire to the deenergized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Disconnecting.</w:t>
      </w:r>
      <w:r w:rsidRPr="009F74C5">
        <w:rPr>
          <w:rFonts w:ascii="Arial" w:eastAsia="Times New Roman" w:hAnsi="Arial" w:cs="Arial"/>
          <w:sz w:val="20"/>
          <w:szCs w:val="20"/>
        </w:rPr>
        <w:t xml:space="preserve"> When disconnecting equipment or lines from an energized circuit by means of a conducting wire or device, an employee shall remove the source end first;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Loose conductors.</w:t>
      </w:r>
      <w:r w:rsidRPr="009F74C5">
        <w:rPr>
          <w:rFonts w:ascii="Arial" w:eastAsia="Times New Roman" w:hAnsi="Arial" w:cs="Arial"/>
          <w:sz w:val="20"/>
          <w:szCs w:val="20"/>
        </w:rPr>
        <w:t xml:space="preserve"> When lines or equipment are connected to or disconnected from energized circuits, an employee shall keep loose conductors away from exposed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Conductive articles.</w:t>
      </w:r>
      <w:r w:rsidRPr="009F74C5">
        <w:rPr>
          <w:rFonts w:ascii="Arial" w:eastAsia="Times New Roman" w:hAnsi="Arial" w:cs="Arial"/>
          <w:sz w:val="20"/>
          <w:szCs w:val="20"/>
        </w:rPr>
        <w:t xml:space="preserve"> When an employee performs work within reaching distance of exposed energized parts of equipment, the employer shall ensure that the employee removes or renders nonconductive all exposed conductive articles, such as keychains or watch chains, rings, or wrist watches or bands, unless such articles do not increase the hazards associated with contact with the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Protection from flames and electric arcs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Hazard assessment.</w:t>
      </w:r>
      <w:r w:rsidRPr="009F74C5">
        <w:rPr>
          <w:rFonts w:ascii="Arial" w:eastAsia="Times New Roman" w:hAnsi="Arial" w:cs="Arial"/>
          <w:sz w:val="20"/>
          <w:szCs w:val="20"/>
        </w:rPr>
        <w:t xml:space="preserve"> The employer shall assess the workplace to identify employees exposed to hazards from flames or from electric arcs.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Estimate of available heat energy.</w:t>
      </w:r>
      <w:r w:rsidRPr="009F74C5">
        <w:rPr>
          <w:rFonts w:ascii="Arial" w:eastAsia="Times New Roman" w:hAnsi="Arial" w:cs="Arial"/>
          <w:sz w:val="20"/>
          <w:szCs w:val="20"/>
        </w:rPr>
        <w:t xml:space="preserve"> For each employee exposed to hazards from electric arcs, the employer shall make a reasonable estimate of the incident heat energy to which the employee would be exposed.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1 to paragraph (</w:t>
      </w:r>
      <w:r w:rsidRPr="009F74C5">
        <w:rPr>
          <w:rFonts w:ascii="Arial" w:eastAsia="Times New Roman" w:hAnsi="Arial" w:cs="Arial"/>
          <w:sz w:val="18"/>
          <w:szCs w:val="18"/>
        </w:rPr>
        <w:t>g</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Appendix E to this subpart provides guidance on estimating available heat energy. The Occupational Safety and Health Administration will deem employers following the guidance in appendix E to this subpart to be in compliance with paragraph (g)(2) of this section. An employer may choose a method of calculating incident heat energy not included in appendix E to this subpart if the chosen method reasonably predicts the incident energy to which the employee would be exposed.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2 to paragraph (</w:t>
      </w:r>
      <w:r w:rsidRPr="009F74C5">
        <w:rPr>
          <w:rFonts w:ascii="Arial" w:eastAsia="Times New Roman" w:hAnsi="Arial" w:cs="Arial"/>
          <w:sz w:val="18"/>
          <w:szCs w:val="18"/>
        </w:rPr>
        <w:t>g</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This paragraph does not require the employer to estimate the incident heat energy exposure for every job task performed by each employee. The employer may make broad estimates that cover multiple system areas provided the employer uses reasonable assumptions about the energy-exposure distribution throughout the system and provided the estimates represent the maximum employee exposure for those areas. For example, the employer could estimate the heat energy just outside a substation feeding a radial distribution system and use that estimate for all jobs performed on that radial system.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Prohibited clothing.</w:t>
      </w:r>
      <w:r w:rsidRPr="009F74C5">
        <w:rPr>
          <w:rFonts w:ascii="Arial" w:eastAsia="Times New Roman" w:hAnsi="Arial" w:cs="Arial"/>
          <w:sz w:val="20"/>
          <w:szCs w:val="20"/>
        </w:rPr>
        <w:t xml:space="preserve"> The employer shall ensure that each employee who is exposed to hazards from flames or electric arcs does not wear clothing that could melt onto his or her skin or that could ignite and continue to burn when exposed to flames or the heat energy estimated under paragraph (g)(2) of this section.</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g</w:t>
      </w:r>
      <w:r w:rsidRPr="009F74C5">
        <w:rPr>
          <w:rFonts w:ascii="Arial" w:eastAsia="Times New Roman" w:hAnsi="Arial" w:cs="Arial"/>
          <w:smallCaps/>
          <w:sz w:val="18"/>
          <w:szCs w:val="18"/>
        </w:rPr>
        <w:t>)(3):</w:t>
      </w:r>
      <w:r w:rsidRPr="009F74C5">
        <w:rPr>
          <w:rFonts w:ascii="Arial" w:eastAsia="Times New Roman" w:hAnsi="Arial" w:cs="Arial"/>
          <w:sz w:val="18"/>
          <w:szCs w:val="18"/>
        </w:rPr>
        <w:t xml:space="preserve"> This paragraph prohibits clothing made from acetate, nylon, polyester, rayon and polypropylene, either alone or in blends, unless the employer demonstrates that the fabric has been treated to withstand the conditions that may be encountered by the employee or that the employee wears the clothing in such a manner as to eliminate the hazard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Flame-resistant clothing.</w:t>
      </w:r>
      <w:r w:rsidRPr="009F74C5">
        <w:rPr>
          <w:rFonts w:ascii="Arial" w:eastAsia="Times New Roman" w:hAnsi="Arial" w:cs="Arial"/>
          <w:sz w:val="20"/>
          <w:szCs w:val="20"/>
        </w:rPr>
        <w:t xml:space="preserve"> The employer shall ensure that the outer layer of clothing worn by an employee, except for clothing not required to be arc rated under paragraphs (g)(5)(i) through (g)(5)(v) of this section, is flame resistant under any of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employee is exposed to contact with energized circuit parts operating at more than 600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 electric arc could ignite flammable material in the work area that, in turn, could ignite the employee's clothing,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Molten metal or electric arcs from faulted conductors in the work area could ignite the employee's clothing, or</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g</w:t>
      </w:r>
      <w:r w:rsidRPr="009F74C5">
        <w:rPr>
          <w:rFonts w:ascii="Arial" w:eastAsia="Times New Roman" w:hAnsi="Arial" w:cs="Arial"/>
          <w:smallCaps/>
          <w:sz w:val="18"/>
          <w:szCs w:val="18"/>
        </w:rPr>
        <w:t>)(4)(</w:t>
      </w:r>
      <w:r w:rsidRPr="009F74C5">
        <w:rPr>
          <w:rFonts w:ascii="Arial" w:eastAsia="Times New Roman" w:hAnsi="Arial" w:cs="Arial"/>
          <w:sz w:val="18"/>
          <w:szCs w:val="18"/>
        </w:rPr>
        <w:t>iii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This paragraph does not apply to conductors that are capable of carrying, without failure, the maximum available fault current for the time the circuit protective devices take to interrupt the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incident heat energy estimated under paragraph (g)(2) of this section exceeds 2.0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Arc rating.</w:t>
      </w:r>
      <w:r w:rsidRPr="009F74C5">
        <w:rPr>
          <w:rFonts w:ascii="Arial" w:eastAsia="Times New Roman" w:hAnsi="Arial" w:cs="Arial"/>
          <w:sz w:val="20"/>
          <w:szCs w:val="20"/>
        </w:rPr>
        <w:t xml:space="preserve"> The employer shall ensure that each employee exposed to hazards from electric arcs wears protective clothing and other protective equipment with an arc rating greater than or equal to the heat energy estimated under paragraph (g)(2) of this section whenever that estimate exceeds 2.0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This protective equipment shall cover the employee's entire body, except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Arc-rated protection is not necessary for the employee's hands when the employee is wearing rubber insulating gloves with protectors or, if the estimated incident energy is no more than 14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heavy-duty leather work gloves with a weight of at least 407 gm/m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(12 oz/yd</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Arc-rated protection is not necessary for the employee's feet when the employee is wearing heavy-duty work shoes or boots,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Arc-rated protection is not necessary for the employee's head when the employee is wearing head protection meeting §1926.100(b)(2) if the estimated incident energy is less than 9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for exposures involving single-phase arcs in open air or 5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for other exposures,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protection for the employee's head may consist of head protection meeting §1926.100(b)(2) and a faceshield with a minimum arc rating of 8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if the estimated incident-energy exposure is less than 13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for exposures involving single-phase arcs in open air or 9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for other exposures,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For exposures involving single-phase arcs in open air, the arc rating for the employee's head and face protection may be 4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less than the estimated incident energy.</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g</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appendix E to this subpart for further information on the selection of appropriate protection.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Dates.</w:t>
      </w:r>
      <w:r w:rsidRPr="009F74C5">
        <w:rPr>
          <w:rFonts w:ascii="Arial" w:eastAsia="Times New Roman" w:hAnsi="Arial" w:cs="Arial"/>
          <w:sz w:val="20"/>
          <w:szCs w:val="20"/>
        </w:rPr>
        <w:t xml:space="preserve"> (i) The obligation in paragraph (g)(2) of this section for the employer to make reasonable estimates of incident energy commences January 1, 2015.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obligation in paragraph (g)(4)(iv) of this section for the employer to ensure that the outer layer of clothing worn by an employee is flame-resistant when the estimated incident heat energy exceeds 2.0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commences April 1, 2015.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obligation in paragraph (g)(5) of this section for the employer to ensure that each employee exposed to hazards from electric arcs wears the required arc-rated protective equipment commences April 1, 2015.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Fuse handling.</w:t>
      </w:r>
      <w:r w:rsidRPr="009F74C5">
        <w:rPr>
          <w:rFonts w:ascii="Arial" w:eastAsia="Times New Roman" w:hAnsi="Arial" w:cs="Arial"/>
          <w:sz w:val="20"/>
          <w:szCs w:val="20"/>
        </w:rPr>
        <w:t xml:space="preserve"> When an employee must install or remove fuses with one or both terminals energized at more than 300 volts, or with exposed parts energized at more than 50 volts, the employer shall ensure that the employee uses tools or gloves rated for the voltage. When an employee installs or removes expulsion-type fuses with one or both terminals energized at more than 300 volts, the employer shall ensure that the employee wears eye protection meeting the requirements of subpart E of this part, uses a tool rated for the voltage, and is clear of the exhaust path of the fuse barrel.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Covered (noninsulated) conductors.</w:t>
      </w:r>
      <w:r w:rsidRPr="009F74C5">
        <w:rPr>
          <w:rFonts w:ascii="Arial" w:eastAsia="Times New Roman" w:hAnsi="Arial" w:cs="Arial"/>
          <w:sz w:val="20"/>
          <w:szCs w:val="20"/>
        </w:rPr>
        <w:t xml:space="preserve"> The requirements of this section that pertain to the hazards of exposed live parts also apply when an employee performs work in proximity to covered (noninsulated) wires.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Non-current-carrying metal parts.</w:t>
      </w:r>
      <w:r w:rsidRPr="009F74C5">
        <w:rPr>
          <w:rFonts w:ascii="Arial" w:eastAsia="Times New Roman" w:hAnsi="Arial" w:cs="Arial"/>
          <w:sz w:val="20"/>
          <w:szCs w:val="20"/>
        </w:rPr>
        <w:t xml:space="preserve"> Non-current-carrying metal parts of equipment or devices, such as transformer cases and circuit-breaker housings, shall be treated as energized at the highest voltage to which these parts are exposed, unless the employer inspects the installation and determines that these parts are grounded before employees begin performing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Opening and closing circuits under load.</w:t>
      </w:r>
      <w:r w:rsidRPr="009F74C5">
        <w:rPr>
          <w:rFonts w:ascii="Arial" w:eastAsia="Times New Roman" w:hAnsi="Arial" w:cs="Arial"/>
          <w:sz w:val="20"/>
          <w:szCs w:val="20"/>
        </w:rPr>
        <w:t xml:space="preserve"> (1) The employer shall ensure that devices used by employees to open circuits under load conditions are designed to interrupt the current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shall ensure that devices used by employees to close circuits under load conditions are designed to safely carry the current involved.</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FDAEB49" wp14:editId="3C814083">
            <wp:extent cx="3528060" cy="6522720"/>
            <wp:effectExtent l="0" t="0" r="0" b="0"/>
            <wp:docPr id="195" name="Picture 195" descr="eCFR graphic er11ap14.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CFR graphic er11ap14.03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8060" cy="65227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45"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594B822" wp14:editId="7568C252">
            <wp:extent cx="4457700" cy="6286500"/>
            <wp:effectExtent l="0" t="0" r="0" b="0"/>
            <wp:docPr id="194" name="Picture 194" descr="eCFR graphic er11ap14.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eCFR graphic er11ap14.03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62865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47"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V-3—Electrical Component of the Minimum Approach Distance (D; in Meters) at 5.1 to 72.5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972"/>
        <w:gridCol w:w="2283"/>
        <w:gridCol w:w="2129"/>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Nominal voltage (kV) phase-to-phase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w:t>
            </w:r>
            <w:r w:rsidRPr="009F74C5">
              <w:rPr>
                <w:rFonts w:ascii="Arial" w:eastAsia="Times New Roman" w:hAnsi="Arial" w:cs="Arial"/>
                <w:b/>
                <w:bCs/>
                <w:sz w:val="20"/>
                <w:szCs w:val="20"/>
              </w:rPr>
              <w:b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w:t>
            </w:r>
            <w:r w:rsidRPr="009F74C5">
              <w:rPr>
                <w:rFonts w:ascii="Arial" w:eastAsia="Times New Roman" w:hAnsi="Arial" w:cs="Arial"/>
                <w:b/>
                <w:bCs/>
                <w:sz w:val="20"/>
                <w:szCs w:val="20"/>
              </w:rPr>
              <w:br/>
              <w:t>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D (m)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D (m)</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 to 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0.07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15.1 to 36.0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0.28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36.1 to 46.0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46.1 to 72.5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0.59</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V-4—Altitude Correction Factor</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8120"/>
        <w:gridCol w:w="1264"/>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Altitude above sea level (m)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i/>
                <w:iCs/>
                <w:sz w:val="20"/>
                <w:szCs w:val="20"/>
              </w:rPr>
              <w:t>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 to 900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901 to 1,200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1,201 to 1,500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1,501 to 1,800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1,801 to 2,100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2,101 to 2,400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2,401 to 2,700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2,701 to 3,000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3,001 to 3,600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3,601 to 4,200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4,201 to 4,800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4,801 to 5,400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5,401 to 6,000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V-5—Alternative Minimum Approach Distances for Voltages of 72.5 kV and Less</w:t>
      </w:r>
      <w:r w:rsidRPr="009F74C5">
        <w:rPr>
          <w:rFonts w:ascii="Arial" w:eastAsia="Times New Roman" w:hAnsi="Arial" w:cs="Arial"/>
          <w:b/>
          <w:bCs/>
          <w:smallCaps/>
          <w:sz w:val="20"/>
          <w:szCs w:val="20"/>
          <w:vertAlign w:val="superscript"/>
        </w:rPr>
        <w:t>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874"/>
        <w:gridCol w:w="1408"/>
        <w:gridCol w:w="1408"/>
        <w:gridCol w:w="1347"/>
        <w:gridCol w:w="1347"/>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Nominal voltage (kV) phase-to-phase</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Distance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0.50 0.300</w:t>
            </w:r>
            <w:r w:rsidRPr="009F74C5">
              <w:rPr>
                <w:rFonts w:ascii="Arial" w:eastAsia="Times New Roman" w:hAnsi="Arial" w:cs="Arial"/>
                <w:sz w:val="20"/>
                <w:szCs w:val="20"/>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Avoid contact</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Avoid contact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0.301 to 0.750</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0.751 to 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 to 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 to 36.0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36.1 to 46.0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46.1 to 72.5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1</w:t>
      </w:r>
      <w:r w:rsidRPr="009F74C5">
        <w:rPr>
          <w:rFonts w:ascii="Arial" w:eastAsia="Times New Roman" w:hAnsi="Arial" w:cs="Arial"/>
          <w:sz w:val="20"/>
          <w:szCs w:val="20"/>
        </w:rPr>
        <w:t xml:space="preserve">Employers may use the minimum approach distances in this table provided the worksite is at an elevation of 900 meters (3,000 feet) or less. If employees will be working at elevations greater than 900 meters (3,000 feet) above mean sea level, the employer shall determine minimum approach distances by </w:t>
      </w:r>
      <w:r w:rsidRPr="009F74C5">
        <w:rPr>
          <w:rFonts w:ascii="Arial" w:eastAsia="Times New Roman" w:hAnsi="Arial" w:cs="Arial"/>
          <w:sz w:val="20"/>
          <w:szCs w:val="20"/>
        </w:rPr>
        <w:lastRenderedPageBreak/>
        <w:t>multiplying the distances in this table by the correction factor in Table V-4 corresponding to the altitude of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For single-phase systems, use voltage-to-ground.</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 xml:space="preserve">Table V-6—Alternative Minimum Approach Distances for Voltages of More Than 72.5 kV </w:t>
      </w:r>
      <w:r w:rsidRPr="009F74C5">
        <w:rPr>
          <w:rFonts w:ascii="Arial" w:eastAsia="Times New Roman" w:hAnsi="Arial" w:cs="Arial"/>
          <w:b/>
          <w:bCs/>
          <w:smallCaps/>
          <w:sz w:val="14"/>
          <w:szCs w:val="14"/>
          <w:vertAlign w:val="superscript"/>
        </w:rPr>
        <w:t>1 2 3</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713"/>
        <w:gridCol w:w="1278"/>
        <w:gridCol w:w="1619"/>
        <w:gridCol w:w="1387"/>
        <w:gridCol w:w="1387"/>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 phase to phase (kV)</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121.0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121.1 to 145.0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145.1 to 169.0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169.1 to 242.0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242.1 to 362.0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362.1 to 420.0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22.34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420.1 to 550.0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16.63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27.03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550.1 to 800.0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37.34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1</w:t>
      </w:r>
      <w:r w:rsidRPr="009F74C5">
        <w:rPr>
          <w:rFonts w:ascii="Arial" w:eastAsia="Times New Roman" w:hAnsi="Arial" w:cs="Arial"/>
          <w:sz w:val="20"/>
          <w:szCs w:val="20"/>
        </w:rPr>
        <w:t>Employers may use the minimum approach distances in this table provided the worksite is at an elevation of 900 meters (3,000 feet) or less. If employees will be working at elevations greater than 900 meters (3,000 feet) above mean sea level, the employer shall determine minimum approach distances by multiplying the distances in this table by the correction factor in Table V-4 corresponding to the altitude of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Employers may use the phase-to-phase minimum approach distances in this table provided that no insulated tool spans the gap and no large conductive object is in the gap.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3</w:t>
      </w:r>
      <w:r w:rsidRPr="009F74C5">
        <w:rPr>
          <w:rFonts w:ascii="Arial" w:eastAsia="Times New Roman" w:hAnsi="Arial" w:cs="Arial"/>
          <w:sz w:val="20"/>
          <w:szCs w:val="20"/>
        </w:rPr>
        <w:t>The clear live-line tool distance shall equal or exceed the values for the indicated voltage ranges.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 xml:space="preserve">Table V-7—DC Live-Line Minimum Approach Distance (in Meters) With Overvoltage Factor </w:t>
      </w:r>
      <w:r w:rsidRPr="009F74C5">
        <w:rPr>
          <w:rFonts w:ascii="Arial" w:eastAsia="Times New Roman" w:hAnsi="Arial" w:cs="Arial"/>
          <w:b/>
          <w:bCs/>
          <w:smallCaps/>
          <w:sz w:val="20"/>
          <w:szCs w:val="20"/>
          <w:vertAlign w:val="superscript"/>
        </w:rPr>
        <w:t>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179"/>
        <w:gridCol w:w="1041"/>
        <w:gridCol w:w="1041"/>
        <w:gridCol w:w="1041"/>
        <w:gridCol w:w="1041"/>
        <w:gridCol w:w="1041"/>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anticipated per-unit</w:t>
            </w:r>
            <w:r w:rsidRPr="009F74C5">
              <w:rPr>
                <w:rFonts w:ascii="Arial" w:eastAsia="Times New Roman" w:hAnsi="Arial" w:cs="Arial"/>
                <w:b/>
                <w:bCs/>
                <w:sz w:val="20"/>
                <w:szCs w:val="20"/>
              </w:rPr>
              <w:br/>
              <w:t>transient overvoltage</w:t>
            </w:r>
          </w:p>
        </w:tc>
        <w:tc>
          <w:tcPr>
            <w:tcW w:w="0" w:type="auto"/>
            <w:gridSpan w:val="5"/>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distance (m)</w:t>
            </w:r>
            <w:r w:rsidRPr="009F74C5">
              <w:rPr>
                <w:rFonts w:ascii="Arial" w:eastAsia="Times New Roman" w:hAnsi="Arial" w:cs="Arial"/>
                <w:b/>
                <w:bCs/>
                <w:sz w:val="20"/>
                <w:szCs w:val="20"/>
              </w:rPr>
              <w:br/>
              <w:t>maximum line-to-ground voltage (kV)</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250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400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500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600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750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 or less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4.79</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1</w:t>
      </w:r>
      <w:r w:rsidRPr="009F74C5">
        <w:rPr>
          <w:rFonts w:ascii="Arial" w:eastAsia="Times New Roman" w:hAnsi="Arial" w:cs="Arial"/>
          <w:sz w:val="20"/>
          <w:szCs w:val="20"/>
        </w:rPr>
        <w:t>The distances specified in this table are for air, bare-hand, and live-line tool conditions. If employees will be working at elevations greater than 900 meters (3,000 feet) above mean sea level, the employer shall determine minimum approach distances by multiplying the distances in this table by the correction factor in Table V-4 corresponding to the altitude of the work.</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lastRenderedPageBreak/>
        <w:t>Table V-8—Assumed Maximum Per-Unit Transient Overvoltage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667"/>
        <w:gridCol w:w="2929"/>
        <w:gridCol w:w="378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w:t>
            </w:r>
            <w:r w:rsidRPr="009F74C5">
              <w:rPr>
                <w:rFonts w:ascii="Arial" w:eastAsia="Times New Roman" w:hAnsi="Arial" w:cs="Arial"/>
                <w:b/>
                <w:bCs/>
                <w:sz w:val="20"/>
                <w:szCs w:val="20"/>
              </w:rPr>
              <w:br/>
              <w:t>(kV)</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Type of current</w:t>
            </w:r>
            <w:r w:rsidRPr="009F74C5">
              <w:rPr>
                <w:rFonts w:ascii="Arial" w:eastAsia="Times New Roman" w:hAnsi="Arial" w:cs="Arial"/>
                <w:b/>
                <w:bCs/>
                <w:sz w:val="20"/>
                <w:szCs w:val="20"/>
              </w:rPr>
              <w:br/>
              <w:t>(ac or dc)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Assumed maximum</w:t>
            </w:r>
            <w:r w:rsidRPr="009F74C5">
              <w:rPr>
                <w:rFonts w:ascii="Arial" w:eastAsia="Times New Roman" w:hAnsi="Arial" w:cs="Arial"/>
                <w:b/>
                <w:bCs/>
                <w:sz w:val="20"/>
                <w:szCs w:val="20"/>
              </w:rPr>
              <w:br/>
              <w:t>per-unit transient</w:t>
            </w:r>
            <w:r w:rsidRPr="009F74C5">
              <w:rPr>
                <w:rFonts w:ascii="Arial" w:eastAsia="Times New Roman" w:hAnsi="Arial" w:cs="Arial"/>
                <w:b/>
                <w:bCs/>
                <w:sz w:val="20"/>
                <w:szCs w:val="20"/>
              </w:rPr>
              <w:br/>
              <w:t>overvoltage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420.0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420.1 to 550.0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550.1 to 800.0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250 to 750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dc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r>
    </w:tbl>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[79 FR 20696, Apr. 11, 2014, as amended at 79 FR 56962, Sept. 24, 2014]</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8" w:anchor="_top" w:history="1">
        <w:r w:rsidR="00D70103">
          <w:rPr>
            <w:rFonts w:ascii="Arial" w:eastAsia="Times New Roman" w:hAnsi="Arial" w:cs="Arial"/>
            <w:noProof/>
            <w:color w:val="0000FF"/>
            <w:sz w:val="17"/>
            <w:szCs w:val="17"/>
          </w:rPr>
          <w:drawing>
            <wp:inline distT="0" distB="0" distL="0" distR="0" wp14:anchorId="4EF3B90D" wp14:editId="770F0BE6">
              <wp:extent cx="152400" cy="152400"/>
              <wp:effectExtent l="0" t="0" r="0" b="0"/>
              <wp:docPr id="193" name="Picture 19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0" w:name="se29.8.1926_1961"/>
      <w:bookmarkEnd w:id="30"/>
      <w:r w:rsidRPr="009F74C5">
        <w:rPr>
          <w:rFonts w:ascii="Arial" w:eastAsia="Times New Roman" w:hAnsi="Arial" w:cs="Arial"/>
          <w:b/>
          <w:bCs/>
          <w:sz w:val="20"/>
          <w:szCs w:val="20"/>
        </w:rPr>
        <w:t>§1926.961   Deenergizing lines and equipment for employee protection.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applies to the deenergizing of transmission and distribution lines and equipment for the purpose of protecting employees. Conductors and parts of electric equipment that have been deenergized under procedures other than those required by this section shall be treated as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System operator.</w:t>
      </w:r>
      <w:r w:rsidRPr="009F74C5">
        <w:rPr>
          <w:rFonts w:ascii="Arial" w:eastAsia="Times New Roman" w:hAnsi="Arial" w:cs="Arial"/>
          <w:sz w:val="20"/>
          <w:szCs w:val="20"/>
        </w:rPr>
        <w:t xml:space="preserve"> If a system operator is in charge of the lines or equipment and their means of disconnection, the employer shall designate one employee in the crew to be in charge of the clearance and shall comply with all of the requirements of paragraph (c) of this section in the order specified.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No system operator.</w:t>
      </w:r>
      <w:r w:rsidRPr="009F74C5">
        <w:rPr>
          <w:rFonts w:ascii="Arial" w:eastAsia="Times New Roman" w:hAnsi="Arial" w:cs="Arial"/>
          <w:sz w:val="20"/>
          <w:szCs w:val="20"/>
        </w:rPr>
        <w:t xml:space="preserve"> If no system operator is in charge of the lines or equipment and their means of disconnection, the employer shall designate one employee in the crew to be in charge of the clearance and to perform the functions that the system operator would otherwise perform under this section. All of the requirements of paragraph (c) of this section apply, in the order specified, except as provided in paragraph (b)(3)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Single crews working with the means of disconnection under the control of the employee in charge of the clearance.</w:t>
      </w:r>
      <w:r w:rsidRPr="009F74C5">
        <w:rPr>
          <w:rFonts w:ascii="Arial" w:eastAsia="Times New Roman" w:hAnsi="Arial" w:cs="Arial"/>
          <w:sz w:val="20"/>
          <w:szCs w:val="20"/>
        </w:rPr>
        <w:t xml:space="preserve"> If only one crew will be working on the lines or equipment and if the means of disconnection is accessible and visible to, and under the sole control of, the employee in charge of the clearance, paragraphs (c)(1), (c)(3), and (c)(5) of this section do not apply. Additionally, the employer does not need to use the tags required by the remaining provisions of paragraph (c)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Multiple crews.</w:t>
      </w:r>
      <w:r w:rsidRPr="009F74C5">
        <w:rPr>
          <w:rFonts w:ascii="Arial" w:eastAsia="Times New Roman" w:hAnsi="Arial" w:cs="Arial"/>
          <w:sz w:val="20"/>
          <w:szCs w:val="20"/>
        </w:rPr>
        <w:t xml:space="preserve"> If two or more crews will be working on the same lines or equipment, then: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crews shall coordinate their activities under this section with a single employee in charge of the clearance for all of the crews and follow the requirements of this section as if all of the employees formed a single crew,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Each crew shall independently comply with this section and, if there is no system operator in charge of the lines or equipment, shall have separate tags and coordinate deenergizing and reenergizing the lines and equipment with the other crews.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(5) </w:t>
      </w:r>
      <w:r w:rsidRPr="009F74C5">
        <w:rPr>
          <w:rFonts w:ascii="Arial" w:eastAsia="Times New Roman" w:hAnsi="Arial" w:cs="Arial"/>
          <w:i/>
          <w:iCs/>
          <w:sz w:val="20"/>
          <w:szCs w:val="20"/>
        </w:rPr>
        <w:t>Disconnecting means accessible to general public.</w:t>
      </w:r>
      <w:r w:rsidRPr="009F74C5">
        <w:rPr>
          <w:rFonts w:ascii="Arial" w:eastAsia="Times New Roman" w:hAnsi="Arial" w:cs="Arial"/>
          <w:sz w:val="20"/>
          <w:szCs w:val="20"/>
        </w:rPr>
        <w:t xml:space="preserve"> The employer shall render any disconnecting means that are accessible to individuals outside the employer's control (for example, the general public) inoperable while the disconnecting means are open for the purpose of protecting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Deenergizing lines and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Request to deenergize.</w:t>
      </w:r>
      <w:r w:rsidRPr="009F74C5">
        <w:rPr>
          <w:rFonts w:ascii="Arial" w:eastAsia="Times New Roman" w:hAnsi="Arial" w:cs="Arial"/>
          <w:sz w:val="20"/>
          <w:szCs w:val="20"/>
        </w:rPr>
        <w:t xml:space="preserve"> The employee that the employer designates pursuant to paragraph (b) of this section as being in charge of the clearance shall make a request of the system operator to deenergize the particular section of line or equipment. The designated employee becomes the employee in charge (as this term is used in paragraph (c) of this section) and is responsible for the clearance.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Open disconnecting means.</w:t>
      </w:r>
      <w:r w:rsidRPr="009F74C5">
        <w:rPr>
          <w:rFonts w:ascii="Arial" w:eastAsia="Times New Roman" w:hAnsi="Arial" w:cs="Arial"/>
          <w:sz w:val="20"/>
          <w:szCs w:val="20"/>
        </w:rPr>
        <w:t xml:space="preserve"> The employer shall ensure that all switches, disconnectors, jumpers, taps, and other means through which known sources of electric energy may be supplied to the particular lines and equipment to be deenergized are open. The employer shall render such means inoperable, unless its design does not so permit, and then ensure that such means are tagged to indicate that employees are at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Automatically and remotely controlled switches.</w:t>
      </w:r>
      <w:r w:rsidRPr="009F74C5">
        <w:rPr>
          <w:rFonts w:ascii="Arial" w:eastAsia="Times New Roman" w:hAnsi="Arial" w:cs="Arial"/>
          <w:sz w:val="20"/>
          <w:szCs w:val="20"/>
        </w:rPr>
        <w:t xml:space="preserve"> The employer shall ensure that automatically and remotely controlled switches that could cause the opened disconnecting means to close are also tagged at the points of control. The employer shall render the automatic or remote control feature inoperable, unless its design does not so permit.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w:t>
      </w:r>
      <w:r w:rsidRPr="009F74C5">
        <w:rPr>
          <w:rFonts w:ascii="Arial" w:eastAsia="Times New Roman" w:hAnsi="Arial" w:cs="Arial"/>
          <w:i/>
          <w:iCs/>
          <w:sz w:val="20"/>
          <w:szCs w:val="20"/>
        </w:rPr>
        <w:t xml:space="preserve"> Network protectors.</w:t>
      </w:r>
      <w:r w:rsidRPr="009F74C5">
        <w:rPr>
          <w:rFonts w:ascii="Arial" w:eastAsia="Times New Roman" w:hAnsi="Arial" w:cs="Arial"/>
          <w:sz w:val="20"/>
          <w:szCs w:val="20"/>
        </w:rPr>
        <w:t xml:space="preserve"> The employer need not use the tags mentioned in paragraphs (c)(2) and (c)(3) of this section on a network protector for work on the primary feeder for the network protector's associated network transformer when the employer can demonstrate all of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Every network protector is maintained so that it will immediately trip open if closed when a primary conductor is deenergized;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Employees cannot manually place any network protector in a closed position without the use of tools, and any manual override position is blocked, locked, or otherwise disabled;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has procedures for manually overriding any network protector that incorporate provisions for determining, before anyone places a network protector in a closed position, that: The line connected to the network protector is not deenergized for the protection of any employee working on the line; and (if the line connected to the network protector is not deenergized for the protection of any employee working on the line) the primary conductors for the network protector are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Tags.</w:t>
      </w:r>
      <w:r w:rsidRPr="009F74C5">
        <w:rPr>
          <w:rFonts w:ascii="Arial" w:eastAsia="Times New Roman" w:hAnsi="Arial" w:cs="Arial"/>
          <w:sz w:val="20"/>
          <w:szCs w:val="20"/>
        </w:rPr>
        <w:t xml:space="preserve"> Tags shall prohibit operation of the disconnecting means and shall indicate that employees are at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Test for energized condition.</w:t>
      </w:r>
      <w:r w:rsidRPr="009F74C5">
        <w:rPr>
          <w:rFonts w:ascii="Arial" w:eastAsia="Times New Roman" w:hAnsi="Arial" w:cs="Arial"/>
          <w:sz w:val="20"/>
          <w:szCs w:val="20"/>
        </w:rPr>
        <w:t xml:space="preserve"> After the applicable requirements in paragraphs (c)(1) through (c)(5) of this section have been followed and the system operator gives a clearance to the employee in charge, the employer shall ensure that the lines and equipment are deenergized by testing the lines and equipment to be worked with a device designed to detect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Install grounds.</w:t>
      </w:r>
      <w:r w:rsidRPr="009F74C5">
        <w:rPr>
          <w:rFonts w:ascii="Arial" w:eastAsia="Times New Roman" w:hAnsi="Arial" w:cs="Arial"/>
          <w:sz w:val="20"/>
          <w:szCs w:val="20"/>
        </w:rPr>
        <w:t xml:space="preserve"> The employer shall ensure the installation of protective grounds as required by §1926.962.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Consider lines and equipment deenergized.</w:t>
      </w:r>
      <w:r w:rsidRPr="009F74C5">
        <w:rPr>
          <w:rFonts w:ascii="Arial" w:eastAsia="Times New Roman" w:hAnsi="Arial" w:cs="Arial"/>
          <w:sz w:val="20"/>
          <w:szCs w:val="20"/>
        </w:rPr>
        <w:t xml:space="preserve"> After the applicable requirements of paragraphs (c)(1) through (c)(7) of this section have been followed, the lines and equipment involved may be considered deenergized.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(9) </w:t>
      </w:r>
      <w:r w:rsidRPr="009F74C5">
        <w:rPr>
          <w:rFonts w:ascii="Arial" w:eastAsia="Times New Roman" w:hAnsi="Arial" w:cs="Arial"/>
          <w:i/>
          <w:iCs/>
          <w:sz w:val="20"/>
          <w:szCs w:val="20"/>
        </w:rPr>
        <w:t>Transferring clearances.</w:t>
      </w:r>
      <w:r w:rsidRPr="009F74C5">
        <w:rPr>
          <w:rFonts w:ascii="Arial" w:eastAsia="Times New Roman" w:hAnsi="Arial" w:cs="Arial"/>
          <w:sz w:val="20"/>
          <w:szCs w:val="20"/>
        </w:rPr>
        <w:t xml:space="preserve"> To transfer the clearance, the employee in charge (or the employee's supervisor if the employee in charge must leave the worksite due to illness or other emergency) shall inform the system operator and employees in the crew; and the new employee in charge shall be responsible for the clearance.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Releasing clearances.</w:t>
      </w:r>
      <w:r w:rsidRPr="009F74C5">
        <w:rPr>
          <w:rFonts w:ascii="Arial" w:eastAsia="Times New Roman" w:hAnsi="Arial" w:cs="Arial"/>
          <w:sz w:val="20"/>
          <w:szCs w:val="20"/>
        </w:rPr>
        <w:t xml:space="preserve"> To release a clearance, the employee in charge shall: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Notify each employee under that clearance of the pending release of the clearance;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Ensure that all employees under that clearance are clear of the lines and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Ensure that all protective grounds protecting employees under that clearance have been removed;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Report this information to the system operator and then release the clearance.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Person releasing clearance.</w:t>
      </w:r>
      <w:r w:rsidRPr="009F74C5">
        <w:rPr>
          <w:rFonts w:ascii="Arial" w:eastAsia="Times New Roman" w:hAnsi="Arial" w:cs="Arial"/>
          <w:sz w:val="20"/>
          <w:szCs w:val="20"/>
        </w:rPr>
        <w:t xml:space="preserve"> Only the employee in charge who requested the clearance may release the clearance, unless the employer transfers responsibility under paragraph (c)(9)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Removal of tags.</w:t>
      </w:r>
      <w:r w:rsidRPr="009F74C5">
        <w:rPr>
          <w:rFonts w:ascii="Arial" w:eastAsia="Times New Roman" w:hAnsi="Arial" w:cs="Arial"/>
          <w:sz w:val="20"/>
          <w:szCs w:val="20"/>
        </w:rPr>
        <w:t xml:space="preserve"> No one may remove tags without the release of the associated clearance as specified under paragraphs (c)(10) and (c)(11)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(13) </w:t>
      </w:r>
      <w:r w:rsidRPr="009F74C5">
        <w:rPr>
          <w:rFonts w:ascii="Arial" w:eastAsia="Times New Roman" w:hAnsi="Arial" w:cs="Arial"/>
          <w:i/>
          <w:iCs/>
          <w:sz w:val="20"/>
          <w:szCs w:val="20"/>
        </w:rPr>
        <w:t>Reenergizing lines and equipment.</w:t>
      </w:r>
      <w:r w:rsidRPr="009F74C5">
        <w:rPr>
          <w:rFonts w:ascii="Arial" w:eastAsia="Times New Roman" w:hAnsi="Arial" w:cs="Arial"/>
          <w:sz w:val="20"/>
          <w:szCs w:val="20"/>
        </w:rPr>
        <w:t xml:space="preserve"> The employer shall ensure that no one initiates action to reenergize the lines or equipment at a point of disconnection until all protective grounds have been removed, all crews working on the lines or equipment release their clearances, all employees are clear of the lines and equipment, and all protective tags are removed from that point of disconnection.</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49" w:anchor="_top" w:history="1">
        <w:r w:rsidR="00D70103">
          <w:rPr>
            <w:rFonts w:ascii="Arial" w:eastAsia="Times New Roman" w:hAnsi="Arial" w:cs="Arial"/>
            <w:noProof/>
            <w:color w:val="0000FF"/>
            <w:sz w:val="17"/>
            <w:szCs w:val="17"/>
          </w:rPr>
          <w:drawing>
            <wp:inline distT="0" distB="0" distL="0" distR="0" wp14:anchorId="17487124" wp14:editId="51292BD9">
              <wp:extent cx="152400" cy="152400"/>
              <wp:effectExtent l="0" t="0" r="0" b="0"/>
              <wp:docPr id="192" name="Picture 19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1" w:name="se29.8.1926_1962"/>
      <w:bookmarkEnd w:id="31"/>
      <w:r w:rsidRPr="009F74C5">
        <w:rPr>
          <w:rFonts w:ascii="Arial" w:eastAsia="Times New Roman" w:hAnsi="Arial" w:cs="Arial"/>
          <w:b/>
          <w:bCs/>
          <w:sz w:val="20"/>
          <w:szCs w:val="20"/>
        </w:rPr>
        <w:t>§1926.962   Grounding for the protection of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applies to grounding of transmission and distribution lines and equipment for the purpose of protecting employees. Paragraph (d) of this section also applies to protective grounding of other equipment as required elsewhere in this Subpart.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This section covers grounding of transmission and distribution lines and equipment when this subpart requires protective grounding and whenever the employer chooses to ground such lines and equipment for the protection of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For any employee to work transmission and distribution lines or equipment as deenergized, the employer shall ensure that the lines or equipment are deenergized under the provisions of §1926.961 and shall ensure proper grounding of the lines or equipment as specified in paragraphs (c) through (h) of this section. However, if the employer can demonstrate that installation of a ground is impracticable or that the conditions resulting from the installation of a ground would present greater hazards to employees than working without grounds, the lines and equipment may be treated as deenergized provided that the employer establishes that all of the following conditions apply: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Deenergized.</w:t>
      </w:r>
      <w:r w:rsidRPr="009F74C5">
        <w:rPr>
          <w:rFonts w:ascii="Arial" w:eastAsia="Times New Roman" w:hAnsi="Arial" w:cs="Arial"/>
          <w:sz w:val="20"/>
          <w:szCs w:val="20"/>
        </w:rPr>
        <w:t xml:space="preserve"> The employer ensures that the lines and equipment are deenergized under the provisions of §1926.961.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No possibility of contact.</w:t>
      </w:r>
      <w:r w:rsidRPr="009F74C5">
        <w:rPr>
          <w:rFonts w:ascii="Arial" w:eastAsia="Times New Roman" w:hAnsi="Arial" w:cs="Arial"/>
          <w:sz w:val="20"/>
          <w:szCs w:val="20"/>
        </w:rPr>
        <w:t xml:space="preserve"> There is no possibility of contact with another energized source.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No induced voltage.</w:t>
      </w:r>
      <w:r w:rsidRPr="009F74C5">
        <w:rPr>
          <w:rFonts w:ascii="Arial" w:eastAsia="Times New Roman" w:hAnsi="Arial" w:cs="Arial"/>
          <w:sz w:val="20"/>
          <w:szCs w:val="20"/>
        </w:rPr>
        <w:t xml:space="preserve"> The hazard of induced voltage is not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Equipotential zone.</w:t>
      </w:r>
      <w:r w:rsidRPr="009F74C5">
        <w:rPr>
          <w:rFonts w:ascii="Arial" w:eastAsia="Times New Roman" w:hAnsi="Arial" w:cs="Arial"/>
          <w:sz w:val="20"/>
          <w:szCs w:val="20"/>
        </w:rPr>
        <w:t xml:space="preserve"> Temporary protective grounds shall be placed at such locations and arranged in such a manner that the employer can demonstrate will prevent each employee from being exposed to hazardous differences in electric potential.</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Appendix C to this subpart contains guidelines for establishing the equipotential zone required by this paragraph. The Occupational Safety and Health Administration will deem grounding practices meeting these guidelines as complying with paragraph (c)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Protective grounding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Ampacity.</w:t>
      </w:r>
      <w:r w:rsidRPr="009F74C5">
        <w:rPr>
          <w:rFonts w:ascii="Arial" w:eastAsia="Times New Roman" w:hAnsi="Arial" w:cs="Arial"/>
          <w:sz w:val="20"/>
          <w:szCs w:val="20"/>
        </w:rPr>
        <w:t xml:space="preserve"> (i) Protective grounding equipment shall be capable of conducting the maximum fault current that could flow at the point of grounding for the time necessary to clear the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Protective grounding equipment shall have an ampacity greater than or equal to that of No. 2 AWG copper.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Impedance.</w:t>
      </w:r>
      <w:r w:rsidRPr="009F74C5">
        <w:rPr>
          <w:rFonts w:ascii="Arial" w:eastAsia="Times New Roman" w:hAnsi="Arial" w:cs="Arial"/>
          <w:sz w:val="20"/>
          <w:szCs w:val="20"/>
        </w:rPr>
        <w:t xml:space="preserve"> Protective grounds shall have an impedance low enough so that they do not delay the operation of protective devices in case of accidental energizing of the lines or equipment.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American Society for Testing and Materials </w:t>
      </w:r>
      <w:r w:rsidRPr="009F74C5">
        <w:rPr>
          <w:rFonts w:ascii="Arial" w:eastAsia="Times New Roman" w:hAnsi="Arial" w:cs="Arial"/>
          <w:i/>
          <w:iCs/>
          <w:sz w:val="18"/>
          <w:szCs w:val="18"/>
        </w:rPr>
        <w:t>Standard Specifications for Temporary Protective Grounds to Be Used on De-Energized Electric Power Lines and Equipment,</w:t>
      </w:r>
      <w:r w:rsidRPr="009F74C5">
        <w:rPr>
          <w:rFonts w:ascii="Arial" w:eastAsia="Times New Roman" w:hAnsi="Arial" w:cs="Arial"/>
          <w:sz w:val="18"/>
          <w:szCs w:val="18"/>
        </w:rPr>
        <w:t xml:space="preserve"> ASTM F855-09, contains guidelines for protective grounding equipment. The Institute of Electrical Engineers </w:t>
      </w:r>
      <w:r w:rsidRPr="009F74C5">
        <w:rPr>
          <w:rFonts w:ascii="Arial" w:eastAsia="Times New Roman" w:hAnsi="Arial" w:cs="Arial"/>
          <w:i/>
          <w:iCs/>
          <w:sz w:val="18"/>
          <w:szCs w:val="18"/>
        </w:rPr>
        <w:t>Guide for Protective Grounding of Power Lines,</w:t>
      </w:r>
      <w:r w:rsidRPr="009F74C5">
        <w:rPr>
          <w:rFonts w:ascii="Arial" w:eastAsia="Times New Roman" w:hAnsi="Arial" w:cs="Arial"/>
          <w:sz w:val="18"/>
          <w:szCs w:val="18"/>
        </w:rPr>
        <w:t xml:space="preserve"> IEEE Std 1048-2003, contains guidelines for selecting and installing protective grounding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Testing.</w:t>
      </w:r>
      <w:r w:rsidRPr="009F74C5">
        <w:rPr>
          <w:rFonts w:ascii="Arial" w:eastAsia="Times New Roman" w:hAnsi="Arial" w:cs="Arial"/>
          <w:sz w:val="20"/>
          <w:szCs w:val="20"/>
        </w:rPr>
        <w:t xml:space="preserve"> The employer shall ensure that, unless a previously installed ground is present, employees test lines and equipment and verify the absence of nominal voltage before employees install any ground on those lines or that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Connecting and removing grounds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Order of connection.</w:t>
      </w:r>
      <w:r w:rsidRPr="009F74C5">
        <w:rPr>
          <w:rFonts w:ascii="Arial" w:eastAsia="Times New Roman" w:hAnsi="Arial" w:cs="Arial"/>
          <w:sz w:val="20"/>
          <w:szCs w:val="20"/>
        </w:rPr>
        <w:t xml:space="preserve"> The employer shall ensure that, when an employee attaches a ground to a line or to equipment, the employee attaches the ground-end connection first and then attaches the other end by means of a live-line tool. For lines or equipment operating at 600 volts or less, the employer may permit the employee to use insulating equipment other than a live-line tool if the employer ensures that the line or equipment is not energized at the time the ground is connected or if the employer can demonstrate that each employee is protected from hazards that may develop if the line or equipment is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Order of removal.</w:t>
      </w:r>
      <w:r w:rsidRPr="009F74C5">
        <w:rPr>
          <w:rFonts w:ascii="Arial" w:eastAsia="Times New Roman" w:hAnsi="Arial" w:cs="Arial"/>
          <w:sz w:val="20"/>
          <w:szCs w:val="20"/>
        </w:rPr>
        <w:t xml:space="preserve"> The employer shall ensure that, when an employee removes a ground, the employee removes the grounding device from the line or equipment using a live-line tool before he or she removes the ground-end connection. For lines or equipment operating at 600 volts or less, the employer may permit the employee to use insulating equipment other than a live-line tool if the employer ensures that the line or equipment is not energized at the time the ground is disconnected or if the employer can demonstrate that each employee is protected from hazards that may develop if the line or equipment is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Additional precautions.</w:t>
      </w:r>
      <w:r w:rsidRPr="009F74C5">
        <w:rPr>
          <w:rFonts w:ascii="Arial" w:eastAsia="Times New Roman" w:hAnsi="Arial" w:cs="Arial"/>
          <w:sz w:val="20"/>
          <w:szCs w:val="20"/>
        </w:rPr>
        <w:t xml:space="preserve"> The employer shall ensure that, when an employee performs work on a cable at a location remote from the cable terminal, the cable is not grounded at the cable terminal if there is a possibility of hazardous transfer of potential should a fault occur.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Removal of grounds for test.</w:t>
      </w:r>
      <w:r w:rsidRPr="009F74C5">
        <w:rPr>
          <w:rFonts w:ascii="Arial" w:eastAsia="Times New Roman" w:hAnsi="Arial" w:cs="Arial"/>
          <w:sz w:val="20"/>
          <w:szCs w:val="20"/>
        </w:rPr>
        <w:t xml:space="preserve"> The employer may permit employees to remove grounds temporarily during tests. During the test procedure, the employer shall ensure that each employee uses insulating equipment, shall isolate each employee from any hazards involved, and shall implement any additional measures necessary to protect each exposed employee in case the previously grounded lines and equipment become energized.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0" w:anchor="_top" w:history="1">
        <w:r w:rsidR="00D70103">
          <w:rPr>
            <w:rFonts w:ascii="Arial" w:eastAsia="Times New Roman" w:hAnsi="Arial" w:cs="Arial"/>
            <w:noProof/>
            <w:color w:val="0000FF"/>
            <w:sz w:val="17"/>
            <w:szCs w:val="17"/>
          </w:rPr>
          <w:drawing>
            <wp:inline distT="0" distB="0" distL="0" distR="0" wp14:anchorId="3383FF65" wp14:editId="69E99E2E">
              <wp:extent cx="152400" cy="152400"/>
              <wp:effectExtent l="0" t="0" r="0" b="0"/>
              <wp:docPr id="191" name="Picture 19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2" w:name="se29.8.1926_1963"/>
      <w:bookmarkEnd w:id="32"/>
      <w:r w:rsidRPr="009F74C5">
        <w:rPr>
          <w:rFonts w:ascii="Arial" w:eastAsia="Times New Roman" w:hAnsi="Arial" w:cs="Arial"/>
          <w:b/>
          <w:bCs/>
          <w:sz w:val="20"/>
          <w:szCs w:val="20"/>
        </w:rPr>
        <w:t>§1926.963   Testing and test facilities.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provides for safe work practices for high-voltage and high-power testing performed in laboratories, shops, and substations, and in the field and on electric transmission and distribution lines and equipment. It applies only to testing involving interim measurements using high voltage, high power, or combinations of high voltage and high power, and not to testing involving continuous measurements as in routine metering, relaying, and normal line work.</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OSHA considers routine inspection and maintenance measurements made by qualified employees to be routine line work not included in the scope of this section, provided that the hazards related to the use of intrinsic high-voltage or high-power sources require only the normal precautions associated with routine work specified in the other paragraphs of this subpart. Two typical examples of such excluded test work procedures are “phasing-out” testing and testing for a “no-voltage”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General requirements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Safe work practices.</w:t>
      </w:r>
      <w:r w:rsidRPr="009F74C5">
        <w:rPr>
          <w:rFonts w:ascii="Arial" w:eastAsia="Times New Roman" w:hAnsi="Arial" w:cs="Arial"/>
          <w:sz w:val="20"/>
          <w:szCs w:val="20"/>
        </w:rPr>
        <w:t xml:space="preserve"> The employer shall establish and enforce work practices for the protection of each worker from the hazards of high-voltage or high-power testing at all test areas, temporary and permanent. Such work practices shall include, as a minimum, test area safeguarding, grounding, the safe use of measuring and control circuits, and a means providing for periodic safety checks of field test areas.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Training.</w:t>
      </w:r>
      <w:r w:rsidRPr="009F74C5">
        <w:rPr>
          <w:rFonts w:ascii="Arial" w:eastAsia="Times New Roman" w:hAnsi="Arial" w:cs="Arial"/>
          <w:sz w:val="20"/>
          <w:szCs w:val="20"/>
        </w:rPr>
        <w:t xml:space="preserve"> The employer shall ensure that each employee, upon initial assignment to the test area, receives training in safe work practices, with retraining provided as required by §1926.950(b).</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Safeguarding of test areas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Safeguarding.</w:t>
      </w:r>
      <w:r w:rsidRPr="009F74C5">
        <w:rPr>
          <w:rFonts w:ascii="Arial" w:eastAsia="Times New Roman" w:hAnsi="Arial" w:cs="Arial"/>
          <w:sz w:val="20"/>
          <w:szCs w:val="20"/>
        </w:rPr>
        <w:t xml:space="preserve"> The employer shall provide safeguarding within test areas to control access to test equipment or to apparatus under test that could become energized as part of the testing by either direct or inductive coupling and to prevent accidental employee contact with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Permanent test areas.</w:t>
      </w:r>
      <w:r w:rsidRPr="009F74C5">
        <w:rPr>
          <w:rFonts w:ascii="Arial" w:eastAsia="Times New Roman" w:hAnsi="Arial" w:cs="Arial"/>
          <w:sz w:val="20"/>
          <w:szCs w:val="20"/>
        </w:rPr>
        <w:t xml:space="preserve"> The employer shall guard permanent test areas with walls, fences, or other barriers designed to keep employees out of the test areas.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Temporary test areas.</w:t>
      </w:r>
      <w:r w:rsidRPr="009F74C5">
        <w:rPr>
          <w:rFonts w:ascii="Arial" w:eastAsia="Times New Roman" w:hAnsi="Arial" w:cs="Arial"/>
          <w:sz w:val="20"/>
          <w:szCs w:val="20"/>
        </w:rPr>
        <w:t xml:space="preserve"> In field testing, or at a temporary test site not guarded by permanent fences and gates, the employer shall ensure the use of one of the following means to prevent employees without authorization from entering: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Distinctively colored safety tape supported approximately waist high with safety signs attached to 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barrier or barricade that limits access to the test area to a degree equivalent, physically and visually, to the barricade specified in paragraph (c)(3)(i) of this section,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One or more test observers stationed so that they can monitor the entire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Removal of safeguards.</w:t>
      </w:r>
      <w:r w:rsidRPr="009F74C5">
        <w:rPr>
          <w:rFonts w:ascii="Arial" w:eastAsia="Times New Roman" w:hAnsi="Arial" w:cs="Arial"/>
          <w:sz w:val="20"/>
          <w:szCs w:val="20"/>
        </w:rPr>
        <w:t xml:space="preserve"> The employer shall ensure the removal of the safeguards required by paragraph (c)(3) of this section when employees no longer need the protection afforded by the safeguards.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Grounding practices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Establish and implement practices.</w:t>
      </w:r>
      <w:r w:rsidRPr="009F74C5">
        <w:rPr>
          <w:rFonts w:ascii="Arial" w:eastAsia="Times New Roman" w:hAnsi="Arial" w:cs="Arial"/>
          <w:sz w:val="20"/>
          <w:szCs w:val="20"/>
        </w:rPr>
        <w:t xml:space="preserve"> The employer shall establish and implement safe grounding practices for the test facility.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The employer shall maintain at ground potential all conductive parts accessible to the test operator while the equipment is operating at high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Wherever ungrounded terminals of test equipment or apparatus under test may be present, they shall be treated as energized until tests demonstrate that they are deenergized.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Installation of grounds.</w:t>
      </w:r>
      <w:r w:rsidRPr="009F74C5">
        <w:rPr>
          <w:rFonts w:ascii="Arial" w:eastAsia="Times New Roman" w:hAnsi="Arial" w:cs="Arial"/>
          <w:sz w:val="20"/>
          <w:szCs w:val="20"/>
        </w:rPr>
        <w:t xml:space="preserve"> The employer shall ensure either that visible grounds are applied automatically, or that employees using properly insulated tools manually apply visible grounds, to the high-voltage circuits after they are deenergized and before any employee performs work on the circuit or on the item or apparatus under test. Common ground connections shall be solidly connected to the test equipment and the apparatus under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Isolated ground return.</w:t>
      </w:r>
      <w:r w:rsidRPr="009F74C5">
        <w:rPr>
          <w:rFonts w:ascii="Arial" w:eastAsia="Times New Roman" w:hAnsi="Arial" w:cs="Arial"/>
          <w:sz w:val="20"/>
          <w:szCs w:val="20"/>
        </w:rPr>
        <w:t xml:space="preserve"> In high-power testing, the employer shall provide an isolated ground-return conductor system designed to prevent the intentional passage of current, with its attendant voltage rise, from occurring in the ground grid or in the earth. However, the employer need not provide an isolated ground-return conductor if the employer can demonstrate that both of the following conditions exist: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employer cannot provide an isolated ground-return conductor due to the distance of the test site from the electric energy source,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protects employees from any hazardous step and touch potentials that may develop during the test.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)(3)(</w:t>
      </w:r>
      <w:r w:rsidRPr="009F74C5">
        <w:rPr>
          <w:rFonts w:ascii="Arial" w:eastAsia="Times New Roman" w:hAnsi="Arial" w:cs="Arial"/>
          <w:sz w:val="18"/>
          <w:szCs w:val="18"/>
        </w:rPr>
        <w:t>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appendix C to this subpart for information on measures that employers can take to protect employees from hazardous step and touch potentials.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Equipment grounding conductors.</w:t>
      </w:r>
      <w:r w:rsidRPr="009F74C5">
        <w:rPr>
          <w:rFonts w:ascii="Arial" w:eastAsia="Times New Roman" w:hAnsi="Arial" w:cs="Arial"/>
          <w:sz w:val="20"/>
          <w:szCs w:val="20"/>
        </w:rPr>
        <w:t xml:space="preserve"> For tests in which using the equipment grounding conductor in the equipment power cord to ground the test equipment would result in greater hazards to test personnel or prevent the taking of satisfactory measurements, the employer may use a ground clearly indicated in the test set-up if the employer can demonstrate that this ground affords protection for employees equivalent to the protection afforded by an equipment grounding conductor in the power supply cord.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Grounding after tests.</w:t>
      </w:r>
      <w:r w:rsidRPr="009F74C5">
        <w:rPr>
          <w:rFonts w:ascii="Arial" w:eastAsia="Times New Roman" w:hAnsi="Arial" w:cs="Arial"/>
          <w:sz w:val="20"/>
          <w:szCs w:val="20"/>
        </w:rPr>
        <w:t xml:space="preserve"> The employer shall ensure that, when any employee enters the test area after equipment is deenergized, a ground is placed on the high-voltage terminal and any other exposed terminals.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Before any employee applies a direct ground, the employer shall discharge high capacitance equipment or apparatus through a resistor rated for the available energy.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direct ground shall be applied to the exposed terminals after the stored energy drops to a level at which it is safe to do so.</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Grounding test vehicles.</w:t>
      </w:r>
      <w:r w:rsidRPr="009F74C5">
        <w:rPr>
          <w:rFonts w:ascii="Arial" w:eastAsia="Times New Roman" w:hAnsi="Arial" w:cs="Arial"/>
          <w:sz w:val="20"/>
          <w:szCs w:val="20"/>
        </w:rPr>
        <w:t xml:space="preserve"> If the employer uses a test trailer or test vehicle in field testing, its chassis shall be grounded. The employer shall protect each employee against hazardous touch potentials with respect to the vehicle, instrument panels, and other conductive parts accessible to employees with bonding, insulation, or isolation.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Control and measuring circuits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Control wiring.</w:t>
      </w:r>
      <w:r w:rsidRPr="009F74C5">
        <w:rPr>
          <w:rFonts w:ascii="Arial" w:eastAsia="Times New Roman" w:hAnsi="Arial" w:cs="Arial"/>
          <w:sz w:val="20"/>
          <w:szCs w:val="20"/>
        </w:rPr>
        <w:t xml:space="preserve"> The employer may not run control wiring, meter connections, test leads, or cables from a test area unless contained in a grounded metallic sheath and terminated in a grounded metallic enclosure or unless the employer takes other precautions that it can demonstrate will provide employees with equivalent safety.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Instruments.</w:t>
      </w:r>
      <w:r w:rsidRPr="009F74C5">
        <w:rPr>
          <w:rFonts w:ascii="Arial" w:eastAsia="Times New Roman" w:hAnsi="Arial" w:cs="Arial"/>
          <w:sz w:val="20"/>
          <w:szCs w:val="20"/>
        </w:rPr>
        <w:t xml:space="preserve"> The employer shall isolate meters and other instruments with accessible terminals or parts from test personnel to protect against hazards that could arise should such terminals and parts become energized during testing. If the employer provides this isolation by locating test equipment in metal compartments with viewing windows, the employer shall provide interlocks to interrupt the power supply when someone opens the compartment cover.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Routing temporary wiring.</w:t>
      </w:r>
      <w:r w:rsidRPr="009F74C5">
        <w:rPr>
          <w:rFonts w:ascii="Arial" w:eastAsia="Times New Roman" w:hAnsi="Arial" w:cs="Arial"/>
          <w:sz w:val="20"/>
          <w:szCs w:val="20"/>
        </w:rPr>
        <w:t xml:space="preserve"> The employer shall protect temporary wiring and its connections against damage, accidental interruptions, and other hazards. To the maximum extent possible, the employer shall keep signal, control, ground, and power cables separate from each other.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Test observer.</w:t>
      </w:r>
      <w:r w:rsidRPr="009F74C5">
        <w:rPr>
          <w:rFonts w:ascii="Arial" w:eastAsia="Times New Roman" w:hAnsi="Arial" w:cs="Arial"/>
          <w:sz w:val="20"/>
          <w:szCs w:val="20"/>
        </w:rPr>
        <w:t xml:space="preserve"> If any employee will be present in the test area during testing, a test observer shall be present. The test observer shall be capable of implementing the immediate deenergizing of test circuits for safety purposes.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Safety check</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Before each test.</w:t>
      </w:r>
      <w:r w:rsidRPr="009F74C5">
        <w:rPr>
          <w:rFonts w:ascii="Arial" w:eastAsia="Times New Roman" w:hAnsi="Arial" w:cs="Arial"/>
          <w:sz w:val="20"/>
          <w:szCs w:val="20"/>
        </w:rPr>
        <w:t xml:space="preserve"> Safety practices governing employee work at temporary or field test areas shall provide, at the beginning of each series of tests, for a routine safety check of such test areas.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Conditions to be checked.</w:t>
      </w:r>
      <w:r w:rsidRPr="009F74C5">
        <w:rPr>
          <w:rFonts w:ascii="Arial" w:eastAsia="Times New Roman" w:hAnsi="Arial" w:cs="Arial"/>
          <w:sz w:val="20"/>
          <w:szCs w:val="20"/>
        </w:rPr>
        <w:t xml:space="preserve"> The test operator in charge shall conduct these routine safety checks before each series of tests and shall verify at least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Barriers and safeguards are in workable condition and placed properly to isolate hazardous areas;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System test status signals, if used, are in operable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Clearly marked test-power disconnects are readily available in an emergency;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Ground connections are clearly identifiable;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Personal protective equipment is provided and used as required by subpart E of this part and by this subpart;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Proper separation between signal, ground, and power cables.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1" w:anchor="_top" w:history="1">
        <w:r w:rsidR="00D70103">
          <w:rPr>
            <w:rFonts w:ascii="Arial" w:eastAsia="Times New Roman" w:hAnsi="Arial" w:cs="Arial"/>
            <w:noProof/>
            <w:color w:val="0000FF"/>
            <w:sz w:val="17"/>
            <w:szCs w:val="17"/>
          </w:rPr>
          <w:drawing>
            <wp:inline distT="0" distB="0" distL="0" distR="0" wp14:anchorId="42663868" wp14:editId="668EC49F">
              <wp:extent cx="152400" cy="152400"/>
              <wp:effectExtent l="0" t="0" r="0" b="0"/>
              <wp:docPr id="190" name="Picture 19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3" w:name="se29.8.1926_1964"/>
      <w:bookmarkEnd w:id="33"/>
      <w:r w:rsidRPr="009F74C5">
        <w:rPr>
          <w:rFonts w:ascii="Arial" w:eastAsia="Times New Roman" w:hAnsi="Arial" w:cs="Arial"/>
          <w:b/>
          <w:bCs/>
          <w:sz w:val="20"/>
          <w:szCs w:val="20"/>
        </w:rPr>
        <w:t>§1926.964   Overhead lines and live-line barehand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provides additional requirements for work performed on or near overhead lines and equipment and for live-line barehand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Checking structure before climbing.</w:t>
      </w:r>
      <w:r w:rsidRPr="009F74C5">
        <w:rPr>
          <w:rFonts w:ascii="Arial" w:eastAsia="Times New Roman" w:hAnsi="Arial" w:cs="Arial"/>
          <w:sz w:val="20"/>
          <w:szCs w:val="20"/>
        </w:rPr>
        <w:t xml:space="preserve"> Before allowing employees to subject elevated structures, such as poles or towers, to such stresses as climbing or the installation or removal of equipment may impose, the employer shall ascertain that the structures are capable of sustaining the additional or unbalanced stresses. If the pole or other structure cannot withstand the expected loads, the employer shall brace or otherwise support the pole or structure so as to prevent failure.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Appendix D to this subpart contains test methods that employers can use in ascertaining whether a wood pole is capable of sustaining the forces imposed by an employee climbing the pole. This paragraph also requires the employer to ascertain that the pole can sustain all other forces imposed by the work employees will perform.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Setting and moving poles.</w:t>
      </w:r>
      <w:r w:rsidRPr="009F74C5">
        <w:rPr>
          <w:rFonts w:ascii="Arial" w:eastAsia="Times New Roman" w:hAnsi="Arial" w:cs="Arial"/>
          <w:sz w:val="20"/>
          <w:szCs w:val="20"/>
        </w:rPr>
        <w:t xml:space="preserve"> (i) When a pole is set, moved, or removed near an exposed energized overhead conductor, the pole may not contact the conductor.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 a pole is set, moved, or removed near an exposed energized overhead conductor, the employer shall ensure that each employee wears electrical protective equipment or uses insulated devices when handling the pole and that no employee contacts the pole with uninsulated parts of his or her body.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To protect employees from falling into holes used for placing poles, the employer shall physically guard the holes, or ensure that employees attend the holes, whenever anyone is working nearby.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Installing and removing overhead lines.</w:t>
      </w:r>
      <w:r w:rsidRPr="009F74C5">
        <w:rPr>
          <w:rFonts w:ascii="Arial" w:eastAsia="Times New Roman" w:hAnsi="Arial" w:cs="Arial"/>
          <w:sz w:val="20"/>
          <w:szCs w:val="20"/>
        </w:rPr>
        <w:t xml:space="preserve"> The following provisions apply to the installation and removal of overhead conductors or cable (overhead 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Tension stringing method.</w:t>
      </w:r>
      <w:r w:rsidRPr="009F74C5">
        <w:rPr>
          <w:rFonts w:ascii="Arial" w:eastAsia="Times New Roman" w:hAnsi="Arial" w:cs="Arial"/>
          <w:sz w:val="20"/>
          <w:szCs w:val="20"/>
        </w:rPr>
        <w:t xml:space="preserve"> When lines that employees are installing or removing can contact energized parts, the employer shall use the tension-stringing method, barriers, or other equivalent measures to minimize the possibility that conductors and cables the employees are installing or removing will contact energized power lines or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Conductors, cables, and pulling and tensioning equipment.</w:t>
      </w:r>
      <w:r w:rsidRPr="009F74C5">
        <w:rPr>
          <w:rFonts w:ascii="Arial" w:eastAsia="Times New Roman" w:hAnsi="Arial" w:cs="Arial"/>
          <w:sz w:val="20"/>
          <w:szCs w:val="20"/>
        </w:rPr>
        <w:t xml:space="preserve"> For conductors, cables, and pulling and tensioning equipment, the employer shall provide the protective measures required by §1926.959(d)(3) when employees are installing or removing a conductor or cable close enough to energized conductors that any of the following failures could energize the pulling or tensioning equipment or the conductor or cable being installed or removed: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Failure of the pulling or tensioning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Failure of the conductor or cable being pulled,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Failure of the previously installed lines or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Disable automatic-reclosing feature.</w:t>
      </w:r>
      <w:r w:rsidRPr="009F74C5">
        <w:rPr>
          <w:rFonts w:ascii="Arial" w:eastAsia="Times New Roman" w:hAnsi="Arial" w:cs="Arial"/>
          <w:sz w:val="20"/>
          <w:szCs w:val="20"/>
        </w:rPr>
        <w:t xml:space="preserve"> If the conductors that employees are installing or removing cross over energized conductors in excess of 600 volts and if the design of the circuit-interrupting devices protecting the lines so permits, the employer shall render inoperable the automatic-reclosing feature of these devices.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Induced voltage.</w:t>
      </w:r>
      <w:r w:rsidRPr="009F74C5">
        <w:rPr>
          <w:rFonts w:ascii="Arial" w:eastAsia="Times New Roman" w:hAnsi="Arial" w:cs="Arial"/>
          <w:sz w:val="20"/>
          <w:szCs w:val="20"/>
        </w:rPr>
        <w:t xml:space="preserve"> (i) Before employees install lines parallel to existing energized lines, the employer shall make a determination of the approximate voltage to be induced in the new lines, or work shall proceed on the assumption that the induced voltage is hazardous.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Unless the employer can demonstrate that the lines that employees are installing are not subject to the induction of a hazardous voltage or unless the lines are treated as energized, temporary protective grounds shall be placed at such locations and arranged in such a manner that the employer can demonstrate will prevent exposure of each employee to hazardous differences in electric potential.</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)(4)(</w:t>
      </w:r>
      <w:r w:rsidRPr="009F74C5">
        <w:rPr>
          <w:rFonts w:ascii="Arial" w:eastAsia="Times New Roman" w:hAnsi="Arial" w:cs="Arial"/>
          <w:sz w:val="18"/>
          <w:szCs w:val="18"/>
        </w:rPr>
        <w:t>ii</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Appendix C to this subpart contains guidelines for protecting employees from hazardous differences in electric potential as required by this paragraph.</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)(4):</w:t>
      </w:r>
      <w:r w:rsidRPr="009F74C5">
        <w:rPr>
          <w:rFonts w:ascii="Arial" w:eastAsia="Times New Roman" w:hAnsi="Arial" w:cs="Arial"/>
          <w:sz w:val="18"/>
          <w:szCs w:val="18"/>
        </w:rPr>
        <w:t xml:space="preserve"> If the employer takes no precautions to protect employees from hazards associated with involuntary reactions from electric shock, a hazard exists if the induced voltage is sufficient to pass a current of 1 milliampere through a 500-ohm resistor. If the employer protects employees from injury due to involuntary reactions from electric shock, a hazard exists if the resultant current would be more than 6 milliamperes.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(5) </w:t>
      </w:r>
      <w:r w:rsidRPr="009F74C5">
        <w:rPr>
          <w:rFonts w:ascii="Arial" w:eastAsia="Times New Roman" w:hAnsi="Arial" w:cs="Arial"/>
          <w:i/>
          <w:iCs/>
          <w:sz w:val="20"/>
          <w:szCs w:val="20"/>
        </w:rPr>
        <w:t>Safe operating condition.</w:t>
      </w:r>
      <w:r w:rsidRPr="009F74C5">
        <w:rPr>
          <w:rFonts w:ascii="Arial" w:eastAsia="Times New Roman" w:hAnsi="Arial" w:cs="Arial"/>
          <w:sz w:val="20"/>
          <w:szCs w:val="20"/>
        </w:rPr>
        <w:t xml:space="preserve"> Reel-handling equipment, including pulling and tensioning devices, shall be in safe operating condition and shall be leveled and aligned.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Load ratings.</w:t>
      </w:r>
      <w:r w:rsidRPr="009F74C5">
        <w:rPr>
          <w:rFonts w:ascii="Arial" w:eastAsia="Times New Roman" w:hAnsi="Arial" w:cs="Arial"/>
          <w:sz w:val="20"/>
          <w:szCs w:val="20"/>
        </w:rPr>
        <w:t xml:space="preserve"> The employer shall ensure that employees do not exceed load ratings of stringing lines, pulling lines, conductor grips, load-bearing hardware and accessories, rigging, and hoists.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Defective pulling lines.</w:t>
      </w:r>
      <w:r w:rsidRPr="009F74C5">
        <w:rPr>
          <w:rFonts w:ascii="Arial" w:eastAsia="Times New Roman" w:hAnsi="Arial" w:cs="Arial"/>
          <w:sz w:val="20"/>
          <w:szCs w:val="20"/>
        </w:rPr>
        <w:t xml:space="preserve"> The employer shall repair or replace defective pulling lines and accessories.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Conductor grips.</w:t>
      </w:r>
      <w:r w:rsidRPr="009F74C5">
        <w:rPr>
          <w:rFonts w:ascii="Arial" w:eastAsia="Times New Roman" w:hAnsi="Arial" w:cs="Arial"/>
          <w:sz w:val="20"/>
          <w:szCs w:val="20"/>
        </w:rPr>
        <w:t xml:space="preserve"> The employer shall ensure that employees do not use conductor grips on wire rope unless the manufacturer specifically designed the grip for this application.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Communications.</w:t>
      </w:r>
      <w:r w:rsidRPr="009F74C5">
        <w:rPr>
          <w:rFonts w:ascii="Arial" w:eastAsia="Times New Roman" w:hAnsi="Arial" w:cs="Arial"/>
          <w:sz w:val="20"/>
          <w:szCs w:val="20"/>
        </w:rPr>
        <w:t xml:space="preserve"> The employer shall ensure that employees maintain reliable communications, through two-way radios or other equivalent means, between the reel tender and the pulling-rig operator.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Operation of pulling rig.</w:t>
      </w:r>
      <w:r w:rsidRPr="009F74C5">
        <w:rPr>
          <w:rFonts w:ascii="Arial" w:eastAsia="Times New Roman" w:hAnsi="Arial" w:cs="Arial"/>
          <w:sz w:val="20"/>
          <w:szCs w:val="20"/>
        </w:rPr>
        <w:t xml:space="preserve"> Employees may operate the pulling rig only when it is safe to do so.</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)(10):</w:t>
      </w:r>
      <w:r w:rsidRPr="009F74C5">
        <w:rPr>
          <w:rFonts w:ascii="Arial" w:eastAsia="Times New Roman" w:hAnsi="Arial" w:cs="Arial"/>
          <w:sz w:val="18"/>
          <w:szCs w:val="18"/>
        </w:rPr>
        <w:t xml:space="preserve"> Examples of unsafe conditions include: employees in locations prohibited by paragraph (b)(11) of this section, conductor and pulling line hang-ups, and slipping of the conductor grip.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Working under overhead operations.</w:t>
      </w:r>
      <w:r w:rsidRPr="009F74C5">
        <w:rPr>
          <w:rFonts w:ascii="Arial" w:eastAsia="Times New Roman" w:hAnsi="Arial" w:cs="Arial"/>
          <w:sz w:val="20"/>
          <w:szCs w:val="20"/>
        </w:rPr>
        <w:t xml:space="preserve"> While a power-driven device is pulling the conductor or pulling line and the conductor or pulling line is in motion, the employer shall ensure that employees are not directly under overhead operations or on the crossarm, except as necessary for the employees to guide the stringing sock or board over or through the stringing sheave.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Live-line barehand work.</w:t>
      </w:r>
      <w:r w:rsidRPr="009F74C5">
        <w:rPr>
          <w:rFonts w:ascii="Arial" w:eastAsia="Times New Roman" w:hAnsi="Arial" w:cs="Arial"/>
          <w:sz w:val="20"/>
          <w:szCs w:val="20"/>
        </w:rPr>
        <w:t xml:space="preserve"> In addition to other applicable provisions contained in this subpart, the following requirements apply to live-line barehand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Training.</w:t>
      </w:r>
      <w:r w:rsidRPr="009F74C5">
        <w:rPr>
          <w:rFonts w:ascii="Arial" w:eastAsia="Times New Roman" w:hAnsi="Arial" w:cs="Arial"/>
          <w:sz w:val="20"/>
          <w:szCs w:val="20"/>
        </w:rPr>
        <w:t xml:space="preserve"> Before an employee uses or supervises the use of the live-line barehand technique on energized circuits, the employer shall ensure that the employee completes training conforming to §1926.950(b) in the technique and in the safety requirements of paragraph (c)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Existing conditions.</w:t>
      </w:r>
      <w:r w:rsidRPr="009F74C5">
        <w:rPr>
          <w:rFonts w:ascii="Arial" w:eastAsia="Times New Roman" w:hAnsi="Arial" w:cs="Arial"/>
          <w:sz w:val="20"/>
          <w:szCs w:val="20"/>
        </w:rPr>
        <w:t xml:space="preserve"> Before any employee uses the live-line barehand technique on energized high-voltage conductors or parts, the employer shall ascertain the following information in addition to information about other existing conditions required by §1926.950(d):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nominal voltage rating of the circuit on which employees will perform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clearances to ground of lines and other energized parts on which employees will perform the work,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voltage limitations of equipment employees will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Insulated tools and equipment.</w:t>
      </w:r>
      <w:r w:rsidRPr="009F74C5">
        <w:rPr>
          <w:rFonts w:ascii="Arial" w:eastAsia="Times New Roman" w:hAnsi="Arial" w:cs="Arial"/>
          <w:sz w:val="20"/>
          <w:szCs w:val="20"/>
        </w:rPr>
        <w:t xml:space="preserve"> (i) The employer shall ensure that the insulated equipment, insulated tools, and aerial devices and platforms used by employees are designed, tested, and made for live-line barehand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ensure that employees keep tools and equipment clean and dry while they are in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Disable automatic-reclosing feature.</w:t>
      </w:r>
      <w:r w:rsidRPr="009F74C5">
        <w:rPr>
          <w:rFonts w:ascii="Arial" w:eastAsia="Times New Roman" w:hAnsi="Arial" w:cs="Arial"/>
          <w:sz w:val="20"/>
          <w:szCs w:val="20"/>
        </w:rPr>
        <w:t xml:space="preserve"> The employer shall render inoperable the automatic-reclosing feature of circuit-interrupting devices protecting the lines if the design of the devices permits.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(5) </w:t>
      </w:r>
      <w:r w:rsidRPr="009F74C5">
        <w:rPr>
          <w:rFonts w:ascii="Arial" w:eastAsia="Times New Roman" w:hAnsi="Arial" w:cs="Arial"/>
          <w:i/>
          <w:iCs/>
          <w:sz w:val="20"/>
          <w:szCs w:val="20"/>
        </w:rPr>
        <w:t>Adverse weather conditions.</w:t>
      </w:r>
      <w:r w:rsidRPr="009F74C5">
        <w:rPr>
          <w:rFonts w:ascii="Arial" w:eastAsia="Times New Roman" w:hAnsi="Arial" w:cs="Arial"/>
          <w:sz w:val="20"/>
          <w:szCs w:val="20"/>
        </w:rPr>
        <w:t xml:space="preserve"> The employer shall ensure that employees do not perform work when adverse weather conditions would make the work hazardous even after the employer implements the work practices required by this subpart. Additionally, employees may not perform work when winds reduce the phase-to-phase or phase-to-ground clearances at the work location below the minimum approach distances specified in paragraph (c)(13) of this section, unless insulating guards cover the grounded objects and other lines and equipment.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c</w:t>
      </w:r>
      <w:r w:rsidRPr="009F74C5">
        <w:rPr>
          <w:rFonts w:ascii="Arial" w:eastAsia="Times New Roman" w:hAnsi="Arial" w:cs="Arial"/>
          <w:smallCaps/>
          <w:sz w:val="18"/>
          <w:szCs w:val="18"/>
        </w:rPr>
        <w:t>)(5):</w:t>
      </w:r>
      <w:r w:rsidRPr="009F74C5">
        <w:rPr>
          <w:rFonts w:ascii="Arial" w:eastAsia="Times New Roman" w:hAnsi="Arial" w:cs="Arial"/>
          <w:sz w:val="18"/>
          <w:szCs w:val="18"/>
        </w:rPr>
        <w:t xml:space="preserve"> Thunderstorms in the vicinity, high winds, snow storms, and ice storms are examples of adverse weather conditions that make live-line barehand work too hazardous to perform safely even after the employer implements the work practices required by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Bucket liners and electrostatic shielding.</w:t>
      </w:r>
      <w:r w:rsidRPr="009F74C5">
        <w:rPr>
          <w:rFonts w:ascii="Arial" w:eastAsia="Times New Roman" w:hAnsi="Arial" w:cs="Arial"/>
          <w:sz w:val="20"/>
          <w:szCs w:val="20"/>
        </w:rPr>
        <w:t xml:space="preserve"> The employer shall provide and ensure that employees use a conductive bucket liner or other conductive device for bonding the insulated aerial device to the energized line or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employee shall be connected to the bucket liner or other conductive device by the use of conductive shoes, leg clips, or other means.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differences in potentials at the worksite pose a hazard to employees, the employer shall provide electrostatic shielding designed for the voltage being worked.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Bonding the employee to the energized part.</w:t>
      </w:r>
      <w:r w:rsidRPr="009F74C5">
        <w:rPr>
          <w:rFonts w:ascii="Arial" w:eastAsia="Times New Roman" w:hAnsi="Arial" w:cs="Arial"/>
          <w:sz w:val="20"/>
          <w:szCs w:val="20"/>
        </w:rPr>
        <w:t xml:space="preserve"> The employer shall ensure that, before the employee contacts the energized part, the employee bonds the conductive bucket liner or other conductive device to the energized conductor by means of a positive connection. This connection shall remain attached to the energized conductor until the employee completes the work on the energized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Aerial-lift controls.</w:t>
      </w:r>
      <w:r w:rsidRPr="009F74C5">
        <w:rPr>
          <w:rFonts w:ascii="Arial" w:eastAsia="Times New Roman" w:hAnsi="Arial" w:cs="Arial"/>
          <w:sz w:val="20"/>
          <w:szCs w:val="20"/>
        </w:rPr>
        <w:t xml:space="preserve"> Aerial lifts used for live-line barehand work shall have dual controls (lower and upper)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upper controls shall be within easy reach of the employee in the bucket. On a two-bucket-type lift, access to the controls shall be within easy reach of both buckets.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lower set of controls shall be near the base of the boom and shall be designed so that they can override operation of the equipment at any time.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Operation of lower controls.</w:t>
      </w:r>
      <w:r w:rsidRPr="009F74C5">
        <w:rPr>
          <w:rFonts w:ascii="Arial" w:eastAsia="Times New Roman" w:hAnsi="Arial" w:cs="Arial"/>
          <w:sz w:val="20"/>
          <w:szCs w:val="20"/>
        </w:rPr>
        <w:t xml:space="preserve"> Lower (ground-level) lift controls may not be operated with an employee in the lift except in case of emergency.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Check controls.</w:t>
      </w:r>
      <w:r w:rsidRPr="009F74C5">
        <w:rPr>
          <w:rFonts w:ascii="Arial" w:eastAsia="Times New Roman" w:hAnsi="Arial" w:cs="Arial"/>
          <w:sz w:val="20"/>
          <w:szCs w:val="20"/>
        </w:rPr>
        <w:t xml:space="preserve"> The employer shall ensure that, before employees elevate an aerial lift into the work position, the employees check all controls (ground level and bucket) to determine that they are in proper working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Body of aerial lift truck.</w:t>
      </w:r>
      <w:r w:rsidRPr="009F74C5">
        <w:rPr>
          <w:rFonts w:ascii="Arial" w:eastAsia="Times New Roman" w:hAnsi="Arial" w:cs="Arial"/>
          <w:sz w:val="20"/>
          <w:szCs w:val="20"/>
        </w:rPr>
        <w:t xml:space="preserve"> The employer shall ensure that, before employees elevate the boom of an aerial lift, the employees ground the body of the truck or barricade the body of the truck and treat it as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Boom-current test.</w:t>
      </w:r>
      <w:r w:rsidRPr="009F74C5">
        <w:rPr>
          <w:rFonts w:ascii="Arial" w:eastAsia="Times New Roman" w:hAnsi="Arial" w:cs="Arial"/>
          <w:sz w:val="20"/>
          <w:szCs w:val="20"/>
        </w:rPr>
        <w:t xml:space="preserve"> The employer shall ensure that employees perform a boom-current test before starting work each day, each time during the day when they encounter a higher voltage, and when changed conditions indicate a need for an additional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This test shall consist of placing the bucket in contact with an energized source equal to the voltage to be encountered for a minimum of 3 minutes.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leakage current may not exceed 1 microampere per kilovolt of nominal phase-to-ground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immediately suspend work from the aerial lift when there is any indication of a malfunction in the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(13) </w:t>
      </w:r>
      <w:r w:rsidRPr="009F74C5">
        <w:rPr>
          <w:rFonts w:ascii="Arial" w:eastAsia="Times New Roman" w:hAnsi="Arial" w:cs="Arial"/>
          <w:i/>
          <w:iCs/>
          <w:sz w:val="20"/>
          <w:szCs w:val="20"/>
        </w:rPr>
        <w:t>Minimum approach distance.</w:t>
      </w:r>
      <w:r w:rsidRPr="009F74C5">
        <w:rPr>
          <w:rFonts w:ascii="Arial" w:eastAsia="Times New Roman" w:hAnsi="Arial" w:cs="Arial"/>
          <w:sz w:val="20"/>
          <w:szCs w:val="20"/>
        </w:rPr>
        <w:t xml:space="preserve"> The employer shall ensure that employees maintain the minimum approach distances, established by the employer under §1926.960(c)(1)(i), from all grounded objects and from lines and equipment at a potential different from that to which the live-line barehand equipment is bonded, unless insulating guards cover such grounded objects and other lines and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(14) </w:t>
      </w:r>
      <w:r w:rsidRPr="009F74C5">
        <w:rPr>
          <w:rFonts w:ascii="Arial" w:eastAsia="Times New Roman" w:hAnsi="Arial" w:cs="Arial"/>
          <w:i/>
          <w:iCs/>
          <w:sz w:val="20"/>
          <w:szCs w:val="20"/>
        </w:rPr>
        <w:t>Approaching, leaving, and bonding to energized part.</w:t>
      </w:r>
      <w:r w:rsidRPr="009F74C5">
        <w:rPr>
          <w:rFonts w:ascii="Arial" w:eastAsia="Times New Roman" w:hAnsi="Arial" w:cs="Arial"/>
          <w:sz w:val="20"/>
          <w:szCs w:val="20"/>
        </w:rPr>
        <w:t xml:space="preserve"> The employer shall ensure that, while an employee is approaching, leaving, or bonding to an energized circuit, the employee maintains the minimum approach distances, established by the employer under §1926.960(c)(1)(i), between the employee and any grounded parts, including the lower boom and portions of the truck and between the employee and conductive objects energized at different potentials.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(15) </w:t>
      </w:r>
      <w:r w:rsidRPr="009F74C5">
        <w:rPr>
          <w:rFonts w:ascii="Arial" w:eastAsia="Times New Roman" w:hAnsi="Arial" w:cs="Arial"/>
          <w:i/>
          <w:iCs/>
          <w:sz w:val="20"/>
          <w:szCs w:val="20"/>
        </w:rPr>
        <w:t>Positioning bucket near energized bushing or insulator string.</w:t>
      </w:r>
      <w:r w:rsidRPr="009F74C5">
        <w:rPr>
          <w:rFonts w:ascii="Arial" w:eastAsia="Times New Roman" w:hAnsi="Arial" w:cs="Arial"/>
          <w:sz w:val="20"/>
          <w:szCs w:val="20"/>
        </w:rPr>
        <w:t xml:space="preserve"> While the bucket is alongside an energized bushing or insulator string, the employer shall ensure that employees maintain the phase-to-ground minimum approach distances, established by the employer under §1926.960(c)(1)(i), between all parts of the bucket and the grounded end of the bushing or insulator string or any other grounded surface.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(16) </w:t>
      </w:r>
      <w:r w:rsidRPr="009F74C5">
        <w:rPr>
          <w:rFonts w:ascii="Arial" w:eastAsia="Times New Roman" w:hAnsi="Arial" w:cs="Arial"/>
          <w:i/>
          <w:iCs/>
          <w:sz w:val="20"/>
          <w:szCs w:val="20"/>
        </w:rPr>
        <w:t>Handlines.</w:t>
      </w:r>
      <w:r w:rsidRPr="009F74C5">
        <w:rPr>
          <w:rFonts w:ascii="Arial" w:eastAsia="Times New Roman" w:hAnsi="Arial" w:cs="Arial"/>
          <w:sz w:val="20"/>
          <w:szCs w:val="20"/>
        </w:rPr>
        <w:t xml:space="preserve"> The employer shall ensure that employees do not use handlines between the bucket and the boom or between the bucket and the ground. However, employees may use nonconductive-type handlines from conductor to ground if not supported from the bucket. The employer shall ensure that no one uses ropes used for live-line barehand work for other purposes.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(17) </w:t>
      </w:r>
      <w:r w:rsidRPr="009F74C5">
        <w:rPr>
          <w:rFonts w:ascii="Arial" w:eastAsia="Times New Roman" w:hAnsi="Arial" w:cs="Arial"/>
          <w:i/>
          <w:iCs/>
          <w:sz w:val="20"/>
          <w:szCs w:val="20"/>
        </w:rPr>
        <w:t>Passing objects to employee.</w:t>
      </w:r>
      <w:r w:rsidRPr="009F74C5">
        <w:rPr>
          <w:rFonts w:ascii="Arial" w:eastAsia="Times New Roman" w:hAnsi="Arial" w:cs="Arial"/>
          <w:sz w:val="20"/>
          <w:szCs w:val="20"/>
        </w:rPr>
        <w:t xml:space="preserve"> The employer shall ensure that employees do not pass uninsulated equipment or material between a pole or structure and an aerial lift while an employee working from the bucket is bonded to an energized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(18) </w:t>
      </w:r>
      <w:r w:rsidRPr="009F74C5">
        <w:rPr>
          <w:rFonts w:ascii="Arial" w:eastAsia="Times New Roman" w:hAnsi="Arial" w:cs="Arial"/>
          <w:i/>
          <w:iCs/>
          <w:sz w:val="20"/>
          <w:szCs w:val="20"/>
        </w:rPr>
        <w:t>Nonconductive measuring device.</w:t>
      </w:r>
      <w:r w:rsidRPr="009F74C5">
        <w:rPr>
          <w:rFonts w:ascii="Arial" w:eastAsia="Times New Roman" w:hAnsi="Arial" w:cs="Arial"/>
          <w:sz w:val="20"/>
          <w:szCs w:val="20"/>
        </w:rPr>
        <w:t xml:space="preserve"> A nonconductive measuring device shall be readily accessible to employees performing live-line barehand work to assist them in maintaining the required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Towers and structures.</w:t>
      </w:r>
      <w:r w:rsidRPr="009F74C5">
        <w:rPr>
          <w:rFonts w:ascii="Arial" w:eastAsia="Times New Roman" w:hAnsi="Arial" w:cs="Arial"/>
          <w:sz w:val="20"/>
          <w:szCs w:val="20"/>
        </w:rPr>
        <w:t xml:space="preserve"> The following requirements apply to work performed on towers or other structures that support overhead 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Working beneath towers and structures.</w:t>
      </w:r>
      <w:r w:rsidRPr="009F74C5">
        <w:rPr>
          <w:rFonts w:ascii="Arial" w:eastAsia="Times New Roman" w:hAnsi="Arial" w:cs="Arial"/>
          <w:sz w:val="20"/>
          <w:szCs w:val="20"/>
        </w:rPr>
        <w:t xml:space="preserve"> The employer shall ensure that no employee is under a tower or structure while work is in progress, except when the employer can demonstrate that such a working position is necessary to assist employees working above.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Tag lines.</w:t>
      </w:r>
      <w:r w:rsidRPr="009F74C5">
        <w:rPr>
          <w:rFonts w:ascii="Arial" w:eastAsia="Times New Roman" w:hAnsi="Arial" w:cs="Arial"/>
          <w:sz w:val="20"/>
          <w:szCs w:val="20"/>
        </w:rPr>
        <w:t xml:space="preserve"> The employer shall ensure that employees use tag lines or other similar devices to maintain control of tower sections being raised or positioned, unless the employer can demonstrate that the use of such devices would create a greater hazard to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Disconnecting load lines.</w:t>
      </w:r>
      <w:r w:rsidRPr="009F74C5">
        <w:rPr>
          <w:rFonts w:ascii="Arial" w:eastAsia="Times New Roman" w:hAnsi="Arial" w:cs="Arial"/>
          <w:sz w:val="20"/>
          <w:szCs w:val="20"/>
        </w:rPr>
        <w:t xml:space="preserve"> The employer shall ensure that employees do not detach the loadline from a member or section until they safely secure the load.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Adverse weather conditions.</w:t>
      </w:r>
      <w:r w:rsidRPr="009F74C5">
        <w:rPr>
          <w:rFonts w:ascii="Arial" w:eastAsia="Times New Roman" w:hAnsi="Arial" w:cs="Arial"/>
          <w:sz w:val="20"/>
          <w:szCs w:val="20"/>
        </w:rPr>
        <w:t xml:space="preserve"> The employer shall ensure that, except during emergency restoration procedures, employees discontinue work when adverse weather conditions would make the work hazardous in spite of the work practices required by this subpart.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lastRenderedPageBreak/>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)(4):</w:t>
      </w:r>
      <w:r w:rsidRPr="009F74C5">
        <w:rPr>
          <w:rFonts w:ascii="Arial" w:eastAsia="Times New Roman" w:hAnsi="Arial" w:cs="Arial"/>
          <w:sz w:val="18"/>
          <w:szCs w:val="18"/>
        </w:rPr>
        <w:t xml:space="preserve"> Thunderstorms in the vicinity, high winds, snow storms, and ice storms are examples of adverse weather conditions that make this work too hazardous to perform even after the employer implements the work practices required by this subpart.</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2" w:anchor="_top" w:history="1">
        <w:r w:rsidR="00D70103">
          <w:rPr>
            <w:rFonts w:ascii="Arial" w:eastAsia="Times New Roman" w:hAnsi="Arial" w:cs="Arial"/>
            <w:noProof/>
            <w:color w:val="0000FF"/>
            <w:sz w:val="17"/>
            <w:szCs w:val="17"/>
          </w:rPr>
          <w:drawing>
            <wp:inline distT="0" distB="0" distL="0" distR="0" wp14:anchorId="0E19F59C" wp14:editId="14F02017">
              <wp:extent cx="152400" cy="152400"/>
              <wp:effectExtent l="0" t="0" r="0" b="0"/>
              <wp:docPr id="189" name="Picture 18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4" w:name="se29.8.1926_1965"/>
      <w:bookmarkEnd w:id="34"/>
      <w:r w:rsidRPr="009F74C5">
        <w:rPr>
          <w:rFonts w:ascii="Arial" w:eastAsia="Times New Roman" w:hAnsi="Arial" w:cs="Arial"/>
          <w:b/>
          <w:bCs/>
          <w:sz w:val="20"/>
          <w:szCs w:val="20"/>
        </w:rPr>
        <w:t>§1926.965   Underground electrical installations.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provides additional requirements for work on underground electrical installations.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Access.</w:t>
      </w:r>
      <w:r w:rsidRPr="009F74C5">
        <w:rPr>
          <w:rFonts w:ascii="Arial" w:eastAsia="Times New Roman" w:hAnsi="Arial" w:cs="Arial"/>
          <w:sz w:val="20"/>
          <w:szCs w:val="20"/>
        </w:rPr>
        <w:t xml:space="preserve"> The employer shall ensure that employees use a ladder or other climbing device to enter and exit a manhole or subsurface vault exceeding 1.22 meters (4 feet) in depth. No employee may climb into or out of a manhole or vault by stepping on cables or hangers.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Lowering equipment into manholes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Hoisting equipment.</w:t>
      </w:r>
      <w:r w:rsidRPr="009F74C5">
        <w:rPr>
          <w:rFonts w:ascii="Arial" w:eastAsia="Times New Roman" w:hAnsi="Arial" w:cs="Arial"/>
          <w:sz w:val="20"/>
          <w:szCs w:val="20"/>
        </w:rPr>
        <w:t xml:space="preserve"> Equipment used to lower materials and tools into manholes or vaults shall be capable of supporting the weight to be lowered and shall be checked for defects before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Clear the area of employees.</w:t>
      </w:r>
      <w:r w:rsidRPr="009F74C5">
        <w:rPr>
          <w:rFonts w:ascii="Arial" w:eastAsia="Times New Roman" w:hAnsi="Arial" w:cs="Arial"/>
          <w:sz w:val="20"/>
          <w:szCs w:val="20"/>
        </w:rPr>
        <w:t xml:space="preserve"> Before anyone lowers tools or material into the opening for a manhole or vault, each employee working in the manhole or vault shall be clear of the area directly under the opening.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Attendants for manholes and vaults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When required.</w:t>
      </w:r>
      <w:r w:rsidRPr="009F74C5">
        <w:rPr>
          <w:rFonts w:ascii="Arial" w:eastAsia="Times New Roman" w:hAnsi="Arial" w:cs="Arial"/>
          <w:sz w:val="20"/>
          <w:szCs w:val="20"/>
        </w:rPr>
        <w:t xml:space="preserve"> While work is being performed in a manhole or vault containing energized electric equipment, an employee with first-aid training shall be available on the surface in the immediate vicinity of the manhole or vault entrance to render emergency assistance.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Brief entries allowed.</w:t>
      </w:r>
      <w:r w:rsidRPr="009F74C5">
        <w:rPr>
          <w:rFonts w:ascii="Arial" w:eastAsia="Times New Roman" w:hAnsi="Arial" w:cs="Arial"/>
          <w:sz w:val="20"/>
          <w:szCs w:val="20"/>
        </w:rPr>
        <w:t xml:space="preserve"> Occasionally, the employee on the surface may briefly enter a manhole or vault to provide nonemergency assistance.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1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Paragraph (h) of 1926.953 may also require an attendant and does not permit this attendant to enter the manhole or vault.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2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)(2):</w:t>
      </w:r>
      <w:r w:rsidRPr="009F74C5">
        <w:rPr>
          <w:rFonts w:ascii="Arial" w:eastAsia="Times New Roman" w:hAnsi="Arial" w:cs="Arial"/>
          <w:sz w:val="18"/>
          <w:szCs w:val="18"/>
        </w:rPr>
        <w:t xml:space="preserve"> Paragraph (b)(1)(ii) of §1926.960 requires employees entering manholes or vaults containing unguarded, uninsulated energized lines or parts of electric equipment operating at 50 volts or more to be qualified.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Entry without attendant.</w:t>
      </w:r>
      <w:r w:rsidRPr="009F74C5">
        <w:rPr>
          <w:rFonts w:ascii="Arial" w:eastAsia="Times New Roman" w:hAnsi="Arial" w:cs="Arial"/>
          <w:sz w:val="20"/>
          <w:szCs w:val="20"/>
        </w:rPr>
        <w:t xml:space="preserve"> For the purpose of inspection, housekeeping, taking readings, or similar work, an employee working alone may enter, for brief periods of time, a manhole or vault where energized cables or equipment are in service if the employer can demonstrate that the employee will be protected from all electrical hazards.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Communications.</w:t>
      </w:r>
      <w:r w:rsidRPr="009F74C5">
        <w:rPr>
          <w:rFonts w:ascii="Arial" w:eastAsia="Times New Roman" w:hAnsi="Arial" w:cs="Arial"/>
          <w:sz w:val="20"/>
          <w:szCs w:val="20"/>
        </w:rPr>
        <w:t xml:space="preserve"> The employer shall ensure that employees maintain reliable communications, through two-way radios or other equivalent means, among all employees involved in the job.</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Duct rods.</w:t>
      </w:r>
      <w:r w:rsidRPr="009F74C5">
        <w:rPr>
          <w:rFonts w:ascii="Arial" w:eastAsia="Times New Roman" w:hAnsi="Arial" w:cs="Arial"/>
          <w:sz w:val="20"/>
          <w:szCs w:val="20"/>
        </w:rPr>
        <w:t xml:space="preserve"> The employer shall ensure that, if employees use duct rods, the employees install the duct rods in the direction presenting the least hazard to employees. The employer shall station an employee at the far end of the duct line being rodded to ensure that the employees maintain the required minimum approach distances.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Multiple cables.</w:t>
      </w:r>
      <w:r w:rsidRPr="009F74C5">
        <w:rPr>
          <w:rFonts w:ascii="Arial" w:eastAsia="Times New Roman" w:hAnsi="Arial" w:cs="Arial"/>
          <w:sz w:val="20"/>
          <w:szCs w:val="20"/>
        </w:rPr>
        <w:t xml:space="preserve"> When multiple cables are present in a work area, the employer shall identify the cable to be worked by electrical means, unless its identity is obvious by reason of distinctive appearance </w:t>
      </w:r>
      <w:r w:rsidRPr="009F74C5">
        <w:rPr>
          <w:rFonts w:ascii="Arial" w:eastAsia="Times New Roman" w:hAnsi="Arial" w:cs="Arial"/>
          <w:sz w:val="20"/>
          <w:szCs w:val="20"/>
        </w:rPr>
        <w:lastRenderedPageBreak/>
        <w:t>or location or by other readily apparent means of identification. The employer shall protect cables other than the one being worked from damage.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Moving cables.</w:t>
      </w:r>
      <w:r w:rsidRPr="009F74C5">
        <w:rPr>
          <w:rFonts w:ascii="Arial" w:eastAsia="Times New Roman" w:hAnsi="Arial" w:cs="Arial"/>
          <w:sz w:val="20"/>
          <w:szCs w:val="20"/>
        </w:rPr>
        <w:t xml:space="preserve"> Except when paragraph (h)(2) of this section permits employees to perform work that could cause a fault in an energized cable in a manhole or vault, the employer shall ensure that employees inspect energized cables to be moved for abnormalities.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Protection against faults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Cables with abnormalities.</w:t>
      </w:r>
      <w:r w:rsidRPr="009F74C5">
        <w:rPr>
          <w:rFonts w:ascii="Arial" w:eastAsia="Times New Roman" w:hAnsi="Arial" w:cs="Arial"/>
          <w:sz w:val="20"/>
          <w:szCs w:val="20"/>
        </w:rPr>
        <w:t xml:space="preserve"> Where a cable in a manhole or vault has one or more abnormalities that could lead to a fault or be an indication of an impending fault, the employer shall deenergize the cable with the abnormality before any employee may work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 The employer shall treat the following abnormalities as indications of impending faults unless the employer can demonstrate that the conditions could not lead to a fault: Oil or compound leaking from cable or joints, broken cable sheaths or joint sleeves, hot localized surface temperatures of cables or joints, or joints swollen beyond normal tolerance.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Work-related faults.</w:t>
      </w:r>
      <w:r w:rsidRPr="009F74C5">
        <w:rPr>
          <w:rFonts w:ascii="Arial" w:eastAsia="Times New Roman" w:hAnsi="Arial" w:cs="Arial"/>
          <w:sz w:val="20"/>
          <w:szCs w:val="20"/>
        </w:rPr>
        <w:t xml:space="preserve"> If the work employees will perform in a manhole or vault could cause a fault in a cable, the employer shall deenergize that cable before any employee works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Sheath continuity.</w:t>
      </w:r>
      <w:r w:rsidRPr="009F74C5">
        <w:rPr>
          <w:rFonts w:ascii="Arial" w:eastAsia="Times New Roman" w:hAnsi="Arial" w:cs="Arial"/>
          <w:sz w:val="20"/>
          <w:szCs w:val="20"/>
        </w:rPr>
        <w:t xml:space="preserve"> When employees perform work on buried cable or on cable in a manhole or vault, the employer shall maintain metallic-sheath continuity, or the cable sheath shall be treated as energized.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3" w:anchor="_top" w:history="1">
        <w:r w:rsidR="00D70103">
          <w:rPr>
            <w:rFonts w:ascii="Arial" w:eastAsia="Times New Roman" w:hAnsi="Arial" w:cs="Arial"/>
            <w:noProof/>
            <w:color w:val="0000FF"/>
            <w:sz w:val="17"/>
            <w:szCs w:val="17"/>
          </w:rPr>
          <w:drawing>
            <wp:inline distT="0" distB="0" distL="0" distR="0" wp14:anchorId="5B0BD198" wp14:editId="6F7499BE">
              <wp:extent cx="152400" cy="152400"/>
              <wp:effectExtent l="0" t="0" r="0" b="0"/>
              <wp:docPr id="188" name="Picture 18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5" w:name="se29.8.1926_1966"/>
      <w:bookmarkEnd w:id="35"/>
      <w:r w:rsidRPr="009F74C5">
        <w:rPr>
          <w:rFonts w:ascii="Arial" w:eastAsia="Times New Roman" w:hAnsi="Arial" w:cs="Arial"/>
          <w:b/>
          <w:bCs/>
          <w:sz w:val="20"/>
          <w:szCs w:val="20"/>
        </w:rPr>
        <w:t>§1926.966   Substations.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This section provides additional requirements for substations and for work performed in them.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Access and working space.</w:t>
      </w:r>
      <w:r w:rsidRPr="009F74C5">
        <w:rPr>
          <w:rFonts w:ascii="Arial" w:eastAsia="Times New Roman" w:hAnsi="Arial" w:cs="Arial"/>
          <w:sz w:val="20"/>
          <w:szCs w:val="20"/>
        </w:rPr>
        <w:t xml:space="preserve"> The employer shall provide and maintain sufficient access and working space about electric equipment to permit ready and safe operation and maintenance of such equipment by employees.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b</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American National Standard </w:t>
      </w:r>
      <w:r w:rsidRPr="009F74C5">
        <w:rPr>
          <w:rFonts w:ascii="Arial" w:eastAsia="Times New Roman" w:hAnsi="Arial" w:cs="Arial"/>
          <w:i/>
          <w:iCs/>
          <w:sz w:val="18"/>
          <w:szCs w:val="18"/>
        </w:rPr>
        <w:t>National Electrical Safety Code,</w:t>
      </w:r>
      <w:r w:rsidRPr="009F74C5">
        <w:rPr>
          <w:rFonts w:ascii="Arial" w:eastAsia="Times New Roman" w:hAnsi="Arial" w:cs="Arial"/>
          <w:sz w:val="18"/>
          <w:szCs w:val="18"/>
        </w:rPr>
        <w:t xml:space="preserve"> ANSI/IEEE C2-2012 contains guidelines for the dimensions of access and working space about electric equipment in substations. Installations meeting the ANSI provisions comply with paragraph (b) of this section. The Occupational Safety and Health Administration will determine whether an installation that does not conform to this ANSI standard complies with paragraph (b) of this section based on the following criteria: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Whether the installation conforms to the edition of ANSI C2 that was in effect when the installation was made;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Whether the configuration of the installation enables employees to maintain the minimum approach distances, established by the employer under §1926.960(c)(1)(i), while the employees are working on exposed, energized parts;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(3) Whether the precautions taken when employees perform work on the installation provide protection equivalent to the protection provided by access and working space meeting ANSI/IEEE C2-2012.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Draw-out-type circuit breakers.</w:t>
      </w:r>
      <w:r w:rsidRPr="009F74C5">
        <w:rPr>
          <w:rFonts w:ascii="Arial" w:eastAsia="Times New Roman" w:hAnsi="Arial" w:cs="Arial"/>
          <w:sz w:val="20"/>
          <w:szCs w:val="20"/>
        </w:rPr>
        <w:t xml:space="preserve"> The employer shall ensure that, when employees remove or insert draw-out-type circuit breakers, the breaker is in the open position. The employer shall also render the control circuit inoperable if the design of the equipment permits.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Substation fences.</w:t>
      </w:r>
      <w:r w:rsidRPr="009F74C5">
        <w:rPr>
          <w:rFonts w:ascii="Arial" w:eastAsia="Times New Roman" w:hAnsi="Arial" w:cs="Arial"/>
          <w:sz w:val="20"/>
          <w:szCs w:val="20"/>
        </w:rPr>
        <w:t xml:space="preserve"> Conductive fences around substations shall be grounded. When a substation fence is expanded or a section is removed, fence sections shall be isolated, grounded, or bonded as necessary to protect employees from hazardous differences in electric potential.</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IEEE Std 80-2000, </w:t>
      </w:r>
      <w:r w:rsidRPr="009F74C5">
        <w:rPr>
          <w:rFonts w:ascii="Arial" w:eastAsia="Times New Roman" w:hAnsi="Arial" w:cs="Arial"/>
          <w:i/>
          <w:iCs/>
          <w:sz w:val="18"/>
          <w:szCs w:val="18"/>
        </w:rPr>
        <w:t>IEEE Guide for Safety in AC Substation Grounding,</w:t>
      </w:r>
      <w:r w:rsidRPr="009F74C5">
        <w:rPr>
          <w:rFonts w:ascii="Arial" w:eastAsia="Times New Roman" w:hAnsi="Arial" w:cs="Arial"/>
          <w:sz w:val="18"/>
          <w:szCs w:val="18"/>
        </w:rPr>
        <w:t xml:space="preserve"> contains guidelines for protection against hazardous differences in electric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Guarding of rooms and other spaces containing electric supply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When to guard rooms and other spaces.</w:t>
      </w:r>
      <w:r w:rsidRPr="009F74C5">
        <w:rPr>
          <w:rFonts w:ascii="Arial" w:eastAsia="Times New Roman" w:hAnsi="Arial" w:cs="Arial"/>
          <w:sz w:val="20"/>
          <w:szCs w:val="20"/>
        </w:rPr>
        <w:t xml:space="preserve"> Rooms and other spaces in which electric supply lines or equipment are installed shall meet the requirements of paragraphs (e)(2) through (e)(5) of this section under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If exposed live parts operating at 50 to 150 volts to ground are within 2.4 meters (8 feet) of the ground or other working surface inside the room or other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live parts operating at 151 to 600 volts to ground and located within 2.4 meters (8 feet) of the ground or other working surface inside the room or other space are guarded only by location, as permitted under paragraph (f)(1) of this section,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live parts operating at more than 600 volts to ground are within the room or other space, unless: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live parts are enclosed within grounded, metal-enclosed equipment whose only openings are designed so that foreign objects inserted in these openings will be deflected from energized parts,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live parts are installed at a height, above ground and any other working surface, that provides protection at the voltage on the live parts corresponding to the protection provided by a 2.4-meter (8-foot) height at 50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Prevent access by unqualified persons.</w:t>
      </w:r>
      <w:r w:rsidRPr="009F74C5">
        <w:rPr>
          <w:rFonts w:ascii="Arial" w:eastAsia="Times New Roman" w:hAnsi="Arial" w:cs="Arial"/>
          <w:sz w:val="20"/>
          <w:szCs w:val="20"/>
        </w:rPr>
        <w:t xml:space="preserve"> Fences, screens, partitions, or walls shall enclose the rooms and other spaces so as to minimize the possibility that unqualified persons will enter.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Restricted entry.</w:t>
      </w:r>
      <w:r w:rsidRPr="009F74C5">
        <w:rPr>
          <w:rFonts w:ascii="Arial" w:eastAsia="Times New Roman" w:hAnsi="Arial" w:cs="Arial"/>
          <w:sz w:val="20"/>
          <w:szCs w:val="20"/>
        </w:rPr>
        <w:t xml:space="preserve"> Unqualified persons may not enter the rooms or other spaces while the electric supply lines or equipment are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Warning signs.</w:t>
      </w:r>
      <w:r w:rsidRPr="009F74C5">
        <w:rPr>
          <w:rFonts w:ascii="Arial" w:eastAsia="Times New Roman" w:hAnsi="Arial" w:cs="Arial"/>
          <w:sz w:val="20"/>
          <w:szCs w:val="20"/>
        </w:rPr>
        <w:t xml:space="preserve"> The employer shall display signs at entrances to the rooms and other spaces warning unqualified persons to keep out.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Entrances to rooms and other.</w:t>
      </w:r>
      <w:r w:rsidRPr="009F74C5">
        <w:rPr>
          <w:rFonts w:ascii="Arial" w:eastAsia="Times New Roman" w:hAnsi="Arial" w:cs="Arial"/>
          <w:sz w:val="20"/>
          <w:szCs w:val="20"/>
        </w:rPr>
        <w:t xml:space="preserve"> The employer shall keep each entrance to a room or other space locked, unless the entrance is under the observation of a person who is attending the room or other space for the purpose of preventing unqualified employees from entering.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Guarding of energized parts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Type of guarding.</w:t>
      </w:r>
      <w:r w:rsidRPr="009F74C5">
        <w:rPr>
          <w:rFonts w:ascii="Arial" w:eastAsia="Times New Roman" w:hAnsi="Arial" w:cs="Arial"/>
          <w:sz w:val="20"/>
          <w:szCs w:val="20"/>
        </w:rPr>
        <w:t xml:space="preserve"> The employer shall provide guards around all live parts operating at more than 150 volts to ground without an insulating covering unless the location of </w:t>
      </w:r>
      <w:r w:rsidRPr="009F74C5">
        <w:rPr>
          <w:rFonts w:ascii="Arial" w:eastAsia="Times New Roman" w:hAnsi="Arial" w:cs="Arial"/>
          <w:sz w:val="20"/>
          <w:szCs w:val="20"/>
        </w:rPr>
        <w:lastRenderedPageBreak/>
        <w:t>the live parts gives sufficient clearance (horizontal, vertical, or both) to minimize the possibility of accidental employee contact.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f</w:t>
      </w:r>
      <w:r w:rsidRPr="009F74C5">
        <w:rPr>
          <w:rFonts w:ascii="Arial" w:eastAsia="Times New Roman" w:hAnsi="Arial" w:cs="Arial"/>
          <w:smallCaps/>
          <w:sz w:val="18"/>
          <w:szCs w:val="18"/>
        </w:rPr>
        <w:t>)(1):</w:t>
      </w:r>
      <w:r w:rsidRPr="009F74C5">
        <w:rPr>
          <w:rFonts w:ascii="Arial" w:eastAsia="Times New Roman" w:hAnsi="Arial" w:cs="Arial"/>
          <w:sz w:val="18"/>
          <w:szCs w:val="18"/>
        </w:rPr>
        <w:t xml:space="preserve"> American National Standard </w:t>
      </w:r>
      <w:r w:rsidRPr="009F74C5">
        <w:rPr>
          <w:rFonts w:ascii="Arial" w:eastAsia="Times New Roman" w:hAnsi="Arial" w:cs="Arial"/>
          <w:i/>
          <w:iCs/>
          <w:sz w:val="18"/>
          <w:szCs w:val="18"/>
        </w:rPr>
        <w:t>National Electrical Safety Code,</w:t>
      </w:r>
      <w:r w:rsidRPr="009F74C5">
        <w:rPr>
          <w:rFonts w:ascii="Arial" w:eastAsia="Times New Roman" w:hAnsi="Arial" w:cs="Arial"/>
          <w:sz w:val="18"/>
          <w:szCs w:val="18"/>
        </w:rPr>
        <w:t xml:space="preserve"> ANSI/IEEE C2-2002 contains guidelines for the dimensions of clearance distances about electric equipment in substations. Installations meeting the ANSI provisions comply with paragraph (f)(1) of this section. The Occupational Safety and Health Administration will determine whether an installation that does not conform to this ANSI standard complies with paragraph (f)(1) of this section based on the following criteria: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Whether the installation conforms to the edition of ANSI C2 that was in effect when the installation was made;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Whether each employee is isolated from energized parts at the point of closest approach;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Whether the precautions taken when employees perform work on the installation provide protection equivalent to the protection provided by horizontal and vertical clearances meeting ANSI/IEEE C2-2002.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Maintaining guards during operation.</w:t>
      </w:r>
      <w:r w:rsidRPr="009F74C5">
        <w:rPr>
          <w:rFonts w:ascii="Arial" w:eastAsia="Times New Roman" w:hAnsi="Arial" w:cs="Arial"/>
          <w:sz w:val="20"/>
          <w:szCs w:val="20"/>
        </w:rPr>
        <w:t xml:space="preserve"> Except for fuse replacement and other necessary access by qualified persons, the employer shall maintain guarding of energized parts within a compartment during operation and maintenance functions to prevent accidental contact with energized parts and to prevent dropped tools or other equipment from contacting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Temporary removal of guards.</w:t>
      </w:r>
      <w:r w:rsidRPr="009F74C5">
        <w:rPr>
          <w:rFonts w:ascii="Arial" w:eastAsia="Times New Roman" w:hAnsi="Arial" w:cs="Arial"/>
          <w:sz w:val="20"/>
          <w:szCs w:val="20"/>
        </w:rPr>
        <w:t xml:space="preserve"> Before guards are removed from energized equipment, the employer shall install barriers around the work area to prevent employees who are not working on the equipment, but who are in the area, from contacting the exposed live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Substation entry</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Report upon entering.</w:t>
      </w:r>
      <w:r w:rsidRPr="009F74C5">
        <w:rPr>
          <w:rFonts w:ascii="Arial" w:eastAsia="Times New Roman" w:hAnsi="Arial" w:cs="Arial"/>
          <w:sz w:val="20"/>
          <w:szCs w:val="20"/>
        </w:rPr>
        <w:t xml:space="preserve"> Upon entering an attended substation, each employee, other than employees regularly working in the station, shall report his or her presence to the employee in charge of substation activities to receive information on special system conditions affecting employee safety.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Job briefing.</w:t>
      </w:r>
      <w:r w:rsidRPr="009F74C5">
        <w:rPr>
          <w:rFonts w:ascii="Arial" w:eastAsia="Times New Roman" w:hAnsi="Arial" w:cs="Arial"/>
          <w:sz w:val="20"/>
          <w:szCs w:val="20"/>
        </w:rPr>
        <w:t xml:space="preserve"> The job briefing required by §1926.952 shall cover information on special system conditions affecting employee safety, including the location of energized equipment in or adjacent to the work area and the limits of any deenergized work area.</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4" w:anchor="_top" w:history="1">
        <w:r w:rsidR="00D70103">
          <w:rPr>
            <w:rFonts w:ascii="Arial" w:eastAsia="Times New Roman" w:hAnsi="Arial" w:cs="Arial"/>
            <w:noProof/>
            <w:color w:val="0000FF"/>
            <w:sz w:val="17"/>
            <w:szCs w:val="17"/>
          </w:rPr>
          <w:drawing>
            <wp:inline distT="0" distB="0" distL="0" distR="0" wp14:anchorId="673B12F2" wp14:editId="6052B098">
              <wp:extent cx="152400" cy="152400"/>
              <wp:effectExtent l="0" t="0" r="0" b="0"/>
              <wp:docPr id="187" name="Picture 18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6" w:name="se29.8.1926_1967"/>
      <w:bookmarkEnd w:id="36"/>
      <w:r w:rsidRPr="009F74C5">
        <w:rPr>
          <w:rFonts w:ascii="Arial" w:eastAsia="Times New Roman" w:hAnsi="Arial" w:cs="Arial"/>
          <w:b/>
          <w:bCs/>
          <w:sz w:val="20"/>
          <w:szCs w:val="20"/>
        </w:rPr>
        <w:t>§1926.967   Special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Capacitors.</w:t>
      </w:r>
      <w:r w:rsidRPr="009F74C5">
        <w:rPr>
          <w:rFonts w:ascii="Arial" w:eastAsia="Times New Roman" w:hAnsi="Arial" w:cs="Arial"/>
          <w:sz w:val="20"/>
          <w:szCs w:val="20"/>
        </w:rPr>
        <w:t xml:space="preserve"> The following additional requirements apply to work on capacitors and on lines connected to capacitors.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a</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§§1926.961 and 1926.962 for requirements pertaining to the deenergizing and grounding of capacitor installations.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Disconnect from energized source.</w:t>
      </w:r>
      <w:r w:rsidRPr="009F74C5">
        <w:rPr>
          <w:rFonts w:ascii="Arial" w:eastAsia="Times New Roman" w:hAnsi="Arial" w:cs="Arial"/>
          <w:sz w:val="20"/>
          <w:szCs w:val="20"/>
        </w:rPr>
        <w:t xml:space="preserve"> Before employees work on capacitors, the employer shall disconnect the capacitors from energized sources and short circuit the capacitors. The employer shall ensure that the employee short circuiting the capacitors waits at least 5 minutes from the time of disconnection before applying the short circuit,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Short circuiting units.</w:t>
      </w:r>
      <w:r w:rsidRPr="009F74C5">
        <w:rPr>
          <w:rFonts w:ascii="Arial" w:eastAsia="Times New Roman" w:hAnsi="Arial" w:cs="Arial"/>
          <w:sz w:val="20"/>
          <w:szCs w:val="20"/>
        </w:rPr>
        <w:t xml:space="preserve"> Before employees handle the units, the employer shall short circuit each unit in series-parallel capacitor banks between all terminals and the capacitor case or its rack. If the cases of capacitors are on ungrounded substation racks, the employer shall bond the racks to ground.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Short circuiting connected lines.</w:t>
      </w:r>
      <w:r w:rsidRPr="009F74C5">
        <w:rPr>
          <w:rFonts w:ascii="Arial" w:eastAsia="Times New Roman" w:hAnsi="Arial" w:cs="Arial"/>
          <w:sz w:val="20"/>
          <w:szCs w:val="20"/>
        </w:rPr>
        <w:t xml:space="preserve"> The employer shall short circuit any line connected to capacitors before the line is treated as deenergized.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Current transformer secondaries.</w:t>
      </w:r>
      <w:r w:rsidRPr="009F74C5">
        <w:rPr>
          <w:rFonts w:ascii="Arial" w:eastAsia="Times New Roman" w:hAnsi="Arial" w:cs="Arial"/>
          <w:sz w:val="20"/>
          <w:szCs w:val="20"/>
        </w:rPr>
        <w:t xml:space="preserve"> The employer shall ensure that employees do not open the secondary of a current transformer while the transformer is energized. If the employer cannot deenergize the primary of the current transformer before employees perform work on an instrument, a relay, or other section of a current transformer secondary circuit, the employer shall bridge the circuit so that the current transformer secondary does not experience an open-circuit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Series streetlighting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Applicable requirements.</w:t>
      </w:r>
      <w:r w:rsidRPr="009F74C5">
        <w:rPr>
          <w:rFonts w:ascii="Arial" w:eastAsia="Times New Roman" w:hAnsi="Arial" w:cs="Arial"/>
          <w:sz w:val="20"/>
          <w:szCs w:val="20"/>
        </w:rPr>
        <w:t xml:space="preserve"> If the open-circuit voltage exceeds 600 volts, the employer shall ensure that employees work on series streetlighting circuits in accordance with §1926.964 or §1926.965, as appropriate.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Opening a series loop.</w:t>
      </w:r>
      <w:r w:rsidRPr="009F74C5">
        <w:rPr>
          <w:rFonts w:ascii="Arial" w:eastAsia="Times New Roman" w:hAnsi="Arial" w:cs="Arial"/>
          <w:sz w:val="20"/>
          <w:szCs w:val="20"/>
        </w:rPr>
        <w:t xml:space="preserve"> Before any employee opens a series loop, the employer shall deenergize the streetlighting transformer and isolate it from the source of supply or shall bridge the loop to avoid an open-circuit condition.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Illumination.</w:t>
      </w:r>
      <w:r w:rsidRPr="009F74C5">
        <w:rPr>
          <w:rFonts w:ascii="Arial" w:eastAsia="Times New Roman" w:hAnsi="Arial" w:cs="Arial"/>
          <w:sz w:val="20"/>
          <w:szCs w:val="20"/>
        </w:rPr>
        <w:t xml:space="preserve"> The employer shall provide sufficient illumination to enable the employee to perform the work safely.</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paragraph (</w:t>
      </w:r>
      <w:r w:rsidRPr="009F74C5">
        <w:rPr>
          <w:rFonts w:ascii="Arial" w:eastAsia="Times New Roman" w:hAnsi="Arial" w:cs="Arial"/>
          <w:sz w:val="18"/>
          <w:szCs w:val="18"/>
        </w:rPr>
        <w:t>d</w:t>
      </w:r>
      <w:r w:rsidRPr="009F74C5">
        <w:rPr>
          <w:rFonts w:ascii="Arial" w:eastAsia="Times New Roman" w:hAnsi="Arial" w:cs="Arial"/>
          <w:smallCaps/>
          <w:sz w:val="18"/>
          <w:szCs w:val="18"/>
        </w:rPr>
        <w:t>):</w:t>
      </w:r>
      <w:r w:rsidRPr="009F74C5">
        <w:rPr>
          <w:rFonts w:ascii="Arial" w:eastAsia="Times New Roman" w:hAnsi="Arial" w:cs="Arial"/>
          <w:sz w:val="18"/>
          <w:szCs w:val="18"/>
        </w:rPr>
        <w:t xml:space="preserve"> See §1926.56, which requires specific levels of illumination.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Protection against drowning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Personal flotation devices.</w:t>
      </w:r>
      <w:r w:rsidRPr="009F74C5">
        <w:rPr>
          <w:rFonts w:ascii="Arial" w:eastAsia="Times New Roman" w:hAnsi="Arial" w:cs="Arial"/>
          <w:sz w:val="20"/>
          <w:szCs w:val="20"/>
        </w:rPr>
        <w:t xml:space="preserve"> Whenever an employee may be pulled or pushed, or might fall, into water where the danger of drowning exists, the employer shall provide the employee with, and shall ensure that the employee uses, a personal flotation device meeting §1926.106.</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Maintaining flotation devices in safe condition.</w:t>
      </w:r>
      <w:r w:rsidRPr="009F74C5">
        <w:rPr>
          <w:rFonts w:ascii="Arial" w:eastAsia="Times New Roman" w:hAnsi="Arial" w:cs="Arial"/>
          <w:sz w:val="20"/>
          <w:szCs w:val="20"/>
        </w:rPr>
        <w:t xml:space="preserve"> The employer shall maintain each personal flotation device in safe condition and shall inspect each personal flotation device frequently enough to ensure that it does not have rot, mildew, water saturation, or any other condition that could render the device unsuitable for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Crossing bodies of water.</w:t>
      </w:r>
      <w:r w:rsidRPr="009F74C5">
        <w:rPr>
          <w:rFonts w:ascii="Arial" w:eastAsia="Times New Roman" w:hAnsi="Arial" w:cs="Arial"/>
          <w:sz w:val="20"/>
          <w:szCs w:val="20"/>
        </w:rPr>
        <w:t xml:space="preserve"> An employee may cross streams or other bodies of water only if a safe means of passage, such as a bridge, is available.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Excavations.</w:t>
      </w:r>
      <w:r w:rsidRPr="009F74C5">
        <w:rPr>
          <w:rFonts w:ascii="Arial" w:eastAsia="Times New Roman" w:hAnsi="Arial" w:cs="Arial"/>
          <w:sz w:val="20"/>
          <w:szCs w:val="20"/>
        </w:rPr>
        <w:t xml:space="preserve"> Excavation operations shall comply with Subpart P of this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Employee protection in public work areas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Traffic control devices.</w:t>
      </w:r>
      <w:r w:rsidRPr="009F74C5">
        <w:rPr>
          <w:rFonts w:ascii="Arial" w:eastAsia="Times New Roman" w:hAnsi="Arial" w:cs="Arial"/>
          <w:sz w:val="20"/>
          <w:szCs w:val="20"/>
        </w:rPr>
        <w:t xml:space="preserve"> Traffic-control signs and traffic-control devices used for the protection of employees shall meet §1926.200(g)(2).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Controlling traffic.</w:t>
      </w:r>
      <w:r w:rsidRPr="009F74C5">
        <w:rPr>
          <w:rFonts w:ascii="Arial" w:eastAsia="Times New Roman" w:hAnsi="Arial" w:cs="Arial"/>
          <w:sz w:val="20"/>
          <w:szCs w:val="20"/>
        </w:rPr>
        <w:t xml:space="preserve"> Before employees begin work in the vicinity of vehicular or pedestrian traffic that may endanger them, the employer shall place warning signs or flags and other traffic-control devices in conspicuous locations to alert and channel approaching traffic.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Barricades.</w:t>
      </w:r>
      <w:r w:rsidRPr="009F74C5">
        <w:rPr>
          <w:rFonts w:ascii="Arial" w:eastAsia="Times New Roman" w:hAnsi="Arial" w:cs="Arial"/>
          <w:sz w:val="20"/>
          <w:szCs w:val="20"/>
        </w:rPr>
        <w:t xml:space="preserve"> The employer shall use barricades where additional employee protection is necessary.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Excavated areas.</w:t>
      </w:r>
      <w:r w:rsidRPr="009F74C5">
        <w:rPr>
          <w:rFonts w:ascii="Arial" w:eastAsia="Times New Roman" w:hAnsi="Arial" w:cs="Arial"/>
          <w:sz w:val="20"/>
          <w:szCs w:val="20"/>
        </w:rPr>
        <w:t xml:space="preserve"> The employer shall protect excavated areas with barricades.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(5) </w:t>
      </w:r>
      <w:r w:rsidRPr="009F74C5">
        <w:rPr>
          <w:rFonts w:ascii="Arial" w:eastAsia="Times New Roman" w:hAnsi="Arial" w:cs="Arial"/>
          <w:i/>
          <w:iCs/>
          <w:sz w:val="20"/>
          <w:szCs w:val="20"/>
        </w:rPr>
        <w:t>Warning lights.</w:t>
      </w:r>
      <w:r w:rsidRPr="009F74C5">
        <w:rPr>
          <w:rFonts w:ascii="Arial" w:eastAsia="Times New Roman" w:hAnsi="Arial" w:cs="Arial"/>
          <w:sz w:val="20"/>
          <w:szCs w:val="20"/>
        </w:rPr>
        <w:t xml:space="preserve"> The employer shall display warning lights prominently at night.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Backfeed.</w:t>
      </w:r>
      <w:r w:rsidRPr="009F74C5">
        <w:rPr>
          <w:rFonts w:ascii="Arial" w:eastAsia="Times New Roman" w:hAnsi="Arial" w:cs="Arial"/>
          <w:sz w:val="20"/>
          <w:szCs w:val="20"/>
        </w:rPr>
        <w:t xml:space="preserve"> When there is a possibility of voltage backfeed from sources of cogeneration or from the secondary system (for example, backfeed from more than one energized phase feeding a common load), the requirements of §1926.960 apply if employees will work the lines or equipment as energized, and the requirements of §§1926.961 and 1926.962 apply if employees will work the lines or equipment as deenergized.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Lasers.</w:t>
      </w:r>
      <w:r w:rsidRPr="009F74C5">
        <w:rPr>
          <w:rFonts w:ascii="Arial" w:eastAsia="Times New Roman" w:hAnsi="Arial" w:cs="Arial"/>
          <w:sz w:val="20"/>
          <w:szCs w:val="20"/>
        </w:rPr>
        <w:t xml:space="preserve"> The employer shall install, adjust, and operate laser equipment in accordance with §1926.54.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Hydraulic fluids.</w:t>
      </w:r>
      <w:r w:rsidRPr="009F74C5">
        <w:rPr>
          <w:rFonts w:ascii="Arial" w:eastAsia="Times New Roman" w:hAnsi="Arial" w:cs="Arial"/>
          <w:sz w:val="20"/>
          <w:szCs w:val="20"/>
        </w:rPr>
        <w:t xml:space="preserve"> Hydraulic fluids used for the insulated sections of equipment shall provide insulation for the voltage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Communication facilities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Microwave transmission.</w:t>
      </w:r>
      <w:r w:rsidRPr="009F74C5">
        <w:rPr>
          <w:rFonts w:ascii="Arial" w:eastAsia="Times New Roman" w:hAnsi="Arial" w:cs="Arial"/>
          <w:sz w:val="20"/>
          <w:szCs w:val="20"/>
        </w:rPr>
        <w:t xml:space="preserve"> (i) The employer shall ensure that no employee looks into an open waveguide or antenna connected to an energized microwave source.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electromagnetic-radiation level within an accessible area associated with microwave communications systems exceeds the radiation-protection guide specified by §1910.97(a)(2) of this chapter, the employer shall post the area with warning signs containing the warning symbol described in §1910.97(a)(3) of this chapter. The lower half of the warning symbol shall include the following statements, or ones that the employer can demonstrate are equivalent: “Radiation in this area may exceed hazard limitations and special precautions are required. Obtain specific instruction before entering.”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When an employee works in an area where the electromagnetic radiation could exceed the radiation-protection guide, the employer shall institute measures that ensure that the employee's exposure is not greater than that permitted by that guide. Such measures may include administrative and engineering controls and personal protective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Power-line carrier.</w:t>
      </w:r>
      <w:r w:rsidRPr="009F74C5">
        <w:rPr>
          <w:rFonts w:ascii="Arial" w:eastAsia="Times New Roman" w:hAnsi="Arial" w:cs="Arial"/>
          <w:sz w:val="20"/>
          <w:szCs w:val="20"/>
        </w:rPr>
        <w:t xml:space="preserve"> The employer shall ensure that employees perform power-line carrier work, including work on equipment used for coupling carrier current to power line conductors, in accordance with the requirements of this subpart pertaining to work on energized lines.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5" w:anchor="_top" w:history="1">
        <w:r w:rsidR="00D70103">
          <w:rPr>
            <w:rFonts w:ascii="Arial" w:eastAsia="Times New Roman" w:hAnsi="Arial" w:cs="Arial"/>
            <w:noProof/>
            <w:color w:val="0000FF"/>
            <w:sz w:val="17"/>
            <w:szCs w:val="17"/>
          </w:rPr>
          <w:drawing>
            <wp:inline distT="0" distB="0" distL="0" distR="0" wp14:anchorId="5F4D9986" wp14:editId="3F078F82">
              <wp:extent cx="152400" cy="152400"/>
              <wp:effectExtent l="0" t="0" r="0" b="0"/>
              <wp:docPr id="186" name="Picture 18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7" w:name="se29.8.1926_1968"/>
      <w:bookmarkEnd w:id="37"/>
      <w:r w:rsidRPr="009F74C5">
        <w:rPr>
          <w:rFonts w:ascii="Arial" w:eastAsia="Times New Roman" w:hAnsi="Arial" w:cs="Arial"/>
          <w:b/>
          <w:bCs/>
          <w:sz w:val="20"/>
          <w:szCs w:val="20"/>
        </w:rPr>
        <w:t>§1926.968   Definitions.</w:t>
      </w:r>
    </w:p>
    <w:p w:rsidR="00D70103" w:rsidRPr="009F74C5" w:rsidRDefault="000507F6" w:rsidP="000507F6">
      <w:pPr>
        <w:spacing w:before="100" w:beforeAutospacing="1" w:after="100" w:afterAutospacing="1" w:line="240" w:lineRule="auto"/>
        <w:rPr>
          <w:rFonts w:ascii="Arial" w:eastAsia="Times New Roman" w:hAnsi="Arial" w:cs="Arial"/>
          <w:sz w:val="20"/>
          <w:szCs w:val="20"/>
        </w:rPr>
      </w:pPr>
      <w:hyperlink r:id="rId56" w:history="1">
        <w:r w:rsidR="00D70103" w:rsidRPr="009F74C5">
          <w:rPr>
            <w:rFonts w:ascii="Arial" w:eastAsia="Times New Roman" w:hAnsi="Arial" w:cs="Arial"/>
            <w:color w:val="0000FF"/>
            <w:sz w:val="17"/>
            <w:szCs w:val="17"/>
          </w:rPr>
          <w:t>Link to an amendment published at 80 FR 25518, May 4, 2015.</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Attendant.</w:t>
      </w:r>
      <w:r w:rsidRPr="009F74C5">
        <w:rPr>
          <w:rFonts w:ascii="Arial" w:eastAsia="Times New Roman" w:hAnsi="Arial" w:cs="Arial"/>
          <w:sz w:val="20"/>
          <w:szCs w:val="20"/>
        </w:rPr>
        <w:t xml:space="preserve"> An employee assigned to remain immediately outside the entrance to an enclosed or other space to render assistance as needed to employees inside the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Automatic circuit recloser.</w:t>
      </w:r>
      <w:r w:rsidRPr="009F74C5">
        <w:rPr>
          <w:rFonts w:ascii="Arial" w:eastAsia="Times New Roman" w:hAnsi="Arial" w:cs="Arial"/>
          <w:sz w:val="20"/>
          <w:szCs w:val="20"/>
        </w:rPr>
        <w:t xml:space="preserve"> A self-controlled device for automatically interrupting and reclosing an alternating-current circuit, with a predetermined sequence of opening and reclosing followed by resetting, hold closed, or lockout.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Barricade.</w:t>
      </w:r>
      <w:r w:rsidRPr="009F74C5">
        <w:rPr>
          <w:rFonts w:ascii="Arial" w:eastAsia="Times New Roman" w:hAnsi="Arial" w:cs="Arial"/>
          <w:sz w:val="20"/>
          <w:szCs w:val="20"/>
        </w:rPr>
        <w:t xml:space="preserve"> A physical obstruction such as tapes, cones, or A-frame type wood or metal structures that provides a warning about, and limits access to, a hazardous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Barrier.</w:t>
      </w:r>
      <w:r w:rsidRPr="009F74C5">
        <w:rPr>
          <w:rFonts w:ascii="Arial" w:eastAsia="Times New Roman" w:hAnsi="Arial" w:cs="Arial"/>
          <w:sz w:val="20"/>
          <w:szCs w:val="20"/>
        </w:rPr>
        <w:t xml:space="preserve"> A physical obstruction that prevents contact with energized lines or equipment or prevents unauthorized access to a work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Bond.</w:t>
      </w:r>
      <w:r w:rsidRPr="009F74C5">
        <w:rPr>
          <w:rFonts w:ascii="Arial" w:eastAsia="Times New Roman" w:hAnsi="Arial" w:cs="Arial"/>
          <w:sz w:val="20"/>
          <w:szCs w:val="20"/>
        </w:rPr>
        <w:t xml:space="preserve"> The electrical interconnection of conductive parts designed to maintain a common electric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Bus.</w:t>
      </w:r>
      <w:r w:rsidRPr="009F74C5">
        <w:rPr>
          <w:rFonts w:ascii="Arial" w:eastAsia="Times New Roman" w:hAnsi="Arial" w:cs="Arial"/>
          <w:sz w:val="20"/>
          <w:szCs w:val="20"/>
        </w:rPr>
        <w:t xml:space="preserve"> A conductor or a group of conductors that serve as a common connection for two or more circuits.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Bushing.</w:t>
      </w:r>
      <w:r w:rsidRPr="009F74C5">
        <w:rPr>
          <w:rFonts w:ascii="Arial" w:eastAsia="Times New Roman" w:hAnsi="Arial" w:cs="Arial"/>
          <w:sz w:val="20"/>
          <w:szCs w:val="20"/>
        </w:rPr>
        <w:t xml:space="preserve"> An insulating structure that includes a through conductor or that provides a passageway for such a conductor, and that, when mounted on a barrier, insulates the conductor from the barrier for the purpose of conducting current from one side of the barrier to the other.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Cable.</w:t>
      </w:r>
      <w:r w:rsidRPr="009F74C5">
        <w:rPr>
          <w:rFonts w:ascii="Arial" w:eastAsia="Times New Roman" w:hAnsi="Arial" w:cs="Arial"/>
          <w:sz w:val="20"/>
          <w:szCs w:val="20"/>
        </w:rPr>
        <w:t xml:space="preserve"> A conductor with insulation, or a stranded conductor with or without insulation and other coverings (single-conductor cable), or a combination of conductors insulated from one another (multiple-conductor 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Cable sheath.</w:t>
      </w:r>
      <w:r w:rsidRPr="009F74C5">
        <w:rPr>
          <w:rFonts w:ascii="Arial" w:eastAsia="Times New Roman" w:hAnsi="Arial" w:cs="Arial"/>
          <w:sz w:val="20"/>
          <w:szCs w:val="20"/>
        </w:rPr>
        <w:t xml:space="preserve"> A conductive protective covering applied to cables.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“cable sheath”:</w:t>
      </w:r>
      <w:r w:rsidRPr="009F74C5">
        <w:rPr>
          <w:rFonts w:ascii="Arial" w:eastAsia="Times New Roman" w:hAnsi="Arial" w:cs="Arial"/>
          <w:sz w:val="18"/>
          <w:szCs w:val="18"/>
        </w:rPr>
        <w:t xml:space="preserve"> A cable sheath may consist of multiple layers one or more of which is conductive.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Circuit.</w:t>
      </w:r>
      <w:r w:rsidRPr="009F74C5">
        <w:rPr>
          <w:rFonts w:ascii="Arial" w:eastAsia="Times New Roman" w:hAnsi="Arial" w:cs="Arial"/>
          <w:sz w:val="20"/>
          <w:szCs w:val="20"/>
        </w:rPr>
        <w:t xml:space="preserve"> A conductor or system of conductors through which an electric current is intended to flow.</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Clearance (between objects).</w:t>
      </w:r>
      <w:r w:rsidRPr="009F74C5">
        <w:rPr>
          <w:rFonts w:ascii="Arial" w:eastAsia="Times New Roman" w:hAnsi="Arial" w:cs="Arial"/>
          <w:sz w:val="20"/>
          <w:szCs w:val="20"/>
        </w:rPr>
        <w:t xml:space="preserve"> The clear distance between two objects measured surface to surface.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Clearance (for work).</w:t>
      </w:r>
      <w:r w:rsidRPr="009F74C5">
        <w:rPr>
          <w:rFonts w:ascii="Arial" w:eastAsia="Times New Roman" w:hAnsi="Arial" w:cs="Arial"/>
          <w:sz w:val="20"/>
          <w:szCs w:val="20"/>
        </w:rPr>
        <w:t xml:space="preserve"> Authorization to perform specified work or permission to enter a restricted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Communication lines.</w:t>
      </w:r>
      <w:r w:rsidRPr="009F74C5">
        <w:rPr>
          <w:rFonts w:ascii="Arial" w:eastAsia="Times New Roman" w:hAnsi="Arial" w:cs="Arial"/>
          <w:sz w:val="20"/>
          <w:szCs w:val="20"/>
        </w:rPr>
        <w:t xml:space="preserve"> (See </w:t>
      </w:r>
      <w:r w:rsidRPr="009F74C5">
        <w:rPr>
          <w:rFonts w:ascii="Arial" w:eastAsia="Times New Roman" w:hAnsi="Arial" w:cs="Arial"/>
          <w:i/>
          <w:iCs/>
          <w:sz w:val="20"/>
          <w:szCs w:val="20"/>
        </w:rPr>
        <w:t>Lines;</w:t>
      </w:r>
      <w:r w:rsidRPr="009F74C5">
        <w:rPr>
          <w:rFonts w:ascii="Arial" w:eastAsia="Times New Roman" w:hAnsi="Arial" w:cs="Arial"/>
          <w:sz w:val="20"/>
          <w:szCs w:val="20"/>
        </w:rPr>
        <w:t xml:space="preserve"> (1) </w:t>
      </w:r>
      <w:r w:rsidRPr="009F74C5">
        <w:rPr>
          <w:rFonts w:ascii="Arial" w:eastAsia="Times New Roman" w:hAnsi="Arial" w:cs="Arial"/>
          <w:i/>
          <w:iCs/>
          <w:sz w:val="20"/>
          <w:szCs w:val="20"/>
        </w:rPr>
        <w:t>Communication lines.</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Conductor.</w:t>
      </w:r>
      <w:r w:rsidRPr="009F74C5">
        <w:rPr>
          <w:rFonts w:ascii="Arial" w:eastAsia="Times New Roman" w:hAnsi="Arial" w:cs="Arial"/>
          <w:sz w:val="20"/>
          <w:szCs w:val="20"/>
        </w:rPr>
        <w:t xml:space="preserve"> A material, usually in the form of a wire, cable, or bus bar, used for carrying an electric current.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Contract employer.</w:t>
      </w:r>
      <w:r w:rsidRPr="009F74C5">
        <w:rPr>
          <w:rFonts w:ascii="Arial" w:eastAsia="Times New Roman" w:hAnsi="Arial" w:cs="Arial"/>
          <w:sz w:val="20"/>
          <w:szCs w:val="20"/>
        </w:rPr>
        <w:t xml:space="preserve"> An employer, other than a host employer, that performs work covered by subpart V of this part under contract.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Covered conductor.</w:t>
      </w:r>
      <w:r w:rsidRPr="009F74C5">
        <w:rPr>
          <w:rFonts w:ascii="Arial" w:eastAsia="Times New Roman" w:hAnsi="Arial" w:cs="Arial"/>
          <w:sz w:val="20"/>
          <w:szCs w:val="20"/>
        </w:rPr>
        <w:t xml:space="preserve"> A conductor covered with a dielectric having no rated insulating strength or having a rated insulating strength less than the voltage of the circuit in which the conductor is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Current-carrying part.</w:t>
      </w:r>
      <w:r w:rsidRPr="009F74C5">
        <w:rPr>
          <w:rFonts w:ascii="Arial" w:eastAsia="Times New Roman" w:hAnsi="Arial" w:cs="Arial"/>
          <w:sz w:val="20"/>
          <w:szCs w:val="20"/>
        </w:rPr>
        <w:t xml:space="preserve"> A conducting part intended to be connected in an electric circuit to a source of voltage. Non-current-carrying parts are those not intended to be so connected.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Deenergized.</w:t>
      </w:r>
      <w:r w:rsidRPr="009F74C5">
        <w:rPr>
          <w:rFonts w:ascii="Arial" w:eastAsia="Times New Roman" w:hAnsi="Arial" w:cs="Arial"/>
          <w:sz w:val="20"/>
          <w:szCs w:val="20"/>
        </w:rPr>
        <w:t xml:space="preserve"> Free from any electrical connection to a source of potential difference and from electric charge; not having a potential that is different from the potential of the earth.</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“deenergized”:</w:t>
      </w:r>
      <w:r w:rsidRPr="009F74C5">
        <w:rPr>
          <w:rFonts w:ascii="Arial" w:eastAsia="Times New Roman" w:hAnsi="Arial" w:cs="Arial"/>
          <w:sz w:val="18"/>
          <w:szCs w:val="18"/>
        </w:rPr>
        <w:t xml:space="preserve"> The term applies only to current-carrying parts, which are sometimes energized (alive).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Designated employee (designated person).</w:t>
      </w:r>
      <w:r w:rsidRPr="009F74C5">
        <w:rPr>
          <w:rFonts w:ascii="Arial" w:eastAsia="Times New Roman" w:hAnsi="Arial" w:cs="Arial"/>
          <w:sz w:val="20"/>
          <w:szCs w:val="20"/>
        </w:rPr>
        <w:t xml:space="preserve"> An employee (or person) who is assigned by the employer to perform specific duties under the terms of this subpart and who has sufficient knowledge of the construction and operation of the equipment, and the hazards involved, to perform his or her duties safely.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Electric line truck.</w:t>
      </w:r>
      <w:r w:rsidRPr="009F74C5">
        <w:rPr>
          <w:rFonts w:ascii="Arial" w:eastAsia="Times New Roman" w:hAnsi="Arial" w:cs="Arial"/>
          <w:sz w:val="20"/>
          <w:szCs w:val="20"/>
        </w:rPr>
        <w:t xml:space="preserve"> A truck used to transport personnel, tools, and material for electric supply line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Electric supply equipment.</w:t>
      </w:r>
      <w:r w:rsidRPr="009F74C5">
        <w:rPr>
          <w:rFonts w:ascii="Arial" w:eastAsia="Times New Roman" w:hAnsi="Arial" w:cs="Arial"/>
          <w:sz w:val="20"/>
          <w:szCs w:val="20"/>
        </w:rPr>
        <w:t xml:space="preserve"> Equipment that produces, modifies, regulates, controls, or safeguards a supply of electric energy.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Electric supply lines.</w:t>
      </w:r>
      <w:r w:rsidRPr="009F74C5">
        <w:rPr>
          <w:rFonts w:ascii="Arial" w:eastAsia="Times New Roman" w:hAnsi="Arial" w:cs="Arial"/>
          <w:sz w:val="20"/>
          <w:szCs w:val="20"/>
        </w:rPr>
        <w:t xml:space="preserve"> (See “Lines; (2) Electric supply 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Electric utility.</w:t>
      </w:r>
      <w:r w:rsidRPr="009F74C5">
        <w:rPr>
          <w:rFonts w:ascii="Arial" w:eastAsia="Times New Roman" w:hAnsi="Arial" w:cs="Arial"/>
          <w:sz w:val="20"/>
          <w:szCs w:val="20"/>
        </w:rPr>
        <w:t xml:space="preserve"> An organization responsible for the installation, operation, or maintenance of an electric supply system.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Enclosed space.</w:t>
      </w:r>
      <w:r w:rsidRPr="009F74C5">
        <w:rPr>
          <w:rFonts w:ascii="Arial" w:eastAsia="Times New Roman" w:hAnsi="Arial" w:cs="Arial"/>
          <w:sz w:val="20"/>
          <w:szCs w:val="20"/>
        </w:rPr>
        <w:t xml:space="preserve"> A working space, such as a manhole, vault, tunnel, or shaft, that has a limited means of egress or entry, that is designed for periodic employee entry under normal operating conditions, and that, under normal conditions, does not contain a hazardous atmosphere, but may contain a hazardous atmosphere under abnormal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Energized (alive, live).</w:t>
      </w:r>
      <w:r w:rsidRPr="009F74C5">
        <w:rPr>
          <w:rFonts w:ascii="Arial" w:eastAsia="Times New Roman" w:hAnsi="Arial" w:cs="Arial"/>
          <w:sz w:val="20"/>
          <w:szCs w:val="20"/>
        </w:rPr>
        <w:t xml:space="preserve"> Electrically connected to a source of potential difference, or electrically charged so as to have a potential significantly different from that of earth in the vicinity.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Energy source.</w:t>
      </w:r>
      <w:r w:rsidRPr="009F74C5">
        <w:rPr>
          <w:rFonts w:ascii="Arial" w:eastAsia="Times New Roman" w:hAnsi="Arial" w:cs="Arial"/>
          <w:sz w:val="20"/>
          <w:szCs w:val="20"/>
        </w:rPr>
        <w:t xml:space="preserve"> Any electrical, mechanical, hydraulic, pneumatic, chemical, nuclear, thermal, or other energy source that could cause injury to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Entry (as used in §1926.953).</w:t>
      </w:r>
      <w:r w:rsidRPr="009F74C5">
        <w:rPr>
          <w:rFonts w:ascii="Arial" w:eastAsia="Times New Roman" w:hAnsi="Arial" w:cs="Arial"/>
          <w:sz w:val="20"/>
          <w:szCs w:val="20"/>
        </w:rPr>
        <w:t xml:space="preserve"> The action by which a person passes through an opening into an enclosed space. Entry includes ensuing work activities in that space and is considered to have occurred as soon as any part of the entrant's body breaks the plane of an opening into the space.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Equipment (electric).</w:t>
      </w:r>
      <w:r w:rsidRPr="009F74C5">
        <w:rPr>
          <w:rFonts w:ascii="Arial" w:eastAsia="Times New Roman" w:hAnsi="Arial" w:cs="Arial"/>
          <w:sz w:val="20"/>
          <w:szCs w:val="20"/>
        </w:rPr>
        <w:t xml:space="preserve"> A general term including material, fittings, devices, appliances, fixtures, apparatus, and the like used as part of or in connection with an electrical installation.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Exposed, Exposed to contact (as applied to energized parts).</w:t>
      </w:r>
      <w:r w:rsidRPr="009F74C5">
        <w:rPr>
          <w:rFonts w:ascii="Arial" w:eastAsia="Times New Roman" w:hAnsi="Arial" w:cs="Arial"/>
          <w:sz w:val="20"/>
          <w:szCs w:val="20"/>
        </w:rPr>
        <w:t xml:space="preserve"> Not isolated or guarded.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Fall restraint system.</w:t>
      </w:r>
      <w:r w:rsidRPr="009F74C5">
        <w:rPr>
          <w:rFonts w:ascii="Arial" w:eastAsia="Times New Roman" w:hAnsi="Arial" w:cs="Arial"/>
          <w:sz w:val="20"/>
          <w:szCs w:val="20"/>
        </w:rPr>
        <w:t xml:space="preserve"> A fall protection system that prevents the user from falling any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First-aid training.</w:t>
      </w:r>
      <w:r w:rsidRPr="009F74C5">
        <w:rPr>
          <w:rFonts w:ascii="Arial" w:eastAsia="Times New Roman" w:hAnsi="Arial" w:cs="Arial"/>
          <w:sz w:val="20"/>
          <w:szCs w:val="20"/>
        </w:rPr>
        <w:t xml:space="preserve"> Training in the initial care, including cardiopulmonary resuscitation (which includes chest compressions, rescue breathing, and, as appropriate, other heart and lung resuscitation techniques), performed by a person who is not a medical practitioner, of a sick or injured person until definitive medical treatment can be administered.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Ground.</w:t>
      </w:r>
      <w:r w:rsidRPr="009F74C5">
        <w:rPr>
          <w:rFonts w:ascii="Arial" w:eastAsia="Times New Roman" w:hAnsi="Arial" w:cs="Arial"/>
          <w:sz w:val="20"/>
          <w:szCs w:val="20"/>
        </w:rPr>
        <w:t xml:space="preserve"> A conducting connection, whether planned or unplanned, between an electric circuit or equipment and the earth, or to some conducting body that serves in place of the earth.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Grounded.</w:t>
      </w:r>
      <w:r w:rsidRPr="009F74C5">
        <w:rPr>
          <w:rFonts w:ascii="Arial" w:eastAsia="Times New Roman" w:hAnsi="Arial" w:cs="Arial"/>
          <w:sz w:val="20"/>
          <w:szCs w:val="20"/>
        </w:rPr>
        <w:t xml:space="preserve"> Connected to earth or to some conducting body that serves in place of the earth.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Guarded.</w:t>
      </w:r>
      <w:r w:rsidRPr="009F74C5">
        <w:rPr>
          <w:rFonts w:ascii="Arial" w:eastAsia="Times New Roman" w:hAnsi="Arial" w:cs="Arial"/>
          <w:sz w:val="20"/>
          <w:szCs w:val="20"/>
        </w:rPr>
        <w:t xml:space="preserve"> Covered, fenced, enclosed, or otherwise protected, by means of suitable covers or casings, barrier rails or screens, mats, or platforms, designed to minimize the possibility, under normal conditions, of dangerous approach or inadvertent contact by persons or objects.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“guarded”:</w:t>
      </w:r>
      <w:r w:rsidRPr="009F74C5">
        <w:rPr>
          <w:rFonts w:ascii="Arial" w:eastAsia="Times New Roman" w:hAnsi="Arial" w:cs="Arial"/>
          <w:sz w:val="18"/>
          <w:szCs w:val="18"/>
        </w:rPr>
        <w:t xml:space="preserve"> Wires that are insulated, but not otherwise protected, are not guarded.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Hazardous atmosphere.</w:t>
      </w:r>
      <w:r w:rsidRPr="009F74C5">
        <w:rPr>
          <w:rFonts w:ascii="Arial" w:eastAsia="Times New Roman" w:hAnsi="Arial" w:cs="Arial"/>
          <w:sz w:val="20"/>
          <w:szCs w:val="20"/>
        </w:rPr>
        <w:t xml:space="preserve"> An atmosphere that may expose employees to the risk of death, incapacitation, impairment of ability to self-rescue (that is, escape unaided from an enclosed space), injury, or acute illness from one or more of the following causes: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Flammable gas, vapor, or mist in excess of 10 percent of its lower flammable limit (LFL);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Airborne combustible dust at a concentration that meets or exceeds its LFL;</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“hazardous atmosphere” (2):</w:t>
      </w:r>
      <w:r w:rsidRPr="009F74C5">
        <w:rPr>
          <w:rFonts w:ascii="Arial" w:eastAsia="Times New Roman" w:hAnsi="Arial" w:cs="Arial"/>
          <w:sz w:val="18"/>
          <w:szCs w:val="18"/>
        </w:rPr>
        <w:t xml:space="preserve"> This concentration may be approximated as a condition in which the dust obscures vision at a distance of 1.52 meters (5 feet) or less.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Atmospheric oxygen concentration below 19.5 percent or above 23.5 percent;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Atmospheric concentration of any substance for which a dose or a permissible exposure limit is published in Subpart D, </w:t>
      </w:r>
      <w:r w:rsidRPr="009F74C5">
        <w:rPr>
          <w:rFonts w:ascii="Arial" w:eastAsia="Times New Roman" w:hAnsi="Arial" w:cs="Arial"/>
          <w:i/>
          <w:iCs/>
          <w:sz w:val="20"/>
          <w:szCs w:val="20"/>
        </w:rPr>
        <w:t>Occupational Health and Environmental Controls,</w:t>
      </w:r>
      <w:r w:rsidRPr="009F74C5">
        <w:rPr>
          <w:rFonts w:ascii="Arial" w:eastAsia="Times New Roman" w:hAnsi="Arial" w:cs="Arial"/>
          <w:sz w:val="20"/>
          <w:szCs w:val="20"/>
        </w:rPr>
        <w:t xml:space="preserve"> or in Subpart Z, </w:t>
      </w:r>
      <w:r w:rsidRPr="009F74C5">
        <w:rPr>
          <w:rFonts w:ascii="Arial" w:eastAsia="Times New Roman" w:hAnsi="Arial" w:cs="Arial"/>
          <w:i/>
          <w:iCs/>
          <w:sz w:val="20"/>
          <w:szCs w:val="20"/>
        </w:rPr>
        <w:t>Toxic and Hazardous Substances,</w:t>
      </w:r>
      <w:r w:rsidRPr="009F74C5">
        <w:rPr>
          <w:rFonts w:ascii="Arial" w:eastAsia="Times New Roman" w:hAnsi="Arial" w:cs="Arial"/>
          <w:sz w:val="20"/>
          <w:szCs w:val="20"/>
        </w:rPr>
        <w:t xml:space="preserve"> of this part and which could result in employee exposure in excess of its dose or permissible exposure limit;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“hazardous atmosphere” (4):</w:t>
      </w:r>
      <w:r w:rsidRPr="009F74C5">
        <w:rPr>
          <w:rFonts w:ascii="Arial" w:eastAsia="Times New Roman" w:hAnsi="Arial" w:cs="Arial"/>
          <w:sz w:val="18"/>
          <w:szCs w:val="18"/>
        </w:rPr>
        <w:t xml:space="preserve"> An atmospheric concentration of any substance that is not capable of causing death, incapacitation, impairment of ability to self-rescue, injury, or acute illness due to its health effects is not covered by this provision.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Any other atmospheric condition that is immediately dangerous to life or health.</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“hazardous atmosphere” (5):</w:t>
      </w:r>
      <w:r w:rsidRPr="009F74C5">
        <w:rPr>
          <w:rFonts w:ascii="Arial" w:eastAsia="Times New Roman" w:hAnsi="Arial" w:cs="Arial"/>
          <w:sz w:val="18"/>
          <w:szCs w:val="18"/>
        </w:rPr>
        <w:t xml:space="preserve"> For air contaminants for which the Occupational Safety and Health Administration has not determined a dose or permissible exposure limit, other sources of information, such as Material Safety Data Sheets that comply with the Hazard Communication Standard, §1926.59, published information, and internal documents can provide guidance in establishing acceptable atmospheric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High-power tests.</w:t>
      </w:r>
      <w:r w:rsidRPr="009F74C5">
        <w:rPr>
          <w:rFonts w:ascii="Arial" w:eastAsia="Times New Roman" w:hAnsi="Arial" w:cs="Arial"/>
          <w:sz w:val="20"/>
          <w:szCs w:val="20"/>
        </w:rPr>
        <w:t xml:space="preserve"> Tests in which the employer uses fault currents, load currents, magnetizing currents, and line-dropping currents to test equipment, either at the equipment's rated voltage or at lower 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High-voltage tests.</w:t>
      </w:r>
      <w:r w:rsidRPr="009F74C5">
        <w:rPr>
          <w:rFonts w:ascii="Arial" w:eastAsia="Times New Roman" w:hAnsi="Arial" w:cs="Arial"/>
          <w:sz w:val="20"/>
          <w:szCs w:val="20"/>
        </w:rPr>
        <w:t xml:space="preserve"> Tests in which the employer uses voltages of approximately 1,000 volts as a practical minimum and in which the voltage source has sufficient energy to cause injury.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High wind.</w:t>
      </w:r>
      <w:r w:rsidRPr="009F74C5">
        <w:rPr>
          <w:rFonts w:ascii="Arial" w:eastAsia="Times New Roman" w:hAnsi="Arial" w:cs="Arial"/>
          <w:sz w:val="20"/>
          <w:szCs w:val="20"/>
        </w:rPr>
        <w:t xml:space="preserve"> A wind of such velocity that one or more of the following hazards would be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wind could blow an employee from an elevated location,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wind could cause an employee or equipment handling material to lose control of the material,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wind would expose an employee to other hazards not controlled by the standard involved.</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“high wind”:</w:t>
      </w:r>
      <w:r w:rsidRPr="009F74C5">
        <w:rPr>
          <w:rFonts w:ascii="Arial" w:eastAsia="Times New Roman" w:hAnsi="Arial" w:cs="Arial"/>
          <w:sz w:val="18"/>
          <w:szCs w:val="18"/>
        </w:rPr>
        <w:t xml:space="preserve"> The Occupational Safety and Health Administration normally considers winds exceeding 64.4 kilometers per hour (40 miles per hour), or 48.3 kilometers per hour (30 miles per hour) if the work involves material handling, as meeting this criteria, unless the employer takes precautions to protect employees from the hazardous effects of the wind.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Host employer.</w:t>
      </w:r>
      <w:r w:rsidRPr="009F74C5">
        <w:rPr>
          <w:rFonts w:ascii="Arial" w:eastAsia="Times New Roman" w:hAnsi="Arial" w:cs="Arial"/>
          <w:sz w:val="20"/>
          <w:szCs w:val="20"/>
        </w:rPr>
        <w:t xml:space="preserve"> An employer that operates, or that controls the operating procedures for, an electric power generation, transmission, or distribution installation on which a contract employer is performing work covered by subpart V of this part.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“host employer”:</w:t>
      </w:r>
      <w:r w:rsidRPr="009F74C5">
        <w:rPr>
          <w:rFonts w:ascii="Arial" w:eastAsia="Times New Roman" w:hAnsi="Arial" w:cs="Arial"/>
          <w:sz w:val="18"/>
          <w:szCs w:val="18"/>
        </w:rPr>
        <w:t xml:space="preserve"> The Occupational Safety and Health Administration will treat the electric utility or the owner of the installation as the host employer if it operates or controls operating procedures for the installation. If the electric utility or installation owner neither operates nor controls operating procedures for the installation, the Occupational Safety and Health Administration will treat the employer that the utility or owner has contracted with to operate or control the operating procedures for the installation as the host employer. In no case will there be more than one host employer.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Immediately dangerous to life or health (IDLH).</w:t>
      </w:r>
      <w:r w:rsidRPr="009F74C5">
        <w:rPr>
          <w:rFonts w:ascii="Arial" w:eastAsia="Times New Roman" w:hAnsi="Arial" w:cs="Arial"/>
          <w:sz w:val="20"/>
          <w:szCs w:val="20"/>
        </w:rPr>
        <w:t xml:space="preserve"> Any condition that poses an immediate or delayed threat to life or that would cause irreversible adverse health effects or that would interfere with an individual's ability to escape unaided from a permit space.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“immediately dangerous to life or health”:</w:t>
      </w:r>
      <w:r w:rsidRPr="009F74C5">
        <w:rPr>
          <w:rFonts w:ascii="Arial" w:eastAsia="Times New Roman" w:hAnsi="Arial" w:cs="Arial"/>
          <w:sz w:val="18"/>
          <w:szCs w:val="18"/>
        </w:rPr>
        <w:t xml:space="preserve"> Some materials—hydrogen fluoride gas and cadmium vapor, for example—may produce immediate transient effects that, even if severe, may pass without medical attention, but are followed by sudden, possibly fatal collapse 12-72 hours after exposure. The victim “feels normal” from recovery from transient effects until collapse. Such materials in hazardous quantities are considered to be “immediately” dangerous to life or health.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Insulated.</w:t>
      </w:r>
      <w:r w:rsidRPr="009F74C5">
        <w:rPr>
          <w:rFonts w:ascii="Arial" w:eastAsia="Times New Roman" w:hAnsi="Arial" w:cs="Arial"/>
          <w:sz w:val="20"/>
          <w:szCs w:val="20"/>
        </w:rPr>
        <w:t xml:space="preserve"> Separated from other conducting surfaces by a dielectric (including air space) offering a high resistance to the passage of current.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“insulated”:</w:t>
      </w:r>
      <w:r w:rsidRPr="009F74C5">
        <w:rPr>
          <w:rFonts w:ascii="Arial" w:eastAsia="Times New Roman" w:hAnsi="Arial" w:cs="Arial"/>
          <w:sz w:val="18"/>
          <w:szCs w:val="18"/>
        </w:rPr>
        <w:t xml:space="preserve"> When any object is said to be insulated, it is understood to be insulated for the conditions to which it normally is subjected. Otherwise, it is, for the purpose of this subpart, uninsulated.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Insulation (cable).</w:t>
      </w:r>
      <w:r w:rsidRPr="009F74C5">
        <w:rPr>
          <w:rFonts w:ascii="Arial" w:eastAsia="Times New Roman" w:hAnsi="Arial" w:cs="Arial"/>
          <w:sz w:val="20"/>
          <w:szCs w:val="20"/>
        </w:rPr>
        <w:t xml:space="preserve"> Material relied upon to insulate the conductor from other conductors or conducting parts or from ground.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Isolated.</w:t>
      </w:r>
      <w:r w:rsidRPr="009F74C5">
        <w:rPr>
          <w:rFonts w:ascii="Arial" w:eastAsia="Times New Roman" w:hAnsi="Arial" w:cs="Arial"/>
          <w:sz w:val="20"/>
          <w:szCs w:val="20"/>
        </w:rPr>
        <w:t xml:space="preserve"> Not readily accessible to persons unless special means for access are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Line-clearance tree trimming.</w:t>
      </w:r>
      <w:r w:rsidRPr="009F74C5">
        <w:rPr>
          <w:rFonts w:ascii="Arial" w:eastAsia="Times New Roman" w:hAnsi="Arial" w:cs="Arial"/>
          <w:sz w:val="20"/>
          <w:szCs w:val="20"/>
        </w:rPr>
        <w:t xml:space="preserve"> The pruning, trimming, repairing, maintaining, removing, or clearing of trees, or the cutting of brush, that is within the following distance of electric supply lines and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voltages to ground of 50 kilovolts or less—3.05 meters (10 feet);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voltages to ground of more than 50 kilovolts—3.05 meters (10 feet) plus 0.10 meters (4 inches) for every 10 kilovolts over 50 kilovolts.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Lines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Communication lines.</w:t>
      </w:r>
      <w:r w:rsidRPr="009F74C5">
        <w:rPr>
          <w:rFonts w:ascii="Arial" w:eastAsia="Times New Roman" w:hAnsi="Arial" w:cs="Arial"/>
          <w:sz w:val="20"/>
          <w:szCs w:val="20"/>
        </w:rPr>
        <w:t xml:space="preserve"> The conductors and their supporting or containing structures which are used for public or private signal or communication service, and which operate at potentials not exceeding 400 volts to ground or 750 volts between any two points of the circuit, and the transmitted power of which does not exceed 150 watts. If the lines are operating at less than 150 volts, no limit is placed on the transmitted power of the system. Under certain conditions, communication cables may include communication circuits exceeding these limitations where such circuits are also used to supply power solely to communication equipment.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“communication lines”:</w:t>
      </w:r>
      <w:r w:rsidRPr="009F74C5">
        <w:rPr>
          <w:rFonts w:ascii="Arial" w:eastAsia="Times New Roman" w:hAnsi="Arial" w:cs="Arial"/>
          <w:sz w:val="18"/>
          <w:szCs w:val="18"/>
        </w:rPr>
        <w:t xml:space="preserve"> Telephone, telegraph, railroad signal, data, clock, fire, police alarm, cable television, and other systems conforming to this definition are included. Lines used for signaling purposes, but not included under this definition, are considered as electric supply lines of the same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Electric supply lines.</w:t>
      </w:r>
      <w:r w:rsidRPr="009F74C5">
        <w:rPr>
          <w:rFonts w:ascii="Arial" w:eastAsia="Times New Roman" w:hAnsi="Arial" w:cs="Arial"/>
          <w:sz w:val="20"/>
          <w:szCs w:val="20"/>
        </w:rPr>
        <w:t xml:space="preserve"> Conductors used to transmit electric energy and their necessary supporting or containing structures. Signal lines of more than 400 volts are always supply lines within this subpart, and those of less than 400 volts are considered as supply lines, if so run and operated throughout.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Manhole.</w:t>
      </w:r>
      <w:r w:rsidRPr="009F74C5">
        <w:rPr>
          <w:rFonts w:ascii="Arial" w:eastAsia="Times New Roman" w:hAnsi="Arial" w:cs="Arial"/>
          <w:sz w:val="20"/>
          <w:szCs w:val="20"/>
        </w:rPr>
        <w:t xml:space="preserve"> A subsurface enclosure that personnel may enter and that is used for installing, operating, and maintaining submersible equipment or 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Minimum approach distance.</w:t>
      </w:r>
      <w:r w:rsidRPr="009F74C5">
        <w:rPr>
          <w:rFonts w:ascii="Arial" w:eastAsia="Times New Roman" w:hAnsi="Arial" w:cs="Arial"/>
          <w:sz w:val="20"/>
          <w:szCs w:val="20"/>
        </w:rPr>
        <w:t xml:space="preserve"> The closest distance an employee may approach an energized or a grounded object.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“minimum approach distance”:</w:t>
      </w:r>
      <w:r w:rsidRPr="009F74C5">
        <w:rPr>
          <w:rFonts w:ascii="Arial" w:eastAsia="Times New Roman" w:hAnsi="Arial" w:cs="Arial"/>
          <w:sz w:val="18"/>
          <w:szCs w:val="18"/>
        </w:rPr>
        <w:t xml:space="preserve"> Paragraph (c)(1)(i) of §1926.960 requires employers to establish minimum approach distances.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Personal fall arrest system.</w:t>
      </w:r>
      <w:r w:rsidRPr="009F74C5">
        <w:rPr>
          <w:rFonts w:ascii="Arial" w:eastAsia="Times New Roman" w:hAnsi="Arial" w:cs="Arial"/>
          <w:sz w:val="20"/>
          <w:szCs w:val="20"/>
        </w:rPr>
        <w:t xml:space="preserve"> A system used to arrest an employee in a fall from a working level.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Qualified employee (qualified person).</w:t>
      </w:r>
      <w:r w:rsidRPr="009F74C5">
        <w:rPr>
          <w:rFonts w:ascii="Arial" w:eastAsia="Times New Roman" w:hAnsi="Arial" w:cs="Arial"/>
          <w:sz w:val="20"/>
          <w:szCs w:val="20"/>
        </w:rPr>
        <w:t xml:space="preserve"> An employee (person) knowledgeable in the construction and operation of the electric power generation, transmission, and distribution equipment involved, along with the associated hazards.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1 to the definition of “qualified employee (qualified person)”:</w:t>
      </w:r>
      <w:r w:rsidRPr="009F74C5">
        <w:rPr>
          <w:rFonts w:ascii="Arial" w:eastAsia="Times New Roman" w:hAnsi="Arial" w:cs="Arial"/>
          <w:sz w:val="18"/>
          <w:szCs w:val="18"/>
        </w:rPr>
        <w:t xml:space="preserve"> An employee must have the training required by §1926.950(b)(2) to be a qualified employee.</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2 to the definition of “qualified employee (qualified person)”:</w:t>
      </w:r>
      <w:r w:rsidRPr="009F74C5">
        <w:rPr>
          <w:rFonts w:ascii="Arial" w:eastAsia="Times New Roman" w:hAnsi="Arial" w:cs="Arial"/>
          <w:sz w:val="18"/>
          <w:szCs w:val="18"/>
        </w:rPr>
        <w:t xml:space="preserve"> Except under §1926.954(b)(3)(iii), an employee who is undergoing on-the-job training and who has demonstrated, in the course of such training, an ability to perform duties safely at his or her level of training and who is under the direct supervision of a qualified person is a qualified person for the performance of those duties.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Statistical sparkover voltage.</w:t>
      </w:r>
      <w:r w:rsidRPr="009F74C5">
        <w:rPr>
          <w:rFonts w:ascii="Arial" w:eastAsia="Times New Roman" w:hAnsi="Arial" w:cs="Arial"/>
          <w:sz w:val="20"/>
          <w:szCs w:val="20"/>
        </w:rPr>
        <w:t xml:space="preserve"> A transient overvoltage level that produces a 97.72-percent probability of sparkover (that is, two standard deviations above the voltage at which there is a 50-percent probability of sparkover).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Statistical withstand voltage.</w:t>
      </w:r>
      <w:r w:rsidRPr="009F74C5">
        <w:rPr>
          <w:rFonts w:ascii="Arial" w:eastAsia="Times New Roman" w:hAnsi="Arial" w:cs="Arial"/>
          <w:sz w:val="20"/>
          <w:szCs w:val="20"/>
        </w:rPr>
        <w:t xml:space="preserve"> A transient overvoltage level that produces a 0.14-percent probability of sparkover (that is, three standard deviations below the voltage at which there is a 50-percent probability of sparkover).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Switch.</w:t>
      </w:r>
      <w:r w:rsidRPr="009F74C5">
        <w:rPr>
          <w:rFonts w:ascii="Arial" w:eastAsia="Times New Roman" w:hAnsi="Arial" w:cs="Arial"/>
          <w:sz w:val="20"/>
          <w:szCs w:val="20"/>
        </w:rPr>
        <w:t xml:space="preserve"> A device for opening and closing or for changing the connection of a circuit. In this subpart, a switch is manually operable, unless otherwise stated.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System operator.</w:t>
      </w:r>
      <w:r w:rsidRPr="009F74C5">
        <w:rPr>
          <w:rFonts w:ascii="Arial" w:eastAsia="Times New Roman" w:hAnsi="Arial" w:cs="Arial"/>
          <w:sz w:val="20"/>
          <w:szCs w:val="20"/>
        </w:rPr>
        <w:t xml:space="preserve"> A qualified person designated to operate the system or its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Vault.</w:t>
      </w:r>
      <w:r w:rsidRPr="009F74C5">
        <w:rPr>
          <w:rFonts w:ascii="Arial" w:eastAsia="Times New Roman" w:hAnsi="Arial" w:cs="Arial"/>
          <w:sz w:val="20"/>
          <w:szCs w:val="20"/>
        </w:rPr>
        <w:t xml:space="preserve"> An enclosure, above or below ground, that personnel may enter and that is used for installing, operating, or maintaining equipment or 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Vented vault.</w:t>
      </w:r>
      <w:r w:rsidRPr="009F74C5">
        <w:rPr>
          <w:rFonts w:ascii="Arial" w:eastAsia="Times New Roman" w:hAnsi="Arial" w:cs="Arial"/>
          <w:sz w:val="20"/>
          <w:szCs w:val="20"/>
        </w:rPr>
        <w:t xml:space="preserve"> A vault that has provision for air changes using exhaust-flue stacks and low-level air intakes operating on pressure and temperature differentials that provide for airflow that precludes a hazardous atmosphere from developing.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Voltage.</w:t>
      </w:r>
      <w:r w:rsidRPr="009F74C5">
        <w:rPr>
          <w:rFonts w:ascii="Arial" w:eastAsia="Times New Roman" w:hAnsi="Arial" w:cs="Arial"/>
          <w:sz w:val="20"/>
          <w:szCs w:val="20"/>
        </w:rPr>
        <w:t xml:space="preserve"> The effective (root mean square, or rms) potential difference between any two conductors or between a conductor and ground. This subpart expresses voltages in nominal values, unless otherwise indicated. The nominal voltage of a system or circuit is the value assigned to a system or circuit of a given voltage class for the purpose of convenient designation. The operating voltage of the system may vary above or below this value.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Work-positioning equipment.</w:t>
      </w:r>
      <w:r w:rsidRPr="009F74C5">
        <w:rPr>
          <w:rFonts w:ascii="Arial" w:eastAsia="Times New Roman" w:hAnsi="Arial" w:cs="Arial"/>
          <w:sz w:val="20"/>
          <w:szCs w:val="20"/>
        </w:rPr>
        <w:t xml:space="preserve"> A body belt or body harness system rigged to allow an employee to be supported on an elevated vertical surface, such as a utility pole or tower leg, and work with both hands free while leaning.</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[79 FR 20696, Apr. 11, 2014, as amended at 79 FR 56962, Sept. 24, 2014]</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7" w:anchor="_top" w:history="1">
        <w:r w:rsidR="00D70103">
          <w:rPr>
            <w:rFonts w:ascii="Arial" w:eastAsia="Times New Roman" w:hAnsi="Arial" w:cs="Arial"/>
            <w:noProof/>
            <w:color w:val="0000FF"/>
            <w:sz w:val="17"/>
            <w:szCs w:val="17"/>
          </w:rPr>
          <w:drawing>
            <wp:inline distT="0" distB="0" distL="0" distR="0" wp14:anchorId="2019424C" wp14:editId="04112FCF">
              <wp:extent cx="152400" cy="152400"/>
              <wp:effectExtent l="0" t="0" r="0" b="0"/>
              <wp:docPr id="185" name="Picture 18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8" w:name="ap29.8.1926_1968.a"/>
      <w:bookmarkEnd w:id="38"/>
      <w:r w:rsidRPr="009F74C5">
        <w:rPr>
          <w:rFonts w:ascii="Arial" w:eastAsia="Times New Roman" w:hAnsi="Arial" w:cs="Arial"/>
          <w:b/>
          <w:bCs/>
          <w:sz w:val="20"/>
          <w:szCs w:val="20"/>
        </w:rPr>
        <w:t>Appendix A to Subpart V of Part 1926 [Reserved]</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58" w:anchor="_top" w:history="1">
        <w:r w:rsidR="00D70103">
          <w:rPr>
            <w:rFonts w:ascii="Arial" w:eastAsia="Times New Roman" w:hAnsi="Arial" w:cs="Arial"/>
            <w:noProof/>
            <w:color w:val="0000FF"/>
            <w:sz w:val="17"/>
            <w:szCs w:val="17"/>
          </w:rPr>
          <w:drawing>
            <wp:inline distT="0" distB="0" distL="0" distR="0" wp14:anchorId="2263D5A4" wp14:editId="6B07CC51">
              <wp:extent cx="152400" cy="152400"/>
              <wp:effectExtent l="0" t="0" r="0" b="0"/>
              <wp:docPr id="184" name="Picture 18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39" w:name="ap29.8.1926_1968.b"/>
      <w:bookmarkEnd w:id="39"/>
      <w:r w:rsidRPr="009F74C5">
        <w:rPr>
          <w:rFonts w:ascii="Arial" w:eastAsia="Times New Roman" w:hAnsi="Arial" w:cs="Arial"/>
          <w:b/>
          <w:bCs/>
          <w:sz w:val="20"/>
          <w:szCs w:val="20"/>
        </w:rPr>
        <w:t>Appendix B to Subpart V of Part 1926—Working on Exposed Energized Parts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lastRenderedPageBreak/>
        <w:t>I. Introduction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Electric utilities design electric power generation, transmission, and distribution installations to meet National Electrical Safety Code (NESC), ANSI C2, requirements. Electric utilities also design transmission and distribution lines to limit line outages as required by system reliability criteria</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 xml:space="preserve"> and to withstand the maximum overvoltages impressed on the system. Conditions such as switching surges, faults, and lightning can cause overvoltages. Electric utilities generally select insulator design and lengths and the clearances to structural parts so as to prevent outages from contaminated line insulation and during storms. Line insulator lengths and structural clearances have, over the years, come closer to the minimum approach distances used by workers. As minimum approach distances and structural clearances converge, it is increasingly important that system designers and system operating and maintenance personnel understand the concepts underlying minimum approach distances.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Federal, State, and local regulatory bodies and electric utilities set reliability requirements that limit the number and duration of system outages.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information in this appendix will assist employers in complying with the minimum approach-distance requirements contained in §§1926.960(c)(1) and 1926.964(c). Employers must use the technical criteria and methodology presented in this appendix in establishing minimum approach distances in accordance with §1926.960(c)(1)(i) and Table V-2 and Table V-7. This appendix provides essential background information and technical criteria for the calculation of the required minimum approach distances for live-line work on electric power generation, transmission, and distribution installations.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Unless an employer is using the maximum transient overvoltages specified in Table V-8 for voltages over 72.5 kilovolts, the employer must use persons knowledgeable in the techniques discussed in this appendix, and competent in the field of electric transmission and distribution system design, to determine the maximum transient overvoltage.</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 General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Definitions.</w:t>
      </w:r>
      <w:r w:rsidRPr="009F74C5">
        <w:rPr>
          <w:rFonts w:ascii="Arial" w:eastAsia="Times New Roman" w:hAnsi="Arial" w:cs="Arial"/>
          <w:sz w:val="20"/>
          <w:szCs w:val="20"/>
        </w:rPr>
        <w:t xml:space="preserve"> The following definitions from §1926.968 relate to work on or near electric power generation, transmission, and distribution lines and equipment and the electrical hazards they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Exposed.</w:t>
      </w:r>
      <w:r w:rsidRPr="009F74C5">
        <w:rPr>
          <w:rFonts w:ascii="Arial" w:eastAsia="Times New Roman" w:hAnsi="Arial" w:cs="Arial"/>
          <w:sz w:val="20"/>
          <w:szCs w:val="20"/>
        </w:rPr>
        <w:t xml:space="preserve"> .  .  . Not isolated or guarded.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Guarded.</w:t>
      </w:r>
      <w:r w:rsidRPr="009F74C5">
        <w:rPr>
          <w:rFonts w:ascii="Arial" w:eastAsia="Times New Roman" w:hAnsi="Arial" w:cs="Arial"/>
          <w:sz w:val="20"/>
          <w:szCs w:val="20"/>
        </w:rPr>
        <w:t xml:space="preserve"> Covered, fenced, enclosed, or otherwise protected, by means of suitable covers or casings, barrier rails or screens, mats, or platforms, designed to minimize the possibility, under normal conditions, of dangerous approach or inadvertent contact by persons or objects.</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“guarded”:</w:t>
      </w:r>
      <w:r w:rsidRPr="009F74C5">
        <w:rPr>
          <w:rFonts w:ascii="Arial" w:eastAsia="Times New Roman" w:hAnsi="Arial" w:cs="Arial"/>
          <w:sz w:val="18"/>
          <w:szCs w:val="18"/>
        </w:rPr>
        <w:t xml:space="preserve"> Wires that are insulated, but not otherwise protected, are not guarded.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Insulated.</w:t>
      </w:r>
      <w:r w:rsidRPr="009F74C5">
        <w:rPr>
          <w:rFonts w:ascii="Arial" w:eastAsia="Times New Roman" w:hAnsi="Arial" w:cs="Arial"/>
          <w:sz w:val="20"/>
          <w:szCs w:val="20"/>
        </w:rPr>
        <w:t xml:space="preserve"> Separated from other conducting surfaces by a dielectric (including air space) offering a high resistance to the passage of current.</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 to the definition of “insulated”:</w:t>
      </w:r>
      <w:r w:rsidRPr="009F74C5">
        <w:rPr>
          <w:rFonts w:ascii="Arial" w:eastAsia="Times New Roman" w:hAnsi="Arial" w:cs="Arial"/>
          <w:sz w:val="18"/>
          <w:szCs w:val="18"/>
        </w:rPr>
        <w:t xml:space="preserve"> When any object is said to be insulated, it is understood to be insulated for the conditions to which it normally is subjected. Otherwise, it is, for the purpose of this subpart, uninsulated.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Isolated.</w:t>
      </w:r>
      <w:r w:rsidRPr="009F74C5">
        <w:rPr>
          <w:rFonts w:ascii="Arial" w:eastAsia="Times New Roman" w:hAnsi="Arial" w:cs="Arial"/>
          <w:sz w:val="20"/>
          <w:szCs w:val="20"/>
        </w:rPr>
        <w:t xml:space="preserve"> Not readily accessible to persons unless special means for access are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Statistical sparkover voltage.</w:t>
      </w:r>
      <w:r w:rsidRPr="009F74C5">
        <w:rPr>
          <w:rFonts w:ascii="Arial" w:eastAsia="Times New Roman" w:hAnsi="Arial" w:cs="Arial"/>
          <w:sz w:val="20"/>
          <w:szCs w:val="20"/>
        </w:rPr>
        <w:t xml:space="preserve"> A transient overvoltage level that produces a 97.72-percent probability of sparkover (that is, two standard deviations above the voltage at which there is a 50-percent probability of sparkover).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Statistical withstand voltage.</w:t>
      </w:r>
      <w:r w:rsidRPr="009F74C5">
        <w:rPr>
          <w:rFonts w:ascii="Arial" w:eastAsia="Times New Roman" w:hAnsi="Arial" w:cs="Arial"/>
          <w:sz w:val="20"/>
          <w:szCs w:val="20"/>
        </w:rPr>
        <w:t xml:space="preserve"> A transient overvoltage level that produces a 0.14-percent probability of sparkover (that is, three standard deviations below the voltage at which there is a 50-percent probability of sparkover).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Installations energized at 50 to 300 volts.</w:t>
      </w:r>
      <w:r w:rsidRPr="009F74C5">
        <w:rPr>
          <w:rFonts w:ascii="Arial" w:eastAsia="Times New Roman" w:hAnsi="Arial" w:cs="Arial"/>
          <w:sz w:val="20"/>
          <w:szCs w:val="20"/>
        </w:rPr>
        <w:t xml:space="preserve"> The hazards posed by installations energized at 50 to 300 volts are the same as those found in many other workplaces. That is not to say that there is no hazard, but the complexity of electrical protection required does not compare to that required for high-voltage systems. The employee must avoid contact with the exposed parts, and the protective equipment used (such as rubber insulating gloves) must provide insulation for the voltages involved.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Exposed energized parts over 300 volts AC.</w:t>
      </w:r>
      <w:r w:rsidRPr="009F74C5">
        <w:rPr>
          <w:rFonts w:ascii="Arial" w:eastAsia="Times New Roman" w:hAnsi="Arial" w:cs="Arial"/>
          <w:sz w:val="20"/>
          <w:szCs w:val="20"/>
        </w:rPr>
        <w:t xml:space="preserve"> Paragraph (c)(1)(i) of §1926.960 requires the employer to establish minimum approach distances no less than the distances computed by Table V-2 for ac systems so that employees can work safely without risk of sparkover.</w:t>
      </w:r>
      <w:r w:rsidRPr="009F74C5">
        <w:rPr>
          <w:rFonts w:ascii="Arial" w:eastAsia="Times New Roman" w:hAnsi="Arial" w:cs="Arial"/>
          <w:sz w:val="14"/>
          <w:szCs w:val="14"/>
          <w:vertAlign w:val="superscript"/>
        </w:rPr>
        <w:t>2</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Sparkover is a disruptive electric discharge in which an electric arc forms and electric current passes through air.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Unless the employee is using electrical protective equipment, air is the insulating medium between the employee and energized parts. The distance between the employee and an energized part must be sufficient for the air to withstand the maximum transient overvoltage that can reach the worksite under the working conditions and practices the employee is using. This distance is the minimum air insulation distance, and it is equal to the electrical component of the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Normal system design may provide or include a means (such as lightning arrestors) to control maximum anticipated transient overvoltages, or the employer may use temporary devices (portable protective gaps) or measures (such as preventing automatic circuit breaker reclosing) to achieve the same result. Paragraph (c)(1)(ii) of §1926.960 requires the employer to determine the maximum anticipated per-unit transient overvoltage, phase-to-ground, through an engineering analysis or assume a maximum anticipated per-unit transient overvoltage, phase-to-ground, in accordance with Table V-8, which specifies the following maximums for ac systems: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6165"/>
        <w:gridCol w:w="3219"/>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420.0 kilovolts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 per unit.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420.1 to 550.0 kilovolts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 per unit.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550.1 to 800.0 kilovolts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 per unit.</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See paragraph IV.A.2, later in this appendix, for additional discussion of maximum transient overvoltages.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Types of exposures.</w:t>
      </w:r>
      <w:r w:rsidRPr="009F74C5">
        <w:rPr>
          <w:rFonts w:ascii="Arial" w:eastAsia="Times New Roman" w:hAnsi="Arial" w:cs="Arial"/>
          <w:sz w:val="20"/>
          <w:szCs w:val="20"/>
        </w:rPr>
        <w:t xml:space="preserve"> Employees working on or near energized electric power generation, transmission, and distribution systems face two kinds of exposures: Phase-to-ground and phase-to-phase. The exposure is phase-to-ground: (1) With respect to an energized part, when the employee is at ground potential or (2) with respect to ground, when an employee is at the potential of the energized part during live-line barehand work. The exposure is phase-to-phase, with respect to an energized part, when an employee is at the potential of another energized part (at a different potential) during live-line barehand work.</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III. Determination of Minimum Approach Distances for AC Voltages Greater Than 300 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Voltages of 301 to 5,000 volts.</w:t>
      </w:r>
      <w:r w:rsidRPr="009F74C5">
        <w:rPr>
          <w:rFonts w:ascii="Arial" w:eastAsia="Times New Roman" w:hAnsi="Arial" w:cs="Arial"/>
          <w:sz w:val="20"/>
          <w:szCs w:val="20"/>
        </w:rPr>
        <w:t xml:space="preserve"> Test data generally forms the basis of minimum air insulation distances. The lowest voltage for which sufficient test data exists is 5,000 volts, and these data indicate </w:t>
      </w:r>
      <w:r w:rsidRPr="009F74C5">
        <w:rPr>
          <w:rFonts w:ascii="Arial" w:eastAsia="Times New Roman" w:hAnsi="Arial" w:cs="Arial"/>
          <w:sz w:val="20"/>
          <w:szCs w:val="20"/>
        </w:rPr>
        <w:lastRenderedPageBreak/>
        <w:t>that the minimum air insulation distance at that voltage is 20 millimeters (1 inch). Because the minimum air insulation distance increases with increasing voltage, and, conversely, decreases with decreasing voltage, an assumed minimum air insulation distance of 20 millimeters will protect against sparkover at voltages of 301 to 5,000 volts. Thus, 20 millimeters is the electrical component of the minimum approach distance for these 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Voltages of 5.1 to 72.5 kilovolts.</w:t>
      </w:r>
      <w:r w:rsidRPr="009F74C5">
        <w:rPr>
          <w:rFonts w:ascii="Arial" w:eastAsia="Times New Roman" w:hAnsi="Arial" w:cs="Arial"/>
          <w:sz w:val="20"/>
          <w:szCs w:val="20"/>
        </w:rPr>
        <w:t xml:space="preserve"> For voltages from 5.1 to 72.5 kilovolts, the Occupational Safety and Health Administration bases the methodology for calculating the electrical component of the minimum approach distance on Institute of Electrical and Electronic Engineers (IEEE) Standard 4-1995, </w:t>
      </w:r>
      <w:r w:rsidRPr="009F74C5">
        <w:rPr>
          <w:rFonts w:ascii="Arial" w:eastAsia="Times New Roman" w:hAnsi="Arial" w:cs="Arial"/>
          <w:i/>
          <w:iCs/>
          <w:sz w:val="20"/>
          <w:szCs w:val="20"/>
        </w:rPr>
        <w:t>Standard Techniques for High-Voltage Testing.</w:t>
      </w:r>
      <w:r w:rsidRPr="009F74C5">
        <w:rPr>
          <w:rFonts w:ascii="Arial" w:eastAsia="Times New Roman" w:hAnsi="Arial" w:cs="Arial"/>
          <w:sz w:val="20"/>
          <w:szCs w:val="20"/>
        </w:rPr>
        <w:t xml:space="preserve"> Table 1 lists the critical sparkover distances from that standard as listed in IEEE Std 516-2009, </w:t>
      </w:r>
      <w:r w:rsidRPr="009F74C5">
        <w:rPr>
          <w:rFonts w:ascii="Arial" w:eastAsia="Times New Roman" w:hAnsi="Arial" w:cs="Arial"/>
          <w:i/>
          <w:iCs/>
          <w:sz w:val="20"/>
          <w:szCs w:val="20"/>
        </w:rPr>
        <w:t>IEEE Guide for Maintenance Methods on Energized Power Lines.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1—Sparkover Distance for Rod-to-Rod Gap</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124"/>
        <w:gridCol w:w="5260"/>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60 Hz rod-to-rod sparkover</w:t>
            </w:r>
            <w:r w:rsidRPr="009F74C5">
              <w:rPr>
                <w:rFonts w:ascii="Arial" w:eastAsia="Times New Roman" w:hAnsi="Arial" w:cs="Arial"/>
                <w:b/>
                <w:bCs/>
                <w:sz w:val="20"/>
                <w:szCs w:val="20"/>
              </w:rPr>
              <w:br/>
              <w:t>(kV peak)</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Gap spacing from IEEE Std 4-1995</w:t>
            </w:r>
            <w:r w:rsidRPr="009F74C5">
              <w:rPr>
                <w:rFonts w:ascii="Arial" w:eastAsia="Times New Roman" w:hAnsi="Arial" w:cs="Arial"/>
                <w:b/>
                <w:bCs/>
                <w:sz w:val="20"/>
                <w:szCs w:val="20"/>
              </w:rPr>
              <w:br/>
              <w:t>(cm)</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Source: IEEE Std 516-2009.</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To use this table to determine the electrical component of the minimum approach distance, the employer must determine the peak phase-to-ground transient overvoltage and select a gap from the table that corresponds to that voltage as a withstand voltage rather than a critical sparkover voltage. To </w:t>
      </w:r>
      <w:r w:rsidRPr="009F74C5">
        <w:rPr>
          <w:rFonts w:ascii="Arial" w:eastAsia="Times New Roman" w:hAnsi="Arial" w:cs="Arial"/>
          <w:sz w:val="20"/>
          <w:szCs w:val="20"/>
        </w:rPr>
        <w:lastRenderedPageBreak/>
        <w:t>calculate the electrical component of the minimum approach distance for voltages between 5 and 72.5 kilovolts, use the following procedure: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Divide the phase-to-phase voltage by the square root of 3 to convert it to a phase-to-ground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Multiply the phase-to-ground voltage by the square root of 2 to convert the rms value of the voltage to the peak phase-to-ground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Multiply the peak phase-to-ground voltage by the maximum per-unit transient overvoltage, which, for this voltage range, is 3.0, as discussed later in this appendix. This is the maximum phase-to-ground transient overvoltage, which corresponds to the withstand voltage for the relevant exposure.</w:t>
      </w:r>
      <w:r w:rsidRPr="009F74C5">
        <w:rPr>
          <w:rFonts w:ascii="Arial" w:eastAsia="Times New Roman" w:hAnsi="Arial" w:cs="Arial"/>
          <w:sz w:val="14"/>
          <w:szCs w:val="14"/>
          <w:vertAlign w:val="superscript"/>
        </w:rPr>
        <w:t>3</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3</w:t>
      </w:r>
      <w:r w:rsidRPr="009F74C5">
        <w:rPr>
          <w:rFonts w:ascii="Arial" w:eastAsia="Times New Roman" w:hAnsi="Arial" w:cs="Arial"/>
          <w:sz w:val="18"/>
          <w:szCs w:val="18"/>
        </w:rPr>
        <w:t>The withstand voltage is the voltage at which sparkover is not likely to occur across a specified distance. It is the voltage taken at the 3σ point below the sparkover voltage, assuming that the sparkover curve follows a normal distribution.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Divide the maximum phase-to-ground transient overvoltage by 0.85 to determine the corresponding critical sparkover voltage. (The critical sparkover voltage is 3 standard deviations (or 15 percent) greater than the withstand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Determine the electrical component of the minimum approach distance from Table 1 through interpolation.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Table 2 illustrates how to derive the electrical component of the minimum approach distance for voltages from 5.1 to 72.5 kilovolts, before the application of any altitude correction factor, as explained later.</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2—Calculating the Electrical Component of MAD—751 V to 72.5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576"/>
        <w:gridCol w:w="1322"/>
        <w:gridCol w:w="1322"/>
        <w:gridCol w:w="1582"/>
        <w:gridCol w:w="1582"/>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Step</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system phase-to-phase voltage (kV)</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46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72.5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 Divide by √3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 Multiply by √2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 Multiply by 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177.6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 Divide by 0.85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208.9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 Interpolate from Table 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3+(7.2/10)*1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14+(8.7/9)*2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20+(12.6/23)*5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35+(16.9/26)*5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Electrical component of MAD (cm)</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15.93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22.74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38.25</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Voltages of 72.6 to 800 kilovolts.</w:t>
      </w:r>
      <w:r w:rsidRPr="009F74C5">
        <w:rPr>
          <w:rFonts w:ascii="Arial" w:eastAsia="Times New Roman" w:hAnsi="Arial" w:cs="Arial"/>
          <w:sz w:val="20"/>
          <w:szCs w:val="20"/>
        </w:rPr>
        <w:t xml:space="preserve"> For voltages of 72.6 kilovolts to 800 kilovolts, this subpart bases the electrical component of minimum approach distances, before the application of any altitude correction factor, on the following formula:</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Equation 1—For voltages of 72.6 kV to 800 kV</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D</w:t>
      </w:r>
      <w:r w:rsidRPr="009F74C5">
        <w:rPr>
          <w:rFonts w:ascii="Arial" w:eastAsia="Times New Roman" w:hAnsi="Arial" w:cs="Arial"/>
          <w:sz w:val="20"/>
          <w:szCs w:val="20"/>
        </w:rPr>
        <w:t xml:space="preserve"> = 0.3048(</w:t>
      </w:r>
      <w:r w:rsidRPr="009F74C5">
        <w:rPr>
          <w:rFonts w:ascii="Arial" w:eastAsia="Times New Roman" w:hAnsi="Arial" w:cs="Arial"/>
          <w:i/>
          <w:iCs/>
          <w:sz w:val="20"/>
          <w:szCs w:val="20"/>
        </w:rPr>
        <w:t>C</w:t>
      </w:r>
      <w:r w:rsidRPr="009F74C5">
        <w:rPr>
          <w:rFonts w:ascii="Arial" w:eastAsia="Times New Roman" w:hAnsi="Arial" w:cs="Arial"/>
          <w:sz w:val="20"/>
          <w:szCs w:val="20"/>
        </w:rPr>
        <w:t xml:space="preserve"> + </w:t>
      </w:r>
      <w:r w:rsidRPr="009F74C5">
        <w:rPr>
          <w:rFonts w:ascii="Arial" w:eastAsia="Times New Roman" w:hAnsi="Arial" w:cs="Arial"/>
          <w:i/>
          <w:iCs/>
          <w:sz w:val="20"/>
          <w:szCs w:val="20"/>
        </w:rPr>
        <w:t>a</w:t>
      </w:r>
      <w:r w:rsidRPr="009F74C5">
        <w:rPr>
          <w:rFonts w:ascii="Arial" w:eastAsia="Times New Roman" w:hAnsi="Arial" w:cs="Arial"/>
          <w:sz w:val="20"/>
          <w:szCs w:val="20"/>
        </w:rPr>
        <w:t>)</w:t>
      </w:r>
      <w:r w:rsidRPr="009F74C5">
        <w:rPr>
          <w:rFonts w:ascii="Arial" w:eastAsia="Times New Roman" w:hAnsi="Arial" w:cs="Arial"/>
          <w:i/>
          <w:iCs/>
          <w:sz w:val="20"/>
          <w:szCs w:val="20"/>
        </w:rPr>
        <w:t>V</w:t>
      </w:r>
      <w:r w:rsidRPr="009F74C5">
        <w:rPr>
          <w:rFonts w:ascii="Arial" w:eastAsia="Times New Roman" w:hAnsi="Arial" w:cs="Arial"/>
          <w:i/>
          <w:iCs/>
          <w:sz w:val="14"/>
          <w:szCs w:val="14"/>
          <w:vertAlign w:val="subscript"/>
        </w:rPr>
        <w:t>L-G</w:t>
      </w:r>
      <w:r w:rsidRPr="009F74C5">
        <w:rPr>
          <w:rFonts w:ascii="Arial" w:eastAsia="Times New Roman" w:hAnsi="Arial" w:cs="Arial"/>
          <w:i/>
          <w:iCs/>
          <w:sz w:val="20"/>
          <w:szCs w:val="20"/>
        </w:rPr>
        <w:t>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Where:</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lastRenderedPageBreak/>
        <w:t>D</w:t>
      </w:r>
      <w:r w:rsidRPr="009F74C5">
        <w:rPr>
          <w:rFonts w:ascii="Arial" w:eastAsia="Times New Roman" w:hAnsi="Arial" w:cs="Arial"/>
          <w:sz w:val="20"/>
          <w:szCs w:val="20"/>
        </w:rPr>
        <w:t xml:space="preserve"> = Electrical component of the minimum approach distance in air in meters;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C</w:t>
      </w:r>
      <w:r w:rsidRPr="009F74C5">
        <w:rPr>
          <w:rFonts w:ascii="Arial" w:eastAsia="Times New Roman" w:hAnsi="Arial" w:cs="Arial"/>
          <w:sz w:val="20"/>
          <w:szCs w:val="20"/>
        </w:rPr>
        <w:t xml:space="preserve"> = a correction factor associated with the variation of gap sparkover with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w:t>
      </w:r>
      <w:r w:rsidRPr="009F74C5">
        <w:rPr>
          <w:rFonts w:ascii="Arial" w:eastAsia="Times New Roman" w:hAnsi="Arial" w:cs="Arial"/>
          <w:sz w:val="20"/>
          <w:szCs w:val="20"/>
        </w:rPr>
        <w:t xml:space="preserve"> = A factor relating to the saturation of air at system voltages of 345 kilovolts or higher;</w:t>
      </w:r>
      <w:r w:rsidRPr="009F74C5">
        <w:rPr>
          <w:rFonts w:ascii="Arial" w:eastAsia="Times New Roman" w:hAnsi="Arial" w:cs="Arial"/>
          <w:sz w:val="14"/>
          <w:szCs w:val="14"/>
          <w:vertAlign w:val="superscript"/>
        </w:rPr>
        <w:t>4</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4</w:t>
      </w:r>
      <w:r w:rsidRPr="009F74C5">
        <w:rPr>
          <w:rFonts w:ascii="Arial" w:eastAsia="Times New Roman" w:hAnsi="Arial" w:cs="Arial"/>
          <w:sz w:val="18"/>
          <w:szCs w:val="18"/>
        </w:rPr>
        <w:t xml:space="preserve">Test data demonstrates that the saturation factor is greater than 0 at peak voltages of about 630 kilovolts. Systems operating at 345 kilovolts (or maximum system voltages of 362 kilovolts) can have peak maximum transient overvoltages exceeding 630 kilovolts. Table V-2 sets equations for calculating </w:t>
      </w:r>
      <w:r w:rsidRPr="009F74C5">
        <w:rPr>
          <w:rFonts w:ascii="Arial" w:eastAsia="Times New Roman" w:hAnsi="Arial" w:cs="Arial"/>
          <w:i/>
          <w:iCs/>
          <w:sz w:val="18"/>
          <w:szCs w:val="18"/>
        </w:rPr>
        <w:t>a</w:t>
      </w:r>
      <w:r w:rsidRPr="009F74C5">
        <w:rPr>
          <w:rFonts w:ascii="Arial" w:eastAsia="Times New Roman" w:hAnsi="Arial" w:cs="Arial"/>
          <w:sz w:val="18"/>
          <w:szCs w:val="18"/>
        </w:rPr>
        <w:t xml:space="preserve"> based on peak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V</w:t>
      </w:r>
      <w:r w:rsidRPr="009F74C5">
        <w:rPr>
          <w:rFonts w:ascii="Arial" w:eastAsia="Times New Roman" w:hAnsi="Arial" w:cs="Arial"/>
          <w:i/>
          <w:iCs/>
          <w:sz w:val="14"/>
          <w:szCs w:val="14"/>
          <w:vertAlign w:val="subscript"/>
        </w:rPr>
        <w:t>L-G</w:t>
      </w:r>
      <w:r w:rsidRPr="009F74C5">
        <w:rPr>
          <w:rFonts w:ascii="Arial" w:eastAsia="Times New Roman" w:hAnsi="Arial" w:cs="Arial"/>
          <w:sz w:val="20"/>
          <w:szCs w:val="20"/>
        </w:rPr>
        <w:t xml:space="preserve"> = Maximum system line-to-ground rms voltage in kilovolts—it should be the “actual” maximum, or the normal highest voltage for the range (for example, 10 percent above the nominal voltage); and</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T</w:t>
      </w:r>
      <w:r w:rsidRPr="009F74C5">
        <w:rPr>
          <w:rFonts w:ascii="Arial" w:eastAsia="Times New Roman" w:hAnsi="Arial" w:cs="Arial"/>
          <w:sz w:val="20"/>
          <w:szCs w:val="20"/>
        </w:rPr>
        <w:t xml:space="preserve"> = Maximum transient overvoltage factor in per unit.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In Equation 1, </w:t>
      </w:r>
      <w:r w:rsidRPr="009F74C5">
        <w:rPr>
          <w:rFonts w:ascii="Arial" w:eastAsia="Times New Roman" w:hAnsi="Arial" w:cs="Arial"/>
          <w:i/>
          <w:iCs/>
          <w:sz w:val="20"/>
          <w:szCs w:val="20"/>
        </w:rPr>
        <w:t>C</w:t>
      </w:r>
      <w:r w:rsidRPr="009F74C5">
        <w:rPr>
          <w:rFonts w:ascii="Arial" w:eastAsia="Times New Roman" w:hAnsi="Arial" w:cs="Arial"/>
          <w:sz w:val="20"/>
          <w:szCs w:val="20"/>
        </w:rPr>
        <w:t xml:space="preserve"> is 0.01: (1) For phase-to-ground exposures that the employer can demonstrate consist only of air across the approach distance (gap) and (2) for phase-to-phase exposures if the employer can demonstrate that no insulated tool spans the gap and that no large conductive object is in the gap. Otherwise, </w:t>
      </w:r>
      <w:r w:rsidRPr="009F74C5">
        <w:rPr>
          <w:rFonts w:ascii="Arial" w:eastAsia="Times New Roman" w:hAnsi="Arial" w:cs="Arial"/>
          <w:i/>
          <w:iCs/>
          <w:sz w:val="20"/>
          <w:szCs w:val="20"/>
        </w:rPr>
        <w:t>C</w:t>
      </w:r>
      <w:r w:rsidRPr="009F74C5">
        <w:rPr>
          <w:rFonts w:ascii="Arial" w:eastAsia="Times New Roman" w:hAnsi="Arial" w:cs="Arial"/>
          <w:sz w:val="20"/>
          <w:szCs w:val="20"/>
        </w:rPr>
        <w:t xml:space="preserve"> is 0.011.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In Equation 1, the term </w:t>
      </w:r>
      <w:r w:rsidRPr="009F74C5">
        <w:rPr>
          <w:rFonts w:ascii="Arial" w:eastAsia="Times New Roman" w:hAnsi="Arial" w:cs="Arial"/>
          <w:i/>
          <w:iCs/>
          <w:sz w:val="20"/>
          <w:szCs w:val="20"/>
        </w:rPr>
        <w:t>a</w:t>
      </w:r>
      <w:r w:rsidRPr="009F74C5">
        <w:rPr>
          <w:rFonts w:ascii="Arial" w:eastAsia="Times New Roman" w:hAnsi="Arial" w:cs="Arial"/>
          <w:sz w:val="20"/>
          <w:szCs w:val="20"/>
        </w:rPr>
        <w:t xml:space="preserve"> varies depending on whether the employee's exposure is phase-to-ground or phase-to-phase and on whether objects are in the gap. The employer must use the equations in Table 3 to calculate </w:t>
      </w:r>
      <w:r w:rsidRPr="009F74C5">
        <w:rPr>
          <w:rFonts w:ascii="Arial" w:eastAsia="Times New Roman" w:hAnsi="Arial" w:cs="Arial"/>
          <w:i/>
          <w:iCs/>
          <w:sz w:val="20"/>
          <w:szCs w:val="20"/>
        </w:rPr>
        <w:t>a.</w:t>
      </w:r>
      <w:r w:rsidRPr="009F74C5">
        <w:rPr>
          <w:rFonts w:ascii="Arial" w:eastAsia="Times New Roman" w:hAnsi="Arial" w:cs="Arial"/>
          <w:sz w:val="20"/>
          <w:szCs w:val="20"/>
        </w:rPr>
        <w:t xml:space="preserve"> Sparkover test data with insulation spanning the gap form the basis for the equations for phase-to-ground exposures, and sparkover test data with only air in the gap form the basis for the equations for phase-to-phase exposures. The phase-to-ground equations result in slightly higher values of </w:t>
      </w:r>
      <w:r w:rsidRPr="009F74C5">
        <w:rPr>
          <w:rFonts w:ascii="Arial" w:eastAsia="Times New Roman" w:hAnsi="Arial" w:cs="Arial"/>
          <w:i/>
          <w:iCs/>
          <w:sz w:val="20"/>
          <w:szCs w:val="20"/>
        </w:rPr>
        <w:t>a,</w:t>
      </w:r>
      <w:r w:rsidRPr="009F74C5">
        <w:rPr>
          <w:rFonts w:ascii="Arial" w:eastAsia="Times New Roman" w:hAnsi="Arial" w:cs="Arial"/>
          <w:sz w:val="20"/>
          <w:szCs w:val="20"/>
        </w:rPr>
        <w:t xml:space="preserve"> and, consequently, produce larger minimum approach distances, than the phase-to-phase equations for the same value of V</w:t>
      </w:r>
      <w:r w:rsidRPr="009F74C5">
        <w:rPr>
          <w:rFonts w:ascii="Arial" w:eastAsia="Times New Roman" w:hAnsi="Arial" w:cs="Arial"/>
          <w:sz w:val="14"/>
          <w:szCs w:val="14"/>
          <w:vertAlign w:val="subscript"/>
        </w:rPr>
        <w:t>Peak</w:t>
      </w:r>
      <w:r w:rsidRPr="009F74C5">
        <w:rPr>
          <w:rFonts w:ascii="Arial" w:eastAsia="Times New Roman" w:hAnsi="Arial" w:cs="Arial"/>
          <w:sz w:val="20"/>
          <w:szCs w:val="20"/>
        </w:rPr>
        <w:t>.</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536342B" wp14:editId="2B7C08F3">
            <wp:extent cx="4137660" cy="3169920"/>
            <wp:effectExtent l="0" t="0" r="0" b="0"/>
            <wp:docPr id="183" name="Picture 183" descr="eCFR graphic er11ap14.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CFR graphic er11ap14.036.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7660" cy="31699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60"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In Equation 1,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is the maximum transient overvoltage factor in per unit. As noted earlier, §1926.960(c)(1)(ii) requires the employer to determine the maximum anticipated per-unit transient </w:t>
      </w:r>
      <w:r w:rsidRPr="009F74C5">
        <w:rPr>
          <w:rFonts w:ascii="Arial" w:eastAsia="Times New Roman" w:hAnsi="Arial" w:cs="Arial"/>
          <w:sz w:val="20"/>
          <w:szCs w:val="20"/>
        </w:rPr>
        <w:lastRenderedPageBreak/>
        <w:t xml:space="preserve">overvoltage, phase-to-ground, through an engineering analysis or assume a maximum anticipated per-unit transient overvoltage, phase-to-ground, in accordance with Table V-8. For phase-to-ground exposures, the employer uses this value, called </w:t>
      </w:r>
      <w:r w:rsidRPr="009F74C5">
        <w:rPr>
          <w:rFonts w:ascii="Arial" w:eastAsia="Times New Roman" w:hAnsi="Arial" w:cs="Arial"/>
          <w:i/>
          <w:iCs/>
          <w:sz w:val="20"/>
          <w:szCs w:val="20"/>
        </w:rPr>
        <w:t>T</w:t>
      </w:r>
      <w:r w:rsidRPr="009F74C5">
        <w:rPr>
          <w:rFonts w:ascii="Arial" w:eastAsia="Times New Roman" w:hAnsi="Arial" w:cs="Arial"/>
          <w:i/>
          <w:iCs/>
          <w:sz w:val="14"/>
          <w:szCs w:val="14"/>
          <w:vertAlign w:val="subscript"/>
        </w:rPr>
        <w:t>L-G</w:t>
      </w:r>
      <w:r w:rsidRPr="009F74C5">
        <w:rPr>
          <w:rFonts w:ascii="Arial" w:eastAsia="Times New Roman" w:hAnsi="Arial" w:cs="Arial"/>
          <w:sz w:val="20"/>
          <w:szCs w:val="20"/>
        </w:rPr>
        <w:t xml:space="preserve">, as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in Equation 1. IEEE Std 516-2009 provides the following formula to calculate the phase-to-phase maximum transient overvoltage, </w:t>
      </w:r>
      <w:r w:rsidRPr="009F74C5">
        <w:rPr>
          <w:rFonts w:ascii="Arial" w:eastAsia="Times New Roman" w:hAnsi="Arial" w:cs="Arial"/>
          <w:i/>
          <w:iCs/>
          <w:sz w:val="20"/>
          <w:szCs w:val="20"/>
        </w:rPr>
        <w:t>T</w:t>
      </w:r>
      <w:r w:rsidRPr="009F74C5">
        <w:rPr>
          <w:rFonts w:ascii="Arial" w:eastAsia="Times New Roman" w:hAnsi="Arial" w:cs="Arial"/>
          <w:i/>
          <w:iCs/>
          <w:sz w:val="14"/>
          <w:szCs w:val="14"/>
          <w:vertAlign w:val="subscript"/>
        </w:rPr>
        <w:t>L-L</w:t>
      </w:r>
      <w:r w:rsidRPr="009F74C5">
        <w:rPr>
          <w:rFonts w:ascii="Arial" w:eastAsia="Times New Roman" w:hAnsi="Arial" w:cs="Arial"/>
          <w:sz w:val="20"/>
          <w:szCs w:val="20"/>
        </w:rPr>
        <w:t xml:space="preserve">, from </w:t>
      </w:r>
      <w:r w:rsidRPr="009F74C5">
        <w:rPr>
          <w:rFonts w:ascii="Arial" w:eastAsia="Times New Roman" w:hAnsi="Arial" w:cs="Arial"/>
          <w:i/>
          <w:iCs/>
          <w:sz w:val="20"/>
          <w:szCs w:val="20"/>
        </w:rPr>
        <w:t>T</w:t>
      </w:r>
      <w:r w:rsidRPr="009F74C5">
        <w:rPr>
          <w:rFonts w:ascii="Arial" w:eastAsia="Times New Roman" w:hAnsi="Arial" w:cs="Arial"/>
          <w:i/>
          <w:iCs/>
          <w:sz w:val="14"/>
          <w:szCs w:val="14"/>
          <w:vertAlign w:val="subscript"/>
        </w:rPr>
        <w:t>L-G</w:t>
      </w:r>
      <w:r w:rsidRPr="009F74C5">
        <w:rPr>
          <w:rFonts w:ascii="Arial" w:eastAsia="Times New Roman" w:hAnsi="Arial" w:cs="Arial"/>
          <w:sz w:val="20"/>
          <w:szCs w:val="20"/>
        </w:rPr>
        <w: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T</w:t>
      </w:r>
      <w:r w:rsidRPr="009F74C5">
        <w:rPr>
          <w:rFonts w:ascii="Arial" w:eastAsia="Times New Roman" w:hAnsi="Arial" w:cs="Arial"/>
          <w:i/>
          <w:iCs/>
          <w:sz w:val="14"/>
          <w:szCs w:val="14"/>
          <w:vertAlign w:val="subscript"/>
        </w:rPr>
        <w:t>L-L</w:t>
      </w:r>
      <w:r w:rsidRPr="009F74C5">
        <w:rPr>
          <w:rFonts w:ascii="Arial" w:eastAsia="Times New Roman" w:hAnsi="Arial" w:cs="Arial"/>
          <w:sz w:val="20"/>
          <w:szCs w:val="20"/>
        </w:rPr>
        <w:t xml:space="preserve"> = 1.35</w:t>
      </w:r>
      <w:r w:rsidRPr="009F74C5">
        <w:rPr>
          <w:rFonts w:ascii="Arial" w:eastAsia="Times New Roman" w:hAnsi="Arial" w:cs="Arial"/>
          <w:i/>
          <w:iCs/>
          <w:sz w:val="20"/>
          <w:szCs w:val="20"/>
        </w:rPr>
        <w:t>T</w:t>
      </w:r>
      <w:r w:rsidRPr="009F74C5">
        <w:rPr>
          <w:rFonts w:ascii="Arial" w:eastAsia="Times New Roman" w:hAnsi="Arial" w:cs="Arial"/>
          <w:i/>
          <w:iCs/>
          <w:sz w:val="14"/>
          <w:szCs w:val="14"/>
          <w:vertAlign w:val="subscript"/>
        </w:rPr>
        <w:t>L-G</w:t>
      </w:r>
      <w:r w:rsidRPr="009F74C5">
        <w:rPr>
          <w:rFonts w:ascii="Arial" w:eastAsia="Times New Roman" w:hAnsi="Arial" w:cs="Arial"/>
          <w:sz w:val="20"/>
          <w:szCs w:val="20"/>
        </w:rPr>
        <w:t xml:space="preserve"> + 0.45.</w:t>
      </w:r>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 xml:space="preserve">For phase-to-phase exposures, the employer uses this value as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in Equation 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Provisions for inadvertent movement.</w:t>
      </w:r>
      <w:r w:rsidRPr="009F74C5">
        <w:rPr>
          <w:rFonts w:ascii="Arial" w:eastAsia="Times New Roman" w:hAnsi="Arial" w:cs="Arial"/>
          <w:sz w:val="20"/>
          <w:szCs w:val="20"/>
        </w:rPr>
        <w:t xml:space="preserve"> The minimum approach distance must include an “adder” to compensate for the inadvertent movement of the worker relative to an energized part or the movement of the part relative to the worker. This “adder” must account for this possible inadvertent movement and provide the worker with a comfortable and safe zone in which to work. Employers must add the distance for inadvertent movement (called the “ergonomic component of the minimum approach distance”) to the electrical component to determine the total safe minimum approach distances used in live-line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Occupational Safety and Health Administration based the ergonomic component of the minimum approach distance on response time-distance analysis. This technique uses an estimate of the total response time to a hazardous incident and converts that time to the distance traveled. For example, the driver of a car takes a given amount of time to respond to a “stimulus” and stop the vehicle. The elapsed time involved results in the car's traveling some distance before coming to a complete stop. This distance depends on the speed of the car at the time the stimulus appears and the reaction time of the driver.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 the case of live-line work, the employee must first perceive that he or she is approaching the danger zone. Then, the worker responds to the danger and must decelerate and stop all motion toward the energized part. During the time it takes to stop, the employee will travel some distance. This is the distance the employer must add to the electrical component of the minimum approach distance to obtain the total safe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At voltages from 751 volts to 72.5 kilovolts,</w:t>
      </w:r>
      <w:r w:rsidRPr="009F74C5">
        <w:rPr>
          <w:rFonts w:ascii="Arial" w:eastAsia="Times New Roman" w:hAnsi="Arial" w:cs="Arial"/>
          <w:sz w:val="14"/>
          <w:szCs w:val="14"/>
          <w:vertAlign w:val="superscript"/>
        </w:rPr>
        <w:t>5</w:t>
      </w:r>
      <w:r w:rsidRPr="009F74C5">
        <w:rPr>
          <w:rFonts w:ascii="Arial" w:eastAsia="Times New Roman" w:hAnsi="Arial" w:cs="Arial"/>
          <w:sz w:val="20"/>
          <w:szCs w:val="20"/>
        </w:rPr>
        <w:t xml:space="preserve"> the electrical component of the minimum approach distance is smaller than the ergonomic component. At 72.5 kilovolts, the electrical component is only a little more than 0.3 meters (1 foot). An ergonomic component of the minimum approach distance must provide for all the worker's unanticipated movements. At these voltages, workers generally use rubber insulating gloves; however, these gloves protect only a worker's hands and arms. Therefore, the energized object must be at a safe approach distance to protect the worker's face. In this case, 0.61 meters (2 feet) is a sufficient and practical ergonomic component of the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5</w:t>
      </w:r>
      <w:r w:rsidRPr="009F74C5">
        <w:rPr>
          <w:rFonts w:ascii="Arial" w:eastAsia="Times New Roman" w:hAnsi="Arial" w:cs="Arial"/>
          <w:sz w:val="18"/>
          <w:szCs w:val="18"/>
        </w:rPr>
        <w:t>For voltages of 50 to 300 volts, Table V-2 specifies a minimum approach distance of “avoid contact.” The minimum approach distance for this voltage range contains neither an electrical component nor an ergonomic component.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For voltages between 72.6 and 800 kilovolts, employees must use different work practices during energized line work. Generally, employees use live-line tools (hot sticks) to perform work on energized equipment. These tools, by design, keep the energized part at a constant distance from the employee and, thus, maintain the appropriate minimum approach distance automatically.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location of the worker and the type of work methods the worker is using also influence the length of the ergonomic component of the minimum approach distance. In this higher voltage range, the employees use work methods that more tightly control their movements than when the workers perform work using rubber insulating gloves. The worker, therefore, is farther from the energized line or equipment and must be more precise in his or her movements just to perform the work. For these reasons, this subpart adopts an ergonomic component of the minimum approach distance of 0.31 m (1 foot) for voltages between 72.6 and 800 kilovolts.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Table 4 summarizes the ergonomic component of the minimum approach distance for various voltage ranges.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4—Ergonomic Component of Minimum Approach Distance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6332"/>
        <w:gridCol w:w="1761"/>
        <w:gridCol w:w="1291"/>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 (kV)</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Distance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0.301 to 0.750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0.751 to 72.5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800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w:t>
      </w:r>
      <w:r w:rsidRPr="009F74C5">
        <w:rPr>
          <w:rFonts w:ascii="Arial" w:eastAsia="Times New Roman" w:hAnsi="Arial" w:cs="Arial"/>
          <w:sz w:val="20"/>
          <w:szCs w:val="20"/>
        </w:rPr>
        <w:t>: The employer must add this distance to the electrical component of the minimum approach distance to obtain the full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ergonomic component of the minimum approach distance accounts for errors in maintaining the minimum approach distance (which might occur, for example, if an employee misjudges the length of a conductive object he or she is holding), and for errors in judging the minimum approach distance. The ergonomic component also accounts for inadvertent movements by the employee, such as slipping. In contrast, the working position selected to properly maintain the minimum approach distance must account for all of an employee's reasonably likely movements and still permit the employee to adhere to the applicable minimum approach distance. (See Figure 1.) Reasonably likely movements include an employee's adjustments to tools, equipment, and working positions and all movements needed to perform the work. For example, the employee should be able to perform all of the following actions without straying into the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Adjust his or her hardhat,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maneuver a tool onto an energized part with a reasonable amount of overreaching or underreaching,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reach for and handle tools, material, and equipment passed to him or her,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adjust tools, and replace components on them, when necessary during the work procedure.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training of qualified employees required under §1926.950, and the job planning and briefing required under §1926.952, must address selection of a proper working position.</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50701603" wp14:editId="770952B8">
            <wp:extent cx="4084320" cy="5638800"/>
            <wp:effectExtent l="0" t="0" r="0" b="0"/>
            <wp:docPr id="182" name="Picture 182" descr="eCFR graphic er11ap14.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CFR graphic er11ap14.03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4320" cy="56388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62"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Miscellaneous correction factors.</w:t>
      </w:r>
      <w:r w:rsidRPr="009F74C5">
        <w:rPr>
          <w:rFonts w:ascii="Arial" w:eastAsia="Times New Roman" w:hAnsi="Arial" w:cs="Arial"/>
          <w:sz w:val="20"/>
          <w:szCs w:val="20"/>
        </w:rPr>
        <w:t xml:space="preserve"> Changes in the air medium that forms the insulation influences the strength of an air gap. A brief discussion of each factor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Dielectric strength of air.</w:t>
      </w:r>
      <w:r w:rsidRPr="009F74C5">
        <w:rPr>
          <w:rFonts w:ascii="Arial" w:eastAsia="Times New Roman" w:hAnsi="Arial" w:cs="Arial"/>
          <w:sz w:val="20"/>
          <w:szCs w:val="20"/>
        </w:rPr>
        <w:t xml:space="preserve"> The dielectric strength of air in a uniform electric field at standard atmospheric conditions is approximately 3 kilovolts per millimeter.</w:t>
      </w:r>
      <w:r w:rsidRPr="009F74C5">
        <w:rPr>
          <w:rFonts w:ascii="Arial" w:eastAsia="Times New Roman" w:hAnsi="Arial" w:cs="Arial"/>
          <w:sz w:val="14"/>
          <w:szCs w:val="14"/>
          <w:vertAlign w:val="superscript"/>
        </w:rPr>
        <w:t>6</w:t>
      </w:r>
      <w:r w:rsidRPr="009F74C5">
        <w:rPr>
          <w:rFonts w:ascii="Arial" w:eastAsia="Times New Roman" w:hAnsi="Arial" w:cs="Arial"/>
          <w:sz w:val="20"/>
          <w:szCs w:val="20"/>
        </w:rPr>
        <w:t xml:space="preserve"> The pressure, temperature, and humidity of the air, the shape, dimensions, and separation of the electrodes, and the characteristics of the applied voltage (wave shape) affect the disruptive gradient.</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6</w:t>
      </w:r>
      <w:r w:rsidRPr="009F74C5">
        <w:rPr>
          <w:rFonts w:ascii="Arial" w:eastAsia="Times New Roman" w:hAnsi="Arial" w:cs="Arial"/>
          <w:sz w:val="18"/>
          <w:szCs w:val="18"/>
        </w:rPr>
        <w:t>For the purposes of estimating arc length, Subpart V generally assumes a more conservative dielectric strength of 10 kilovolts per 25.4 millimeters, consistent with assumptions made in consensus standards such as the National Electrical Safety Code (IEEE C2-2012). The more conservative value accounts for variables such as electrode shape, wave shape, and a certain amount of overvoltage.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Atmospheric effect.</w:t>
      </w:r>
      <w:r w:rsidRPr="009F74C5">
        <w:rPr>
          <w:rFonts w:ascii="Arial" w:eastAsia="Times New Roman" w:hAnsi="Arial" w:cs="Arial"/>
          <w:sz w:val="20"/>
          <w:szCs w:val="20"/>
        </w:rPr>
        <w:t xml:space="preserve"> The empirically determined electrical strength of a given gap is normally applicable at standard atmospheric conditions (20 °C, 101.3 kilopascals, 11 grams/cubic centimeter humidity). An increase in the density (humidity) of the air inhibits sparkover for a given air gap. The combination of temperature and air pressure that results in the lowest gap sparkover voltage is high temperature and low pressure. This combination of conditions is not likely to occur. Low air pressure, generally associated with high humidity, causes increased electrical strength. An average air pressure generally correlates with low humidity. Hot and dry working conditions normally result in reduced electrical strength. The equations for minimum approach distances in Table V-2 assume standard atmospheric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Altitude.</w:t>
      </w:r>
      <w:r w:rsidRPr="009F74C5">
        <w:rPr>
          <w:rFonts w:ascii="Arial" w:eastAsia="Times New Roman" w:hAnsi="Arial" w:cs="Arial"/>
          <w:sz w:val="20"/>
          <w:szCs w:val="20"/>
        </w:rPr>
        <w:t xml:space="preserve"> The reduced air pressure at high altitudes causes a reduction in the electrical strength of an air gap. An employer must increase the minimum approach distance by about 3 percent per 300 meters (1,000 feet) of increased altitude for altitudes above 900 meters (3,000 feet). Table V-4 specifies the altitude correction factor that the employer must use in calculating minimum approach distances.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IV. Determining Minimum Approach Distances</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A. Factors Affecting Voltage Stress at the Worksite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System voltage (nominal).</w:t>
      </w:r>
      <w:r w:rsidRPr="009F74C5">
        <w:rPr>
          <w:rFonts w:ascii="Arial" w:eastAsia="Times New Roman" w:hAnsi="Arial" w:cs="Arial"/>
          <w:sz w:val="20"/>
          <w:szCs w:val="20"/>
        </w:rPr>
        <w:t xml:space="preserve"> The nominal system voltage range determines the voltage for purposes of calculating minimum approach distances. The employer selects the range in which the nominal system voltage falls, as given in the relevant table, and uses the highest value within that range in per-unit calculations.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Transient overvoltages.</w:t>
      </w:r>
      <w:r w:rsidRPr="009F74C5">
        <w:rPr>
          <w:rFonts w:ascii="Arial" w:eastAsia="Times New Roman" w:hAnsi="Arial" w:cs="Arial"/>
          <w:sz w:val="20"/>
          <w:szCs w:val="20"/>
        </w:rPr>
        <w:t xml:space="preserve"> Operation of switches or circuit breakers, a fault on a line or circuit or on an adjacent circuit, and similar activities may generate transient overvoltages on an electrical system. Each overvoltage has an associated transient voltage wave shape. The wave shape arriving at the site and its magnitude vary considerably.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 developing requirements for minimum approach distances, the Occupational Safety and Health Administration considered the most common wave shapes and the magnitude of transient overvoltages found on electric power generation, transmission, and distribution systems. The equations in Table V-2 for minimum approach distances use per-unit maximum transient overvoltages, which are relative to the nominal maximum voltage of the system. For example, a maximum transient overvoltage value of 3.0 per unit indicates that the highest transient overvoltage is 3.0 times the nominal maximum system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Typical magnitude of overvoltages.</w:t>
      </w:r>
      <w:r w:rsidRPr="009F74C5">
        <w:rPr>
          <w:rFonts w:ascii="Arial" w:eastAsia="Times New Roman" w:hAnsi="Arial" w:cs="Arial"/>
          <w:sz w:val="20"/>
          <w:szCs w:val="20"/>
        </w:rPr>
        <w:t xml:space="preserve"> Table 5 lists the magnitude of typical transient overvoltages.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5—Magnitude of Typical Transient Overvoltages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7719"/>
        <w:gridCol w:w="1665"/>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Cause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Magnitude</w:t>
            </w:r>
            <w:r w:rsidRPr="009F74C5">
              <w:rPr>
                <w:rFonts w:ascii="Arial" w:eastAsia="Times New Roman" w:hAnsi="Arial" w:cs="Arial"/>
                <w:b/>
                <w:bCs/>
                <w:sz w:val="20"/>
                <w:szCs w:val="20"/>
              </w:rPr>
              <w:br/>
              <w:t>(per unit)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Energized 200-mile line without closing resistors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Energized 200-mile line with one-step closing resistor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Energized 200-mile line with multistep resistor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Reclosing with trapped charge one-step resistor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Opening surge with single restrike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Fault initiation unfaulted phase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Fault initiation adjacent circuit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Fault clearing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 to 1.9</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Standard deviation—air-gap withstand.</w:t>
      </w:r>
      <w:r w:rsidRPr="009F74C5">
        <w:rPr>
          <w:rFonts w:ascii="Arial" w:eastAsia="Times New Roman" w:hAnsi="Arial" w:cs="Arial"/>
          <w:sz w:val="20"/>
          <w:szCs w:val="20"/>
        </w:rPr>
        <w:t xml:space="preserve"> For each air gap length under the same atmospheric conditions, there is a statistical variation in the breakdown voltage. The probability of breakdown against voltage has a normal (Gaussian) distribution. The standard deviation of this distribution varies with the wave shape, gap geometry, and atmospheric conditions. The withstand voltage of the air gap is three standard deviations (3σ) below the critical sparkover voltage. (The critical sparkover voltage is the crest value of the impulse wave that, under specified conditions, causes sparkover 50 percent of the time. An impulse wave of three standard deviations below this value, that is, the withstand voltage, has a probability of sparkover of approximately 1 in 1,000.)</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Broken Insulators.</w:t>
      </w:r>
      <w:r w:rsidRPr="009F74C5">
        <w:rPr>
          <w:rFonts w:ascii="Arial" w:eastAsia="Times New Roman" w:hAnsi="Arial" w:cs="Arial"/>
          <w:sz w:val="20"/>
          <w:szCs w:val="20"/>
        </w:rPr>
        <w:t xml:space="preserve"> Tests show reductions in the insulation strength of insulator strings with broken skirts. Broken units may lose up to 70 percent of their withstand capacity. Because an employer cannot determine the insulating capability of a broken unit without testing it, the employer must consider damaged units in an insulator to have no insulating value. Additionally, the presence of a live-line tool alongside an insulator string with broken units may further reduce the overall insulating strength. The number of good units that must be present in a string for it to be “insulated” as defined by §1926.968 depends on the maximum overvoltage possible at the worksite.</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B. Minimum Approach Distances Based on Known, Maximum-Anticipated Per-Unit Transient Overvoltages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Determining the minimum approach distance for AC systems.</w:t>
      </w:r>
      <w:r w:rsidRPr="009F74C5">
        <w:rPr>
          <w:rFonts w:ascii="Arial" w:eastAsia="Times New Roman" w:hAnsi="Arial" w:cs="Arial"/>
          <w:sz w:val="20"/>
          <w:szCs w:val="20"/>
        </w:rPr>
        <w:t xml:space="preserve"> Under §1926.960(c)(1)(ii), the employer must determine the maximum anticipated per-unit transient overvoltage, phase-to-ground, through an engineering analysis or must assume a maximum anticipated per-unit transient overvoltage, phase-to-ground, in accordance with Table V-8. When the employer conducts an engineering analysis of the system and determines that the maximum transient overvoltage is lower than specified by Table V-8, the employer must ensure that any conditions assumed in the analysis, for example, that employees block reclosing on a circuit or install portable protective gaps, are present during energized work. To ensure that these conditions are present, the employer may need to institute new live-work procedures reflecting the conditions and limitations set by the engineering analysis.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Calculation of reduced approach distance values.</w:t>
      </w:r>
      <w:r w:rsidRPr="009F74C5">
        <w:rPr>
          <w:rFonts w:ascii="Arial" w:eastAsia="Times New Roman" w:hAnsi="Arial" w:cs="Arial"/>
          <w:sz w:val="20"/>
          <w:szCs w:val="20"/>
        </w:rPr>
        <w:t xml:space="preserve"> An employer may take the following steps to reduce minimum approach distances when the maximum transient overvoltage on the system (that is, the maximum transient overvoltage without additional steps to control overvoltages) produces unacceptably large minimum approach distances: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1.</w:t>
      </w:r>
      <w:r w:rsidRPr="009F74C5">
        <w:rPr>
          <w:rFonts w:ascii="Arial" w:eastAsia="Times New Roman" w:hAnsi="Arial" w:cs="Arial"/>
          <w:sz w:val="20"/>
          <w:szCs w:val="20"/>
        </w:rPr>
        <w:t xml:space="preserve"> Determine the maximum voltage (with respect to a given nominal voltage range) for the energized 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2.</w:t>
      </w:r>
      <w:r w:rsidRPr="009F74C5">
        <w:rPr>
          <w:rFonts w:ascii="Arial" w:eastAsia="Times New Roman" w:hAnsi="Arial" w:cs="Arial"/>
          <w:sz w:val="20"/>
          <w:szCs w:val="20"/>
        </w:rPr>
        <w:t xml:space="preserve"> Determine the technique to use to control the maximum transient overvoltage. (See paragraphs IV.C and IV.D of this appendix.) Determine the maximum transient overvoltage that can exist at the worksite with that form of control in place and with a confidence level of 3σ . This voltage is the withstand voltage for the purpose of calculating the appropriate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3.</w:t>
      </w:r>
      <w:r w:rsidRPr="009F74C5">
        <w:rPr>
          <w:rFonts w:ascii="Arial" w:eastAsia="Times New Roman" w:hAnsi="Arial" w:cs="Arial"/>
          <w:sz w:val="20"/>
          <w:szCs w:val="20"/>
        </w:rPr>
        <w:t xml:space="preserve"> Direct employees to implement procedures to ensure that the control technique is in effect during the course of the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4.</w:t>
      </w:r>
      <w:r w:rsidRPr="009F74C5">
        <w:rPr>
          <w:rFonts w:ascii="Arial" w:eastAsia="Times New Roman" w:hAnsi="Arial" w:cs="Arial"/>
          <w:sz w:val="20"/>
          <w:szCs w:val="20"/>
        </w:rPr>
        <w:t xml:space="preserve"> Using the new value of transient overvoltage in per unit, calculate the required minimum approach distance from Table V-2.</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C. Methods of Controlling Possible Transient Overvoltage Stress Found on a System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1. </w:t>
      </w:r>
      <w:r w:rsidRPr="009F74C5">
        <w:rPr>
          <w:rFonts w:ascii="Arial" w:eastAsia="Times New Roman" w:hAnsi="Arial" w:cs="Arial"/>
          <w:i/>
          <w:iCs/>
          <w:sz w:val="20"/>
          <w:szCs w:val="20"/>
        </w:rPr>
        <w:t>Introduction.</w:t>
      </w:r>
      <w:r w:rsidRPr="009F74C5">
        <w:rPr>
          <w:rFonts w:ascii="Arial" w:eastAsia="Times New Roman" w:hAnsi="Arial" w:cs="Arial"/>
          <w:sz w:val="20"/>
          <w:szCs w:val="20"/>
        </w:rPr>
        <w:t xml:space="preserve"> There are several means of controlling overvoltages that occur on transmission systems. For example, the employer can modify the operation of circuit breakers or other switching devices to reduce switching transient overvoltages. Alternatively, the employer can hold the overvoltage to an acceptable level by installing surge arresters or portable protective gaps on the system. In addition, the employer can change the transmission system to minimize the effect of switching operations. Section 4.8 of IEEE Std 516-2009 describes various ways of controlling, and thereby reducing, maximum transient overvoltages.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Operation of circuit breakers.</w:t>
      </w:r>
      <w:r w:rsidRPr="009F74C5">
        <w:rPr>
          <w:rFonts w:ascii="Arial" w:eastAsia="Times New Roman" w:hAnsi="Arial" w:cs="Arial"/>
          <w:sz w:val="14"/>
          <w:szCs w:val="14"/>
          <w:vertAlign w:val="superscript"/>
        </w:rPr>
        <w:t>7</w:t>
      </w:r>
      <w:r w:rsidRPr="009F74C5">
        <w:rPr>
          <w:rFonts w:ascii="Arial" w:eastAsia="Times New Roman" w:hAnsi="Arial" w:cs="Arial"/>
          <w:sz w:val="20"/>
          <w:szCs w:val="20"/>
        </w:rPr>
        <w:t xml:space="preserve"> The maximum transient overvoltage that can reach the worksite is often the result of switching on the line on which employees are working. Disabling automatic reclosing during energized line work, so that the line will not be reenergized after being opened for any reason, limits the maximum switching surge overvoltage to the larger of the opening surge or the greatest possible fault-generated surge, provided that the devices (for example, insertion resistors) are operable and will function to limit the transient overvoltage and that circuit breaker restrikes do not occur. The employer must ensure the proper functioning of insertion resistors and other overvoltage-limiting devices when the employer's engineering analysis assumes their proper operation to limit the overvoltage level. If the employer cannot disable the reclosing feature (because of system operating conditions), other methods of controlling the switching surge level may be necessary.</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7</w:t>
      </w:r>
      <w:r w:rsidRPr="009F74C5">
        <w:rPr>
          <w:rFonts w:ascii="Arial" w:eastAsia="Times New Roman" w:hAnsi="Arial" w:cs="Arial"/>
          <w:sz w:val="18"/>
          <w:szCs w:val="18"/>
        </w:rPr>
        <w:t>The detailed design of a circuit interrupter, such as the design of the contacts, resistor insertion, and breaker timing control, are beyond the scope of this appendix. The design of the system generally accounts for these features. This appendix only discusses features that can limit the maximum switching transient overvoltage on a system.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Transient surges on an adjacent line, particularly for double circuit construction, may cause a significant overvoltage on the line on which employees are working. The employer's engineering analysis must account for coupling to adjacent 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Surge arresters.</w:t>
      </w:r>
      <w:r w:rsidRPr="009F74C5">
        <w:rPr>
          <w:rFonts w:ascii="Arial" w:eastAsia="Times New Roman" w:hAnsi="Arial" w:cs="Arial"/>
          <w:sz w:val="20"/>
          <w:szCs w:val="20"/>
        </w:rPr>
        <w:t xml:space="preserve"> The use of modern surge arresters allows a reduction in the basic impulse-insulation levels of much transmission system equipment. The primary function of early arresters was to protect the system insulation from the effects of lightning. Modern arresters not only dissipate lightning-caused transients, but may also control many other system transients caused by switching or faults.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employer may use properly designed arresters to control transient overvoltages along a transmission line and thereby reduce the requisite length of the insulator string and possibly the maximum transient overvoltage on the line.</w:t>
      </w:r>
      <w:r w:rsidRPr="009F74C5">
        <w:rPr>
          <w:rFonts w:ascii="Arial" w:eastAsia="Times New Roman" w:hAnsi="Arial" w:cs="Arial"/>
          <w:sz w:val="14"/>
          <w:szCs w:val="14"/>
          <w:vertAlign w:val="superscript"/>
        </w:rPr>
        <w:t>8</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8</w:t>
      </w:r>
      <w:r w:rsidRPr="009F74C5">
        <w:rPr>
          <w:rFonts w:ascii="Arial" w:eastAsia="Times New Roman" w:hAnsi="Arial" w:cs="Arial"/>
          <w:sz w:val="18"/>
          <w:szCs w:val="18"/>
        </w:rPr>
        <w:t>Surge arrester application is beyond the scope of this appendix. However, if the employer installs the arrester near the work site, the application would be similar to the protective gaps discussed in paragraph IV.D of this appendix.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Switching Restrictions.</w:t>
      </w:r>
      <w:r w:rsidRPr="009F74C5">
        <w:rPr>
          <w:rFonts w:ascii="Arial" w:eastAsia="Times New Roman" w:hAnsi="Arial" w:cs="Arial"/>
          <w:sz w:val="20"/>
          <w:szCs w:val="20"/>
        </w:rPr>
        <w:t xml:space="preserve"> Another form of overvoltage control involves establishing switching restrictions, whereby the employer prohibits the operation of circuit breakers until certain system conditions are present. The employer restricts switching by using a tagging system, similar to that used for a permit, except that the common term used for this activity is a “hold-off” or “restriction.” These terms indicate that the restriction does not prevent operation, but only modifies the operation during the live-work activity.</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D. Minimum Approach Distance Based on Control of Maximum Transient Overvoltage at the Worksite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When the employer institutes control of maximum transient overvoltage at the worksite by installing portable protective gaps, the employer may calculate the minimum approach distance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Step 1.</w:t>
      </w:r>
      <w:r w:rsidRPr="009F74C5">
        <w:rPr>
          <w:rFonts w:ascii="Arial" w:eastAsia="Times New Roman" w:hAnsi="Arial" w:cs="Arial"/>
          <w:sz w:val="20"/>
          <w:szCs w:val="20"/>
        </w:rPr>
        <w:t xml:space="preserve"> Select the appropriate withstand voltage for the protective gap based on system requirements and an acceptable probability of gap sparkover.</w:t>
      </w:r>
      <w:r w:rsidRPr="009F74C5">
        <w:rPr>
          <w:rFonts w:ascii="Arial" w:eastAsia="Times New Roman" w:hAnsi="Arial" w:cs="Arial"/>
          <w:sz w:val="14"/>
          <w:szCs w:val="14"/>
          <w:vertAlign w:val="superscript"/>
        </w:rPr>
        <w:t>9</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9</w:t>
      </w:r>
      <w:r w:rsidRPr="009F74C5">
        <w:rPr>
          <w:rFonts w:ascii="Arial" w:eastAsia="Times New Roman" w:hAnsi="Arial" w:cs="Arial"/>
          <w:sz w:val="18"/>
          <w:szCs w:val="18"/>
        </w:rPr>
        <w:t>The employer should check the withstand voltage to ensure that it results in a probability of gap flashover that is acceptable from a system outage perspective. (In other words, a gap sparkover will produce a system outage. The employer should determine whether such an outage will impact overall system performance to an acceptable degree.) In general, the withstand voltage should be at least 1.25 times the maximum crest operating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2.</w:t>
      </w:r>
      <w:r w:rsidRPr="009F74C5">
        <w:rPr>
          <w:rFonts w:ascii="Arial" w:eastAsia="Times New Roman" w:hAnsi="Arial" w:cs="Arial"/>
          <w:sz w:val="20"/>
          <w:szCs w:val="20"/>
        </w:rPr>
        <w:t xml:space="preserve"> Determine a gap distance that provides a withstand voltage</w:t>
      </w:r>
      <w:r w:rsidRPr="009F74C5">
        <w:rPr>
          <w:rFonts w:ascii="Arial" w:eastAsia="Times New Roman" w:hAnsi="Arial" w:cs="Arial"/>
          <w:sz w:val="14"/>
          <w:szCs w:val="14"/>
          <w:vertAlign w:val="superscript"/>
        </w:rPr>
        <w:t>10</w:t>
      </w:r>
      <w:r w:rsidRPr="009F74C5">
        <w:rPr>
          <w:rFonts w:ascii="Arial" w:eastAsia="Times New Roman" w:hAnsi="Arial" w:cs="Arial"/>
          <w:sz w:val="20"/>
          <w:szCs w:val="20"/>
        </w:rPr>
        <w:t xml:space="preserve"> greater than or equal to the one selected in the first step.</w:t>
      </w:r>
      <w:r w:rsidRPr="009F74C5">
        <w:rPr>
          <w:rFonts w:ascii="Arial" w:eastAsia="Times New Roman" w:hAnsi="Arial" w:cs="Arial"/>
          <w:sz w:val="14"/>
          <w:szCs w:val="14"/>
          <w:vertAlign w:val="superscript"/>
        </w:rPr>
        <w:t>11</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10</w:t>
      </w:r>
      <w:r w:rsidRPr="009F74C5">
        <w:rPr>
          <w:rFonts w:ascii="Arial" w:eastAsia="Times New Roman" w:hAnsi="Arial" w:cs="Arial"/>
          <w:sz w:val="18"/>
          <w:szCs w:val="18"/>
        </w:rPr>
        <w:t>The manufacturer of the gap provides, based on test data, the critical sparkover voltage for each gap spacing (for example, a critical sparkover voltage of 665 kilovolts for a gap spacing of 1.2 meters). The withstand voltage for the gap is equal to 85 percent of its critical sparkover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11</w:t>
      </w:r>
      <w:r w:rsidRPr="009F74C5">
        <w:rPr>
          <w:rFonts w:ascii="Arial" w:eastAsia="Times New Roman" w:hAnsi="Arial" w:cs="Arial"/>
          <w:sz w:val="18"/>
          <w:szCs w:val="18"/>
        </w:rPr>
        <w:t>Switch steps 1 and 2 if the length of the protective gap is known.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3.</w:t>
      </w:r>
      <w:r w:rsidRPr="009F74C5">
        <w:rPr>
          <w:rFonts w:ascii="Arial" w:eastAsia="Times New Roman" w:hAnsi="Arial" w:cs="Arial"/>
          <w:sz w:val="20"/>
          <w:szCs w:val="20"/>
        </w:rPr>
        <w:t xml:space="preserve"> Use 110 percent of the gap's critical sparkover voltage to determine the phase-to-ground peak voltage at gap sparkover (</w:t>
      </w:r>
      <w:r w:rsidRPr="009F74C5">
        <w:rPr>
          <w:rFonts w:ascii="Arial" w:eastAsia="Times New Roman" w:hAnsi="Arial" w:cs="Arial"/>
          <w:i/>
          <w:iCs/>
          <w:sz w:val="20"/>
          <w:szCs w:val="20"/>
        </w:rPr>
        <w:t>V</w:t>
      </w:r>
      <w:r w:rsidRPr="009F74C5">
        <w:rPr>
          <w:rFonts w:ascii="Arial" w:eastAsia="Times New Roman" w:hAnsi="Arial" w:cs="Arial"/>
          <w:i/>
          <w:iCs/>
          <w:sz w:val="14"/>
          <w:szCs w:val="14"/>
          <w:vertAlign w:val="subscript"/>
        </w:rPr>
        <w:t>PPG Peak</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4.</w:t>
      </w:r>
      <w:r w:rsidRPr="009F74C5">
        <w:rPr>
          <w:rFonts w:ascii="Arial" w:eastAsia="Times New Roman" w:hAnsi="Arial" w:cs="Arial"/>
          <w:sz w:val="20"/>
          <w:szCs w:val="20"/>
        </w:rPr>
        <w:t xml:space="preserve"> Determine the maximum transient overvoltage, phase-to-ground, at the worksite from the following formula:</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3BB750AF" wp14:editId="029F1C60">
            <wp:extent cx="579120" cy="259080"/>
            <wp:effectExtent l="0" t="0" r="0" b="7620"/>
            <wp:docPr id="181" name="Picture 181" descr="eCFR graphic er11ap14.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CFR graphic er11ap14.03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64"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5.</w:t>
      </w:r>
      <w:r w:rsidRPr="009F74C5">
        <w:rPr>
          <w:rFonts w:ascii="Arial" w:eastAsia="Times New Roman" w:hAnsi="Arial" w:cs="Arial"/>
          <w:sz w:val="20"/>
          <w:szCs w:val="20"/>
        </w:rPr>
        <w:t xml:space="preserve"> Use this value of </w:t>
      </w:r>
      <w:r w:rsidRPr="009F74C5">
        <w:rPr>
          <w:rFonts w:ascii="Arial" w:eastAsia="Times New Roman" w:hAnsi="Arial" w:cs="Arial"/>
          <w:i/>
          <w:iCs/>
          <w:sz w:val="20"/>
          <w:szCs w:val="20"/>
        </w:rPr>
        <w:t>T</w:t>
      </w:r>
      <w:r w:rsidRPr="009F74C5">
        <w:rPr>
          <w:rFonts w:ascii="Arial" w:eastAsia="Times New Roman" w:hAnsi="Arial" w:cs="Arial"/>
          <w:sz w:val="14"/>
          <w:szCs w:val="14"/>
          <w:vertAlign w:val="superscript"/>
        </w:rPr>
        <w:t>12</w:t>
      </w:r>
      <w:r w:rsidRPr="009F74C5">
        <w:rPr>
          <w:rFonts w:ascii="Arial" w:eastAsia="Times New Roman" w:hAnsi="Arial" w:cs="Arial"/>
          <w:sz w:val="20"/>
          <w:szCs w:val="20"/>
        </w:rPr>
        <w:t xml:space="preserve"> in the equation in Table V-2 to obtain the minimum approach distance. If the worksite is no more than 900 meters (3,000 feet) above sea level, the employer may use this value of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to determine the minimum approach distance from Table 7 through Table 14.</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12</w:t>
      </w:r>
      <w:r w:rsidRPr="009F74C5">
        <w:rPr>
          <w:rFonts w:ascii="Arial" w:eastAsia="Times New Roman" w:hAnsi="Arial" w:cs="Arial"/>
          <w:sz w:val="18"/>
          <w:szCs w:val="18"/>
        </w:rPr>
        <w:t xml:space="preserve">IEEE Std 516-2009 states that most employers add 0.2 to the calculated value of </w:t>
      </w:r>
      <w:r w:rsidRPr="009F74C5">
        <w:rPr>
          <w:rFonts w:ascii="Arial" w:eastAsia="Times New Roman" w:hAnsi="Arial" w:cs="Arial"/>
          <w:i/>
          <w:iCs/>
          <w:sz w:val="18"/>
          <w:szCs w:val="18"/>
        </w:rPr>
        <w:t>T</w:t>
      </w:r>
      <w:r w:rsidRPr="009F74C5">
        <w:rPr>
          <w:rFonts w:ascii="Arial" w:eastAsia="Times New Roman" w:hAnsi="Arial" w:cs="Arial"/>
          <w:sz w:val="18"/>
          <w:szCs w:val="18"/>
        </w:rPr>
        <w:t xml:space="preserve"> as an additional safety factor.</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All rounding must be to the next higher value (that is, always round up).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Sample protective gap calculations.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Problem:</w:t>
      </w:r>
      <w:r w:rsidRPr="009F74C5">
        <w:rPr>
          <w:rFonts w:ascii="Arial" w:eastAsia="Times New Roman" w:hAnsi="Arial" w:cs="Arial"/>
          <w:sz w:val="20"/>
          <w:szCs w:val="20"/>
        </w:rPr>
        <w:t xml:space="preserve"> Employees are to perform work on a 500-kilovolt transmission line at sea level that is subject to transient overvoltages of 2.4 p.u. The maximum operating voltage of the line is 550 kilovolts. Determine the length of the protective gap that will provide the minimum practical safe approach distance. Also, determine what that minimum approach distance is.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1.</w:t>
      </w:r>
      <w:r w:rsidRPr="009F74C5">
        <w:rPr>
          <w:rFonts w:ascii="Arial" w:eastAsia="Times New Roman" w:hAnsi="Arial" w:cs="Arial"/>
          <w:sz w:val="20"/>
          <w:szCs w:val="20"/>
        </w:rPr>
        <w:t xml:space="preserve"> Calculate the smallest practical maximum transient overvoltage (1.25 times the crest phase-to-ground voltage):</w:t>
      </w:r>
      <w:r w:rsidRPr="009F74C5">
        <w:rPr>
          <w:rFonts w:ascii="Arial" w:eastAsia="Times New Roman" w:hAnsi="Arial" w:cs="Arial"/>
          <w:sz w:val="14"/>
          <w:szCs w:val="14"/>
          <w:vertAlign w:val="superscript"/>
        </w:rPr>
        <w:t>13</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13</w:t>
      </w:r>
      <w:r w:rsidRPr="009F74C5">
        <w:rPr>
          <w:rFonts w:ascii="Arial" w:eastAsia="Times New Roman" w:hAnsi="Arial" w:cs="Arial"/>
          <w:sz w:val="18"/>
          <w:szCs w:val="18"/>
        </w:rPr>
        <w:t>To eliminate sparkovers due to minor system disturbances, the employer should use a withstand voltage no lower than 1.25 p.u. Note that this is a practical, or operational, consideration only. It may be feasible for the employer to use lower values of withstand voltage.</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D103756" wp14:editId="6227BB61">
            <wp:extent cx="1287780" cy="297180"/>
            <wp:effectExtent l="0" t="0" r="7620" b="7620"/>
            <wp:docPr id="180" name="Picture 180" descr="eCFR graphic er11ap14.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CFR graphic er11ap14.03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7780" cy="2971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66"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This value equals the withstand voltage of the protective gap.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2.</w:t>
      </w:r>
      <w:r w:rsidRPr="009F74C5">
        <w:rPr>
          <w:rFonts w:ascii="Arial" w:eastAsia="Times New Roman" w:hAnsi="Arial" w:cs="Arial"/>
          <w:sz w:val="20"/>
          <w:szCs w:val="20"/>
        </w:rPr>
        <w:t xml:space="preserve"> Using test data for a particular protective gap, select a gap that has a critical sparkover voltage greater than or equal to:</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561</w:t>
      </w:r>
      <w:r w:rsidRPr="009F74C5">
        <w:rPr>
          <w:rFonts w:ascii="Arial" w:eastAsia="Times New Roman" w:hAnsi="Arial" w:cs="Arial"/>
          <w:i/>
          <w:iCs/>
          <w:sz w:val="20"/>
          <w:szCs w:val="20"/>
        </w:rPr>
        <w:t>kV</w:t>
      </w:r>
      <w:r w:rsidRPr="009F74C5">
        <w:rPr>
          <w:rFonts w:ascii="Arial" w:eastAsia="Times New Roman" w:hAnsi="Arial" w:cs="Arial"/>
          <w:sz w:val="20"/>
          <w:szCs w:val="20"/>
        </w:rPr>
        <w:t xml:space="preserve"> ÷ 0.85 = 660</w:t>
      </w:r>
      <w:r w:rsidRPr="009F74C5">
        <w:rPr>
          <w:rFonts w:ascii="Arial" w:eastAsia="Times New Roman" w:hAnsi="Arial" w:cs="Arial"/>
          <w:i/>
          <w:iCs/>
          <w:sz w:val="20"/>
          <w:szCs w:val="20"/>
        </w:rPr>
        <w:t>kV</w:t>
      </w:r>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For example, if a protective gap with a 1.22-m (4.0-foot) spacing tested to a critical sparkover voltage of 665 kilovolts (crest), select this gap spacing.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3.</w:t>
      </w:r>
      <w:r w:rsidRPr="009F74C5">
        <w:rPr>
          <w:rFonts w:ascii="Arial" w:eastAsia="Times New Roman" w:hAnsi="Arial" w:cs="Arial"/>
          <w:sz w:val="20"/>
          <w:szCs w:val="20"/>
        </w:rPr>
        <w:t xml:space="preserve"> The phase-to-ground peak voltage at gap sparkover (</w:t>
      </w:r>
      <w:r w:rsidRPr="009F74C5">
        <w:rPr>
          <w:rFonts w:ascii="Arial" w:eastAsia="Times New Roman" w:hAnsi="Arial" w:cs="Arial"/>
          <w:i/>
          <w:iCs/>
          <w:sz w:val="20"/>
          <w:szCs w:val="20"/>
        </w:rPr>
        <w:t>V</w:t>
      </w:r>
      <w:r w:rsidRPr="009F74C5">
        <w:rPr>
          <w:rFonts w:ascii="Arial" w:eastAsia="Times New Roman" w:hAnsi="Arial" w:cs="Arial"/>
          <w:i/>
          <w:iCs/>
          <w:sz w:val="14"/>
          <w:szCs w:val="14"/>
          <w:vertAlign w:val="subscript"/>
        </w:rPr>
        <w:t>PPG Peak</w:t>
      </w:r>
      <w:r w:rsidRPr="009F74C5">
        <w:rPr>
          <w:rFonts w:ascii="Arial" w:eastAsia="Times New Roman" w:hAnsi="Arial" w:cs="Arial"/>
          <w:sz w:val="20"/>
          <w:szCs w:val="20"/>
        </w:rPr>
        <w:t>) is 110 percent of the value from the previous step:</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665</w:t>
      </w:r>
      <w:r w:rsidRPr="009F74C5">
        <w:rPr>
          <w:rFonts w:ascii="Arial" w:eastAsia="Times New Roman" w:hAnsi="Arial" w:cs="Arial"/>
          <w:i/>
          <w:iCs/>
          <w:sz w:val="20"/>
          <w:szCs w:val="20"/>
        </w:rPr>
        <w:t>kV</w:t>
      </w:r>
      <w:r w:rsidRPr="009F74C5">
        <w:rPr>
          <w:rFonts w:ascii="Arial" w:eastAsia="Times New Roman" w:hAnsi="Arial" w:cs="Arial"/>
          <w:sz w:val="20"/>
          <w:szCs w:val="20"/>
        </w:rPr>
        <w:t>× 1.10 = 732</w:t>
      </w:r>
      <w:r w:rsidRPr="009F74C5">
        <w:rPr>
          <w:rFonts w:ascii="Arial" w:eastAsia="Times New Roman" w:hAnsi="Arial" w:cs="Arial"/>
          <w:i/>
          <w:iCs/>
          <w:sz w:val="20"/>
          <w:szCs w:val="20"/>
        </w:rPr>
        <w:t>kV</w:t>
      </w:r>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This value corresponds to the withstand voltage of the electrical component of the minimum approach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4.</w:t>
      </w:r>
      <w:r w:rsidRPr="009F74C5">
        <w:rPr>
          <w:rFonts w:ascii="Arial" w:eastAsia="Times New Roman" w:hAnsi="Arial" w:cs="Arial"/>
          <w:sz w:val="20"/>
          <w:szCs w:val="20"/>
        </w:rPr>
        <w:t xml:space="preserve"> Use this voltage to determine the worksite value of </w:t>
      </w:r>
      <w:r w:rsidRPr="009F74C5">
        <w:rPr>
          <w:rFonts w:ascii="Arial" w:eastAsia="Times New Roman" w:hAnsi="Arial" w:cs="Arial"/>
          <w:i/>
          <w:iCs/>
          <w:sz w:val="20"/>
          <w:szCs w:val="20"/>
        </w:rPr>
        <w:t>T:</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94C609D" wp14:editId="722341D8">
            <wp:extent cx="792480" cy="243840"/>
            <wp:effectExtent l="0" t="0" r="7620" b="3810"/>
            <wp:docPr id="179" name="Picture 179" descr="eCFR graphic er11ap14.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CFR graphic er11ap14.04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2480" cy="24384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68"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5.</w:t>
      </w:r>
      <w:r w:rsidRPr="009F74C5">
        <w:rPr>
          <w:rFonts w:ascii="Arial" w:eastAsia="Times New Roman" w:hAnsi="Arial" w:cs="Arial"/>
          <w:sz w:val="20"/>
          <w:szCs w:val="20"/>
        </w:rPr>
        <w:t xml:space="preserve"> Use this value of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in the equation in Table V-2 to obtain the minimum approach distance, or look up the minimum approach distance in Table 7 through Table 14:</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MAD</w:t>
      </w:r>
      <w:r w:rsidRPr="009F74C5">
        <w:rPr>
          <w:rFonts w:ascii="Arial" w:eastAsia="Times New Roman" w:hAnsi="Arial" w:cs="Arial"/>
          <w:sz w:val="20"/>
          <w:szCs w:val="20"/>
        </w:rPr>
        <w:t xml:space="preserve"> = 2.29m(7.6ft)</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E. Location of Protective Gaps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Adjacent structures.</w:t>
      </w:r>
      <w:r w:rsidRPr="009F74C5">
        <w:rPr>
          <w:rFonts w:ascii="Arial" w:eastAsia="Times New Roman" w:hAnsi="Arial" w:cs="Arial"/>
          <w:sz w:val="20"/>
          <w:szCs w:val="20"/>
        </w:rPr>
        <w:t xml:space="preserve"> The employer may install the protective gap on a structure adjacent to the worksite, as this practice does not significantly reduce the protection afforded by the gap.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Terminal stations.</w:t>
      </w:r>
      <w:r w:rsidRPr="009F74C5">
        <w:rPr>
          <w:rFonts w:ascii="Arial" w:eastAsia="Times New Roman" w:hAnsi="Arial" w:cs="Arial"/>
          <w:sz w:val="20"/>
          <w:szCs w:val="20"/>
        </w:rPr>
        <w:t xml:space="preserve"> Gaps installed at terminal stations of lines or circuits provide a level of protection; however, that level of protection may not extend throughout the length of the line to the worksite. The use of substation terminal gaps raises the possibility that separate surges could enter the line at opposite ends, each with low enough magnitude to pass the terminal gaps without sparkover. When voltage surges occur simultaneously at each end of a line and travel toward each other, the total voltage on the line at the point where they meet is the arithmetic sum of the two surges. A gap installed within 0.8 km (0.5 mile) of the worksite will protect against such intersecting waves. Engineering studies of a particular line or system may indicate that employers can adequately protect employees by installing gaps at even more distant locations. In any event, unless using the default values for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from Table V-8, the employer must determine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at the worksite.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Worksite.</w:t>
      </w:r>
      <w:r w:rsidRPr="009F74C5">
        <w:rPr>
          <w:rFonts w:ascii="Arial" w:eastAsia="Times New Roman" w:hAnsi="Arial" w:cs="Arial"/>
          <w:sz w:val="20"/>
          <w:szCs w:val="20"/>
        </w:rPr>
        <w:t xml:space="preserve"> If the employer installs protective gaps at the worksite, the gap setting establishes the worksite impulse insulation strength. Lightning strikes as far as 6 miles from the worksite can cause a voltage surge greater than the gap withstand voltage, and a gap sparkover can occur. In addition, the gap can sparkover from overvoltages on the line that exceed the withstand voltage of the gap. Consequently, the employer must protect employees from hazards resulting from any sparkover that could occur.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F. </w:t>
      </w:r>
      <w:r w:rsidRPr="009F74C5">
        <w:rPr>
          <w:rFonts w:ascii="Arial" w:eastAsia="Times New Roman" w:hAnsi="Arial" w:cs="Arial"/>
          <w:i/>
          <w:iCs/>
          <w:sz w:val="20"/>
          <w:szCs w:val="20"/>
        </w:rPr>
        <w:t>Disabling automatic reclosing.</w:t>
      </w:r>
      <w:r w:rsidRPr="009F74C5">
        <w:rPr>
          <w:rFonts w:ascii="Arial" w:eastAsia="Times New Roman" w:hAnsi="Arial" w:cs="Arial"/>
          <w:sz w:val="20"/>
          <w:szCs w:val="20"/>
        </w:rPr>
        <w:t xml:space="preserve"> There are two reasons to disable the automatic-reclosing feature of circuit-interrupting devices while employees are performing live-line work: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To prevent reenergization of a circuit faulted during the work, which could create a hazard or result in more serious injuries or damage than the injuries or damage produced by the original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To prevent any transient overvoltage caused by the switching surge that would result if the circuit were reenergized.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However, due to system stability considerations, it may not always be feasible to disable the automatic-reclosing feature.</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V. Minimum Approach-Distance Tables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Legacy tables.</w:t>
      </w:r>
      <w:r w:rsidRPr="009F74C5">
        <w:rPr>
          <w:rFonts w:ascii="Arial" w:eastAsia="Times New Roman" w:hAnsi="Arial" w:cs="Arial"/>
          <w:sz w:val="20"/>
          <w:szCs w:val="20"/>
        </w:rPr>
        <w:t xml:space="preserve"> Employers may use the minimum approach distances in Table 6 until March 31, 2015.</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6—Minimum Approach Distances Until March 31, 2015</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586"/>
        <w:gridCol w:w="1737"/>
        <w:gridCol w:w="1737"/>
        <w:gridCol w:w="1662"/>
        <w:gridCol w:w="1662"/>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w:t>
            </w:r>
            <w:r w:rsidRPr="009F74C5">
              <w:rPr>
                <w:rFonts w:ascii="Arial" w:eastAsia="Times New Roman" w:hAnsi="Arial" w:cs="Arial"/>
                <w:b/>
                <w:bCs/>
                <w:sz w:val="20"/>
                <w:szCs w:val="20"/>
              </w:rPr>
              <w:br/>
              <w:t>phase to phase (kV)</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 to 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 to 35.0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35.1 to 46.0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46.1 to 72.5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121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138 to 145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161 to 169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230 to 242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345 to 362*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500 to 552*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700 to 765*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31.0</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minimum approach distance may be the shortest distance between the energized part and the grounded surface.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Alternative minimum approach distances.</w:t>
      </w:r>
      <w:r w:rsidRPr="009F74C5">
        <w:rPr>
          <w:rFonts w:ascii="Arial" w:eastAsia="Times New Roman" w:hAnsi="Arial" w:cs="Arial"/>
          <w:sz w:val="20"/>
          <w:szCs w:val="20"/>
        </w:rPr>
        <w:t xml:space="preserve"> Employers may use the minimum approach distances in Table 7 through Table 14 provided that the employer follows the notes to those tables.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7—AC Minimum Approach Distances—72.6 to 121.0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4"/>
        <w:gridCol w:w="2435"/>
        <w:gridCol w:w="1780"/>
        <w:gridCol w:w="2332"/>
        <w:gridCol w:w="1703"/>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0.69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8—AC Minimum Approach Distances—121.1 to 145.0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47"/>
        <w:gridCol w:w="2431"/>
        <w:gridCol w:w="1780"/>
        <w:gridCol w:w="2324"/>
        <w:gridCol w:w="1702"/>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rxposure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rxposure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9—AC Minimum Approach Distances—145.1 to 169.0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4"/>
        <w:gridCol w:w="2435"/>
        <w:gridCol w:w="1780"/>
        <w:gridCol w:w="2332"/>
        <w:gridCol w:w="1703"/>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10—AC Minimum Approach Distances—169.1 to 242.0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3"/>
        <w:gridCol w:w="2435"/>
        <w:gridCol w:w="1780"/>
        <w:gridCol w:w="2018"/>
        <w:gridCol w:w="2018"/>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10.1</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11—AC Minimum Approach Distances—242.1 to 362.0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2"/>
        <w:gridCol w:w="2108"/>
        <w:gridCol w:w="2108"/>
        <w:gridCol w:w="2018"/>
        <w:gridCol w:w="2018"/>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18.1</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12—AC Minimum Approach Distances—362.1 to 420.0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2"/>
        <w:gridCol w:w="2108"/>
        <w:gridCol w:w="2108"/>
        <w:gridCol w:w="2018"/>
        <w:gridCol w:w="2018"/>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22.3</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13—AC Minimum Approach Distances—420.1 to 550.0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2"/>
        <w:gridCol w:w="2108"/>
        <w:gridCol w:w="2108"/>
        <w:gridCol w:w="2018"/>
        <w:gridCol w:w="2018"/>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27.0</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14—AC Minimum Approach Distances—550.1 to 800.0 kV</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134"/>
        <w:gridCol w:w="2108"/>
        <w:gridCol w:w="2108"/>
        <w:gridCol w:w="2256"/>
        <w:gridCol w:w="1778"/>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 (p.u.)</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Phase-to-ground exposure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Phase-to-phase exposure</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7.93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6.88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37.3</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Notes to Table 7 through Table 14: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employer must determine the maximum anticipated per-unit transient overvoltage, phase-to-ground, through an engineering analysis, as required by §1926.960(c)(1)(ii), or assume a maximum anticipated per-unit transient overvoltage, phase-to-ground, in accordance with Table V-8.</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phase-to-phase exposures, the employer must demonstrate that no insulated tool spans the gap and that no large conductive object is in the gap.</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worksite must be at an elevation of 900 meters (3,000 feet) or less above sea level.</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[79 FR 20696, Apr. 11, 2014, as amended at 79 FR 56962, Sept. 24, 2014]</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69" w:anchor="_top" w:history="1">
        <w:r w:rsidR="00D70103">
          <w:rPr>
            <w:rFonts w:ascii="Arial" w:eastAsia="Times New Roman" w:hAnsi="Arial" w:cs="Arial"/>
            <w:noProof/>
            <w:color w:val="0000FF"/>
            <w:sz w:val="17"/>
            <w:szCs w:val="17"/>
          </w:rPr>
          <w:drawing>
            <wp:inline distT="0" distB="0" distL="0" distR="0" wp14:anchorId="4DA2015D" wp14:editId="5B1B3D67">
              <wp:extent cx="152400" cy="152400"/>
              <wp:effectExtent l="0" t="0" r="0" b="0"/>
              <wp:docPr id="178" name="Picture 17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0" w:name="ap29.8.1926_1968.c"/>
      <w:bookmarkEnd w:id="40"/>
      <w:r w:rsidRPr="009F74C5">
        <w:rPr>
          <w:rFonts w:ascii="Arial" w:eastAsia="Times New Roman" w:hAnsi="Arial" w:cs="Arial"/>
          <w:b/>
          <w:bCs/>
          <w:sz w:val="20"/>
          <w:szCs w:val="20"/>
        </w:rPr>
        <w:t>Appendix C to Subpart V of Part 1926—Protection From Hazardous Differences in Electric Potential</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 Introduction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Current passing through an impedance impresses voltage across that impedance. Even conductors have some, albeit low, value of impedance. Therefore, if a “grounded”</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 xml:space="preserve"> object, such as a crane or deenergized and grounded power line, results in a ground fault on a power line, voltage is impressed on that grounded object. The voltage impressed on the grounded object depends largely on the voltage on the line, on the impedance of the faulted conductor, and on the impedance to “true,” or “absolute,” ground represented by the object. If the impedance of the object causing the fault is relatively large, the voltage impressed on the object is essentially the phase-to-ground system voltage. However, even faults to grounded power lines or to well grounded transmission towers or substation structures (which have relatively low values of impedance to ground) can result in hazardous voltages.</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In all cases, the degree of the hazard depends on the magnitude of the current through the employee and the time of exposure. This appendix discusses methods of protecting workers against the possibility that grounded objects, such as cranes and other mechanical equipment, will contact energized power lines and that deenergized and grounded power lines will become accidentally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lastRenderedPageBreak/>
        <w:t>1</w:t>
      </w:r>
      <w:r w:rsidRPr="009F74C5">
        <w:rPr>
          <w:rFonts w:ascii="Arial" w:eastAsia="Times New Roman" w:hAnsi="Arial" w:cs="Arial"/>
          <w:sz w:val="18"/>
          <w:szCs w:val="18"/>
        </w:rPr>
        <w:t>This appendix generally uses the term “grounded” only with respect to grounding that the employer intentionally installs, for example, the grounding an employer installs on a deenergized conductor. However, in this case, the term “grounded” means connected to earth, regardless of whether or not that connection is intentional.</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Thus, grounding systems for transmission towers and substation structures should be designed to minimize the step and touch potentials involved.</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 Voltage-Gradient Distribution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Voltage-gradient distribution curve.</w:t>
      </w:r>
      <w:r w:rsidRPr="009F74C5">
        <w:rPr>
          <w:rFonts w:ascii="Arial" w:eastAsia="Times New Roman" w:hAnsi="Arial" w:cs="Arial"/>
          <w:sz w:val="20"/>
          <w:szCs w:val="20"/>
        </w:rPr>
        <w:t xml:space="preserve"> Absolute, or true, ground serves as a reference and always has a voltage of 0 volts above ground potential. Because there is an impedance between a grounding electrode and absolute ground, there will be a voltage difference between the grounding electrode and absolute ground under ground-fault conditions. Voltage dissipates from the grounding electrode (or from the grounding point) and creates a ground potential gradient. The voltage decreases rapidly with increasing distance from the grounding electrode. A voltage drop associated with this dissipation of voltage is a ground potential. Figure 1 is a typical voltage-gradient distribution curve (assuming a uniform soil texture).</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3F0F727B" wp14:editId="4EA7BF43">
            <wp:extent cx="4221480" cy="5875020"/>
            <wp:effectExtent l="0" t="0" r="7620" b="0"/>
            <wp:docPr id="177" name="Picture 177" descr="eCFR graphic er11ap14.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CFR graphic er11ap14.041.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1480" cy="58750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71"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Step and touch potentials.</w:t>
      </w:r>
      <w:r w:rsidRPr="009F74C5">
        <w:rPr>
          <w:rFonts w:ascii="Arial" w:eastAsia="Times New Roman" w:hAnsi="Arial" w:cs="Arial"/>
          <w:sz w:val="20"/>
          <w:szCs w:val="20"/>
        </w:rPr>
        <w:t xml:space="preserve"> Figure 1 also shows that workers are at risk from step and touch potentials. Step potential is the voltage between the feet of a person standing near an energized grounded object (the electrode). In Figure 1, the step potential is equal to the difference in voltage between two points at different distances from the electrode (where the points represent the location of each foot in relation to the electrode). A person could be at risk of injury during a fault simply by standing near the object.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Touch potential is the voltage between the energized grounded object (again, the electrode) and the feet of a person in contact with the object. In Figure 1, the touch potential is equal to the difference in voltage between the electrode (which is at a distance of 0 meters) and a point some distance away from the electrode (where the point represents the location of the feet of the person in contact with the object). The touch potential could be nearly the full voltage across the grounded object if that object is grounded </w:t>
      </w:r>
      <w:r w:rsidRPr="009F74C5">
        <w:rPr>
          <w:rFonts w:ascii="Arial" w:eastAsia="Times New Roman" w:hAnsi="Arial" w:cs="Arial"/>
          <w:sz w:val="20"/>
          <w:szCs w:val="20"/>
        </w:rPr>
        <w:lastRenderedPageBreak/>
        <w:t>at a point remote from the place where the person is in contact with it. For example, a crane grounded to the system neutral and that contacts an energized line would expose any person in contact with the crane or its uninsulated load line to a touch potential nearly equal to the full fault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Figure 2 illustrates step and touch potentials.</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14613A5E" wp14:editId="7108F77F">
            <wp:extent cx="4427220" cy="4861560"/>
            <wp:effectExtent l="0" t="0" r="0" b="0"/>
            <wp:docPr id="176" name="Picture 176" descr="eCFR graphic er11ap14.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eCFR graphic er11ap14.042.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7220" cy="486156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73"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III. Protecting Workers From Hazardous Differences in Electrical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Definitions.</w:t>
      </w:r>
      <w:r w:rsidRPr="009F74C5">
        <w:rPr>
          <w:rFonts w:ascii="Arial" w:eastAsia="Times New Roman" w:hAnsi="Arial" w:cs="Arial"/>
          <w:sz w:val="20"/>
          <w:szCs w:val="20"/>
        </w:rPr>
        <w:t xml:space="preserve"> The following definitions apply to section III of this appendix: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Bond.</w:t>
      </w:r>
      <w:r w:rsidRPr="009F74C5">
        <w:rPr>
          <w:rFonts w:ascii="Arial" w:eastAsia="Times New Roman" w:hAnsi="Arial" w:cs="Arial"/>
          <w:sz w:val="20"/>
          <w:szCs w:val="20"/>
        </w:rPr>
        <w:t xml:space="preserve"> The electrical interconnection of conductive parts designed to maintain a common electric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Bonding cable (bonding jumper).</w:t>
      </w:r>
      <w:r w:rsidRPr="009F74C5">
        <w:rPr>
          <w:rFonts w:ascii="Arial" w:eastAsia="Times New Roman" w:hAnsi="Arial" w:cs="Arial"/>
          <w:sz w:val="20"/>
          <w:szCs w:val="20"/>
        </w:rPr>
        <w:t xml:space="preserve"> A cable connected to two conductive parts to bond the parts together.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Cluster bar.</w:t>
      </w:r>
      <w:r w:rsidRPr="009F74C5">
        <w:rPr>
          <w:rFonts w:ascii="Arial" w:eastAsia="Times New Roman" w:hAnsi="Arial" w:cs="Arial"/>
          <w:sz w:val="20"/>
          <w:szCs w:val="20"/>
        </w:rPr>
        <w:t xml:space="preserve"> A terminal temporarily attached to a structure that provides a means for the attachment and bonding of grounding and bonding cables to the structure.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Ground.</w:t>
      </w:r>
      <w:r w:rsidRPr="009F74C5">
        <w:rPr>
          <w:rFonts w:ascii="Arial" w:eastAsia="Times New Roman" w:hAnsi="Arial" w:cs="Arial"/>
          <w:sz w:val="20"/>
          <w:szCs w:val="20"/>
        </w:rPr>
        <w:t xml:space="preserve"> A conducting connection between an electric circuit or equipment and the earth, or to some conducting body that serves in place of the earth.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Grounding cable (grounding jumper).</w:t>
      </w:r>
      <w:r w:rsidRPr="009F74C5">
        <w:rPr>
          <w:rFonts w:ascii="Arial" w:eastAsia="Times New Roman" w:hAnsi="Arial" w:cs="Arial"/>
          <w:sz w:val="20"/>
          <w:szCs w:val="20"/>
        </w:rPr>
        <w:t xml:space="preserve"> A cable connected between a deenergized part and ground. Note that grounding cables carry fault current and bonding cables generally do not. A cable that bonds two conductive parts but carries substantial fault current (for example, a jumper connected between one phase and a grounded phase) is a grounding 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Ground mat (grounding grid).</w:t>
      </w:r>
      <w:r w:rsidRPr="009F74C5">
        <w:rPr>
          <w:rFonts w:ascii="Arial" w:eastAsia="Times New Roman" w:hAnsi="Arial" w:cs="Arial"/>
          <w:sz w:val="20"/>
          <w:szCs w:val="20"/>
        </w:rPr>
        <w:t xml:space="preserve"> A temporarily or permanently installed metallic mat or grating that establishes an equipotential surface and provides connection points for attaching grounds.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Analyzing the hazard.</w:t>
      </w:r>
      <w:r w:rsidRPr="009F74C5">
        <w:rPr>
          <w:rFonts w:ascii="Arial" w:eastAsia="Times New Roman" w:hAnsi="Arial" w:cs="Arial"/>
          <w:sz w:val="20"/>
          <w:szCs w:val="20"/>
        </w:rPr>
        <w:t xml:space="preserve"> The employer can use an engineering analysis of the power system under fault conditions to determine whether hazardous step and touch voltages will develop. The analysis should determine the voltage on all conductive objects in the work area and the amount of time the voltage will be present. Based on the this analysis, the employer can select appropriate measures and protective equipment, including the measures and protective equipment outlined in Section III of this appendix, to protect each employee from hazardous differences in electric potential. For example, from the analysis, the employer will know the voltage remaining on conductive objects after employees install bonding and grounding equipment and will be able to select insulating equipment with an appropriate rating, as described in paragraph III.C.2 of this appendix.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Protecting workers on the ground.</w:t>
      </w:r>
      <w:r w:rsidRPr="009F74C5">
        <w:rPr>
          <w:rFonts w:ascii="Arial" w:eastAsia="Times New Roman" w:hAnsi="Arial" w:cs="Arial"/>
          <w:sz w:val="20"/>
          <w:szCs w:val="20"/>
        </w:rPr>
        <w:t xml:space="preserve"> The employer may use several methods, including equipotential zones, insulating equipment, and restricted work areas, to protect employees on the ground from hazardous differences in electrical potential.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An equipotential zone will protect workers within it from hazardous step and touch potentials. (See Figure 3.) Equipotential zones will not, however, protect employees located either wholly or partially outside the protected area. The employer can establish an equipotential zone for workers on the ground, with respect to a grounded object, through the use of a metal mat connected to the grounded object. The employer can use a grounding grid to equalize the voltage within the grid or bond conductive objects in the immediate work area to minimize the potential between the objects and between each object and ground. (Bonding an object outside the work area can increase the touch potential to that object, however.) Section III.D of this appendix discusses equipotential zones for employees working on deenergized and grounded power 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Insulating equipment, such as rubber gloves, can protect employees handling grounded equipment and conductors from hazardous touch potentials. The insulating equipment must be rated for the highest voltage that can be impressed on the grounded objects under fault conditions (rather than for the full system voltage).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Restricting employees from areas where hazardous step or touch potentials could arise can protect employees not directly involved in performing the operation. The employer must ensure that employees on the ground in the vicinity of transmission structures are at a distance where step voltages would be insufficient to cause injury. Employees must not handle grounded conductors or equipment likely to become energized to hazardous voltages unless the employees are within an equipotential zone or protected by insulating equipment.</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00BAAB1" wp14:editId="5A9FFCD3">
            <wp:extent cx="3383280" cy="4564380"/>
            <wp:effectExtent l="0" t="0" r="7620" b="7620"/>
            <wp:docPr id="175" name="Picture 175" descr="eCFR graphic er11ap14.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eCFR graphic er11ap14.04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3280" cy="45643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75"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Protecting employees working on deenergized and grounded power lines.</w:t>
      </w:r>
      <w:r w:rsidRPr="009F74C5">
        <w:rPr>
          <w:rFonts w:ascii="Arial" w:eastAsia="Times New Roman" w:hAnsi="Arial" w:cs="Arial"/>
          <w:sz w:val="20"/>
          <w:szCs w:val="20"/>
        </w:rPr>
        <w:t xml:space="preserve"> This Section III.D of Appendix C establishes guidelines to help employers comply with requirements in §1926.962 for using protective grounding to protect employees working on deenergized power lines. Section 1926.962 applies to grounding of transmission and distribution lines and equipment for the purpose of protecting workers. Paragraph (c) of §1926.962 requires temporary protective grounds to be placed at such locations and arranged in such a manner that the employer can demonstrate will prevent exposure of each employee to hazardous differences in electric potential.</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xml:space="preserve"> Sections III.D.1 and III.D.2 of this appendix provide guidelines that employers can use in making the demonstration required by §1926.962(c). Section III.D.1 of this appendix provides guidelines on how the employer can determine whether particular grounding practices expose employees to hazardous differences in electric potential. Section III.D.2 of this appendix describes grounding methods that the employer can use in lieu of an engineering analysis to make the demonstration required by §1926.962(c). The Occupational Safety and Health Administration will consider employers that comply with the criteria in this appendix as meeting §1926.962(c).</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3</w:t>
      </w:r>
      <w:r w:rsidRPr="009F74C5">
        <w:rPr>
          <w:rFonts w:ascii="Arial" w:eastAsia="Times New Roman" w:hAnsi="Arial" w:cs="Arial"/>
          <w:sz w:val="18"/>
          <w:szCs w:val="18"/>
        </w:rPr>
        <w:t>The protective grounding required by §1926.962 limits to safe values the potential differences between accessible objects in each employee's work environment. Ideally, a protective grounding system would create a true equipotential zone in which every point is at the same electric potential. In practice, current passing through the grounding and bonding elements creates potential differences. If these potential differences are hazardous, the employer may not treat the zone as an equipotential zone.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Finally, Section III.D.3 of this appendix discusses other safety considerations that will help the employer comply with other requirements in §1926.962. Following these guidelines will protect workers from hazards that can occur when a deenergized and grounded line becomes energized.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Determining safe body current limits.</w:t>
      </w:r>
      <w:r w:rsidRPr="009F74C5">
        <w:rPr>
          <w:rFonts w:ascii="Arial" w:eastAsia="Times New Roman" w:hAnsi="Arial" w:cs="Arial"/>
          <w:sz w:val="20"/>
          <w:szCs w:val="20"/>
        </w:rPr>
        <w:t xml:space="preserve"> This Section III.D.1 of Appendix C provides guidelines on how an employer can determine whether any differences in electric potential to which workers could be exposed are hazardous as part of the demonstration required by §1926.962(c).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Institute of Electrical and Electronic Engineers (IEEE) Standard 1048-2003, </w:t>
      </w:r>
      <w:r w:rsidRPr="009F74C5">
        <w:rPr>
          <w:rFonts w:ascii="Arial" w:eastAsia="Times New Roman" w:hAnsi="Arial" w:cs="Arial"/>
          <w:i/>
          <w:iCs/>
          <w:sz w:val="20"/>
          <w:szCs w:val="20"/>
        </w:rPr>
        <w:t>IEEE Guide for Protective Grounding of Power Lines,</w:t>
      </w:r>
      <w:r w:rsidRPr="009F74C5">
        <w:rPr>
          <w:rFonts w:ascii="Arial" w:eastAsia="Times New Roman" w:hAnsi="Arial" w:cs="Arial"/>
          <w:sz w:val="20"/>
          <w:szCs w:val="20"/>
        </w:rPr>
        <w:t xml:space="preserve"> provides the following equation for determining the threshold of ventricular fibrillation when the duration of the electric shock is limited:</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46B31128" wp14:editId="5EA5FF39">
            <wp:extent cx="381000" cy="259080"/>
            <wp:effectExtent l="0" t="0" r="0" b="7620"/>
            <wp:docPr id="174" name="Picture 174" descr="eCFR graphic er11ap14.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eCFR graphic er11ap14.04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77"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 xml:space="preserve">where </w:t>
      </w:r>
      <w:r w:rsidRPr="009F74C5">
        <w:rPr>
          <w:rFonts w:ascii="Arial" w:eastAsia="Times New Roman" w:hAnsi="Arial" w:cs="Arial"/>
          <w:i/>
          <w:iCs/>
          <w:sz w:val="20"/>
          <w:szCs w:val="20"/>
        </w:rPr>
        <w:t>I</w:t>
      </w:r>
      <w:r w:rsidRPr="009F74C5">
        <w:rPr>
          <w:rFonts w:ascii="Arial" w:eastAsia="Times New Roman" w:hAnsi="Arial" w:cs="Arial"/>
          <w:sz w:val="20"/>
          <w:szCs w:val="20"/>
        </w:rPr>
        <w:t xml:space="preserve"> is the current through the worker's body, and </w:t>
      </w:r>
      <w:r w:rsidRPr="009F74C5">
        <w:rPr>
          <w:rFonts w:ascii="Arial" w:eastAsia="Times New Roman" w:hAnsi="Arial" w:cs="Arial"/>
          <w:i/>
          <w:iCs/>
          <w:sz w:val="20"/>
          <w:szCs w:val="20"/>
        </w:rPr>
        <w:t>t</w:t>
      </w:r>
      <w:r w:rsidRPr="009F74C5">
        <w:rPr>
          <w:rFonts w:ascii="Arial" w:eastAsia="Times New Roman" w:hAnsi="Arial" w:cs="Arial"/>
          <w:sz w:val="20"/>
          <w:szCs w:val="20"/>
        </w:rPr>
        <w:t xml:space="preserve"> is the duration of the current in seconds. This equation represents the ventricular fibrillation threshold for 95.5 percent of the adult population with a mass of 50 kilograms (110 pounds) or more. The equation is valid for current durations between 0.0083 to 3.0 seconds.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To use this equation to set safe voltage limits in an equipotential zone around the worker, the employer will need to assume a value for the resistance of the worker's body. IEEE Std 1048-2003 states that “total body resistance is usually taken as 1000 Ω for determining .  .  . body current limits.” However, employers should be aware that the impedance of a worker's body can be substantially less than that value. For instance, IEEE Std 1048-2003 reports a minimum hand-to-hand resistance of 610 ohms and an internal body resistance of 500 ohms. The internal resistance of the body better represents the minimum resistance of a worker's body when the skin resistance drops near zero, which occurs, for example, when there are breaks in the worker's skin, for instance, from cuts or from blisters formed as a result of the current from an electric shock, or when the worker is wet at the points of contact.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Employers may use the IEEE Std 1048-2003 equation to determine safe body current limits only if the employer protects workers from hazards associated with involuntary muscle reactions from electric shock (for example, the hazard to a worker from falling as a result of an electric shock). Moreover, the equation applies only when the duration of the electric shock is limited. If the precautions the employer takes, including those required by applicable standards, do not adequately protect employees from hazards associated with involuntary reactions from electric shock, a hazard exists if the induced voltage is sufficient to pass a current of 1 milliampere through a 500-ohm resistor. (The 500-ohm resistor represents the resistance of an employee. The 1-milliampere current is the threshold of perception.) Finally, if the employer protects employees from injury due to involuntary reactions from electric shock, but the duration of the electric shock is unlimited (that is, when the fault current at the work location will be insufficient to trip the devices protecting the circuit), a hazard exists if the resultant current would be more than 6 milliamperes (the recognized let-go threshold for workers</w:t>
      </w:r>
      <w:r w:rsidRPr="009F74C5">
        <w:rPr>
          <w:rFonts w:ascii="Arial" w:eastAsia="Times New Roman" w:hAnsi="Arial" w:cs="Arial"/>
          <w:sz w:val="14"/>
          <w:szCs w:val="14"/>
          <w:vertAlign w:val="superscript"/>
        </w:rPr>
        <w:t>4</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4</w:t>
      </w:r>
      <w:r w:rsidRPr="009F74C5">
        <w:rPr>
          <w:rFonts w:ascii="Arial" w:eastAsia="Times New Roman" w:hAnsi="Arial" w:cs="Arial"/>
          <w:sz w:val="18"/>
          <w:szCs w:val="18"/>
        </w:rPr>
        <w:t>Electric current passing through the body has varying effects depending on the amount of the current. At the let-go threshold, the current overrides a person's control over his or her muscles. At that level, an employee grasping an object will not be able to let go of the object. The let-go threshold varies from person to person; however, the recognized value for workers is 6 milliamperes.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Acceptable methods of grounding for employers that do not perform an engineering determination.</w:t>
      </w:r>
      <w:r w:rsidRPr="009F74C5">
        <w:rPr>
          <w:rFonts w:ascii="Arial" w:eastAsia="Times New Roman" w:hAnsi="Arial" w:cs="Arial"/>
          <w:sz w:val="20"/>
          <w:szCs w:val="20"/>
        </w:rPr>
        <w:t xml:space="preserve"> The grounding methods presented in this section of this appendix ensure that differences in electric potential are as low as possible and, therefore, meet §1926.962(c) without an engineering determination of the potential differences. These methods follow two principles: (i) The grounding method must ensure that the circuit opens in the fastest available clearing time, and (ii) the grounding method </w:t>
      </w:r>
      <w:r w:rsidRPr="009F74C5">
        <w:rPr>
          <w:rFonts w:ascii="Arial" w:eastAsia="Times New Roman" w:hAnsi="Arial" w:cs="Arial"/>
          <w:sz w:val="20"/>
          <w:szCs w:val="20"/>
        </w:rPr>
        <w:lastRenderedPageBreak/>
        <w:t>must ensure that the potential differences between conductive objects in the employee's work area are as low as possible.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(c) of §1926.962 does not require grounding methods to meet the criteria embodied in these principles. Instead, the paragraph requires that protective grounds be “placed at such locations and arranged in such a manner that the employer can demonstrate will prevent exposure of each employee to hazardous differences in electric potential.” However, when the employer's grounding practices do not follow these two principles, the employer will need to perform an engineering analysis to make the demonstration required by §1926.962(c).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Ensuring that the circuit opens in the fastest available clearing time.</w:t>
      </w:r>
      <w:r w:rsidRPr="009F74C5">
        <w:rPr>
          <w:rFonts w:ascii="Arial" w:eastAsia="Times New Roman" w:hAnsi="Arial" w:cs="Arial"/>
          <w:sz w:val="20"/>
          <w:szCs w:val="20"/>
        </w:rPr>
        <w:t xml:space="preserve"> Generally, the higher the fault current, the shorter the clearing times for the same type of fault. Therefore, to ensure the fastest available clearing time, the grounding method must maximize the fault current with a low impedance connection to ground. The employer accomplishes this objective by grounding the circuit conductors to the best ground available at the worksite. Thus, the employer must ground to a grounded system neutral conductor, if one is present. A grounded system neutral has a direct connection to the system ground at the source, resulting in an extremely low impedance to ground. In a substation, the employer may instead ground to the substation grid, which also has an extremely low impedance to the system ground and, typically, is connected to a grounded system neutral when one is present. Remote system grounds, such as pole and tower grounds, have a higher impedance to the system ground than grounded system neutrals and substation grounding grids; however, the employer may use a remote ground when lower impedance grounds are not available. In the absence of a grounded system neutral, substation grid, and remote ground, the employer may use a temporary driven ground at the worksite.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 addition, if employees are working on a three-phase system, the grounding method must short circuit all three phases. Short circuiting all phases will ensure faster clearing and lower the current through the grounding cable connecting the deenergized line to ground, thereby lowering the voltage across that cable. The short circuit need not be at the worksite; however, the employer must treat any conductor that is not grounded at the worksite as energized because the ungrounded conductors will be energized at fault voltage during a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Ensuring that the potential differences between conductive objects in the employee's work area are as low as possible.</w:t>
      </w:r>
      <w:r w:rsidRPr="009F74C5">
        <w:rPr>
          <w:rFonts w:ascii="Arial" w:eastAsia="Times New Roman" w:hAnsi="Arial" w:cs="Arial"/>
          <w:sz w:val="20"/>
          <w:szCs w:val="20"/>
        </w:rPr>
        <w:t xml:space="preserve"> To achieve as low a voltage as possible across any two conductive objects in the work area, the employer must bond all conductive objects in the work area. This section of this appendix discusses how to create a zone that minimizes differences in electric potential between conductive objects in the work area.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employer must use bonding cables to bond conductive objects, except for metallic objects bonded through metal-to-metal contact. The employer must ensure that metal-to-metal contacts are tight and free of contamination, such as oxidation, that can increase the impedance across the connection. For example, a bolted connection between metal lattice tower members is acceptable if the connection is tight and free of corrosion and other contamination. Figure 4 shows how to create an equipotential zone for metal lattice towers.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Wood poles are conductive objects. The poles can absorb moisture and conduct electricity, particularly at distribution and transmission voltages. Consequently, the employer must either: (1) Provide a conductive platform, bonded to a grounding cable, on which the worker stands or (2) use cluster bars to bond wood poles to the grounding cable. The employer must ensure that employees install the cluster bar below, and close to, the worker's feet. The inner portion of the wood pole is more conductive than the outer shell, so it is important that the cluster bar be in conductive contact with a metal spike or nail that penetrates the wood to a depth greater than or equal to the depth the worker's climbing gaffs will penetrate the wood. For example, the employer could mount the cluster bar on a bare pole ground wire fastened to the pole with nails or staples that penetrate to the required depth. Alternatively, the employer may temporarily nail a conductive strap to the pole and connect the strap to the cluster bar. Figure 5 shows how to create an equipotential zone for wood poles.</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213D29CA" wp14:editId="4278FC6E">
            <wp:extent cx="3992880" cy="4541520"/>
            <wp:effectExtent l="0" t="0" r="7620" b="0"/>
            <wp:docPr id="173" name="Picture 173" descr="eCFR graphic er11ap14.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eCFR graphic er11ap14.04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92880" cy="45415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79"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3678DDD4" wp14:editId="55E2EDFF">
            <wp:extent cx="3962400" cy="4991100"/>
            <wp:effectExtent l="0" t="0" r="0" b="0"/>
            <wp:docPr id="172" name="Picture 172" descr="eCFR graphic er11ap14.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eCFR graphic er11ap14.04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0" cy="49911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81"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For underground systems, employers commonly install grounds at the points of disconnection of the underground cables. These grounding points are typically remote from the manhole or underground vault where employees will be working on the cable. Workers in contact with a cable grounded at a remote location can experience hazardous potential differences if the cable becomes energized or if a fault occurs on a different, but nearby, energized cable. The fault current causes potential gradients in the earth, and a potential difference will exist between the earth where the worker is standing and the earth where the cable is grounded. Consequently, to create an equipotential zone for the worker, the employer must provide a means of connecting the deenergized cable to ground at the worksite by having the worker stand on a conductive mat bonded to the deenergized cable. If the cable is cut, the employer must install a bond across the opening in the cable or install one bond on each side of the opening to ensure that the separate cable ends are at the same potential. The employer must protect the worker from any hazardous differences in potential any time there is no bond between the mat and the cable (for example, before the worker installs the bonds).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Other safety-related considerations.</w:t>
      </w:r>
      <w:r w:rsidRPr="009F74C5">
        <w:rPr>
          <w:rFonts w:ascii="Arial" w:eastAsia="Times New Roman" w:hAnsi="Arial" w:cs="Arial"/>
          <w:sz w:val="20"/>
          <w:szCs w:val="20"/>
        </w:rPr>
        <w:t xml:space="preserve"> To ensure that the grounding system is safe and effective, the employer should also consider the following factors:</w:t>
      </w:r>
      <w:r w:rsidRPr="009F74C5">
        <w:rPr>
          <w:rFonts w:ascii="Arial" w:eastAsia="Times New Roman" w:hAnsi="Arial" w:cs="Arial"/>
          <w:sz w:val="14"/>
          <w:szCs w:val="14"/>
          <w:vertAlign w:val="superscript"/>
        </w:rPr>
        <w:t>5</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lastRenderedPageBreak/>
        <w:t>5</w:t>
      </w:r>
      <w:r w:rsidRPr="009F74C5">
        <w:rPr>
          <w:rFonts w:ascii="Arial" w:eastAsia="Times New Roman" w:hAnsi="Arial" w:cs="Arial"/>
          <w:sz w:val="18"/>
          <w:szCs w:val="18"/>
        </w:rPr>
        <w:t>This appendix only discusses factors that relate to ensuring an equipotential zone for employees. The employer must consider other factors in selecting a grounding system that is capable of conducting the maximum fault current that could flow at the point of grounding for the time necessary to clear the fault, as required by §1926.962(d)(1)(i). IEEE Std 1048-2003 contains guidelines for selecting and installing grounding equipment that will meet §1926.962(d)(1)(i).</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Maintenance of grounding equipment.</w:t>
      </w:r>
      <w:r w:rsidRPr="009F74C5">
        <w:rPr>
          <w:rFonts w:ascii="Arial" w:eastAsia="Times New Roman" w:hAnsi="Arial" w:cs="Arial"/>
          <w:sz w:val="20"/>
          <w:szCs w:val="20"/>
        </w:rPr>
        <w:t xml:space="preserve"> It is essential that the employer properly maintain grounding equipment. Corrosion in the connections between grounding cables and clamps and on the clamp surface can increase the resistance of the cable, thereby increasing potential differences. In addition, the surface to which a clamp attaches, such as a conductor or tower member, must be clean and free of corrosion and oxidation to ensure a low-resistance connection. Cables must be free of damage that could reduce their current-carrying capacity so that they can carry the full fault current without failure. Each clamp must have a tight connection to the cable to ensure a low resistance and to ensure that the clamp does not separate from the cable during a fault.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Grounding cable length and movement.</w:t>
      </w:r>
      <w:r w:rsidRPr="009F74C5">
        <w:rPr>
          <w:rFonts w:ascii="Arial" w:eastAsia="Times New Roman" w:hAnsi="Arial" w:cs="Arial"/>
          <w:sz w:val="20"/>
          <w:szCs w:val="20"/>
        </w:rPr>
        <w:t xml:space="preserve"> The electromagnetic forces on grounding cables during a fault increase with increasing cable length. These forces can cause the cable to move violently during a fault and can be high enough to damage the cable or clamps and cause the cable to fail. In addition, flying cables can injure workers. Consequently, cable lengths should be as short as possible, and grounding cables that might carry high fault current should be in positions where the cables will not injure workers during a fault.</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2" w:anchor="_top" w:history="1">
        <w:r w:rsidR="00D70103">
          <w:rPr>
            <w:rFonts w:ascii="Arial" w:eastAsia="Times New Roman" w:hAnsi="Arial" w:cs="Arial"/>
            <w:noProof/>
            <w:color w:val="0000FF"/>
            <w:sz w:val="17"/>
            <w:szCs w:val="17"/>
          </w:rPr>
          <w:drawing>
            <wp:inline distT="0" distB="0" distL="0" distR="0" wp14:anchorId="7DD1439F" wp14:editId="601C31DB">
              <wp:extent cx="152400" cy="152400"/>
              <wp:effectExtent l="0" t="0" r="0" b="0"/>
              <wp:docPr id="171" name="Picture 17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1" w:name="ap29.8.1926_1968.d"/>
      <w:bookmarkEnd w:id="41"/>
      <w:r w:rsidRPr="009F74C5">
        <w:rPr>
          <w:rFonts w:ascii="Arial" w:eastAsia="Times New Roman" w:hAnsi="Arial" w:cs="Arial"/>
          <w:b/>
          <w:bCs/>
          <w:sz w:val="20"/>
          <w:szCs w:val="20"/>
        </w:rPr>
        <w:t>Appendix D to Subpart V of Part 1926—Methods of Inspecting and Testing Wood Poles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 Introduction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When employees are to perform work on a wood pole, it is important to determine the condition of the pole before employees climb it. The weight of the employee, the weight of equipment to be installed, and other working stresses (such as the removal or retensioning of conductors) can lead to the failure of a defective pole or a pole that is not designed to handle the additional stresses.</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 xml:space="preserve"> For these reasons, it is essential that, before an employee climbs a wood pole, the employer ascertain that the pole is capable of sustaining the stresses of the work. The determination that the pole is capable of sustaining these stresses includes an inspection of the condition of the pole.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A properly guyed pole in good condition should, at a minimum, be able to handle the weight of an employee climbing 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If the employer finds the pole to be unsafe to climb or to work from, the employer must secure the pole so that it does not fail while an employee is on it. The employer can secure the pole by a line truck boom, by ropes or guys, or by lashing a new pole alongside it. If a new one is lashed alongside the defective pole, employees should work from the new one.</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 Inspecting Wood Poles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qualified employee should inspect wood poles for the following conditions:</w:t>
      </w:r>
      <w:r w:rsidRPr="009F74C5">
        <w:rPr>
          <w:rFonts w:ascii="Arial" w:eastAsia="Times New Roman" w:hAnsi="Arial" w:cs="Arial"/>
          <w:sz w:val="14"/>
          <w:szCs w:val="14"/>
          <w:vertAlign w:val="superscript"/>
        </w:rPr>
        <w:t>2</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The presence of any of these conditions is an indication that the pole may not be safe to climb or to work from. The employee performing the inspection must be qualified to make a determination as to whether it is safe to perform the work without taking additional precautions.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 condition.</w:t>
      </w:r>
      <w:r w:rsidRPr="009F74C5">
        <w:rPr>
          <w:rFonts w:ascii="Arial" w:eastAsia="Times New Roman" w:hAnsi="Arial" w:cs="Arial"/>
          <w:sz w:val="20"/>
          <w:szCs w:val="20"/>
        </w:rPr>
        <w:t xml:space="preserve"> Buckling at the ground line or an unusual angle with respect to the ground may indicate that the pole has rotted or is broken.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B. </w:t>
      </w:r>
      <w:r w:rsidRPr="009F74C5">
        <w:rPr>
          <w:rFonts w:ascii="Arial" w:eastAsia="Times New Roman" w:hAnsi="Arial" w:cs="Arial"/>
          <w:i/>
          <w:iCs/>
          <w:sz w:val="20"/>
          <w:szCs w:val="20"/>
        </w:rPr>
        <w:t>Cracks.</w:t>
      </w:r>
      <w:r w:rsidRPr="009F74C5">
        <w:rPr>
          <w:rFonts w:ascii="Arial" w:eastAsia="Times New Roman" w:hAnsi="Arial" w:cs="Arial"/>
          <w:sz w:val="20"/>
          <w:szCs w:val="20"/>
        </w:rPr>
        <w:t xml:space="preserve"> Horizontal cracks perpendicular to the grain of the wood may weaken the pole. Vertical cracks, although not normally considered to be a sign of a defective pole, can pose a hazard to the climber, and the employee should keep his or her gaffs away from them while climbing.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Holes.</w:t>
      </w:r>
      <w:r w:rsidRPr="009F74C5">
        <w:rPr>
          <w:rFonts w:ascii="Arial" w:eastAsia="Times New Roman" w:hAnsi="Arial" w:cs="Arial"/>
          <w:sz w:val="20"/>
          <w:szCs w:val="20"/>
        </w:rPr>
        <w:t xml:space="preserve"> Hollow spots and woodpecker holes can reduce the strength of a wood pole.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Shell rot and decay.</w:t>
      </w:r>
      <w:r w:rsidRPr="009F74C5">
        <w:rPr>
          <w:rFonts w:ascii="Arial" w:eastAsia="Times New Roman" w:hAnsi="Arial" w:cs="Arial"/>
          <w:sz w:val="20"/>
          <w:szCs w:val="20"/>
        </w:rPr>
        <w:t xml:space="preserve"> Rotting and decay are cutout hazards and possible indications of the age and internal condition of the pole.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Knots.</w:t>
      </w:r>
      <w:r w:rsidRPr="009F74C5">
        <w:rPr>
          <w:rFonts w:ascii="Arial" w:eastAsia="Times New Roman" w:hAnsi="Arial" w:cs="Arial"/>
          <w:sz w:val="20"/>
          <w:szCs w:val="20"/>
        </w:rPr>
        <w:t xml:space="preserve"> One large knot or several smaller ones at the same height on the pole may be evidence of a weak point on the pole.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Depth of setting.</w:t>
      </w:r>
      <w:r w:rsidRPr="009F74C5">
        <w:rPr>
          <w:rFonts w:ascii="Arial" w:eastAsia="Times New Roman" w:hAnsi="Arial" w:cs="Arial"/>
          <w:sz w:val="20"/>
          <w:szCs w:val="20"/>
        </w:rPr>
        <w:t xml:space="preserve"> Evidence of the existence of a former ground line substantially above the existing ground level may be an indication that the pole is no longer buried to a sufficient depth.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Soil conditions.</w:t>
      </w:r>
      <w:r w:rsidRPr="009F74C5">
        <w:rPr>
          <w:rFonts w:ascii="Arial" w:eastAsia="Times New Roman" w:hAnsi="Arial" w:cs="Arial"/>
          <w:sz w:val="20"/>
          <w:szCs w:val="20"/>
        </w:rPr>
        <w:t xml:space="preserve"> Soft, wet, or loose soil around the base of the pole may indicate that the pole will not support any change in stress.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Burn marks.</w:t>
      </w:r>
      <w:r w:rsidRPr="009F74C5">
        <w:rPr>
          <w:rFonts w:ascii="Arial" w:eastAsia="Times New Roman" w:hAnsi="Arial" w:cs="Arial"/>
          <w:sz w:val="20"/>
          <w:szCs w:val="20"/>
        </w:rPr>
        <w:t xml:space="preserve"> Burning from transformer failures or conductor faults could damage the pole so that it cannot withstand changes in mechanical stress.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III. Testing Wood Poles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following tests, which are from §1910.268(n)(3) of this chapter, are acceptable methods of testing wood poles: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Hammer test.</w:t>
      </w:r>
      <w:r w:rsidRPr="009F74C5">
        <w:rPr>
          <w:rFonts w:ascii="Arial" w:eastAsia="Times New Roman" w:hAnsi="Arial" w:cs="Arial"/>
          <w:sz w:val="20"/>
          <w:szCs w:val="20"/>
        </w:rPr>
        <w:t xml:space="preserve"> Rap the pole sharply with a hammer weighing about 1.4 kg (3 pounds), starting near the ground line and continuing upwards circumferentially around the pole to a height of approximately 1.8 meters (6 feet). The hammer will produce a clear sound and rebound sharply when striking sound wood. Decay pockets will be indicated by a dull sound or a less pronounced hammer rebound. Also, prod the pole as near the ground line as possible using a pole prod or a screwdriver with a blade at least 127 millimeters (5 inches) long. If substantial decay is present, the pole is unsafe.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Rocking test.</w:t>
      </w:r>
      <w:r w:rsidRPr="009F74C5">
        <w:rPr>
          <w:rFonts w:ascii="Arial" w:eastAsia="Times New Roman" w:hAnsi="Arial" w:cs="Arial"/>
          <w:sz w:val="20"/>
          <w:szCs w:val="20"/>
        </w:rPr>
        <w:t xml:space="preserve"> Apply a horizontal force to the pole and attempt to rock it back and forth in a direction perpendicular to the line. Exercise caution to avoid causing power lines to swing together. Apply the force to the pole either by pushing it with a pike pole or pulling the pole with a rope. If the pole cracks during the test, it is unsafe.</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3" w:anchor="_top" w:history="1">
        <w:r w:rsidR="00D70103">
          <w:rPr>
            <w:rFonts w:ascii="Arial" w:eastAsia="Times New Roman" w:hAnsi="Arial" w:cs="Arial"/>
            <w:noProof/>
            <w:color w:val="0000FF"/>
            <w:sz w:val="17"/>
            <w:szCs w:val="17"/>
          </w:rPr>
          <w:drawing>
            <wp:inline distT="0" distB="0" distL="0" distR="0" wp14:anchorId="34B18B95" wp14:editId="1A44919F">
              <wp:extent cx="152400" cy="152400"/>
              <wp:effectExtent l="0" t="0" r="0" b="0"/>
              <wp:docPr id="170" name="Picture 17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2" w:name="ap29.8.1926_1968.e"/>
      <w:bookmarkEnd w:id="42"/>
      <w:r w:rsidRPr="009F74C5">
        <w:rPr>
          <w:rFonts w:ascii="Arial" w:eastAsia="Times New Roman" w:hAnsi="Arial" w:cs="Arial"/>
          <w:b/>
          <w:bCs/>
          <w:sz w:val="20"/>
          <w:szCs w:val="20"/>
        </w:rPr>
        <w:t>Appendix E to Subpart V of Part 1926—Protection From Flames and Electric Arcs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 Introduction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 of §1926.960 addresses protecting employees from flames and electric arcs. This paragraph requires employers to: (1) Assess the workplace for flame and electric-arc hazards (paragraph (g)(1)); (2) estimate the available heat energy from electric arcs to which employees would be exposed (paragraph (g)(2)); (3) ensure that employees wear clothing that will not melt, or ignite and continue to burn, when exposed to flames or the estimated heat energy (paragraph (g)(3)); and (4) ensure that employees wear flame-resistant clothing</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 xml:space="preserve"> and protective clothing and other protective equipment that has an arc rating greater than or equal to the available heat energy under certain conditions (paragraphs (g)(4) and (g)(5)). This appendix contains information to help employers estimate available heat energy as required by §1926.960(g)(2), select protective clothing and other protective equipment with an arc </w:t>
      </w:r>
      <w:r w:rsidRPr="009F74C5">
        <w:rPr>
          <w:rFonts w:ascii="Arial" w:eastAsia="Times New Roman" w:hAnsi="Arial" w:cs="Arial"/>
          <w:sz w:val="20"/>
          <w:szCs w:val="20"/>
        </w:rPr>
        <w:lastRenderedPageBreak/>
        <w:t>rating suitable for the available heat energy as required by §1926.960(g)(5), and ensure that employees do not wear flammable clothing that could lead to burn injury as addressed by §§1926.960(g)(3) and (g)(4).</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 xml:space="preserve">Flame-resistant clothing includes clothing that is inherently flame resistant and clothing chemically treated with a flame retardant. (See ASTM F1506-10a, </w:t>
      </w:r>
      <w:r w:rsidRPr="009F74C5">
        <w:rPr>
          <w:rFonts w:ascii="Arial" w:eastAsia="Times New Roman" w:hAnsi="Arial" w:cs="Arial"/>
          <w:i/>
          <w:iCs/>
          <w:sz w:val="18"/>
          <w:szCs w:val="18"/>
        </w:rPr>
        <w:t>Standard Performance Specification for Flame Resistant Textile Materials for Wearing Apparel for Use by Electrical Workers Exposed to Momentary Electric Arc and Related Thermal Hazards,</w:t>
      </w:r>
      <w:r w:rsidRPr="009F74C5">
        <w:rPr>
          <w:rFonts w:ascii="Arial" w:eastAsia="Times New Roman" w:hAnsi="Arial" w:cs="Arial"/>
          <w:sz w:val="18"/>
          <w:szCs w:val="18"/>
        </w:rPr>
        <w:t xml:space="preserve"> and ASTM F1891-12 </w:t>
      </w:r>
      <w:r w:rsidRPr="009F74C5">
        <w:rPr>
          <w:rFonts w:ascii="Arial" w:eastAsia="Times New Roman" w:hAnsi="Arial" w:cs="Arial"/>
          <w:i/>
          <w:iCs/>
          <w:sz w:val="18"/>
          <w:szCs w:val="18"/>
        </w:rPr>
        <w:t>Standard Specification for Arc and Flame Resistant Rainwear.</w:t>
      </w:r>
      <w:r w:rsidRPr="009F74C5">
        <w:rPr>
          <w:rFonts w:ascii="Arial" w:eastAsia="Times New Roman" w:hAnsi="Arial" w:cs="Arial"/>
          <w:sz w:val="18"/>
          <w:szCs w:val="18"/>
        </w:rPr>
        <w:t>)</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 Assessing the Workplace for Flame and Electric-Arc Hazards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(g)(1) of §1926.960 requires the employer to assess the workplace to identify employees exposed to hazards from flames or from electric arcs. This provision ensures that the employer evaluates employee exposure to flames and electric arcs so that employees who face such exposures receive the required protection. The employer must conduct an assessment for each employee who performs work on or near exposed, energized parts of electric circuits.</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A. Assessment Guidelines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Sources electric arcs.</w:t>
      </w:r>
      <w:r w:rsidRPr="009F74C5">
        <w:rPr>
          <w:rFonts w:ascii="Arial" w:eastAsia="Times New Roman" w:hAnsi="Arial" w:cs="Arial"/>
          <w:sz w:val="20"/>
          <w:szCs w:val="20"/>
        </w:rPr>
        <w:t xml:space="preserve"> Consider possible sources of electric arcs, including: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Energized circuit parts not guarded or insulated,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Switching devices that produce electric arcs in normal operation,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Sliding parts that could fault during operation (for example, rack-mounted circuit breakers),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Energized electric equipment that could fail (for example, electric equipment with damaged insulation or with evidence of arcing or overheating).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Exposure to flames.</w:t>
      </w:r>
      <w:r w:rsidRPr="009F74C5">
        <w:rPr>
          <w:rFonts w:ascii="Arial" w:eastAsia="Times New Roman" w:hAnsi="Arial" w:cs="Arial"/>
          <w:sz w:val="20"/>
          <w:szCs w:val="20"/>
        </w:rPr>
        <w:t xml:space="preserve"> Identify employees exposed to hazards from flames. Factors to consider include: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The proximity of employees to open flames,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For flammable material in the work area, whether there is a reasonable likelihood that an electric arc or an open flame can ignite the material.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Probability that an electric arc will occur.</w:t>
      </w:r>
      <w:r w:rsidRPr="009F74C5">
        <w:rPr>
          <w:rFonts w:ascii="Arial" w:eastAsia="Times New Roman" w:hAnsi="Arial" w:cs="Arial"/>
          <w:sz w:val="20"/>
          <w:szCs w:val="20"/>
        </w:rPr>
        <w:t xml:space="preserve"> Identify employees exposed to electric-arc hazards. The Occupational Safety and Health Administration will consider an employee exposed to electric-arc hazards if there is a reasonable likelihood that an electric arc will occur in the employee's work area, in other words, if the probability of such an event is higher than it is for the normal operation of enclosed equipment. Factors to consider include: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For energized circuit parts not guarded or insulated, whether conductive objects can come too close to or fall onto the energized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For exposed, energized circuit parts, whether the employee is closer to the part than the minimum approach distance established by the employer (as permitted by §1926.960(c)(1)(iii)).</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lastRenderedPageBreak/>
        <w:t>•</w:t>
      </w:r>
      <w:r w:rsidRPr="009F74C5">
        <w:rPr>
          <w:rFonts w:ascii="Arial" w:eastAsia="Times New Roman" w:hAnsi="Arial" w:cs="Arial"/>
          <w:sz w:val="20"/>
          <w:szCs w:val="20"/>
        </w:rPr>
        <w:t>  Whether the operation of electric equipment with sliding parts that could fault during operation is part of the normal operation of the equipment or occurs during servicing or maintenance,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For energized electric equipment, whether there is evidence of impending failure, such as evidence of arcing or overheating.</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B. Examples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Table 1 provides task-based examples of exposure assessments.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1—Example Assessments for Various Tasks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430"/>
        <w:gridCol w:w="5136"/>
        <w:gridCol w:w="181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r>
      <w:tr w:rsidR="00D70103" w:rsidRPr="009F74C5" w:rsidTr="00402AAF">
        <w:trPr>
          <w:jc w:val="center"/>
        </w:trPr>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Task</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Is employee exposed to flame or electric-arc hazard?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Normal operation of enclosed equipment, such as closing or opening a switch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 employer properly installs and maintains enclosed equipment, and there is no evidence of impending failure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No.</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There is evidence of arcing or overheating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Parts of the equipment are loose or sticking, or the equipment otherwise exhibits signs of lack of maintenance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r w:rsidR="00D70103" w:rsidRPr="009F74C5" w:rsidTr="00402AAF">
        <w:trPr>
          <w:jc w:val="center"/>
        </w:trPr>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Servicing electric equipment, such as racking in a circuit breaker or replacing a switch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Inspection of electric equipment with exposed energized parts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 employee is not holding conductive objects and remains outside the minimum approach distance established by the employer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No.</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 employee is holding a conductive object, such as a flashlight, that could fall or otherwise contact energized parts (irrespective of whether the employee maintains the minimum approach distance)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The employee is closer than the minimum approach distance established by the employer (for example, when wearing rubber insulating gloves or rubber insulating gloves and sleeves)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r w:rsidR="00D70103" w:rsidRPr="009F74C5" w:rsidTr="00402AAF">
        <w:trPr>
          <w:jc w:val="center"/>
        </w:trPr>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Using open flames, for example, in wiping cable splice sleeves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Yes.</w:t>
            </w:r>
          </w:p>
        </w:tc>
      </w:tr>
    </w:tbl>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III. Protection Against Burn Injury</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A. Estimating Available Heat Energy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Calculation methods.</w:t>
      </w:r>
      <w:r w:rsidRPr="009F74C5">
        <w:rPr>
          <w:rFonts w:ascii="Arial" w:eastAsia="Times New Roman" w:hAnsi="Arial" w:cs="Arial"/>
          <w:sz w:val="20"/>
          <w:szCs w:val="20"/>
        </w:rPr>
        <w:t xml:space="preserve"> Paragraph (g)(2) of §1926.960 provides that, for each employee exposed to an electric-arc hazard, the employer must make a reasonable estimate of the heat energy to which the employee would be exposed if an arc occurs. Table 2 lists various methods of calculating values of available heat energy from an electric circuit. The Occupational Safety and Health Administration does </w:t>
      </w:r>
      <w:r w:rsidRPr="009F74C5">
        <w:rPr>
          <w:rFonts w:ascii="Arial" w:eastAsia="Times New Roman" w:hAnsi="Arial" w:cs="Arial"/>
          <w:sz w:val="20"/>
          <w:szCs w:val="20"/>
        </w:rPr>
        <w:lastRenderedPageBreak/>
        <w:t>not endorse any of these specific methods. Each method requires the input of various parameters, such as fault current, the expected length of the electric arc, the distance from the arc to the employee, and the clearing time for the fault (that is, the time the circuit protective devices take to open the circuit and clear the fault). The employer can precisely determine some of these parameters, such as the fault current and the clearing time, for a given system. The employer will need to estimate other parameters, such as the length of the arc and the distance between the arc and the employee, because such parameters vary widely.</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2—Methods of Calculating Incident Heat Energy From an Electric Arc</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9384"/>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Standard for Electrical Safety Requirements for Employee Workplaces,</w:t>
            </w:r>
            <w:r w:rsidRPr="009F74C5">
              <w:rPr>
                <w:rFonts w:ascii="Arial" w:eastAsia="Times New Roman" w:hAnsi="Arial" w:cs="Arial"/>
                <w:sz w:val="20"/>
                <w:szCs w:val="20"/>
              </w:rPr>
              <w:t xml:space="preserve"> NFPA 70E-2012, Annex D, “Sample Calculation of Flash Protection Boundary.”</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xml:space="preserve">2. Doughty, T.E., Neal, T.E., and Floyd II, H.L., “Predicting Incident Energy to Better Manage the Electric Arc Hazard on 600 V Power Distribution Systems,” </w:t>
            </w:r>
            <w:r w:rsidRPr="009F74C5">
              <w:rPr>
                <w:rFonts w:ascii="Arial" w:eastAsia="Times New Roman" w:hAnsi="Arial" w:cs="Arial"/>
                <w:i/>
                <w:iCs/>
                <w:sz w:val="20"/>
                <w:szCs w:val="20"/>
              </w:rPr>
              <w:t>Record of Conference Papers IEEE IAS 45th Annual Petroleum and Chemical Industry Conference,</w:t>
            </w:r>
            <w:r w:rsidRPr="009F74C5">
              <w:rPr>
                <w:rFonts w:ascii="Arial" w:eastAsia="Times New Roman" w:hAnsi="Arial" w:cs="Arial"/>
                <w:sz w:val="20"/>
                <w:szCs w:val="20"/>
              </w:rPr>
              <w:t xml:space="preserve"> September 28—30, 1998.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Guide for Performing Arc-Flash Hazard Calculations,</w:t>
            </w:r>
            <w:r w:rsidRPr="009F74C5">
              <w:rPr>
                <w:rFonts w:ascii="Arial" w:eastAsia="Times New Roman" w:hAnsi="Arial" w:cs="Arial"/>
                <w:sz w:val="20"/>
                <w:szCs w:val="20"/>
              </w:rPr>
              <w:t xml:space="preserve"> IEEE Std 1584-2002, 1584a--2004 (Amendment 1 to IEEE Std 1584-2002), and 1584b-2011 (Amendment 2: Changes to Clause 4 of IEEE Std 1584-2002).*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 ARCPRO, a commercially available software program developed by Kinectrics, Toronto, ON, CA.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*This appendix refers to IEEE Std 1584-2002 with both amendments as IEEE Std 1584b-2011.</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amount of heat energy calculated by any of the methods is approximatelyinversely proportional to the square of the distance between the employee and the arc. In other words, if the employee is very close to the arc, the heat energy is very high; but if the employee is just a few more centimeters away, the heat energy drops substantially. Thus, estimating the distance from the arc to the employee is key to protecting employees.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employer must select a method of estimating incident heat energy that provides a reasonable estimate of incident heat energy for the exposure involved. Table 3 shows which methods provide reasonable estimates for various exposures.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3—Selecting a Reasonable Incident-Energy Calculation Method</w:t>
      </w:r>
      <w:r w:rsidRPr="009F74C5">
        <w:rPr>
          <w:rFonts w:ascii="Arial" w:eastAsia="Times New Roman" w:hAnsi="Arial" w:cs="Arial"/>
          <w:b/>
          <w:bCs/>
          <w:smallCaps/>
          <w:sz w:val="20"/>
          <w:szCs w:val="20"/>
          <w:vertAlign w:val="superscript"/>
        </w:rPr>
        <w:t>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180"/>
        <w:gridCol w:w="543"/>
        <w:gridCol w:w="604"/>
        <w:gridCol w:w="620"/>
        <w:gridCol w:w="508"/>
        <w:gridCol w:w="565"/>
        <w:gridCol w:w="580"/>
        <w:gridCol w:w="473"/>
        <w:gridCol w:w="647"/>
        <w:gridCol w:w="664"/>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Incident-energy calculation method</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600 V and Less</w:t>
            </w:r>
            <w:r w:rsidRPr="009F74C5">
              <w:rPr>
                <w:rFonts w:ascii="Arial" w:eastAsia="Times New Roman" w:hAnsi="Arial" w:cs="Arial"/>
                <w:b/>
                <w:bCs/>
                <w:sz w:val="20"/>
                <w:szCs w:val="20"/>
                <w:vertAlign w:val="superscript"/>
              </w:rPr>
              <w:t>2</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601 V to 15 kV</w:t>
            </w:r>
            <w:r w:rsidRPr="009F74C5">
              <w:rPr>
                <w:rFonts w:ascii="Arial" w:eastAsia="Times New Roman" w:hAnsi="Arial" w:cs="Arial"/>
                <w:b/>
                <w:bCs/>
                <w:sz w:val="20"/>
                <w:szCs w:val="20"/>
                <w:vertAlign w:val="superscript"/>
              </w:rPr>
              <w:t>2</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More than 15 kV</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1Φ</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1Φ</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1Φ</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3Φb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NFPA 70E-2012 Annex D (Lee equation)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r w:rsidRPr="009F74C5">
              <w:rPr>
                <w:rFonts w:ascii="Arial" w:eastAsia="Times New Roman" w:hAnsi="Arial" w:cs="Arial"/>
                <w:sz w:val="20"/>
                <w:szCs w:val="20"/>
                <w:vertAlign w:val="superscript"/>
              </w:rPr>
              <w:t>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r w:rsidRPr="009F74C5">
              <w:rPr>
                <w:rFonts w:ascii="Arial" w:eastAsia="Times New Roman" w:hAnsi="Arial" w:cs="Arial"/>
                <w:sz w:val="20"/>
                <w:szCs w:val="20"/>
                <w:vertAlign w:val="superscript"/>
              </w:rPr>
              <w:t>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r w:rsidRPr="009F74C5">
              <w:rPr>
                <w:rFonts w:ascii="Arial" w:eastAsia="Times New Roman" w:hAnsi="Arial" w:cs="Arial"/>
                <w:sz w:val="20"/>
                <w:szCs w:val="20"/>
                <w:vertAlign w:val="superscript"/>
              </w:rPr>
              <w:t>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Doughty, Neal, and Floyd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IEEE Std 1584b-2011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ARCPRO</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r w:rsidRPr="009F74C5">
              <w:rPr>
                <w:rFonts w:ascii="Arial" w:eastAsia="Times New Roman" w:hAnsi="Arial" w:cs="Arial"/>
                <w:sz w:val="20"/>
                <w:szCs w:val="20"/>
                <w:vertAlign w:val="superscript"/>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Y</w:t>
            </w:r>
            <w:r w:rsidRPr="009F74C5">
              <w:rPr>
                <w:rFonts w:ascii="Arial" w:eastAsia="Times New Roman" w:hAnsi="Arial" w:cs="Arial"/>
                <w:sz w:val="20"/>
                <w:szCs w:val="20"/>
                <w:vertAlign w:val="superscript"/>
              </w:rPr>
              <w:t>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Key: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1Φ: Single-phase arc in open air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3Φa: Three-phase arc in open air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3Φb: Three-phase arc in an enclosure (box)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Y: Acceptable; produces a reasonable estimate of incident heat energy from this type of electric arc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Not acceptable; does not produce a reasonable estimate of incident heat energy from this type of electric arc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Y-C: Acceptable; produces a reasonable, but conservative, estimate of incident heat energy from this type of electric arc.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Notes:</w:t>
      </w:r>
      <w:r w:rsidRPr="009F74C5">
        <w:rPr>
          <w:rFonts w:ascii="Arial" w:eastAsia="Times New Roman" w:hAnsi="Arial" w:cs="Arial"/>
          <w:sz w:val="20"/>
          <w:szCs w:val="20"/>
          <w:vertAlign w:val="superscript"/>
        </w:rPr>
        <w:t>1</w:t>
      </w:r>
      <w:r w:rsidRPr="009F74C5">
        <w:rPr>
          <w:rFonts w:ascii="Arial" w:eastAsia="Times New Roman" w:hAnsi="Arial" w:cs="Arial"/>
          <w:sz w:val="20"/>
          <w:szCs w:val="20"/>
        </w:rPr>
        <w:t>Although the Occupational Safety and Health Administration will consider these methods reasonable for enforcement purposes when employers use the methods in accordance with this table, employers should be aware that the listed methods do not necessarily result in estimates that will provide full protection from internal faults in transformers and similar equipment or from arcs in underground manholes or vaults.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At these voltages, the presumption is that the arc is three-phase unless the employer can demonstrate that only one phase is present or that the spacing of the phases is sufficient to prevent a multiphase arc from occurring.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3</w:t>
      </w:r>
      <w:r w:rsidRPr="009F74C5">
        <w:rPr>
          <w:rFonts w:ascii="Arial" w:eastAsia="Times New Roman" w:hAnsi="Arial" w:cs="Arial"/>
          <w:sz w:val="20"/>
          <w:szCs w:val="20"/>
        </w:rPr>
        <w:t>Although the Occupational Safety and Health Administration will consider this method acceptable for purposes of assessing whether incident energy exceeds 2.0 cal/cm</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the results at voltages of more than 15 kilovolts are extremely conservative and unrealistic.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4</w:t>
      </w:r>
      <w:r w:rsidRPr="009F74C5">
        <w:rPr>
          <w:rFonts w:ascii="Arial" w:eastAsia="Times New Roman" w:hAnsi="Arial" w:cs="Arial"/>
          <w:sz w:val="20"/>
          <w:szCs w:val="20"/>
        </w:rPr>
        <w:t>The Occupational Safety and Health Administration will deem the results of this method reasonable when the employer adjusts them using the conversion factors for three-phase arcs in open air or in an enclosure, as indicated in the program's instructions.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Selecting a reasonable distance from the employee to the arc.</w:t>
      </w:r>
      <w:r w:rsidRPr="009F74C5">
        <w:rPr>
          <w:rFonts w:ascii="Arial" w:eastAsia="Times New Roman" w:hAnsi="Arial" w:cs="Arial"/>
          <w:sz w:val="20"/>
          <w:szCs w:val="20"/>
        </w:rPr>
        <w:t xml:space="preserve"> In estimating available heat energy, the employer must make some reasonable assumptions about how far the employee will be from the electric arc. Table 4 lists reasonable distances from the employee to the electric arc. The distances in Table 4 are consistent with national consensus standards, such as the Institute of Electrical and Electronic Engineers' </w:t>
      </w:r>
      <w:r w:rsidRPr="009F74C5">
        <w:rPr>
          <w:rFonts w:ascii="Arial" w:eastAsia="Times New Roman" w:hAnsi="Arial" w:cs="Arial"/>
          <w:i/>
          <w:iCs/>
          <w:sz w:val="20"/>
          <w:szCs w:val="20"/>
        </w:rPr>
        <w:t>National Electrical Safety Code,</w:t>
      </w:r>
      <w:r w:rsidRPr="009F74C5">
        <w:rPr>
          <w:rFonts w:ascii="Arial" w:eastAsia="Times New Roman" w:hAnsi="Arial" w:cs="Arial"/>
          <w:sz w:val="20"/>
          <w:szCs w:val="20"/>
        </w:rPr>
        <w:t xml:space="preserve"> ANSI/IEEE C2-2012, and </w:t>
      </w:r>
      <w:r w:rsidRPr="009F74C5">
        <w:rPr>
          <w:rFonts w:ascii="Arial" w:eastAsia="Times New Roman" w:hAnsi="Arial" w:cs="Arial"/>
          <w:i/>
          <w:iCs/>
          <w:sz w:val="20"/>
          <w:szCs w:val="20"/>
        </w:rPr>
        <w:t>IEEE Guide for Performing Arc-Flash Hazard Calculations,</w:t>
      </w:r>
      <w:r w:rsidRPr="009F74C5">
        <w:rPr>
          <w:rFonts w:ascii="Arial" w:eastAsia="Times New Roman" w:hAnsi="Arial" w:cs="Arial"/>
          <w:sz w:val="20"/>
          <w:szCs w:val="20"/>
        </w:rPr>
        <w:t xml:space="preserve"> IEEE Std 1584b-2011. The employer is free to use other reasonable distances, but must consider equipment enclosure size and the working distance to the employee in selecting a distance from the employee to the arc. The Occupational Safety and Health Administration will consider a distance reasonable when the employer bases it on equipment size and working distance.</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4—Selecting a Reasonable Distance from the Employee to the Electric Arc</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689"/>
        <w:gridCol w:w="1963"/>
        <w:gridCol w:w="1732"/>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Class of equipment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Single-phase arc mm</w:t>
            </w:r>
            <w:r w:rsidRPr="009F74C5">
              <w:rPr>
                <w:rFonts w:ascii="Arial" w:eastAsia="Times New Roman" w:hAnsi="Arial" w:cs="Arial"/>
                <w:b/>
                <w:bCs/>
                <w:sz w:val="20"/>
                <w:szCs w:val="20"/>
              </w:rPr>
              <w:br/>
              <w:t>(inches)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Three-phase arc mm</w:t>
            </w:r>
            <w:r w:rsidRPr="009F74C5">
              <w:rPr>
                <w:rFonts w:ascii="Arial" w:eastAsia="Times New Roman" w:hAnsi="Arial" w:cs="Arial"/>
                <w:b/>
                <w:bCs/>
                <w:sz w:val="20"/>
                <w:szCs w:val="20"/>
              </w:rPr>
              <w:br/>
              <w:t>(inches)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Cable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455 (18)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Low voltage MCCs and panelboards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455 (18)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Low-voltage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610 (24)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5-kV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910 (36)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15-kV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910 (36)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Single conductors in air (up to 46 kilovolts), work with rubber insulating gloves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380 (15)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Single conductors in air, work with live-line tools and live-line barehand work</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MAD−(2×</w:t>
            </w:r>
            <w:r w:rsidRPr="009F74C5">
              <w:rPr>
                <w:rFonts w:ascii="Arial" w:eastAsia="Times New Roman" w:hAnsi="Arial" w:cs="Arial"/>
                <w:i/>
                <w:iCs/>
                <w:sz w:val="20"/>
                <w:szCs w:val="20"/>
              </w:rPr>
              <w:t>kV</w:t>
            </w:r>
            <w:r w:rsidRPr="009F74C5">
              <w:rPr>
                <w:rFonts w:ascii="Arial" w:eastAsia="Times New Roman" w:hAnsi="Arial" w:cs="Arial"/>
                <w:sz w:val="20"/>
                <w:szCs w:val="20"/>
              </w:rPr>
              <w:t>×2.54)</w:t>
            </w:r>
            <w:r w:rsidRPr="009F74C5">
              <w:rPr>
                <w:rFonts w:ascii="Arial" w:eastAsia="Times New Roman" w:hAnsi="Arial" w:cs="Arial"/>
                <w:sz w:val="20"/>
                <w:szCs w:val="20"/>
              </w:rPr>
              <w:br/>
              <w:t>(MAD−(2×</w:t>
            </w:r>
            <w:r w:rsidRPr="009F74C5">
              <w:rPr>
                <w:rFonts w:ascii="Arial" w:eastAsia="Times New Roman" w:hAnsi="Arial" w:cs="Arial"/>
                <w:i/>
                <w:iCs/>
                <w:sz w:val="20"/>
                <w:szCs w:val="20"/>
              </w:rPr>
              <w:t>kV</w:t>
            </w:r>
            <w:r w:rsidRPr="009F74C5">
              <w:rPr>
                <w:rFonts w:ascii="Arial" w:eastAsia="Times New Roman" w:hAnsi="Arial" w:cs="Arial"/>
                <w:sz w:val="20"/>
                <w:szCs w:val="20"/>
              </w:rPr>
              <w:t>/10))</w:t>
            </w:r>
            <w:r w:rsidRPr="009F74C5">
              <w:rPr>
                <w:rFonts w:ascii="Arial" w:eastAsia="Times New Roman" w:hAnsi="Arial" w:cs="Arial"/>
                <w:sz w:val="14"/>
                <w:szCs w:val="14"/>
                <w:vertAlign w:val="superscript"/>
              </w:rPr>
              <w: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NA = not applicable.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terms in this equation are: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MAD</w:t>
      </w:r>
      <w:r w:rsidRPr="009F74C5">
        <w:rPr>
          <w:rFonts w:ascii="Arial" w:eastAsia="Times New Roman" w:hAnsi="Arial" w:cs="Arial"/>
          <w:sz w:val="20"/>
          <w:szCs w:val="20"/>
        </w:rPr>
        <w:t xml:space="preserve"> = The applicable minimum approach distance,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kV</w:t>
      </w:r>
      <w:r w:rsidRPr="009F74C5">
        <w:rPr>
          <w:rFonts w:ascii="Arial" w:eastAsia="Times New Roman" w:hAnsi="Arial" w:cs="Arial"/>
          <w:sz w:val="20"/>
          <w:szCs w:val="20"/>
        </w:rPr>
        <w:t xml:space="preserve"> = The system voltage in kilovolts.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Selecting a reasonable arc gap.</w:t>
      </w:r>
      <w:r w:rsidRPr="009F74C5">
        <w:rPr>
          <w:rFonts w:ascii="Arial" w:eastAsia="Times New Roman" w:hAnsi="Arial" w:cs="Arial"/>
          <w:sz w:val="20"/>
          <w:szCs w:val="20"/>
        </w:rPr>
        <w:t xml:space="preserve"> For a single-phase arc in air, the electric arc will almost always occur when an energized conductor approaches too close to ground. Thus, an employer can determine the arc gap, or arc length, for these exposures by the dielectric strength of air and the voltage on the line. The dielectric strength of air is approximately 10 kilovolts for every 25.4 millimeters (1 inch). For example, at 50 kilovolts, the arc gap would be 50 ÷ 10 × 25.4 (or 50 × 2.54), which equals 127 millimeters (5 inches).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For three-phase arcs in open air and in enclosures, the arc gap will generally be dependent on the spacing between parts energized at different electrical potentials. Documents such as IEEE Std 1584b-2011 provide information on these distances. Employers may select a reasonable arc gap from Table 5, or they may select any other reasonable arc gap based on sparkover distance or on the spacing between (1) live parts at different potentials or (2) live parts and grounded parts (for example, bus or conductor spacings in equipment). In any event, the employer must use an estimate that reasonably resembles the actual exposures faced by the employee.</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5—Selecting a Reasonable Arc Gap</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103"/>
        <w:gridCol w:w="4152"/>
        <w:gridCol w:w="2129"/>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Class of equipment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Single-phase arc mm</w:t>
            </w:r>
            <w:r w:rsidRPr="009F74C5">
              <w:rPr>
                <w:rFonts w:ascii="Arial" w:eastAsia="Times New Roman" w:hAnsi="Arial" w:cs="Arial"/>
                <w:b/>
                <w:bCs/>
                <w:sz w:val="20"/>
                <w:szCs w:val="20"/>
              </w:rPr>
              <w:br/>
              <w:t>(inches)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Three-phase arc mm</w:t>
            </w:r>
            <w:r w:rsidRPr="009F74C5">
              <w:rPr>
                <w:rFonts w:ascii="Arial" w:eastAsia="Times New Roman" w:hAnsi="Arial" w:cs="Arial"/>
                <w:b/>
                <w:bCs/>
                <w:sz w:val="20"/>
                <w:szCs w:val="20"/>
                <w:vertAlign w:val="superscript"/>
              </w:rPr>
              <w:t>1</w:t>
            </w:r>
            <w:r w:rsidRPr="009F74C5">
              <w:rPr>
                <w:rFonts w:ascii="Arial" w:eastAsia="Times New Roman" w:hAnsi="Arial" w:cs="Arial"/>
                <w:b/>
                <w:bCs/>
                <w:sz w:val="20"/>
                <w:szCs w:val="20"/>
              </w:rPr>
              <w:br/>
              <w:t>(inches)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Cable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 (0.5)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Low voltage MCCs and panelboards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 (1.0)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Low-voltage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 (1.25)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5-kV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104 (4.0)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15-kV switchgear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152 (6.0)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Single conductors in air, 15 kV and less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 (2.0)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Phase conductor spacings.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Single conductor in air, more than 15 kV</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Voltage in kV × 2.54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(Voltage in kV × 0.1), but no less than 51 mm (2 inches)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Phase conductor spacings.</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t>1</w:t>
      </w:r>
      <w:r w:rsidRPr="009F74C5">
        <w:rPr>
          <w:rFonts w:ascii="Arial" w:eastAsia="Times New Roman" w:hAnsi="Arial" w:cs="Arial"/>
          <w:sz w:val="20"/>
          <w:szCs w:val="20"/>
        </w:rPr>
        <w:t>Source: IEEE Std 1584b-2011.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vertAlign w:val="superscript"/>
        </w:rPr>
        <w:lastRenderedPageBreak/>
        <w:t>2</w:t>
      </w:r>
      <w:r w:rsidRPr="009F74C5">
        <w:rPr>
          <w:rFonts w:ascii="Arial" w:eastAsia="Times New Roman" w:hAnsi="Arial" w:cs="Arial"/>
          <w:sz w:val="20"/>
          <w:szCs w:val="20"/>
        </w:rPr>
        <w:t>NA = not applicable.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Making estimates over multiple system areas.</w:t>
      </w:r>
      <w:r w:rsidRPr="009F74C5">
        <w:rPr>
          <w:rFonts w:ascii="Arial" w:eastAsia="Times New Roman" w:hAnsi="Arial" w:cs="Arial"/>
          <w:sz w:val="20"/>
          <w:szCs w:val="20"/>
        </w:rPr>
        <w:t xml:space="preserve"> The employer need not estimate the heat-energy exposure for every job task performed by each employee. Paragraph (g)(2) of §1926.960 permits the employer to make broad estimates that cover multiple system areas provided that: (1) The employer uses reasonable assumptions about the energy-exposure distribution throughout the system, and (2) the estimates represent the maximum exposure for those areas. For example, the employer can use the maximum fault current and clearing time to cover several system areas at once.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Incident heat energy for single-phase-to-ground exposures.</w:t>
      </w:r>
      <w:r w:rsidRPr="009F74C5">
        <w:rPr>
          <w:rFonts w:ascii="Arial" w:eastAsia="Times New Roman" w:hAnsi="Arial" w:cs="Arial"/>
          <w:sz w:val="20"/>
          <w:szCs w:val="20"/>
        </w:rPr>
        <w:t xml:space="preserve"> Table 6 and Table 7 provide incident heat energy levels for open-air, phase-to-ground electric-arc exposures typical for overhead systems.</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Table 6 presents estimates of available energy for employees using rubber insulating gloves to perform work on overhead systems operating at 4 to 46 kilovolts. The table assumes that the employee will be 380 millimeters (15 inches) from the electric arc, which is a reasonable estimate for rubber insulating glove work. Table 6 also assumes that the arc length equals the sparkover distance for the maximum transient overvoltage of each voltage range.</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xml:space="preserve"> To use the table, an employer would use the voltage, maximum fault current, and maximum clearing time for a system area and, using the appropriate voltage range and fault-current and clearing-time values corresponding to the next higher values listed in the table, select the appropriate heat energy (4, 5, 8, or 12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from the table. For example, an employer might have a 12,470-volt power line supplying a system area. The power line can supply a maximum fault current of 8 kiloamperes with a maximum clearing time of 10 cycles. For rubber glove work, this system falls in the 4.0-to-15.0-kilovolt range; the next-higher fault current is 10 kA (the second row in that voltage range); and the clearing time is under 18 cycles (the first column to the right of the fault current column). Thus, the available heat energy for this part of the system will be 4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or less (from the column heading), and the employer could select protection with a 5-cal/cm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rating to meet §1926.960(g)(5). Alternatively, an employer could select a base incident-energy value and ensure that the clearing times for each voltage range and fault current listed in the table do not exceed the corresponding clearing time specified in the table. For example, an employer that provides employees with arc-flash protective equipment rated at 8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can use the table to determine if any system area exceeds 8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by checking the clearing time for the highest fault current for each voltage range and ensuring that the clearing times do not exceed the values specified in the 8-cal/cm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column in the table.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The Occupational Safety and Health Administration used metric values to calculate the clearing times in Table 6 and Table 7. An employer may use English units to calculate clearing times instead even though the results will differ slightly.</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3</w:t>
      </w:r>
      <w:r w:rsidRPr="009F74C5">
        <w:rPr>
          <w:rFonts w:ascii="Arial" w:eastAsia="Times New Roman" w:hAnsi="Arial" w:cs="Arial"/>
          <w:sz w:val="18"/>
          <w:szCs w:val="18"/>
        </w:rPr>
        <w:t>The Occupational Safety and Health Administration based this assumption, which is more conservative than the arc length specified in Table 5, on Table 410-2 of the 2012 NESC.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Table 7 presents similar estimates for employees using live-line tools to perform work on overhead systems operating at voltages of 4 to 800 kilovolts. The table assumes that the arc length will be equal to the sparkover distance</w:t>
      </w:r>
      <w:r w:rsidRPr="009F74C5">
        <w:rPr>
          <w:rFonts w:ascii="Arial" w:eastAsia="Times New Roman" w:hAnsi="Arial" w:cs="Arial"/>
          <w:sz w:val="14"/>
          <w:szCs w:val="14"/>
          <w:vertAlign w:val="superscript"/>
        </w:rPr>
        <w:t>4</w:t>
      </w:r>
      <w:r w:rsidRPr="009F74C5">
        <w:rPr>
          <w:rFonts w:ascii="Arial" w:eastAsia="Times New Roman" w:hAnsi="Arial" w:cs="Arial"/>
          <w:sz w:val="20"/>
          <w:szCs w:val="20"/>
        </w:rPr>
        <w:t xml:space="preserve"> and that the employee will be a distance from the arc equal to the minimum approach distance minus twice the sparkover distance.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4</w:t>
      </w:r>
      <w:r w:rsidRPr="009F74C5">
        <w:rPr>
          <w:rFonts w:ascii="Arial" w:eastAsia="Times New Roman" w:hAnsi="Arial" w:cs="Arial"/>
          <w:sz w:val="18"/>
          <w:szCs w:val="18"/>
        </w:rPr>
        <w:t>The dielectric strength of air is about 10 kilovolts for every 25.4 millimeters (1 inch). Thus, the employer can estimate the arc length in millimeters to be the phase-to-ground voltage in kilovolts multiplied by 2.54 (or voltage (in kilovolts) × 2.54).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employer will need to use other methods for estimating available heat energy in situations not addressed by Table 6 or Table 7. The calculation methods listed in Table 2 and the guidance provided in Table 3 will help employers do this. For example, employers can use IEEE Std 1584b-2011 to estimate the available heat energy (and to select appropriate protective equipment) for many specific conditions, including lower-voltage, phase-to-phase arc, and enclosed arc exposures.</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lastRenderedPageBreak/>
        <w:t>Table 6—Incident Heat Energy for Various Fault Currents, Clearing Times, and Voltages of 4.0 to 46.0 kV: Rubber Insulating Glove Exposures Involving Phase-to-Ground Arcs in Open Air Only</w:t>
      </w:r>
      <w:r w:rsidRPr="009F74C5">
        <w:rPr>
          <w:rFonts w:ascii="Arial" w:eastAsia="Times New Roman" w:hAnsi="Arial" w:cs="Arial"/>
          <w:b/>
          <w:bCs/>
          <w:smallCaps/>
          <w:sz w:val="14"/>
          <w:szCs w:val="14"/>
          <w:vertAlign w:val="superscript"/>
        </w:rPr>
        <w:t>* †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494"/>
        <w:gridCol w:w="2179"/>
        <w:gridCol w:w="1142"/>
        <w:gridCol w:w="1142"/>
        <w:gridCol w:w="1142"/>
        <w:gridCol w:w="1285"/>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 (kV)**</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Fault current (kA)</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clearing time (cycles)</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4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5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8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12 cal/cm</w:t>
            </w:r>
            <w:r w:rsidRPr="009F74C5">
              <w:rPr>
                <w:rFonts w:ascii="Arial" w:eastAsia="Times New Roman" w:hAnsi="Arial" w:cs="Arial"/>
                <w:b/>
                <w:bCs/>
                <w:sz w:val="20"/>
                <w:szCs w:val="20"/>
                <w:vertAlign w:val="super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 to 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 to 25.0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25.1 to 36.0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36.1 to 46.0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This table is for open-air, phase-to-ground electric-arc exposures. It is not for phase-to-phase arcs or enclosed arcs (arc in a box).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table assumes that the employee will be 380 mm (15 in.) from the electric arc. The table also assumes the arc length to be the sparkover distance for the maximum transient overvoltage of each voltage range (see Appendix B to this subpart), as follows: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4.0 to 15.0 kV   51 mm (2 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15.1 to 25.0 kV   102 mm (4 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25.1 to 36.0 kV   152 mm (6 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36.1 to 46.0 kV   229 mm (9 in.)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Occupational Safety and Health Administration calculated the values in this table using the ARCPRO method listed in Table 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lastRenderedPageBreak/>
        <w:t>**</w:t>
      </w:r>
      <w:r w:rsidRPr="009F74C5">
        <w:rPr>
          <w:rFonts w:ascii="Arial" w:eastAsia="Times New Roman" w:hAnsi="Arial" w:cs="Arial"/>
          <w:sz w:val="20"/>
          <w:szCs w:val="20"/>
        </w:rPr>
        <w:t>The voltage range is the phase-to-phase system voltage.</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7—Incident Heat Energy for Various Fault Currents, Clearing Times, and Voltages: Live-Line Tool Exposures Involving Phase-to-Ground Arcs in Open Air Only</w:t>
      </w:r>
      <w:r w:rsidRPr="009F74C5">
        <w:rPr>
          <w:rFonts w:ascii="Arial" w:eastAsia="Times New Roman" w:hAnsi="Arial" w:cs="Arial"/>
          <w:b/>
          <w:bCs/>
          <w:smallCaps/>
          <w:sz w:val="14"/>
          <w:szCs w:val="14"/>
          <w:vertAlign w:val="superscript"/>
        </w:rPr>
        <w:t>* † ‡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024"/>
        <w:gridCol w:w="1873"/>
        <w:gridCol w:w="1330"/>
        <w:gridCol w:w="1330"/>
        <w:gridCol w:w="1330"/>
        <w:gridCol w:w="1497"/>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 range</w:t>
            </w:r>
            <w:r w:rsidRPr="009F74C5">
              <w:rPr>
                <w:rFonts w:ascii="Arial" w:eastAsia="Times New Roman" w:hAnsi="Arial" w:cs="Arial"/>
                <w:b/>
                <w:bCs/>
                <w:sz w:val="20"/>
                <w:szCs w:val="20"/>
              </w:rPr>
              <w:br/>
              <w:t>(kV)**</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Fault current</w:t>
            </w:r>
            <w:r w:rsidRPr="009F74C5">
              <w:rPr>
                <w:rFonts w:ascii="Arial" w:eastAsia="Times New Roman" w:hAnsi="Arial" w:cs="Arial"/>
                <w:b/>
                <w:bCs/>
                <w:sz w:val="20"/>
                <w:szCs w:val="20"/>
              </w:rPr>
              <w:br/>
              <w:t>(kA)</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clearing time (cycles)</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4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5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8 cal/cm</w:t>
            </w:r>
            <w:r w:rsidRPr="009F74C5">
              <w:rPr>
                <w:rFonts w:ascii="Arial" w:eastAsia="Times New Roman" w:hAnsi="Arial" w:cs="Arial"/>
                <w:b/>
                <w:bCs/>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12 cal/cm</w:t>
            </w:r>
            <w:r w:rsidRPr="009F74C5">
              <w:rPr>
                <w:rFonts w:ascii="Arial" w:eastAsia="Times New Roman" w:hAnsi="Arial" w:cs="Arial"/>
                <w:b/>
                <w:bCs/>
                <w:sz w:val="20"/>
                <w:szCs w:val="20"/>
                <w:vertAlign w:val="super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 to 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15.1 to 25.0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25.1 to 36.0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36.1 to 46.0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46.1 to 72.5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72.6 to 121.0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121.1 to 145.0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145.1 to 169.0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169.1 to 242.0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242.1 to 362.0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362.1 to 420.0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420.1 to 550.0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550.1 to 800.0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75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32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*This table is for open-air, phase-to-ground electric-arc exposures. It is not for phase-to-phase arcs or enclosed arcs (arc in a box).</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table assumes the arc length to be the sparkover distance for the maximum phase-to-ground voltage of each voltage range (see Appendix B to this subpart). The table also assumes that the employee will be the minimum approach distance minus twice the arc length from the electric arc.</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Occupational Safety and Health Administration calculated the values in this table using the ARCPRO method listed in Table 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For voltages of more than 72.6 kV, employers may use this table only when the minimum approach distance established under §1926.960(c)(1) is greater than or equal to the following values: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72.6 to 121.0 kV   1.02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121.1 to 145.0 kV   1.16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145.1 to 169.0 kV   1.30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169.1 to 242.0 kV   1.72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242.1 to 362.0 kV   2.76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362.1 to 420.0 kV   2.50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420.1 to 550.0 kV   3.62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550.1 to 800.0 kV   4.83 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voltage range is the phase-to-phase system voltage.</w:t>
      </w:r>
    </w:p>
    <w:p w:rsidR="00D70103" w:rsidRPr="009F74C5" w:rsidRDefault="00D70103" w:rsidP="000507F6">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B. Selecting Protective Clothing and Other Protective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(g)(5) of §1926.960 requires employers, in certain situations, to select protective clothing and other protective equipment with an arc rating that is greater than or equal to the incident heat energy estimated under §1926.960(g)(2). Based on laboratory testing required by ASTM F1506-10a, the expectation is that protective clothing with an arc rating equal to the estimated incident heat energy will be capable of preventing second-degree burn injury to an employee exposed to that incident heat energy from an electric arc. Note that actual electric-arc exposures may be more or less severe than the estimated value because of factors such as arc movement, arc length, arcing from reclosing of the system, secondary fires or explosions, and weather conditions. Additionally, for arc rating based on the fabric's arc thermal performance value</w:t>
      </w:r>
      <w:r w:rsidRPr="009F74C5">
        <w:rPr>
          <w:rFonts w:ascii="Arial" w:eastAsia="Times New Roman" w:hAnsi="Arial" w:cs="Arial"/>
          <w:sz w:val="14"/>
          <w:szCs w:val="14"/>
          <w:vertAlign w:val="superscript"/>
        </w:rPr>
        <w:t>5</w:t>
      </w:r>
      <w:r w:rsidRPr="009F74C5">
        <w:rPr>
          <w:rFonts w:ascii="Arial" w:eastAsia="Times New Roman" w:hAnsi="Arial" w:cs="Arial"/>
          <w:sz w:val="20"/>
          <w:szCs w:val="20"/>
        </w:rPr>
        <w:t xml:space="preserve"> (ATPV), a worker exposed to incident energy at the arc rating has a 50-percent chance of just barely receiving a second-degree burn. Therefore, it is possible (although not likely) that an employee will sustain a second-degree (or worse) burn wearing clothing conforming to §1926.960(g)(5) under certain circumstances. However, reasonable employer estimates and maintaining appropriate minimum approach distances for employees should limit burns to relatively small burns that just barely extend beyond the epidermis (that is, just barely a second-degree burn). Consequently, protective clothing and other protective equipment meeting §1926.960(g)(5) will provide an appropriate degree of protection for an employee exposed to electric-arc hazards.</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5</w:t>
      </w:r>
      <w:r w:rsidRPr="009F74C5">
        <w:rPr>
          <w:rFonts w:ascii="Arial" w:eastAsia="Times New Roman" w:hAnsi="Arial" w:cs="Arial"/>
          <w:sz w:val="18"/>
          <w:szCs w:val="18"/>
        </w:rPr>
        <w:t>ASTM F1506-10a defines “arc thermal performance value” as “the incident energy on a material or a multilayer system of materials that results in a 50% probability that sufficient heat transfer through the tested specimen is predicted to cause the onset of a second-degree skin burn injury based on the Stoll [footnote] curve, cal/cm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The footnote to this definition reads: “Derived from: Stoll, A.M., and Chianta, M.A., `Method and Rating System for Evaluations of Thermal Protection,' Aerospace Medicine, Vol 40, 1969, pp. 1232-1238 and Stoll A.M., and Chianta, M.A., `Heat Transfer through Fabrics as Related to Thermal Injury,' Transactions—New York Academy of Sciences, Vol 33(7), Nov. 1971, pp. 649-670.”</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(g)(5) of §1926.960 does not require arc-rated protection for exposures of 2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or less. Untreated cotton clothing will reduce a 2-cal/cm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exposure below the 1.2- to 1.5-cal/cm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level necessary to cause burn injury, and this material should not ignite at such low heat energy levels. Although §1926.960(g)(5) does not require clothing to have an arc rating when exposures are 2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or less, §1926.960(g)(4) requires the outer layer of clothing to be flame resistant under certain conditions, even when the estimated incident heat energy is less than 2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as discussed later in this appendix. Additionally, it is especially important to ensure that employees do not wear undergarments made from fabrics listed in the note to §1926.960(g)(3) even when the outer layer is flame resistant or arc rated. These fabrics can melt or ignite easily when an electric arc occurs. Logos and name tags made from non-flame-resistant material can adversely affect the arc rating or the flame-resistant characteristics of arc-rated or flame-resistant clothing. Such logos and name tags may violate §1926.960(g)(3), (g)(4), or (g)(5).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Paragraph (g)(5) of §1926.960 requires that arc-rated protection cover the employee's entire body, with limited exceptions for the employee's hands, feet, face, and head. Paragraph (g)(5)(i) of §1926.960 provides that arc-rated protection is not necessary for the employee's hands under the following conditions: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584"/>
        <w:gridCol w:w="5800"/>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   </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For any estimated incident heat energy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When the employee is wearing rubber insulating gloves with protectors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If the estimated incident heat energy does not exceed 14 cal/cm</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When the employee is wearing heavy-duty leather work gloves with a weight of at least 407 gm/m</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(12 oz/yd</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(g)(5)(ii) of §1926.960 provides that arc-rated protection is not necessary for the employee's feet when the employee is wearing heavy-duty work shoes or boots. Finally, §1926.960(g)(5)(iii), (g)(5)(iv), and (g)(5)(v) require arc-rated head and face protection as follows: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722"/>
        <w:gridCol w:w="923"/>
        <w:gridCol w:w="4149"/>
        <w:gridCol w:w="2590"/>
      </w:tblGrid>
      <w:tr w:rsidR="00D70103" w:rsidRPr="009F74C5" w:rsidTr="00402AAF">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Exposure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Minimum head and face protection</w:t>
            </w:r>
          </w:p>
        </w:tc>
      </w:tr>
      <w:tr w:rsidR="00D70103" w:rsidRPr="009F74C5" w:rsidTr="00402A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0103" w:rsidRPr="009F74C5" w:rsidRDefault="00D70103" w:rsidP="000507F6">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None*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Arc-rated faceshield with a minimum rating of 8 cal/cm</w:t>
            </w:r>
            <w:r w:rsidRPr="009F74C5">
              <w:rPr>
                <w:rFonts w:ascii="Arial" w:eastAsia="Times New Roman" w:hAnsi="Arial" w:cs="Arial"/>
                <w:b/>
                <w:bCs/>
                <w:sz w:val="20"/>
                <w:szCs w:val="20"/>
                <w:vertAlign w:val="superscript"/>
              </w:rPr>
              <w:t>2</w:t>
            </w:r>
            <w:r w:rsidRPr="009F74C5">
              <w:rPr>
                <w:rFonts w:ascii="Arial" w:eastAsia="Times New Roman" w:hAnsi="Arial" w:cs="Arial"/>
                <w:b/>
                <w:bCs/>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Arc-rated hood or faceshield with</w:t>
            </w:r>
            <w:r w:rsidRPr="009F74C5">
              <w:rPr>
                <w:rFonts w:ascii="Arial" w:eastAsia="Times New Roman" w:hAnsi="Arial" w:cs="Arial"/>
                <w:b/>
                <w:bCs/>
                <w:sz w:val="20"/>
                <w:szCs w:val="20"/>
              </w:rPr>
              <w:br/>
              <w:t>balaclava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Single-phase, open air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2-8 cal/cm</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9-12 cal/cm</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13 cal/</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or higher.</w:t>
            </w:r>
            <w:r w:rsidRPr="009F74C5">
              <w:rPr>
                <w:rFonts w:ascii="Arial" w:eastAsia="Times New Roman" w:hAnsi="Arial" w:cs="Arial"/>
                <w:sz w:val="14"/>
                <w:szCs w:val="14"/>
                <w:vertAlign w:val="superscript"/>
              </w:rPr>
              <w: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Three-phase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2-4 cal/cm</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5-8 cal/cm</w:t>
            </w:r>
            <w:r w:rsidRPr="009F74C5">
              <w:rPr>
                <w:rFonts w:ascii="Arial" w:eastAsia="Times New Roman" w:hAnsi="Arial" w:cs="Arial"/>
                <w:sz w:val="20"/>
                <w:szCs w:val="20"/>
                <w:vertAlign w:val="superscript"/>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9 cal/cm</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or higher.</w:t>
            </w:r>
            <w:r w:rsidRPr="009F74C5">
              <w:rPr>
                <w:rFonts w:ascii="Arial" w:eastAsia="Times New Roman" w:hAnsi="Arial" w:cs="Arial"/>
                <w:sz w:val="14"/>
                <w:szCs w:val="14"/>
                <w:vertAlign w:val="superscript"/>
              </w:rPr>
              <w:t>‡</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*These ranges assume that employees are wearing hardhats meeting the specifications in §1910.135 or §1926.100(b)(2), as applicable.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The arc rating must be a minimum of 4 cal/cm</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less than the estimated incident energy. Note that §1926.960(g)(5)(v) permits this type of head and face protection, with a minimum arc rating of 4 cal/cm</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less than the estimated incident energy, at any incident energy level.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14"/>
          <w:szCs w:val="14"/>
          <w:vertAlign w:val="superscript"/>
        </w:rPr>
        <w:t>‡</w:t>
      </w:r>
      <w:r w:rsidRPr="009F74C5">
        <w:rPr>
          <w:rFonts w:ascii="Arial" w:eastAsia="Times New Roman" w:hAnsi="Arial" w:cs="Arial"/>
          <w:sz w:val="20"/>
          <w:szCs w:val="20"/>
        </w:rPr>
        <w:t>Note that §1926.960(g)(5) permits this type of head and face protection at any incident energy level.</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IV. Protection Against Ignition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(g)(3) of §1926.960 prohibits clothing that could melt onto an employee's skin or that could ignite and continue to burn when exposed to flames or to the available heat energy estimated by the employer under §1926.960(g)(2). Meltable fabrics, such as acetate, nylon, polyester, and polypropylene, even in blends, must be avoided. When these fibers melt, they can adhere to the skin, thereby transferring heat rapidly, exacerbating burns, and complicating treatment. These outcomes can result even if the meltable fabric is not directly next to the skin. The remainder of this section focuses on the prevention of ignition.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Paragraph (g)(5) of §1926.960 generally requires protective clothing and other protective equipment with an arc rating greater than or equal to the employer's estimate of available heat energy. As explained earlier in this appendix, untreated cotton is usually acceptable for exposures of 2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xml:space="preserve"> or less.</w:t>
      </w:r>
      <w:r w:rsidRPr="009F74C5">
        <w:rPr>
          <w:rFonts w:ascii="Arial" w:eastAsia="Times New Roman" w:hAnsi="Arial" w:cs="Arial"/>
          <w:sz w:val="14"/>
          <w:szCs w:val="14"/>
          <w:vertAlign w:val="superscript"/>
        </w:rPr>
        <w:t>6</w:t>
      </w:r>
      <w:r w:rsidRPr="009F74C5">
        <w:rPr>
          <w:rFonts w:ascii="Arial" w:eastAsia="Times New Roman" w:hAnsi="Arial" w:cs="Arial"/>
          <w:sz w:val="20"/>
          <w:szCs w:val="20"/>
        </w:rPr>
        <w:t xml:space="preserve"> If the exposure is greater than that, the employee generally must wear flame-resistant clothing with a suitable arc rating in accordance with §1926.960(g)(4) and (g)(5). However, even if an employee is wearing a layer of flame-resistant clothing, there are circumstances under which flammable layers of clothing would </w:t>
      </w:r>
      <w:r w:rsidRPr="009F74C5">
        <w:rPr>
          <w:rFonts w:ascii="Arial" w:eastAsia="Times New Roman" w:hAnsi="Arial" w:cs="Arial"/>
          <w:sz w:val="20"/>
          <w:szCs w:val="20"/>
        </w:rPr>
        <w:lastRenderedPageBreak/>
        <w:t>be uncovered, and an electric arc could ignite them. For example, clothing ignition is possible if the employee is wearing flammable clothing under the flame-resistant clothing and the underlayer is uncovered because of an opening in the flame-resistant clothing. Thus, for purposes of §1926.960(g)(3), it is important for the employer to consider the possibility of clothing ignition even when an employee is wearing flame-resistant clothing with a suitable arc rating.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6</w:t>
      </w:r>
      <w:r w:rsidRPr="009F74C5">
        <w:rPr>
          <w:rFonts w:ascii="Arial" w:eastAsia="Times New Roman" w:hAnsi="Arial" w:cs="Arial"/>
          <w:sz w:val="18"/>
          <w:szCs w:val="18"/>
        </w:rPr>
        <w:t>See §1926.960(g)(4)(i), (g)(4)(ii), and (g)(4)(iii) for conditions under which employees must wear flame-resistant clothing as the outer layer of clothing even when the incident heat energy does not exceed 2 cal/cm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Under §1926.960(g)(3), employees may not wear flammable clothing in conjunction with flame-resistant clothing if the flammable clothing poses an ignition hazard.</w:t>
      </w:r>
      <w:r w:rsidRPr="009F74C5">
        <w:rPr>
          <w:rFonts w:ascii="Arial" w:eastAsia="Times New Roman" w:hAnsi="Arial" w:cs="Arial"/>
          <w:sz w:val="14"/>
          <w:szCs w:val="14"/>
          <w:vertAlign w:val="superscript"/>
        </w:rPr>
        <w:t>7</w:t>
      </w:r>
      <w:r w:rsidRPr="009F74C5">
        <w:rPr>
          <w:rFonts w:ascii="Arial" w:eastAsia="Times New Roman" w:hAnsi="Arial" w:cs="Arial"/>
          <w:sz w:val="20"/>
          <w:szCs w:val="20"/>
        </w:rPr>
        <w:t xml:space="preserve"> Although outer flame-resistant layers may not have openings that expose flammable inner layers, when an outer flame-resistant layer would be unable to resist breakopen,</w:t>
      </w:r>
      <w:r w:rsidRPr="009F74C5">
        <w:rPr>
          <w:rFonts w:ascii="Arial" w:eastAsia="Times New Roman" w:hAnsi="Arial" w:cs="Arial"/>
          <w:sz w:val="14"/>
          <w:szCs w:val="14"/>
          <w:vertAlign w:val="superscript"/>
        </w:rPr>
        <w:t>8</w:t>
      </w:r>
      <w:r w:rsidRPr="009F74C5">
        <w:rPr>
          <w:rFonts w:ascii="Arial" w:eastAsia="Times New Roman" w:hAnsi="Arial" w:cs="Arial"/>
          <w:sz w:val="20"/>
          <w:szCs w:val="20"/>
        </w:rPr>
        <w:t xml:space="preserve"> the next (inner) layer must be flame-resistant if it could ignite.</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7</w:t>
      </w:r>
      <w:r w:rsidRPr="009F74C5">
        <w:rPr>
          <w:rFonts w:ascii="Arial" w:eastAsia="Times New Roman" w:hAnsi="Arial" w:cs="Arial"/>
          <w:sz w:val="18"/>
          <w:szCs w:val="18"/>
        </w:rPr>
        <w:t>Paragraph (g)(3) of §1926.960 prohibits clothing that could ignite and continue to burn when exposed to the heat energy estimated under paragraph (g)(2) of that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8</w:t>
      </w:r>
      <w:r w:rsidRPr="009F74C5">
        <w:rPr>
          <w:rFonts w:ascii="Arial" w:eastAsia="Times New Roman" w:hAnsi="Arial" w:cs="Arial"/>
          <w:sz w:val="18"/>
          <w:szCs w:val="18"/>
        </w:rPr>
        <w:t>Breakopen occurs when a hole, tear, or crack develops in the exposed fabric such that the fabric no longer effectively blocks incident heat energy.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Non-flame-resistant clothing can ignite even when the heat energy from an electric arc is insufficient to ignite the clothing. For example, nearby flames can ignite an employee's clothing; and, even in the absence of flames, electric arcs pose ignition hazards beyond the hazard of ignition from incident energy under certain conditions. In addition to requiring flame-resistant clothing when the estimated incident energy exceeds 2.0 cal/cm</w:t>
      </w:r>
      <w:r w:rsidRPr="009F74C5">
        <w:rPr>
          <w:rFonts w:ascii="Arial" w:eastAsia="Times New Roman" w:hAnsi="Arial" w:cs="Arial"/>
          <w:sz w:val="14"/>
          <w:szCs w:val="14"/>
          <w:vertAlign w:val="superscript"/>
        </w:rPr>
        <w:t>2</w:t>
      </w:r>
      <w:r w:rsidRPr="009F74C5">
        <w:rPr>
          <w:rFonts w:ascii="Arial" w:eastAsia="Times New Roman" w:hAnsi="Arial" w:cs="Arial"/>
          <w:sz w:val="20"/>
          <w:szCs w:val="20"/>
        </w:rPr>
        <w:t>, §1926.960(g)(4) requires flame-resistant clothing when: The employee is exposed to contact with energized circuit parts operating at more than 600 volts (§1926.960(g)(4)(i)), an electric arc could ignite flammable material in the work area that, in turn, could ignite the employee's clothing (§1926.960(g)(4)(ii)), and molten metal or electric arcs from faulted conductors in the work area could ignite the employee's clothing (§1926.960(g)(4)(iii)). For example, grounding conductors can become a source of heat energy if they cannot carry fault current without failure. The employer must consider these possible sources of electric arcs</w:t>
      </w:r>
      <w:r w:rsidRPr="009F74C5">
        <w:rPr>
          <w:rFonts w:ascii="Arial" w:eastAsia="Times New Roman" w:hAnsi="Arial" w:cs="Arial"/>
          <w:sz w:val="14"/>
          <w:szCs w:val="14"/>
          <w:vertAlign w:val="superscript"/>
        </w:rPr>
        <w:t>9</w:t>
      </w:r>
      <w:r w:rsidRPr="009F74C5">
        <w:rPr>
          <w:rFonts w:ascii="Arial" w:eastAsia="Times New Roman" w:hAnsi="Arial" w:cs="Arial"/>
          <w:sz w:val="20"/>
          <w:szCs w:val="20"/>
        </w:rPr>
        <w:t xml:space="preserve"> in determining whether the employee's clothing could ignite under §1926.960(g)(4)(iii).</w:t>
      </w:r>
    </w:p>
    <w:p w:rsidR="00D70103" w:rsidRPr="009F74C5" w:rsidRDefault="00D70103" w:rsidP="000507F6">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3"/>
          <w:szCs w:val="13"/>
          <w:vertAlign w:val="superscript"/>
        </w:rPr>
        <w:t>9</w:t>
      </w:r>
      <w:r w:rsidRPr="009F74C5">
        <w:rPr>
          <w:rFonts w:ascii="Arial" w:eastAsia="Times New Roman" w:hAnsi="Arial" w:cs="Arial"/>
          <w:sz w:val="18"/>
          <w:szCs w:val="18"/>
        </w:rPr>
        <w:t>Static wires and pole grounds are examples of grounding conductors that might not be capable of carrying fault current without failure. Grounds that can carry the maximum available fault current are not a concern, and employers need not consider such grounds a possible electric arc source.</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4" w:anchor="_top" w:history="1">
        <w:r w:rsidR="00D70103">
          <w:rPr>
            <w:rFonts w:ascii="Arial" w:eastAsia="Times New Roman" w:hAnsi="Arial" w:cs="Arial"/>
            <w:noProof/>
            <w:color w:val="0000FF"/>
            <w:sz w:val="17"/>
            <w:szCs w:val="17"/>
          </w:rPr>
          <w:drawing>
            <wp:inline distT="0" distB="0" distL="0" distR="0" wp14:anchorId="539346F8" wp14:editId="54167980">
              <wp:extent cx="152400" cy="152400"/>
              <wp:effectExtent l="0" t="0" r="0" b="0"/>
              <wp:docPr id="169" name="Picture 16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3" w:name="ap29.8.1926_1968.f"/>
      <w:bookmarkEnd w:id="43"/>
      <w:r w:rsidRPr="009F74C5">
        <w:rPr>
          <w:rFonts w:ascii="Arial" w:eastAsia="Times New Roman" w:hAnsi="Arial" w:cs="Arial"/>
          <w:b/>
          <w:bCs/>
          <w:sz w:val="20"/>
          <w:szCs w:val="20"/>
        </w:rPr>
        <w:t>Appendix F to Subpart V of Part 1926—Work-Positioning Equipment Inspection Guidelines</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 Body Belts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Inspect body belts to ensure that: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hardware has no cracks, nicks, distortion, or corrosion;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No loose or worn rivets are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waist strap has no loose grommets;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fastening straps are not 100-percent leather;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No worn materials that could affect the safety of the user are present.</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lastRenderedPageBreak/>
        <w:t>II. Positioning Straps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Inspect positioning straps to ensure that: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warning center of the strap material is not exposed;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No cuts, burns, extra holes, or fraying of strap material is present;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Rivets are properly secured;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Straps are not 100-percent leather;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Snaphooks do not have cracks, burns, or corrosion.</w:t>
      </w:r>
    </w:p>
    <w:p w:rsidR="00D70103" w:rsidRPr="009F74C5" w:rsidRDefault="00D70103" w:rsidP="000507F6">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III. Climbers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Inspect pole and tree climbers to ensure that: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Gaffs are at least as long as the manufacturer's recommended minimums (generally 32 and 51 millimeters (1.25 and 2.0 inches) for pole and tree climbers, respectively, measured on the underside of the gaff);</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Gauges are available to assist in determining whether gaffs are long enough and shaped to easily penetrate poles or trees.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Gaffs and leg irons are not fractured or cracked;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Stirrups and leg irons are free of excessive wear;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Gaffs are not loose;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Gaffs are free of deformation that could adversely affect use;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Gaffs are properly sharpened; and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There are no broken straps or buckles.</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5" w:anchor="_top" w:history="1">
        <w:r w:rsidR="00D70103">
          <w:rPr>
            <w:rFonts w:ascii="Arial" w:eastAsia="Times New Roman" w:hAnsi="Arial" w:cs="Arial"/>
            <w:noProof/>
            <w:color w:val="0000FF"/>
            <w:sz w:val="17"/>
            <w:szCs w:val="17"/>
          </w:rPr>
          <w:drawing>
            <wp:inline distT="0" distB="0" distL="0" distR="0" wp14:anchorId="7D40026E" wp14:editId="1BAA3B7C">
              <wp:extent cx="152400" cy="152400"/>
              <wp:effectExtent l="0" t="0" r="0" b="0"/>
              <wp:docPr id="168" name="Picture 16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4" w:name="ap29.8.1926_1968.g"/>
      <w:bookmarkEnd w:id="44"/>
      <w:r w:rsidRPr="009F74C5">
        <w:rPr>
          <w:rFonts w:ascii="Arial" w:eastAsia="Times New Roman" w:hAnsi="Arial" w:cs="Arial"/>
          <w:b/>
          <w:bCs/>
          <w:sz w:val="20"/>
          <w:szCs w:val="20"/>
        </w:rPr>
        <w:t>Appendix G to Subpart V of Part 1926—Reference Documents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references contained in this appendix provide information that can be helpful in understanding and complying with the requirements contained in Subpart V of this part. The national consensus standards referenced in this appendix contain detailed specifications that employers may follow in complying with the more performance-based requirements of Subpart V of this part. Except as specifically noted in Subpart V of this part, however, the Occupational Safety and Health Administration will not necessarily deem compliance with the national consensus standards to be compliance with the provisions of Subpart V of this part.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ANSI/SIA A92.2-2009, </w:t>
      </w:r>
      <w:r w:rsidRPr="009F74C5">
        <w:rPr>
          <w:rFonts w:ascii="Arial" w:eastAsia="Times New Roman" w:hAnsi="Arial" w:cs="Arial"/>
          <w:i/>
          <w:iCs/>
          <w:sz w:val="20"/>
          <w:szCs w:val="20"/>
        </w:rPr>
        <w:t>American National Standard for Vehicle-Mounted Elevating and Rotating Aerial Devices.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lastRenderedPageBreak/>
        <w:t xml:space="preserve">ANSI Z133-2012, </w:t>
      </w:r>
      <w:r w:rsidRPr="009F74C5">
        <w:rPr>
          <w:rFonts w:ascii="Arial" w:eastAsia="Times New Roman" w:hAnsi="Arial" w:cs="Arial"/>
          <w:i/>
          <w:iCs/>
          <w:sz w:val="20"/>
          <w:szCs w:val="20"/>
        </w:rPr>
        <w:t>American National Standard Safety Requirements for Arboricultural Operations—Pruning, Trimming, Repairing, Maintaining, and Removing Trees, and Cutting Brush.</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ANSI/IEEE Std 935-1989, </w:t>
      </w:r>
      <w:r w:rsidRPr="009F74C5">
        <w:rPr>
          <w:rFonts w:ascii="Arial" w:eastAsia="Times New Roman" w:hAnsi="Arial" w:cs="Arial"/>
          <w:i/>
          <w:iCs/>
          <w:sz w:val="20"/>
          <w:szCs w:val="20"/>
        </w:rPr>
        <w:t>IEEE Guide on Terminology for Tools and Equipment to Be Used in Live Line Working.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ASME B20.1-2012, </w:t>
      </w:r>
      <w:r w:rsidRPr="009F74C5">
        <w:rPr>
          <w:rFonts w:ascii="Arial" w:eastAsia="Times New Roman" w:hAnsi="Arial" w:cs="Arial"/>
          <w:i/>
          <w:iCs/>
          <w:sz w:val="20"/>
          <w:szCs w:val="20"/>
        </w:rPr>
        <w:t>Safety Standard for Conveyors and Related Equipment.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D120-09, </w:t>
      </w:r>
      <w:r w:rsidRPr="009F74C5">
        <w:rPr>
          <w:rFonts w:ascii="Arial" w:eastAsia="Times New Roman" w:hAnsi="Arial" w:cs="Arial"/>
          <w:i/>
          <w:iCs/>
          <w:sz w:val="20"/>
          <w:szCs w:val="20"/>
        </w:rPr>
        <w:t>Standard Specification for Rubber Insulating Gloves.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D149-09 (2013), </w:t>
      </w:r>
      <w:r w:rsidRPr="009F74C5">
        <w:rPr>
          <w:rFonts w:ascii="Arial" w:eastAsia="Times New Roman" w:hAnsi="Arial" w:cs="Arial"/>
          <w:i/>
          <w:iCs/>
          <w:sz w:val="20"/>
          <w:szCs w:val="20"/>
        </w:rPr>
        <w:t>Standard Test Method for Dielectric Breakdown Voltage and Dielectric Strength of Solid Electrical Insulating Materials at Commercial Power Frequencies.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D178-01 (2010), </w:t>
      </w:r>
      <w:r w:rsidRPr="009F74C5">
        <w:rPr>
          <w:rFonts w:ascii="Arial" w:eastAsia="Times New Roman" w:hAnsi="Arial" w:cs="Arial"/>
          <w:i/>
          <w:iCs/>
          <w:sz w:val="20"/>
          <w:szCs w:val="20"/>
        </w:rPr>
        <w:t>Standard Specification for Rubber Insulating Matting.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D1048-12, </w:t>
      </w:r>
      <w:r w:rsidRPr="009F74C5">
        <w:rPr>
          <w:rFonts w:ascii="Arial" w:eastAsia="Times New Roman" w:hAnsi="Arial" w:cs="Arial"/>
          <w:i/>
          <w:iCs/>
          <w:sz w:val="20"/>
          <w:szCs w:val="20"/>
        </w:rPr>
        <w:t>Standard Specification for Rubber Insulating Blankets.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D1049-98 (2010), </w:t>
      </w:r>
      <w:r w:rsidRPr="009F74C5">
        <w:rPr>
          <w:rFonts w:ascii="Arial" w:eastAsia="Times New Roman" w:hAnsi="Arial" w:cs="Arial"/>
          <w:i/>
          <w:iCs/>
          <w:sz w:val="20"/>
          <w:szCs w:val="20"/>
        </w:rPr>
        <w:t>Standard Specification for Rubber Insulating Covers.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D1050-05 (2011), </w:t>
      </w:r>
      <w:r w:rsidRPr="009F74C5">
        <w:rPr>
          <w:rFonts w:ascii="Arial" w:eastAsia="Times New Roman" w:hAnsi="Arial" w:cs="Arial"/>
          <w:i/>
          <w:iCs/>
          <w:sz w:val="20"/>
          <w:szCs w:val="20"/>
        </w:rPr>
        <w:t>Standard Specification for Rubber Insulating Line Hose.</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D1051-08, </w:t>
      </w:r>
      <w:r w:rsidRPr="009F74C5">
        <w:rPr>
          <w:rFonts w:ascii="Arial" w:eastAsia="Times New Roman" w:hAnsi="Arial" w:cs="Arial"/>
          <w:i/>
          <w:iCs/>
          <w:sz w:val="20"/>
          <w:szCs w:val="20"/>
        </w:rPr>
        <w:t>Standard Specification for Rubber Insulating Sleeves.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F478-09, </w:t>
      </w:r>
      <w:r w:rsidRPr="009F74C5">
        <w:rPr>
          <w:rFonts w:ascii="Arial" w:eastAsia="Times New Roman" w:hAnsi="Arial" w:cs="Arial"/>
          <w:i/>
          <w:iCs/>
          <w:sz w:val="20"/>
          <w:szCs w:val="20"/>
        </w:rPr>
        <w:t>Standard Specification for In-Service Care of Insulating Line Hose and Covers.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F479-06 (2011), </w:t>
      </w:r>
      <w:r w:rsidRPr="009F74C5">
        <w:rPr>
          <w:rFonts w:ascii="Arial" w:eastAsia="Times New Roman" w:hAnsi="Arial" w:cs="Arial"/>
          <w:i/>
          <w:iCs/>
          <w:sz w:val="20"/>
          <w:szCs w:val="20"/>
        </w:rPr>
        <w:t>Standard Specification for In-Service Care of Insulating Blankets.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F496-08, </w:t>
      </w:r>
      <w:r w:rsidRPr="009F74C5">
        <w:rPr>
          <w:rFonts w:ascii="Arial" w:eastAsia="Times New Roman" w:hAnsi="Arial" w:cs="Arial"/>
          <w:i/>
          <w:iCs/>
          <w:sz w:val="20"/>
          <w:szCs w:val="20"/>
        </w:rPr>
        <w:t>Standard Specification for In-Service Care of Insulating Gloves and Sleeves.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F711-02 (2007), </w:t>
      </w:r>
      <w:r w:rsidRPr="009F74C5">
        <w:rPr>
          <w:rFonts w:ascii="Arial" w:eastAsia="Times New Roman" w:hAnsi="Arial" w:cs="Arial"/>
          <w:i/>
          <w:iCs/>
          <w:sz w:val="20"/>
          <w:szCs w:val="20"/>
        </w:rPr>
        <w:t>Standard Specification for Fiberglass-Reinforced Plastic (FRP) Rod and Tube Used in Live Line Tools.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F712-06 (2011), </w:t>
      </w:r>
      <w:r w:rsidRPr="009F74C5">
        <w:rPr>
          <w:rFonts w:ascii="Arial" w:eastAsia="Times New Roman" w:hAnsi="Arial" w:cs="Arial"/>
          <w:i/>
          <w:iCs/>
          <w:sz w:val="20"/>
          <w:szCs w:val="20"/>
        </w:rPr>
        <w:t>Standard Test Methods and Specifications for Electrically Insulating Plastic Guard Equipment for Protection of Workers.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F819-10, </w:t>
      </w:r>
      <w:r w:rsidRPr="009F74C5">
        <w:rPr>
          <w:rFonts w:ascii="Arial" w:eastAsia="Times New Roman" w:hAnsi="Arial" w:cs="Arial"/>
          <w:i/>
          <w:iCs/>
          <w:sz w:val="20"/>
          <w:szCs w:val="20"/>
        </w:rPr>
        <w:t>Standard Terminology Relating to Electrical Protective Equipment for Workers.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F855-09, </w:t>
      </w:r>
      <w:r w:rsidRPr="009F74C5">
        <w:rPr>
          <w:rFonts w:ascii="Arial" w:eastAsia="Times New Roman" w:hAnsi="Arial" w:cs="Arial"/>
          <w:i/>
          <w:iCs/>
          <w:sz w:val="20"/>
          <w:szCs w:val="20"/>
        </w:rPr>
        <w:t>Standard Specifications for Temporary Protective Grounds to Be Used on De-energized Electric Power Lines and Equipment.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ASTM F887-12</w:t>
      </w:r>
      <w:r w:rsidRPr="009F74C5">
        <w:rPr>
          <w:rFonts w:ascii="Arial" w:eastAsia="Times New Roman" w:hAnsi="Arial" w:cs="Arial"/>
          <w:sz w:val="14"/>
          <w:szCs w:val="14"/>
          <w:vertAlign w:val="superscript"/>
        </w:rPr>
        <w:t>e1</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Standard Specifications for Personal Climbing Equipment.</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F914/F914M-10, </w:t>
      </w:r>
      <w:r w:rsidRPr="009F74C5">
        <w:rPr>
          <w:rFonts w:ascii="Arial" w:eastAsia="Times New Roman" w:hAnsi="Arial" w:cs="Arial"/>
          <w:i/>
          <w:iCs/>
          <w:sz w:val="20"/>
          <w:szCs w:val="20"/>
        </w:rPr>
        <w:t>Standard Test Method for Acoustic Emission for Aerial Personnel Devices Without Supplemental Load Handling Attachments.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F1116-03 (2008), </w:t>
      </w:r>
      <w:r w:rsidRPr="009F74C5">
        <w:rPr>
          <w:rFonts w:ascii="Arial" w:eastAsia="Times New Roman" w:hAnsi="Arial" w:cs="Arial"/>
          <w:i/>
          <w:iCs/>
          <w:sz w:val="20"/>
          <w:szCs w:val="20"/>
        </w:rPr>
        <w:t>Standard Test Method for Determining Dielectric Strength of Dielectric Footwear.</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F1117-03 (2008), </w:t>
      </w:r>
      <w:r w:rsidRPr="009F74C5">
        <w:rPr>
          <w:rFonts w:ascii="Arial" w:eastAsia="Times New Roman" w:hAnsi="Arial" w:cs="Arial"/>
          <w:i/>
          <w:iCs/>
          <w:sz w:val="20"/>
          <w:szCs w:val="20"/>
        </w:rPr>
        <w:t>Standard Specification for Dielectric Footwear.</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F1236-96 (2012), </w:t>
      </w:r>
      <w:r w:rsidRPr="009F74C5">
        <w:rPr>
          <w:rFonts w:ascii="Arial" w:eastAsia="Times New Roman" w:hAnsi="Arial" w:cs="Arial"/>
          <w:i/>
          <w:iCs/>
          <w:sz w:val="20"/>
          <w:szCs w:val="20"/>
        </w:rPr>
        <w:t>Standard Guide for Visual Inspection of Electrical Protective Rubber Products.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F1430/F1430M-10, </w:t>
      </w:r>
      <w:r w:rsidRPr="009F74C5">
        <w:rPr>
          <w:rFonts w:ascii="Arial" w:eastAsia="Times New Roman" w:hAnsi="Arial" w:cs="Arial"/>
          <w:i/>
          <w:iCs/>
          <w:sz w:val="20"/>
          <w:szCs w:val="20"/>
        </w:rPr>
        <w:t>Standard Test Method for Acoustic Emission Testing of Insulated and Non-Insulated Aerial Personnel Devices with Supplemental Load Handling Attachments.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F1505-10, </w:t>
      </w:r>
      <w:r w:rsidRPr="009F74C5">
        <w:rPr>
          <w:rFonts w:ascii="Arial" w:eastAsia="Times New Roman" w:hAnsi="Arial" w:cs="Arial"/>
          <w:i/>
          <w:iCs/>
          <w:sz w:val="20"/>
          <w:szCs w:val="20"/>
        </w:rPr>
        <w:t>Standard Specification for Insulated and Insulating Hand Tools.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F1506-10a, </w:t>
      </w:r>
      <w:r w:rsidRPr="009F74C5">
        <w:rPr>
          <w:rFonts w:ascii="Arial" w:eastAsia="Times New Roman" w:hAnsi="Arial" w:cs="Arial"/>
          <w:i/>
          <w:iCs/>
          <w:sz w:val="20"/>
          <w:szCs w:val="20"/>
        </w:rPr>
        <w:t>Standard Performance Specification for Flame Resistant and Arc Rated Textile Materials for Wearing Apparel for Use by Electrical Workers Exposed to Momentary Electric Arc and Related Thermal Hazards.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lastRenderedPageBreak/>
        <w:t xml:space="preserve">ASTM F1564-13, </w:t>
      </w:r>
      <w:r w:rsidRPr="009F74C5">
        <w:rPr>
          <w:rFonts w:ascii="Arial" w:eastAsia="Times New Roman" w:hAnsi="Arial" w:cs="Arial"/>
          <w:i/>
          <w:iCs/>
          <w:sz w:val="20"/>
          <w:szCs w:val="20"/>
        </w:rPr>
        <w:t>Standard Specification for Structure-Mounted Insulating Work Platforms for Electrical Workers.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F1701-12, </w:t>
      </w:r>
      <w:r w:rsidRPr="009F74C5">
        <w:rPr>
          <w:rFonts w:ascii="Arial" w:eastAsia="Times New Roman" w:hAnsi="Arial" w:cs="Arial"/>
          <w:i/>
          <w:iCs/>
          <w:sz w:val="20"/>
          <w:szCs w:val="20"/>
        </w:rPr>
        <w:t>Standard Specification for Unused Polypropylene Rope with Special Electrical Properties.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F1742-03 (2011), </w:t>
      </w:r>
      <w:r w:rsidRPr="009F74C5">
        <w:rPr>
          <w:rFonts w:ascii="Arial" w:eastAsia="Times New Roman" w:hAnsi="Arial" w:cs="Arial"/>
          <w:i/>
          <w:iCs/>
          <w:sz w:val="20"/>
          <w:szCs w:val="20"/>
        </w:rPr>
        <w:t>Standard Specification for PVC Insulating Sheeting.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F1796-09, </w:t>
      </w:r>
      <w:r w:rsidRPr="009F74C5">
        <w:rPr>
          <w:rFonts w:ascii="Arial" w:eastAsia="Times New Roman" w:hAnsi="Arial" w:cs="Arial"/>
          <w:i/>
          <w:iCs/>
          <w:sz w:val="20"/>
          <w:szCs w:val="20"/>
        </w:rPr>
        <w:t>Standard Specification for High Voltage Detectors—Part 1 Capacitive Type to be Used for Voltages Exceeding 600 Volts AC.</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F1797-09 </w:t>
      </w:r>
      <w:r w:rsidRPr="009F74C5">
        <w:rPr>
          <w:rFonts w:ascii="Arial" w:eastAsia="Times New Roman" w:hAnsi="Arial" w:cs="Arial"/>
          <w:sz w:val="14"/>
          <w:szCs w:val="14"/>
          <w:vertAlign w:val="superscript"/>
        </w:rPr>
        <w:t>ε1</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Standard Test Method for Acoustic Emission Testing of Insulated and Non-Insulated Digger Derricks.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F1825-03 (2007), </w:t>
      </w:r>
      <w:r w:rsidRPr="009F74C5">
        <w:rPr>
          <w:rFonts w:ascii="Arial" w:eastAsia="Times New Roman" w:hAnsi="Arial" w:cs="Arial"/>
          <w:i/>
          <w:iCs/>
          <w:sz w:val="20"/>
          <w:szCs w:val="20"/>
        </w:rPr>
        <w:t>Standard Specification for Clampstick Type Live Line Tools.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F1826-00 (2011), </w:t>
      </w:r>
      <w:r w:rsidRPr="009F74C5">
        <w:rPr>
          <w:rFonts w:ascii="Arial" w:eastAsia="Times New Roman" w:hAnsi="Arial" w:cs="Arial"/>
          <w:i/>
          <w:iCs/>
          <w:sz w:val="20"/>
          <w:szCs w:val="20"/>
        </w:rPr>
        <w:t>Standard Specification for Live Line and Measuring Telescoping Tools.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F1891-12, </w:t>
      </w:r>
      <w:r w:rsidRPr="009F74C5">
        <w:rPr>
          <w:rFonts w:ascii="Arial" w:eastAsia="Times New Roman" w:hAnsi="Arial" w:cs="Arial"/>
          <w:i/>
          <w:iCs/>
          <w:sz w:val="20"/>
          <w:szCs w:val="20"/>
        </w:rPr>
        <w:t>Standard Specification for Arc and Flame Resistant Rainwear.</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F1958/F1958M-12, </w:t>
      </w:r>
      <w:r w:rsidRPr="009F74C5">
        <w:rPr>
          <w:rFonts w:ascii="Arial" w:eastAsia="Times New Roman" w:hAnsi="Arial" w:cs="Arial"/>
          <w:i/>
          <w:iCs/>
          <w:sz w:val="20"/>
          <w:szCs w:val="20"/>
        </w:rPr>
        <w:t>Standard Test Method for Determining the Ignitability of Non-flame-Resistant Materials for Clothing by Electric Arc Exposure Method Using Mannequins.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ASTM F1959/F1959M-12, </w:t>
      </w:r>
      <w:r w:rsidRPr="009F74C5">
        <w:rPr>
          <w:rFonts w:ascii="Arial" w:eastAsia="Times New Roman" w:hAnsi="Arial" w:cs="Arial"/>
          <w:i/>
          <w:iCs/>
          <w:sz w:val="20"/>
          <w:szCs w:val="20"/>
        </w:rPr>
        <w:t>Standard Test Method for Determining the Arc Rating of Materials for Clothing.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Stds 4-1995, 4a-2001 (Amendment to </w:t>
      </w:r>
      <w:r w:rsidRPr="009F74C5">
        <w:rPr>
          <w:rFonts w:ascii="Arial" w:eastAsia="Times New Roman" w:hAnsi="Arial" w:cs="Arial"/>
          <w:i/>
          <w:iCs/>
          <w:sz w:val="20"/>
          <w:szCs w:val="20"/>
        </w:rPr>
        <w:t>IEEE Standard Techniques for High-Voltage Testing</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IEEE Standard Techniques for High-Voltage Testing.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62-1995, </w:t>
      </w:r>
      <w:r w:rsidRPr="009F74C5">
        <w:rPr>
          <w:rFonts w:ascii="Arial" w:eastAsia="Times New Roman" w:hAnsi="Arial" w:cs="Arial"/>
          <w:i/>
          <w:iCs/>
          <w:sz w:val="20"/>
          <w:szCs w:val="20"/>
        </w:rPr>
        <w:t>IEEE Guide for Diagnostic Field Testing of Electric Power Apparatus—Part 1: Oil Filled Power Transformers, Regulators, and Reactors.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80-2000, </w:t>
      </w:r>
      <w:r w:rsidRPr="009F74C5">
        <w:rPr>
          <w:rFonts w:ascii="Arial" w:eastAsia="Times New Roman" w:hAnsi="Arial" w:cs="Arial"/>
          <w:i/>
          <w:iCs/>
          <w:sz w:val="20"/>
          <w:szCs w:val="20"/>
        </w:rPr>
        <w:t>Guide for Safety in AC Substation Grounding.</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100-2000, </w:t>
      </w:r>
      <w:r w:rsidRPr="009F74C5">
        <w:rPr>
          <w:rFonts w:ascii="Arial" w:eastAsia="Times New Roman" w:hAnsi="Arial" w:cs="Arial"/>
          <w:i/>
          <w:iCs/>
          <w:sz w:val="20"/>
          <w:szCs w:val="20"/>
        </w:rPr>
        <w:t>The Authoritative Dictionary of IEEE Standards Terms Seventh Edition.</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516-2009, </w:t>
      </w:r>
      <w:r w:rsidRPr="009F74C5">
        <w:rPr>
          <w:rFonts w:ascii="Arial" w:eastAsia="Times New Roman" w:hAnsi="Arial" w:cs="Arial"/>
          <w:i/>
          <w:iCs/>
          <w:sz w:val="20"/>
          <w:szCs w:val="20"/>
        </w:rPr>
        <w:t>IEEE Guide for Maintenance Methods on Energized Power Lines.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524-2003, </w:t>
      </w:r>
      <w:r w:rsidRPr="009F74C5">
        <w:rPr>
          <w:rFonts w:ascii="Arial" w:eastAsia="Times New Roman" w:hAnsi="Arial" w:cs="Arial"/>
          <w:i/>
          <w:iCs/>
          <w:sz w:val="20"/>
          <w:szCs w:val="20"/>
        </w:rPr>
        <w:t>IEEE Guide to the Installation of Overhead Transmission Line Conductors.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957-2005, </w:t>
      </w:r>
      <w:r w:rsidRPr="009F74C5">
        <w:rPr>
          <w:rFonts w:ascii="Arial" w:eastAsia="Times New Roman" w:hAnsi="Arial" w:cs="Arial"/>
          <w:i/>
          <w:iCs/>
          <w:sz w:val="20"/>
          <w:szCs w:val="20"/>
        </w:rPr>
        <w:t>IEEE Guide for Cleaning Insulators.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1048-2003, </w:t>
      </w:r>
      <w:r w:rsidRPr="009F74C5">
        <w:rPr>
          <w:rFonts w:ascii="Arial" w:eastAsia="Times New Roman" w:hAnsi="Arial" w:cs="Arial"/>
          <w:i/>
          <w:iCs/>
          <w:sz w:val="20"/>
          <w:szCs w:val="20"/>
        </w:rPr>
        <w:t>IEEE Guide for Protective Grounding of Power Lines.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1067-2005, </w:t>
      </w:r>
      <w:r w:rsidRPr="009F74C5">
        <w:rPr>
          <w:rFonts w:ascii="Arial" w:eastAsia="Times New Roman" w:hAnsi="Arial" w:cs="Arial"/>
          <w:i/>
          <w:iCs/>
          <w:sz w:val="20"/>
          <w:szCs w:val="20"/>
        </w:rPr>
        <w:t>IEEE Guide for In-Service Use, Care, Maintenance, and Testing of Conductive Clothing for Use on Voltages up to 765 kV AC and ±750 kV DC.</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 1307-2004, </w:t>
      </w:r>
      <w:r w:rsidRPr="009F74C5">
        <w:rPr>
          <w:rFonts w:ascii="Arial" w:eastAsia="Times New Roman" w:hAnsi="Arial" w:cs="Arial"/>
          <w:i/>
          <w:iCs/>
          <w:sz w:val="20"/>
          <w:szCs w:val="20"/>
        </w:rPr>
        <w:t>IEEE Standard for Fall Protection for Utility Work.</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Stds 1584-2002, 1584a-2004 (Amendment 1 to IEEE Std 1584-2002), and 1584b-2011 (Amendment 2: Changes to Clause 4 of IEEE Std 1584-2002), </w:t>
      </w:r>
      <w:r w:rsidRPr="009F74C5">
        <w:rPr>
          <w:rFonts w:ascii="Arial" w:eastAsia="Times New Roman" w:hAnsi="Arial" w:cs="Arial"/>
          <w:i/>
          <w:iCs/>
          <w:sz w:val="20"/>
          <w:szCs w:val="20"/>
        </w:rPr>
        <w:t>IEEE Guide for Performing Arc-Flash Hazard Calculations.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IEEE C2-2012, </w:t>
      </w:r>
      <w:r w:rsidRPr="009F74C5">
        <w:rPr>
          <w:rFonts w:ascii="Arial" w:eastAsia="Times New Roman" w:hAnsi="Arial" w:cs="Arial"/>
          <w:i/>
          <w:iCs/>
          <w:sz w:val="20"/>
          <w:szCs w:val="20"/>
        </w:rPr>
        <w:t>National Electrical Safety Code.</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 xml:space="preserve">NFPA 70E-2012, </w:t>
      </w:r>
      <w:r w:rsidRPr="009F74C5">
        <w:rPr>
          <w:rFonts w:ascii="Arial" w:eastAsia="Times New Roman" w:hAnsi="Arial" w:cs="Arial"/>
          <w:i/>
          <w:iCs/>
          <w:sz w:val="20"/>
          <w:szCs w:val="20"/>
        </w:rPr>
        <w:t>Standard for Electrical Safety in the Workplace.</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6" w:anchor="_top" w:history="1">
        <w:r w:rsidR="00D70103">
          <w:rPr>
            <w:rFonts w:ascii="Arial" w:eastAsia="Times New Roman" w:hAnsi="Arial" w:cs="Arial"/>
            <w:noProof/>
            <w:color w:val="0000FF"/>
            <w:sz w:val="17"/>
            <w:szCs w:val="17"/>
          </w:rPr>
          <w:drawing>
            <wp:inline distT="0" distB="0" distL="0" distR="0" wp14:anchorId="6CB8D1BF" wp14:editId="09537417">
              <wp:extent cx="152400" cy="152400"/>
              <wp:effectExtent l="0" t="0" r="0" b="0"/>
              <wp:docPr id="167" name="Picture 16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7"/>
          <w:szCs w:val="27"/>
        </w:rPr>
      </w:pPr>
      <w:bookmarkStart w:id="45" w:name="sp29.8.1926.w"/>
      <w:bookmarkEnd w:id="45"/>
      <w:r w:rsidRPr="009F74C5">
        <w:rPr>
          <w:rFonts w:ascii="Arial" w:eastAsia="Times New Roman" w:hAnsi="Arial" w:cs="Arial"/>
          <w:b/>
          <w:bCs/>
          <w:sz w:val="27"/>
          <w:szCs w:val="27"/>
        </w:rPr>
        <w:lastRenderedPageBreak/>
        <w:t>Subpart W—Rollover Protective Structures; Overhead Protection</w:t>
      </w:r>
    </w:p>
    <w:p w:rsidR="00D70103" w:rsidRPr="009F74C5" w:rsidRDefault="00D70103" w:rsidP="000507F6">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Section 3704 of the Contract Work Hours and Safety Standards Act (40 U.S.C. 3701); Sections 4, 6, and 8 of the Occupational Safety and Health Act of 1970 (29 U.S.C. 653, 655, 657); and Secretary of Labor's Order No. 12-71 (36 FR 8754), 8-76 (41 FR 25059), 9-83 (48 FR 35736), 1-90 (55 FR 9033), 6-96 (62 FR 111), 3-2000 (65 FR 50017), or 5-2002 (67 FR 65008), as applicable. </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7" w:anchor="_top" w:history="1">
        <w:r w:rsidR="00D70103">
          <w:rPr>
            <w:rFonts w:ascii="Arial" w:eastAsia="Times New Roman" w:hAnsi="Arial" w:cs="Arial"/>
            <w:noProof/>
            <w:color w:val="0000FF"/>
            <w:sz w:val="17"/>
            <w:szCs w:val="17"/>
          </w:rPr>
          <w:drawing>
            <wp:inline distT="0" distB="0" distL="0" distR="0" wp14:anchorId="619958D1" wp14:editId="52F1282F">
              <wp:extent cx="152400" cy="152400"/>
              <wp:effectExtent l="0" t="0" r="0" b="0"/>
              <wp:docPr id="166" name="Picture 16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6" w:name="se29.8.1926_11000"/>
      <w:bookmarkEnd w:id="46"/>
      <w:r w:rsidRPr="009F74C5">
        <w:rPr>
          <w:rFonts w:ascii="Arial" w:eastAsia="Times New Roman" w:hAnsi="Arial" w:cs="Arial"/>
          <w:b/>
          <w:bCs/>
          <w:sz w:val="20"/>
          <w:szCs w:val="20"/>
        </w:rPr>
        <w:t>§1926.1000   Rollover protective structures (ROPS) for material handling equipment.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Coverage.</w:t>
      </w:r>
      <w:r w:rsidRPr="009F74C5">
        <w:rPr>
          <w:rFonts w:ascii="Arial" w:eastAsia="Times New Roman" w:hAnsi="Arial" w:cs="Arial"/>
          <w:sz w:val="20"/>
          <w:szCs w:val="20"/>
        </w:rPr>
        <w:t xml:space="preserve"> (1) This section applies to the following types of material handling equipment: To all rubber-tired, self-propelled scrapers, rubber-tired front-end loaders, rubber-tired dozers, wheel-type agricultural and industrial tractors, crawler tractors, crawler-type loaders, and motor graders, with or without attachments, that are used in construction work. This requirement does not apply to sideboom pipelaying tractors.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promulgation of specific standards for rollover protective structures for compactors and rubber-tired skid-steer equipment is reserved pending consideration of standards currently being developed.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Equipment manufactured on or after September 1, 1972.</w:t>
      </w:r>
      <w:r w:rsidRPr="009F74C5">
        <w:rPr>
          <w:rFonts w:ascii="Arial" w:eastAsia="Times New Roman" w:hAnsi="Arial" w:cs="Arial"/>
          <w:sz w:val="20"/>
          <w:szCs w:val="20"/>
        </w:rPr>
        <w:t xml:space="preserve"> Material handling machinery described in paragraph (a) of this section and manufactured on or after September 1, 1972, shall be equipped with rollover protective structures which meet the minimum performance standards prescribed in §§1926.1001 and 1926.1002, as applicable.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Equipment manufactured before September 1, 1972.</w:t>
      </w:r>
      <w:r w:rsidRPr="009F74C5">
        <w:rPr>
          <w:rFonts w:ascii="Arial" w:eastAsia="Times New Roman" w:hAnsi="Arial" w:cs="Arial"/>
          <w:sz w:val="20"/>
          <w:szCs w:val="20"/>
        </w:rPr>
        <w:t xml:space="preserve"> (1) All material handling equipment described in paragraph (a) of this section and manufactured or placed in service (owned or operated by the employer) prior to September 1, 1972, shall be fitted with rollover protective structures no later than the dates listed below:</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Machines manufactured on or after January 1, 1972, shall be fitted no later than April 1, 1973.</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Machines manufactured between July 1, 1971, and December 31, 1971, shall be fitted no later than July 1, 1973.</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Machines manufactured between July 1, 1970, and June 30, 1971, shall be fitted no later than January 1, 1974.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Machines manufactured between July 1, 1969, and June 30, 1970, shall be fitted no later than July 1, 1974.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Machines manufactured before July 1, 1969: Reserved pending further study, development, and review.</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Rollover protective structures and supporting attachment shall meet the minimum performance criteria detailed in §§1926.1001 and 1926.1002, as applicable or shall be designed, fabricated, and installed in a manner which will support, based on the ultimate strength of the metal, at least two times the weight of the prime mover applied at the point of impact.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design objective shall be to minimize the likelihood of a complete overturn and thereby minimize the possibility of the operator being crushed as a result of a rollover or upset.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design shall provide a vertical clearance of at least 52 inches from the work deck to the ROPS at the point of ingress or egress.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Remounting.</w:t>
      </w:r>
      <w:r w:rsidRPr="009F74C5">
        <w:rPr>
          <w:rFonts w:ascii="Arial" w:eastAsia="Times New Roman" w:hAnsi="Arial" w:cs="Arial"/>
          <w:sz w:val="20"/>
          <w:szCs w:val="20"/>
        </w:rPr>
        <w:t xml:space="preserve"> ROPS removed for any reason, shall be remounted with equal quality, or better, bolts or welding as required for the original mounting.</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Labeling.</w:t>
      </w:r>
      <w:r w:rsidRPr="009F74C5">
        <w:rPr>
          <w:rFonts w:ascii="Arial" w:eastAsia="Times New Roman" w:hAnsi="Arial" w:cs="Arial"/>
          <w:sz w:val="20"/>
          <w:szCs w:val="20"/>
        </w:rPr>
        <w:t xml:space="preserve"> Each ROPS shall have the following information permanently affixed to the structure: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Manufacturer or fabricator's name and address;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ROPS model number, if any;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Machine make, model, or series number that the structure is designed to fit.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Machines meeting certain existing governmental requirements.</w:t>
      </w:r>
      <w:r w:rsidRPr="009F74C5">
        <w:rPr>
          <w:rFonts w:ascii="Arial" w:eastAsia="Times New Roman" w:hAnsi="Arial" w:cs="Arial"/>
          <w:sz w:val="20"/>
          <w:szCs w:val="20"/>
        </w:rPr>
        <w:t xml:space="preserve"> Any machine in use, equipped with rollover protective structures, shall be deemed in compliance with this section if it meets the rollover protective structure requirements of the State of California, the U.S. Army Corps of Engineers, or the Bureau of Reclamation of the U.S. Department of the Interior in effect on April 5, 1972. The requirements in effect are: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State of California: Construction Safety Orders, issued by the Department of Industrial Relations pursuant to Division 5, Labor Code, §6312, State of California.</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U.S. Army Corps of Engineers: General Safety Requirements, EM-385-1-1 (March 1967).</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Bureau of Reclamation, U.S. Department of the Interior: Safety and Health Regulations for Construction. Part II (September 1971).</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88" w:anchor="_top" w:history="1">
        <w:r w:rsidR="00D70103">
          <w:rPr>
            <w:rFonts w:ascii="Arial" w:eastAsia="Times New Roman" w:hAnsi="Arial" w:cs="Arial"/>
            <w:noProof/>
            <w:color w:val="0000FF"/>
            <w:sz w:val="17"/>
            <w:szCs w:val="17"/>
          </w:rPr>
          <w:drawing>
            <wp:inline distT="0" distB="0" distL="0" distR="0" wp14:anchorId="089F8040" wp14:editId="6A07BD50">
              <wp:extent cx="152400" cy="152400"/>
              <wp:effectExtent l="0" t="0" r="0" b="0"/>
              <wp:docPr id="165" name="Picture 16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7" w:name="se29.8.1926_11001"/>
      <w:bookmarkEnd w:id="47"/>
      <w:r w:rsidRPr="009F74C5">
        <w:rPr>
          <w:rFonts w:ascii="Arial" w:eastAsia="Times New Roman" w:hAnsi="Arial" w:cs="Arial"/>
          <w:b/>
          <w:bCs/>
          <w:sz w:val="20"/>
          <w:szCs w:val="20"/>
        </w:rPr>
        <w:t>§1926.1001   Minimum performance criteria for rollover protective structures for designated scrapers, loaders, dozers, graders, and crawler tractors.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This section prescribes minimum performance criteria for rollover protective structures (ROPS) for rubber-tired self-propelled scrapers; rubber-tired front-end loaders and rubber-tired dozers; crawler tractors, and crawler-type loaders, and motor graders. The vehicle and ROPS as a system shall have the structural characteristics prescribed in paragraph (f) of this section for each type of machine described in this paragraph.</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static laboratory test prescribed herein will determine the adequacy of the structures used to protect the operator under the following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rubber-tired self-propelled scrapers, rubber-tired front-end loaders, and rubber-tired dozers: Operating between 0 and 10 miles per hour over hard clay where rollover would be limited to a maximum roll angle of 360° down a slope of 30° maximum.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motor graders: Operating between 0 and 10 miles per hour over hard clay where rollover would be limited to 360° down a slope of 30° maximum.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For crawler tractors and crawler-type loaders: Operating between 0 and 10 miles per hour over hard clay where rollover would be limited to a maximum roll angle of 360° down a slope of 45°.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(c) </w:t>
      </w:r>
      <w:r w:rsidRPr="009F74C5">
        <w:rPr>
          <w:rFonts w:ascii="Arial" w:eastAsia="Times New Roman" w:hAnsi="Arial" w:cs="Arial"/>
          <w:i/>
          <w:iCs/>
          <w:sz w:val="20"/>
          <w:szCs w:val="20"/>
        </w:rPr>
        <w:t>Facilities and apparatus.</w:t>
      </w:r>
      <w:r w:rsidRPr="009F74C5">
        <w:rPr>
          <w:rFonts w:ascii="Arial" w:eastAsia="Times New Roman" w:hAnsi="Arial" w:cs="Arial"/>
          <w:sz w:val="20"/>
          <w:szCs w:val="20"/>
        </w:rPr>
        <w:t xml:space="preserve"> (1) The following material is necessary: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Material, equipment, and tiedown means adequate to insure that the ROPS and its vehicle frame absorb the applied energy.</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Equipment necessary to measure and apply loads to the ROPS. Adequate means to measure deflections and lengths should also be provided.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Recommended, but not mandatory, types of test setups are illustrated in Figure W-1 for all types of equipment to which this section applies; and in Figure W-2 for rubber-tired self-propelled scrapers; Figure W-3 for rubber-tired front-end loaders, rubber-tired dozers, and motor graders; and Figure W-4 for crawler tractors and crawler-type loaders.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Table W-1 contains a listing of the required apparatus for all types of equipment described in paragraph (a)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W-1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086"/>
        <w:gridCol w:w="429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Means to measure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0507F6">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Accuracy</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Deflection of ROPS, inches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 of deflection measured.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Vehicle weight, pounds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 of the weight measured.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Force applied to frame, pounds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±5% of force measured.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Dimensions of critical zone, inches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0507F6">
            <w:pPr>
              <w:spacing w:after="0" w:line="240" w:lineRule="auto"/>
              <w:rPr>
                <w:rFonts w:ascii="Arial" w:eastAsia="Times New Roman" w:hAnsi="Arial" w:cs="Arial"/>
                <w:sz w:val="20"/>
                <w:szCs w:val="20"/>
              </w:rPr>
            </w:pPr>
            <w:r w:rsidRPr="009F74C5">
              <w:rPr>
                <w:rFonts w:ascii="Arial" w:eastAsia="Times New Roman" w:hAnsi="Arial" w:cs="Arial"/>
                <w:sz w:val="20"/>
                <w:szCs w:val="20"/>
              </w:rPr>
              <w:t>±0.5 in.</w:t>
            </w:r>
          </w:p>
        </w:tc>
      </w:tr>
    </w:tbl>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Vehicle condition.</w:t>
      </w:r>
      <w:r w:rsidRPr="009F74C5">
        <w:rPr>
          <w:rFonts w:ascii="Arial" w:eastAsia="Times New Roman" w:hAnsi="Arial" w:cs="Arial"/>
          <w:sz w:val="20"/>
          <w:szCs w:val="20"/>
        </w:rPr>
        <w:t xml:space="preserve"> The ROPS to be tested must be attached to the vehicle structure in the same manner as it will be attached during vehicle use. A totally assembled vehicle is not required. However, the vehicle structure and frame which support the ROPS must represent the actual vehicle installation. All normally detachable windows, panels, or nonstructural fittings shall be removed so that they do not contribute to the strength of the ROPS.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Test procedure.</w:t>
      </w:r>
      <w:r w:rsidRPr="009F74C5">
        <w:rPr>
          <w:rFonts w:ascii="Arial" w:eastAsia="Times New Roman" w:hAnsi="Arial" w:cs="Arial"/>
          <w:sz w:val="20"/>
          <w:szCs w:val="20"/>
        </w:rPr>
        <w:t xml:space="preserve"> The test procedure shall include the following, in the sequence indicated: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Energy absorbing capabilities of ROPS shall be verified when loaded laterally by incrementally applying a distributed load to the longitudinal outside top member of the ROPS, as shown in Figure W-1, W-2, or W-3, as applicable. The distributed load must be applied so as to result in approximately uniform deflection of the ROPS. The load increments should correspond with approximately 0.5 in. ROPS deflection increment in the direction of the load application, measured at the ROPS top edge. Should the operator's seat be offcenter, the load shall be applied on the offcenter side. For each applied load increment, the total load (lb.) versus corresponding deflection (in.) shall be plotted, and the area under the load -deflection curve shall be calculated. This area is equal to the energy (in.-lb.) absorbed by the ROPS. For a typical load-deflection curve and calculation method, see Figure W-5.</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5F68A64" wp14:editId="1E28007D">
            <wp:extent cx="1653540" cy="2407920"/>
            <wp:effectExtent l="0" t="0" r="3810" b="0"/>
            <wp:docPr id="164" name="Picture 164" descr="eCFR graphic ec30oc91.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eCFR graphic ec30oc91.05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3540" cy="24079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90"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7FA76CEF" wp14:editId="550B0F80">
            <wp:extent cx="3230880" cy="2171700"/>
            <wp:effectExtent l="0" t="0" r="7620" b="0"/>
            <wp:docPr id="163" name="Picture 163" descr="eCFR graphic ec30oc91.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eCFR graphic ec30oc91.05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0880" cy="21717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92"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245E72F3" wp14:editId="566C98C3">
            <wp:extent cx="3322320" cy="2095500"/>
            <wp:effectExtent l="0" t="0" r="0" b="0"/>
            <wp:docPr id="162" name="Picture 162" descr="eCFR graphic ec30oc91.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eCFR graphic ec30oc91.05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22320" cy="20955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94"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1F2D4B6E" wp14:editId="27B38597">
            <wp:extent cx="1653540" cy="1249680"/>
            <wp:effectExtent l="0" t="0" r="3810" b="7620"/>
            <wp:docPr id="161" name="Picture 161" descr="eCFR graphic ec30oc91.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CFR graphic ec30oc91.05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3540" cy="12496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96"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Incremental loading shall be continued until the ROPS has absorbed the amount of energy and the minimum applied load specified under paragraph (f) of this section has been reached or surpassed.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To cover the possibility of the vehicle coming to rest on its top, the support capability shall be verified by applying a distributed vertical load to the top of the ROPS so as to result in approximately uniform deflection (see Figure W-1). The load magnitude is specified in paragraph (f)(2)(iii)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low temperature impact strength of the material used in the ROPS shall be verified by suitable material tests or material certification (see paragraph (f)(2)(iv) of this section).</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D18C866" wp14:editId="2ACCC307">
            <wp:extent cx="1615440" cy="2407920"/>
            <wp:effectExtent l="0" t="0" r="3810" b="0"/>
            <wp:docPr id="160" name="Picture 160" descr="eCFR graphic ec30oc91.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CFR graphic ec30oc91.05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5440" cy="24079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98"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Performance requirements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 performance requirements.</w:t>
      </w:r>
      <w:r w:rsidRPr="009F74C5">
        <w:rPr>
          <w:rFonts w:ascii="Arial" w:eastAsia="Times New Roman" w:hAnsi="Arial" w:cs="Arial"/>
          <w:sz w:val="20"/>
          <w:szCs w:val="20"/>
        </w:rPr>
        <w:t xml:space="preserve"> (i) No repairs or straightening of any member shall be carried out between each prescribed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During each test, no part of the ROPS shall enter the critical zone as detailed in SAE J397 (1969). Deformation of the ROPS shall not allow the plane of the ground to enter this zone.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Specific performance requirements.</w:t>
      </w:r>
      <w:r w:rsidRPr="009F74C5">
        <w:rPr>
          <w:rFonts w:ascii="Arial" w:eastAsia="Times New Roman" w:hAnsi="Arial" w:cs="Arial"/>
          <w:sz w:val="20"/>
          <w:szCs w:val="20"/>
        </w:rPr>
        <w:t xml:space="preserve"> (i) The energy requirement for purposes of meeting the requirements of paragraph (e)(1) of this section is to be determined by referring to the plot of the energy versus weight of vehicle (see Figure W-6 for rubber-tired self-propelled scrapers; Figure W-7 for rubber-tired front-end loaders and rubber-tired dozers; Figure W-8 for crawler tractors and crawler-type loaders; and Figure W-9 for motor graders). For purposes of this section, force and weight are measured as pounds (lb.); energy (U) is measured as inch-pounds.</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C62B272" wp14:editId="41647D28">
            <wp:extent cx="1630680" cy="2011680"/>
            <wp:effectExtent l="0" t="0" r="7620" b="7620"/>
            <wp:docPr id="159" name="Picture 159" descr="eCFR graphic ec30oc91.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CFR graphic ec30oc91.05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0680" cy="20116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00"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applied load must attain at least a value which is determined by multiplying the vehicle weight by the corresponding factor shown in Figure W-10 for rubber-tired self-propelled scrapers; in Figure W-11 for rubber-tired front-end loaders and rubber-tired dozers; in Figure W-12 for crawler tractors and crawler-type loaders; and in Figure W-13 for motor graders.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load magnitude for purposes of compliance with paragraph (e)(2) of this section is equal to the vehicle weight. The test of load magnitude shall only be made after the requirements of paragraph (f)(2)(i) of this section are met.</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472234C8" wp14:editId="064FC0EA">
            <wp:extent cx="1607820" cy="1988820"/>
            <wp:effectExtent l="0" t="0" r="0" b="0"/>
            <wp:docPr id="158" name="Picture 158" descr="eCFR graphic ec30oc91.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CFR graphic ec30oc91.05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7820" cy="19888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02"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Material used in the ROPS must have the capability of performing at zero degrees Fahrenheit, or exhibit Charpy V notch impact strength of 8 foot-pounds at minus 20 °Fahrenheit.</w:t>
      </w:r>
    </w:p>
    <w:p w:rsidR="00D70103" w:rsidRPr="009F74C5" w:rsidRDefault="00D70103" w:rsidP="000507F6">
      <w:pPr>
        <w:spacing w:before="200" w:after="100" w:afterAutospacing="1" w:line="240" w:lineRule="auto"/>
        <w:rPr>
          <w:rFonts w:ascii="Arial" w:eastAsia="Times New Roman" w:hAnsi="Arial" w:cs="Arial"/>
          <w:sz w:val="20"/>
          <w:szCs w:val="20"/>
        </w:rPr>
      </w:pPr>
      <w:r w:rsidRPr="009F74C5">
        <w:rPr>
          <w:rFonts w:ascii="Arial" w:eastAsia="Times New Roman" w:hAnsi="Arial" w:cs="Arial"/>
          <w:sz w:val="20"/>
          <w:szCs w:val="20"/>
        </w:rPr>
        <w:t>This is a standard Charpy specimen as described in American Society of Testing and Materials A 370, Methods and Definitions for Mechanical Testing of Steel Products (available at each Regional Office of the Occupational Safety and Health Administration). The purpose of this requirement is to reduce the tendency of brittle fracture associated with dynamic loading, low temperature operation, and stress raisers which cannot be entirely avoided on welded structures.</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3CA885D5" wp14:editId="28231865">
            <wp:extent cx="1615440" cy="1935480"/>
            <wp:effectExtent l="0" t="0" r="3810" b="7620"/>
            <wp:docPr id="157" name="Picture 157" descr="eCFR graphic ec30oc91.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eCFR graphic ec30oc91.05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5440" cy="19354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04"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656B9043" wp14:editId="6A8A55AB">
            <wp:extent cx="1645920" cy="2331720"/>
            <wp:effectExtent l="0" t="0" r="0" b="0"/>
            <wp:docPr id="156" name="Picture 156" descr="eCFR graphic ec30oc91.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eCFR graphic ec30oc91.05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5920" cy="23317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06"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Definitions.</w:t>
      </w:r>
      <w:r w:rsidRPr="009F74C5">
        <w:rPr>
          <w:rFonts w:ascii="Arial" w:eastAsia="Times New Roman" w:hAnsi="Arial" w:cs="Arial"/>
          <w:sz w:val="20"/>
          <w:szCs w:val="20"/>
        </w:rPr>
        <w:t xml:space="preserve"> For purposes of this section, “vehicle weight” means the manufacturer's maximum weight of the prime mover for rubber-tired self-propelled scrapers. For other types of equipment to which this section applies, “vehicle weight” means the manufacturer's maximum recommended weight of the vehicle plus the heaviest attachment.</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58058093" wp14:editId="6622601E">
            <wp:extent cx="1615440" cy="1897380"/>
            <wp:effectExtent l="0" t="0" r="3810" b="7620"/>
            <wp:docPr id="155" name="Picture 155" descr="eCFR graphic ec30oc91.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CFR graphic ec30oc91.059.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5440" cy="18973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08"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FCE3B22" wp14:editId="35BF7832">
            <wp:extent cx="1607820" cy="1577340"/>
            <wp:effectExtent l="0" t="0" r="0" b="3810"/>
            <wp:docPr id="154" name="Picture 154" descr="eCFR graphic ec30oc91.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eCFR graphic ec30oc91.06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7820" cy="157734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10"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0D72DEC6" wp14:editId="0AD905C9">
            <wp:extent cx="1630680" cy="1653540"/>
            <wp:effectExtent l="0" t="0" r="7620" b="3810"/>
            <wp:docPr id="153" name="Picture 153" descr="eCFR graphic ec30oc91.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eCFR graphic ec30oc91.06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30680" cy="165354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12"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42BF97CE" wp14:editId="4B2FA4FC">
            <wp:extent cx="1615440" cy="1668780"/>
            <wp:effectExtent l="0" t="0" r="3810" b="7620"/>
            <wp:docPr id="152" name="Picture 152" descr="eCFR graphic ec30oc91.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CFR graphic ec30oc91.06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5440" cy="16687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14"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Source of standard.</w:t>
      </w:r>
      <w:r w:rsidRPr="009F74C5">
        <w:rPr>
          <w:rFonts w:ascii="Arial" w:eastAsia="Times New Roman" w:hAnsi="Arial" w:cs="Arial"/>
          <w:sz w:val="20"/>
          <w:szCs w:val="20"/>
        </w:rPr>
        <w:t xml:space="preserve"> This standard is derived from, and restates, the following Society of Automotive Engineers Recommended Practices: SAE J320a, Minimum Performance Criteria for Roll-Over Protective Structure for Rubber-Tired, Self-Propelled Scrapers; SAE J394, Minimum Performance Criteria for Roll-Over Protective Structure for Rubber-Tired Front End Loaders and Rubber-Tired Dozers; SAE J395, Minimum Performance Criteria for Roll-Over Protective Structure for Crawler Tractors and Crawler-Type Loaders; and SAE J396, Minimum Performance Criteria for Roll-Over Protective Structure for Motor Graders. These recommended practices shall be resorted to in the event that questions of interpretation arise. The recommended practices appear in the 1971 SAE Handbook, which may be examined in each of the Regional Offices of the Occupational Safety and Health Administration.</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15" w:anchor="_top" w:history="1">
        <w:r w:rsidR="00D70103">
          <w:rPr>
            <w:rFonts w:ascii="Arial" w:eastAsia="Times New Roman" w:hAnsi="Arial" w:cs="Arial"/>
            <w:noProof/>
            <w:color w:val="0000FF"/>
            <w:sz w:val="17"/>
            <w:szCs w:val="17"/>
          </w:rPr>
          <w:drawing>
            <wp:inline distT="0" distB="0" distL="0" distR="0" wp14:anchorId="7DD927A4" wp14:editId="0ED2C574">
              <wp:extent cx="152400" cy="152400"/>
              <wp:effectExtent l="0" t="0" r="0" b="0"/>
              <wp:docPr id="151" name="Picture 15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8" w:name="se29.8.1926_11002"/>
      <w:bookmarkEnd w:id="48"/>
      <w:r w:rsidRPr="009F74C5">
        <w:rPr>
          <w:rFonts w:ascii="Arial" w:eastAsia="Times New Roman" w:hAnsi="Arial" w:cs="Arial"/>
          <w:b/>
          <w:bCs/>
          <w:sz w:val="20"/>
          <w:szCs w:val="20"/>
        </w:rPr>
        <w:lastRenderedPageBreak/>
        <w:t>§1926.1002   Protective frames (roll-over protective structures, known as ROPS) for wheel-type agricultural and industrial tractors used in construction.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(1) The purpose of this section is to set forth requirements for frames used to protect operators of wheel-type agricultural and industrial tractors that will minimize the possibility of operator injury resulting from accidental upsets during normal operation. With respect to agricultural and industrial tractors, the provisions of 29 CFR 1926.1001 and 1926.1003 for rubber-tired dozers and rubber-tired loaders may be used instead of the requirements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protective frame that is the subject of this standard is a structure mounted to the tractor that extends above the operator's seat and conforms generally to Figure W-14.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an overhead weather shield is attached to the protective frame, it may be in place during testing, provided that it does not contribute to the strength of the protective frame. When such an overhead weather shield is attached, it must meet the requirements of paragraph (i)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For overhead protection requirements, see 29 CFR 1926.1003.</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following provisions address requirements for protective enclosures.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When protective enclosures are used on wheel-type agricultural and industrial tractors, they shall meet the requirements of Society of Automotive Engineers (“SAE”) standard J168-1970 (“Protective enclosures—test procedures and performance requirements”), which is incorporated by reference. The incorporation by reference was approved by the Director of the Federal Register in accordance with 5 U.S.C. 552(a) and 1 CFR part 51.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SAE standard J168-1970 appears in the 1971 SAE Handbook, or it may be examined at: any OSHA Regional Office; the OSHA Docket Office, U.S. Department of Labor, 200 Constitution Avenue, NW., Room N-2625, Washington, DC 20210 (telephone: (202) 693-2350 (TTY number: (877) 889-5627)); or the National Archives and Records Administration (“NARA”). (For information on the availability of this material at NARA, telephone (202) 741-6030 or access the NARA Web site at </w:t>
      </w:r>
      <w:r w:rsidRPr="009F74C5">
        <w:rPr>
          <w:rFonts w:ascii="Arial" w:eastAsia="Times New Roman" w:hAnsi="Arial" w:cs="Arial"/>
          <w:i/>
          <w:iCs/>
          <w:sz w:val="20"/>
          <w:szCs w:val="20"/>
        </w:rPr>
        <w:t>www.archives.gov/federal_register/code_of_federal_regulations/ibr_locations.html.</w:t>
      </w:r>
      <w:r w:rsidRPr="009F74C5">
        <w:rPr>
          <w:rFonts w:ascii="Arial" w:eastAsia="Times New Roman" w:hAnsi="Arial" w:cs="Arial"/>
          <w:sz w:val="20"/>
          <w:szCs w:val="20"/>
        </w:rPr>
        <w:t>) Copies may be purchased from the Society of Automotive Engineers, 400 Commonwealth Drive, Warrendale, Pennsylvania 15096-0001.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Applicability.</w:t>
      </w:r>
      <w:r w:rsidRPr="009F74C5">
        <w:rPr>
          <w:rFonts w:ascii="Arial" w:eastAsia="Times New Roman" w:hAnsi="Arial" w:cs="Arial"/>
          <w:sz w:val="20"/>
          <w:szCs w:val="20"/>
        </w:rPr>
        <w:t xml:space="preserve"> The requirements of this section apply to wheel-type agricultural and industrial tractors used in construction work. See paragraph (j) of this section for definitions of agricultural tractors set forth in paragraph (i)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Performance requirements.</w:t>
      </w:r>
      <w:r w:rsidRPr="009F74C5">
        <w:rPr>
          <w:rFonts w:ascii="Arial" w:eastAsia="Times New Roman" w:hAnsi="Arial" w:cs="Arial"/>
          <w:sz w:val="20"/>
          <w:szCs w:val="20"/>
        </w:rPr>
        <w:t xml:space="preserve"> (1) Either a laboratory test or a field test is required to determine the performance requirements set forth in paragraph (i)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 laboratory test may be either static or dynamic. The laboratory test must be under conditions of repeatable and controlled loading to permit analysis of the protective frame.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 field-upset test, when used, shall be conducted under reasonably controlled conditions, both rearward and sideways to verify the effectiveness of the protective frame under actual dynamic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Test procedures—general.</w:t>
      </w:r>
      <w:r w:rsidRPr="009F74C5">
        <w:rPr>
          <w:rFonts w:ascii="Arial" w:eastAsia="Times New Roman" w:hAnsi="Arial" w:cs="Arial"/>
          <w:sz w:val="20"/>
          <w:szCs w:val="20"/>
        </w:rPr>
        <w:t xml:space="preserve"> (1) The tractor used shall be the tractor with the greatest weight on which the protective frame is to be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A new protective frame and mounting connections of the same design shall be used for each test procedure.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Instantaneous and permanent frame deformation shall be measured and recorded for each segment of the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Dimensions relative to the seat shall be determined with the seat unloaded and adjusted to its highest and most rearward latched position provided for a seated operator.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When the seat is offset, the frame loading shall be on the side with the least space between the centerline of the seat and the upright.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The low-temperature impact strength of the material used in the protective structure shall be verified by suitable material tests or material certifications according to 29 CFR 1926.1001(f)(2)(iv).</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Test procedure for vehicle overturn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Vehicle weight.</w:t>
      </w:r>
      <w:r w:rsidRPr="009F74C5">
        <w:rPr>
          <w:rFonts w:ascii="Arial" w:eastAsia="Times New Roman" w:hAnsi="Arial" w:cs="Arial"/>
          <w:sz w:val="20"/>
          <w:szCs w:val="20"/>
        </w:rPr>
        <w:t xml:space="preserve"> The weight of the tractor, for purposes of this section, includes the protective frame, all fuels, and other components required for normal use of the tractor. Ballast must be added when necessary to achieve a minimum total weight of 130 lb (59 kg) per maximum power-takeoff horsepower at the rated engine speed. The weight of the front end must be at least 33 lb (15 kg) per maximum power-takeoff horsepower. In case power-takeoff horsepower is unavailable, 95 percent of net engine flywheel horsepower shall be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Agricultural tractors shall be tested at the weight set forth in paragraph (e)(1)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Industrial tractors shall be tested with items of integral or mounted equipment and ballast that are sold as standard equipment or approved by the vehicle manufacturer for use with the vehicle when the protective frame is expected to provide protection for the operator with such equipment installed. The total vehicle weight and front-end weight as tested shall not be less than the weights established in paragraph (e)(1)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following provisions address soil bank test conditions.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test shall be conducted on a dry, firm soil bank as illustrated in Figure W-15. The soil in the impact area shall have an average cone index in the 0-in. to 6-in. (0-mm to 153-mm) layer not less than 150 according to American Society of Agricultural Engineers (“ASAE”) recommendation ASAE R313.1-1971 (“Soil cone penetrometer”), as reconfirmed in 1975, which is incorporated by reference. The incorporation by reference was approved by the Director of the Federal Register in accordance with 5 U.S.C. 552(a) and 1 CFR part 51. The path of vehicle travel shall be 12° ±2° to the top edge of the bank.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ASAE recommendation ASAE R313.1-1971, as reconfirmed in 1975, appears in the 1977 Agricultural Engineers Yearbook, or it may be examined at: any OSHA Regional Office; the OSHA Docket Office, U.S. Department of Labor, 200 Constitution Avenue, NW., Room N-2625, Washington, DC 20210 (telephone: (202) 693-2350 (TTY number: (877) 889-5627)); or the National Archives and Records Administration (“NARA”). (For information on the availability of this material at NARA, telephone (202) 741-6030 or access the NARA Web site at </w:t>
      </w:r>
      <w:r w:rsidRPr="009F74C5">
        <w:rPr>
          <w:rFonts w:ascii="Arial" w:eastAsia="Times New Roman" w:hAnsi="Arial" w:cs="Arial"/>
          <w:i/>
          <w:iCs/>
          <w:sz w:val="20"/>
          <w:szCs w:val="20"/>
        </w:rPr>
        <w:t>www.archives.gov/federal_register/code_of_federal_regulations/ibr_locations.html</w:t>
      </w:r>
      <w:r w:rsidRPr="009F74C5">
        <w:rPr>
          <w:rFonts w:ascii="Arial" w:eastAsia="Times New Roman" w:hAnsi="Arial" w:cs="Arial"/>
          <w:sz w:val="20"/>
          <w:szCs w:val="20"/>
        </w:rPr>
        <w:t>). Copies may be purchased from the American Society of Agricultural Engineers 2950 Niles Road, St. Joseph, MI 49085.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upper edge of the bank shall be equipped with an 18-in. (457-mm) high ramp as described in Figure W-15 to assist in tipping the vehicle.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(6) The front and rear wheel-tread settings, when adjustable, shall be at the position nearest to halfway between the minimum and maximum settings obtainable on the vehicle. When only two settings are obtainable, the minimum setting shall be used.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Vehicle overturn test—sideways and rearward.</w:t>
      </w:r>
      <w:r w:rsidRPr="009F74C5">
        <w:rPr>
          <w:rFonts w:ascii="Arial" w:eastAsia="Times New Roman" w:hAnsi="Arial" w:cs="Arial"/>
          <w:sz w:val="20"/>
          <w:szCs w:val="20"/>
        </w:rPr>
        <w:t xml:space="preserve"> (i) The tractor shall be driven under its own power along the specified path of travel at a minimum speed of 10 mph (16 kph), or maximum vehicle speed when under 10 mph (16 kph), up the ramp as described in paragraph (d)(5) of this section to induce sideways overturn.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Rear upset shall be induced by engine power with the tractor operating in gear to obtain 3 to 5 mph (4.8 to 8 kph) at maximum governed engine rpm, preferably by driving forward directly up a minimum slope of two vertical to one horizontal. The engine clutch may be used to aid in inducing the upset.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Other test procedures.</w:t>
      </w:r>
      <w:r w:rsidRPr="009F74C5">
        <w:rPr>
          <w:rFonts w:ascii="Arial" w:eastAsia="Times New Roman" w:hAnsi="Arial" w:cs="Arial"/>
          <w:sz w:val="20"/>
          <w:szCs w:val="20"/>
        </w:rPr>
        <w:t xml:space="preserve"> When the field-upset test is not used to determine ROPS performance, either the static test or the dynamic test, contained in paragraph (g) or (h) of this section, shall be made.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Static test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Test conditions.</w:t>
      </w:r>
      <w:r w:rsidRPr="009F74C5">
        <w:rPr>
          <w:rFonts w:ascii="Arial" w:eastAsia="Times New Roman" w:hAnsi="Arial" w:cs="Arial"/>
          <w:sz w:val="20"/>
          <w:szCs w:val="20"/>
        </w:rPr>
        <w:t xml:space="preserve"> (i) The laboratory mounting base shall include that part of the tractor chassis to which the protective frame is attached, including the mounting parts.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protective frame shall be instrumented with the necessary equipment to obtain the required load-deflection data at the locations and directions specified in Figures W-16, W-17, and W-18.</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The protective frame and mounting connections shall be instrumented with the necessary recording equipment to obtain the required load-deflection data to be used in calculating </w:t>
      </w:r>
      <w:r w:rsidRPr="009F74C5">
        <w:rPr>
          <w:rFonts w:ascii="Arial" w:eastAsia="Times New Roman" w:hAnsi="Arial" w:cs="Arial"/>
          <w:i/>
          <w:iCs/>
          <w:sz w:val="20"/>
          <w:szCs w:val="20"/>
        </w:rPr>
        <w:t>FSB</w:t>
      </w:r>
      <w:r w:rsidRPr="009F74C5">
        <w:rPr>
          <w:rFonts w:ascii="Arial" w:eastAsia="Times New Roman" w:hAnsi="Arial" w:cs="Arial"/>
          <w:sz w:val="20"/>
          <w:szCs w:val="20"/>
        </w:rPr>
        <w:t xml:space="preserve"> (see paragraph (j)(3) of this section). The gauges shall be placed on mounting connections before the installation load is applied.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Test procedure.</w:t>
      </w:r>
      <w:r w:rsidRPr="009F74C5">
        <w:rPr>
          <w:rFonts w:ascii="Arial" w:eastAsia="Times New Roman" w:hAnsi="Arial" w:cs="Arial"/>
          <w:sz w:val="20"/>
          <w:szCs w:val="20"/>
        </w:rPr>
        <w:t xml:space="preserve"> (i) The side-load application shall be at the upper extremity of the frame upright at a 90° angle to the centerline of the vehicle. The side load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shall be applied according to Figure W-16.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and </w:t>
      </w:r>
      <w:r w:rsidRPr="009F74C5">
        <w:rPr>
          <w:rFonts w:ascii="Arial" w:eastAsia="Times New Roman" w:hAnsi="Arial" w:cs="Arial"/>
          <w:i/>
          <w:iCs/>
          <w:sz w:val="20"/>
          <w:szCs w:val="20"/>
        </w:rPr>
        <w:t>D</w:t>
      </w:r>
      <w:r w:rsidRPr="009F74C5">
        <w:rPr>
          <w:rFonts w:ascii="Arial" w:eastAsia="Times New Roman" w:hAnsi="Arial" w:cs="Arial"/>
          <w:sz w:val="20"/>
          <w:szCs w:val="20"/>
        </w:rPr>
        <w:t xml:space="preserve"> shall be recorded simultaneously. The test shall be stopped when: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strain energy absorbed by the frame is equal to the required input energy (</w:t>
      </w: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Deflection of the frame exceeds the allowable deflection; or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frame load limit occurs before the allowable deflection is reached in the side load.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The </w:t>
      </w:r>
      <w:r w:rsidRPr="009F74C5">
        <w:rPr>
          <w:rFonts w:ascii="Arial" w:eastAsia="Times New Roman" w:hAnsi="Arial" w:cs="Arial"/>
          <w:i/>
          <w:iCs/>
          <w:sz w:val="20"/>
          <w:szCs w:val="20"/>
        </w:rPr>
        <w:t>L-D</w:t>
      </w:r>
      <w:r w:rsidRPr="009F74C5">
        <w:rPr>
          <w:rFonts w:ascii="Arial" w:eastAsia="Times New Roman" w:hAnsi="Arial" w:cs="Arial"/>
          <w:sz w:val="20"/>
          <w:szCs w:val="20"/>
        </w:rPr>
        <w:t xml:space="preserve"> diagram (see Figure W-19 for an example) shall be constructed using the data obtained according to paragraph (g)(2)(i) of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The modified </w:t>
      </w:r>
      <w:r w:rsidRPr="009F74C5">
        <w:rPr>
          <w:rFonts w:ascii="Arial" w:eastAsia="Times New Roman" w:hAnsi="Arial" w:cs="Arial"/>
          <w:i/>
          <w:iCs/>
          <w:sz w:val="20"/>
          <w:szCs w:val="20"/>
        </w:rPr>
        <w:t>L</w:t>
      </w:r>
      <w:r w:rsidRPr="009F74C5">
        <w:rPr>
          <w:rFonts w:ascii="Arial" w:eastAsia="Times New Roman" w:hAnsi="Arial" w:cs="Arial"/>
          <w:i/>
          <w:iCs/>
          <w:sz w:val="14"/>
          <w:szCs w:val="14"/>
          <w:vertAlign w:val="subscript"/>
        </w:rPr>
        <w:t>m</w:t>
      </w:r>
      <w:r w:rsidRPr="009F74C5">
        <w:rPr>
          <w:rFonts w:ascii="Arial" w:eastAsia="Times New Roman" w:hAnsi="Arial" w:cs="Arial"/>
          <w:i/>
          <w:iCs/>
          <w:sz w:val="20"/>
          <w:szCs w:val="20"/>
        </w:rPr>
        <w:t>-D</w:t>
      </w:r>
      <w:r w:rsidRPr="009F74C5">
        <w:rPr>
          <w:rFonts w:ascii="Arial" w:eastAsia="Times New Roman" w:hAnsi="Arial" w:cs="Arial"/>
          <w:i/>
          <w:iCs/>
          <w:sz w:val="14"/>
          <w:szCs w:val="14"/>
          <w:vertAlign w:val="subscript"/>
        </w:rPr>
        <w:t>m</w:t>
      </w:r>
      <w:r w:rsidRPr="009F74C5">
        <w:rPr>
          <w:rFonts w:ascii="Arial" w:eastAsia="Times New Roman" w:hAnsi="Arial" w:cs="Arial"/>
          <w:sz w:val="20"/>
          <w:szCs w:val="20"/>
        </w:rPr>
        <w:t xml:space="preserve"> diagram shall be constructed according to paragraph (g)(2)(ii) and Figure W-20 of this section. The strain energy absorbed by the frame (</w:t>
      </w:r>
      <w:r w:rsidRPr="009F74C5">
        <w:rPr>
          <w:rFonts w:ascii="Arial" w:eastAsia="Times New Roman" w:hAnsi="Arial" w:cs="Arial"/>
          <w:i/>
          <w:iCs/>
          <w:sz w:val="20"/>
          <w:szCs w:val="20"/>
        </w:rPr>
        <w:t>E</w:t>
      </w:r>
      <w:r w:rsidRPr="009F74C5">
        <w:rPr>
          <w:rFonts w:ascii="Arial" w:eastAsia="Times New Roman" w:hAnsi="Arial" w:cs="Arial"/>
          <w:i/>
          <w:iCs/>
          <w:sz w:val="14"/>
          <w:szCs w:val="14"/>
          <w:vertAlign w:val="subscript"/>
        </w:rPr>
        <w:t>u</w:t>
      </w:r>
      <w:r w:rsidRPr="009F74C5">
        <w:rPr>
          <w:rFonts w:ascii="Arial" w:eastAsia="Times New Roman" w:hAnsi="Arial" w:cs="Arial"/>
          <w:sz w:val="20"/>
          <w:szCs w:val="20"/>
        </w:rPr>
        <w:t>) shall then be determined.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E</w:t>
      </w:r>
      <w:r w:rsidRPr="009F74C5">
        <w:rPr>
          <w:rFonts w:ascii="Arial" w:eastAsia="Times New Roman" w:hAnsi="Arial" w:cs="Arial"/>
          <w:i/>
          <w:iCs/>
          <w:sz w:val="14"/>
          <w:szCs w:val="14"/>
          <w:vertAlign w:val="subscript"/>
        </w:rPr>
        <w:t>is</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FER</w:t>
      </w:r>
      <w:r w:rsidRPr="009F74C5">
        <w:rPr>
          <w:rFonts w:ascii="Arial" w:eastAsia="Times New Roman" w:hAnsi="Arial" w:cs="Arial"/>
          <w:sz w:val="20"/>
          <w:szCs w:val="20"/>
        </w:rPr>
        <w:t xml:space="preserve">, and </w:t>
      </w:r>
      <w:r w:rsidRPr="009F74C5">
        <w:rPr>
          <w:rFonts w:ascii="Arial" w:eastAsia="Times New Roman" w:hAnsi="Arial" w:cs="Arial"/>
          <w:i/>
          <w:iCs/>
          <w:sz w:val="20"/>
          <w:szCs w:val="20"/>
        </w:rPr>
        <w:t>FSB</w:t>
      </w:r>
      <w:r w:rsidRPr="009F74C5">
        <w:rPr>
          <w:rFonts w:ascii="Arial" w:eastAsia="Times New Roman" w:hAnsi="Arial" w:cs="Arial"/>
          <w:sz w:val="20"/>
          <w:szCs w:val="20"/>
        </w:rPr>
        <w:t xml:space="preserve"> shall be calculated.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The test procedure shall be repeated on the same frame using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(rear input; see Figure W-18) and </w:t>
      </w:r>
      <w:r w:rsidRPr="009F74C5">
        <w:rPr>
          <w:rFonts w:ascii="Arial" w:eastAsia="Times New Roman" w:hAnsi="Arial" w:cs="Arial"/>
          <w:i/>
          <w:iCs/>
          <w:sz w:val="20"/>
          <w:szCs w:val="20"/>
        </w:rPr>
        <w:t>E</w:t>
      </w:r>
      <w:r w:rsidRPr="009F74C5">
        <w:rPr>
          <w:rFonts w:ascii="Arial" w:eastAsia="Times New Roman" w:hAnsi="Arial" w:cs="Arial"/>
          <w:i/>
          <w:iCs/>
          <w:sz w:val="14"/>
          <w:szCs w:val="14"/>
          <w:vertAlign w:val="subscript"/>
        </w:rPr>
        <w:t>ir.</w:t>
      </w:r>
      <w:r w:rsidRPr="009F74C5">
        <w:rPr>
          <w:rFonts w:ascii="Arial" w:eastAsia="Times New Roman" w:hAnsi="Arial" w:cs="Arial"/>
          <w:sz w:val="20"/>
          <w:szCs w:val="20"/>
        </w:rPr>
        <w:t xml:space="preserve"> Rear-load application shall be distributed uniformly along a maximum projected dimension of 27 in. (686 mm) and a maximum area of 160 sq. in. (1,032 sq. cm) normal to the direction of load application. The load shall be applied to the upper extremity of the frame at the point that is midway between the centerline of the seat and the inside of the frame upright.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Dynamic test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Test conditions.</w:t>
      </w:r>
      <w:r w:rsidRPr="009F74C5">
        <w:rPr>
          <w:rFonts w:ascii="Arial" w:eastAsia="Times New Roman" w:hAnsi="Arial" w:cs="Arial"/>
          <w:sz w:val="20"/>
          <w:szCs w:val="20"/>
        </w:rPr>
        <w:t xml:space="preserve"> (i) The protective frame and tractor shall meet the requirements of paragraphs (e)(2) or (3) of this section, as appropriate.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dynamic loading shall be produced by using a 4,410-lb (2,000-kg) weight acting as a pendulum. The impact face of the weight shall be 27 ±1 in. by 27 ±1 in. (686 ±25 mm by 686 ±25 mm), and shall be constructed so that its center of gravity is within 1.0 in. (25.4 mm) of its geometric center. The weight shall be suspended from a pivot point 18 to 22 ft (5.5 to 6.7 m) above the point of impact on the frame, and shall be conveniently and safely adjustable for height (see Figure W-21).</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each phase of testing, the tractor shall be restrained from moving when the dynamic load is applied. The restraining members shall be 0.50- to 0.63-in. (12.5- to 16.0-mm) steel cable, and points for attaching restraining members shall be located an appropriate distance behind the rear axle and in front of the front axle to provide a 15° to 30° angle between the restraining cable and the horizontal. The restraining cables shall either be in the plane in which the center of gravity of the pendulum will swing, or more than one restraining cable shall give a resultant force in this plane (see Figure W-22).</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wheel-tread setting shall comply with the requirements of paragraph (e)(6) of this section. The tires shall have no liquid ballast, and shall be inflated to the maximum operating pressure recommended by the tire manufacturer. With the specified tire inflation, the restraining cables shall be tightened to provide tire deflection of 6 to 8 percent of the nominal tire-section width. After the vehicle is restrained properly, a wooden beam that is 6-in. × 6-in. (150 mm × 150 mm) shall be driven tightly against the appropriate wheels and clamped. For the test to the side, an additional wooden beam shall be placed as a prop against the wheel nearest to the operator's station, and shall be secured to the floor so that when it is positioned against the wheel rim, it is at an angle of 25° to 40° to the horizontal. It shall have a length 20 to 25 times its depth, and a width two to three times its depth (see Figures W-22 and W-23).</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Means shall be provided for indicating the maximum instantaneous deflection along the line of impact. A simple friction device is illustrated in Figure W-18.</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No repair or adjustments may be carried out during the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When any cables, props, or blocking shift or break during the test, the test shall be repeated.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Test procedure.</w:t>
      </w:r>
      <w:r w:rsidRPr="009F74C5">
        <w:rPr>
          <w:rFonts w:ascii="Arial" w:eastAsia="Times New Roman" w:hAnsi="Arial" w:cs="Arial"/>
          <w:sz w:val="20"/>
          <w:szCs w:val="20"/>
        </w:rPr>
        <w:t xml:space="preserve"> (i)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frame shall be evaluated by imposing dynamic loading to the rear, followed by a load to the side on the same frame. The pendulum dropped from the height (see the definition of “</w:t>
      </w:r>
      <w:r w:rsidRPr="009F74C5">
        <w:rPr>
          <w:rFonts w:ascii="Arial" w:eastAsia="Times New Roman" w:hAnsi="Arial" w:cs="Arial"/>
          <w:i/>
          <w:iCs/>
          <w:sz w:val="20"/>
          <w:szCs w:val="20"/>
        </w:rPr>
        <w:t>H</w:t>
      </w:r>
      <w:r w:rsidRPr="009F74C5">
        <w:rPr>
          <w:rFonts w:ascii="Arial" w:eastAsia="Times New Roman" w:hAnsi="Arial" w:cs="Arial"/>
          <w:sz w:val="20"/>
          <w:szCs w:val="20"/>
        </w:rPr>
        <w:t>” in paragraph (j)(3) of this section) imposes the dynamic load. The position of the pendulum shall be so selected that the initial point of impact on the frame shall be in line with the arc of travel of the center of gravity of the pendulum. A quick-release mechanism should be used but, when used, it shall not influence the attitude of the block.</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Impact at rear.</w:t>
      </w:r>
      <w:r w:rsidRPr="009F74C5">
        <w:rPr>
          <w:rFonts w:ascii="Arial" w:eastAsia="Times New Roman" w:hAnsi="Arial" w:cs="Arial"/>
          <w:sz w:val="20"/>
          <w:szCs w:val="20"/>
        </w:rPr>
        <w:t xml:space="preserve"> The tractor shall be restrained properly according to paragraphs (h)(1)(iii) and (h)(1)(iv) of this section. The tractor shall be positioned with respect to the pivot point of the pendulum so that the pendulum is 20° from the vertical prior to impact as shown in Figure W-22. The impact shall be applied to the upper extremity of the frame at the point that is midway between the centerline of the frame and the inside of the frame upright of a new frame.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Impact at side.</w:t>
      </w:r>
      <w:r w:rsidRPr="009F74C5">
        <w:rPr>
          <w:rFonts w:ascii="Arial" w:eastAsia="Times New Roman" w:hAnsi="Arial" w:cs="Arial"/>
          <w:sz w:val="20"/>
          <w:szCs w:val="20"/>
        </w:rPr>
        <w:t xml:space="preserve"> The blocking and restraining shall conform to paragraphs (h)(1)(iii) and (h)(1)(iv) of this section. The center point of impact shall be that structural member of the protective frame likely to hit the ground first in a sideways accidental upset. The side impact shall be applied to the side opposite that used for rear impact.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Performance requirements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(i) The frame, overhead weather shield, fenders, or other parts in the operator area may be deformed in these tests, but shall not shatter or leave sharp edges exposed to the operator, or violate the dimensions shown in Figures W-16 and W-17, and specified as follows:</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D</w:t>
      </w:r>
      <w:r w:rsidRPr="009F74C5">
        <w:rPr>
          <w:rFonts w:ascii="Arial" w:eastAsia="Times New Roman" w:hAnsi="Arial" w:cs="Arial"/>
          <w:sz w:val="20"/>
          <w:szCs w:val="20"/>
        </w:rPr>
        <w:t xml:space="preserve"> = 2 in. (51 mm) inside of the frame upright to the vertical centerline of the seat;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lastRenderedPageBreak/>
        <w:t>E</w:t>
      </w:r>
      <w:r w:rsidRPr="009F74C5">
        <w:rPr>
          <w:rFonts w:ascii="Arial" w:eastAsia="Times New Roman" w:hAnsi="Arial" w:cs="Arial"/>
          <w:sz w:val="20"/>
          <w:szCs w:val="20"/>
        </w:rPr>
        <w:t xml:space="preserve"> = 30 in. (762 mm);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F</w:t>
      </w:r>
      <w:r w:rsidRPr="009F74C5">
        <w:rPr>
          <w:rFonts w:ascii="Arial" w:eastAsia="Times New Roman" w:hAnsi="Arial" w:cs="Arial"/>
          <w:sz w:val="20"/>
          <w:szCs w:val="20"/>
        </w:rPr>
        <w:t xml:space="preserve"> = Not less than 0 in. (0 mm) and not more than 12 in. (305 mm), measured at the centerline of the seat backrest to the crossbar along the line of load application as shown in Figure W-17; and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G</w:t>
      </w:r>
      <w:r w:rsidRPr="009F74C5">
        <w:rPr>
          <w:rFonts w:ascii="Arial" w:eastAsia="Times New Roman" w:hAnsi="Arial" w:cs="Arial"/>
          <w:sz w:val="20"/>
          <w:szCs w:val="20"/>
        </w:rPr>
        <w:t xml:space="preserve"> = 24 in. (610 mm).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material and design combination used in the protective structure must be such that the structure can meet all prescribed performance tests at 0 °F (−18 °C) according to 29 CFR 1926.1001(f)(2)(iv).</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Vehicle overturn performance requirements.</w:t>
      </w:r>
      <w:r w:rsidRPr="009F74C5">
        <w:rPr>
          <w:rFonts w:ascii="Arial" w:eastAsia="Times New Roman" w:hAnsi="Arial" w:cs="Arial"/>
          <w:sz w:val="20"/>
          <w:szCs w:val="20"/>
        </w:rPr>
        <w:t xml:space="preserve"> The requirements of this paragraph (i) must be met in both side and rear overturns.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Static test performance requirements.</w:t>
      </w:r>
      <w:r w:rsidRPr="009F74C5">
        <w:rPr>
          <w:rFonts w:ascii="Arial" w:eastAsia="Times New Roman" w:hAnsi="Arial" w:cs="Arial"/>
          <w:sz w:val="20"/>
          <w:szCs w:val="20"/>
        </w:rPr>
        <w:t xml:space="preserve"> Design factors shall be incorporated in each design to withstand an overturn test as specified by this paragraph (i). The structural requirements will be met generally when </w:t>
      </w:r>
      <w:r w:rsidRPr="009F74C5">
        <w:rPr>
          <w:rFonts w:ascii="Arial" w:eastAsia="Times New Roman" w:hAnsi="Arial" w:cs="Arial"/>
          <w:i/>
          <w:iCs/>
          <w:sz w:val="20"/>
          <w:szCs w:val="20"/>
        </w:rPr>
        <w:t>FER</w:t>
      </w:r>
      <w:r w:rsidRPr="009F74C5">
        <w:rPr>
          <w:rFonts w:ascii="Arial" w:eastAsia="Times New Roman" w:hAnsi="Arial" w:cs="Arial"/>
          <w:sz w:val="20"/>
          <w:szCs w:val="20"/>
        </w:rPr>
        <w:t xml:space="preserve"> is greater than 1.0 and </w:t>
      </w:r>
      <w:r w:rsidRPr="009F74C5">
        <w:rPr>
          <w:rFonts w:ascii="Arial" w:eastAsia="Times New Roman" w:hAnsi="Arial" w:cs="Arial"/>
          <w:i/>
          <w:iCs/>
          <w:sz w:val="20"/>
          <w:szCs w:val="20"/>
        </w:rPr>
        <w:t>FSB</w:t>
      </w:r>
      <w:r w:rsidRPr="009F74C5">
        <w:rPr>
          <w:rFonts w:ascii="Arial" w:eastAsia="Times New Roman" w:hAnsi="Arial" w:cs="Arial"/>
          <w:sz w:val="20"/>
          <w:szCs w:val="20"/>
        </w:rPr>
        <w:t xml:space="preserve"> is greater than </w:t>
      </w:r>
      <w:r w:rsidRPr="009F74C5">
        <w:rPr>
          <w:rFonts w:ascii="Arial" w:eastAsia="Times New Roman" w:hAnsi="Arial" w:cs="Arial"/>
          <w:i/>
          <w:iCs/>
          <w:sz w:val="20"/>
          <w:szCs w:val="20"/>
        </w:rPr>
        <w:t>K</w:t>
      </w:r>
      <w:r w:rsidRPr="009F74C5">
        <w:rPr>
          <w:rFonts w:ascii="Arial" w:eastAsia="Times New Roman" w:hAnsi="Arial" w:cs="Arial"/>
          <w:sz w:val="20"/>
          <w:szCs w:val="20"/>
        </w:rPr>
        <w:t>-1 in both side and rear loadings.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Dynamic test performance requirements.</w:t>
      </w:r>
      <w:r w:rsidRPr="009F74C5">
        <w:rPr>
          <w:rFonts w:ascii="Arial" w:eastAsia="Times New Roman" w:hAnsi="Arial" w:cs="Arial"/>
          <w:sz w:val="20"/>
          <w:szCs w:val="20"/>
        </w:rPr>
        <w:t xml:space="preserve"> Design factors shall be incorporated in each design to withstand the overturn test specified by this paragraph (i). The structural requirements will be met generally when the dimensions in this paragraph (i) are used during both side and rear loads.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Definitions applicable to this section.</w:t>
      </w:r>
      <w:r w:rsidRPr="009F74C5">
        <w:rPr>
          <w:rFonts w:ascii="Arial" w:eastAsia="Times New Roman" w:hAnsi="Arial" w:cs="Arial"/>
          <w:sz w:val="20"/>
          <w:szCs w:val="20"/>
        </w:rPr>
        <w:t xml:space="preserve"> (1) “Agricultural tractor” means a wheel-type vehicle of more than 20 engine horsepower, used in construction work, that is designed to furnish the power to pull, propel, or drive implements. (SAE standard J333a-1970 (“Operator protection for wheel-type agricultural and industrial tractors”) defines “agricultural tractor” as a “wheel-type vehicle of more than 20 engine horsepower designed to furnish the power to pull, carry, propel, or drive implements that are designed for agricultural usage.” Since this part 1926 applies only to construction work, the SAE definition of “agricultural tractor” is adopted for purposes of this subpart.)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“Industrial tractor” means that class of wheel-type tractors of more than 20 engine horsepower (other than rubber-tired loaders and dozers described in 29 CFR 1926.1001), used in operations such as landscaping, construction services, loading, digging, grounds keeping, and highway maintenance.</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The following symbols, terms, and explanations apply to this section: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 xml:space="preserve"> = Energy input to be absorbed during side loading in ft-lb (</w:t>
      </w:r>
      <w:r w:rsidRPr="009F74C5">
        <w:rPr>
          <w:rFonts w:ascii="Arial" w:eastAsia="Times New Roman" w:hAnsi="Arial" w:cs="Arial"/>
          <w:i/>
          <w:iCs/>
          <w:sz w:val="20"/>
          <w:szCs w:val="20"/>
        </w:rPr>
        <w:t>E</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 xml:space="preserve"> in J [joules]);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 xml:space="preserve"> = 723 + 0.4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ft-lb (</w:t>
      </w:r>
      <w:r w:rsidRPr="009F74C5">
        <w:rPr>
          <w:rFonts w:ascii="Arial" w:eastAsia="Times New Roman" w:hAnsi="Arial" w:cs="Arial"/>
          <w:i/>
          <w:iCs/>
          <w:sz w:val="20"/>
          <w:szCs w:val="20"/>
        </w:rPr>
        <w:t>E′</w:t>
      </w:r>
      <w:r w:rsidRPr="009F74C5">
        <w:rPr>
          <w:rFonts w:ascii="Arial" w:eastAsia="Times New Roman" w:hAnsi="Arial" w:cs="Arial"/>
          <w:sz w:val="20"/>
          <w:szCs w:val="20"/>
        </w:rPr>
        <w:t xml:space="preserve"> </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 xml:space="preserve"> = 100 + 0.12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 J);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ir</w:t>
      </w:r>
      <w:r w:rsidRPr="009F74C5">
        <w:rPr>
          <w:rFonts w:ascii="Arial" w:eastAsia="Times New Roman" w:hAnsi="Arial" w:cs="Arial"/>
          <w:sz w:val="20"/>
          <w:szCs w:val="20"/>
        </w:rPr>
        <w:t xml:space="preserve"> = Energy input to be absorbed during rear loading in ft-lb (</w:t>
      </w:r>
      <w:r w:rsidRPr="009F74C5">
        <w:rPr>
          <w:rFonts w:ascii="Arial" w:eastAsia="Times New Roman" w:hAnsi="Arial" w:cs="Arial"/>
          <w:i/>
          <w:iCs/>
          <w:sz w:val="20"/>
          <w:szCs w:val="20"/>
        </w:rPr>
        <w:t>E</w:t>
      </w:r>
      <w:r w:rsidRPr="009F74C5">
        <w:rPr>
          <w:rFonts w:ascii="Arial" w:eastAsia="Times New Roman" w:hAnsi="Arial" w:cs="Arial"/>
          <w:sz w:val="20"/>
          <w:szCs w:val="20"/>
        </w:rPr>
        <w:t xml:space="preserve">′ </w:t>
      </w:r>
      <w:r w:rsidRPr="009F74C5">
        <w:rPr>
          <w:rFonts w:ascii="Arial" w:eastAsia="Times New Roman" w:hAnsi="Arial" w:cs="Arial"/>
          <w:sz w:val="14"/>
          <w:szCs w:val="14"/>
          <w:vertAlign w:val="subscript"/>
        </w:rPr>
        <w:t>ir</w:t>
      </w:r>
      <w:r w:rsidRPr="009F74C5">
        <w:rPr>
          <w:rFonts w:ascii="Arial" w:eastAsia="Times New Roman" w:hAnsi="Arial" w:cs="Arial"/>
          <w:sz w:val="20"/>
          <w:szCs w:val="20"/>
        </w:rPr>
        <w:t xml:space="preserve"> in J);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ir</w:t>
      </w:r>
      <w:r w:rsidRPr="009F74C5">
        <w:rPr>
          <w:rFonts w:ascii="Arial" w:eastAsia="Times New Roman" w:hAnsi="Arial" w:cs="Arial"/>
          <w:sz w:val="20"/>
          <w:szCs w:val="20"/>
        </w:rPr>
        <w:t xml:space="preserve"> = 0.47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ft-lb (</w:t>
      </w:r>
      <w:r w:rsidRPr="009F74C5">
        <w:rPr>
          <w:rFonts w:ascii="Arial" w:eastAsia="Times New Roman" w:hAnsi="Arial" w:cs="Arial"/>
          <w:i/>
          <w:iCs/>
          <w:sz w:val="20"/>
          <w:szCs w:val="20"/>
        </w:rPr>
        <w:t>E</w:t>
      </w:r>
      <w:r w:rsidRPr="009F74C5">
        <w:rPr>
          <w:rFonts w:ascii="Arial" w:eastAsia="Times New Roman" w:hAnsi="Arial" w:cs="Arial"/>
          <w:sz w:val="20"/>
          <w:szCs w:val="20"/>
        </w:rPr>
        <w:t xml:space="preserve">′ </w:t>
      </w:r>
      <w:r w:rsidRPr="009F74C5">
        <w:rPr>
          <w:rFonts w:ascii="Arial" w:eastAsia="Times New Roman" w:hAnsi="Arial" w:cs="Arial"/>
          <w:sz w:val="14"/>
          <w:szCs w:val="14"/>
          <w:vertAlign w:val="subscript"/>
        </w:rPr>
        <w:t>ir</w:t>
      </w:r>
      <w:r w:rsidRPr="009F74C5">
        <w:rPr>
          <w:rFonts w:ascii="Arial" w:eastAsia="Times New Roman" w:hAnsi="Arial" w:cs="Arial"/>
          <w:sz w:val="20"/>
          <w:szCs w:val="20"/>
        </w:rPr>
        <w:t xml:space="preserve"> = 0.14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J);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W</w:t>
      </w:r>
      <w:r w:rsidRPr="009F74C5">
        <w:rPr>
          <w:rFonts w:ascii="Arial" w:eastAsia="Times New Roman" w:hAnsi="Arial" w:cs="Arial"/>
          <w:sz w:val="20"/>
          <w:szCs w:val="20"/>
        </w:rPr>
        <w:t xml:space="preserve"> = Tractor weight as specified by 29 CFR 1926.1002(e)(1) and (e)(3), in lb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 kg);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L</w:t>
      </w:r>
      <w:r w:rsidRPr="009F74C5">
        <w:rPr>
          <w:rFonts w:ascii="Arial" w:eastAsia="Times New Roman" w:hAnsi="Arial" w:cs="Arial"/>
          <w:sz w:val="20"/>
          <w:szCs w:val="20"/>
        </w:rPr>
        <w:t xml:space="preserve"> = Static load, lb (kg);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D</w:t>
      </w:r>
      <w:r w:rsidRPr="009F74C5">
        <w:rPr>
          <w:rFonts w:ascii="Arial" w:eastAsia="Times New Roman" w:hAnsi="Arial" w:cs="Arial"/>
          <w:sz w:val="20"/>
          <w:szCs w:val="20"/>
        </w:rPr>
        <w:t xml:space="preserve"> = Deflection under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in. (mm);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L-D</w:t>
      </w:r>
      <w:r w:rsidRPr="009F74C5">
        <w:rPr>
          <w:rFonts w:ascii="Arial" w:eastAsia="Times New Roman" w:hAnsi="Arial" w:cs="Arial"/>
          <w:sz w:val="20"/>
          <w:szCs w:val="20"/>
        </w:rPr>
        <w:t xml:space="preserve"> = Static load-deflection diagram;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L</w:t>
      </w:r>
      <w:r w:rsidRPr="009F74C5">
        <w:rPr>
          <w:rFonts w:ascii="Arial" w:eastAsia="Times New Roman" w:hAnsi="Arial" w:cs="Arial"/>
          <w:sz w:val="14"/>
          <w:szCs w:val="14"/>
          <w:vertAlign w:val="subscript"/>
        </w:rPr>
        <w:t>m</w:t>
      </w:r>
      <w:r w:rsidRPr="009F74C5">
        <w:rPr>
          <w:rFonts w:ascii="Arial" w:eastAsia="Times New Roman" w:hAnsi="Arial" w:cs="Arial"/>
          <w:i/>
          <w:iCs/>
          <w:sz w:val="20"/>
          <w:szCs w:val="20"/>
        </w:rPr>
        <w:t>-D</w:t>
      </w:r>
      <w:r w:rsidRPr="009F74C5">
        <w:rPr>
          <w:rFonts w:ascii="Arial" w:eastAsia="Times New Roman" w:hAnsi="Arial" w:cs="Arial"/>
          <w:sz w:val="14"/>
          <w:szCs w:val="14"/>
          <w:vertAlign w:val="subscript"/>
        </w:rPr>
        <w:t>m</w:t>
      </w:r>
      <w:r w:rsidRPr="009F74C5">
        <w:rPr>
          <w:rFonts w:ascii="Arial" w:eastAsia="Times New Roman" w:hAnsi="Arial" w:cs="Arial"/>
          <w:sz w:val="20"/>
          <w:szCs w:val="20"/>
        </w:rPr>
        <w:t xml:space="preserve"> = Modified static load-deflection diagram (Figure W-20). To account for an increase in strength due to an increase in strain rate, raise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in the plastic range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 </w:t>
      </w:r>
      <w:r w:rsidRPr="009F74C5">
        <w:rPr>
          <w:rFonts w:ascii="Arial" w:eastAsia="Times New Roman" w:hAnsi="Arial" w:cs="Arial"/>
          <w:i/>
          <w:iCs/>
          <w:sz w:val="20"/>
          <w:szCs w:val="20"/>
        </w:rPr>
        <w:t>K</w:t>
      </w:r>
      <w:r w:rsidRPr="009F74C5">
        <w:rPr>
          <w:rFonts w:ascii="Arial" w:eastAsia="Times New Roman" w:hAnsi="Arial" w:cs="Arial"/>
          <w:sz w:val="20"/>
          <w:szCs w:val="20"/>
        </w:rPr>
        <w:t xml:space="preserve">;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lastRenderedPageBreak/>
        <w:t>K</w:t>
      </w:r>
      <w:r w:rsidRPr="009F74C5">
        <w:rPr>
          <w:rFonts w:ascii="Arial" w:eastAsia="Times New Roman" w:hAnsi="Arial" w:cs="Arial"/>
          <w:sz w:val="20"/>
          <w:szCs w:val="20"/>
        </w:rPr>
        <w:t xml:space="preserve"> = Increase in yield strength induced by higher rate of loading (1.3 for hot, rolled, low-carbon steel 1010-1030). Low carbon is preferable; however, when higher carbon or other material is used, </w:t>
      </w:r>
      <w:r w:rsidRPr="009F74C5">
        <w:rPr>
          <w:rFonts w:ascii="Arial" w:eastAsia="Times New Roman" w:hAnsi="Arial" w:cs="Arial"/>
          <w:i/>
          <w:iCs/>
          <w:sz w:val="20"/>
          <w:szCs w:val="20"/>
        </w:rPr>
        <w:t>K</w:t>
      </w:r>
      <w:r w:rsidRPr="009F74C5">
        <w:rPr>
          <w:rFonts w:ascii="Arial" w:eastAsia="Times New Roman" w:hAnsi="Arial" w:cs="Arial"/>
          <w:sz w:val="20"/>
          <w:szCs w:val="20"/>
        </w:rPr>
        <w:t xml:space="preserve"> must be determined in the laboratory. Refer to Norris, C.H., Hansen, R.J., Holley, M.J., Biggs, J.M., Namyet, S., and Minami, J.V., </w:t>
      </w:r>
      <w:r w:rsidRPr="009F74C5">
        <w:rPr>
          <w:rFonts w:ascii="Arial" w:eastAsia="Times New Roman" w:hAnsi="Arial" w:cs="Arial"/>
          <w:i/>
          <w:iCs/>
          <w:sz w:val="20"/>
          <w:szCs w:val="20"/>
        </w:rPr>
        <w:t>Structural Design for Dynamic Loads</w:t>
      </w:r>
      <w:r w:rsidRPr="009F74C5">
        <w:rPr>
          <w:rFonts w:ascii="Arial" w:eastAsia="Times New Roman" w:hAnsi="Arial" w:cs="Arial"/>
          <w:sz w:val="20"/>
          <w:szCs w:val="20"/>
        </w:rPr>
        <w:t xml:space="preserve">, McGraw-Hill, New York, 1959, p. 3;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L</w:t>
      </w:r>
      <w:r w:rsidRPr="009F74C5">
        <w:rPr>
          <w:rFonts w:ascii="Arial" w:eastAsia="Times New Roman" w:hAnsi="Arial" w:cs="Arial"/>
          <w:sz w:val="14"/>
          <w:szCs w:val="14"/>
          <w:vertAlign w:val="subscript"/>
        </w:rPr>
        <w:t>max</w:t>
      </w:r>
      <w:r w:rsidRPr="009F74C5">
        <w:rPr>
          <w:rFonts w:ascii="Arial" w:eastAsia="Times New Roman" w:hAnsi="Arial" w:cs="Arial"/>
          <w:sz w:val="20"/>
          <w:szCs w:val="20"/>
        </w:rPr>
        <w:t xml:space="preserve"> = Maximum observed static load;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Load Limit</w:t>
      </w:r>
      <w:r w:rsidRPr="009F74C5">
        <w:rPr>
          <w:rFonts w:ascii="Arial" w:eastAsia="Times New Roman" w:hAnsi="Arial" w:cs="Arial"/>
          <w:sz w:val="20"/>
          <w:szCs w:val="20"/>
        </w:rPr>
        <w:t xml:space="preserve"> = Point on a continuous </w:t>
      </w:r>
      <w:r w:rsidRPr="009F74C5">
        <w:rPr>
          <w:rFonts w:ascii="Arial" w:eastAsia="Times New Roman" w:hAnsi="Arial" w:cs="Arial"/>
          <w:i/>
          <w:iCs/>
          <w:sz w:val="20"/>
          <w:szCs w:val="20"/>
        </w:rPr>
        <w:t>L-D</w:t>
      </w:r>
      <w:r w:rsidRPr="009F74C5">
        <w:rPr>
          <w:rFonts w:ascii="Arial" w:eastAsia="Times New Roman" w:hAnsi="Arial" w:cs="Arial"/>
          <w:sz w:val="20"/>
          <w:szCs w:val="20"/>
        </w:rPr>
        <w:t xml:space="preserve"> curve at which the observed static load is 0.8 </w:t>
      </w:r>
      <w:r w:rsidRPr="009F74C5">
        <w:rPr>
          <w:rFonts w:ascii="Arial" w:eastAsia="Times New Roman" w:hAnsi="Arial" w:cs="Arial"/>
          <w:i/>
          <w:iCs/>
          <w:sz w:val="20"/>
          <w:szCs w:val="20"/>
        </w:rPr>
        <w:t>L</w:t>
      </w:r>
      <w:r w:rsidRPr="009F74C5">
        <w:rPr>
          <w:rFonts w:ascii="Arial" w:eastAsia="Times New Roman" w:hAnsi="Arial" w:cs="Arial"/>
          <w:sz w:val="14"/>
          <w:szCs w:val="14"/>
          <w:vertAlign w:val="subscript"/>
        </w:rPr>
        <w:t>max</w:t>
      </w:r>
      <w:r w:rsidRPr="009F74C5">
        <w:rPr>
          <w:rFonts w:ascii="Arial" w:eastAsia="Times New Roman" w:hAnsi="Arial" w:cs="Arial"/>
          <w:sz w:val="20"/>
          <w:szCs w:val="20"/>
        </w:rPr>
        <w:t xml:space="preserve"> (refer to Figure W-19);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u</w:t>
      </w:r>
      <w:r w:rsidRPr="009F74C5">
        <w:rPr>
          <w:rFonts w:ascii="Arial" w:eastAsia="Times New Roman" w:hAnsi="Arial" w:cs="Arial"/>
          <w:sz w:val="20"/>
          <w:szCs w:val="20"/>
        </w:rPr>
        <w:t xml:space="preserve"> = Strain energy absorbed by the frame, ft-lb (J); area under the </w:t>
      </w:r>
      <w:r w:rsidRPr="009F74C5">
        <w:rPr>
          <w:rFonts w:ascii="Arial" w:eastAsia="Times New Roman" w:hAnsi="Arial" w:cs="Arial"/>
          <w:i/>
          <w:iCs/>
          <w:sz w:val="20"/>
          <w:szCs w:val="20"/>
        </w:rPr>
        <w:t>L</w:t>
      </w:r>
      <w:r w:rsidRPr="009F74C5">
        <w:rPr>
          <w:rFonts w:ascii="Arial" w:eastAsia="Times New Roman" w:hAnsi="Arial" w:cs="Arial"/>
          <w:sz w:val="14"/>
          <w:szCs w:val="14"/>
          <w:vertAlign w:val="subscript"/>
        </w:rPr>
        <w:t>m</w:t>
      </w:r>
      <w:r w:rsidRPr="009F74C5">
        <w:rPr>
          <w:rFonts w:ascii="Arial" w:eastAsia="Times New Roman" w:hAnsi="Arial" w:cs="Arial"/>
          <w:i/>
          <w:iCs/>
          <w:sz w:val="20"/>
          <w:szCs w:val="20"/>
        </w:rPr>
        <w:t>-D</w:t>
      </w:r>
      <w:r w:rsidRPr="009F74C5">
        <w:rPr>
          <w:rFonts w:ascii="Arial" w:eastAsia="Times New Roman" w:hAnsi="Arial" w:cs="Arial"/>
          <w:sz w:val="14"/>
          <w:szCs w:val="14"/>
          <w:vertAlign w:val="subscript"/>
        </w:rPr>
        <w:t>m</w:t>
      </w:r>
      <w:r w:rsidRPr="009F74C5">
        <w:rPr>
          <w:rFonts w:ascii="Arial" w:eastAsia="Times New Roman" w:hAnsi="Arial" w:cs="Arial"/>
          <w:sz w:val="20"/>
          <w:szCs w:val="20"/>
        </w:rPr>
        <w:t xml:space="preserve"> curve;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FER</w:t>
      </w:r>
      <w:r w:rsidRPr="009F74C5">
        <w:rPr>
          <w:rFonts w:ascii="Arial" w:eastAsia="Times New Roman" w:hAnsi="Arial" w:cs="Arial"/>
          <w:sz w:val="20"/>
          <w:szCs w:val="20"/>
        </w:rPr>
        <w:t xml:space="preserve"> = Factor of energy ratio, </w:t>
      </w:r>
      <w:r w:rsidRPr="009F74C5">
        <w:rPr>
          <w:rFonts w:ascii="Arial" w:eastAsia="Times New Roman" w:hAnsi="Arial" w:cs="Arial"/>
          <w:i/>
          <w:iCs/>
          <w:sz w:val="20"/>
          <w:szCs w:val="20"/>
        </w:rPr>
        <w:t>FER</w:t>
      </w:r>
      <w:r w:rsidRPr="009F74C5">
        <w:rPr>
          <w:rFonts w:ascii="Arial" w:eastAsia="Times New Roman" w:hAnsi="Arial" w:cs="Arial"/>
          <w:sz w:val="20"/>
          <w:szCs w:val="20"/>
        </w:rPr>
        <w:t xml:space="preserve"> = </w:t>
      </w: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u</w:t>
      </w: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is</w:t>
      </w:r>
      <w:r w:rsidRPr="009F74C5">
        <w:rPr>
          <w:rFonts w:ascii="Arial" w:eastAsia="Times New Roman" w:hAnsi="Arial" w:cs="Arial"/>
          <w:sz w:val="20"/>
          <w:szCs w:val="20"/>
        </w:rPr>
        <w:t xml:space="preserve">; also, </w:t>
      </w:r>
      <w:r w:rsidRPr="009F74C5">
        <w:rPr>
          <w:rFonts w:ascii="Arial" w:eastAsia="Times New Roman" w:hAnsi="Arial" w:cs="Arial"/>
          <w:i/>
          <w:iCs/>
          <w:sz w:val="20"/>
          <w:szCs w:val="20"/>
        </w:rPr>
        <w:t>FER</w:t>
      </w:r>
      <w:r w:rsidRPr="009F74C5">
        <w:rPr>
          <w:rFonts w:ascii="Arial" w:eastAsia="Times New Roman" w:hAnsi="Arial" w:cs="Arial"/>
          <w:sz w:val="20"/>
          <w:szCs w:val="20"/>
        </w:rPr>
        <w:t xml:space="preserve"> = </w:t>
      </w: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u</w:t>
      </w:r>
      <w:r w:rsidRPr="009F74C5">
        <w:rPr>
          <w:rFonts w:ascii="Arial" w:eastAsia="Times New Roman" w:hAnsi="Arial" w:cs="Arial"/>
          <w:i/>
          <w:iCs/>
          <w:sz w:val="20"/>
          <w:szCs w:val="20"/>
        </w:rPr>
        <w:t>E</w:t>
      </w:r>
      <w:r w:rsidRPr="009F74C5">
        <w:rPr>
          <w:rFonts w:ascii="Arial" w:eastAsia="Times New Roman" w:hAnsi="Arial" w:cs="Arial"/>
          <w:sz w:val="14"/>
          <w:szCs w:val="14"/>
          <w:vertAlign w:val="subscript"/>
        </w:rPr>
        <w:t>ir</w:t>
      </w:r>
      <w:r w:rsidRPr="009F74C5">
        <w:rPr>
          <w:rFonts w:ascii="Arial" w:eastAsia="Times New Roman" w:hAnsi="Arial" w:cs="Arial"/>
          <w:sz w:val="20"/>
          <w:szCs w:val="20"/>
        </w:rPr>
        <w:t xml:space="preserve">;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P</w:t>
      </w:r>
      <w:r w:rsidRPr="009F74C5">
        <w:rPr>
          <w:rFonts w:ascii="Arial" w:eastAsia="Times New Roman" w:hAnsi="Arial" w:cs="Arial"/>
          <w:sz w:val="14"/>
          <w:szCs w:val="14"/>
          <w:vertAlign w:val="subscript"/>
        </w:rPr>
        <w:t>b</w:t>
      </w:r>
      <w:r w:rsidRPr="009F74C5">
        <w:rPr>
          <w:rFonts w:ascii="Arial" w:eastAsia="Times New Roman" w:hAnsi="Arial" w:cs="Arial"/>
          <w:sz w:val="20"/>
          <w:szCs w:val="20"/>
        </w:rPr>
        <w:t xml:space="preserve"> = Maximum observed force in mounting connection under a static load, </w:t>
      </w:r>
      <w:r w:rsidRPr="009F74C5">
        <w:rPr>
          <w:rFonts w:ascii="Arial" w:eastAsia="Times New Roman" w:hAnsi="Arial" w:cs="Arial"/>
          <w:i/>
          <w:iCs/>
          <w:sz w:val="20"/>
          <w:szCs w:val="20"/>
        </w:rPr>
        <w:t>L</w:t>
      </w:r>
      <w:r w:rsidRPr="009F74C5">
        <w:rPr>
          <w:rFonts w:ascii="Arial" w:eastAsia="Times New Roman" w:hAnsi="Arial" w:cs="Arial"/>
          <w:sz w:val="20"/>
          <w:szCs w:val="20"/>
        </w:rPr>
        <w:t xml:space="preserve">, lb (kg);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sz w:val="20"/>
          <w:szCs w:val="20"/>
        </w:rPr>
        <w:t>P</w:t>
      </w:r>
      <w:r w:rsidRPr="009F74C5">
        <w:rPr>
          <w:rFonts w:ascii="Arial" w:eastAsia="Times New Roman" w:hAnsi="Arial" w:cs="Arial"/>
          <w:sz w:val="14"/>
          <w:szCs w:val="14"/>
          <w:vertAlign w:val="subscript"/>
        </w:rPr>
        <w:t>u</w:t>
      </w:r>
      <w:r w:rsidRPr="009F74C5">
        <w:rPr>
          <w:rFonts w:ascii="Arial" w:eastAsia="Times New Roman" w:hAnsi="Arial" w:cs="Arial"/>
          <w:sz w:val="20"/>
          <w:szCs w:val="20"/>
        </w:rPr>
        <w:t xml:space="preserve"> = Ultimate force capacity of mounting connection, lb (kg);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FSB</w:t>
      </w:r>
      <w:r w:rsidRPr="009F74C5">
        <w:rPr>
          <w:rFonts w:ascii="Arial" w:eastAsia="Times New Roman" w:hAnsi="Arial" w:cs="Arial"/>
          <w:sz w:val="20"/>
          <w:szCs w:val="20"/>
        </w:rPr>
        <w:t xml:space="preserve"> = Design margin for a mounting connection (</w:t>
      </w:r>
      <w:r w:rsidRPr="009F74C5">
        <w:rPr>
          <w:rFonts w:ascii="Arial" w:eastAsia="Times New Roman" w:hAnsi="Arial" w:cs="Arial"/>
          <w:i/>
          <w:iCs/>
          <w:sz w:val="20"/>
          <w:szCs w:val="20"/>
        </w:rPr>
        <w:t>P</w:t>
      </w:r>
      <w:r w:rsidRPr="009F74C5">
        <w:rPr>
          <w:rFonts w:ascii="Arial" w:eastAsia="Times New Roman" w:hAnsi="Arial" w:cs="Arial"/>
          <w:sz w:val="14"/>
          <w:szCs w:val="14"/>
          <w:vertAlign w:val="subscript"/>
        </w:rPr>
        <w:t>u</w:t>
      </w:r>
      <w:r w:rsidRPr="009F74C5">
        <w:rPr>
          <w:rFonts w:ascii="Arial" w:eastAsia="Times New Roman" w:hAnsi="Arial" w:cs="Arial"/>
          <w:i/>
          <w:iCs/>
          <w:sz w:val="20"/>
          <w:szCs w:val="20"/>
        </w:rPr>
        <w:t>P</w:t>
      </w:r>
      <w:r w:rsidRPr="009F74C5">
        <w:rPr>
          <w:rFonts w:ascii="Arial" w:eastAsia="Times New Roman" w:hAnsi="Arial" w:cs="Arial"/>
          <w:sz w:val="14"/>
          <w:szCs w:val="14"/>
          <w:vertAlign w:val="subscript"/>
        </w:rPr>
        <w:t>b</w:t>
      </w:r>
      <w:r w:rsidRPr="009F74C5">
        <w:rPr>
          <w:rFonts w:ascii="Arial" w:eastAsia="Times New Roman" w:hAnsi="Arial" w:cs="Arial"/>
          <w:sz w:val="20"/>
          <w:szCs w:val="20"/>
        </w:rPr>
        <w:t xml:space="preserve">)−1; and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H</w:t>
      </w:r>
      <w:r w:rsidRPr="009F74C5">
        <w:rPr>
          <w:rFonts w:ascii="Arial" w:eastAsia="Times New Roman" w:hAnsi="Arial" w:cs="Arial"/>
          <w:sz w:val="20"/>
          <w:szCs w:val="20"/>
        </w:rPr>
        <w:t xml:space="preserve"> = Vertical height of lift of 4,410-lb (2,000-kg) weight, in. (</w:t>
      </w:r>
      <w:r w:rsidRPr="009F74C5">
        <w:rPr>
          <w:rFonts w:ascii="Arial" w:eastAsia="Times New Roman" w:hAnsi="Arial" w:cs="Arial"/>
          <w:i/>
          <w:iCs/>
          <w:sz w:val="20"/>
          <w:szCs w:val="20"/>
        </w:rPr>
        <w:t>H</w:t>
      </w:r>
      <w:r w:rsidRPr="009F74C5">
        <w:rPr>
          <w:rFonts w:ascii="Arial" w:eastAsia="Times New Roman" w:hAnsi="Arial" w:cs="Arial"/>
          <w:sz w:val="20"/>
          <w:szCs w:val="20"/>
        </w:rPr>
        <w:t xml:space="preserve">′, mm). The weight shall be pulled back so that the height of its center of gravity above the point of impact is defined as follows: </w:t>
      </w:r>
      <w:r w:rsidRPr="009F74C5">
        <w:rPr>
          <w:rFonts w:ascii="Arial" w:eastAsia="Times New Roman" w:hAnsi="Arial" w:cs="Arial"/>
          <w:i/>
          <w:iCs/>
          <w:sz w:val="20"/>
          <w:szCs w:val="20"/>
        </w:rPr>
        <w:t>H</w:t>
      </w:r>
      <w:r w:rsidRPr="009F74C5">
        <w:rPr>
          <w:rFonts w:ascii="Arial" w:eastAsia="Times New Roman" w:hAnsi="Arial" w:cs="Arial"/>
          <w:sz w:val="20"/>
          <w:szCs w:val="20"/>
        </w:rPr>
        <w:t xml:space="preserve"> = 4.92 + 0.00190 </w:t>
      </w:r>
      <w:r w:rsidRPr="009F74C5">
        <w:rPr>
          <w:rFonts w:ascii="Arial" w:eastAsia="Times New Roman" w:hAnsi="Arial" w:cs="Arial"/>
          <w:i/>
          <w:iCs/>
          <w:sz w:val="20"/>
          <w:szCs w:val="20"/>
        </w:rPr>
        <w:t>W</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H</w:t>
      </w:r>
      <w:r w:rsidRPr="009F74C5">
        <w:rPr>
          <w:rFonts w:ascii="Arial" w:eastAsia="Times New Roman" w:hAnsi="Arial" w:cs="Arial"/>
          <w:sz w:val="20"/>
          <w:szCs w:val="20"/>
        </w:rPr>
        <w:t xml:space="preserve">′ = 125 + 0.107 </w:t>
      </w:r>
      <w:r w:rsidRPr="009F74C5">
        <w:rPr>
          <w:rFonts w:ascii="Arial" w:eastAsia="Times New Roman" w:hAnsi="Arial" w:cs="Arial"/>
          <w:i/>
          <w:iCs/>
          <w:sz w:val="20"/>
          <w:szCs w:val="20"/>
        </w:rPr>
        <w:t>W</w:t>
      </w:r>
      <w:r w:rsidRPr="009F74C5">
        <w:rPr>
          <w:rFonts w:ascii="Arial" w:eastAsia="Times New Roman" w:hAnsi="Arial" w:cs="Arial"/>
          <w:sz w:val="20"/>
          <w:szCs w:val="20"/>
        </w:rPr>
        <w:t>′) (see Figure W-24).</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Source of standard.</w:t>
      </w:r>
      <w:r w:rsidRPr="009F74C5">
        <w:rPr>
          <w:rFonts w:ascii="Arial" w:eastAsia="Times New Roman" w:hAnsi="Arial" w:cs="Arial"/>
          <w:sz w:val="20"/>
          <w:szCs w:val="20"/>
        </w:rPr>
        <w:t xml:space="preserve"> The standard in this section is derived from, and restates, in part, Society of Automotive Engineers (“SAE”) standard J334a-1970 (“Protective frame test procedures and performance requirements”). The SAE standard appears in the 1971 SAE Handbook, which may be examined at any OSHA regional office.</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[70 FR 76985, Dec. 29, 2005, as amended at 71 FR 41129, July 20, 2006]</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16" w:anchor="_top" w:history="1">
        <w:r w:rsidR="00D70103">
          <w:rPr>
            <w:rFonts w:ascii="Arial" w:eastAsia="Times New Roman" w:hAnsi="Arial" w:cs="Arial"/>
            <w:noProof/>
            <w:color w:val="0000FF"/>
            <w:sz w:val="17"/>
            <w:szCs w:val="17"/>
          </w:rPr>
          <w:drawing>
            <wp:inline distT="0" distB="0" distL="0" distR="0" wp14:anchorId="46EDA4D1" wp14:editId="25D8D02D">
              <wp:extent cx="152400" cy="152400"/>
              <wp:effectExtent l="0" t="0" r="0" b="0"/>
              <wp:docPr id="150" name="Picture 15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49" w:name="se29.8.1926_11003"/>
      <w:bookmarkEnd w:id="49"/>
      <w:r w:rsidRPr="009F74C5">
        <w:rPr>
          <w:rFonts w:ascii="Arial" w:eastAsia="Times New Roman" w:hAnsi="Arial" w:cs="Arial"/>
          <w:b/>
          <w:bCs/>
          <w:sz w:val="20"/>
          <w:szCs w:val="20"/>
        </w:rPr>
        <w:t>§1926.1003   Overhead protection for operators of agricultural and industrial tractors used in construction.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Purpose.</w:t>
      </w:r>
      <w:r w:rsidRPr="009F74C5">
        <w:rPr>
          <w:rFonts w:ascii="Arial" w:eastAsia="Times New Roman" w:hAnsi="Arial" w:cs="Arial"/>
          <w:sz w:val="20"/>
          <w:szCs w:val="20"/>
        </w:rPr>
        <w:t xml:space="preserve"> When overhead protection is provided on wheel-type agricultural and industrial tractors, the overhead protection shall be designed and installed according to the requirements contained in this section. The provisions of 29 CFR 1926.1001 for rubber-tired dozers and rubber-tired loaders may be used instead of the standards contained in this section. The purpose of this standard is to minimize the possibility of operator injury resulting from overhead hazards such as flying and falling objects, and at the same time to minimize the possibility of operator injury from the cover itself in the event of accidental upset.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Applicability.</w:t>
      </w:r>
      <w:r w:rsidRPr="009F74C5">
        <w:rPr>
          <w:rFonts w:ascii="Arial" w:eastAsia="Times New Roman" w:hAnsi="Arial" w:cs="Arial"/>
          <w:sz w:val="20"/>
          <w:szCs w:val="20"/>
        </w:rPr>
        <w:t xml:space="preserve"> This standard applies to wheel-type agricultural and industrial tractors used in construction work (see 29 CFR 1926.1002(b) and (j)). In the case of machines to which 29 CFR 1926.604 (relating to site clearing) also applies, the overhead protection may be either the type of protection provided in 29 CFR 1926.604, or the type of protection provided by this section.</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Overhead protection.</w:t>
      </w:r>
      <w:r w:rsidRPr="009F74C5">
        <w:rPr>
          <w:rFonts w:ascii="Arial" w:eastAsia="Times New Roman" w:hAnsi="Arial" w:cs="Arial"/>
          <w:sz w:val="20"/>
          <w:szCs w:val="20"/>
        </w:rPr>
        <w:t xml:space="preserve"> When overhead protection is installed on wheel-type agricultural or industrial tractors used in construction work, it shall meet the requirements of this paragraph. The overhead protection may be constructed of a solid material. When grid or mesh is used, the largest permissible opening shall be such that the maximum circle that can be inscribed between the elements of </w:t>
      </w:r>
      <w:r w:rsidRPr="009F74C5">
        <w:rPr>
          <w:rFonts w:ascii="Arial" w:eastAsia="Times New Roman" w:hAnsi="Arial" w:cs="Arial"/>
          <w:sz w:val="20"/>
          <w:szCs w:val="20"/>
        </w:rPr>
        <w:lastRenderedPageBreak/>
        <w:t>the grid or mesh is 1.5 in. (38 mm) in diameter. The overhead protection shall not be installed in such a way as to become a hazard in the case of upset.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Test procedures—general.</w:t>
      </w:r>
      <w:r w:rsidRPr="009F74C5">
        <w:rPr>
          <w:rFonts w:ascii="Arial" w:eastAsia="Times New Roman" w:hAnsi="Arial" w:cs="Arial"/>
          <w:sz w:val="20"/>
          <w:szCs w:val="20"/>
        </w:rPr>
        <w:t xml:space="preserve"> (1) The requirements of 29 CFR 1926.1002(d), (e), and (f) shall be met.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Static and dynamic rear load application shall be distributed uniformly along a maximum projected dimension of 27 in. (686 mm), and a maximum area of 160 sq. in. (1,032 sq. cm), normal to the direction of load application. The load shall be applied to the upper extremity of the frame at the point that is midway between the centerline of the seat and the inside of the frame upright.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static and dynamic side load application shall be distributed uniformly along a maximum projected dimension of 27 in. (686 mm), and a maximum area of 160 sq. in. (1,032 sq. cm), normal to the direction of load application. The direction of load application is the same as in 29 CFR 1926.1002 (g) and (h). To simulate the characteristics of the structure during an upset, the center of load application may be located from a point 24 in. (610 mm) (</w:t>
      </w:r>
      <w:r w:rsidRPr="009F74C5">
        <w:rPr>
          <w:rFonts w:ascii="Arial" w:eastAsia="Times New Roman" w:hAnsi="Arial" w:cs="Arial"/>
          <w:i/>
          <w:iCs/>
          <w:sz w:val="20"/>
          <w:szCs w:val="20"/>
        </w:rPr>
        <w:t>K</w:t>
      </w:r>
      <w:r w:rsidRPr="009F74C5">
        <w:rPr>
          <w:rFonts w:ascii="Arial" w:eastAsia="Times New Roman" w:hAnsi="Arial" w:cs="Arial"/>
          <w:sz w:val="20"/>
          <w:szCs w:val="20"/>
        </w:rPr>
        <w:t>) forward to 12 in. (305 mm) (</w:t>
      </w:r>
      <w:r w:rsidRPr="009F74C5">
        <w:rPr>
          <w:rFonts w:ascii="Arial" w:eastAsia="Times New Roman" w:hAnsi="Arial" w:cs="Arial"/>
          <w:i/>
          <w:iCs/>
          <w:sz w:val="20"/>
          <w:szCs w:val="20"/>
        </w:rPr>
        <w:t>L</w:t>
      </w:r>
      <w:r w:rsidRPr="009F74C5">
        <w:rPr>
          <w:rFonts w:ascii="Arial" w:eastAsia="Times New Roman" w:hAnsi="Arial" w:cs="Arial"/>
          <w:sz w:val="20"/>
          <w:szCs w:val="20"/>
        </w:rPr>
        <w:t>) rearward of the front of the seat backrest, to best use the structural strength (see Figure W-25).</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Drop test procedures.</w:t>
      </w:r>
      <w:r w:rsidRPr="009F74C5">
        <w:rPr>
          <w:rFonts w:ascii="Arial" w:eastAsia="Times New Roman" w:hAnsi="Arial" w:cs="Arial"/>
          <w:sz w:val="20"/>
          <w:szCs w:val="20"/>
        </w:rPr>
        <w:t xml:space="preserve"> (1) The same frame shall be subjected to the drop test following either the static or dynamic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 solid steel sphere or material of equivalent spherical dimension weighing 100 lb (45.4 kg) shall be dropped once from a height 10 ft (3.08 m) above the overhead cover.</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point of impact shall be on the overhead cover at a point within the zone of protection as shown in Figure W-26, which is furthest removed from major structural members.</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Crush test procedure.</w:t>
      </w:r>
      <w:r w:rsidRPr="009F74C5">
        <w:rPr>
          <w:rFonts w:ascii="Arial" w:eastAsia="Times New Roman" w:hAnsi="Arial" w:cs="Arial"/>
          <w:sz w:val="20"/>
          <w:szCs w:val="20"/>
        </w:rPr>
        <w:t xml:space="preserve"> (1) The same frame shall be subjected to the crush test following the drop test and static or dynamic test.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test load shall be applied as shown in Figure W-27, with the seat positioned as specified in 29 CFR 1926.1002(d)(4). Loading cylinders shall be mounted pivotally at both ends. Loads applied by each cylinder shall be equal within two percent, and the sum of the loads of the two cylinders shall be two times the tractor weight as set forth in 29 CFR 1926.1002(e)(1). The maximum width of the beam illustrated in Figure W-27 shall be 6 in. (152 mm).</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Performance requirements.</w:t>
      </w:r>
      <w:r w:rsidRPr="009F74C5">
        <w:rPr>
          <w:rFonts w:ascii="Arial" w:eastAsia="Times New Roman" w:hAnsi="Arial" w:cs="Arial"/>
          <w:sz w:val="20"/>
          <w:szCs w:val="20"/>
        </w:rPr>
        <w:t xml:space="preserve"> (1)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performance requirements set forth in 29 CFR 1926.1002(i)(2), (3), and (4) shall be met.</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Drop test performance requirements.</w:t>
      </w:r>
      <w:r w:rsidRPr="009F74C5">
        <w:rPr>
          <w:rFonts w:ascii="Arial" w:eastAsia="Times New Roman" w:hAnsi="Arial" w:cs="Arial"/>
          <w:sz w:val="20"/>
          <w:szCs w:val="20"/>
        </w:rPr>
        <w:t xml:space="preserve"> (i) Instantaneous deformation due to impact of the sphere shall not enter the protected zone as illustrated in Figures W-25, W-26, and W-28.</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In addition to the dimensions set forth in 29 CFR 1926.1002(i)(1)(i), the following dimensions apply to Figure W-28:</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H</w:t>
      </w:r>
      <w:r w:rsidRPr="009F74C5">
        <w:rPr>
          <w:rFonts w:ascii="Arial" w:eastAsia="Times New Roman" w:hAnsi="Arial" w:cs="Arial"/>
          <w:sz w:val="20"/>
          <w:szCs w:val="20"/>
        </w:rPr>
        <w:t xml:space="preserve"> = 17.5 in. (444 mm); and </w:t>
      </w:r>
    </w:p>
    <w:p w:rsidR="00D70103" w:rsidRPr="009F74C5" w:rsidRDefault="00D70103" w:rsidP="000507F6">
      <w:pPr>
        <w:spacing w:before="200" w:after="100" w:line="240" w:lineRule="auto"/>
        <w:ind w:left="960" w:hanging="960"/>
        <w:rPr>
          <w:rFonts w:ascii="Arial" w:eastAsia="Times New Roman" w:hAnsi="Arial" w:cs="Arial"/>
          <w:sz w:val="20"/>
          <w:szCs w:val="20"/>
        </w:rPr>
      </w:pPr>
      <w:r w:rsidRPr="009F74C5">
        <w:rPr>
          <w:rFonts w:ascii="Arial" w:eastAsia="Times New Roman" w:hAnsi="Arial" w:cs="Arial"/>
          <w:i/>
          <w:iCs/>
          <w:sz w:val="20"/>
          <w:szCs w:val="20"/>
        </w:rPr>
        <w:t>J</w:t>
      </w:r>
      <w:r w:rsidRPr="009F74C5">
        <w:rPr>
          <w:rFonts w:ascii="Arial" w:eastAsia="Times New Roman" w:hAnsi="Arial" w:cs="Arial"/>
          <w:sz w:val="20"/>
          <w:szCs w:val="20"/>
        </w:rPr>
        <w:t xml:space="preserve"> = 2 in. (50.8 mm), measured from the outer periphery of the steering wheel.</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Crush test performance requirements.</w:t>
      </w:r>
      <w:r w:rsidRPr="009F74C5">
        <w:rPr>
          <w:rFonts w:ascii="Arial" w:eastAsia="Times New Roman" w:hAnsi="Arial" w:cs="Arial"/>
          <w:sz w:val="20"/>
          <w:szCs w:val="20"/>
        </w:rPr>
        <w:t xml:space="preserve"> The protected zone as described in Figure W-28 must not be violated.</w:t>
      </w:r>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(g) </w:t>
      </w:r>
      <w:r w:rsidRPr="009F74C5">
        <w:rPr>
          <w:rFonts w:ascii="Arial" w:eastAsia="Times New Roman" w:hAnsi="Arial" w:cs="Arial"/>
          <w:i/>
          <w:iCs/>
          <w:sz w:val="20"/>
          <w:szCs w:val="20"/>
        </w:rPr>
        <w:t>Source of standard.</w:t>
      </w:r>
      <w:r w:rsidRPr="009F74C5">
        <w:rPr>
          <w:rFonts w:ascii="Arial" w:eastAsia="Times New Roman" w:hAnsi="Arial" w:cs="Arial"/>
          <w:sz w:val="20"/>
          <w:szCs w:val="20"/>
        </w:rPr>
        <w:t xml:space="preserve"> This standard is derived from, and restates, in part, the portions of Society of Automotive Engineers (“SAE”) standard J167-1970 (“Protective frame with overhead protection—test procedures and performance requirements”), which pertain to overhead protection requirements. The SAE standard appears in the 1971 SAE Handbook, which may be examined at any OSHA regional office.</w:t>
      </w:r>
    </w:p>
    <w:p w:rsidR="00D70103" w:rsidRPr="009F74C5" w:rsidRDefault="00D70103" w:rsidP="000507F6">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[70 FR 76985, Dec. 29, 2005]</w:t>
      </w:r>
    </w:p>
    <w:p w:rsidR="00D70103" w:rsidRPr="009F74C5" w:rsidRDefault="000507F6" w:rsidP="000507F6">
      <w:pPr>
        <w:spacing w:before="200" w:after="100" w:afterAutospacing="1" w:line="240" w:lineRule="auto"/>
        <w:rPr>
          <w:rFonts w:ascii="Arial" w:eastAsia="Times New Roman" w:hAnsi="Arial" w:cs="Arial"/>
          <w:sz w:val="20"/>
          <w:szCs w:val="20"/>
        </w:rPr>
      </w:pPr>
      <w:hyperlink r:id="rId117" w:anchor="_top" w:history="1">
        <w:r w:rsidR="00D70103">
          <w:rPr>
            <w:rFonts w:ascii="Arial" w:eastAsia="Times New Roman" w:hAnsi="Arial" w:cs="Arial"/>
            <w:noProof/>
            <w:color w:val="0000FF"/>
            <w:sz w:val="17"/>
            <w:szCs w:val="17"/>
          </w:rPr>
          <w:drawing>
            <wp:inline distT="0" distB="0" distL="0" distR="0" wp14:anchorId="09B7178E" wp14:editId="500F67D2">
              <wp:extent cx="152400" cy="152400"/>
              <wp:effectExtent l="0" t="0" r="0" b="0"/>
              <wp:docPr id="149" name="Picture 14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0507F6">
      <w:pPr>
        <w:spacing w:before="200" w:after="100" w:line="240" w:lineRule="auto"/>
        <w:outlineLvl w:val="1"/>
        <w:rPr>
          <w:rFonts w:ascii="Arial" w:eastAsia="Times New Roman" w:hAnsi="Arial" w:cs="Arial"/>
          <w:b/>
          <w:bCs/>
          <w:sz w:val="20"/>
          <w:szCs w:val="20"/>
        </w:rPr>
      </w:pPr>
      <w:bookmarkStart w:id="50" w:name="ap29.8.1926_11003.a"/>
      <w:bookmarkEnd w:id="50"/>
      <w:r w:rsidRPr="009F74C5">
        <w:rPr>
          <w:rFonts w:ascii="Arial" w:eastAsia="Times New Roman" w:hAnsi="Arial" w:cs="Arial"/>
          <w:b/>
          <w:bCs/>
          <w:sz w:val="20"/>
          <w:szCs w:val="20"/>
        </w:rPr>
        <w:t xml:space="preserve">Appendix A to Subpart W of Part 1926—Figures W-14 through W-28 </w:t>
      </w:r>
    </w:p>
    <w:p w:rsidR="00D70103" w:rsidRPr="009F74C5" w:rsidRDefault="00D70103" w:rsidP="000507F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7A0EB6D5" wp14:editId="2188F787">
            <wp:extent cx="2339340" cy="5570220"/>
            <wp:effectExtent l="0" t="0" r="3810" b="0"/>
            <wp:docPr id="148" name="Picture 148" descr="eCFR graphic er20jy06.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CFR graphic er20jy06.00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39340" cy="55702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19"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1E8CA9F8" wp14:editId="15616437">
            <wp:extent cx="3970020" cy="2887980"/>
            <wp:effectExtent l="0" t="0" r="0" b="7620"/>
            <wp:docPr id="147" name="Picture 147" descr="eCFR graphic er20jy06.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CFR graphic er20jy06.010.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70020" cy="28879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21"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544E52A5" wp14:editId="5BC5546A">
            <wp:extent cx="3093720" cy="4602480"/>
            <wp:effectExtent l="0" t="0" r="0" b="7620"/>
            <wp:docPr id="146" name="Picture 146" descr="eCFR graphic er20jy06.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eCFR graphic er20jy06.01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93720" cy="46024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23"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3C44437F" wp14:editId="21DE2293">
            <wp:extent cx="2659380" cy="5059680"/>
            <wp:effectExtent l="0" t="0" r="7620" b="7620"/>
            <wp:docPr id="145" name="Picture 145" descr="eCFR graphic er20jy06.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eCFR graphic er20jy06.01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59380" cy="505968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25"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1E12729" wp14:editId="15A82DDC">
            <wp:extent cx="2468880" cy="5753100"/>
            <wp:effectExtent l="0" t="0" r="7620" b="0"/>
            <wp:docPr id="144" name="Picture 144" descr="eCFR graphic er20jy06.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eCFR graphic er20jy06.01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8880" cy="57531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27"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FF3FBDA" wp14:editId="7E11DD77">
            <wp:extent cx="2712720" cy="4160520"/>
            <wp:effectExtent l="0" t="0" r="0" b="0"/>
            <wp:docPr id="143" name="Picture 143" descr="eCFR graphic er20jy06.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eCFR graphic er20jy06.014.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12720" cy="416052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29"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E6A276D" wp14:editId="19774A8E">
            <wp:extent cx="3200400" cy="5067300"/>
            <wp:effectExtent l="0" t="0" r="0" b="0"/>
            <wp:docPr id="142" name="Picture 142" descr="eCFR graphic er20jy06.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eCFR graphic er20jy06.015.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00400" cy="50673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31"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1073E7C8" wp14:editId="498F8DFE">
            <wp:extent cx="3634740" cy="4495800"/>
            <wp:effectExtent l="0" t="0" r="3810" b="0"/>
            <wp:docPr id="141" name="Picture 141" descr="eCFR graphic er20jy06.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CFR graphic er20jy06.016.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34740" cy="4495800"/>
                    </a:xfrm>
                    <a:prstGeom prst="rect">
                      <a:avLst/>
                    </a:prstGeom>
                    <a:noFill/>
                    <a:ln>
                      <a:noFill/>
                    </a:ln>
                  </pic:spPr>
                </pic:pic>
              </a:graphicData>
            </a:graphic>
          </wp:inline>
        </w:drawing>
      </w:r>
    </w:p>
    <w:p w:rsidR="00D70103" w:rsidRPr="009F74C5" w:rsidRDefault="000507F6" w:rsidP="000507F6">
      <w:pPr>
        <w:spacing w:before="100" w:beforeAutospacing="1" w:after="100" w:afterAutospacing="1" w:line="240" w:lineRule="auto"/>
        <w:ind w:firstLine="480"/>
        <w:rPr>
          <w:rFonts w:ascii="Arial" w:eastAsia="Times New Roman" w:hAnsi="Arial" w:cs="Arial"/>
          <w:sz w:val="20"/>
          <w:szCs w:val="20"/>
        </w:rPr>
      </w:pPr>
      <w:hyperlink r:id="rId133" w:history="1">
        <w:r w:rsidR="00D70103" w:rsidRPr="009F74C5">
          <w:rPr>
            <w:rFonts w:ascii="Arial" w:eastAsia="Times New Roman" w:hAnsi="Arial" w:cs="Arial"/>
            <w:color w:val="0000FF"/>
            <w:sz w:val="17"/>
            <w:szCs w:val="17"/>
          </w:rPr>
          <w:t>View or download PDF</w:t>
        </w:r>
      </w:hyperlink>
    </w:p>
    <w:p w:rsidR="00D70103" w:rsidRPr="009F74C5" w:rsidRDefault="00D70103" w:rsidP="000507F6">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234714CE" wp14:editId="78F5D9E8">
            <wp:extent cx="3886200" cy="5478780"/>
            <wp:effectExtent l="0" t="0" r="0" b="7620"/>
            <wp:docPr id="140" name="Picture 140" descr="eCFR graphic er20jy06.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eCFR graphic er20jy06.017.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547878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35"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2EFBD073" wp14:editId="0D78A77E">
            <wp:extent cx="3550920" cy="5219700"/>
            <wp:effectExtent l="0" t="0" r="0" b="0"/>
            <wp:docPr id="139" name="Picture 139" descr="eCFR graphic er20jy06.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eCFR graphic er20jy06.018.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50920" cy="521970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37"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8BE4CD6" wp14:editId="67969331">
            <wp:extent cx="4221480" cy="5166360"/>
            <wp:effectExtent l="0" t="0" r="7620" b="0"/>
            <wp:docPr id="138" name="Picture 138" descr="eCFR graphic er20jy06.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CFR graphic er20jy06.01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21480" cy="516636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39"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1699BCC2" wp14:editId="22EB1EEB">
            <wp:extent cx="3063240" cy="5821680"/>
            <wp:effectExtent l="0" t="0" r="3810" b="7620"/>
            <wp:docPr id="137" name="Picture 137" descr="eCFR graphic er20jy06.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CFR graphic er20jy06.02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63240" cy="582168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41"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310DD8F1" wp14:editId="7B485889">
            <wp:extent cx="4213860" cy="4808220"/>
            <wp:effectExtent l="0" t="0" r="0" b="0"/>
            <wp:docPr id="136" name="Picture 136" descr="eCFR graphic er20jy06.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eCFR graphic er20jy06.02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13860" cy="480822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43"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21796872" wp14:editId="49A8ADD0">
            <wp:extent cx="2781300" cy="5288280"/>
            <wp:effectExtent l="0" t="0" r="0" b="7620"/>
            <wp:docPr id="135" name="Picture 135" descr="eCFR graphic er20jy06.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CFR graphic er20jy06.022.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1300" cy="528828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45"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720DA94" wp14:editId="726E4DAF">
            <wp:extent cx="2560320" cy="5532120"/>
            <wp:effectExtent l="0" t="0" r="0" b="0"/>
            <wp:docPr id="134" name="Picture 134" descr="eCFR graphic er20jy06.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CFR graphic er20jy06.02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60320" cy="5532120"/>
                    </a:xfrm>
                    <a:prstGeom prst="rect">
                      <a:avLst/>
                    </a:prstGeom>
                    <a:noFill/>
                    <a:ln>
                      <a:noFill/>
                    </a:ln>
                  </pic:spPr>
                </pic:pic>
              </a:graphicData>
            </a:graphic>
          </wp:inline>
        </w:drawing>
      </w:r>
    </w:p>
    <w:p w:rsidR="00D70103" w:rsidRPr="009F74C5" w:rsidRDefault="000507F6" w:rsidP="00D70103">
      <w:pPr>
        <w:spacing w:before="100" w:beforeAutospacing="1" w:after="100" w:afterAutospacing="1" w:line="240" w:lineRule="auto"/>
        <w:ind w:firstLine="480"/>
        <w:jc w:val="center"/>
        <w:rPr>
          <w:rFonts w:ascii="Arial" w:eastAsia="Times New Roman" w:hAnsi="Arial" w:cs="Arial"/>
          <w:sz w:val="20"/>
          <w:szCs w:val="20"/>
        </w:rPr>
      </w:pPr>
      <w:hyperlink r:id="rId147" w:history="1">
        <w:r w:rsidR="00D70103" w:rsidRPr="009F74C5">
          <w:rPr>
            <w:rFonts w:ascii="Arial" w:eastAsia="Times New Roman" w:hAnsi="Arial" w:cs="Arial"/>
            <w:color w:val="0000FF"/>
            <w:sz w:val="17"/>
            <w:szCs w:val="17"/>
          </w:rPr>
          <w:t>View or download PDF</w:t>
        </w:r>
      </w:hyperlink>
    </w:p>
    <w:p w:rsidR="00D70103" w:rsidRPr="009F74C5" w:rsidRDefault="00D70103" w:rsidP="00D70103">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[70 FR 76985, Dec. 29, 2005, as amended at 71 FR 41130, July 20, 2006]</w:t>
      </w:r>
    </w:p>
    <w:p w:rsidR="00D70103" w:rsidRPr="009F74C5" w:rsidRDefault="000507F6" w:rsidP="00D70103">
      <w:pPr>
        <w:spacing w:before="200" w:after="100" w:afterAutospacing="1" w:line="240" w:lineRule="auto"/>
        <w:rPr>
          <w:rFonts w:ascii="Arial" w:eastAsia="Times New Roman" w:hAnsi="Arial" w:cs="Arial"/>
          <w:sz w:val="20"/>
          <w:szCs w:val="20"/>
        </w:rPr>
      </w:pPr>
      <w:hyperlink r:id="rId148" w:anchor="_top" w:history="1">
        <w:r w:rsidR="00D70103">
          <w:rPr>
            <w:rFonts w:ascii="Arial" w:eastAsia="Times New Roman" w:hAnsi="Arial" w:cs="Arial"/>
            <w:noProof/>
            <w:color w:val="0000FF"/>
            <w:sz w:val="17"/>
            <w:szCs w:val="17"/>
          </w:rPr>
          <w:drawing>
            <wp:inline distT="0" distB="0" distL="0" distR="0" wp14:anchorId="0CA71E53" wp14:editId="02431146">
              <wp:extent cx="152400" cy="152400"/>
              <wp:effectExtent l="0" t="0" r="0" b="0"/>
              <wp:docPr id="133" name="Picture 13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D70103">
      <w:pPr>
        <w:spacing w:before="200" w:after="100" w:line="240" w:lineRule="auto"/>
        <w:outlineLvl w:val="1"/>
        <w:rPr>
          <w:rFonts w:ascii="Arial" w:eastAsia="Times New Roman" w:hAnsi="Arial" w:cs="Arial"/>
          <w:b/>
          <w:bCs/>
          <w:sz w:val="27"/>
          <w:szCs w:val="27"/>
        </w:rPr>
      </w:pPr>
      <w:bookmarkStart w:id="51" w:name="sp29.8.1926.x"/>
      <w:bookmarkEnd w:id="51"/>
      <w:r w:rsidRPr="009F74C5">
        <w:rPr>
          <w:rFonts w:ascii="Arial" w:eastAsia="Times New Roman" w:hAnsi="Arial" w:cs="Arial"/>
          <w:b/>
          <w:bCs/>
          <w:sz w:val="27"/>
          <w:szCs w:val="27"/>
        </w:rPr>
        <w:t>Subpart X—Stairways and Ladders</w:t>
      </w:r>
    </w:p>
    <w:p w:rsidR="00D70103" w:rsidRPr="009F74C5" w:rsidRDefault="00D70103" w:rsidP="00D70103">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40 U.S.C. 3701 </w:t>
      </w:r>
      <w:r w:rsidRPr="009F74C5">
        <w:rPr>
          <w:rFonts w:ascii="Arial" w:eastAsia="Times New Roman" w:hAnsi="Arial" w:cs="Arial"/>
          <w:i/>
          <w:iCs/>
          <w:sz w:val="18"/>
          <w:szCs w:val="18"/>
        </w:rPr>
        <w:t>et seq.;</w:t>
      </w:r>
      <w:r w:rsidRPr="009F74C5">
        <w:rPr>
          <w:rFonts w:ascii="Arial" w:eastAsia="Times New Roman" w:hAnsi="Arial" w:cs="Arial"/>
          <w:sz w:val="18"/>
          <w:szCs w:val="18"/>
        </w:rPr>
        <w:t xml:space="preserve"> 29 U.S.C. 653, 655, 657; Secretary of Labor's Order No. 1-90 (55 FR 9033), 5-2007 (72 FR 31159), or 1-2012 (77 FR 3912), as applicable; and 29 CFR Part 1911. </w:t>
      </w:r>
    </w:p>
    <w:p w:rsidR="00D70103" w:rsidRPr="009F74C5" w:rsidRDefault="00D70103" w:rsidP="00D70103">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Source:</w:t>
      </w:r>
      <w:r w:rsidRPr="009F74C5">
        <w:rPr>
          <w:rFonts w:ascii="Arial" w:eastAsia="Times New Roman" w:hAnsi="Arial" w:cs="Arial"/>
          <w:sz w:val="18"/>
          <w:szCs w:val="18"/>
        </w:rPr>
        <w:t xml:space="preserve"> 55 FR 47687, Nov. 14, 1990, unless otherwise noted. </w:t>
      </w:r>
    </w:p>
    <w:p w:rsidR="00D70103" w:rsidRPr="009F74C5" w:rsidRDefault="000507F6" w:rsidP="00D70103">
      <w:pPr>
        <w:spacing w:before="200" w:after="100" w:afterAutospacing="1" w:line="240" w:lineRule="auto"/>
        <w:rPr>
          <w:rFonts w:ascii="Arial" w:eastAsia="Times New Roman" w:hAnsi="Arial" w:cs="Arial"/>
          <w:sz w:val="20"/>
          <w:szCs w:val="20"/>
        </w:rPr>
      </w:pPr>
      <w:hyperlink r:id="rId149" w:anchor="_top" w:history="1">
        <w:r w:rsidR="00D70103">
          <w:rPr>
            <w:rFonts w:ascii="Arial" w:eastAsia="Times New Roman" w:hAnsi="Arial" w:cs="Arial"/>
            <w:noProof/>
            <w:color w:val="0000FF"/>
            <w:sz w:val="17"/>
            <w:szCs w:val="17"/>
          </w:rPr>
          <w:drawing>
            <wp:inline distT="0" distB="0" distL="0" distR="0" wp14:anchorId="61FA69F8" wp14:editId="5EC02A22">
              <wp:extent cx="152400" cy="152400"/>
              <wp:effectExtent l="0" t="0" r="0" b="0"/>
              <wp:docPr id="132" name="Picture 13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2" w:name="se29.8.1926_11050"/>
      <w:bookmarkEnd w:id="52"/>
      <w:r w:rsidRPr="009F74C5">
        <w:rPr>
          <w:rFonts w:ascii="Arial" w:eastAsia="Times New Roman" w:hAnsi="Arial" w:cs="Arial"/>
          <w:b/>
          <w:bCs/>
          <w:sz w:val="20"/>
          <w:szCs w:val="20"/>
        </w:rPr>
        <w:lastRenderedPageBreak/>
        <w:t>§1926.1050   Scope, application, and definitions applicable to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Scope and application.</w:t>
      </w:r>
      <w:r w:rsidRPr="009F74C5">
        <w:rPr>
          <w:rFonts w:ascii="Arial" w:eastAsia="Times New Roman" w:hAnsi="Arial" w:cs="Arial"/>
          <w:sz w:val="20"/>
          <w:szCs w:val="20"/>
        </w:rPr>
        <w:t xml:space="preserve"> This subpart applies to all stairways and ladders used in construction, alteration, repair (including painting and decorating), and demolition workplaces covered under 29 CFR part 1926, and also sets forth, in specified circumstances, when ladders and stairways are required to be provided. Additional requirements for ladders used on or with scaffolds are contained in subpart L—Scaffolds. This subpart does not apply to integral components of equipment covered by subpart CC. Subpart CC exclusively sets forth the circumstances when ladders and stairways must be provided on equipment covered by subpart CC.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Definitions. Cleat</w:t>
      </w:r>
      <w:r w:rsidRPr="009F74C5">
        <w:rPr>
          <w:rFonts w:ascii="Arial" w:eastAsia="Times New Roman" w:hAnsi="Arial" w:cs="Arial"/>
          <w:sz w:val="20"/>
          <w:szCs w:val="20"/>
        </w:rPr>
        <w:t xml:space="preserve"> means a ladder crosspiece of rectangular cross section placed on edge upon which a person may step while ascending or descending a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Double-cleat ladder</w:t>
      </w:r>
      <w:r w:rsidRPr="009F74C5">
        <w:rPr>
          <w:rFonts w:ascii="Arial" w:eastAsia="Times New Roman" w:hAnsi="Arial" w:cs="Arial"/>
          <w:sz w:val="20"/>
          <w:szCs w:val="20"/>
        </w:rPr>
        <w:t xml:space="preserve"> means a ladder similar in construction to a single-cleat ladder, but with a center rail to allow simultaneous two-way traffic for employees ascending or descending.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Equivalent</w:t>
      </w:r>
      <w:r w:rsidRPr="009F74C5">
        <w:rPr>
          <w:rFonts w:ascii="Arial" w:eastAsia="Times New Roman" w:hAnsi="Arial" w:cs="Arial"/>
          <w:sz w:val="20"/>
          <w:szCs w:val="20"/>
        </w:rPr>
        <w:t xml:space="preserve"> means alternative designs, materials, or methods that the employer can demonstrate will provide an equal or greater degree of safety for employees than the method or item specified in the standard.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Extension trestle ladder</w:t>
      </w:r>
      <w:r w:rsidRPr="009F74C5">
        <w:rPr>
          <w:rFonts w:ascii="Arial" w:eastAsia="Times New Roman" w:hAnsi="Arial" w:cs="Arial"/>
          <w:sz w:val="20"/>
          <w:szCs w:val="20"/>
        </w:rPr>
        <w:t xml:space="preserve"> means a self-supporting portable ladder, adjustable in length, consisting of a trestle ladder base and a vertically adjustable extension section, with a suitable means for locking the ladders together.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Failure</w:t>
      </w:r>
      <w:r w:rsidRPr="009F74C5">
        <w:rPr>
          <w:rFonts w:ascii="Arial" w:eastAsia="Times New Roman" w:hAnsi="Arial" w:cs="Arial"/>
          <w:sz w:val="20"/>
          <w:szCs w:val="20"/>
        </w:rPr>
        <w:t xml:space="preserve"> means load refusal, breakage, or separation of component parts. Load refusal is the point where the structural members lose their ability to carry the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Fixed ladder</w:t>
      </w:r>
      <w:r w:rsidRPr="009F74C5">
        <w:rPr>
          <w:rFonts w:ascii="Arial" w:eastAsia="Times New Roman" w:hAnsi="Arial" w:cs="Arial"/>
          <w:sz w:val="20"/>
          <w:szCs w:val="20"/>
        </w:rPr>
        <w:t xml:space="preserve"> means a ladder that cannot be readily moved or carried because it is an integral part of a building or structure. A </w:t>
      </w:r>
      <w:r w:rsidRPr="009F74C5">
        <w:rPr>
          <w:rFonts w:ascii="Arial" w:eastAsia="Times New Roman" w:hAnsi="Arial" w:cs="Arial"/>
          <w:i/>
          <w:iCs/>
          <w:sz w:val="20"/>
          <w:szCs w:val="20"/>
        </w:rPr>
        <w:t>side-step fixed ladder</w:t>
      </w:r>
      <w:r w:rsidRPr="009F74C5">
        <w:rPr>
          <w:rFonts w:ascii="Arial" w:eastAsia="Times New Roman" w:hAnsi="Arial" w:cs="Arial"/>
          <w:sz w:val="20"/>
          <w:szCs w:val="20"/>
        </w:rPr>
        <w:t xml:space="preserve"> is a fixed ladder that requires a person getting off at the top to step to the side of the ladder side rails to reach the landing. A </w:t>
      </w:r>
      <w:r w:rsidRPr="009F74C5">
        <w:rPr>
          <w:rFonts w:ascii="Arial" w:eastAsia="Times New Roman" w:hAnsi="Arial" w:cs="Arial"/>
          <w:i/>
          <w:iCs/>
          <w:sz w:val="20"/>
          <w:szCs w:val="20"/>
        </w:rPr>
        <w:t>through fixed ladder</w:t>
      </w:r>
      <w:r w:rsidRPr="009F74C5">
        <w:rPr>
          <w:rFonts w:ascii="Arial" w:eastAsia="Times New Roman" w:hAnsi="Arial" w:cs="Arial"/>
          <w:sz w:val="20"/>
          <w:szCs w:val="20"/>
        </w:rPr>
        <w:t xml:space="preserve"> is a fixed ladder that requires a person getting off at the top to step between the side rails of the ladder to reach the landing.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Handrail</w:t>
      </w:r>
      <w:r w:rsidRPr="009F74C5">
        <w:rPr>
          <w:rFonts w:ascii="Arial" w:eastAsia="Times New Roman" w:hAnsi="Arial" w:cs="Arial"/>
          <w:sz w:val="20"/>
          <w:szCs w:val="20"/>
        </w:rPr>
        <w:t xml:space="preserve"> means a rail used to provide employees with a handhold for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Individual-rung/step ladders</w:t>
      </w:r>
      <w:r w:rsidRPr="009F74C5">
        <w:rPr>
          <w:rFonts w:ascii="Arial" w:eastAsia="Times New Roman" w:hAnsi="Arial" w:cs="Arial"/>
          <w:sz w:val="20"/>
          <w:szCs w:val="20"/>
        </w:rPr>
        <w:t xml:space="preserve"> means ladders without a side rail or center rail support. Such ladders are made by mounting individual steps or rungs directly to the side or wall of the structure.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Job-made ladder</w:t>
      </w:r>
      <w:r w:rsidRPr="009F74C5">
        <w:rPr>
          <w:rFonts w:ascii="Arial" w:eastAsia="Times New Roman" w:hAnsi="Arial" w:cs="Arial"/>
          <w:sz w:val="20"/>
          <w:szCs w:val="20"/>
        </w:rPr>
        <w:t xml:space="preserve"> means a ladder that is fabricated by employees, typically at the construction site, and is not commercially manufactured. This definition does not apply to any individual-rung/step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Ladder stand.</w:t>
      </w:r>
      <w:r w:rsidRPr="009F74C5">
        <w:rPr>
          <w:rFonts w:ascii="Arial" w:eastAsia="Times New Roman" w:hAnsi="Arial" w:cs="Arial"/>
          <w:sz w:val="20"/>
          <w:szCs w:val="20"/>
        </w:rPr>
        <w:t xml:space="preserve"> A mobile fixed size self-supporting ladder consisting of a wide flat tread ladder in the form of stairs. The assenbly may include handrails.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Lower levels</w:t>
      </w:r>
      <w:r w:rsidRPr="009F74C5">
        <w:rPr>
          <w:rFonts w:ascii="Arial" w:eastAsia="Times New Roman" w:hAnsi="Arial" w:cs="Arial"/>
          <w:sz w:val="20"/>
          <w:szCs w:val="20"/>
        </w:rPr>
        <w:t xml:space="preserve"> means those areas to which an employee can fall from a stairway or ladder. Such areas include ground levels, floors, roofs, ramps, runways, excavations, pits, tanks, material, water, equipment, and similar surfaces. It does not include the surface from which the employee falls.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Maximum intended load</w:t>
      </w:r>
      <w:r w:rsidRPr="009F74C5">
        <w:rPr>
          <w:rFonts w:ascii="Arial" w:eastAsia="Times New Roman" w:hAnsi="Arial" w:cs="Arial"/>
          <w:sz w:val="20"/>
          <w:szCs w:val="20"/>
        </w:rPr>
        <w:t xml:space="preserve"> means the total load of all employees, equipment, tools, materials, transmitted loads, and other loads anticipated to be applied to a ladder component at any one time.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Nosing</w:t>
      </w:r>
      <w:r w:rsidRPr="009F74C5">
        <w:rPr>
          <w:rFonts w:ascii="Arial" w:eastAsia="Times New Roman" w:hAnsi="Arial" w:cs="Arial"/>
          <w:sz w:val="20"/>
          <w:szCs w:val="20"/>
        </w:rPr>
        <w:t xml:space="preserve"> means that portion of a tread projecting beyond the face of the riser immediately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Point of access</w:t>
      </w:r>
      <w:r w:rsidRPr="009F74C5">
        <w:rPr>
          <w:rFonts w:ascii="Arial" w:eastAsia="Times New Roman" w:hAnsi="Arial" w:cs="Arial"/>
          <w:sz w:val="20"/>
          <w:szCs w:val="20"/>
        </w:rPr>
        <w:t xml:space="preserve"> means all areas used by employees for work-related passage from one area or level to another. Such open areas include doorways, 1passageways, stairway openings, studded walls, and various other permanent or temporary openings used for such travel.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Portable ladder</w:t>
      </w:r>
      <w:r w:rsidRPr="009F74C5">
        <w:rPr>
          <w:rFonts w:ascii="Arial" w:eastAsia="Times New Roman" w:hAnsi="Arial" w:cs="Arial"/>
          <w:sz w:val="20"/>
          <w:szCs w:val="20"/>
        </w:rPr>
        <w:t xml:space="preserve"> means a ladder that can be readily moved or carried.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Riser height</w:t>
      </w:r>
      <w:r w:rsidRPr="009F74C5">
        <w:rPr>
          <w:rFonts w:ascii="Arial" w:eastAsia="Times New Roman" w:hAnsi="Arial" w:cs="Arial"/>
          <w:sz w:val="20"/>
          <w:szCs w:val="20"/>
        </w:rPr>
        <w:t xml:space="preserve"> means the vertical distance from the top of a tread to the top of the next higher tread or platform/landing or the distance from the top of a platform/landing to the top of the next higher tread or platform/landing.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Side-step fixed ladder.</w:t>
      </w:r>
      <w:r w:rsidRPr="009F74C5">
        <w:rPr>
          <w:rFonts w:ascii="Arial" w:eastAsia="Times New Roman" w:hAnsi="Arial" w:cs="Arial"/>
          <w:sz w:val="20"/>
          <w:szCs w:val="20"/>
        </w:rPr>
        <w:t xml:space="preserve"> See “Fixed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Single-cleat ladder</w:t>
      </w:r>
      <w:r w:rsidRPr="009F74C5">
        <w:rPr>
          <w:rFonts w:ascii="Arial" w:eastAsia="Times New Roman" w:hAnsi="Arial" w:cs="Arial"/>
          <w:sz w:val="20"/>
          <w:szCs w:val="20"/>
        </w:rPr>
        <w:t xml:space="preserve"> means a ladder consisting of a pair of side rails, connected together by cleats, rungs, or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Single-rail ladder</w:t>
      </w:r>
      <w:r w:rsidRPr="009F74C5">
        <w:rPr>
          <w:rFonts w:ascii="Arial" w:eastAsia="Times New Roman" w:hAnsi="Arial" w:cs="Arial"/>
          <w:sz w:val="20"/>
          <w:szCs w:val="20"/>
        </w:rPr>
        <w:t xml:space="preserve"> means a portable ladder with rungs, cleats, or steps mounted on a single rail instead of the normal two rails used on most other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Spiral stairway</w:t>
      </w:r>
      <w:r w:rsidRPr="009F74C5">
        <w:rPr>
          <w:rFonts w:ascii="Arial" w:eastAsia="Times New Roman" w:hAnsi="Arial" w:cs="Arial"/>
          <w:sz w:val="20"/>
          <w:szCs w:val="20"/>
        </w:rPr>
        <w:t xml:space="preserve"> means a series of steps attached to a vertical pole and progressing upward in a winding fashion within a cylindrical space.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Stairrail system</w:t>
      </w:r>
      <w:r w:rsidRPr="009F74C5">
        <w:rPr>
          <w:rFonts w:ascii="Arial" w:eastAsia="Times New Roman" w:hAnsi="Arial" w:cs="Arial"/>
          <w:sz w:val="20"/>
          <w:szCs w:val="20"/>
        </w:rPr>
        <w:t xml:space="preserve"> means a vertical barrier erected along the unprotected sides and edges of a stariway to prevent employees from falling to lower levels. The top surface of a stairrail system may also be a “handrail.”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Step stool (ladder type)</w:t>
      </w:r>
      <w:r w:rsidRPr="009F74C5">
        <w:rPr>
          <w:rFonts w:ascii="Arial" w:eastAsia="Times New Roman" w:hAnsi="Arial" w:cs="Arial"/>
          <w:sz w:val="20"/>
          <w:szCs w:val="20"/>
        </w:rPr>
        <w:t xml:space="preserve"> means a self-supporting, foldable, portable ladder, nonadjustable in length, 32 inches or less in overall size, with flat steps and without a pail shelf, designed to be climbed on the ladder top cap as well as all steps. The side rails may continue above the top cap.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Through fixed ladder.</w:t>
      </w:r>
      <w:r w:rsidRPr="009F74C5">
        <w:rPr>
          <w:rFonts w:ascii="Arial" w:eastAsia="Times New Roman" w:hAnsi="Arial" w:cs="Arial"/>
          <w:sz w:val="20"/>
          <w:szCs w:val="20"/>
        </w:rPr>
        <w:t xml:space="preserve"> See “Fixed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Tread depth</w:t>
      </w:r>
      <w:r w:rsidRPr="009F74C5">
        <w:rPr>
          <w:rFonts w:ascii="Arial" w:eastAsia="Times New Roman" w:hAnsi="Arial" w:cs="Arial"/>
          <w:sz w:val="20"/>
          <w:szCs w:val="20"/>
        </w:rPr>
        <w:t xml:space="preserve"> means the horizontal distance from front to back of a tread (excluding nosing, if any).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Unprotected sides and edges</w:t>
      </w:r>
      <w:r w:rsidRPr="009F74C5">
        <w:rPr>
          <w:rFonts w:ascii="Arial" w:eastAsia="Times New Roman" w:hAnsi="Arial" w:cs="Arial"/>
          <w:sz w:val="20"/>
          <w:szCs w:val="20"/>
        </w:rPr>
        <w:t xml:space="preserve"> means any side or edge (except at entrances to points of access) of a stairway where there is no stairrail system or wall 36 inches (.9 m) or more in height, and any side or edge (except at entrances to points of access) of a stairway landing, or ladder platform where there is no wall or guardrail system 39 inches (1 m) or more in height.</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[55 FR 47687, Nov. 14, 1990; 56 FR 2585, Jan. 23, 1991, as amended at 58 FR 35184, June 30, 1993; 75 FR 48135, Aug. 9, 2010]</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0" w:anchor="_top" w:history="1">
        <w:r w:rsidR="00D70103">
          <w:rPr>
            <w:rFonts w:ascii="Arial" w:eastAsia="Times New Roman" w:hAnsi="Arial" w:cs="Arial"/>
            <w:noProof/>
            <w:color w:val="0000FF"/>
            <w:sz w:val="17"/>
            <w:szCs w:val="17"/>
          </w:rPr>
          <w:drawing>
            <wp:inline distT="0" distB="0" distL="0" distR="0" wp14:anchorId="6A67A22A" wp14:editId="24C52457">
              <wp:extent cx="152400" cy="152400"/>
              <wp:effectExtent l="0" t="0" r="0" b="0"/>
              <wp:docPr id="131" name="Picture 13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3" w:name="se29.8.1926_11051"/>
      <w:bookmarkEnd w:id="53"/>
      <w:r w:rsidRPr="009F74C5">
        <w:rPr>
          <w:rFonts w:ascii="Arial" w:eastAsia="Times New Roman" w:hAnsi="Arial" w:cs="Arial"/>
          <w:b/>
          <w:bCs/>
          <w:sz w:val="20"/>
          <w:szCs w:val="20"/>
        </w:rPr>
        <w:t>§1926.1051   General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stairway or ladder shall be provided at all personnel points of access where there is a break in elevation of 19 inches (48 cm) or more, and no ramp, runway, sloped embankment, or personnel hoist is provided.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Employees shall not use any spiral stairways that will not be a permanent part of the structure on which construction work is being performed.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A double-cleated ladder or two or more separate ladders shall be provided when ladders are the only mean of access or exit from a working area for 25 or more employees, or when a ladder is to serve simultaneous two-way traffic.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a building or structure has only one point of access between levels, that point of access shall be kept clear to permit free passage of employees. When work must be performed or equipment must be used such that free passage at that point of access is restricted, a second point of access shall be provided and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When a building or structure has two or more points of access between levels, at least one point of access shall be kept clear to permit free passage of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Employers shall provide and install all stairway and ladder fall protection systems required by this subpart and shall comply with all other pertinent requirements of this subpart before employees begin the work that necessitates the installation and use of stairways, ladders, and their respective fall protection systems.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1" w:anchor="_top" w:history="1">
        <w:r w:rsidR="00D70103">
          <w:rPr>
            <w:rFonts w:ascii="Arial" w:eastAsia="Times New Roman" w:hAnsi="Arial" w:cs="Arial"/>
            <w:noProof/>
            <w:color w:val="0000FF"/>
            <w:sz w:val="17"/>
            <w:szCs w:val="17"/>
          </w:rPr>
          <w:drawing>
            <wp:inline distT="0" distB="0" distL="0" distR="0" wp14:anchorId="3A0FD37B" wp14:editId="0C30E02A">
              <wp:extent cx="152400" cy="152400"/>
              <wp:effectExtent l="0" t="0" r="0" b="0"/>
              <wp:docPr id="130" name="Picture 13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4" w:name="se29.8.1926_11052"/>
      <w:bookmarkEnd w:id="54"/>
      <w:r w:rsidRPr="009F74C5">
        <w:rPr>
          <w:rFonts w:ascii="Arial" w:eastAsia="Times New Roman" w:hAnsi="Arial" w:cs="Arial"/>
          <w:b/>
          <w:bCs/>
          <w:sz w:val="20"/>
          <w:szCs w:val="20"/>
        </w:rPr>
        <w:t>§1926.1052   Stairways.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following requirements apply to all stairways as indicated: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Stairways that will not be a permanent part of the structure on which construction work is being performed shall have landings of not less than 30 inches (76 cm) in the direction of travel and extend at least 22 inches (56 cm) in width at every 12 feet (3.7 m) or less of vertical rise.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Stairs shall be installed between 30° and 50° from horizontal.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Riser height and tread depth shall be uniform within each flight of stairs, including any foundation structure used as one or more treads of the stairs. Variations in riser height or tread depth shall not be over </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4</w:t>
      </w:r>
      <w:r w:rsidRPr="009F74C5">
        <w:rPr>
          <w:rFonts w:ascii="Arial" w:eastAsia="Times New Roman" w:hAnsi="Arial" w:cs="Arial"/>
          <w:sz w:val="20"/>
          <w:szCs w:val="20"/>
        </w:rPr>
        <w:t xml:space="preserve"> -inch (0.6 cm) in any stairway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Where doors or gates open directly on a stairway, a platform shall be provided, and the swing of the door shall not reduce the effective width of the platform to less than 20 inches (51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Metal pan landings and metal pan treads, when used, shall be secured in place before filling with concrete or other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All parts of stairways shall be free of hazardous projections, such as protruding nails.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Slippery conditions on stairways shall be eliminated before the stairways are used to reach other levels.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Temporary service.</w:t>
      </w:r>
      <w:r w:rsidRPr="009F74C5">
        <w:rPr>
          <w:rFonts w:ascii="Arial" w:eastAsia="Times New Roman" w:hAnsi="Arial" w:cs="Arial"/>
          <w:sz w:val="20"/>
          <w:szCs w:val="20"/>
        </w:rPr>
        <w:t xml:space="preserve"> The following requirements apply to all stairways as indicated: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Except during stairway construction, foot traffic is prohibited on stairways with pan stairs where the treads and/or landings are to be filled in with concrete or other material at a later date, unless the stairs are temporarily fitted with wood or other solid material at least to the top edge of each pan. Such temporary treads and landings shall be replaced when worn below the level of the top edge of the pan.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Except during stairway construction, foot traffic is prohibited on skeleton metal stairs where permanent treads and/or landings are to be installed at a later date, unless the stairs are fitted with secured temporary treads and landings long enough to cover the entire tread and/or landing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Treads for temporary service shall be made of wood or other solid material, and shall be installed the full width and depth of the stair.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Stairrails and handrails.</w:t>
      </w:r>
      <w:r w:rsidRPr="009F74C5">
        <w:rPr>
          <w:rFonts w:ascii="Arial" w:eastAsia="Times New Roman" w:hAnsi="Arial" w:cs="Arial"/>
          <w:sz w:val="20"/>
          <w:szCs w:val="20"/>
        </w:rPr>
        <w:t xml:space="preserve"> The following requirements apply to all stairways as indicated: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Stairways having four or more risers or rising more than 30 inches (76 cm), whichever is less, shall be equipped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At least one handrail;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One stairrail system along each unprotected side or edge.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When the top edge of a stairrail system also serves as a handrail, paragraph (c)(7) of this section applies.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Winding and spiral stairways shall be equipped with a handrail offset sufficiently to prevent walking on those portions of the stairways where the tread width is less than 6 inches (15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height of stairrails shall be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Stairrails installed after March 15, 1991, shall be not less than 36 inches (91.5 cm) from the upper surface of the stairrail system to the surface of the tread, in line with the face of the riser at the forward edge of the tread.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Stairrails installed before March 15, 1991, shall be not less than 30 inches (76 cm) nor more than 34 inches (86 cm) from the upper surface of the stairrail system to the surface of the tread, in line with the face of the riser at the forward edge of the tread.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Midrails, screens, mesh, intermediate vertical members, or equivalent intermediate structural members, shall be provided between the top rail of the stairrail system and the stairway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Midrails, when used, shall be located at a height midway between the top edge of the stairrail system and the stairway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Screens or mesh, when used, shall extend from the top rail to the stairway step, and along the entire opening between top rail supports.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When intermediate vertical members, such as balusters, are used between posts, they shall be not more than 19 inches (48 cm) apart.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Other structural members, when used, shall be installed such that there are no openings in the stairrail system that are more than 19 inches (48 cm) wide.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Handrails and the top rails of stairrail systems shall be capable of withstanding, without failure, a force of at least 200 pounds (890 n) applied within 2 inches (5 cm) of the top edge, in any downward or outward direction, at any point along the top edge.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(6) The height of handrails shall be not more than 37 inches (94 cm) nor less than 30 inches (76 cm) from the upper surface of the handrail to the surface of the tread, in line with the face of the riser at the forward edge of the tread.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When the top edge of a stairrail system also serves as a handrail, the height of the top edge shall be not more than 37 inches (94 cm) nor less than 36 inches (91.5 cm) from the upper surface of the stairrail system to the surface of the tread, in line with the face of the riser at the forward edge of the tread.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Stairrail systems and handrails shall be so surfaced as to prevent injury to employees from punctures or lacerations, and to prevent snagging of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Handrails shall provide an adequate handhold for employees grasping them to avoid falling.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The ends of stairrail systems and handrails shall be constructed so as not to constitute a projection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Handrails that will not be a permanent part of the structure being built shall have a minimum clearance of 3 inches (8 cm) between the handrail and walls, stairrail systems, and other objects.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Unprotected sides and edges of stairway landings shall be provided with guardrail systems. Guardrail system criteria are contained in subpart M of this part.</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[55 FR 47687, Nov. 14, 1990; 56 FR 2585, Jan. 23, 1991; 56 FR 5061, Feb. 7, 1991; 56 FR 41794, Aug. 23, 1991]</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2" w:anchor="_top" w:history="1">
        <w:r w:rsidR="00D70103">
          <w:rPr>
            <w:rFonts w:ascii="Arial" w:eastAsia="Times New Roman" w:hAnsi="Arial" w:cs="Arial"/>
            <w:noProof/>
            <w:color w:val="0000FF"/>
            <w:sz w:val="17"/>
            <w:szCs w:val="17"/>
          </w:rPr>
          <w:drawing>
            <wp:inline distT="0" distB="0" distL="0" distR="0" wp14:anchorId="4A1473DD" wp14:editId="0DADBF81">
              <wp:extent cx="152400" cy="152400"/>
              <wp:effectExtent l="0" t="0" r="0" b="0"/>
              <wp:docPr id="129" name="Picture 12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5" w:name="se29.8.1926_11053"/>
      <w:bookmarkEnd w:id="55"/>
      <w:r w:rsidRPr="009F74C5">
        <w:rPr>
          <w:rFonts w:ascii="Arial" w:eastAsia="Times New Roman" w:hAnsi="Arial" w:cs="Arial"/>
          <w:b/>
          <w:bCs/>
          <w:sz w:val="20"/>
          <w:szCs w:val="20"/>
        </w:rPr>
        <w:t>§1926.1053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following requirements apply to all ladders as indicated, including job-made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Ladders shall be capable of supporting the following loads without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Each self-supporting portable ladder: At least four times the maximum intended load, except that each extra-heavy-duty type 1A metal or plastic ladder shall sustain at least 3.3 times the maximum intended load. The ability of a ladder to sustain the loads indicated in this paragraph shall be determined by applying or transmitting the requisite load to the ladder in a downward vertical direction. Ladders built and tested in conformance with the applicable provisions of appendix A of this subpart will be deemed to meet this requirement.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Each portable ladder that is not self-supporting: At least four times the maximum intended load, except that each extra-heavy-duty type 1A metal or plastic ladders shall sustain at least 3.3 times the maximum intended load. The ability of a ladder to sustain the loads indicated in this paragraph shall be determined by applying or transmitting the requisite load to the ladder in a downward vertical direction when the ladder is placed at an angle of 75</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degrees from the horizontal. Ladders built and tested in conformance with the applicable provisions of appendix A will be deemed to meet this requirement.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Each fixed ladder: At least two loads of 250 pounds (114 kg) each, concentrated between any two consecutive attachments (the number and position of additional concentrated loads of 250 pounds (114 kg) each, determined from anticipated usage of the ladder, shall also be included), plus anticipated loads caused by ice buildup, winds, rigging, and impact loads resulting from the use of ladder safety devices. Each step or rung shall be capable of supporting a single concentrated load of at least 250 </w:t>
      </w:r>
      <w:r w:rsidRPr="009F74C5">
        <w:rPr>
          <w:rFonts w:ascii="Arial" w:eastAsia="Times New Roman" w:hAnsi="Arial" w:cs="Arial"/>
          <w:sz w:val="20"/>
          <w:szCs w:val="20"/>
        </w:rPr>
        <w:lastRenderedPageBreak/>
        <w:t>pounds (114 kg) applied in the middle of the step or rung. Ladders built in conformance with the applicable provisions of appendix A will be deemed to meet this requirement.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Ladder rungs, cleats, and steps shall be parallel, level, and uniformly spaced when the ladder is in position for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(3)(i) Rungs, cleats, and steps of portable ladders (except as provided below) and fixed ladders (including individual-rung/step ladders) shall be spaced not less than 10 inches (25 cm) apart, nor more than 14 inches (36 cm) apart, as measured between center lines of the rungs, cleats, and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Rungs, cleats, and steps of step stools shall be not less than 8 inches (20 cm) apart, nor more than 12 inches (31 cm) apart, as measured between center lines of the rungs, cleats, and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Rungs, cleats, and steps of the base section of extension trestle ladders shall not be less than 8 inches (20 cm) nor more than 18 inches (46 cm) apart, as measured between center lines of the rungs, cleats, and steps. The rung spacing on the extension section of the extension trestle ladder shall be not less than 6 inches (15 cm) nor more than 12 inches (31 cm), as measured between center lines of the rungs, cleats, and steps.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(4)(i) The minimum clear distance between the sides of individual-rung/step ladders and the minimum clear distance between the side rails of other fixed ladders shall be 16 inches (41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minimum clear distance between side rails for all portable ladders shall be 11</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inches (29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rungs of individual-rung/step ladders shall be shaped such that employees' feet cannot slide off the end of the rungs.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(6)(i) The rungs and steps of fixed metal ladders manufactured after March 15, 1991, shall be corrugated, knurled, dimpled, coated with skid-resistant material, or otherwise treated to minimize slipping.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rungs and steps of portable metal ladders shall be corrugated, knurled, dimpled, coated with skid-resistant material, or otherwise treated to minimize slipping.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Ladders shall not be tied or fastened together to provide longer sections unless they are specifically designed for such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A metal spreader or locking device shall be provided on each stepladder to hold the front and back sections in an open position when the ladder is being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When splicing is required to obtain a given length of side rail, the resulting side rail must be at least equivalent in strength to a one-piece side rail made of the same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Except when portable ladders are used to gain access to fixed ladders (such as those on utility towers, billboards, and other structures where the bottom of the fixed ladder is elevated to limit access), when two or more separate ladders are used to reach an elevated work area, the ladders shall be offset with a platform or landing between the ladders. (The requirements to have guardrail systems with toeboards for falling object and overhead protection on platforms and landings are set forth in subpart M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Ladder components shall be surfaced so as to prevent injury to an employee from punctures or lacerations, and to prevent snagging of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(12) Wood ladders shall not be coated with any opaque covering, except for identification or warning labels which may be placed on one face only of a side rail.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(13) The minimum perpendicular clearance between fixed ladder rungs, cleats, and steps, and any obstruction behind the ladder shall be 7 inches (18 cm), except in the case of an elevator pit ladder, for which a minimum perpendicular clearance of 4</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inches (11 cm) is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The minimum perpendicular clearance between the center line of fixed ladder rungs, cleats, and steps, and any obstruction on the climbing side of the ladder shall be 30 inches (76 cm), except as provided in paragraph (a)(15)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When unavoidable obstructions are encountered, the minimum perpendicular clearance between the centerline of fixed ladder rungs, cleats, and steps, and the obstruction on the climbing side of the ladder may be reduced to 24 inches (61 cm), provided that a deflection device is installed to guide employees around the obstruction.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Through fixed ladders at their point of access/egress shall have a step-across distance of not less than 7 inches (18 cm) nor more than 12 inches (30 cm) as measured from the centerline of the steps or rungs to the nearest edge of the landing area. If the normal step-across distance exceeds 12 inches (30 cm), a landing platform shall be provided to reduce the distance to the specified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(17) Fixed ladders without cages or wells shall have a clear width to the nearest permanent object of at least 15 inches (38 cm) on each side of the centerline of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(18) Fixed ladders shall be provided with cages, wells, ladder safety devices, or self-retracting lifelines where the length of climb is less than 24 feet (7.3 m) but the top of the ladder is at a distance greater than 24 feet (7.3 m) above lower levels.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(19) Where the total length of a climb equals or exceeds 24 feet (7.3 m), fixed ladders shall be equipped with one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Ladder safety devices;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Self-retracting lifelines, and rest platforms at intervals not to exceed 150 feet (45.7 m);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 cage or well, and multiple ladder sections, each ladder section not to exceed 50 feet (15.2 m) in length. Ladder sections shall be offset from adjacent sections, and landing platforms shall be provided at maximum intervals of 50 feet (15.2 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(20) Cages for fixed ladders shall conform to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Horizontal bands shall be fastened to the side rails of rail ladders, or directly to the structure, building, or equipment for individual-rung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Vertical bars shall be on the inside of the horizontal bands and shall be fastened to them;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Cages shall extend not less than 27 inches (68 cm), or more than 30 inches (76 cm) from the centerline of the step or rung (excluding the flare at the bottom of the cage), and shall not be less than 27 inches (68 cm) in width;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inside of the cage shall be clear of projections;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 Horizontal bands shall be spaced not more than 4 feet (1.2 m) on center vertically;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Vertical bars shall be spaced at intervals not more than 9</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inches (24 cm) on center horizontally;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The bottom of the cage shall be at a level not less than 7 feet (2.1 m) nor more than 8 feet (2.4 m) above the point of access to the bottom of the ladder. The bottom of the cage shall be flared not less than 4 inches (10 cm) all around within the distance between the bottom horizontal band and the next higher band;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The top of the cage shall be a minimum of 42 inches (1.1 m) above the top of the platform, or the point of access at the top of the ladder, with provision for access to the platform or other point of access.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(21) Wells for fixed ladders shall conform to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They shall completely encircle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They shall be free of projections;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Their inside face on the climbing side of the ladder shall extend not less than 27 inches (68 cm) nor more than 30 inches (76 cm) from the centerline of the step or rung;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inside clear width shall be at least 30 inches (76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bottom of the wall on the access side shall start at a level not less than 7 feet (2.1 m) nor more than 8 feet (2.4 m) above the point of access to the bottom of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(22) Ladder safety devices, and related support systems, for fixed ladders shall conform to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They shall be capable of withstanding without failure a drop test consisting of an 18-inch (41 cm) drop of a 500-pound (226 kg) weight;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They shall permit the employee using the device to ascend or descend without continually having to hold, push or pull any part of the device, leaving both hands free for climbing;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They shall be activated within 2 feet (.61 m) after a fall occurs, and limit the descending velocity of an employee to 7 feet/sec. (2.1 m/sec.) or less;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connection between the carrier or lifeline and the point of attachment to the body belt or harness shall not exceed 9 inches (23 cm) in length.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(23) The mounting of ladder safety devices for fixed ladders shall conform to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Mountings for rigid carriers shall be attached at each end of the carrier, with intermediate mountings, as necessary, spaced along the entire length of the carrier, to provide the strength necessary to stop employees' falls.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Mountings for flexible carriers shall be attached at each end of the carrier. When the system is exposed to wind, cable guides for flexible carriers shall be installed at a minimum spacing of 25 feet (7.6 </w:t>
      </w:r>
      <w:r w:rsidRPr="009F74C5">
        <w:rPr>
          <w:rFonts w:ascii="Arial" w:eastAsia="Times New Roman" w:hAnsi="Arial" w:cs="Arial"/>
          <w:sz w:val="20"/>
          <w:szCs w:val="20"/>
        </w:rPr>
        <w:lastRenderedPageBreak/>
        <w:t>m) and maximum spacing of 40 feet (12.2 m) along the entire length of the carrier, to prevent wind damage to the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design and installation of mountings and cable guides shall not reduce the design strength of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(24) The side rails of through or side-step fixed ladders shall extend 42 inches (1.1 m) above the top of the access level or landing platform served by the ladder. For a parapet ladder, the access level shall be the roof if the parapet is cut to permit passage through the parapet; if the parapet is continuous, the access level shall be the top of the parapet.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(25) For through-fixed-ladder extensions, the steps or rungs shall be omitted from the extension and the extension of the side rails shall be flared to provide not less than 24 inches (61 cm) nor more than 30 inches (76 cm) clearance between side rails. Where ladder safety devices are provided, the maximum clearance between side rails of the extensions shall not exceed 36 inches (91 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(26) For side-step fixed ladders, the side rails and the steps or rungs shall be continuous in the extension.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(27) Individual-rung/step ladders, except those used where their access openings are covered with manhole covers or hatches, shall extend at least 42 inches (1.1 m) above an access level or landing platform either by the continuation of the rung spacings as horizontal grab bars or by providing vertical grab bars that shall have the same lateral spacing as the vertical legs of the rungs.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Use.</w:t>
      </w:r>
      <w:r w:rsidRPr="009F74C5">
        <w:rPr>
          <w:rFonts w:ascii="Arial" w:eastAsia="Times New Roman" w:hAnsi="Arial" w:cs="Arial"/>
          <w:sz w:val="20"/>
          <w:szCs w:val="20"/>
        </w:rPr>
        <w:t xml:space="preserve"> The following requirements apply to the use of all ladders, including job-made ladders, except as otherwise indicated: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When portable ladders are used for access to an upper landing surface, the ladder side rails shall extend at least 3 feet (.9 m) above the upper landing surface to which the ladder is used to gain access; or, when such an extension is not possible because of the ladder's length, then the ladder shall be secured at its top to a rigid support that will not deflect, and a grasping device, such as a grabrail, shall be provided to assist employees in mounting and dismounting the ladder. In no case shall the extension be such that ladder deflection under a load would, by itself, cause the ladder to slip off its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Ladders shall be maintained free of oil, grease, and other slipping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Ladders shall not be loaded beyond the maximum intended load for which they were built, nor beyond their manufacturer's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Ladders shall be used only for the purpose for which they were designed.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(5)(i) Non-self-supporting ladders shall be used at an angle such that the horizontal distance from the top support to the foot of the ladder is approximately one-quarter of the working length of the ladder (the distance along the ladder between the foot and the top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Wood job-made ladders with spliced side rails shall be used at an angle such that the horizontal distance is one-eighth the working length of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Fixed ladders shall be used at a pitch no greater than 90 degrees from the horizontal, as measured to the back side of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Ladders shall be used only on stable and level surfaces unless secured to prevent accidental displacement.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(7) Ladders shall not be used on slippery surfaces unless secured or provided with slip-resistant feet to prevent accidental displacement. Slip-resistant feet shall not be used as a substitute for care in placing, lashing, or holding a ladder that is used upon slippery surfaces including, but not limited to, flat metal or concrete surfaces that are constructed so they cannot be prevented from becoming slippery.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Ladders placed in any location where they can be displaced by workplace activities or traffic, such as in passageways, doorways, or driveways, shall be secured to prevent accidental displacement, or a barricade shall be used to keep the activities or traffic away from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The area around the top and bottom of ladders shall be kept clear.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The top of a non-self-supporting ladder shall be placed with the two rails supported equally unless it is equipped with a single support attachment.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Ladders shall not be moved, shifted, or extended while occupied.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Ladders shall have nonconductive siderails if they are used where the employee or the ladder could contact exposed energized electrical equipment, except as provided in §1926.955(b) and (c)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(13) The top or top step of a stepladder shall not be used as a step.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Cross-bracing on the rear section of stepladders shall not be used for climbing unless the ladders are designed and provided with steps for climbing on both front and rear sections.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Ladders shall be inspected by a competent person for visible defects on a periodic basis and after any occurrence that could affect their safe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Portable ladders with structural defects, such as, but not limited to, broken or missing rungs, cleats, or steps, broken or split rails, corroded components, or other faulty or defective components, shall either be immediately marked in a manner that readily identifies them as defective, or be tagged with “Do Not Use” or similar language, and shall be withdrawn from service until repaired.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(17) Fixed ladders with structural defects, such as, but not limited to, broken or missing rungs, cleats, or steps, broken or split rails, or corroded components, shall be withdrawn from service until repaired. The requirement to withdraw a defective ladder from service is satisfied if the ladder is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Immediately tagged with “Do Not Use” or similar language,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Marked in a manner that readily identifies it as defective;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Or blocked (such as with a plywood attachment that spans several rungs).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(18) Ladder repairs shall restore the ladder to a condition meeting its original design criteria, before the ladder is returned to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(19) Single-rail ladders shall not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(20) When ascending or descending a ladder, the user shall face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(21) Each employee shall use at least one hand to grasp the ladder when progressing up and/or down the ladder.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(22) An employee shall not carry any object or load that could cause the employee to lose balance and fall.</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[55 FR 47687, Nov. 14, 1990; 56 FR 2585, Jan. 23, 1991, as amended at 56 FR 41794, Aug. 23, 1991; 79 FR 20743, Apr. 11, 2014]</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3" w:anchor="_top" w:history="1">
        <w:r w:rsidR="00D70103">
          <w:rPr>
            <w:rFonts w:ascii="Arial" w:eastAsia="Times New Roman" w:hAnsi="Arial" w:cs="Arial"/>
            <w:noProof/>
            <w:color w:val="0000FF"/>
            <w:sz w:val="17"/>
            <w:szCs w:val="17"/>
          </w:rPr>
          <w:drawing>
            <wp:inline distT="0" distB="0" distL="0" distR="0" wp14:anchorId="5D985FA6" wp14:editId="399A4E74">
              <wp:extent cx="152400" cy="152400"/>
              <wp:effectExtent l="0" t="0" r="0" b="0"/>
              <wp:docPr id="128" name="Picture 12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6" w:name="se29.8.1926_11054_61926_11059"/>
      <w:bookmarkEnd w:id="56"/>
      <w:r w:rsidRPr="009F74C5">
        <w:rPr>
          <w:rFonts w:ascii="Arial" w:eastAsia="Times New Roman" w:hAnsi="Arial" w:cs="Arial"/>
          <w:b/>
          <w:bCs/>
          <w:sz w:val="20"/>
          <w:szCs w:val="20"/>
        </w:rPr>
        <w:t>§§1926.1054-1926.1059   [Reserved]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4" w:anchor="_top" w:history="1">
        <w:r w:rsidR="00D70103">
          <w:rPr>
            <w:rFonts w:ascii="Arial" w:eastAsia="Times New Roman" w:hAnsi="Arial" w:cs="Arial"/>
            <w:noProof/>
            <w:color w:val="0000FF"/>
            <w:sz w:val="17"/>
            <w:szCs w:val="17"/>
          </w:rPr>
          <w:drawing>
            <wp:inline distT="0" distB="0" distL="0" distR="0" wp14:anchorId="6FC0883D" wp14:editId="48376CAB">
              <wp:extent cx="152400" cy="152400"/>
              <wp:effectExtent l="0" t="0" r="0" b="0"/>
              <wp:docPr id="127" name="Picture 12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7" w:name="se29.8.1926_11060"/>
      <w:bookmarkEnd w:id="57"/>
      <w:r w:rsidRPr="009F74C5">
        <w:rPr>
          <w:rFonts w:ascii="Arial" w:eastAsia="Times New Roman" w:hAnsi="Arial" w:cs="Arial"/>
          <w:b/>
          <w:bCs/>
          <w:sz w:val="20"/>
          <w:szCs w:val="20"/>
        </w:rPr>
        <w:t>§1926.1060   Training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following training provisions clarify the requirements of §1926.21(b)(2), regarding the hazards addressed in subpart X.</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shall provide a training program for each employee using ladders and stairways, as necessary. The program shall enable each employee to recognize hazards related to ladders and stairways, and shall train each employee in the procedures to be followed to minimize these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employer shall ensure that each employee has been trained by a competent person in the following areas, as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nature of fall hazards in the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correct procedures for erecting, maintaining, and disassembling the fall protection systems to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proper construction, use, placement, and care in handling of all stairways and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maximum intended load-carrying capacities of ladders used;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standards contained in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Retraining shall be provided for each employee as necessary so that the employee maintains the understanding and knowledge acquired through compliance with this section.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5" w:anchor="_top" w:history="1">
        <w:r w:rsidR="00D70103">
          <w:rPr>
            <w:rFonts w:ascii="Arial" w:eastAsia="Times New Roman" w:hAnsi="Arial" w:cs="Arial"/>
            <w:noProof/>
            <w:color w:val="0000FF"/>
            <w:sz w:val="17"/>
            <w:szCs w:val="17"/>
          </w:rPr>
          <w:drawing>
            <wp:inline distT="0" distB="0" distL="0" distR="0" wp14:anchorId="1150B42A" wp14:editId="601C7324">
              <wp:extent cx="152400" cy="152400"/>
              <wp:effectExtent l="0" t="0" r="0" b="0"/>
              <wp:docPr id="126" name="Picture 12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58" w:name="ap29.8.1926_11060.a"/>
      <w:bookmarkEnd w:id="58"/>
      <w:r w:rsidRPr="009F74C5">
        <w:rPr>
          <w:rFonts w:ascii="Arial" w:eastAsia="Times New Roman" w:hAnsi="Arial" w:cs="Arial"/>
          <w:b/>
          <w:bCs/>
          <w:sz w:val="20"/>
          <w:szCs w:val="20"/>
        </w:rPr>
        <w:t>Appendix A to Subpart X of Part 1926—Ladders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This appendix serves as a non-mandatory guideline to assist employers in complying with the ladder loading and strength requirements of §1926.1053(a)(1). A ladder designed and built in accordance with the applicable national consensus standards, as set forth below, will be considered to meet the requirements of §1926.1053(a)(1):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Manufactured portable wood ladders: American National Standards Institute (ANSI) A14.1-1982—American National Standard for Ladders-Portable Wood-Safety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lastRenderedPageBreak/>
        <w:t>•</w:t>
      </w:r>
      <w:r w:rsidRPr="009F74C5">
        <w:rPr>
          <w:rFonts w:ascii="Arial" w:eastAsia="Times New Roman" w:hAnsi="Arial" w:cs="Arial"/>
          <w:sz w:val="20"/>
          <w:szCs w:val="20"/>
        </w:rPr>
        <w:t>  Manufactured portable metal ladders: ANSI A14.2-1982—American National Standard for Ladders—Portable Metal-Safety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Manufactured fixed ladders: ANSI A14.3-1984—American National Standard for Ladders-Fixed-Safety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Job-made ladders: ANSI A14.4-1979—Safety Requirements for Job-Made Ladders.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Unicode MS" w:eastAsia="Arial Unicode MS" w:hAnsi="Arial Unicode MS" w:cs="Arial Unicode MS" w:hint="eastAsia"/>
          <w:sz w:val="20"/>
          <w:szCs w:val="20"/>
        </w:rPr>
        <w:t>•</w:t>
      </w:r>
      <w:r w:rsidRPr="009F74C5">
        <w:rPr>
          <w:rFonts w:ascii="Arial" w:eastAsia="Times New Roman" w:hAnsi="Arial" w:cs="Arial"/>
          <w:sz w:val="20"/>
          <w:szCs w:val="20"/>
        </w:rPr>
        <w:t>  Plastic ladders: ANSI A14.5-1982—American National Standard for Ladders-Portable Reinforced Plastic-Safety Requirements.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6" w:anchor="_top" w:history="1">
        <w:r w:rsidR="00D70103">
          <w:rPr>
            <w:rFonts w:ascii="Arial" w:eastAsia="Times New Roman" w:hAnsi="Arial" w:cs="Arial"/>
            <w:noProof/>
            <w:color w:val="0000FF"/>
            <w:sz w:val="17"/>
            <w:szCs w:val="17"/>
          </w:rPr>
          <w:drawing>
            <wp:inline distT="0" distB="0" distL="0" distR="0" wp14:anchorId="3E7A1BA6" wp14:editId="6D837489">
              <wp:extent cx="152400" cy="152400"/>
              <wp:effectExtent l="0" t="0" r="0" b="0"/>
              <wp:docPr id="125" name="Picture 12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7"/>
          <w:szCs w:val="27"/>
        </w:rPr>
      </w:pPr>
      <w:bookmarkStart w:id="59" w:name="sp29.8.1926.y"/>
      <w:bookmarkEnd w:id="59"/>
      <w:r w:rsidRPr="009F74C5">
        <w:rPr>
          <w:rFonts w:ascii="Arial" w:eastAsia="Times New Roman" w:hAnsi="Arial" w:cs="Arial"/>
          <w:b/>
          <w:bCs/>
          <w:sz w:val="27"/>
          <w:szCs w:val="27"/>
        </w:rPr>
        <w:t>Subpart Y—Diving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Sections 4, 6, and 8 of the Occupational Safety and Health Act of 1970 (29 U.S.C. 653, 655, 657); Sec. 107, Contract Work Hours and Safety Standards Act (the Construction Safety Standards Act) (40 U.S.C. 333); Sec. 41, Longshore and Harbor Workers' Compensation Act (33 U.S.C. 941); Secretary of Labor's Order No. 12-71 (36 FR 8754), 8-76 (41 FR 25059), 9-83 (48 FR 35736), 1-90 (55 FR 9033), 3-2000 (65 FR 50017) or 5-2002 (67 FR 65008) as applicable; and 29 CFR part 1911. </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Source:</w:t>
      </w:r>
      <w:r w:rsidRPr="009F74C5">
        <w:rPr>
          <w:rFonts w:ascii="Arial" w:eastAsia="Times New Roman" w:hAnsi="Arial" w:cs="Arial"/>
          <w:sz w:val="18"/>
          <w:szCs w:val="18"/>
        </w:rPr>
        <w:t xml:space="preserve"> 58 FR 35184, June 30, 1993, unless otherwise noted. </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7" w:anchor="_top" w:history="1">
        <w:r w:rsidR="00D70103">
          <w:rPr>
            <w:rFonts w:ascii="Arial" w:eastAsia="Times New Roman" w:hAnsi="Arial" w:cs="Arial"/>
            <w:noProof/>
            <w:color w:val="0000FF"/>
            <w:sz w:val="17"/>
            <w:szCs w:val="17"/>
          </w:rPr>
          <w:drawing>
            <wp:inline distT="0" distB="0" distL="0" distR="0" wp14:anchorId="671AA5AD" wp14:editId="0452CC12">
              <wp:extent cx="152400" cy="152400"/>
              <wp:effectExtent l="0" t="0" r="0" b="0"/>
              <wp:docPr id="124" name="Picture 12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60" w:name="sg29.8.1926.y.sg6"/>
      <w:bookmarkEnd w:id="60"/>
      <w:r w:rsidRPr="009F74C5">
        <w:rPr>
          <w:rFonts w:ascii="Arial" w:eastAsia="Times New Roman" w:hAnsi="Arial" w:cs="Arial"/>
          <w:b/>
          <w:bCs/>
          <w:smallCaps/>
          <w:sz w:val="27"/>
          <w:szCs w:val="27"/>
        </w:rPr>
        <w:t>General</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8" w:anchor="_top" w:history="1">
        <w:r w:rsidR="00D70103">
          <w:rPr>
            <w:rFonts w:ascii="Arial" w:eastAsia="Times New Roman" w:hAnsi="Arial" w:cs="Arial"/>
            <w:noProof/>
            <w:color w:val="0000FF"/>
            <w:sz w:val="17"/>
            <w:szCs w:val="17"/>
          </w:rPr>
          <w:drawing>
            <wp:inline distT="0" distB="0" distL="0" distR="0" wp14:anchorId="776B896E" wp14:editId="73843852">
              <wp:extent cx="152400" cy="152400"/>
              <wp:effectExtent l="0" t="0" r="0" b="0"/>
              <wp:docPr id="123" name="Picture 12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1" w:name="se29.8.1926_11071"/>
      <w:bookmarkEnd w:id="61"/>
      <w:r w:rsidRPr="009F74C5">
        <w:rPr>
          <w:rFonts w:ascii="Arial" w:eastAsia="Times New Roman" w:hAnsi="Arial" w:cs="Arial"/>
          <w:b/>
          <w:bCs/>
          <w:sz w:val="20"/>
          <w:szCs w:val="20"/>
        </w:rPr>
        <w:t>§1926.1071   Scope and application.</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§1910.401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59" w:anchor="_top" w:history="1">
        <w:r w:rsidR="00D70103">
          <w:rPr>
            <w:rFonts w:ascii="Arial" w:eastAsia="Times New Roman" w:hAnsi="Arial" w:cs="Arial"/>
            <w:noProof/>
            <w:color w:val="0000FF"/>
            <w:sz w:val="17"/>
            <w:szCs w:val="17"/>
          </w:rPr>
          <w:drawing>
            <wp:inline distT="0" distB="0" distL="0" distR="0" wp14:anchorId="32718944" wp14:editId="48ABC9B3">
              <wp:extent cx="152400" cy="152400"/>
              <wp:effectExtent l="0" t="0" r="0" b="0"/>
              <wp:docPr id="122" name="Picture 12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2" w:name="se29.8.1926_11072"/>
      <w:bookmarkEnd w:id="62"/>
      <w:r w:rsidRPr="009F74C5">
        <w:rPr>
          <w:rFonts w:ascii="Arial" w:eastAsia="Times New Roman" w:hAnsi="Arial" w:cs="Arial"/>
          <w:b/>
          <w:bCs/>
          <w:sz w:val="20"/>
          <w:szCs w:val="20"/>
        </w:rPr>
        <w:t>§1926.1072   Definitions.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provisions applicable to construction work under this section are identical to those set forth at §1910.402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0" w:anchor="_top" w:history="1">
        <w:r w:rsidR="00D70103">
          <w:rPr>
            <w:rFonts w:ascii="Arial" w:eastAsia="Times New Roman" w:hAnsi="Arial" w:cs="Arial"/>
            <w:noProof/>
            <w:color w:val="0000FF"/>
            <w:sz w:val="17"/>
            <w:szCs w:val="17"/>
          </w:rPr>
          <w:drawing>
            <wp:inline distT="0" distB="0" distL="0" distR="0" wp14:anchorId="0165A342" wp14:editId="3334DC8A">
              <wp:extent cx="152400" cy="152400"/>
              <wp:effectExtent l="0" t="0" r="0" b="0"/>
              <wp:docPr id="121" name="Picture 12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63" w:name="sg29.8.1926_11072.sg7"/>
      <w:bookmarkEnd w:id="63"/>
      <w:r w:rsidRPr="009F74C5">
        <w:rPr>
          <w:rFonts w:ascii="Arial" w:eastAsia="Times New Roman" w:hAnsi="Arial" w:cs="Arial"/>
          <w:b/>
          <w:bCs/>
          <w:smallCaps/>
          <w:sz w:val="27"/>
          <w:szCs w:val="27"/>
        </w:rPr>
        <w:t>Personnel Requirements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1" w:anchor="_top" w:history="1">
        <w:r w:rsidR="00D70103">
          <w:rPr>
            <w:rFonts w:ascii="Arial" w:eastAsia="Times New Roman" w:hAnsi="Arial" w:cs="Arial"/>
            <w:noProof/>
            <w:color w:val="0000FF"/>
            <w:sz w:val="17"/>
            <w:szCs w:val="17"/>
          </w:rPr>
          <w:drawing>
            <wp:inline distT="0" distB="0" distL="0" distR="0" wp14:anchorId="0DFD7181" wp14:editId="4EF818E6">
              <wp:extent cx="152400" cy="152400"/>
              <wp:effectExtent l="0" t="0" r="0" b="0"/>
              <wp:docPr id="120" name="Picture 12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4" w:name="se29.8.1926_11076"/>
      <w:bookmarkEnd w:id="64"/>
      <w:r w:rsidRPr="009F74C5">
        <w:rPr>
          <w:rFonts w:ascii="Arial" w:eastAsia="Times New Roman" w:hAnsi="Arial" w:cs="Arial"/>
          <w:b/>
          <w:bCs/>
          <w:sz w:val="20"/>
          <w:szCs w:val="20"/>
        </w:rPr>
        <w:lastRenderedPageBreak/>
        <w:t>§1926.1076   Qualifications of dive team.</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§1910.410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2" w:anchor="_top" w:history="1">
        <w:r w:rsidR="00D70103">
          <w:rPr>
            <w:rFonts w:ascii="Arial" w:eastAsia="Times New Roman" w:hAnsi="Arial" w:cs="Arial"/>
            <w:noProof/>
            <w:color w:val="0000FF"/>
            <w:sz w:val="17"/>
            <w:szCs w:val="17"/>
          </w:rPr>
          <w:drawing>
            <wp:inline distT="0" distB="0" distL="0" distR="0" wp14:anchorId="1EE00623" wp14:editId="13582F08">
              <wp:extent cx="152400" cy="152400"/>
              <wp:effectExtent l="0" t="0" r="0" b="0"/>
              <wp:docPr id="119" name="Picture 11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65" w:name="sg29.8.1926_11076.sg8"/>
      <w:bookmarkEnd w:id="65"/>
      <w:r w:rsidRPr="009F74C5">
        <w:rPr>
          <w:rFonts w:ascii="Arial" w:eastAsia="Times New Roman" w:hAnsi="Arial" w:cs="Arial"/>
          <w:b/>
          <w:bCs/>
          <w:smallCaps/>
          <w:sz w:val="27"/>
          <w:szCs w:val="27"/>
        </w:rPr>
        <w:t>General Operations Procedures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3" w:anchor="_top" w:history="1">
        <w:r w:rsidR="00D70103">
          <w:rPr>
            <w:rFonts w:ascii="Arial" w:eastAsia="Times New Roman" w:hAnsi="Arial" w:cs="Arial"/>
            <w:noProof/>
            <w:color w:val="0000FF"/>
            <w:sz w:val="17"/>
            <w:szCs w:val="17"/>
          </w:rPr>
          <w:drawing>
            <wp:inline distT="0" distB="0" distL="0" distR="0" wp14:anchorId="3910EFDE" wp14:editId="59CEE6B2">
              <wp:extent cx="152400" cy="152400"/>
              <wp:effectExtent l="0" t="0" r="0" b="0"/>
              <wp:docPr id="118" name="Picture 11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6" w:name="se29.8.1926_11080"/>
      <w:bookmarkEnd w:id="66"/>
      <w:r w:rsidRPr="009F74C5">
        <w:rPr>
          <w:rFonts w:ascii="Arial" w:eastAsia="Times New Roman" w:hAnsi="Arial" w:cs="Arial"/>
          <w:b/>
          <w:bCs/>
          <w:sz w:val="20"/>
          <w:szCs w:val="20"/>
        </w:rPr>
        <w:t>§1926.1080   Safe practices manual.</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4" w:anchor="_top" w:history="1">
        <w:r w:rsidR="00D70103">
          <w:rPr>
            <w:rFonts w:ascii="Arial" w:eastAsia="Times New Roman" w:hAnsi="Arial" w:cs="Arial"/>
            <w:noProof/>
            <w:color w:val="0000FF"/>
            <w:sz w:val="17"/>
            <w:szCs w:val="17"/>
          </w:rPr>
          <w:drawing>
            <wp:inline distT="0" distB="0" distL="0" distR="0" wp14:anchorId="71752CB4" wp14:editId="3740E0C4">
              <wp:extent cx="152400" cy="152400"/>
              <wp:effectExtent l="0" t="0" r="0" b="0"/>
              <wp:docPr id="117" name="Picture 11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7" w:name="se29.8.1926_11081"/>
      <w:bookmarkEnd w:id="67"/>
      <w:r w:rsidRPr="009F74C5">
        <w:rPr>
          <w:rFonts w:ascii="Arial" w:eastAsia="Times New Roman" w:hAnsi="Arial" w:cs="Arial"/>
          <w:b/>
          <w:bCs/>
          <w:sz w:val="20"/>
          <w:szCs w:val="20"/>
        </w:rPr>
        <w:t>§1926.1081   Pre-dive procedures.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§1910.421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5" w:anchor="_top" w:history="1">
        <w:r w:rsidR="00D70103">
          <w:rPr>
            <w:rFonts w:ascii="Arial" w:eastAsia="Times New Roman" w:hAnsi="Arial" w:cs="Arial"/>
            <w:noProof/>
            <w:color w:val="0000FF"/>
            <w:sz w:val="17"/>
            <w:szCs w:val="17"/>
          </w:rPr>
          <w:drawing>
            <wp:inline distT="0" distB="0" distL="0" distR="0" wp14:anchorId="4EFB7DEB" wp14:editId="211A7B7C">
              <wp:extent cx="152400" cy="152400"/>
              <wp:effectExtent l="0" t="0" r="0" b="0"/>
              <wp:docPr id="116" name="Picture 11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8" w:name="se29.8.1926_11082"/>
      <w:bookmarkEnd w:id="68"/>
      <w:r w:rsidRPr="009F74C5">
        <w:rPr>
          <w:rFonts w:ascii="Arial" w:eastAsia="Times New Roman" w:hAnsi="Arial" w:cs="Arial"/>
          <w:b/>
          <w:bCs/>
          <w:sz w:val="20"/>
          <w:szCs w:val="20"/>
        </w:rPr>
        <w:t>§1926.1082   Procedures during dive.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§1910.422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6" w:anchor="_top" w:history="1">
        <w:r w:rsidR="00D70103">
          <w:rPr>
            <w:rFonts w:ascii="Arial" w:eastAsia="Times New Roman" w:hAnsi="Arial" w:cs="Arial"/>
            <w:noProof/>
            <w:color w:val="0000FF"/>
            <w:sz w:val="17"/>
            <w:szCs w:val="17"/>
          </w:rPr>
          <w:drawing>
            <wp:inline distT="0" distB="0" distL="0" distR="0" wp14:anchorId="10001918" wp14:editId="6ECF6769">
              <wp:extent cx="152400" cy="152400"/>
              <wp:effectExtent l="0" t="0" r="0" b="0"/>
              <wp:docPr id="115" name="Picture 11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69" w:name="se29.8.1926_11083"/>
      <w:bookmarkEnd w:id="69"/>
      <w:r w:rsidRPr="009F74C5">
        <w:rPr>
          <w:rFonts w:ascii="Arial" w:eastAsia="Times New Roman" w:hAnsi="Arial" w:cs="Arial"/>
          <w:b/>
          <w:bCs/>
          <w:sz w:val="20"/>
          <w:szCs w:val="20"/>
        </w:rPr>
        <w:t>§1926.1083   Post-dive procedures.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7" w:anchor="_top" w:history="1">
        <w:r w:rsidR="00D70103">
          <w:rPr>
            <w:rFonts w:ascii="Arial" w:eastAsia="Times New Roman" w:hAnsi="Arial" w:cs="Arial"/>
            <w:noProof/>
            <w:color w:val="0000FF"/>
            <w:sz w:val="17"/>
            <w:szCs w:val="17"/>
          </w:rPr>
          <w:drawing>
            <wp:inline distT="0" distB="0" distL="0" distR="0" wp14:anchorId="25BF221B" wp14:editId="308C1C22">
              <wp:extent cx="152400" cy="152400"/>
              <wp:effectExtent l="0" t="0" r="0" b="0"/>
              <wp:docPr id="114" name="Picture 11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70" w:name="sg29.8.1926_11083.sg9"/>
      <w:bookmarkEnd w:id="70"/>
      <w:r w:rsidRPr="009F74C5">
        <w:rPr>
          <w:rFonts w:ascii="Arial" w:eastAsia="Times New Roman" w:hAnsi="Arial" w:cs="Arial"/>
          <w:b/>
          <w:bCs/>
          <w:smallCaps/>
          <w:sz w:val="27"/>
          <w:szCs w:val="27"/>
        </w:rPr>
        <w:t>Specific Operations Procedures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8" w:anchor="_top" w:history="1">
        <w:r w:rsidR="00D70103">
          <w:rPr>
            <w:rFonts w:ascii="Arial" w:eastAsia="Times New Roman" w:hAnsi="Arial" w:cs="Arial"/>
            <w:noProof/>
            <w:color w:val="0000FF"/>
            <w:sz w:val="17"/>
            <w:szCs w:val="17"/>
          </w:rPr>
          <w:drawing>
            <wp:inline distT="0" distB="0" distL="0" distR="0" wp14:anchorId="0A201248" wp14:editId="0B6A040A">
              <wp:extent cx="152400" cy="152400"/>
              <wp:effectExtent l="0" t="0" r="0" b="0"/>
              <wp:docPr id="113" name="Picture 11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1" w:name="se29.8.1926_11084"/>
      <w:bookmarkEnd w:id="71"/>
      <w:r w:rsidRPr="009F74C5">
        <w:rPr>
          <w:rFonts w:ascii="Arial" w:eastAsia="Times New Roman" w:hAnsi="Arial" w:cs="Arial"/>
          <w:b/>
          <w:bCs/>
          <w:sz w:val="20"/>
          <w:szCs w:val="20"/>
        </w:rPr>
        <w:lastRenderedPageBreak/>
        <w:t>§1926.1084   SCUBA diving.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§1910.424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69" w:anchor="_top" w:history="1">
        <w:r w:rsidR="00D70103">
          <w:rPr>
            <w:rFonts w:ascii="Arial" w:eastAsia="Times New Roman" w:hAnsi="Arial" w:cs="Arial"/>
            <w:noProof/>
            <w:color w:val="0000FF"/>
            <w:sz w:val="17"/>
            <w:szCs w:val="17"/>
          </w:rPr>
          <w:drawing>
            <wp:inline distT="0" distB="0" distL="0" distR="0" wp14:anchorId="7D29A9BA" wp14:editId="42614A51">
              <wp:extent cx="152400" cy="152400"/>
              <wp:effectExtent l="0" t="0" r="0" b="0"/>
              <wp:docPr id="112" name="Picture 11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2" w:name="se29.8.1926_11085"/>
      <w:bookmarkEnd w:id="72"/>
      <w:r w:rsidRPr="009F74C5">
        <w:rPr>
          <w:rFonts w:ascii="Arial" w:eastAsia="Times New Roman" w:hAnsi="Arial" w:cs="Arial"/>
          <w:b/>
          <w:bCs/>
          <w:sz w:val="20"/>
          <w:szCs w:val="20"/>
        </w:rPr>
        <w:t>§1926.1085   Surface-supplied air diving.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§1910.425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0" w:anchor="_top" w:history="1">
        <w:r w:rsidR="00D70103">
          <w:rPr>
            <w:rFonts w:ascii="Arial" w:eastAsia="Times New Roman" w:hAnsi="Arial" w:cs="Arial"/>
            <w:noProof/>
            <w:color w:val="0000FF"/>
            <w:sz w:val="17"/>
            <w:szCs w:val="17"/>
          </w:rPr>
          <w:drawing>
            <wp:inline distT="0" distB="0" distL="0" distR="0" wp14:anchorId="296CE81C" wp14:editId="5211361D">
              <wp:extent cx="152400" cy="152400"/>
              <wp:effectExtent l="0" t="0" r="0" b="0"/>
              <wp:docPr id="111" name="Picture 11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3" w:name="se29.8.1926_11086"/>
      <w:bookmarkEnd w:id="73"/>
      <w:r w:rsidRPr="009F74C5">
        <w:rPr>
          <w:rFonts w:ascii="Arial" w:eastAsia="Times New Roman" w:hAnsi="Arial" w:cs="Arial"/>
          <w:b/>
          <w:bCs/>
          <w:sz w:val="20"/>
          <w:szCs w:val="20"/>
        </w:rPr>
        <w:t>§1926.1086   Mixed-gas diving.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§1910.426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1" w:anchor="_top" w:history="1">
        <w:r w:rsidR="00D70103">
          <w:rPr>
            <w:rFonts w:ascii="Arial" w:eastAsia="Times New Roman" w:hAnsi="Arial" w:cs="Arial"/>
            <w:noProof/>
            <w:color w:val="0000FF"/>
            <w:sz w:val="17"/>
            <w:szCs w:val="17"/>
          </w:rPr>
          <w:drawing>
            <wp:inline distT="0" distB="0" distL="0" distR="0" wp14:anchorId="7955DC5C" wp14:editId="6DF3AFDA">
              <wp:extent cx="152400" cy="152400"/>
              <wp:effectExtent l="0" t="0" r="0" b="0"/>
              <wp:docPr id="110" name="Picture 11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4" w:name="se29.8.1926_11087"/>
      <w:bookmarkEnd w:id="74"/>
      <w:r w:rsidRPr="009F74C5">
        <w:rPr>
          <w:rFonts w:ascii="Arial" w:eastAsia="Times New Roman" w:hAnsi="Arial" w:cs="Arial"/>
          <w:b/>
          <w:bCs/>
          <w:sz w:val="20"/>
          <w:szCs w:val="20"/>
        </w:rPr>
        <w:t>§1926.1087   Liveboating.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§1910.427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2" w:anchor="_top" w:history="1">
        <w:r w:rsidR="00D70103">
          <w:rPr>
            <w:rFonts w:ascii="Arial" w:eastAsia="Times New Roman" w:hAnsi="Arial" w:cs="Arial"/>
            <w:noProof/>
            <w:color w:val="0000FF"/>
            <w:sz w:val="17"/>
            <w:szCs w:val="17"/>
          </w:rPr>
          <w:drawing>
            <wp:inline distT="0" distB="0" distL="0" distR="0" wp14:anchorId="38AE36C1" wp14:editId="0E776DFF">
              <wp:extent cx="152400" cy="152400"/>
              <wp:effectExtent l="0" t="0" r="0" b="0"/>
              <wp:docPr id="109" name="Picture 10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75" w:name="sg29.8.1926_11087.sg10"/>
      <w:bookmarkEnd w:id="75"/>
      <w:r w:rsidRPr="009F74C5">
        <w:rPr>
          <w:rFonts w:ascii="Arial" w:eastAsia="Times New Roman" w:hAnsi="Arial" w:cs="Arial"/>
          <w:b/>
          <w:bCs/>
          <w:smallCaps/>
          <w:sz w:val="27"/>
          <w:szCs w:val="27"/>
        </w:rPr>
        <w:t>Equipment Procedures and Requirements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3" w:anchor="_top" w:history="1">
        <w:r w:rsidR="00D70103">
          <w:rPr>
            <w:rFonts w:ascii="Arial" w:eastAsia="Times New Roman" w:hAnsi="Arial" w:cs="Arial"/>
            <w:noProof/>
            <w:color w:val="0000FF"/>
            <w:sz w:val="17"/>
            <w:szCs w:val="17"/>
          </w:rPr>
          <w:drawing>
            <wp:inline distT="0" distB="0" distL="0" distR="0" wp14:anchorId="16C387FC" wp14:editId="664498CC">
              <wp:extent cx="152400" cy="152400"/>
              <wp:effectExtent l="0" t="0" r="0" b="0"/>
              <wp:docPr id="108" name="Picture 10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6" w:name="se29.8.1926_11090"/>
      <w:bookmarkEnd w:id="76"/>
      <w:r w:rsidRPr="009F74C5">
        <w:rPr>
          <w:rFonts w:ascii="Arial" w:eastAsia="Times New Roman" w:hAnsi="Arial" w:cs="Arial"/>
          <w:b/>
          <w:bCs/>
          <w:sz w:val="20"/>
          <w:szCs w:val="20"/>
        </w:rPr>
        <w:t>§1926.1090   Equipment.</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§1910.430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4" w:anchor="_top" w:history="1">
        <w:r w:rsidR="00D70103">
          <w:rPr>
            <w:rFonts w:ascii="Arial" w:eastAsia="Times New Roman" w:hAnsi="Arial" w:cs="Arial"/>
            <w:noProof/>
            <w:color w:val="0000FF"/>
            <w:sz w:val="17"/>
            <w:szCs w:val="17"/>
          </w:rPr>
          <w:drawing>
            <wp:inline distT="0" distB="0" distL="0" distR="0" wp14:anchorId="70A6CA89" wp14:editId="49B4D059">
              <wp:extent cx="152400" cy="152400"/>
              <wp:effectExtent l="0" t="0" r="0" b="0"/>
              <wp:docPr id="107" name="Picture 10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mallCaps/>
          <w:sz w:val="27"/>
          <w:szCs w:val="27"/>
        </w:rPr>
      </w:pPr>
      <w:bookmarkStart w:id="77" w:name="sg29.8.1926_11090.sg11"/>
      <w:bookmarkEnd w:id="77"/>
      <w:r w:rsidRPr="009F74C5">
        <w:rPr>
          <w:rFonts w:ascii="Arial" w:eastAsia="Times New Roman" w:hAnsi="Arial" w:cs="Arial"/>
          <w:b/>
          <w:bCs/>
          <w:smallCaps/>
          <w:sz w:val="27"/>
          <w:szCs w:val="27"/>
        </w:rPr>
        <w:t>Recordkeeping</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5" w:anchor="_top" w:history="1">
        <w:r w:rsidR="00D70103">
          <w:rPr>
            <w:rFonts w:ascii="Arial" w:eastAsia="Times New Roman" w:hAnsi="Arial" w:cs="Arial"/>
            <w:noProof/>
            <w:color w:val="0000FF"/>
            <w:sz w:val="17"/>
            <w:szCs w:val="17"/>
          </w:rPr>
          <w:drawing>
            <wp:inline distT="0" distB="0" distL="0" distR="0" wp14:anchorId="38A9B36F" wp14:editId="61557FA4">
              <wp:extent cx="152400" cy="152400"/>
              <wp:effectExtent l="0" t="0" r="0" b="0"/>
              <wp:docPr id="106" name="Picture 10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8" w:name="se29.8.1926_11091"/>
      <w:bookmarkEnd w:id="78"/>
      <w:r w:rsidRPr="009F74C5">
        <w:rPr>
          <w:rFonts w:ascii="Arial" w:eastAsia="Times New Roman" w:hAnsi="Arial" w:cs="Arial"/>
          <w:b/>
          <w:bCs/>
          <w:sz w:val="20"/>
          <w:szCs w:val="20"/>
        </w:rPr>
        <w:lastRenderedPageBreak/>
        <w:t>§1926.1091   Recordkeeping requirements.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§1910.440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6" w:anchor="_top" w:history="1">
        <w:r w:rsidR="00D70103">
          <w:rPr>
            <w:rFonts w:ascii="Arial" w:eastAsia="Times New Roman" w:hAnsi="Arial" w:cs="Arial"/>
            <w:noProof/>
            <w:color w:val="0000FF"/>
            <w:sz w:val="17"/>
            <w:szCs w:val="17"/>
          </w:rPr>
          <w:drawing>
            <wp:inline distT="0" distB="0" distL="0" distR="0" wp14:anchorId="280E9A02" wp14:editId="533719FD">
              <wp:extent cx="152400" cy="152400"/>
              <wp:effectExtent l="0" t="0" r="0" b="0"/>
              <wp:docPr id="105" name="Picture 10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79" w:name="ap29.8.1926_11091.a"/>
      <w:bookmarkEnd w:id="79"/>
      <w:r w:rsidRPr="009F74C5">
        <w:rPr>
          <w:rFonts w:ascii="Arial" w:eastAsia="Times New Roman" w:hAnsi="Arial" w:cs="Arial"/>
          <w:b/>
          <w:bCs/>
          <w:sz w:val="20"/>
          <w:szCs w:val="20"/>
        </w:rPr>
        <w:t>Appendix A to Subpart Y of Part 1926—Examples of Conditions Which May Restrict or Limit Exposure to Hyperbaric Conditions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A are identical to those set forth at appendix A to Subpart T of part 1910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31432,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7" w:anchor="_top" w:history="1">
        <w:r w:rsidR="00D70103">
          <w:rPr>
            <w:rFonts w:ascii="Arial" w:eastAsia="Times New Roman" w:hAnsi="Arial" w:cs="Arial"/>
            <w:noProof/>
            <w:color w:val="0000FF"/>
            <w:sz w:val="17"/>
            <w:szCs w:val="17"/>
          </w:rPr>
          <w:drawing>
            <wp:inline distT="0" distB="0" distL="0" distR="0" wp14:anchorId="03ECE1E5" wp14:editId="31A2BFA5">
              <wp:extent cx="152400" cy="152400"/>
              <wp:effectExtent l="0" t="0" r="0" b="0"/>
              <wp:docPr id="104" name="Picture 10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0" w:name="ap29.8.1926_11091.b"/>
      <w:bookmarkEnd w:id="80"/>
      <w:r w:rsidRPr="009F74C5">
        <w:rPr>
          <w:rFonts w:ascii="Arial" w:eastAsia="Times New Roman" w:hAnsi="Arial" w:cs="Arial"/>
          <w:b/>
          <w:bCs/>
          <w:sz w:val="20"/>
          <w:szCs w:val="20"/>
        </w:rPr>
        <w:t>Appendix B to Subpart Y of Part 1926—Guidelines for Scientific Diving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B are identical to those set forth at appendix B to subpart T of part 1910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8" w:anchor="_top" w:history="1">
        <w:r w:rsidR="00D70103">
          <w:rPr>
            <w:rFonts w:ascii="Arial" w:eastAsia="Times New Roman" w:hAnsi="Arial" w:cs="Arial"/>
            <w:noProof/>
            <w:color w:val="0000FF"/>
            <w:sz w:val="17"/>
            <w:szCs w:val="17"/>
          </w:rPr>
          <w:drawing>
            <wp:inline distT="0" distB="0" distL="0" distR="0" wp14:anchorId="4B9EF249" wp14:editId="2BC1B017">
              <wp:extent cx="152400" cy="152400"/>
              <wp:effectExtent l="0" t="0" r="0" b="0"/>
              <wp:docPr id="103" name="Picture 10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7"/>
          <w:szCs w:val="27"/>
        </w:rPr>
      </w:pPr>
      <w:bookmarkStart w:id="81" w:name="sp29.8.1926.z"/>
      <w:bookmarkEnd w:id="81"/>
      <w:r w:rsidRPr="009F74C5">
        <w:rPr>
          <w:rFonts w:ascii="Arial" w:eastAsia="Times New Roman" w:hAnsi="Arial" w:cs="Arial"/>
          <w:b/>
          <w:bCs/>
          <w:sz w:val="27"/>
          <w:szCs w:val="27"/>
        </w:rPr>
        <w:t>Subpart Z—Toxic and Hazardous Substances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Section107 of the Contract Work Hours and Safety Standards Act (40 U.S.C. 3704); Sections 4, 6, and 8 of the Occupational Safety and Health Act of 1970 (29 U.S.C. 653, 655, 657); and Secretary of Labor's Order No. 12-71 (36 FR 8754), 8-76 (41 FR 25059), 9-83 (48 FR 35736), 1-90 (55 FR 9033), 6-96 (62 FR 111), 3-2000 (65 FR 50017), 5-2002 (67 FR 65008), 5-2007 (72 FR 31159), 4-2010 (75 FR 55355), or 1-2012 (77 FR 3912) as applicable; and 29 CFR part 1911. </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Section 1926.1102 not issued under 29 U.S.C. 655 or 29 CFR part 1911; also issued under 5 U.S.C. 553.</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79" w:anchor="_top" w:history="1">
        <w:r w:rsidR="00D70103">
          <w:rPr>
            <w:rFonts w:ascii="Arial" w:eastAsia="Times New Roman" w:hAnsi="Arial" w:cs="Arial"/>
            <w:noProof/>
            <w:color w:val="0000FF"/>
            <w:sz w:val="17"/>
            <w:szCs w:val="17"/>
          </w:rPr>
          <w:drawing>
            <wp:inline distT="0" distB="0" distL="0" distR="0" wp14:anchorId="408D2677" wp14:editId="02098158">
              <wp:extent cx="152400" cy="152400"/>
              <wp:effectExtent l="0" t="0" r="0" b="0"/>
              <wp:docPr id="102" name="Picture 10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2" w:name="se29.8.1926_11100"/>
      <w:bookmarkEnd w:id="82"/>
      <w:r w:rsidRPr="009F74C5">
        <w:rPr>
          <w:rFonts w:ascii="Arial" w:eastAsia="Times New Roman" w:hAnsi="Arial" w:cs="Arial"/>
          <w:b/>
          <w:bCs/>
          <w:sz w:val="20"/>
          <w:szCs w:val="20"/>
        </w:rPr>
        <w:t>§1926.1100   [Reserved]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180" w:anchor="_top" w:history="1">
        <w:r w:rsidR="00D70103">
          <w:rPr>
            <w:rFonts w:ascii="Arial" w:eastAsia="Times New Roman" w:hAnsi="Arial" w:cs="Arial"/>
            <w:noProof/>
            <w:color w:val="0000FF"/>
            <w:sz w:val="17"/>
            <w:szCs w:val="17"/>
          </w:rPr>
          <w:drawing>
            <wp:inline distT="0" distB="0" distL="0" distR="0" wp14:anchorId="41B3C5D7" wp14:editId="28B99DC7">
              <wp:extent cx="152400" cy="152400"/>
              <wp:effectExtent l="0" t="0" r="0" b="0"/>
              <wp:docPr id="101" name="Picture 10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3" w:name="se29.8.1926_11101"/>
      <w:bookmarkEnd w:id="83"/>
      <w:r w:rsidRPr="009F74C5">
        <w:rPr>
          <w:rFonts w:ascii="Arial" w:eastAsia="Times New Roman" w:hAnsi="Arial" w:cs="Arial"/>
          <w:b/>
          <w:bCs/>
          <w:sz w:val="20"/>
          <w:szCs w:val="20"/>
        </w:rPr>
        <w:t>§1926.1101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Scope and application.</w:t>
      </w:r>
      <w:r w:rsidRPr="009F74C5">
        <w:rPr>
          <w:rFonts w:ascii="Arial" w:eastAsia="Times New Roman" w:hAnsi="Arial" w:cs="Arial"/>
          <w:sz w:val="20"/>
          <w:szCs w:val="20"/>
        </w:rPr>
        <w:t xml:space="preserve"> This section regulates asbestos exposure in all work as defined in 29 CFR 1910.12(b), including but not limited to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Demolition or salvage of structures where asbestos is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Removal or encapsulation of materials containing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(3) Construction, alteration, repair, maintenance, or renovation of structures, substrates, or portions thereof, that contain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Installation of products containing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Asbestos spill/emergency cleanup;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Transportation, disposal, storage, containment of and housekeeping activities involving asbestos or products containing asbestos, on the site or location at which construction activities are performed.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Coverage under this standard shall be based on the nature of the work operation involving asbestos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This section does not apply to asbestos-containing asphalt roof coatings, cements and mastics.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Definitions.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Aggressive method</w:t>
      </w:r>
      <w:r w:rsidRPr="009F74C5">
        <w:rPr>
          <w:rFonts w:ascii="Arial" w:eastAsia="Times New Roman" w:hAnsi="Arial" w:cs="Arial"/>
          <w:sz w:val="20"/>
          <w:szCs w:val="20"/>
        </w:rPr>
        <w:t xml:space="preserve"> means removal or disturbance of building material by sanding, abrading, grinding or other method that breaks, crumbles, or disintegrates intact 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Amended water</w:t>
      </w:r>
      <w:r w:rsidRPr="009F74C5">
        <w:rPr>
          <w:rFonts w:ascii="Arial" w:eastAsia="Times New Roman" w:hAnsi="Arial" w:cs="Arial"/>
          <w:sz w:val="20"/>
          <w:szCs w:val="20"/>
        </w:rPr>
        <w:t xml:space="preserve"> means water to which surfactant (wetting agent) has been added to increase the ability of the liquid to penetrate 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Asbestos</w:t>
      </w:r>
      <w:r w:rsidRPr="009F74C5">
        <w:rPr>
          <w:rFonts w:ascii="Arial" w:eastAsia="Times New Roman" w:hAnsi="Arial" w:cs="Arial"/>
          <w:sz w:val="20"/>
          <w:szCs w:val="20"/>
        </w:rPr>
        <w:t xml:space="preserve"> includes chrysotile, amosite, crocidolite, tremolite asbestos, anthophyllite asbestos, actinolite asbestos, and any of these minerals that has been chemically treated and/or altered. For purposes of this standard, “asbestos” includes PACM, as defined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Asbestos-containing material (ACM),</w:t>
      </w:r>
      <w:r w:rsidRPr="009F74C5">
        <w:rPr>
          <w:rFonts w:ascii="Arial" w:eastAsia="Times New Roman" w:hAnsi="Arial" w:cs="Arial"/>
          <w:sz w:val="20"/>
          <w:szCs w:val="20"/>
        </w:rPr>
        <w:t xml:space="preserve"> means any material containing more than one percent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Assistant Secretary</w:t>
      </w:r>
      <w:r w:rsidRPr="009F74C5">
        <w:rPr>
          <w:rFonts w:ascii="Arial" w:eastAsia="Times New Roman" w:hAnsi="Arial" w:cs="Arial"/>
          <w:sz w:val="20"/>
          <w:szCs w:val="20"/>
        </w:rPr>
        <w:t xml:space="preserve"> means the Assistant Secretary of Labor for Occupational Safety and Health, U.S. Department of Labor,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Authorized person</w:t>
      </w:r>
      <w:r w:rsidRPr="009F74C5">
        <w:rPr>
          <w:rFonts w:ascii="Arial" w:eastAsia="Times New Roman" w:hAnsi="Arial" w:cs="Arial"/>
          <w:sz w:val="20"/>
          <w:szCs w:val="20"/>
        </w:rPr>
        <w:t xml:space="preserve"> means any person authorized by the employer and required by work duties to be present in regulated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Building/facility owner</w:t>
      </w:r>
      <w:r w:rsidRPr="009F74C5">
        <w:rPr>
          <w:rFonts w:ascii="Arial" w:eastAsia="Times New Roman" w:hAnsi="Arial" w:cs="Arial"/>
          <w:sz w:val="20"/>
          <w:szCs w:val="20"/>
        </w:rPr>
        <w:t xml:space="preserve"> is the legal entity, including a lessee, which exercises control over management and record keeping functions relating to a building and/or facility in which activities covered by this standard take 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Certified Industrial Hygienist</w:t>
      </w:r>
      <w:r w:rsidRPr="009F74C5">
        <w:rPr>
          <w:rFonts w:ascii="Arial" w:eastAsia="Times New Roman" w:hAnsi="Arial" w:cs="Arial"/>
          <w:sz w:val="20"/>
          <w:szCs w:val="20"/>
        </w:rPr>
        <w:t xml:space="preserve"> (CIH) means one certified in the practice of industrial hygiene by the American Board of Industrial Hygiene.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Class I asbestos work</w:t>
      </w:r>
      <w:r w:rsidRPr="009F74C5">
        <w:rPr>
          <w:rFonts w:ascii="Arial" w:eastAsia="Times New Roman" w:hAnsi="Arial" w:cs="Arial"/>
          <w:sz w:val="20"/>
          <w:szCs w:val="20"/>
        </w:rPr>
        <w:t xml:space="preserve"> means activities involving the removal of TSI and surfacing ACM and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Class II asbestos work</w:t>
      </w:r>
      <w:r w:rsidRPr="009F74C5">
        <w:rPr>
          <w:rFonts w:ascii="Arial" w:eastAsia="Times New Roman" w:hAnsi="Arial" w:cs="Arial"/>
          <w:sz w:val="20"/>
          <w:szCs w:val="20"/>
        </w:rPr>
        <w:t xml:space="preserve"> means activities involving the removal of ACM which is not thermal system insulation or surfacing material. This includes, but is not limited to, the removal of asbestos-containing wallboard, floor tile and sheeting, roofing and siding shingles, and construction mastics.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Class III asbestos work</w:t>
      </w:r>
      <w:r w:rsidRPr="009F74C5">
        <w:rPr>
          <w:rFonts w:ascii="Arial" w:eastAsia="Times New Roman" w:hAnsi="Arial" w:cs="Arial"/>
          <w:sz w:val="20"/>
          <w:szCs w:val="20"/>
        </w:rPr>
        <w:t xml:space="preserve"> means repair and maintenance operations, where “ACM”, including TSI and surfacing ACM and PACM, is likely to be disturbed.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Class IV asbestos work</w:t>
      </w:r>
      <w:r w:rsidRPr="009F74C5">
        <w:rPr>
          <w:rFonts w:ascii="Arial" w:eastAsia="Times New Roman" w:hAnsi="Arial" w:cs="Arial"/>
          <w:sz w:val="20"/>
          <w:szCs w:val="20"/>
        </w:rPr>
        <w:t xml:space="preserve"> means maintenance and custodial activities during which employees contact but do not disturb ACM or PACM and activities to clean up dust, waste and debris resulting from Class I, II, and III activities.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Clean room</w:t>
      </w:r>
      <w:r w:rsidRPr="009F74C5">
        <w:rPr>
          <w:rFonts w:ascii="Arial" w:eastAsia="Times New Roman" w:hAnsi="Arial" w:cs="Arial"/>
          <w:sz w:val="20"/>
          <w:szCs w:val="20"/>
        </w:rPr>
        <w:t xml:space="preserve"> means an uncontaminated room having facilities for the storage of employees' street clothing and uncontaminated materials and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Closely resemble</w:t>
      </w:r>
      <w:r w:rsidRPr="009F74C5">
        <w:rPr>
          <w:rFonts w:ascii="Arial" w:eastAsia="Times New Roman" w:hAnsi="Arial" w:cs="Arial"/>
          <w:sz w:val="20"/>
          <w:szCs w:val="20"/>
        </w:rPr>
        <w:t xml:space="preserve"> means that the major workplace conditions which have contributed to the levels of historic asbestos exposure, are no more protective than conditions of the current workplace.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Competent person</w:t>
      </w:r>
      <w:r w:rsidRPr="009F74C5">
        <w:rPr>
          <w:rFonts w:ascii="Arial" w:eastAsia="Times New Roman" w:hAnsi="Arial" w:cs="Arial"/>
          <w:sz w:val="20"/>
          <w:szCs w:val="20"/>
        </w:rPr>
        <w:t xml:space="preserve"> means, in addition to the definition in 29 CFR 1926.32 (f), one who is capable of identifying existing asbestos hazards in the workplace and selecting the appropriate control strategy for asbestos exposure, who has the authority to take prompt corrective measures to eliminate them, as specified in 29 CFR 1926.32(f): in addition, for Class I and Class II work who is specially trained in a training course which meets the criteria of EPA's Model Accreditation Plan (40 CFR part 763) for supervisor, or its equivalent and, for Class III and Class IV work, who is trained in a manner consistent with EPA requirements for training of local education agency maintenance and custodial staff as set forth at 40 CFR 763.92 (a)(2).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Critical barrier</w:t>
      </w:r>
      <w:r w:rsidRPr="009F74C5">
        <w:rPr>
          <w:rFonts w:ascii="Arial" w:eastAsia="Times New Roman" w:hAnsi="Arial" w:cs="Arial"/>
          <w:sz w:val="20"/>
          <w:szCs w:val="20"/>
        </w:rPr>
        <w:t xml:space="preserve"> means one or more layers of plastic sealed over all openings into a work area or any other similarly placed physical barrier sufficient to prevent airborne asbestos in a work area from migrating to an adjacent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Decontamination area</w:t>
      </w:r>
      <w:r w:rsidRPr="009F74C5">
        <w:rPr>
          <w:rFonts w:ascii="Arial" w:eastAsia="Times New Roman" w:hAnsi="Arial" w:cs="Arial"/>
          <w:sz w:val="20"/>
          <w:szCs w:val="20"/>
        </w:rPr>
        <w:t xml:space="preserve"> means an enclosed area adjacent and connected to the regulated area and consisting of an equipment room, shower area, and clean room, which is used for the decontamination of workers, materials, and equipment that are contaminated with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Demolition</w:t>
      </w:r>
      <w:r w:rsidRPr="009F74C5">
        <w:rPr>
          <w:rFonts w:ascii="Arial" w:eastAsia="Times New Roman" w:hAnsi="Arial" w:cs="Arial"/>
          <w:sz w:val="20"/>
          <w:szCs w:val="20"/>
        </w:rPr>
        <w:t xml:space="preserve"> means the wrecking or taking out of any load-supporting structural member and any related razing, removing, or stripping of asbestos products.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Director</w:t>
      </w:r>
      <w:r w:rsidRPr="009F74C5">
        <w:rPr>
          <w:rFonts w:ascii="Arial" w:eastAsia="Times New Roman" w:hAnsi="Arial" w:cs="Arial"/>
          <w:sz w:val="20"/>
          <w:szCs w:val="20"/>
        </w:rPr>
        <w:t xml:space="preserve"> means the Director, National Institute for Occupational Safety and Health, U.S. Department of Health and Human Services,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Disturbance</w:t>
      </w:r>
      <w:r w:rsidRPr="009F74C5">
        <w:rPr>
          <w:rFonts w:ascii="Arial" w:eastAsia="Times New Roman" w:hAnsi="Arial" w:cs="Arial"/>
          <w:sz w:val="20"/>
          <w:szCs w:val="20"/>
        </w:rPr>
        <w:t xml:space="preserve"> means activities that disrupt the matrix of ACM or PACM, crumble or pulverize ACM or PACM, or generate visible debris from ACM or PACM. In no event shall the amount of ACM or PACM so disturbed exceed that which can be contained in one glove bag or waste bag which shall not exceed 60 inches in length and width.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Employee exposure</w:t>
      </w:r>
      <w:r w:rsidRPr="009F74C5">
        <w:rPr>
          <w:rFonts w:ascii="Arial" w:eastAsia="Times New Roman" w:hAnsi="Arial" w:cs="Arial"/>
          <w:sz w:val="20"/>
          <w:szCs w:val="20"/>
        </w:rPr>
        <w:t xml:space="preserve"> means that exposure to airborne asbestos that would occur if the employee were not using respiratory protective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Equipment room</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change room</w:t>
      </w:r>
      <w:r w:rsidRPr="009F74C5">
        <w:rPr>
          <w:rFonts w:ascii="Arial" w:eastAsia="Times New Roman" w:hAnsi="Arial" w:cs="Arial"/>
          <w:sz w:val="20"/>
          <w:szCs w:val="20"/>
        </w:rPr>
        <w:t>) means a contaminated room located within the decontamination area that is supplied with impermeable bags or containers for the disposal of contaminated protective clothing and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Fiber</w:t>
      </w:r>
      <w:r w:rsidRPr="009F74C5">
        <w:rPr>
          <w:rFonts w:ascii="Arial" w:eastAsia="Times New Roman" w:hAnsi="Arial" w:cs="Arial"/>
          <w:sz w:val="20"/>
          <w:szCs w:val="20"/>
        </w:rPr>
        <w:t xml:space="preserve"> means a particulate form of asbestos, 5 micrometers or longer, with a length-to-diameter ratio of at least 3 to 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Glovebag</w:t>
      </w:r>
      <w:r w:rsidRPr="009F74C5">
        <w:rPr>
          <w:rFonts w:ascii="Arial" w:eastAsia="Times New Roman" w:hAnsi="Arial" w:cs="Arial"/>
          <w:sz w:val="20"/>
          <w:szCs w:val="20"/>
        </w:rPr>
        <w:t xml:space="preserve"> means not more than a 60×60 inch impervious plastic bag-like enclosure affixed around an asbestos-containing material, with glove-like appendages through which material and tools may be handled.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High-efficiency particulate air (HEPA) filter</w:t>
      </w:r>
      <w:r w:rsidRPr="009F74C5">
        <w:rPr>
          <w:rFonts w:ascii="Arial" w:eastAsia="Times New Roman" w:hAnsi="Arial" w:cs="Arial"/>
          <w:sz w:val="20"/>
          <w:szCs w:val="20"/>
        </w:rPr>
        <w:t xml:space="preserve"> means a filter capable of trapping and retaining at least 99.97 percent of all mono-dispersed particles of 0.3 micrometers in diameter.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Homogeneous area</w:t>
      </w:r>
      <w:r w:rsidRPr="009F74C5">
        <w:rPr>
          <w:rFonts w:ascii="Arial" w:eastAsia="Times New Roman" w:hAnsi="Arial" w:cs="Arial"/>
          <w:sz w:val="20"/>
          <w:szCs w:val="20"/>
        </w:rPr>
        <w:t xml:space="preserve"> means an area of surfacing material or thermal system insulation that is uniform in color and texture.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Industrial hygienist</w:t>
      </w:r>
      <w:r w:rsidRPr="009F74C5">
        <w:rPr>
          <w:rFonts w:ascii="Arial" w:eastAsia="Times New Roman" w:hAnsi="Arial" w:cs="Arial"/>
          <w:sz w:val="20"/>
          <w:szCs w:val="20"/>
        </w:rPr>
        <w:t xml:space="preserve"> means a professional qualified by education, training, and experience to anticipate, recognize, evaluate and develop controls for occupational health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Intact</w:t>
      </w:r>
      <w:r w:rsidRPr="009F74C5">
        <w:rPr>
          <w:rFonts w:ascii="Arial" w:eastAsia="Times New Roman" w:hAnsi="Arial" w:cs="Arial"/>
          <w:sz w:val="20"/>
          <w:szCs w:val="20"/>
        </w:rPr>
        <w:t xml:space="preserve"> means that the ACM has not crumbled, been pulverized, or otherwise deteriorated so that the asbestos is no longer likely to be bound with its matrix.</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Modification</w:t>
      </w:r>
      <w:r w:rsidRPr="009F74C5">
        <w:rPr>
          <w:rFonts w:ascii="Arial" w:eastAsia="Times New Roman" w:hAnsi="Arial" w:cs="Arial"/>
          <w:sz w:val="20"/>
          <w:szCs w:val="20"/>
        </w:rPr>
        <w:t xml:space="preserve"> for purposes of paragraph (g)(6)(ii), means a changed or altered procedure, material or component of a control system, which replaces a procedure, material or component of a required system. Omitting a procedure or component, or reducing or diminishing the stringency or strength of a material or component of the control system is not a “modification” for purposes of paragraph (g)(6)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Negative Initial Exposure Assessment</w:t>
      </w:r>
      <w:r w:rsidRPr="009F74C5">
        <w:rPr>
          <w:rFonts w:ascii="Arial" w:eastAsia="Times New Roman" w:hAnsi="Arial" w:cs="Arial"/>
          <w:sz w:val="20"/>
          <w:szCs w:val="20"/>
        </w:rPr>
        <w:t xml:space="preserve"> means a demonstration by the employer, which complies with the criteria in paragraph (f)(2)(iii) of this section, that employee exposure during an operation is expected to be consistently below the PELs.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PACM</w:t>
      </w:r>
      <w:r w:rsidRPr="009F74C5">
        <w:rPr>
          <w:rFonts w:ascii="Arial" w:eastAsia="Times New Roman" w:hAnsi="Arial" w:cs="Arial"/>
          <w:sz w:val="20"/>
          <w:szCs w:val="20"/>
        </w:rPr>
        <w:t xml:space="preserve"> means “presumed asbestos containing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Presumed Asbestos Containing Material</w:t>
      </w:r>
      <w:r w:rsidRPr="009F74C5">
        <w:rPr>
          <w:rFonts w:ascii="Arial" w:eastAsia="Times New Roman" w:hAnsi="Arial" w:cs="Arial"/>
          <w:sz w:val="20"/>
          <w:szCs w:val="20"/>
        </w:rPr>
        <w:t xml:space="preserve"> means thermal system insulation and surfacing material found in buildings constructed no later than 1980. The designation of a material as “PACM” may be rebutted pursuant to paragraph (k)(5)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Project Designer</w:t>
      </w:r>
      <w:r w:rsidRPr="009F74C5">
        <w:rPr>
          <w:rFonts w:ascii="Arial" w:eastAsia="Times New Roman" w:hAnsi="Arial" w:cs="Arial"/>
          <w:sz w:val="20"/>
          <w:szCs w:val="20"/>
        </w:rPr>
        <w:t xml:space="preserve"> means a person who has successfully completed the training requirements for an abatement project designer established by 40 U.S.C. 763.90(g).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Regulated area</w:t>
      </w:r>
      <w:r w:rsidRPr="009F74C5">
        <w:rPr>
          <w:rFonts w:ascii="Arial" w:eastAsia="Times New Roman" w:hAnsi="Arial" w:cs="Arial"/>
          <w:sz w:val="20"/>
          <w:szCs w:val="20"/>
        </w:rPr>
        <w:t xml:space="preserve"> means: an area established by the employer to demarcate areas where Class I, II, and III asbestos work is conducted, and any adjoining area where debris and waste from such asbestos work accumulate; and a work area within which airborne concentrations of asbestos, exceed or there is a reasonable possibility they may exceed the permissible exposure limit. Requirements for regulated areas are set out in paragraph (e)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Removal</w:t>
      </w:r>
      <w:r w:rsidRPr="009F74C5">
        <w:rPr>
          <w:rFonts w:ascii="Arial" w:eastAsia="Times New Roman" w:hAnsi="Arial" w:cs="Arial"/>
          <w:sz w:val="20"/>
          <w:szCs w:val="20"/>
        </w:rPr>
        <w:t xml:space="preserve"> means all operations where ACM and/or PACM is taken out or stripped from structures or substrates, and includes demolition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Renovation</w:t>
      </w:r>
      <w:r w:rsidRPr="009F74C5">
        <w:rPr>
          <w:rFonts w:ascii="Arial" w:eastAsia="Times New Roman" w:hAnsi="Arial" w:cs="Arial"/>
          <w:sz w:val="20"/>
          <w:szCs w:val="20"/>
        </w:rPr>
        <w:t xml:space="preserve"> means the modifying of any existing structure, or portion thereof.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Repair</w:t>
      </w:r>
      <w:r w:rsidRPr="009F74C5">
        <w:rPr>
          <w:rFonts w:ascii="Arial" w:eastAsia="Times New Roman" w:hAnsi="Arial" w:cs="Arial"/>
          <w:sz w:val="20"/>
          <w:szCs w:val="20"/>
        </w:rPr>
        <w:t xml:space="preserve"> means overhauling, rebuilding, reconstructing, or reconditioning of structures or substrates, including encapsulation or other repair of ACM or PACM attached to structures or substrates.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Surfacing material</w:t>
      </w:r>
      <w:r w:rsidRPr="009F74C5">
        <w:rPr>
          <w:rFonts w:ascii="Arial" w:eastAsia="Times New Roman" w:hAnsi="Arial" w:cs="Arial"/>
          <w:sz w:val="20"/>
          <w:szCs w:val="20"/>
        </w:rPr>
        <w:t xml:space="preserve"> means material that is sprayed, troweled-on or otherwise applied to surfaces (such as acoustical plaster on ceilings and fireproofing materials on structural members, or other materials on surfaces for acoustical, fireproofing, and other purposes).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Surfacing ACM</w:t>
      </w:r>
      <w:r w:rsidRPr="009F74C5">
        <w:rPr>
          <w:rFonts w:ascii="Arial" w:eastAsia="Times New Roman" w:hAnsi="Arial" w:cs="Arial"/>
          <w:sz w:val="20"/>
          <w:szCs w:val="20"/>
        </w:rPr>
        <w:t xml:space="preserve"> means surfacing material which contains more than 1%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Thermal system insulation (TSI)</w:t>
      </w:r>
      <w:r w:rsidRPr="009F74C5">
        <w:rPr>
          <w:rFonts w:ascii="Arial" w:eastAsia="Times New Roman" w:hAnsi="Arial" w:cs="Arial"/>
          <w:sz w:val="20"/>
          <w:szCs w:val="20"/>
        </w:rPr>
        <w:t xml:space="preserve"> means ACM applied to pipes, fittings, boilers, breeching, tanks, ducts or other structural components to prevent heat loss or gain.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Thermal system insulation ACM</w:t>
      </w:r>
      <w:r w:rsidRPr="009F74C5">
        <w:rPr>
          <w:rFonts w:ascii="Arial" w:eastAsia="Times New Roman" w:hAnsi="Arial" w:cs="Arial"/>
          <w:sz w:val="20"/>
          <w:szCs w:val="20"/>
        </w:rPr>
        <w:t xml:space="preserve"> is thermal system insulation which contains more than 1%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Permissible exposure limits (PELS)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Time-weighted average limit (TWA).</w:t>
      </w:r>
      <w:r w:rsidRPr="009F74C5">
        <w:rPr>
          <w:rFonts w:ascii="Arial" w:eastAsia="Times New Roman" w:hAnsi="Arial" w:cs="Arial"/>
          <w:sz w:val="20"/>
          <w:szCs w:val="20"/>
        </w:rPr>
        <w:t xml:space="preserve"> The employer shall ensure that no employee is exposed to an airborne concentration of asbestos in excess of 0.1 fiber per cubic centimeter of air as an eight (8) hour time-weighted average (TWA), as determined by the method prescribed in appendix A to this section, or by an equivalent method.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Excursion limit.</w:t>
      </w:r>
      <w:r w:rsidRPr="009F74C5">
        <w:rPr>
          <w:rFonts w:ascii="Arial" w:eastAsia="Times New Roman" w:hAnsi="Arial" w:cs="Arial"/>
          <w:sz w:val="20"/>
          <w:szCs w:val="20"/>
        </w:rPr>
        <w:t xml:space="preserve"> The employer shall ensure that no employee is exposed to an airborne concentration of asbestos in excess of 1.0 fiber per cubic centimeter of air (1 f/cc) as averaged over a sampling period of thirty (30) minutes, as determined by the method prescribed in appendix A to this section, or by an equivalent method.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Multi-employer worksites.</w:t>
      </w:r>
      <w:r w:rsidRPr="009F74C5">
        <w:rPr>
          <w:rFonts w:ascii="Arial" w:eastAsia="Times New Roman" w:hAnsi="Arial" w:cs="Arial"/>
          <w:sz w:val="20"/>
          <w:szCs w:val="20"/>
        </w:rPr>
        <w:t xml:space="preserve"> (1) On multi-employer worksites, an employer performing work requiring the establishment of a regulated area shall inform other employers on the site of the nature of the employer's work with asbestos and/or PACM, of the existence of and requirements pertaining to regulated areas, and the measures taken to ensure that employees of such other employers are not exposed to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Asbestos hazards at a multi-employer work site shall be abated by the contractor who created or controls the source of asbestos contamination. For example, if there is a significant breach of an enclosure containing Class I work, the employer responsible for erecting the enclosure shall repair the breach immediately.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In addition, all employers of employees exposed to asbestos hazards shall comply with applicable protective provisions to protect their employees. For example, if employees working immediately adjacent to a Class I asbestos job are exposed to asbestos due to the inadequate containment of such job, their employer shall either remove the employees from the area until the enclosure breach is repaired; or perform an initial exposure assessment pursuant to (f)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All employers of employees working adjacent to regulated areas established by another employer on a multi-employer work-site, shall take steps on a daily basis to ascertain the integrity of the enclosure and/or the effectiveness of the control method relied on by the primary asbestos contractor to assure that asbestos fibers do not migrate to such adjacent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All general contractors on a construction project which includes work covered by this standard shall be deemed to exercise general supervisory authority over the work covered by this standard, even though the general contractor is not qualified to serve as the asbestos “competent person” as defined by paragraph (b) of this section. As supervisor of the entire project, the general contractor shall ascertain whether the asbestos contractor is in compliance with this standard, and shall require such contractor to come into compliance with this standard when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Regulated areas.</w:t>
      </w:r>
      <w:r w:rsidRPr="009F74C5">
        <w:rPr>
          <w:rFonts w:ascii="Arial" w:eastAsia="Times New Roman" w:hAnsi="Arial" w:cs="Arial"/>
          <w:sz w:val="20"/>
          <w:szCs w:val="20"/>
        </w:rPr>
        <w:t xml:space="preserve"> (1) All Class I, II and III asbestos work shall be conducted within regulated areas. All other operations covered by this standard shall be conducted within a regulated area where airborne concentrations of asbestos exceed, or there is a reasonable possibility they may exceed a PEL. Regulated areas shall comply with the requirements of paragraphs (2), (3),(4) and (5)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Demarcation.</w:t>
      </w:r>
      <w:r w:rsidRPr="009F74C5">
        <w:rPr>
          <w:rFonts w:ascii="Arial" w:eastAsia="Times New Roman" w:hAnsi="Arial" w:cs="Arial"/>
          <w:sz w:val="20"/>
          <w:szCs w:val="20"/>
        </w:rPr>
        <w:t xml:space="preserve"> The regulated area shall be demarcated in any manner that minimizes the number of persons within the area and protects persons outside the area from exposure to airborne asbestos. Where critical barriers or negative pressure enclosures are used, they may demarcate the regulated area. Signs shall be provided and displayed pursuant to the requirements of paragraph (k)(7)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Access.</w:t>
      </w:r>
      <w:r w:rsidRPr="009F74C5">
        <w:rPr>
          <w:rFonts w:ascii="Arial" w:eastAsia="Times New Roman" w:hAnsi="Arial" w:cs="Arial"/>
          <w:sz w:val="20"/>
          <w:szCs w:val="20"/>
        </w:rPr>
        <w:t xml:space="preserve"> Access to regulated areas shall be limited to authorized persons and to persons authorized by the Act or regulations issued pursuant thereto.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Respirators.</w:t>
      </w:r>
      <w:r w:rsidRPr="009F74C5">
        <w:rPr>
          <w:rFonts w:ascii="Arial" w:eastAsia="Times New Roman" w:hAnsi="Arial" w:cs="Arial"/>
          <w:sz w:val="20"/>
          <w:szCs w:val="20"/>
        </w:rPr>
        <w:t xml:space="preserve"> All persons entering a regulated area where employees are required pursuant to paragraph (h)(1) of this section to wear respirators shall be supplied with a respirator selected in accordance with paragraph (h)(2)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Prohibited activities.</w:t>
      </w:r>
      <w:r w:rsidRPr="009F74C5">
        <w:rPr>
          <w:rFonts w:ascii="Arial" w:eastAsia="Times New Roman" w:hAnsi="Arial" w:cs="Arial"/>
          <w:sz w:val="20"/>
          <w:szCs w:val="20"/>
        </w:rPr>
        <w:t xml:space="preserve"> The employer shall ensure that employees do not eat, drink, smoke, chew tobacco or gum, or apply cosmetics in the regulated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Competent Persons.</w:t>
      </w:r>
      <w:r w:rsidRPr="009F74C5">
        <w:rPr>
          <w:rFonts w:ascii="Arial" w:eastAsia="Times New Roman" w:hAnsi="Arial" w:cs="Arial"/>
          <w:sz w:val="20"/>
          <w:szCs w:val="20"/>
        </w:rPr>
        <w:t xml:space="preserve"> The employer shall ensure that all asbestos work performed within regulated areas is supervised by a competent person, as defined in paragraph (b) of this section. The duties of the competent person are set out in paragraph (o)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Exposure assessments and monitoring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 monitoring criteria.</w:t>
      </w:r>
      <w:r w:rsidRPr="009F74C5">
        <w:rPr>
          <w:rFonts w:ascii="Arial" w:eastAsia="Times New Roman" w:hAnsi="Arial" w:cs="Arial"/>
          <w:sz w:val="20"/>
          <w:szCs w:val="20"/>
        </w:rPr>
        <w:t xml:space="preserve"> (i) Each employer who has a workplace or work operation where exposure monitoring is required under this section shall perform monitoring to determine accurately the airborne concentrations of asbestos to which employees may be exposed.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Determinations of employee exposure shall be made from breathing zone air samples that are representative of the 8-hour TWA and 30-minute short-term exposures of each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Representative 8-hour TWA employee exposure shall be determined on the basis of one or more samples representing full-shift exposure for employees in each work area. Representative 30-minute short-term employee exposures shall be determined on the basis of one or more samples representing 30 minute exposures associated with operations that are most likely to produce exposures above the excursion limit for employees in each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Initial Exposure Assessment.</w:t>
      </w:r>
      <w:r w:rsidRPr="009F74C5">
        <w:rPr>
          <w:rFonts w:ascii="Arial" w:eastAsia="Times New Roman" w:hAnsi="Arial" w:cs="Arial"/>
          <w:sz w:val="20"/>
          <w:szCs w:val="20"/>
        </w:rPr>
        <w:t xml:space="preserve"> (i) Each employer who has a workplace or work operation covered by this standard shall ensure that a “competent person” conducts an exposure assessment immediately before or at the initiation of the operation to ascertain expected exposures during that operation or workplace. The assessment must be completed in time to comply with requirements which are triggered by exposure data or the lack of a “negative exposure assessment,” and to provide information necessary to assure that all control systems planned are appropriate for that operation and will work properly.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Basis of Initial Exposure Assessment: Unless a negative exposure assessment has been made pursuant to paragraph (f)(2)(iii) of this section, the initial exposure assessment shall, if feasible, be based on monitoring conducted pursuant to paragraph (f)(1)(iii) of this section. The assessment shall take into consideration both the monitoring results and all observations, information or calculations which indicate employee exposure to asbestos, including any previous monitoring conducted in the workplace, or of the operations of the employer which indicate the levels of airborne asbestos likely to be encountered on the job. For Class I asbestos work, until the employer conducts exposure monitoring and documents that employees on that job will not be exposed in excess of the PELs, or otherwise makes a negative exposure assessment pursuant to paragraph (f)(2)(iii) of this section, the employer shall presume that employees are exposed in excess of the TWA and excursion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Negative Exposure Assessment: For any one specific asbestos job which will be performed by employees who have been trained in compliance with the standard, the employer may demonstrate that employee exposures will be below the PELs by data which conform to the following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Objective data demonstrating that the product or material containing asbestos minerals or the activity involving such product or material cannot release airborne fibers in concentrations exceeding the TWA and excursion limit under those work conditions having the greatest potential for releasing asbestos;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Where the employer has monitored prior asbestos jobs for the PEL and the excursion limit within 12 months of the current or projected job, the monitoring and analysis were performed in compliance with </w:t>
      </w:r>
      <w:r w:rsidRPr="009F74C5">
        <w:rPr>
          <w:rFonts w:ascii="Arial" w:eastAsia="Times New Roman" w:hAnsi="Arial" w:cs="Arial"/>
          <w:sz w:val="20"/>
          <w:szCs w:val="20"/>
        </w:rPr>
        <w:lastRenderedPageBreak/>
        <w:t>the asbestos standard in effect; and the data were obtained during work operations conducted under workplace conditions “closely resembling” the processes, type of material, control methods, work practices, and environmental conditions used and prevailing in the employer's current operations, the operations were conducted by employees whose training and experience are no more extensive than that of employees performing the current job, and these data show that under the conditions prevailing and which will prevail in the current workplace there is a high degree of certainty that employee exposures will not exceed the TWA and excursion limit;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results of initial exposure monitoring of the current job made from breathing zone air samples that are representative of the 8-hour TWA and 30-minute short-term exposures of each employee covering operations which are most likely during the performance of the entire asbestos job to result in exposures over the PELs.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Periodic monitoring</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Class I and II operations.</w:t>
      </w:r>
      <w:r w:rsidRPr="009F74C5">
        <w:rPr>
          <w:rFonts w:ascii="Arial" w:eastAsia="Times New Roman" w:hAnsi="Arial" w:cs="Arial"/>
          <w:sz w:val="20"/>
          <w:szCs w:val="20"/>
        </w:rPr>
        <w:t xml:space="preserve"> The employer shall conduct daily monitoring that is representative of the exposure of each employee who is assigned to work within a regulated area who is performing Class I or II work, unless the employer pursuant to (f)(2)(iii) of this section, has made a negative exposure assessment for the entire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All operations under the standard other than Class I and II operations. The employer shall conduct periodic monitoring of all work where exposures are expected to exceed a PEL, at intervals sufficient to document the validity of the exposure prediction.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Exception: When all employees required to be monitored daily are equipped with supplied-air respirators operated in the pressure demand mode, or other positive pressure mode respirator, the employer may dispense with the daily monitoring required by this paragraph. However, employees performing Class I work using a control method which is not listed in paragraph (g)(4) (i), (ii), or (iii) of this section or using a modification of a listed control method, shall continue to be monitored daily even if they are equipped with supplied-air respirators.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Termination of monitoring.</w:t>
      </w:r>
      <w:r w:rsidRPr="009F74C5">
        <w:rPr>
          <w:rFonts w:ascii="Arial" w:eastAsia="Times New Roman" w:hAnsi="Arial" w:cs="Arial"/>
          <w:sz w:val="20"/>
          <w:szCs w:val="20"/>
        </w:rPr>
        <w:t xml:space="preserve"> (i) If the periodic monitoring required by paragraph (f)(3) of this section reveals that employee exposures, as indicated by statistically reliable measurements, are below the permissible exposure limit and excursion limit the employer may discontinue monitoring for those employees whose exposures are represented by such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Additional monitoring. Notwithstanding the provisions of paragraph (f) (2) and (3), and (f)(4) of this section, the employer shall institute the exposure monitoring required under paragraph (f)(3) of this section whenever there has been a change in process, control equipment, personnel or work practices that may result in new or additional exposures above the permissible exposure limit and/or excursion limit or when the employer has any reason to suspect that a change may result in new or additional exposures above the permissible exposure limit and/or excursion limit. Such additional monitoring is required regardless of whether a “negative exposure assessment” was previously produced for a specific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Employee notification of monitoring results.</w:t>
      </w:r>
      <w:r w:rsidRPr="009F74C5">
        <w:rPr>
          <w:rFonts w:ascii="Arial" w:eastAsia="Times New Roman" w:hAnsi="Arial" w:cs="Arial"/>
          <w:sz w:val="20"/>
          <w:szCs w:val="20"/>
        </w:rPr>
        <w:t xml:space="preserve">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Observation of monitoring.</w:t>
      </w:r>
      <w:r w:rsidRPr="009F74C5">
        <w:rPr>
          <w:rFonts w:ascii="Arial" w:eastAsia="Times New Roman" w:hAnsi="Arial" w:cs="Arial"/>
          <w:sz w:val="20"/>
          <w:szCs w:val="20"/>
        </w:rPr>
        <w:t xml:space="preserve"> (i) The employer shall provide affected employees and their designated representatives an opportunity to observe any monitoring of employee exposure to asbestos conducted in accordance with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When observation of the monitoring of employee exposure to asbestos requires entry into an area where the use of protective clothing or equipment is required, the observer shall be provided with </w:t>
      </w:r>
      <w:r w:rsidRPr="009F74C5">
        <w:rPr>
          <w:rFonts w:ascii="Arial" w:eastAsia="Times New Roman" w:hAnsi="Arial" w:cs="Arial"/>
          <w:sz w:val="20"/>
          <w:szCs w:val="20"/>
        </w:rPr>
        <w:lastRenderedPageBreak/>
        <w:t>and be required to use such clothing and equipment and shall comply with all other applicable safety and health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Methods of compliance.</w:t>
      </w:r>
      <w:r w:rsidRPr="009F74C5">
        <w:rPr>
          <w:rFonts w:ascii="Arial" w:eastAsia="Times New Roman" w:hAnsi="Arial" w:cs="Arial"/>
          <w:sz w:val="20"/>
          <w:szCs w:val="20"/>
        </w:rPr>
        <w:t xml:space="preserve"> (1) Engineering controls and work practices for all operations covered by this section. The employer shall use the following engineering controls and work practices in all operations covered by this section, regardless of the levels of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Vacuum cleaners equipped with HEPA filters to collect all debris and dust containing ACM and PACM, except as provided in paragraph (g)(8)(ii) of this section in the case of roofing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Wet methods, or wetting agents, to control employee exposures during asbestos handling, mixing, removal, cutting, application, and cleanup, except where employers demonstrate that the use of wet methods is infeasible due to for example, the creation of electrical hazards, equipment malfunction, and, in roofing, except as provided in paragraph (g)(8)(ii) of this section;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Prompt clean-up and disposal of wastes and debris contaminated with asbestos in leak-tight containers except in roofing operations, where the procedures specified in paragraph (g)(8)(ii)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 addition to the requirements of paragraph (g)(1) of this section, the employer shall use the following control methods to achieve compliance with the TWA permissible exposure limit and excursion limit prescribed by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Local exhaust ventilation equipped with HEPA filter dust collection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Enclosure or isolation of processes producing asbestos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Ventilation of the regulated area to move contaminated air away from the breathing zone of employees and toward a filtration or collection device equipped with a HEPA filter;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Use of other work practices and engineering controls that the Assistant Secretary can show to be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Wherever the feasible engineering and work practice controls described above are not sufficient to reduce employee exposure to or below the permissible exposure limit and/or excursion limit prescribed in paragraph (c) of this section, the employer shall use them to reduce employee exposure to the lowest levels attainable by these controls and shall supplement them by the use of respiratory protection that complies with the requirements of paragraph (h)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Prohibitions.</w:t>
      </w:r>
      <w:r w:rsidRPr="009F74C5">
        <w:rPr>
          <w:rFonts w:ascii="Arial" w:eastAsia="Times New Roman" w:hAnsi="Arial" w:cs="Arial"/>
          <w:sz w:val="20"/>
          <w:szCs w:val="20"/>
        </w:rPr>
        <w:t xml:space="preserve"> The following work practices and engineering controls shall not be used for work related to asbestos or for work which disturbs ACM or PACM, regardless of measured levels of asbestos exposure or the results of initial exposure assessments: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High-speed abrasive disc saws that are not equipped with point of cut ventilator or enclosures with HEPA filtered exhaust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Compressed air used to remove asbestos, or materials containing asbestos, unless the compressed air is used in conjunction with an enclosed ventilation system designed to capture the dust cloud created by the compressed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Dry sweeping, shoveling or other dry clean-up of dust and debris containing ACM and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Employee rotation as a means of reducing employee exposure to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Class I Requirements.</w:t>
      </w:r>
      <w:r w:rsidRPr="009F74C5">
        <w:rPr>
          <w:rFonts w:ascii="Arial" w:eastAsia="Times New Roman" w:hAnsi="Arial" w:cs="Arial"/>
          <w:sz w:val="20"/>
          <w:szCs w:val="20"/>
        </w:rPr>
        <w:t xml:space="preserve"> In addition to the provisions of paragraphs (g) (1) and (2) of this section, the following engineering controls and work practices and procedures shall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All Class I work, including the installation and operation of the control system shall be supervised by a competent person as defined in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all Class I jobs involving the removal of more than 25 linear or 10 square feet of thermal system insulation or surfacing material; for all other Class I jobs, where the employer cannot produce a negative exposure assessment pursuant to paragraph (f)(2)(iii) of this section, or where employees are working in areas adjacent to the regulated area, while the Class I work is being performed, the employer shall use one of the following methods to ensure that airborne asbestos does not migrate from the regulated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Critical barriers shall be placed over all the openings to the regulated area, except where activities are performed outdoors;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employer shall use another barrier or isolation method which prevents the migration of airborne asbestos from the regulated area, as verified by perimeter area surveillance during each work shift at each boundary of the regulated area, showing no visible asbestos dust; and perimeter area monitoring showing that clearance levels contained in 40 CFR part 763, subpt. E, of the EPA Asbestos in Schools Rule are met, or that perimeter area levels, measured by Phase Contrast Microscopy (PCM) are no more than background levels representing the same area before the asbestos work began. The results of such monitoring shall be made known to the employer no later than 24 hours from the end of the work shift represented by such monitoring. Exception: For work completed outdoors where employees are not working in areas adjacent to the regulated areas, this paragraph (g)(4)(ii) is satisfied when the specific control methods in paragraph (g)(5) of this section are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all Class I jobs, HVAC systems shall be isolated in the regulated area by sealing with a double layer of 6 mil plastic or the equivalent;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For all Class I jobs, impermeable dropcloths shall be placed on surfaces beneath all removal activity;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For all Class I jobs, all objects within the regulated area shall be covered with impermeable dropcloths or plastic sheeting which is secured by duct tape or an equivalent.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For all Class I jobs where the employer cannot produce a negative exposure assessment, or where exposure monitoring shows that a PEL is exceeded, the employer shall ventilate the regulated area to move contaminated air away from the breathing zone of employees toward a HEPA filtration or collection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Specific control methods for Class I work.</w:t>
      </w:r>
      <w:r w:rsidRPr="009F74C5">
        <w:rPr>
          <w:rFonts w:ascii="Arial" w:eastAsia="Times New Roman" w:hAnsi="Arial" w:cs="Arial"/>
          <w:sz w:val="20"/>
          <w:szCs w:val="20"/>
        </w:rPr>
        <w:t xml:space="preserve"> In addition, Class I asbestos work shall be performed using one or more of the following control methods pursuant to the limitations stated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Negative Pressure Enclosure (NPE) systems: NPE systems may be used where the configuration of the work area does not make the erection of the enclosure infeasible, with the following specifications and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The negative pressure enclosure (NPE) may be of any configuration,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At least 4 air changes per hour shall be maintained in the NPE,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w:t>
      </w:r>
      <w:r w:rsidRPr="009F74C5">
        <w:rPr>
          <w:rFonts w:ascii="Arial" w:eastAsia="Times New Roman" w:hAnsi="Arial" w:cs="Arial"/>
          <w:i/>
          <w:iCs/>
          <w:sz w:val="20"/>
          <w:szCs w:val="20"/>
        </w:rPr>
        <w:t>3</w:t>
      </w:r>
      <w:r w:rsidRPr="009F74C5">
        <w:rPr>
          <w:rFonts w:ascii="Arial" w:eastAsia="Times New Roman" w:hAnsi="Arial" w:cs="Arial"/>
          <w:sz w:val="20"/>
          <w:szCs w:val="20"/>
        </w:rPr>
        <w:t>) A minimum of −0.02 column inches of water pressure differential, relative to outside pressure, shall be maintained within the NPE as evidenced by manometric measurements,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The NPE shall be kept under negative pressure throughout the period of its use,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5</w:t>
      </w:r>
      <w:r w:rsidRPr="009F74C5">
        <w:rPr>
          <w:rFonts w:ascii="Arial" w:eastAsia="Times New Roman" w:hAnsi="Arial" w:cs="Arial"/>
          <w:sz w:val="20"/>
          <w:szCs w:val="20"/>
        </w:rPr>
        <w:t>) Air movement shall be directed away from employees performing asbestos work within the enclosure, and toward a HEPA filtration or a collection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Before beginning work within the enclosure and at the beginning of each shift, the NPE shall be inspected for breaches and smoke-tested for leaks, and any leaks sealed.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Electrical circuits in the enclosure shall be deactivated, unless equipped with ground-fault circuit interrupters.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Glove bag systems may be used to remove PACM and/or ACM from straight runs of piping and elbows and other connections with the following specifications and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Glovebags shall be made of 6 mil thick plastic and shall be seamless at the bottom.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Glovebags used on elbows and other connections must be designed for that purpose and used without modifications.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Each glovebag shall be installed so that it completely covers the circumference of pipe or other structure where the work is to be done.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Glovebags shall be smoke-tested for leaks and any leaks sealed prior to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Glovebags may be used only once and may not be 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Glovebags shall not be used on surfaces whose temperature exceeds 150 °F.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5</w:t>
      </w:r>
      <w:r w:rsidRPr="009F74C5">
        <w:rPr>
          <w:rFonts w:ascii="Arial" w:eastAsia="Times New Roman" w:hAnsi="Arial" w:cs="Arial"/>
          <w:sz w:val="20"/>
          <w:szCs w:val="20"/>
        </w:rPr>
        <w:t>) Prior to disposal, glovebags shall be collapsed by removing air within them using a HEPA vacuum.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6</w:t>
      </w:r>
      <w:r w:rsidRPr="009F74C5">
        <w:rPr>
          <w:rFonts w:ascii="Arial" w:eastAsia="Times New Roman" w:hAnsi="Arial" w:cs="Arial"/>
          <w:sz w:val="20"/>
          <w:szCs w:val="20"/>
        </w:rPr>
        <w:t>) Before beginning the operation, loose and friable material adjacent to the glovebag/box operation shall be wrapped and sealed in two layers of six mil plastic or otherwise rendered intact,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7</w:t>
      </w:r>
      <w:r w:rsidRPr="009F74C5">
        <w:rPr>
          <w:rFonts w:ascii="Arial" w:eastAsia="Times New Roman" w:hAnsi="Arial" w:cs="Arial"/>
          <w:sz w:val="20"/>
          <w:szCs w:val="20"/>
        </w:rPr>
        <w:t>) Where system uses attached waste bag, such bag shall be connected to collection bag using hose or other material which shall withstand pressure of ACM waste and water without losing its integrity: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8</w:t>
      </w:r>
      <w:r w:rsidRPr="009F74C5">
        <w:rPr>
          <w:rFonts w:ascii="Arial" w:eastAsia="Times New Roman" w:hAnsi="Arial" w:cs="Arial"/>
          <w:sz w:val="20"/>
          <w:szCs w:val="20"/>
        </w:rPr>
        <w:t>) Sliding valve or other device shall separate waste bag from hose to ensure no exposure when waste bag is disconnected: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9</w:t>
      </w:r>
      <w:r w:rsidRPr="009F74C5">
        <w:rPr>
          <w:rFonts w:ascii="Arial" w:eastAsia="Times New Roman" w:hAnsi="Arial" w:cs="Arial"/>
          <w:sz w:val="20"/>
          <w:szCs w:val="20"/>
        </w:rPr>
        <w:t>) At least two persons shall perform Class I glovebag removal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(iii) </w:t>
      </w:r>
      <w:r w:rsidRPr="009F74C5">
        <w:rPr>
          <w:rFonts w:ascii="Arial" w:eastAsia="Times New Roman" w:hAnsi="Arial" w:cs="Arial"/>
          <w:i/>
          <w:iCs/>
          <w:sz w:val="20"/>
          <w:szCs w:val="20"/>
        </w:rPr>
        <w:t>Negative Pressure Glove Bag Systems.</w:t>
      </w:r>
      <w:r w:rsidRPr="009F74C5">
        <w:rPr>
          <w:rFonts w:ascii="Arial" w:eastAsia="Times New Roman" w:hAnsi="Arial" w:cs="Arial"/>
          <w:sz w:val="20"/>
          <w:szCs w:val="20"/>
        </w:rPr>
        <w:t xml:space="preserve"> Negative pressure glove bag systems may be used to remove ACM or PACM from piping.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r w:rsidRPr="009F74C5">
        <w:rPr>
          <w:rFonts w:ascii="Arial" w:eastAsia="Times New Roman" w:hAnsi="Arial" w:cs="Arial"/>
          <w:sz w:val="20"/>
          <w:szCs w:val="20"/>
        </w:rPr>
        <w:t xml:space="preserve"> In addition to specifications for glove bag systems above, negative pressure glove bag systems shall attach HEPA vacuum systems or other devices to bag to prevent collapse during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r w:rsidRPr="009F74C5">
        <w:rPr>
          <w:rFonts w:ascii="Arial" w:eastAsia="Times New Roman" w:hAnsi="Arial" w:cs="Arial"/>
          <w:sz w:val="20"/>
          <w:szCs w:val="20"/>
        </w:rPr>
        <w:t xml:space="preserve"> (</w:t>
      </w:r>
      <w:r w:rsidRPr="009F74C5">
        <w:rPr>
          <w:rFonts w:ascii="Arial" w:eastAsia="Times New Roman" w:hAnsi="Arial" w:cs="Arial"/>
          <w:i/>
          <w:iCs/>
          <w:sz w:val="20"/>
          <w:szCs w:val="20"/>
        </w:rPr>
        <w:t>1</w:t>
      </w:r>
      <w:r w:rsidRPr="009F74C5">
        <w:rPr>
          <w:rFonts w:ascii="Arial" w:eastAsia="Times New Roman" w:hAnsi="Arial" w:cs="Arial"/>
          <w:sz w:val="20"/>
          <w:szCs w:val="20"/>
        </w:rPr>
        <w:t>) The employer shall comply with the work practices for glove bag systems in paragraph (g)(5)(ii)(B)(</w:t>
      </w:r>
      <w:r w:rsidRPr="009F74C5">
        <w:rPr>
          <w:rFonts w:ascii="Arial" w:eastAsia="Times New Roman" w:hAnsi="Arial" w:cs="Arial"/>
          <w:i/>
          <w:iCs/>
          <w:sz w:val="20"/>
          <w:szCs w:val="20"/>
        </w:rPr>
        <w:t>4</w:t>
      </w:r>
      <w:r w:rsidRPr="009F74C5">
        <w:rPr>
          <w:rFonts w:ascii="Arial" w:eastAsia="Times New Roman" w:hAnsi="Arial" w:cs="Arial"/>
          <w:sz w:val="20"/>
          <w:szCs w:val="20"/>
        </w:rPr>
        <w:t>)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The HEPA vacuum cleaner or other device used to prevent collapse of bag during removal shall run continually during the operation until it is completed at which time the bag shall be collapsed prior to removal of the bag from the pipe.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Where a separate waste bag is used along with a collection bag and discarded after one use, the collection bag may be reused if rinsed clean with amended water before reuse.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Negative Pressure Glove Box Systems: Negative pressure glove boxes may be used to remove ACM or PACM from pipe runs with the following specifications and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Glove boxes shall be constructed with rigid sides and made from metal or other material which can withstand the weight of the ACM and PACM and water used during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A negative pressure generator shall be used to create negative pressure in the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An air filtration unit shall be attached to the box:</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The box shall be fitted with gloved apertures: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5</w:t>
      </w:r>
      <w:r w:rsidRPr="009F74C5">
        <w:rPr>
          <w:rFonts w:ascii="Arial" w:eastAsia="Times New Roman" w:hAnsi="Arial" w:cs="Arial"/>
          <w:sz w:val="20"/>
          <w:szCs w:val="20"/>
        </w:rPr>
        <w:t>) An aperture at the base of the box shall serve as a bagging outlet for waste ACM and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6</w:t>
      </w:r>
      <w:r w:rsidRPr="009F74C5">
        <w:rPr>
          <w:rFonts w:ascii="Arial" w:eastAsia="Times New Roman" w:hAnsi="Arial" w:cs="Arial"/>
          <w:sz w:val="20"/>
          <w:szCs w:val="20"/>
        </w:rPr>
        <w:t>) A back-up generator shall be present on 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7</w:t>
      </w:r>
      <w:r w:rsidRPr="009F74C5">
        <w:rPr>
          <w:rFonts w:ascii="Arial" w:eastAsia="Times New Roman" w:hAnsi="Arial" w:cs="Arial"/>
          <w:sz w:val="20"/>
          <w:szCs w:val="20"/>
        </w:rPr>
        <w:t>) Waste bags shall consist of 6 mil thick plastic double-bagged before they are filled or plastic thicker than 6 mil.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At least two persons shall perform the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The box shall be smoke-tested for leaks and any leaks sealed prior to each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Loose or damaged ACM adjacent to the box shall be wrapped and sealed in two layers of 6 mil plastic prior to the job, or otherwise made intact prior to the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A HEPA filtration system shall be used to maintain pressure barrier in box.</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w:t>
      </w:r>
      <w:r w:rsidRPr="009F74C5">
        <w:rPr>
          <w:rFonts w:ascii="Arial" w:eastAsia="Times New Roman" w:hAnsi="Arial" w:cs="Arial"/>
          <w:i/>
          <w:iCs/>
          <w:sz w:val="20"/>
          <w:szCs w:val="20"/>
        </w:rPr>
        <w:t>Water Spray Process System.</w:t>
      </w:r>
      <w:r w:rsidRPr="009F74C5">
        <w:rPr>
          <w:rFonts w:ascii="Arial" w:eastAsia="Times New Roman" w:hAnsi="Arial" w:cs="Arial"/>
          <w:sz w:val="20"/>
          <w:szCs w:val="20"/>
        </w:rPr>
        <w:t xml:space="preserve"> A water spray process system may be used for removal of ACM and PACM from cold line piping if, employees carrying out such process have completed a 40-hour separate training course in its use, in addition to training required for employees performing Class I work. </w:t>
      </w:r>
      <w:r w:rsidRPr="009F74C5">
        <w:rPr>
          <w:rFonts w:ascii="Arial" w:eastAsia="Times New Roman" w:hAnsi="Arial" w:cs="Arial"/>
          <w:sz w:val="20"/>
          <w:szCs w:val="20"/>
        </w:rPr>
        <w:lastRenderedPageBreak/>
        <w:t>The system shall meet the following specifications and shall be performed by employees using the following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Piping shall be surrounded on 3 sides by rigid framing,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A 360 degree water spray, delivered through nozzles supplied by a high pressure separate water line, shall be formed around the piping.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The spray shall collide to form a fine aerosol which provides a liquid barrier between workers and the ACM and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The system shall be run for at least 10 minutes before removal begins.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All removal shall take place within the water barrier.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The system shall be operated by at least three persons, one of whom shall not perform removal, but shall check equipment, and ensure proper operation of the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After removal, the ACM and PACM shall be bagged while still inside the water barrier.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A small walk-in enclosure which accommodates no more than two persons (mini-enclosure) may be used if the disturbance or removal can be completely contained by the enclosure with the following specifications and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The fabricated or job-made enclosure shall be constructed of 6 mil plastic or equivalent: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The enclosure shall be placed under negative pressure by means of a HEPA filtered vacuum or similar ventilation unit: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Before use, the mini-enclosure shall be inspected for leaks and smoke-tested to detect breaches, and any breaches sealed.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Before reuse, the interior shall be completely washed with amended water and HEPA-vacuumed.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During use, air movement shall be directed away from the employee's breathing zone within the mini-enclosure.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Alternative control methods for Class I work.</w:t>
      </w:r>
      <w:r w:rsidRPr="009F74C5">
        <w:rPr>
          <w:rFonts w:ascii="Arial" w:eastAsia="Times New Roman" w:hAnsi="Arial" w:cs="Arial"/>
          <w:sz w:val="20"/>
          <w:szCs w:val="20"/>
        </w:rPr>
        <w:t xml:space="preserve"> Class I work may be performed using a control method which is not referenced in paragraph (g)(5) of this section, or which modifies a control method referenced in paragraph (g)(5)of this section, if the following provisions are complied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control method shall enclose, contain or isolate the processes or source of airborne asbestos dust, or otherwise capture or redirect such dust before it enters the breathing zone of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A certified industrial hygienist or licensed professional engineer who is also qualified as a project designer as defined in paragraph (b) of this section, shall evaluate the work area, the projected work practices and the engineering controls and shall certify in writing that the planned control method is adequate to reduce direct and indirect employee exposure to below the PELs under worst-case conditions of use, and that the planned control method will prevent asbestos contamination outside the regulated area, as measured by clearance sampling which meets the requirements of EPA's Asbestos in Schools rule issued under AHERA, or perimeter monitoring which meets the criteria in paragraph (g)(4)(ii)(B)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Where the TSI or surfacing material to be removed is 25 linear or 10 square feet or less , the evaluation required in paragraph (g)(6) of this section may be performed by a “competent person”, and may omit consideration of perimeter or clearance monitoring otherwise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evaluation of employee exposure required in paragraph (g)(6) of this section, shall include and be based on sampling and analytical data representing employee exposure during the use of such method under worst-case conditions and by employees whose training and experience are equivalent to employees who are to perform the current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Work Practices and Engineering Controls for Class II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All Class II work shall be supervised by a competent person as defined in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all indoor Class II jobs, where the employer has not produced a negative exposure assessment pursuant to paragraph (f)(2)(iii) of this section, or where during the job, changed conditions indicate there may be exposure above the PEL or where the employer does not remove the ACM in a substantially intact state, the employer shall use one of the following methods to ensure that airborne asbestos does not migrate from the regulated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Critical barriers shall be placed over all openings to the regulated area;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employer shall use another barrier or isolation method which prevents the migration of airborne asbestos from the regulated area, as verified by perimeter area monitoring or clearance monitoring which meets the criteria set out in paragraph (g)(4)(ii)(B)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Impermeable dropcloths shall be placed on surfaces beneath all removal activity;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All Class II asbestos work shall be performed using the work practices and requirements set out above in paragraph (g)(1) (i) through (g)(1)(iii)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Additional Controls for Class II work.</w:t>
      </w:r>
      <w:r w:rsidRPr="009F74C5">
        <w:rPr>
          <w:rFonts w:ascii="Arial" w:eastAsia="Times New Roman" w:hAnsi="Arial" w:cs="Arial"/>
          <w:sz w:val="20"/>
          <w:szCs w:val="20"/>
        </w:rPr>
        <w:t xml:space="preserve"> Class II asbestos work shall also be performed by complying with the work practices and controls designated for each type of asbestos work to be performed, set out in this paragraph. Where more than one control method may be used for a type of asbestos work, the employer may choose one or a combination of designated control methods. Class II work also may be performed using a method allowed for Class I work, except that glove bags and glove boxes are allowed if they fully enclose the Class II material to be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For removing vinyl and asphalt flooring materials which contain ACM or for which in buildings constructed no later than 1980, the employer has not verified the absence of ACM pursuant to paragraph (g)(8)(i)(I) of this section. The employer shall ensure that employees comply with the following work practices and that employees are trained in these practices pursuant to paragraph (k)(9):</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(A) Flooring or its backing shall not be sanded.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Vacuums equipped with HEPA filter, disposable dust bag, and metal floor tool (no brush) shall be used to clean floors.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Resilient sheeting shall be removed by cutting with wetting of the snip point and wetting during delamination. Rip-up of resilient sheet floor material is prohibited.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All scraping of residual adhesive and/or backing shall be performed using wet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Dry sweeping is prohibited.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Mechanical chipping is prohibited unless performed in a negative pressure enclosure which meets the requirements of paragraph (g)(5)(i)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Tiles shall be removed intact, unless the employer demonstrates that intact removal is not possible.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When tiles are heated and can be removed intact, wetting may be omitted.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Resilient flooring material including associated mastic and backing shall be assumed to be asbestos-containing unless an industrial hygienist determines that it is asbestos-free using recognized analytical techniques.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removing roofing material which contains ACM the employer shall ensure that the following work practices are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Roofing material shall be removed in an intact state to the extent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Wet methods shall be used to remove roofing materials that are not intact, or that will be rendered not intact during removal, unless such wet methods are not feasible or will create safety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Cutting machines shall be continuously misted during use, unless a competent person determines that misting substantially decreases worker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When removing built-up roofs with asbestos-containing roofing felts and an aggregate surface using a power roof cutter, all dust resulting from the cutting operation shall be collected by a HEPA dust collector, or shall be HEPA vacuumed by vacuuming along the cut line. When removing built-up roofs with asbestos-containing roofing felts and a smooth surface using a power roof cutter, the dust resulting from the cutting operation shall be collected either by a HEPA dust collector or HEPA vacuuming along the cut line, or by gently sweeping and then carefully and completely wiping up the still-wet dust and debris left along the cut line. The dust and debris shall be immediately bagged or placed in covered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Asbestos-containing material that has been removed from a roof shall not be dropped or thrown to the ground. Unless the material is carried or passed to the ground by hand, it shall be lowered to the ground via covered, dust-tight chute, crane or hoist: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Any ACM that is not intact shall be lowered to the ground as soon as is practicable, but in any event no later than the end of the work shift. While the material remains on the roof it shall either be kept wet, placed in an impermeable waste bag, or wrapped in plastic sheeting.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w:t>
      </w:r>
      <w:r w:rsidRPr="009F74C5">
        <w:rPr>
          <w:rFonts w:ascii="Arial" w:eastAsia="Times New Roman" w:hAnsi="Arial" w:cs="Arial"/>
          <w:i/>
          <w:iCs/>
          <w:sz w:val="20"/>
          <w:szCs w:val="20"/>
        </w:rPr>
        <w:t>2</w:t>
      </w:r>
      <w:r w:rsidRPr="009F74C5">
        <w:rPr>
          <w:rFonts w:ascii="Arial" w:eastAsia="Times New Roman" w:hAnsi="Arial" w:cs="Arial"/>
          <w:sz w:val="20"/>
          <w:szCs w:val="20"/>
        </w:rPr>
        <w:t>) Intact ACM shall be lowered to the ground as soon as is practicable, but in any event no later than the end of the work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Upon being lowered, unwrapped material shall be transferred to a closed receptacle in such manner so as to preclude the dispersion of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Roof level heating and ventilation air intake sources shall be isolated or the ventilation system shall be shut down.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Notwithstanding any other provision of this section, removal or repair of sections of intact roofing less than 25 square feet in area does not require use of wet methods or HEPA vacuuming as long as manual methods which do not render the material non-intact are used to remove the material and no visible dust is created by the removal method used. In determining whether a job involves less than 25 square feet, the employer shall include all removal and repair work performed on the same roof on the same day.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When removing cementitious asbestos-containing siding and shingles or transite panels containing ACM on building exteriors (other than roofs, where paragraph (g)(8)(ii) of this section applies) the employer shall ensure that the following work practices are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Cutting, abrading or breaking siding, shingles, or transite panels, shall be prohibited unless the employer can demonstrate that methods less likely to result in asbestos fiber release cannot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Each panel or shingle shall be sprayed with amended water prior to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Unwrapped or unbagged panels or shingles shall be immediately lowered to the ground via covered dust-tight chute, crane or hoist, or placed in an impervious waste bag or wrapped in plastic sheeting and lowered to the ground no later than the end of the work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Nails shall be cut with flat, sharp instruments.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When removing gaskets containing ACM, the employer shall ensure that the following work practices are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If a gasket is visibly deteriorated and unlikely to be removed intact, removal shall be undertaken within a glovebag as described in paragraph (g)(5)(ii)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gasket shall be immediately placed in a disposal container.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Any scraping to remove residue must be performed wet.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When performing any other Class II removal of asbestos containing material for which specific controls have not been listed in paragraph (g)(8)(iv) (A) through (D) of this section, the employer shall ensure that the following work practices are complied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material shall be thoroughly wetted with amended water prior to and during its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material shall be removed in an intact state unless the employer demonstrates that intact removal is not possible.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(C) Cutting, abrading or breaking the material shall be prohibited unless the employer can demonstrate that methods less likely to result in asbestos fiber release are not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Asbestos-containing material removed, shall be immediately bagged or wrapped, or kept wetted until transferred to a closed receptacle, no later than the end of the work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 </w:t>
      </w:r>
      <w:r w:rsidRPr="009F74C5">
        <w:rPr>
          <w:rFonts w:ascii="Arial" w:eastAsia="Times New Roman" w:hAnsi="Arial" w:cs="Arial"/>
          <w:i/>
          <w:iCs/>
          <w:sz w:val="20"/>
          <w:szCs w:val="20"/>
        </w:rPr>
        <w:t>Alternative Work Practices and Controls.</w:t>
      </w:r>
      <w:r w:rsidRPr="009F74C5">
        <w:rPr>
          <w:rFonts w:ascii="Arial" w:eastAsia="Times New Roman" w:hAnsi="Arial" w:cs="Arial"/>
          <w:sz w:val="20"/>
          <w:szCs w:val="20"/>
        </w:rPr>
        <w:t xml:space="preserve"> Instead of the work practices and controls listed in paragraph (g)(8) (i) through (v) of this section, the employer may use different or modified engineering and work practice controls if the following provisions are complied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shall demonstrate by data representing employee exposure during the use of such method under conditions which closely resemble the conditions under which the method is to be used, that employee exposure will not exceed the PELs under any anticipated circumstances.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competent person shall evaluate the work area, the projected work practices and the engineering controls, and shall certify in writing, that the different or modified controls are adequate to reduce direct and indirect employee exposure to below the PELs under all expected conditions of use and that the method meets the requirements of this standard. The evaluation shall include and be based on data representing employee exposure during the use of such method under conditions which closely resemble the conditions under which the method is to be used for the current job, and by employees whose training and experience are equivalent to employees who are to perform the current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Work Practices and Engineering Controls for Class III asbestos work.</w:t>
      </w:r>
      <w:r w:rsidRPr="009F74C5">
        <w:rPr>
          <w:rFonts w:ascii="Arial" w:eastAsia="Times New Roman" w:hAnsi="Arial" w:cs="Arial"/>
          <w:sz w:val="20"/>
          <w:szCs w:val="20"/>
        </w:rPr>
        <w:t xml:space="preserve"> Class III asbestos work shall be conducted using engineering and work practice controls which minimize the exposure to employees performing the asbestos work and to bystander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work shall be performed using wet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To the extent feasible, the work shall be performed using local exhaust ventilation.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the disturbance involves drilling, cutting, abrading, sanding, chipping, breaking, or sawing of thermal system insulation or surfacing material, the employer shall use impermeable dropcloths, and shall isolate the operation using mini-enclosures or glove bag systems pursuant to paragraph (g)(5) of this section or another isolation method.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Where the employer does not produce a “negative exposure assessment” for a job, or where monitoring results show the PEL has been exceeded, the employer shall contain the area using impermeable dropcloths and plastic barriers or their equivalent, or shall isolate the operation using a control system listed in and in compliance with paragraph (g)(5)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Employees performing Class III jobs, which involve the disturbance of thermal system insulation or surfacing material, or where the employer does not produce a “negative exposure assessment” or where monitoring results show a PEL has been exceeded, shall wear respirators which are selected, used and fitted pursuant to provisions of paragraph (h)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Class IV asbestos work.</w:t>
      </w:r>
      <w:r w:rsidRPr="009F74C5">
        <w:rPr>
          <w:rFonts w:ascii="Arial" w:eastAsia="Times New Roman" w:hAnsi="Arial" w:cs="Arial"/>
          <w:sz w:val="20"/>
          <w:szCs w:val="20"/>
        </w:rPr>
        <w:t xml:space="preserve"> Class IV asbestos jobs shall be conducted by employees trained pursuant to the asbestos awareness training program set out in paragraph (k)(9) of this section. In addition, all Class IV jobs shall be conducted in conformity with the requirements set out in paragraph (g)(1) of this section, mandating wet methods, HEPA vacuums, and prompt clean up of debris containing ACM or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Employees cleaning up debris and waste in a regulated area where respirators are required shall wear respirators which are selected, used and fitted pursuant to provisions of paragraph (h)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Employers of employees who clean up waste and debris in, and employers in control of, areas where friable thermal system insulation or surfacing material is accessible, shall assume that such waste and debris contain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Alternative methods of compliance for installation, removal, repair, and maintenance of certain roofing and pipeline coating materials.</w:t>
      </w:r>
      <w:r w:rsidRPr="009F74C5">
        <w:rPr>
          <w:rFonts w:ascii="Arial" w:eastAsia="Times New Roman" w:hAnsi="Arial" w:cs="Arial"/>
          <w:sz w:val="20"/>
          <w:szCs w:val="20"/>
        </w:rPr>
        <w:t xml:space="preserve"> Notwithstanding any other provision of this section, an employer who complies with all provisions of this paragraph (g)(11) when installing, removing, repairing, or maintaining intact pipeline asphaltic wrap, or roof flashings which contain asbestos fibers encapsulated or coated by bituminous or resinous compounds shall be deemed to be in compliance with this section. If an employer does not comply with all provisions of this paragraph (g)(11) or if during the course of the job the material does not remain intact, the provisions of paragraph (g)(8) of this section apply instead of this paragraph (g)(11).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Before work begins and as needed during the job, a competent person who is capable of identifying asbestos hazards in the workplace and selecting the appropriate control strategy for asbestos exposure, and who has the authority to take prompt corrective measures to eliminate such hazards, shall conduct an inspection of the worksite and determine that the roofing material is intact and will likely remain intact.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All employees performing work covered by this paragraph (g)(11) shall be trained in a training program that meets the requirements of paragraph (k)(9)(viii)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material shall not be sanded, abraded, or ground. Manual methods which do not render the material non-intact shall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Material that has been removed from a roof shall not be dropped or thrown to the ground. Unless the material is carried or passed to the ground by hand, it shall be lowered to the ground via covered, dust-tight chute, crane or hoist. All such material shall be removed from the roof as soon as is practicable, but in any event no later than the end of the work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Where roofing products which have been labeled as containing asbestos pursuant to paragraph (k)(8) of this section are installed on non-residential roofs during operations covered by this paragraph (g)(11), the employer shall notify the building owner of the presence and location of such materials no later than the end of the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All removal or disturbance of pipeline asphaltic wrap shall be performed using wet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Respiratory protection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For employees who use respirators required by this section, the employer must provide each employee an appropriate respirator that complies with the requirements of this paragraph. Respirators must be used during: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Class I asbestos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Class II asbestos work when ACM is not removed in a substantially intact state.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Class II and III asbestos work that is not performed using wet methods, except for removal of ACM from sloped roofs when a negative-exposure assessment has been conducted and ACM is removed in an intact state.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Class II and III asbestos work for which a negative-exposure assessment has not been conducted.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Class III asbestos work when TSI or surfacing ACM or PACM is being disturbed.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Class IV asbestos work performed within regulated areas where employees who are performing other work are required to use respirators.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Work operations covered by this section for which employees are exposed above the TWA or excursion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Emergencies.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Respirator program.</w:t>
      </w:r>
      <w:r w:rsidRPr="009F74C5">
        <w:rPr>
          <w:rFonts w:ascii="Arial" w:eastAsia="Times New Roman" w:hAnsi="Arial" w:cs="Arial"/>
          <w:sz w:val="20"/>
          <w:szCs w:val="20"/>
        </w:rPr>
        <w:t xml:space="preserve"> (i) The employer must implement a respiratory protection program in accordance with §1910.134 (b) through (d) (except (d)(1)(iii)), and (f) through (m), which covers each employee required by this section to use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No employee shall be assigned to asbestos work that requires respirator use if, based on their most recent medical examination, the examining physician determines that the employee will be unable to function normally while using a respirator, or that the safety or health of the employee or other employees will be impaired by the employee's respirator use. Such employees must be assigned to another job or given the opportunity to transfer to a different position that they can perform. If such a transfer position is available, it must be with the same employer, in the same geographical area, and with the same seniority, status, rate of pay, and other job benefits the employee had just prior to such transfer.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Respirator selection.</w:t>
      </w:r>
      <w:r w:rsidRPr="009F74C5">
        <w:rPr>
          <w:rFonts w:ascii="Arial" w:eastAsia="Times New Roman" w:hAnsi="Arial" w:cs="Arial"/>
          <w:sz w:val="20"/>
          <w:szCs w:val="20"/>
        </w:rPr>
        <w:t xml:space="preserve"> (i) Employers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Select, and provide to employees, the appropriate respirators specified in paragraph (d)(3)(i)(A) of 29 CFR 1910.134; however, employers must not select or use filtering facepiece respirators for use against asbestos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HEPA filters for powered and non-powered air-purifying respirators.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Employers must provide an employee with tight-fitting, powered air-purifying respirator (PAPR) instead of a negative pressure respirator selected according to paragraph (h)(3)(i)(A) of this standard when the employee chooses to use a PAPR and it provides adequate protection to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Employers must provide employees with an air-purifying half mask respirator, other than a filtering facepiece respirator, whenever the employees perform: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Class II or Class III asbestos work for which no negative exposure assessment is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Class III asbestos work involving disturbance of TSI or surfacing ACM or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Employers must provide employees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tight-fitting powered air-purifying respirator or a full facepiece, supplied-air respirator operated in the pressure-demand mode and equipped with either HEPA egress cartridges or an auxiliary positive-pressure, self-contained breathing apparatus (SCBA) whenever the employees are in a regulated area performing Class I asbestos work for which a negative exposure assessment is not available and the exposure assessment indicates that the exposure level will be at or below 1 f/cc as an 8-hour time-weighted average (TWA).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(B) A full facepiece supplied-air respirator operated in the pressure-demand mode and equipped with an auxiliary positive-pressure SCBA whenever the employees are in a regulated area performing Class I asbestos work for which a negative exposure assessment is not available and the exposure assessment indicates that the exposure level will be above 1 f/cc as an 8-hour TWA. </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Protective clothing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The employer shall provide or require the use of protective clothing, such as coveralls or similar whole-body clothing, head coverings, gloves, and foot coverings for any employee exposed to airborne concentrations of asbestos that exceed the TWA and/or excursion limit prescribed in paragraph (c) of this section, or for which a required negative exposure assessment is not produced, or for any employee performing Class I operations which involve the removal of over 25 linear or 10 square feet of TSI or surfacing ACM and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Laundering.</w:t>
      </w:r>
      <w:r w:rsidRPr="009F74C5">
        <w:rPr>
          <w:rFonts w:ascii="Arial" w:eastAsia="Times New Roman" w:hAnsi="Arial" w:cs="Arial"/>
          <w:sz w:val="20"/>
          <w:szCs w:val="20"/>
        </w:rPr>
        <w:t xml:space="preserve"> (i) The employer shall ensure that laundering of contaminated clothing is done so as to prevent the release of airborne asbestos in excess of the TWA or excursion limit prescribed in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Any employer who gives contaminated clothing to another person for laundering shall inform such person of the requirement in paragraph (i)(2)(i) of this section to effectively prevent the release of airborne asbestos in excess of the TWA and excursion limit prescribed in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Contaminated clothing.</w:t>
      </w:r>
      <w:r w:rsidRPr="009F74C5">
        <w:rPr>
          <w:rFonts w:ascii="Arial" w:eastAsia="Times New Roman" w:hAnsi="Arial" w:cs="Arial"/>
          <w:sz w:val="20"/>
          <w:szCs w:val="20"/>
        </w:rPr>
        <w:t xml:space="preserve"> Contaminated clothing shall be transported in sealed impermeable bags, or other closed, impermeable containers, and be labeled in accordance with paragraph (k)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Inspection of protective clothing.</w:t>
      </w:r>
      <w:r w:rsidRPr="009F74C5">
        <w:rPr>
          <w:rFonts w:ascii="Arial" w:eastAsia="Times New Roman" w:hAnsi="Arial" w:cs="Arial"/>
          <w:sz w:val="20"/>
          <w:szCs w:val="20"/>
        </w:rPr>
        <w:t xml:space="preserve"> (i) The competent person shall examine worksuits worn by employees at least once per workshift for rips or tears that may occur during performance of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 rips or tears are detected while an employee is working, rips and tears shall be immediately mended, or the worksuit shall be immediately replaced.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Hygiene facilities and practices for employees.</w:t>
      </w:r>
      <w:r w:rsidRPr="009F74C5">
        <w:rPr>
          <w:rFonts w:ascii="Arial" w:eastAsia="Times New Roman" w:hAnsi="Arial" w:cs="Arial"/>
          <w:sz w:val="20"/>
          <w:szCs w:val="20"/>
        </w:rPr>
        <w:t xml:space="preserve"> (1) Requirements for employees performing Class I asbestos jobs involving over 25 linear or 10 square feet of TSI or surfacing ACM and PACM.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Decontamination areas.</w:t>
      </w:r>
      <w:r w:rsidRPr="009F74C5">
        <w:rPr>
          <w:rFonts w:ascii="Arial" w:eastAsia="Times New Roman" w:hAnsi="Arial" w:cs="Arial"/>
          <w:sz w:val="20"/>
          <w:szCs w:val="20"/>
        </w:rPr>
        <w:t xml:space="preserve"> The employer shall establish a decontamination area that is adjacent and connected to the regulated area for the decontamination of such employees. The decontamination area shall consist of an equipment room, shower area, and clean room in series. The employer shall ensure that employees enter and exit the regulated area through the decontamination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Equipment room.</w:t>
      </w:r>
      <w:r w:rsidRPr="009F74C5">
        <w:rPr>
          <w:rFonts w:ascii="Arial" w:eastAsia="Times New Roman" w:hAnsi="Arial" w:cs="Arial"/>
          <w:sz w:val="20"/>
          <w:szCs w:val="20"/>
        </w:rPr>
        <w:t xml:space="preserve"> The equipment room shall be supplied with impermeable, labeled bags and containers for the containment and disposal of contaminated protective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Shower area.</w:t>
      </w:r>
      <w:r w:rsidRPr="009F74C5">
        <w:rPr>
          <w:rFonts w:ascii="Arial" w:eastAsia="Times New Roman" w:hAnsi="Arial" w:cs="Arial"/>
          <w:sz w:val="20"/>
          <w:szCs w:val="20"/>
        </w:rPr>
        <w:t xml:space="preserve"> Shower facilities shall be provided which comply with 29 CFR 1910.141(d)(3), unless the employer can demonstrate that they are not feasible. The showers shall be adjacent both to the equipment room and the clean room, unless the employer can demonstrate that this location is not feasible. Where the employer can demonstrate that it is not feasible to locate the shower between the equipment room and the clean room, or where the work is performed outdoors, the employers shall ensure that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Remove asbestos contamination from their worksuits in the equipment room using a HEPA vacuum before proceeding to a shower that is not adjacent to the work area;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Remove their contaminated worksuits in the equipment room, then don clean worksuits, and proceed to a shower that is not adjacent to the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(C) </w:t>
      </w:r>
      <w:r w:rsidRPr="009F74C5">
        <w:rPr>
          <w:rFonts w:ascii="Arial" w:eastAsia="Times New Roman" w:hAnsi="Arial" w:cs="Arial"/>
          <w:i/>
          <w:iCs/>
          <w:sz w:val="20"/>
          <w:szCs w:val="20"/>
        </w:rPr>
        <w:t>Clean change room.</w:t>
      </w:r>
      <w:r w:rsidRPr="009F74C5">
        <w:rPr>
          <w:rFonts w:ascii="Arial" w:eastAsia="Times New Roman" w:hAnsi="Arial" w:cs="Arial"/>
          <w:sz w:val="20"/>
          <w:szCs w:val="20"/>
        </w:rPr>
        <w:t xml:space="preserve"> The clean room shall be equipped with a locker or appropriate storage container for each employee's use. When the employer can demonstrate that it is not feasible to provide a clean change area adjacent to the work area or where the work is performed outdoors, the employer may permit employees engaged in Class I asbestos jobs to clean their protective clothing with a portable HEPA-equipped vacuum before such employees leave the regulated area. Following showering, such employees however must then change into street clothing in clean change areas provided by the employer which otherwise meet the requirements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Decontamination area entry procedures.</w:t>
      </w:r>
      <w:r w:rsidRPr="009F74C5">
        <w:rPr>
          <w:rFonts w:ascii="Arial" w:eastAsia="Times New Roman" w:hAnsi="Arial" w:cs="Arial"/>
          <w:sz w:val="20"/>
          <w:szCs w:val="20"/>
        </w:rPr>
        <w:t xml:space="preserve"> The employer shall ensure that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Enter the decontamination area through the clean room;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Remove and deposit street clothing within a locker provided for their use;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Put on protective clothing and respiratory protection before leaving the clean room.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Before entering the regulated area, the employer shall ensure that employees pass through the equipment room.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Decontamination area exit procedures.</w:t>
      </w:r>
      <w:r w:rsidRPr="009F74C5">
        <w:rPr>
          <w:rFonts w:ascii="Arial" w:eastAsia="Times New Roman" w:hAnsi="Arial" w:cs="Arial"/>
          <w:sz w:val="20"/>
          <w:szCs w:val="20"/>
        </w:rPr>
        <w:t xml:space="preserve"> The employer shall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Before leaving the regulated area, employees shall remove all gross contamination and debris from their protective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Employees shall remove their protective clothing in the equipment room and deposit the clothing in labeled impermeable bags or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Employees shall not remove their respirators in the equipment room.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Employees shall shower prior to entering the clean room.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After showering, employees shall enter the clean room before changing into street clothes.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Lunch Areas.</w:t>
      </w:r>
      <w:r w:rsidRPr="009F74C5">
        <w:rPr>
          <w:rFonts w:ascii="Arial" w:eastAsia="Times New Roman" w:hAnsi="Arial" w:cs="Arial"/>
          <w:sz w:val="20"/>
          <w:szCs w:val="20"/>
        </w:rPr>
        <w:t xml:space="preserve"> Whenever food or beverages are consumed at the worksite where employees are performing Class I asbestos work, the employer shall provide lunch areas in which the airborne concentrations of asbestos are below the permissible exposure limit and/or excursion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Requirements for Class I work involving less than 25 linear or 10 square feet of TSI or surfacing ACM and PACM, and for Class II and Class III asbestos work operations where exposures exceed a PEL or where there is no negative exposure assessment produced before the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employer shall establish an equipment room or area that is adjacent to the regulated area for the decontamination of employees and their equipment which is contaminated with asbestos which shall consist of an area covered by an impermeable drop cloth on the floor or horizontal working surface.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area must be of sufficient size as to accommodate cleaning of equipment and removing personal protective equipment without spreading contamination beyond the area (as determined by visible accumulations).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Work clothing must be cleaned with a HEPA vacuum before it is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All equipment and surfaces of containers filled with ACM must be cleaned prior to removing them from the equipment room or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employer shall ensure that employees enter and exit the regulated area through the equipment room or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Requirements for Class IV work.</w:t>
      </w:r>
      <w:r w:rsidRPr="009F74C5">
        <w:rPr>
          <w:rFonts w:ascii="Arial" w:eastAsia="Times New Roman" w:hAnsi="Arial" w:cs="Arial"/>
          <w:sz w:val="20"/>
          <w:szCs w:val="20"/>
        </w:rPr>
        <w:t xml:space="preserve"> Employers shall ensure that employees performing Class IV work within a regulated area comply with the hygiene practice required of employees performing work which has a higher classification within that regulated area. Otherwise employers of employees cleaning up debris and material which is TSI or surfacing ACM or identified as PACM shall provide decontamination facilities for such employees which are required by paragraph (j)(2)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Smoking in work areas.</w:t>
      </w:r>
      <w:r w:rsidRPr="009F74C5">
        <w:rPr>
          <w:rFonts w:ascii="Arial" w:eastAsia="Times New Roman" w:hAnsi="Arial" w:cs="Arial"/>
          <w:sz w:val="20"/>
          <w:szCs w:val="20"/>
        </w:rPr>
        <w:t xml:space="preserve"> The employer shall ensure that employees do not smoke in work areas where they are occupationally exposed to asbestos because of activities in that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Communication of hazards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Hazard communication.</w:t>
      </w:r>
      <w:r w:rsidRPr="009F74C5">
        <w:rPr>
          <w:rFonts w:ascii="Arial" w:eastAsia="Times New Roman" w:hAnsi="Arial" w:cs="Arial"/>
          <w:sz w:val="20"/>
          <w:szCs w:val="20"/>
        </w:rPr>
        <w:t xml:space="preserve"> (i) This section applies to the communication of information concerning asbestos hazards in construction activities to facilitate compliance with this standard. Most asbestos-related construction activities involve previously installed building materials. Building owners often are the only and/or best sources of information concerning them. Therefore, they, along with employers of potentially exposed employees, are assigned specific information conveying and retention duties under this section. Installed Asbestos Containing Building Material. Employers and building owners shall identify TSI and sprayed or troweled on surfacing materials in buildings as asbestos-containing, unless they determine in compliance with paragraph (k)(5) of this section that the material is not asbestos-containing. Asphalt and vinyl flooring material installed no later than 1980 must also be considered as asbestos containing unless the employer, pursuant to paragraph (g)(8)(i)(I) of this section determines that it is not asbestos-containing. If the employer/building owner has actual knowledge, or should have known through the exercise of due diligence, that other materials are asbestos-containing, they too must be treated as such. When communicating information to employees pursuant to this standard, owners and employers shall identify “PACM” as ACM. Additional requirements relating to communication of asbestos work on multi-employer worksites are set out in paragraph (d)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include asbestos in the program established to comply with the Hazard Communication Standard (HCS) (§1910.1200). The employer shall ensure that each employee has access to labels on containers of asbestos and safety data sheets, and is trained in accordance with the provisions of HCS and paragraphs (k)(9) and (10) of this section. The employer shall provide information on at least the following hazards: Cancer and lung effects.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Duties of building and facility owners.</w:t>
      </w:r>
      <w:r w:rsidRPr="009F74C5">
        <w:rPr>
          <w:rFonts w:ascii="Arial" w:eastAsia="Times New Roman" w:hAnsi="Arial" w:cs="Arial"/>
          <w:sz w:val="20"/>
          <w:szCs w:val="20"/>
        </w:rPr>
        <w:t xml:space="preserve"> (i) Before work subject to this standard is begun, building and facility owners shall determine the presence, location, and quantity of ACM and/or PACM at the work site pursuant to paragraph (k)(1)(i)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Building and/or facility owners shall notify the following persons of the presence, location and quantity of ACM or PACM, at the work sites in their buildings and facilities. Notification either shall be in writing, or shall consist of a personal communication between the owner and the person to whom notification must be given or their authorized representatives: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Prospective employers applying or bidding for work whose employees reasonably can be expected to work in or adjacent to areas containing such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Employees of the owner who will work in or adjacent to areas containing such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On multi-employer worksites, all employers of employees who will be performing work within or adjacent to areas containing such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(D) Tenants who will occupy areas containing such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Duties of employers whose employees perform work subject to this standard in or adjacent to areas containing ACM and PACM. Building/facility owners whose employees perform such work shall comply with these provisions to the extent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Before work in areas containing ACM and PACM is begun; employers shall identify the presence, location, and quantity of ACM, and/or PACM therein pursuant to paragraph (k)(1)(i)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Before work under this standard is performed employers of employees who will perform such work shall inform the following persons of the location and quantity of ACM and/or PACM present in the area and the precautions to be taken to insure that airborne asbestos is confined to the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Owners of the building/facility;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Employees who will perform such work and employers of employees who work and/or will be working in adjacent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Within 10 days of the completion of such work, the employer whose employees have performed work subject to this standard, shall inform the building/facility owner and employers of employees who will be working in the area of the current location and quantity of PACM and/or ACM remaining in the area and final monitoring results, if any.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In addition to the above requirements, all employers who discover ACM and/or PACM on a worksite shall convey information concerning the presence, location and quantity of such newly discovered ACM and/or PACM to the owner and to other employers of employees working at the work site, within 24 hours of the discovery.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Criteria to rebut the designation of installed material as PACM. (i) At any time, an employer and/or building owner may demonstrate, for purposes of this standard, that PACM does not contain asbestos. Building owners and/or employers are not required to communicate information about the presence of building material for which such a demonstration pursuant to the requirements of paragraph (k)(5)(ii) of this section has been made. However, in all such cases, the information, data and analysis supporting the determination that PACM does not contain asbestos, shall be retained pursuant to paragraph (n)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 employer or owner may demonstrate that PACM does not contain more than 1% asbestos by the following: (A) Having a completed inspection conducted pursuant to the requirements of AHERA (40 CFR part 763, subpart E) which demonstrates that the material is not ACM;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Performing tests of the material containing PACM which demonstrate that no ACM is present in the material. Such tests shall include analysis of bulk samples collected in the manner described in 40 CFR 763.86.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nationally-recognized round robin testing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and/or building owner may demonstrate that flooring material including associated mastic and backing does not contain asbestos, by a determination of an industrial hygienist based upon recognized analytical techniques showing that the material is not 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(6) At the entrance to mechanical rooms/areas in which employees reasonably can be expected to enter and which contain ACM and/or PACM, the building owner shall post signs which identify the material which is present, its location, and appropriate work practices which, if followed, will ensure that ACM and/or PACM will not be disturbed. The employer shall ensure, to the extent feasible, that employees who come in contact with these signs can comprehend them. Means to ensure employee comprehension may include the use of foreign languages, pictographs, graphics, and awareness 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Signs.</w:t>
      </w:r>
      <w:r w:rsidRPr="009F74C5">
        <w:rPr>
          <w:rFonts w:ascii="Arial" w:eastAsia="Times New Roman" w:hAnsi="Arial" w:cs="Arial"/>
          <w:sz w:val="20"/>
          <w:szCs w:val="20"/>
        </w:rPr>
        <w:t xml:space="preserve"> (i) Warning signs that demarcate the regulated area shall be provided and displayed at each location where a regulated area is required to be established by paragraph (e) of this section. Signs shall be posted at such a distance from such a location that an employee may read the signs and take necessary protective steps before entering the area marked by the signs.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The warning signs required by paragraph (k)(7) of this section shall bear the following information.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DANGER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ASBESTOS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MAY CAUSE CANCER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CAUSES DAMAGE TO LUNGS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AUTHORIZED PERSONNEL ONLY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In addition, where the use of respirators and protective clothing is required in the regulated area under this section, the warning signs shall include the following:</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WEAR RESPIRATORY PROTECTION AND PROTECTIVE CLOTHING IN THIS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Prior to June 1, 2016, employers may use the following legend in lieu of that specified in paragraph (k)(7)(ii)(A) of this section: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DANGER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ASBESTOS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CANCER AND LUNG DISEASE HAZARD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AUTHORIZED PERSONNEL ONLY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Prior to June 1, 2016, employers may use the following legend in lieu of that specified in paragraph (k)(7)(ii)(B) of this section:</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RESPIRATORS AND PROTECTIVE CLOTHING ARE REQUIRED IN THIS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employees working in and contiguous to regulated areas comprehend the warning signs required to be posted by paragraph (k)(7)(i) of this section. Means to ensure employee comprehension may include the use of foreign languages, pictographs and graphics.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Labels.</w:t>
      </w:r>
      <w:r w:rsidRPr="009F74C5">
        <w:rPr>
          <w:rFonts w:ascii="Arial" w:eastAsia="Times New Roman" w:hAnsi="Arial" w:cs="Arial"/>
          <w:sz w:val="20"/>
          <w:szCs w:val="20"/>
        </w:rPr>
        <w:t xml:space="preserve"> (i) Labels shall be affixed to all products containing asbestos and to all containers containing such products, including waste containers. Where feasible, installed asbestos products shall contain a visible label.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ensure that such labels comply with paragraphs (k)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The employer shall ensure that labels of bags or containers of protective clothing and equipment, scrap, waste, and debris containing asbestos fibers bear the following information: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DANGER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CONTAINS ASBESTOS FIBERS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MAY CAUSE CANCER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CAUSES DAMAGE TO LUNGS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DO NOT BREATHE DUST</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AVOID CREATING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Prior to June 1, 2015, employers may include the following information on raw materials, mixtures or labels of bags or containers of protective clothing and equipment, scrap, waste, and debris containing asbestos fibers in lieu of the labeling requirements in paragraphs (k)(8)(ii) and (k)(8)(iii) of this section: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DANGER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CONTAINS ASBESTOS FIBERS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AVOID CREATING DUST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CANCER AND LUNG DISEASE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Labels shall also contain a warning statement against breathing asbestos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The provisions for labels required by paragraphs (k)(8)(i) through (k)(8)(iii) of this section do not apply where: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Asbestos fibers have been modified by a bonding agent, coating, binder, or other material, provided that the manufacturer can demonstrate that, during any reasonably foreseeable use, handling, storage, disposal, processing, or transportation, no airborne concentrations of asbestos fibers in excess of the permissible exposure limit and/or excursion limit will be released,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Asbestos is present in a product in concentrations less than 1.0 percent.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When a building owner or employer identifies previously installed PACM and/or ACM, labels or signs shall be affixed or posted so that employees will be notified of what materials contain PACM and/or ACM. The employer shall attach such labels in areas where they will clearly be noticed by employees who are likely to be exposed, such as at the entrance to mechanical room/areas. Signs required by paragraph (k)(6) of this section may be posted in lieu of labels so long as they contain information required for labelling. The employer shall ensure, to the extent feasible, that employees who come in contact with these signs or labels can comprehend them. Means to ensure employee comprehension may include the use of foreign languages, pictographs, graphics, and awareness 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Employee Information and Training.</w:t>
      </w:r>
      <w:r w:rsidRPr="009F74C5">
        <w:rPr>
          <w:rFonts w:ascii="Arial" w:eastAsia="Times New Roman" w:hAnsi="Arial" w:cs="Arial"/>
          <w:sz w:val="20"/>
          <w:szCs w:val="20"/>
        </w:rPr>
        <w:t xml:space="preserve"> (i) The employer shall train each employee who is likely to be exposed in excess of a PEL, and each employee who performs Class I through IV asbestos operations, in accordance with the requirements of this section. Such training shall be conducted at no cost to the employee. The employer shall institute a training program and ensure employee participation in the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Training shall be provided prior to or at the time of initial assignment and at least annually thereafter.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Training for Class I operations and for Class II operations that require the use of critical barriers (or equivalent isolation methods) and/or negative pressure enclosures under this section shall be the equivalent in curriculum, training method and length to the EPA Model Accreditation Plan (MAP) asbestos abatement workers training (40 CFR part 763, subpart E, appendix 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Training for other Class II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For work with asbestos containing roofing materials, flooring materials, siding materials, ceiling tiles, or transite panels, training shall include at a minimum all the elements included in paragraph (k)(9)(viii) of this section and in addition, the specific work practices and engineering controls set forth in paragraph (g) of this section which specifically relate to that category. Such course shall include “hands-on” training and shall take at least 8 hours.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An employee who works with more than one of the categories of material specified in paragraph (k)(9)(iv)(A) of this section shall receive training in the work practices applicable to each category of material that the employee removes and each removal method that the employee uses.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For Class II operations not involving the categories of material specified in paragraph (k)(9)(iv)(A) of this section, training shall be provided which shall include at a minimum all the elements included in paragraph (k)(9)(viii) of this section and in addition, the specific work practices and engineering controls set forth in paragraph (g) of this section which specifically relate to the category of material being removed, and shall include “hands-on” training in the work practices applicable to each category of material that the employee removes and each removal method that the employee uses.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Training for Class III employees shall be consistent with EPA requirements for training of local education agency maintenance and custodial staff as set forth at 40 CFR 763.92(a)(2). Such a course shall also include “hands-on” training and shall take at least 16 hours. Exception: For Class III operations for which the competent person determines that the EPA curriculum does not adequately cover the training needed to perform that activity, training shall include as a minimum all the elements included in paragraph (k)(9)(viii) of this section and in addition, the specific work practices and engineering controls set forth in paragraph (g) of this section which specifically relate to that activity, and shall include “hands-on” training in the work practices applicable to each category of material that the employee disturbs.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Training for employees performing Class IV operations shall be consistent with EPA requirements for training of local education agency maintenance and custodial staff as set forth at 40 CFR 763.92(a)(1). Such a course shall include available information concerning the locations of thermal system insulation and surfacing ACM/PACM, and asbestos-containing flooring material, or flooring material where the absence of asbestos has not yet been certified; and instruction in recognition of damage, deterioration, and delamination of asbestos containing building materials. Such course shall take at least 2 hours.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Training for employees who are likely to be exposed in excess of the PEL and who are not otherwise required to be trained under paragraph (k)(9)(iii) through (vi) of this section, shall meet the requirements of paragraph (k)(9)(viii)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The training program shall be conducted in a manner that the employee is able to understand. In addition to the content required by provisions in paragraphs (k)(9)(iii) through (vi) of this section, the employer shall ensure that each such employee is informed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Methods of recognizing asbestos, including the requirement in paragraph (k)(1) of this section to presume that certain building materials contain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The health effects associated with asbestos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relationship between smoking and asbestos in producing lung cancer;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nature of operations that could result in exposure to asbestos, the importance of necessary protective controls to minimize exposure including, as applicable, engineering controls, work practices, respirators, housekeeping procedures, hygiene facilities, protective clothing, decontamination procedures, emergency procedures, and waste disposal procedures, and any necessary instruction in the use of these controls and procedures; where Class III and IV work will be or is performed, the contents of EPA 20T-2003, “Managing Asbestos In-Place” July 1990 or its equivalent in content;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purpose, proper use, fitting instructions, and limitations of respirators as required by 29 CFR 1910.134;</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appropriate work practices for performing the asbestos job;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Medical surveillance program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The content of this standard including appendices;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names, addresses and phone numbers of public health organizations which provide information, materials and/or conduct programs concerning smoking cessation. The employer may distribute the list of such organizations contained in appendix J to this section, to comply with this requirement;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The requirements for posting signs and affixing labels and the meaning of the required legends for such signs and labels.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Access to training materials. (i) The employer shall make readily available to affected employees without cost, written materials relating to the employee training program, including a copy of this regulation.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provide to the Assistant Secretary and the Director, upon request, all information and training materials relating to the employee information and training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inform all employees concerning the availability of self-help smoking cessation program material. Upon employee request, the employer shall distribute such material, consisting of NIH Publication No, 89-1647, or equivalent self-help material, which is approved or published by a public health organization listed in appendix J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(l) </w:t>
      </w:r>
      <w:r w:rsidRPr="009F74C5">
        <w:rPr>
          <w:rFonts w:ascii="Arial" w:eastAsia="Times New Roman" w:hAnsi="Arial" w:cs="Arial"/>
          <w:i/>
          <w:iCs/>
          <w:sz w:val="20"/>
          <w:szCs w:val="20"/>
        </w:rPr>
        <w:t>Housekeeping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Vacuuming.</w:t>
      </w:r>
      <w:r w:rsidRPr="009F74C5">
        <w:rPr>
          <w:rFonts w:ascii="Arial" w:eastAsia="Times New Roman" w:hAnsi="Arial" w:cs="Arial"/>
          <w:sz w:val="20"/>
          <w:szCs w:val="20"/>
        </w:rPr>
        <w:t xml:space="preserve"> Where vacuuming methods are selected, HEPA filtered vacuuming equipment must be used. The equipment shall be used and emptied in a manner that minimizes the reentry of asbestos into the workplace.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Waste disposal.</w:t>
      </w:r>
      <w:r w:rsidRPr="009F74C5">
        <w:rPr>
          <w:rFonts w:ascii="Arial" w:eastAsia="Times New Roman" w:hAnsi="Arial" w:cs="Arial"/>
          <w:sz w:val="20"/>
          <w:szCs w:val="20"/>
        </w:rPr>
        <w:t xml:space="preserve"> Asbestos waste, scrap, debris, bags, containers, equipment, and contaminated clothing consigned for disposal shall be collected and disposed of in sealed, labeled, impermeable bags or other closed, labeled, impermeable containers except in roofing operations, where the procedures specified in paragraph (g)(8)(ii)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Care of asbestos-containing flooring material.</w:t>
      </w:r>
      <w:r w:rsidRPr="009F74C5">
        <w:rPr>
          <w:rFonts w:ascii="Arial" w:eastAsia="Times New Roman" w:hAnsi="Arial" w:cs="Arial"/>
          <w:sz w:val="20"/>
          <w:szCs w:val="20"/>
        </w:rPr>
        <w:t xml:space="preserve"> (i) All vinyl and asphalt flooring material shall be maintained in accordance with this paragraph unless the building/facility owner demonstrates, pursuant to paragraph (g)(8)(i)(I) of this section that the flooring does not contain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Sanding of flooring material is prohibited.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Stripping of finishes shall be conducted using low abrasion pads at speeds lower than 300 rpm and wet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Burnishing or dry buffing may be performed only on flooring which has sufficient finish so that the pad cannot contact the flooring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Waste and debris and accompanying dust in an area containing accessible thermal system insulation or surfacing ACM/PACM or visibly deteriorated ACM: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Shall not be dusted or swept dry, or vacuumed without using a HEPA filter;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Shall be promptly cleaned up and disposed of in leak tight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 (1) General—(i) </w:t>
      </w:r>
      <w:r w:rsidRPr="009F74C5">
        <w:rPr>
          <w:rFonts w:ascii="Arial" w:eastAsia="Times New Roman" w:hAnsi="Arial" w:cs="Arial"/>
          <w:i/>
          <w:iCs/>
          <w:sz w:val="20"/>
          <w:szCs w:val="20"/>
        </w:rPr>
        <w:t>Employees covered.</w:t>
      </w:r>
      <w:r w:rsidRPr="009F74C5">
        <w:rPr>
          <w:rFonts w:ascii="Arial" w:eastAsia="Times New Roman" w:hAnsi="Arial" w:cs="Arial"/>
          <w:sz w:val="20"/>
          <w:szCs w:val="20"/>
        </w:rPr>
        <w:t xml:space="preserve"> (A) The employer shall institute a medical surveillance program for all employees who for a combined total of 30 or more days per year are engaged in Class I, II and III work or are exposed at or above a permissible exposure limit. For purposes of this paragraph, any day in which a worker engages in Class II or Class III operations or a combination thereof on intact material for one hour or less (taking into account the entire time spent on the removal operation, including cleanup) and, while doing so, adheres fully to the work practices specified in this standard, shall not be counted.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For employees otherwise required by this standard to wear a negative pressure respirator, employers shall ensure employees are physically able to perform the work and use the equipment. This determination shall be made under the supervision of a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Examination.</w:t>
      </w:r>
      <w:r w:rsidRPr="009F74C5">
        <w:rPr>
          <w:rFonts w:ascii="Arial" w:eastAsia="Times New Roman" w:hAnsi="Arial" w:cs="Arial"/>
          <w:sz w:val="20"/>
          <w:szCs w:val="20"/>
        </w:rPr>
        <w:t xml:space="preserve"> (A) The employer shall ensure that all medical examinations and procedures are performed by or under the supervision of a licensed physician, and are provided at no cost to the employee and at a reasonable time and 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Persons other than such licensed physicians who administer the pulmonary function testing required by this section shall complete a training course in spirometry sponsored by an appropriate academic or professional institution.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Medical examinations and consultations.</w:t>
      </w:r>
      <w:r w:rsidRPr="009F74C5">
        <w:rPr>
          <w:rFonts w:ascii="Arial" w:eastAsia="Times New Roman" w:hAnsi="Arial" w:cs="Arial"/>
          <w:sz w:val="20"/>
          <w:szCs w:val="20"/>
        </w:rPr>
        <w:t xml:space="preserve"> (i) Frequency. The employer shall make available medical examinations and consultations to each employee covered under paragraph (m)(1)(i) of this section on the following schedules: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Prior to assignment of the employee to an area where negative-pressure respirators are worn;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When the employee is assigned to an area where exposure to asbestos may be at or above the permissible exposure limit for 30 or more days per year, or engage in Class I, II, or III work for a combined total of 30 or more days per year, a medical examination must be given within 10 working days following the thirtieth day of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And at least annually thereafter.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If the examining physician determines that any of the examinations should be provided more frequently than specified, the employer shall provide such examinations to affected employees at the frequencies specified by the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(E) Exception: No medical examination is required of any employee if adequate records show that the employee has been examined in accordance with this paragraph within the past 1-year period.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Content.</w:t>
      </w:r>
      <w:r w:rsidRPr="009F74C5">
        <w:rPr>
          <w:rFonts w:ascii="Arial" w:eastAsia="Times New Roman" w:hAnsi="Arial" w:cs="Arial"/>
          <w:sz w:val="20"/>
          <w:szCs w:val="20"/>
        </w:rPr>
        <w:t xml:space="preserve"> Medical examinations made available pursuant to paragraphs (m)(2)(i)(A) through (m)(2)(i)(C) of this section shall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medical and work history with special emphasis directed to the pulmonary, cardiovascular, and gastrointestinal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On initial examination, the standardized questionnaire contained in part 1 of appendix D to this section, and, on annual examination, the abbreviated standardized questionnaire contained in part 2 of appendix D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physical examination directed to the pulmonary and gastrointestinal systems, including a chest roentgenogram to be administered at the discretion of the physician, and pulmonary function tests of forced vital capacity (FVC) and forced expiratory volume at one second (FEV(1)). Interpretation and classification of chest shall be conducted in accordance with appendix E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Any other examinations or tests deemed necessary by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Information provided to the physician.</w:t>
      </w:r>
      <w:r w:rsidRPr="009F74C5">
        <w:rPr>
          <w:rFonts w:ascii="Arial" w:eastAsia="Times New Roman" w:hAnsi="Arial" w:cs="Arial"/>
          <w:sz w:val="20"/>
          <w:szCs w:val="20"/>
        </w:rPr>
        <w:t xml:space="preserve"> The employer shall provide the following information to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copy of this standard and Appendices D, E, and I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description of the affected employee's duties as they relate to the employee's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employee's representative exposure level or anticipated exposure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description of any personal protective and respiratory equipment used or to be used;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Information from previous medical examinations of the affected employee that is not otherwise available to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Physician's written opinion.</w:t>
      </w:r>
      <w:r w:rsidRPr="009F74C5">
        <w:rPr>
          <w:rFonts w:ascii="Arial" w:eastAsia="Times New Roman" w:hAnsi="Arial" w:cs="Arial"/>
          <w:sz w:val="20"/>
          <w:szCs w:val="20"/>
        </w:rPr>
        <w:t xml:space="preserve"> (i) The employer shall obtain a written opinion from the examining physician. This written opinion shall contain the results of the medical examination and shall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physician's opinion as to whether the employee has any detected medical conditions that would place the employee at an increased risk of material health impairment from exposure to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Any recommended limitations on the employee or on the use of personal protective equipment such as respirators;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statement that the employee has been informed by the physician of the results of the medical examination and of any medical conditions that may result from asbestos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 statement that the employee has been informed by the physician of the increased risk of lung cancer attributable to the combined effect of smoking and asbestos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instruct the physician not to reveal in the written opinion given to the employer specific findings or diagnoses unrelated to occupational exposure to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The employer shall provide a copy of the physician's written opinion to the affected employee within 30 days from its receipt.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Recordkeeping.</w:t>
      </w:r>
      <w:r w:rsidRPr="009F74C5">
        <w:rPr>
          <w:rFonts w:ascii="Arial" w:eastAsia="Times New Roman" w:hAnsi="Arial" w:cs="Arial"/>
          <w:sz w:val="20"/>
          <w:szCs w:val="20"/>
        </w:rPr>
        <w:t xml:space="preserve"> (1) Objective data relied on pursuant to paragraph (f) to this section. (i) Where the employer has relied on objective data that demonstrates that products made from or containing asbestos or the activity involving such products or material are not capable of releasing fibers of asbestos in concentrations at or above the permissible exposure limit and/or excursion limit under the expected conditions of processing, use, or handling to satisfy the requirements of paragraph (f), the employer shall establish and maintain an accurate record of objective data reasonably relied upon in support of the exemption.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product qualifying for exemption;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source of the objective data;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testing protocol, results of testing, and/or analysis of the material for the release of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 description of the operation exempted and how the data support the exemption;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Other data relevant to the operations, materials, processing, or employee exposures covered by the exemption.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maintain this record for the duration of the employer's reliance upon such objective data.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Exposure measurements.</w:t>
      </w:r>
      <w:r w:rsidRPr="009F74C5">
        <w:rPr>
          <w:rFonts w:ascii="Arial" w:eastAsia="Times New Roman" w:hAnsi="Arial" w:cs="Arial"/>
          <w:sz w:val="20"/>
          <w:szCs w:val="20"/>
        </w:rPr>
        <w:t xml:space="preserve"> (i) The employer shall keep an accurate record of all measurements taken to monitor employee exposure to asbestos as prescribed in paragraph (f) of this section. NOTE: The employer may utilize the services of competent organizations such as industry trade associations and employee associations to maintain the records required by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This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date of measurement;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operation involving exposure to asbestos that is being monitored;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Sampling and analytical methods used and evidence of their accuracy;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Number, duration, and results of samples taken;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Type of protective devices worn, if any;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Name, social security number, and exposure of the employees whose exposures are represented.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maintain this record for at least thirty (30) years, in accordance with 29 CFR 1910.33.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 (i) The employer shall establish and maintain an accurate record for each employee subject to medical surveillance by paragraph (m) of this section, in accordance with 29 CFR 1910.33.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name and social security number of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copy of the employee's medical examination results, including the medical history, questionnaire responses, results of any tests, and physician's recommendations.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Physician's written opinions;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Any employee medical complaints related to exposure to asbestos;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copy of the information provided to the physician as required by paragraph (m)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this record is maintained for the duration of employment plus thirty (30) years, in accordance with 29 CFR 1910.33.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Training records.</w:t>
      </w:r>
      <w:r w:rsidRPr="009F74C5">
        <w:rPr>
          <w:rFonts w:ascii="Arial" w:eastAsia="Times New Roman" w:hAnsi="Arial" w:cs="Arial"/>
          <w:sz w:val="20"/>
          <w:szCs w:val="20"/>
        </w:rPr>
        <w:t xml:space="preserve"> The employer shall maintain all employee training records for one (1) year beyond the last date of employment by that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Data to Rebut PACM.</w:t>
      </w:r>
      <w:r w:rsidRPr="009F74C5">
        <w:rPr>
          <w:rFonts w:ascii="Arial" w:eastAsia="Times New Roman" w:hAnsi="Arial" w:cs="Arial"/>
          <w:sz w:val="20"/>
          <w:szCs w:val="20"/>
        </w:rPr>
        <w:t xml:space="preserve"> Where the building owner and employer have relied on data to demonstrate that PACM is not asbestos-containing, such data shall be maintained for as long as they are relied upon to rebut the presumption.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Records of required notifications.</w:t>
      </w:r>
      <w:r w:rsidRPr="009F74C5">
        <w:rPr>
          <w:rFonts w:ascii="Arial" w:eastAsia="Times New Roman" w:hAnsi="Arial" w:cs="Arial"/>
          <w:sz w:val="20"/>
          <w:szCs w:val="20"/>
        </w:rPr>
        <w:t xml:space="preserve"> Where the building owner has communicated and received information concerning the identification, location and quantity of ACM and PACM, written records of such notifications and their content shall be maintained by the building owner for the duration of ownership and shall be transferred to successive owners of such buildings/facilities.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Availability.</w:t>
      </w:r>
      <w:r w:rsidRPr="009F74C5">
        <w:rPr>
          <w:rFonts w:ascii="Arial" w:eastAsia="Times New Roman" w:hAnsi="Arial" w:cs="Arial"/>
          <w:sz w:val="20"/>
          <w:szCs w:val="20"/>
        </w:rPr>
        <w:t xml:space="preserve"> (i) The employer, upon written request, shall make all records required to be maintained by this section available to the Assistant Secretary and the Director for examination and copying.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must comply with the requirements concerning availability of records set forth in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Transfer of records.</w:t>
      </w:r>
      <w:r w:rsidRPr="009F74C5">
        <w:rPr>
          <w:rFonts w:ascii="Arial" w:eastAsia="Times New Roman" w:hAnsi="Arial" w:cs="Arial"/>
          <w:sz w:val="20"/>
          <w:szCs w:val="20"/>
        </w:rPr>
        <w:t xml:space="preserve"> The employer must comply with the requirements concerning transfer of records set forth in 29 CFR 1910.1020(h).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Competent person.</w:t>
      </w:r>
      <w:r w:rsidRPr="009F74C5">
        <w:rPr>
          <w:rFonts w:ascii="Arial" w:eastAsia="Times New Roman" w:hAnsi="Arial" w:cs="Arial"/>
          <w:sz w:val="20"/>
          <w:szCs w:val="20"/>
        </w:rPr>
        <w:t xml:space="preserve"> (1) General. On all construction worksites covered by this standard, the employer shall designate a competent person, having the qualifications and authorities for ensuring worker safety and health required by subpart C, General Safety and Health Provisions for Construction (29 CFR 1926.20 through 1926.32).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Required inspections by the competent person.</w:t>
      </w:r>
      <w:r w:rsidRPr="009F74C5">
        <w:rPr>
          <w:rFonts w:ascii="Arial" w:eastAsia="Times New Roman" w:hAnsi="Arial" w:cs="Arial"/>
          <w:sz w:val="20"/>
          <w:szCs w:val="20"/>
        </w:rPr>
        <w:t xml:space="preserve"> Section 1926.20(b)(2) which requires health and safety prevention programs to provide for frequent and regular inspections of the job sites, materials, and equipment to be made by competent persons, is incorporated.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Additional inspections.</w:t>
      </w:r>
      <w:r w:rsidRPr="009F74C5">
        <w:rPr>
          <w:rFonts w:ascii="Arial" w:eastAsia="Times New Roman" w:hAnsi="Arial" w:cs="Arial"/>
          <w:sz w:val="20"/>
          <w:szCs w:val="20"/>
        </w:rPr>
        <w:t xml:space="preserve"> In addition, the competent person shall make frequent and regular inspections of the job sites, in order to perform the duties set out below in paragraph (o)(3)(i) of this section. For Class I jobs, on-site inspections shall be made at least once during each work shift, and at any time at employee request. For Class II, III, and IV jobs, on-site inspections shall be made at intervals sufficient to assess whether conditions have changed, and at any reasonable time at employee request.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On all worksites where employees are engaged in Class I or II asbestos work, the competent person designated in accordance with paragraph (e)(6) of this section shall perform or supervise the following duties, as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Set up the regulated area, enclosure, or other containment;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Ensure (by on-site inspection) the integrity of the enclosure or containment;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Set up procedures to control entry to and exit from the enclosure and/or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Supervise all employee exposure monitoring required by this section and ensure that it is conducted as required by paragraph (f)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Ensure that employees working within the enclosure and/or using glove bags wear respirators and protective clothing as required by paragraphs (h) and (i)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Ensure through on-site supervision, that employees set up, use, and remove engineering controls, use work practices and personal protective equipment in compliance with all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Ensure that employees use the hygiene facilities and observe the decontamination procedures specified in paragraph (j)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Ensure that through on-site inspection, engineering controls are functioning properly and employees are using proper work practices;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Ensure that notification requirement in paragraph (k)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Training for the competent person.</w:t>
      </w:r>
      <w:r w:rsidRPr="009F74C5">
        <w:rPr>
          <w:rFonts w:ascii="Arial" w:eastAsia="Times New Roman" w:hAnsi="Arial" w:cs="Arial"/>
          <w:sz w:val="20"/>
          <w:szCs w:val="20"/>
        </w:rPr>
        <w:t xml:space="preserve"> (i) For Class I and II asbestos work the competent person shall be trained in all aspects of asbestos removal and handling, including: abatement, installation, removal and handling; the contents of this standard; the identification of asbestos; removal procedures, where appropriate; and other practices for reducing the hazard. Such training shall be obtained in a comprehensive course for supervisors that meets the criteria of EPA's Model Accreditation Plan (40 CFR part 763, subpart E, appendix C), such as a course conducted by an EPA-approved or state-approved training provider, certified by EPA or a state, or a course equivalent in stringency, content, and length.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Class III and IV asbestos work, the competent person shall be trained in aspects of asbestos handling appropriate for the nature of the work, to include procedures for setting up glove bags and mini-enclosures, practices for reducing asbestos exposures, use of wet methods, the contents of this standard, and the identification of asbestos. Such training shall include successful completion of a course that is consistent with EPA requirements for training of local education agency maintenance and custodial staff as set forth at 40 CFR 763.92(a)(2), or its equivalent in stringency, content and length. Competent persons for Class III and IV work, may also be trained pursuant to the requirements of paragraph (o)(4)(i)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(p) </w:t>
      </w:r>
      <w:r w:rsidRPr="009F74C5">
        <w:rPr>
          <w:rFonts w:ascii="Arial" w:eastAsia="Times New Roman" w:hAnsi="Arial" w:cs="Arial"/>
          <w:i/>
          <w:iCs/>
          <w:sz w:val="20"/>
          <w:szCs w:val="20"/>
        </w:rPr>
        <w:t>Appendices.</w:t>
      </w:r>
      <w:r w:rsidRPr="009F74C5">
        <w:rPr>
          <w:rFonts w:ascii="Arial" w:eastAsia="Times New Roman" w:hAnsi="Arial" w:cs="Arial"/>
          <w:sz w:val="20"/>
          <w:szCs w:val="20"/>
        </w:rPr>
        <w:t xml:space="preserve"> (1) Appendices A, C, D, and E to this section are incorporated as part of this section and the contents of these appendices are 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Appendices B, F, H, I, J, and K to this section are informational and are not intended to create any additional obligations not otherwise imposed or to detract from any existing obligations.</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A to §1926.1101—OSHA Reference Method—Mandatory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mandatory appendix specifies the procedure for analyzing air samples for asbestos and specifies quality control procedures that must be implemented by laboratories performing the analysis. The sampling and analytical methods described below represent the elements of the available monitoring methods (such as appendix B of this regulation, the most current version of the OSHA method ID-160, or the most current version of the NIOSH Method 7400). All employers who are required to conduct air monitoring under paragraph (f) of the standard are required to utilize analytical laboratories that use this procedure, or an equivalent method, for collecting and analyzing samples.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Sampling and Analytical Procedure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The sampling medium for air samples shall be mixed cellulose ester filter membranes. These shall be designated by the manufacturer as suitable for asbestos counting. See below for rejection of blanks.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The preferred collection device shall be the 25-mm diameter cassette with an open-faced 50-mm electrically conductive extension cowl. The 37-mm cassette may be used if necessary but only if written justification for the need to use the 37-mm filter cassette accompanies the sample results in the employee's exposure monitoring record. Do not reuse or reload cassettes for asbestos sample collection.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An air flow rate between 0.5 liter/min and 2.5 liters/min shall be selected for the 25/mm cassette. If the 37-mm cassette is used, an air flow rate between 1 liter/min and 2.5 liters/min shall be selected.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Where possible, a sufficient air volume for each air sample shall be collected to yield between 100 and 1,300 fibers per square millimeter on the membrane filter. If a filter darkens in appearance or if loose dust is seen on the filter, a second sample shall be started.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 Calibrate each personal sampling pump before and after use with a representative filter cassette installed between the pump and the calibration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7. Personal samples shall be taken in the “breathing zone” of the employee (i.e., attached to or near the collar or lapel near the worker's face).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8. Fiber counts shall be made by positive phase contrast using a microscope with an 8 to 10 X eyepiece and a 40 to 45 X objective for a total magnification of approximately 400 X and a numerical aperture of 0.65 to 0.75. The microscope shall also be fitted with a green or blue filter.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9. The microscope shall be fitted with a Walton-Beckett eyepiece graticule calibrated for a field diameter of 100 micrometers (±2 micrometers).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10. The phase-shift detection limit of the microscope shall be about 3 degrees measured using the HSE phase shift test slide as outlined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Place the test slide on the microscope stage and center it under the phase objective.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Bring the blocks of grooved lines into focus.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lastRenderedPageBreak/>
        <w:t>Note:</w:t>
      </w:r>
      <w:r w:rsidRPr="009F74C5">
        <w:rPr>
          <w:rFonts w:ascii="Arial" w:eastAsia="Times New Roman" w:hAnsi="Arial" w:cs="Arial"/>
          <w:sz w:val="18"/>
          <w:szCs w:val="18"/>
        </w:rPr>
        <w:t xml:space="preserve"> The slide consists of seven sets of grooved lines (ca. 20 grooves to each block) in descending order of visibility from sets 1 to 7, seven being the least visible. The requirements for asbestos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counting.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If the image deteriorates, clean and adjust the microscope optics. If the problem persists, cosult the microscope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11. Each set of samples taken will include 10% field blanks or a minimum of 2 field blanks. These blanks must come from the same lot as the filters used for sample collection. The field blank results shall be averaged and subtracted from the analytical results before reporting. A set consists of any sample or group of samples for which an evaluation for this standard must be made. Any samples represented by a field blank having a fiber count in excess of the detection limit of the method being used shall be rejected.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12. The samples shall be mounted by the acetone/triacetin method or a method with an equivalent index of refraction and similar clarity.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13. Observe the following counting rules.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Count only fibers equal to or longer than 5 micrometers. Measure the length of curved fibers along the curve.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In the absence of other information, count all particles as asbestos, that have a length-to-width ratio (aspect ratio) of 3:1 or greater.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c. Fibers lying entirely within the boundary of the Walton-Beckett graticule field shall receive a count of 1. Fibers crossing the boundary once, having one end within the circle, shall receive the count of one half ( </w:t>
      </w: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 xml:space="preserve"> ). Do not count any fiber that crosses the graticule boundary more than once. Reject and do not count any other fibers even though they may be visible outside the graticule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Count bundles of fibers as one fiber unless individual fibers can be identified by observing both ends of an individual fiber.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 Count enough graticule fields to yield 100 fibers. Count a minimum of 20 fields; stop counting at 100 fields regardless of fiber count.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14. Blind recounts shall be conducted at the rate of 10 percent.</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Quality Control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Intralaboratory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laboratory, the program shall include all laboratories, and shall also evaluate the laboratory-to-laboratory variability.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2a. Interlaboratory program. Each laboratory analyzing asbestos samples for compliance determination shall implement an interlaboratory quality 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workload for use in this program. The round robin shall be designed and results analyzed using appropriate statistical methodology.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All laboratories should also participate in a national sample testing scheme such as the Proficiency Analytical Testing Program (PAT), or the Asbestos Registry sponsored by the American Industrial Hygiene Association (AIHA).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3. All individuals performing asbestos analysis must have taken the NIOSH course for sampling and evaluating airborne asbestos dust or an equivalent course.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When the use of different microscopes contributes to differences between counters and laboratories, the effect of the different microscope shall be evaluated and the microscope shall be replaced, as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Current results of these quality assurance programs shall be posted in each laboratory to keep the microscopists informed.</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B to §1926.1101—Sampling and Analysis (Non-Mandatory)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541"/>
        <w:gridCol w:w="3843"/>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Matrix Air: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480" w:type="dxa"/>
              <w:bottom w:w="12" w:type="dxa"/>
              <w:right w:w="12" w:type="dxa"/>
            </w:tcMar>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OSHA Permissible Exposure Limits: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2" w:type="dxa"/>
              <w:right w:w="12" w:type="dxa"/>
            </w:tcMar>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Time Weighted Average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0.1 fiber/cc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2" w:type="dxa"/>
              <w:right w:w="12" w:type="dxa"/>
            </w:tcMar>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Excursion Level (30 minutes)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 fiber/cc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Collection Procedure: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gridSpan w:val="2"/>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 known volume of air is drawn through a 25-mm diameter cassette containing a mixed-cellulose ester filter. The cassette must be equipped with an electrically conductive 50-mm extension cowl. The sampling time and rate are chosen to give a fiber density of between 100 to 1,300 fibers/mm2 on the filter.</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Recommended Sampling Rate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0.5 to 5.0 liters/minute (L/min)</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Recommended Air Volumes: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2" w:type="dxa"/>
              <w:right w:w="12" w:type="dxa"/>
            </w:tcMar>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Minimum</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25 L</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2" w:type="dxa"/>
              <w:right w:w="12" w:type="dxa"/>
            </w:tcMar>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Maximum</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2,400 L</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Analytical Procedure: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portion of the sample filter is cleared and prepared for asbestos fiber counting by Phase Contrast Microscopy (PCM) at 400X.</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Commercial manufacturers and products mentioned in this method are for descriptive use only and do not constitute endorsements by USDOL-OSHA. Similar products from other sources can be substituted.</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1. Introduction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This method describes the collection of airborne asbestos fibers using calibrated sampling pumps with mixed-cellulose ester (MCE) filters and analysis by phase contrast microscopy (PCM). Some terms used are unique to this method and are defined below: </w:t>
      </w:r>
      <w:r w:rsidRPr="009F74C5">
        <w:rPr>
          <w:rFonts w:ascii="Arial" w:eastAsia="Times New Roman" w:hAnsi="Arial" w:cs="Arial"/>
          <w:i/>
          <w:iCs/>
          <w:sz w:val="18"/>
          <w:szCs w:val="18"/>
        </w:rPr>
        <w:t>Asbestos:</w:t>
      </w:r>
      <w:r w:rsidRPr="009F74C5">
        <w:rPr>
          <w:rFonts w:ascii="Arial" w:eastAsia="Times New Roman" w:hAnsi="Arial" w:cs="Arial"/>
          <w:sz w:val="18"/>
          <w:szCs w:val="18"/>
        </w:rPr>
        <w:t xml:space="preserve"> 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926"/>
        <w:gridCol w:w="545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Chrysotile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w:t>
            </w:r>
            <w:r w:rsidRPr="009F74C5">
              <w:rPr>
                <w:rFonts w:ascii="Arial" w:eastAsia="Times New Roman" w:hAnsi="Arial" w:cs="Arial"/>
                <w:sz w:val="14"/>
                <w:szCs w:val="14"/>
                <w:vertAlign w:val="subscript"/>
              </w:rPr>
              <w:t>3</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5</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Crocidolite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Fe</w:t>
            </w:r>
            <w:r w:rsidRPr="009F74C5">
              <w:rPr>
                <w:rFonts w:ascii="Arial" w:eastAsia="Times New Roman" w:hAnsi="Arial" w:cs="Arial"/>
                <w:sz w:val="14"/>
                <w:szCs w:val="14"/>
                <w:vertAlign w:val="subscript"/>
              </w:rPr>
              <w:t>3</w:t>
            </w:r>
            <w:r w:rsidRPr="009F74C5">
              <w:rPr>
                <w:rFonts w:ascii="Arial" w:eastAsia="Times New Roman" w:hAnsi="Arial" w:cs="Arial"/>
                <w:sz w:val="20"/>
                <w:szCs w:val="20"/>
                <w:vertAlign w:val="superscript"/>
              </w:rPr>
              <w:t>2+</w:t>
            </w:r>
            <w:r w:rsidRPr="009F74C5">
              <w:rPr>
                <w:rFonts w:ascii="Arial" w:eastAsia="Times New Roman" w:hAnsi="Arial" w:cs="Arial"/>
                <w:sz w:val="20"/>
                <w:szCs w:val="20"/>
              </w:rPr>
              <w:t xml:space="preserve"> Fe</w:t>
            </w:r>
            <w:r w:rsidRPr="009F74C5">
              <w:rPr>
                <w:rFonts w:ascii="Arial" w:eastAsia="Times New Roman" w:hAnsi="Arial" w:cs="Arial"/>
                <w:sz w:val="14"/>
                <w:szCs w:val="14"/>
                <w:vertAlign w:val="subscript"/>
              </w:rPr>
              <w:t>2</w:t>
            </w:r>
            <w:r w:rsidRPr="009F74C5">
              <w:rPr>
                <w:rFonts w:ascii="Arial" w:eastAsia="Times New Roman" w:hAnsi="Arial" w:cs="Arial"/>
                <w:sz w:val="20"/>
                <w:szCs w:val="20"/>
                <w:vertAlign w:val="superscript"/>
              </w:rPr>
              <w:t>3+</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Amosite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7</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Tremolite-actinolite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Ca</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5</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Anthophyllite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7</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lastRenderedPageBreak/>
        <w:t>Asbestos Fiber:</w:t>
      </w:r>
      <w:r w:rsidRPr="009F74C5">
        <w:rPr>
          <w:rFonts w:ascii="Arial" w:eastAsia="Times New Roman" w:hAnsi="Arial" w:cs="Arial"/>
          <w:sz w:val="18"/>
          <w:szCs w:val="18"/>
        </w:rPr>
        <w:t xml:space="preserve"> A fiber of asbestos which meets the criteria specified below for a fiber.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Aspect Ratio:</w:t>
      </w:r>
      <w:r w:rsidRPr="009F74C5">
        <w:rPr>
          <w:rFonts w:ascii="Arial" w:eastAsia="Times New Roman" w:hAnsi="Arial" w:cs="Arial"/>
          <w:sz w:val="18"/>
          <w:szCs w:val="18"/>
        </w:rPr>
        <w:t xml:space="preserve"> The ratio of the length of a fiber to it's diameter (e.g. 3:1, 5:1 aspect ratios).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Cleavage Fragments:</w:t>
      </w:r>
      <w:r w:rsidRPr="009F74C5">
        <w:rPr>
          <w:rFonts w:ascii="Arial" w:eastAsia="Times New Roman" w:hAnsi="Arial" w:cs="Arial"/>
          <w:sz w:val="18"/>
          <w:szCs w:val="18"/>
        </w:rPr>
        <w:t xml:space="preserve"> Mineral particles formed by comminution of minerals, especially those characterized by parallel sides and a moderate aspect ratio (usually less than 20:1).</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Detection Limit:</w:t>
      </w:r>
      <w:r w:rsidRPr="009F74C5">
        <w:rPr>
          <w:rFonts w:ascii="Arial" w:eastAsia="Times New Roman" w:hAnsi="Arial" w:cs="Arial"/>
          <w:sz w:val="18"/>
          <w:szCs w:val="18"/>
        </w:rPr>
        <w:t xml:space="preserve"> The number of fibers necessary to be 95% certain that the result is greater than zero.</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Differential Counting:</w:t>
      </w:r>
      <w:r w:rsidRPr="009F74C5">
        <w:rPr>
          <w:rFonts w:ascii="Arial" w:eastAsia="Times New Roman" w:hAnsi="Arial" w:cs="Arial"/>
          <w:sz w:val="18"/>
          <w:szCs w:val="18"/>
        </w:rPr>
        <w:t xml:space="preserve"> The term applied to the practice of excluding certain kinds of fibers from the fiber count because they do not appear to be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Fiber:</w:t>
      </w:r>
      <w:r w:rsidRPr="009F74C5">
        <w:rPr>
          <w:rFonts w:ascii="Arial" w:eastAsia="Times New Roman" w:hAnsi="Arial" w:cs="Arial"/>
          <w:sz w:val="18"/>
          <w:szCs w:val="18"/>
        </w:rPr>
        <w:t xml:space="preserve"> A particle that is 5 µm or longer, with a length-to-width ratio of 3 to 1 or longer.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Field:</w:t>
      </w:r>
      <w:r w:rsidRPr="009F74C5">
        <w:rPr>
          <w:rFonts w:ascii="Arial" w:eastAsia="Times New Roman" w:hAnsi="Arial" w:cs="Arial"/>
          <w:sz w:val="18"/>
          <w:szCs w:val="18"/>
        </w:rPr>
        <w:t xml:space="preserve"> The area within the graticule circle that is superimposed on the microscope image.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Set:</w:t>
      </w:r>
      <w:r w:rsidRPr="009F74C5">
        <w:rPr>
          <w:rFonts w:ascii="Arial" w:eastAsia="Times New Roman" w:hAnsi="Arial" w:cs="Arial"/>
          <w:sz w:val="18"/>
          <w:szCs w:val="18"/>
        </w:rPr>
        <w:t xml:space="preserve"> The samples which are taken, submitted to the laboratory, analyzed, and for which, interim or final result reports are generated.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Tremolite, Anthophyllite, and Actinolite:</w:t>
      </w:r>
      <w:r w:rsidRPr="009F74C5">
        <w:rPr>
          <w:rFonts w:ascii="Arial" w:eastAsia="Times New Roman" w:hAnsi="Arial" w:cs="Arial"/>
          <w:sz w:val="18"/>
          <w:szCs w:val="18"/>
        </w:rPr>
        <w:t xml:space="preserve"> The non-asbestos form of these minerals which meet the definition of a fiber. It includes any of these minerals that have been chemically treated and/or altered.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Walton-Beckett Graticule:</w:t>
      </w:r>
      <w:r w:rsidRPr="009F74C5">
        <w:rPr>
          <w:rFonts w:ascii="Arial" w:eastAsia="Times New Roman" w:hAnsi="Arial" w:cs="Arial"/>
          <w:sz w:val="18"/>
          <w:szCs w:val="18"/>
        </w:rPr>
        <w:t xml:space="preserve"> An eyepiece graticule specifically designed for asbestos fiber counting. It consists of a circle with a projected diameter of 100 ±2 µm (area of about 0.00785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with a crosshair having tic-marks at 3-µm intervals in one direction and 5-µm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1.1. History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&amp; CAM 239. On May 29, 1971, OSHA specified filter membrane sampling with phase contrast counting for evaluation of asbestos exposures at work sites in the United States. The use of this technique was again required by OSHA in 1986. Phase contrast microscopy has continued to be the method of choice for the measurement of occupational exposure to asbestos.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1.2. Principle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is drawn through a MCE filter to capture airborne asbestos fibers. A wedge shaped portion of the filter is removed, placed on a glass microscope slide and made transparent. A measured area (field) is viewed by PCM. All the fibers meeting defined criteria for asbestos are counted and considered a measure of the airborne asbestos concentration.</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1.3. Advantages and Disadvantages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There are four main advantages of PCM over other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The technique is specific for fibers. Phase contrast is a fiber counting technique which excludes non-fibrous particles from the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The technique is inexpensive and does not require specialized knowledge to carry out the analysis for total fiber counts.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(3) The analysis is quick and can be performed on-site for rapid determination of air concentrations of asbestos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The technique has continuity with historical epidemiological studies so that estimates of expected disease can be inferred from long-term determinations of asbestos exposures.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µm in diameter while the finest asbestos fibers may be as small as 0.02 µm in diameter. For some exposures, substantially more fibers may be present than are actually counted.</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1.4. Workplace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Asbestos is used by the construction industry in such products as shingles, floor tiles, asbestos cement, roofing felts, insulation and acoustical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About 95% of the asbestos in commercial use in the United States is chrysotile. Crocidolite and amosite make up most of the remainder. Anthophyllite and tremolite or actinolite are likely to be encountered as contaminants in various industrial products.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1.5. Physical Properties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Asbestos fiber possesses a high tensile strength along its axis, is chemically inert, non-combustible, and heat resistant. It has a high electrical resistance and good sound absorbing properties. It can be weaved into cables, fabrics or other textiles, and also matted into asbestos papers, felts, or mats.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2. Range and Detection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2.1. The ideal counting range on the filter is 100 to 1,300 fibers/mm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With a Walton-Beckett graticule this range is equivalent to 0.8 to 10 fibers/field. Using NIOSH counting statistics, a count of 0.8 fibers/field would give an approximate coefficient of variation (CV) of 0.13.</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2.2. The detection limit for this method is 4.0 fibers per 100 fields or 5.5 fibers/mm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This was determined using an equation to estimate the maximum CV possible at a specific concentration (95% confidence) and a Lower Control Limit of zero. The CV value was then used to determine a corresponding concentration from historical CV vs fiber relationships. As an example: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Lower Control Limit (95% Confidence) = AC—1.645(CV)(AC)</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Where: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AC = Estimate of the airborne fiber concentration (fibers/cc) Setting the Lower Control Limit=0 and solving for CV:</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0 = AC—1.645(CV)(AC)</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CV = 0.61</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value was compared with CV vs. count curves. The count at which CV = 0.61 for Leidel-Busch counting statistics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lastRenderedPageBreak/>
        <w:t>3. Method Performance—Precision and Accuracy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At this time,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(N=36) and the concentration range was from 120 to 1,300 fibers/mm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4. Interferences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Fibrous substances, if present, may interfere with asbestos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Some common fibers are:</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fiberglass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anhydrite</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plant fibers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perlite veins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gypsum</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some synthetic fibers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membrane structures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sponge spicules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diatoms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microorganisms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wollastonite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use of electron microscopy or optical tests such as polarized light, and dispersion staining may be used to differentiate these materials from asbestos when necessary.</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5. Sampling</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5.1.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5.1.1.</w:t>
      </w:r>
      <w:r w:rsidRPr="009F74C5">
        <w:rPr>
          <w:rFonts w:ascii="Arial" w:eastAsia="Times New Roman" w:hAnsi="Arial" w:cs="Arial"/>
          <w:sz w:val="18"/>
          <w:szCs w:val="18"/>
        </w:rPr>
        <w:t xml:space="preserve"> Sample assembly (The assembly is shown in Figure 3). Conductive filter holder consisting of a 25-mm diameter, 3-piece cassette having a 50-mm long electrically conductive extension cowl. Backup pad, 25-mm, cellulose. Membrane filter, mixed-cellulose ester (MCE), 25-mm, plain, white, 0.4 to 1.2-µm pore size.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DO NOT RE-USE CASSETTES.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(b) Fully conductive cassettes are required to reduce fiber loss to the sides of the cassette due to electrostatic attraction.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lastRenderedPageBreak/>
        <w:t>(c) Purchase filters which have been selected by the manufacturer for asbestos counting or analyze representative filters for fiber background before use. Discard the filter lot if more than 4 fibers/100 fields are found.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 To decrease the possibility of contamination, the sampling system (filter-backup pad-cassette) for asbestos is usually preassembled by the manufacturer.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(e) Other cassettes, such as the Bell-mouth, may be used within the limits of their validation.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5.1.2.</w:t>
      </w:r>
      <w:r w:rsidRPr="009F74C5">
        <w:rPr>
          <w:rFonts w:ascii="Arial" w:eastAsia="Times New Roman" w:hAnsi="Arial" w:cs="Arial"/>
          <w:sz w:val="18"/>
          <w:szCs w:val="18"/>
        </w:rPr>
        <w:t xml:space="preserve"> Gel bands for sealing cassettes.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5.1.3.</w:t>
      </w:r>
      <w:r w:rsidRPr="009F74C5">
        <w:rPr>
          <w:rFonts w:ascii="Arial" w:eastAsia="Times New Roman" w:hAnsi="Arial" w:cs="Arial"/>
          <w:sz w:val="18"/>
          <w:szCs w:val="18"/>
        </w:rPr>
        <w:t xml:space="preserve"> Sampling pump.</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Each pump must be a battery operated, self-contained unit small enough to be placed on the monitored employee and not interfere with the work being performed. The pump must be capable of sampling at the collection rate for the required sampling time.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5.1.4.</w:t>
      </w:r>
      <w:r w:rsidRPr="009F74C5">
        <w:rPr>
          <w:rFonts w:ascii="Arial" w:eastAsia="Times New Roman" w:hAnsi="Arial" w:cs="Arial"/>
          <w:sz w:val="18"/>
          <w:szCs w:val="18"/>
        </w:rPr>
        <w:t xml:space="preserve"> Flexible tubing, 6-mm bore.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5.1.5.</w:t>
      </w:r>
      <w:r w:rsidRPr="009F74C5">
        <w:rPr>
          <w:rFonts w:ascii="Arial" w:eastAsia="Times New Roman" w:hAnsi="Arial" w:cs="Arial"/>
          <w:sz w:val="18"/>
          <w:szCs w:val="18"/>
        </w:rPr>
        <w:t xml:space="preserve"> Pump calibration.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Stopwatch and bubble tube/burette or electronic 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5.2. Sampling Procedure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5.2.1.</w:t>
      </w:r>
      <w:r w:rsidRPr="009F74C5">
        <w:rPr>
          <w:rFonts w:ascii="Arial" w:eastAsia="Times New Roman" w:hAnsi="Arial" w:cs="Arial"/>
          <w:sz w:val="18"/>
          <w:szCs w:val="18"/>
        </w:rPr>
        <w:t xml:space="preserve"> Seal the point where the base and cowl of each cassette meet with a gel band or tape.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5.2.2.</w:t>
      </w:r>
      <w:r w:rsidRPr="009F74C5">
        <w:rPr>
          <w:rFonts w:ascii="Arial" w:eastAsia="Times New Roman" w:hAnsi="Arial" w:cs="Arial"/>
          <w:sz w:val="18"/>
          <w:szCs w:val="18"/>
        </w:rPr>
        <w:t xml:space="preserve"> Charge the pumps completely before beginning.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5.2.3.</w:t>
      </w:r>
      <w:r w:rsidRPr="009F74C5">
        <w:rPr>
          <w:rFonts w:ascii="Arial" w:eastAsia="Times New Roman" w:hAnsi="Arial" w:cs="Arial"/>
          <w:sz w:val="18"/>
          <w:szCs w:val="18"/>
        </w:rPr>
        <w:t xml:space="preserve"> Connect each pump to a calibration cassette with an appropriate length of 6-mm bore plastic tubing. Do not use luer connectors—the type of cassette specified above has built-in adapters.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5.2.4.</w:t>
      </w:r>
      <w:r w:rsidRPr="009F74C5">
        <w:rPr>
          <w:rFonts w:ascii="Arial" w:eastAsia="Times New Roman" w:hAnsi="Arial" w:cs="Arial"/>
          <w:sz w:val="18"/>
          <w:szCs w:val="18"/>
        </w:rPr>
        <w:t xml:space="preserve"> Select an appropriate flow rate for the situation being monitored. The sampling flow rate must be between 0.5 and 5.0 L/min for personal sampling and is commonly set between 1 and 2 L/min. Always choose a flow rate that will not produce overloaded filters.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5.2.5.</w:t>
      </w:r>
      <w:r w:rsidRPr="009F74C5">
        <w:rPr>
          <w:rFonts w:ascii="Arial" w:eastAsia="Times New Roman" w:hAnsi="Arial" w:cs="Arial"/>
          <w:sz w:val="18"/>
          <w:szCs w:val="18"/>
        </w:rPr>
        <w:t xml:space="preserve"> 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If sampling site calibration is not possible, environmental influences may affect the flow rate. The extent is dependent on the type of pump used. Consult with the pump manufacturer to determine dependence on environmental influences. If the pump is affected by temperature and pressure changes, correct the flow rate using the formula shown in the section “Sampling Pump Flow Rate Corrections” at the end of this appendix.</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5.2.6.</w:t>
      </w:r>
      <w:r w:rsidRPr="009F74C5">
        <w:rPr>
          <w:rFonts w:ascii="Arial" w:eastAsia="Times New Roman" w:hAnsi="Arial" w:cs="Arial"/>
          <w:sz w:val="18"/>
          <w:szCs w:val="18"/>
        </w:rPr>
        <w:t xml:space="preserve"> 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5.2.7.</w:t>
      </w:r>
      <w:r w:rsidRPr="009F74C5">
        <w:rPr>
          <w:rFonts w:ascii="Arial" w:eastAsia="Times New Roman" w:hAnsi="Arial" w:cs="Arial"/>
          <w:sz w:val="18"/>
          <w:szCs w:val="18"/>
        </w:rPr>
        <w:t xml:space="preserve"> A suggested minimum air volume when sampling to determine TWA compliance is 25 L. For Excursion Limit (30 min sampling time) evaluations, a minimum air volume of 48 L is recommended.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5.2.8.</w:t>
      </w:r>
      <w:r w:rsidRPr="009F74C5">
        <w:rPr>
          <w:rFonts w:ascii="Arial" w:eastAsia="Times New Roman" w:hAnsi="Arial" w:cs="Arial"/>
          <w:sz w:val="18"/>
          <w:szCs w:val="18"/>
        </w:rPr>
        <w:t xml:space="preserve"> The most significant problem when sampling for asbestos is overloading the filter with non-asbestos dust. Suggested maximum air sample volumes for specific environments are: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7135"/>
        <w:gridCol w:w="2249"/>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lastRenderedPageBreak/>
              <w:t>Environment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Air Vol. (L)</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Asbestos removal operations (visible dust)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Asbestos removal operations (little dust)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Office environments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400 to 2,400.</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CAUTION:</w:t>
      </w:r>
      <w:r w:rsidRPr="009F74C5">
        <w:rPr>
          <w:rFonts w:ascii="Arial" w:eastAsia="Times New Roman" w:hAnsi="Arial" w:cs="Arial"/>
          <w:sz w:val="18"/>
          <w:szCs w:val="18"/>
        </w:rPr>
        <w:t xml:space="preserve">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While sampling, observe the filter with a small flashlight. If there is a visible layer of dust on the filter, stop sampling, remove and seal the cassette, and replace with a new sampling assembly. The total dust loading should not exceed 1 mg.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5.2.9.</w:t>
      </w:r>
      <w:r w:rsidRPr="009F74C5">
        <w:rPr>
          <w:rFonts w:ascii="Arial" w:eastAsia="Times New Roman" w:hAnsi="Arial" w:cs="Arial"/>
          <w:sz w:val="18"/>
          <w:szCs w:val="18"/>
        </w:rPr>
        <w:t xml:space="preserve"> 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5.2.10.</w:t>
      </w:r>
      <w:r w:rsidRPr="009F74C5">
        <w:rPr>
          <w:rFonts w:ascii="Arial" w:eastAsia="Times New Roman" w:hAnsi="Arial" w:cs="Arial"/>
          <w:sz w:val="18"/>
          <w:szCs w:val="18"/>
        </w:rPr>
        <w:t xml:space="preserve"> Immediately after sampling, close and seal each cassette with the base and plastic plugs. Do not touch or puncture the filter membrane as this will invalidate the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5.2.11</w:t>
      </w:r>
      <w:r w:rsidRPr="009F74C5">
        <w:rPr>
          <w:rFonts w:ascii="Arial" w:eastAsia="Times New Roman" w:hAnsi="Arial" w:cs="Arial"/>
          <w:sz w:val="18"/>
          <w:szCs w:val="18"/>
        </w:rPr>
        <w:t>   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5.3.1.</w:t>
      </w:r>
      <w:r w:rsidRPr="009F74C5">
        <w:rPr>
          <w:rFonts w:ascii="Arial" w:eastAsia="Times New Roman" w:hAnsi="Arial" w:cs="Arial"/>
          <w:sz w:val="18"/>
          <w:szCs w:val="18"/>
        </w:rPr>
        <w:t xml:space="preserve"> Send the samples to the laboratory with paperwork requesting asbestos analysis. List any known fibrous interferences present during sampling on the paperwork. Also, note the workplace operation(s) sampled.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5.3.2.</w:t>
      </w:r>
      <w:r w:rsidRPr="009F74C5">
        <w:rPr>
          <w:rFonts w:ascii="Arial" w:eastAsia="Times New Roman" w:hAnsi="Arial" w:cs="Arial"/>
          <w:sz w:val="18"/>
          <w:szCs w:val="18"/>
        </w:rPr>
        <w:t xml:space="preserve"> Secure and handle the samples in such that they will not rattle during shipment nor be exposed to static electricity. Do not ship samples in expanded polystyrene peanuts, vermiculite, paper shreds, or excelsior. Tape sample cassettes to sheet bubbles and place in a container that will cushion the samples in such a manner that they will not rattle.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5.3.3.</w:t>
      </w:r>
      <w:r w:rsidRPr="009F74C5">
        <w:rPr>
          <w:rFonts w:ascii="Arial" w:eastAsia="Times New Roman" w:hAnsi="Arial" w:cs="Arial"/>
          <w:sz w:val="18"/>
          <w:szCs w:val="18"/>
        </w:rPr>
        <w:t xml:space="preserve"> To avoid the possibility of sample contamination, always ship bulk samples in separate mailing containers.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6. Analysis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6.1. Safety Precautions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6.1.1.</w:t>
      </w:r>
      <w:r w:rsidRPr="009F74C5">
        <w:rPr>
          <w:rFonts w:ascii="Arial" w:eastAsia="Times New Roman" w:hAnsi="Arial" w:cs="Arial"/>
          <w:sz w:val="18"/>
          <w:szCs w:val="18"/>
        </w:rPr>
        <w:t xml:space="preserve"> Acetone is extremely flammable and precautions must be taken not to ignite it. Avoid using large containers or quantities of acetone. Transfer the solvent in a ventilated laboratory hood. Do not use acetone near any open flame. For generation of acetone vapor, use a spark free heat source.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6.1.2.</w:t>
      </w:r>
      <w:r w:rsidRPr="009F74C5">
        <w:rPr>
          <w:rFonts w:ascii="Arial" w:eastAsia="Times New Roman" w:hAnsi="Arial" w:cs="Arial"/>
          <w:sz w:val="18"/>
          <w:szCs w:val="18"/>
        </w:rPr>
        <w:t xml:space="preserve"> 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CAUTION:</w:t>
      </w:r>
      <w:r w:rsidRPr="009F74C5">
        <w:rPr>
          <w:rFonts w:ascii="Arial" w:eastAsia="Times New Roman" w:hAnsi="Arial" w:cs="Arial"/>
          <w:sz w:val="18"/>
          <w:szCs w:val="18"/>
        </w:rPr>
        <w:t xml:space="preserve"> Do not use a vacuum without a HEPA filter—It will disperse fine asbestos fibers in the air.</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lastRenderedPageBreak/>
        <w:t>6.2.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w:t>
      </w:r>
      <w:r w:rsidRPr="009F74C5">
        <w:rPr>
          <w:rFonts w:ascii="Arial" w:eastAsia="Times New Roman" w:hAnsi="Arial" w:cs="Arial"/>
          <w:sz w:val="18"/>
          <w:szCs w:val="18"/>
        </w:rPr>
        <w:t xml:space="preserve"> Phase contrast microscope with binocular or trinocular head.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6.2.2.</w:t>
      </w:r>
      <w:r w:rsidRPr="009F74C5">
        <w:rPr>
          <w:rFonts w:ascii="Arial" w:eastAsia="Times New Roman" w:hAnsi="Arial" w:cs="Arial"/>
          <w:sz w:val="18"/>
          <w:szCs w:val="18"/>
        </w:rPr>
        <w:t xml:space="preserve"> Widefield or Huygenian 10X eyepieces (NOTE: The eyepiece containing the graticule must be a focusing eyepiece. Use a 40X phase objective with a numerical aperture of 0.65 to 0.75).</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6.2.3.</w:t>
      </w:r>
      <w:r w:rsidRPr="009F74C5">
        <w:rPr>
          <w:rFonts w:ascii="Arial" w:eastAsia="Times New Roman" w:hAnsi="Arial" w:cs="Arial"/>
          <w:sz w:val="18"/>
          <w:szCs w:val="18"/>
        </w:rPr>
        <w:t xml:space="preserve"> Kohler illumination (if possible) with green or blue filter.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6.2.4.</w:t>
      </w:r>
      <w:r w:rsidRPr="009F74C5">
        <w:rPr>
          <w:rFonts w:ascii="Arial" w:eastAsia="Times New Roman" w:hAnsi="Arial" w:cs="Arial"/>
          <w:sz w:val="18"/>
          <w:szCs w:val="18"/>
        </w:rPr>
        <w:t xml:space="preserve"> Walton-Beckett Graticule, type G-22 with 100 ±2 µm projected diameter.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6.2.5.</w:t>
      </w:r>
      <w:r w:rsidRPr="009F74C5">
        <w:rPr>
          <w:rFonts w:ascii="Arial" w:eastAsia="Times New Roman" w:hAnsi="Arial" w:cs="Arial"/>
          <w:sz w:val="18"/>
          <w:szCs w:val="18"/>
        </w:rPr>
        <w:t xml:space="preserve"> Mechanical stage. A rotating mechanical stage is convenient for use with polarized light.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6.2.6.</w:t>
      </w:r>
      <w:r w:rsidRPr="009F74C5">
        <w:rPr>
          <w:rFonts w:ascii="Arial" w:eastAsia="Times New Roman" w:hAnsi="Arial" w:cs="Arial"/>
          <w:sz w:val="18"/>
          <w:szCs w:val="18"/>
        </w:rPr>
        <w:t xml:space="preserve"> Phase telescope.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6.2.7.</w:t>
      </w:r>
      <w:r w:rsidRPr="009F74C5">
        <w:rPr>
          <w:rFonts w:ascii="Arial" w:eastAsia="Times New Roman" w:hAnsi="Arial" w:cs="Arial"/>
          <w:sz w:val="18"/>
          <w:szCs w:val="18"/>
        </w:rPr>
        <w:t xml:space="preserve"> Stage micrometer with 0.01-mm subdivisions.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6.2.8.</w:t>
      </w:r>
      <w:r w:rsidRPr="009F74C5">
        <w:rPr>
          <w:rFonts w:ascii="Arial" w:eastAsia="Times New Roman" w:hAnsi="Arial" w:cs="Arial"/>
          <w:sz w:val="18"/>
          <w:szCs w:val="18"/>
        </w:rPr>
        <w:t xml:space="preserve"> Phase-shift test slide, mark II (Available from PTR optics Ltd., and also McCrone).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6.2.9.</w:t>
      </w:r>
      <w:r w:rsidRPr="009F74C5">
        <w:rPr>
          <w:rFonts w:ascii="Arial" w:eastAsia="Times New Roman" w:hAnsi="Arial" w:cs="Arial"/>
          <w:sz w:val="18"/>
          <w:szCs w:val="18"/>
        </w:rPr>
        <w:t xml:space="preserve"> Precleaned glass slides, 25 mm×75 mm. One end can be frosted for convenience in writing sample numbers, etc., or paste-on labels can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6.2.10.</w:t>
      </w:r>
      <w:r w:rsidRPr="009F74C5">
        <w:rPr>
          <w:rFonts w:ascii="Arial" w:eastAsia="Times New Roman" w:hAnsi="Arial" w:cs="Arial"/>
          <w:sz w:val="18"/>
          <w:szCs w:val="18"/>
        </w:rPr>
        <w:t xml:space="preserve"> Cover glass #1</w:t>
      </w: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 xml:space="preserve"> .</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6.2.11.</w:t>
      </w:r>
      <w:r w:rsidRPr="009F74C5">
        <w:rPr>
          <w:rFonts w:ascii="Arial" w:eastAsia="Times New Roman" w:hAnsi="Arial" w:cs="Arial"/>
          <w:sz w:val="18"/>
          <w:szCs w:val="18"/>
        </w:rPr>
        <w:t xml:space="preserve"> Scalpel (#10, curved blade).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6.2.12.</w:t>
      </w:r>
      <w:r w:rsidRPr="009F74C5">
        <w:rPr>
          <w:rFonts w:ascii="Arial" w:eastAsia="Times New Roman" w:hAnsi="Arial" w:cs="Arial"/>
          <w:sz w:val="18"/>
          <w:szCs w:val="18"/>
        </w:rPr>
        <w:t xml:space="preserve"> Fine tipped forceps.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6.2.13.</w:t>
      </w:r>
      <w:r w:rsidRPr="009F74C5">
        <w:rPr>
          <w:rFonts w:ascii="Arial" w:eastAsia="Times New Roman" w:hAnsi="Arial" w:cs="Arial"/>
          <w:sz w:val="18"/>
          <w:szCs w:val="18"/>
        </w:rPr>
        <w:t xml:space="preserve"> Aluminum block for clearing filter (see appendix D and Figure 4).</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6.2.14.</w:t>
      </w:r>
      <w:r w:rsidRPr="009F74C5">
        <w:rPr>
          <w:rFonts w:ascii="Arial" w:eastAsia="Times New Roman" w:hAnsi="Arial" w:cs="Arial"/>
          <w:sz w:val="18"/>
          <w:szCs w:val="18"/>
        </w:rPr>
        <w:t xml:space="preserve"> Automatic adjustable pipette, 100- to 500-µL.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6.2.15.</w:t>
      </w:r>
      <w:r w:rsidRPr="009F74C5">
        <w:rPr>
          <w:rFonts w:ascii="Arial" w:eastAsia="Times New Roman" w:hAnsi="Arial" w:cs="Arial"/>
          <w:sz w:val="18"/>
          <w:szCs w:val="18"/>
        </w:rPr>
        <w:t xml:space="preserve"> Micropipette, 5 µL.</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6.3. Reagents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6.3.1.</w:t>
      </w:r>
      <w:r w:rsidRPr="009F74C5">
        <w:rPr>
          <w:rFonts w:ascii="Arial" w:eastAsia="Times New Roman" w:hAnsi="Arial" w:cs="Arial"/>
          <w:sz w:val="18"/>
          <w:szCs w:val="18"/>
        </w:rPr>
        <w:t xml:space="preserve"> Acetone (HPLC grade).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6.3.2.</w:t>
      </w:r>
      <w:r w:rsidRPr="009F74C5">
        <w:rPr>
          <w:rFonts w:ascii="Arial" w:eastAsia="Times New Roman" w:hAnsi="Arial" w:cs="Arial"/>
          <w:sz w:val="18"/>
          <w:szCs w:val="18"/>
        </w:rPr>
        <w:t xml:space="preserve"> Triacetin (glycerol triacetate).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6.3.3.</w:t>
      </w:r>
      <w:r w:rsidRPr="009F74C5">
        <w:rPr>
          <w:rFonts w:ascii="Arial" w:eastAsia="Times New Roman" w:hAnsi="Arial" w:cs="Arial"/>
          <w:sz w:val="18"/>
          <w:szCs w:val="18"/>
        </w:rPr>
        <w:t xml:space="preserve"> Lacquer or nail polish.</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6.4. Standard Preparation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Since only about one-fourth of a 25-mm sample membrane is required for an asbestos count, any PAT sample can serve as a “standard” for replicate counting.</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6.5. Sample Mounting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lastRenderedPageBreak/>
        <w:t>Note:</w:t>
      </w:r>
      <w:r w:rsidRPr="009F74C5">
        <w:rPr>
          <w:rFonts w:ascii="Arial" w:eastAsia="Times New Roman" w:hAnsi="Arial" w:cs="Arial"/>
          <w:sz w:val="18"/>
          <w:szCs w:val="18"/>
        </w:rPr>
        <w:t xml:space="preserve"> See Safety Precautions in Section 6.1.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An aluminum block or similar device is required for sample preparation.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6.5.1.</w:t>
      </w:r>
      <w:r w:rsidRPr="009F74C5">
        <w:rPr>
          <w:rFonts w:ascii="Arial" w:eastAsia="Times New Roman" w:hAnsi="Arial" w:cs="Arial"/>
          <w:sz w:val="18"/>
          <w:szCs w:val="18"/>
        </w:rPr>
        <w:t xml:space="preserve"> Heat the aluminum block to about 70 °C. The hot block should not be used on any surface that can be damaged by either the heat or from exposure to acetone.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6.5.2.</w:t>
      </w:r>
      <w:r w:rsidRPr="009F74C5">
        <w:rPr>
          <w:rFonts w:ascii="Arial" w:eastAsia="Times New Roman" w:hAnsi="Arial" w:cs="Arial"/>
          <w:sz w:val="18"/>
          <w:szCs w:val="18"/>
        </w:rPr>
        <w:t xml:space="preserve"> Ensure that the glass slides and cover glasses are free of dust and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6.5.3.</w:t>
      </w:r>
      <w:r w:rsidRPr="009F74C5">
        <w:rPr>
          <w:rFonts w:ascii="Arial" w:eastAsia="Times New Roman" w:hAnsi="Arial" w:cs="Arial"/>
          <w:sz w:val="18"/>
          <w:szCs w:val="18"/>
        </w:rPr>
        <w:t xml:space="preserve"> Remove the top plug to prevent a vacuum when the cassette is opened. Clean the outside of the cassette if necessary. Cut the seal and/or tape on the cassette with a razor blade. Very carefully separate the base from the extension cowl, leaving the filter and backup pad in the base.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6.5.4.</w:t>
      </w:r>
      <w:r w:rsidRPr="009F74C5">
        <w:rPr>
          <w:rFonts w:ascii="Arial" w:eastAsia="Times New Roman" w:hAnsi="Arial" w:cs="Arial"/>
          <w:sz w:val="18"/>
          <w:szCs w:val="18"/>
        </w:rPr>
        <w:t xml:space="preserve"> 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6.5.5.</w:t>
      </w:r>
      <w:r w:rsidRPr="009F74C5">
        <w:rPr>
          <w:rFonts w:ascii="Arial" w:eastAsia="Times New Roman" w:hAnsi="Arial" w:cs="Arial"/>
          <w:sz w:val="18"/>
          <w:szCs w:val="18"/>
        </w:rPr>
        <w:t xml:space="preserve"> Place the tip of the micropipette containing about 200 µL acetone into the aluminum block. Insert the glass slide into the receiving slot in the aluminum block. Inject the acetone into the block with slow, steady pressure on the plunger while holding the pipette firmly in place. Wait 3 to 5 seconds for the filter to clear, then remove the pipette and slide from the aluminum block.</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6.5.6.</w:t>
      </w:r>
      <w:r w:rsidRPr="009F74C5">
        <w:rPr>
          <w:rFonts w:ascii="Arial" w:eastAsia="Times New Roman" w:hAnsi="Arial" w:cs="Arial"/>
          <w:sz w:val="18"/>
          <w:szCs w:val="18"/>
        </w:rPr>
        <w:t xml:space="preserve"> Immediately (less than 30 seconds) place 2.5 to 3.5 µL of triacetin on the filter (NOTE: Waiting longer than 30 seconds will result in increased index of refraction and decreased contrast between the fibers and the preparation. This may also lead to separation of the cover slip from the slide).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6.5.7.</w:t>
      </w:r>
      <w:r w:rsidRPr="009F74C5">
        <w:rPr>
          <w:rFonts w:ascii="Arial" w:eastAsia="Times New Roman" w:hAnsi="Arial" w:cs="Arial"/>
          <w:sz w:val="18"/>
          <w:szCs w:val="18"/>
        </w:rPr>
        <w:t xml:space="preserve"> 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6.5.8.</w:t>
      </w:r>
      <w:r w:rsidRPr="009F74C5">
        <w:rPr>
          <w:rFonts w:ascii="Arial" w:eastAsia="Times New Roman" w:hAnsi="Arial" w:cs="Arial"/>
          <w:sz w:val="18"/>
          <w:szCs w:val="18"/>
        </w:rPr>
        <w:t xml:space="preserve"> If clearing is slow, warm the slide for 15 min on a hot plate having a surface temperature of about 50 °C to hasten clearing. The top of the hot block can be used if the slide is not heated too long.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6.5.9.</w:t>
      </w:r>
      <w:r w:rsidRPr="009F74C5">
        <w:rPr>
          <w:rFonts w:ascii="Arial" w:eastAsia="Times New Roman" w:hAnsi="Arial" w:cs="Arial"/>
          <w:sz w:val="18"/>
          <w:szCs w:val="18"/>
        </w:rPr>
        <w:t xml:space="preserve"> Counting may proceed immediately after clearing and mounting are completed.</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6.6. Sample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Completely align the microscope according to the manufacturer's instructions. Then, align the microscope using the following general alignment routine at the beginning of every counting session and more often if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6.6.1. Alignment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Clean all optical surfaces. Even a small amount of dirt can significantly degrade the image.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Rough focus the objective on a sample.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Close down the field iris so that it is visible in the field of view. Focus the image of the iris with the condenser focus. Center the image of the iris in the field of view.</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Install the phase telescope and focus on the phase rings. Critically center the rings. Misalignment of the rings results in astigmatism which will degrade the image.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(5) Place the phase-shift test slide on the microscope stage and focus on the lines. The analyst must see line set 3 and should see at least parts of 4 and 5 but, not see line set 6 or 6. A microscope/microscopist combination which does not pass this test may not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6.6.2. Counting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Place the prepared sample slide on the mechanical stage of the microscope. Position the center of the wedge under the objective lens and focus upon the sample.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Continually scan over a range of focal planes (generally the upper 10 to 15 µm of the filter surface) with the fine focus control during each field count. Spend at least 5 to 15 seconds per field.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Most samples will contain asbestos fibers with fiber diameters less than 1 µm. Look carefully for faint fiber images. The small diameter fibers will be very hard to see. However, they are an important contribution to the total count.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Count only fibers equal to or longer than 5 µm. Measure the length of curved fibers along the curve.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 Count fibers which have a length to width ratio of 3:1 or greater.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(7) Count all the fibers in at least 20 fields. Continue counting until either 100 fibers are counted or 100 fields have been viewed; whichever occurs first. Count all the fibers in the final field.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 Fibers lying entirely within the boundary of the Walton-Beckett graticule field shall receive a count of 1. Fibers crossing the boundary once, having one end within the circle shall receive a count of </w:t>
      </w: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 xml:space="preserve"> . Do not count any fiber that crosses the graticule boundary more than once. Reject and do not count any other fibers even though they may be visible outside the graticule area. If a fiber touches the circle, it is considered to cross the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(9) Count bundles of fibers as one fiber unless individual fibers can be clearly identified and each individual fiber is clearly not connected to another counted fiber. See Figure 1 for counting conventions.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(10) Record the number of fibers in each field in a consistent way such that filter non-uniformity can be assessed.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(11) Regularly check phase ring alignment.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(12) When an agglomerate (mass of material) covers more than 25% of the field of view, reject the field and select another. Do not include it in the number of fields counted.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(13) Perform a “blind recount” of 1 in every 10 filter wedges (slides). Re-label the slides using a person other than the original counter.</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6.7. Fiber Identification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 previously mentioned in Section 1.3., PCM does not provide positive confirmation of asbestos fibers. 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great deal of experience is required to routinely and correctly perform differential counting. It is discouraged unless it is legally necessary. Then, only if a fiber is obviously not asbestos should it be excluded from the count. Further discussion of this technique can be found in reference 8.10.</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If there is a question whether a fiber is asbestos or not, follow the rule: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 IN DOUBT, COUNT.”</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6.8. Analytical Recommendations—Quality Control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6.8.1.</w:t>
      </w:r>
      <w:r w:rsidRPr="009F74C5">
        <w:rPr>
          <w:rFonts w:ascii="Arial" w:eastAsia="Times New Roman" w:hAnsi="Arial" w:cs="Arial"/>
          <w:sz w:val="18"/>
          <w:szCs w:val="18"/>
        </w:rPr>
        <w:t xml:space="preserve"> All individuals performing asbestos analysis must have taken the NIOSH course for sampling and evaluating airborne asbestos or an equivalent course.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6.8.2.</w:t>
      </w:r>
      <w:r w:rsidRPr="009F74C5">
        <w:rPr>
          <w:rFonts w:ascii="Arial" w:eastAsia="Times New Roman" w:hAnsi="Arial" w:cs="Arial"/>
          <w:sz w:val="18"/>
          <w:szCs w:val="18"/>
        </w:rPr>
        <w:t xml:space="preserve"> Each laboratory engaged in asbestos counting shall set up a slide trading arrangement with at least two other laboratories in order to compare performance and eliminate inbreeding of error. The slide exchange occurs at least semiannually. The round robin results shall be posted where all analysts can view individual analyst's results.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6.8.3.</w:t>
      </w:r>
      <w:r w:rsidRPr="009F74C5">
        <w:rPr>
          <w:rFonts w:ascii="Arial" w:eastAsia="Times New Roman" w:hAnsi="Arial" w:cs="Arial"/>
          <w:sz w:val="18"/>
          <w:szCs w:val="18"/>
        </w:rPr>
        <w:t xml:space="preserve"> Each laboratory engaged in asbestos counting shall participate in the Proficiency Analytical Testing Program, the Asbestos Analyst Registry or equivalent.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6.8.4.</w:t>
      </w:r>
      <w:r w:rsidRPr="009F74C5">
        <w:rPr>
          <w:rFonts w:ascii="Arial" w:eastAsia="Times New Roman" w:hAnsi="Arial" w:cs="Arial"/>
          <w:sz w:val="18"/>
          <w:szCs w:val="18"/>
        </w:rPr>
        <w:t xml:space="preserve"> Each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blind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for the slide.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analyses done by the counters to establish the slide bank may be used for an interim quality control program if the data are treated in a proper statistical fashion.</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7. Calculations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7.1. Calculate the estimated airborne asbestos fiber concentration on the filter sample using the following formula:</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73E6AF82" wp14:editId="73E814B8">
            <wp:extent cx="1943100" cy="624840"/>
            <wp:effectExtent l="0" t="0" r="0" b="3810"/>
            <wp:docPr id="100" name="Picture 100" descr="eCFR graphic er10au94.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CFR graphic er10au94.03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43100" cy="62484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82"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where: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AC=Airborne fiber concentration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FB=Total number of fibers greater than 5 µm counted</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FL=Total number of fields counted on the filter</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BFB=Total number of fibers greater than 5 µm counted in the blank</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BFL=Total number of fields counted on the blank</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ECA=Effective collecting area of filter (385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xml:space="preserve"> nominal for a 25-mm filter.)</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FR=Pump flow rate (L/min)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MFA=Microscope count field area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This is 0.00785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xml:space="preserve"> for a Walton-Beckett Graticule.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T=Sample collection time (min)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lastRenderedPageBreak/>
        <w:t>1,000=Conversion of L to cc</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collection area of a filter is seldom equal to 385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It is appropriate for laboratories to routinely monitor the exact diameter using an inside micrometer. The collection area is calculated according to the formula:</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 xml:space="preserve">Area = </w:t>
      </w:r>
      <w:r w:rsidRPr="009F74C5">
        <w:rPr>
          <w:rFonts w:ascii="Arial" w:eastAsia="Times New Roman" w:hAnsi="Arial" w:cs="Arial"/>
          <w:sz w:val="13"/>
          <w:szCs w:val="13"/>
          <w:vertAlign w:val="superscript"/>
        </w:rPr>
        <w:t>†</w:t>
      </w:r>
      <w:r w:rsidRPr="009F74C5">
        <w:rPr>
          <w:rFonts w:ascii="Arial" w:eastAsia="Times New Roman" w:hAnsi="Arial" w:cs="Arial"/>
          <w:sz w:val="18"/>
          <w:szCs w:val="18"/>
        </w:rPr>
        <w:t>(d/2)</w:t>
      </w:r>
      <w:r w:rsidRPr="009F74C5">
        <w:rPr>
          <w:rFonts w:ascii="Arial" w:eastAsia="Times New Roman" w:hAnsi="Arial" w:cs="Arial"/>
          <w:sz w:val="13"/>
          <w:szCs w:val="13"/>
          <w:vertAlign w:val="superscript"/>
        </w:rPr>
        <w:t>2</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7.2. Short-Cut Calculation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Since a given analyst always has the same interpupillary distance, the number of fields per filter for a particular analyst will remain constant for a given size filter. The field size for that analyst is constant (i.e. the analyst is using an assigned microscope and is not changing the reticle).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For example, if the exposed area of the filter is always 385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xml:space="preserve"> and the size of the field is always 0.00785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xml:space="preserve"> the number of fields per filter will always be 49,000. In addition it is necessary to convert liters of air to cc. These three constants can then be combined such that ECA/(1,000×MFA)=49. The previous equation simplifies to:</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296FD8D9" wp14:editId="42DEB601">
            <wp:extent cx="1653540" cy="609600"/>
            <wp:effectExtent l="0" t="0" r="3810" b="0"/>
            <wp:docPr id="99" name="Picture 99" descr="eCFR graphic er10au94.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CFR graphic er10au94.034.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53540" cy="60960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84"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7.3. Recount Calculations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 mentioned in step 13 of Section 6.6.2.,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enables one to decide whether observed differences can be explained due to chance alone or are probably due to systematic differences between analysts, microscopes, or other biasing factors.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following recount criterion is for a pair of counts that estimate AC in fibers/cc. The criterion is given at the type-I error level. That is, there is 5% maximum risk that we will reject a pair of counts for the reason that one might be biased, when the large observed difference is really due to chance.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Reject a pair of counts if:</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74F90E8A" wp14:editId="11AFBD98">
            <wp:extent cx="2407920" cy="624840"/>
            <wp:effectExtent l="0" t="0" r="0" b="3810"/>
            <wp:docPr id="98" name="Picture 98" descr="eCFR graphic er29jn95.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CFR graphic er29jn95.002.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07920" cy="62484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86"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Where: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AC</w:t>
      </w:r>
      <w:r w:rsidRPr="009F74C5">
        <w:rPr>
          <w:rFonts w:ascii="Arial" w:eastAsia="Times New Roman" w:hAnsi="Arial" w:cs="Arial"/>
          <w:sz w:val="13"/>
          <w:szCs w:val="13"/>
          <w:vertAlign w:val="subscript"/>
        </w:rPr>
        <w:t>1</w:t>
      </w:r>
      <w:r w:rsidRPr="009F74C5">
        <w:rPr>
          <w:rFonts w:ascii="Arial" w:eastAsia="Times New Roman" w:hAnsi="Arial" w:cs="Arial"/>
          <w:sz w:val="18"/>
          <w:szCs w:val="18"/>
        </w:rPr>
        <w:t>=lower estimated airborne fiber concentration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AC</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=higher estimated airborne fiber concentration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AC</w:t>
      </w:r>
      <w:r w:rsidRPr="009F74C5">
        <w:rPr>
          <w:rFonts w:ascii="Arial" w:eastAsia="Times New Roman" w:hAnsi="Arial" w:cs="Arial"/>
          <w:sz w:val="13"/>
          <w:szCs w:val="13"/>
          <w:vertAlign w:val="subscript"/>
        </w:rPr>
        <w:t>avg</w:t>
      </w:r>
      <w:r w:rsidRPr="009F74C5">
        <w:rPr>
          <w:rFonts w:ascii="Arial" w:eastAsia="Times New Roman" w:hAnsi="Arial" w:cs="Arial"/>
          <w:sz w:val="18"/>
          <w:szCs w:val="18"/>
        </w:rPr>
        <w:t>=average of the two concentration estimates</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CV</w:t>
      </w:r>
      <w:r w:rsidRPr="009F74C5">
        <w:rPr>
          <w:rFonts w:ascii="Arial" w:eastAsia="Times New Roman" w:hAnsi="Arial" w:cs="Arial"/>
          <w:sz w:val="13"/>
          <w:szCs w:val="13"/>
          <w:vertAlign w:val="subscript"/>
        </w:rPr>
        <w:t>FB</w:t>
      </w:r>
      <w:r w:rsidRPr="009F74C5">
        <w:rPr>
          <w:rFonts w:ascii="Arial" w:eastAsia="Times New Roman" w:hAnsi="Arial" w:cs="Arial"/>
          <w:sz w:val="18"/>
          <w:szCs w:val="18"/>
        </w:rPr>
        <w:t>=CV for the average of the two concentration estimates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If a pair of counts are rejected by this criterion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7.4. Reporting Results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Report results to the industrial hygienist as fibers/cc. Use two significant figures. If multiple analyses are performed on a sample, an average of the results is to be reported unless any of the results can be rejected for cause.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8. References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8.1. Dreesen, W.C., et al., </w:t>
      </w:r>
      <w:r w:rsidRPr="009F74C5">
        <w:rPr>
          <w:rFonts w:ascii="Arial" w:eastAsia="Times New Roman" w:hAnsi="Arial" w:cs="Arial"/>
          <w:i/>
          <w:iCs/>
          <w:sz w:val="18"/>
          <w:szCs w:val="18"/>
        </w:rPr>
        <w:t>U.S. Public Health Service: A Study of Asbestosis in the Asbestos Textile Industry</w:t>
      </w:r>
      <w:r w:rsidRPr="009F74C5">
        <w:rPr>
          <w:rFonts w:ascii="Arial" w:eastAsia="Times New Roman" w:hAnsi="Arial" w:cs="Arial"/>
          <w:sz w:val="18"/>
          <w:szCs w:val="18"/>
        </w:rPr>
        <w:t xml:space="preserve"> (Public Health Bulletin No. 241), U.S. Treasury Dept., Washington, DC, 1938.</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8.2. </w:t>
      </w:r>
      <w:r w:rsidRPr="009F74C5">
        <w:rPr>
          <w:rFonts w:ascii="Arial" w:eastAsia="Times New Roman" w:hAnsi="Arial" w:cs="Arial"/>
          <w:i/>
          <w:iCs/>
          <w:sz w:val="18"/>
          <w:szCs w:val="18"/>
        </w:rPr>
        <w:t>Asbestos Research Council: The Measurement of Airborne Asbestos Dust by the Membrane Filter Method</w:t>
      </w:r>
      <w:r w:rsidRPr="009F74C5">
        <w:rPr>
          <w:rFonts w:ascii="Arial" w:eastAsia="Times New Roman" w:hAnsi="Arial" w:cs="Arial"/>
          <w:sz w:val="18"/>
          <w:szCs w:val="18"/>
        </w:rPr>
        <w:t xml:space="preserve"> (Technical Note), Asbestos Research Council, Rockdale, Lancashire, Great Britain, 1969.</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8.3. Bayer, S.G., Zumwalde, R.D., Brown, T.A., </w:t>
      </w:r>
      <w:r w:rsidRPr="009F74C5">
        <w:rPr>
          <w:rFonts w:ascii="Arial" w:eastAsia="Times New Roman" w:hAnsi="Arial" w:cs="Arial"/>
          <w:i/>
          <w:iCs/>
          <w:sz w:val="18"/>
          <w:szCs w:val="18"/>
        </w:rPr>
        <w:t>Equipment and Procedure for Mounting Millipore Filters and Counting Asbestos Fibers by Phase Contrast Microscopy,</w:t>
      </w:r>
      <w:r w:rsidRPr="009F74C5">
        <w:rPr>
          <w:rFonts w:ascii="Arial" w:eastAsia="Times New Roman" w:hAnsi="Arial" w:cs="Arial"/>
          <w:sz w:val="18"/>
          <w:szCs w:val="18"/>
        </w:rPr>
        <w:t xml:space="preserve"> Bureau of Occupational Health, U.S. Dept. of Health, Education and Welfare, Cincinnati, OH, 1969.</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8.4. </w:t>
      </w:r>
      <w:r w:rsidRPr="009F74C5">
        <w:rPr>
          <w:rFonts w:ascii="Arial" w:eastAsia="Times New Roman" w:hAnsi="Arial" w:cs="Arial"/>
          <w:i/>
          <w:iCs/>
          <w:sz w:val="18"/>
          <w:szCs w:val="18"/>
        </w:rPr>
        <w:t>NIOSH Manual of Analytical Methods,</w:t>
      </w:r>
      <w:r w:rsidRPr="009F74C5">
        <w:rPr>
          <w:rFonts w:ascii="Arial" w:eastAsia="Times New Roman" w:hAnsi="Arial" w:cs="Arial"/>
          <w:sz w:val="18"/>
          <w:szCs w:val="18"/>
        </w:rPr>
        <w:t xml:space="preserve"> 2nd ed., Vol. 1 (DHEW/NIOSH Pub. No. 77-157-A). National Institute for Occupational Safety and Health, Cincinnati, OH, 1977. pp. 239-1—239-21.</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8.5. </w:t>
      </w:r>
      <w:r w:rsidRPr="009F74C5">
        <w:rPr>
          <w:rFonts w:ascii="Arial" w:eastAsia="Times New Roman" w:hAnsi="Arial" w:cs="Arial"/>
          <w:i/>
          <w:iCs/>
          <w:sz w:val="18"/>
          <w:szCs w:val="18"/>
        </w:rPr>
        <w:t>Asbestos,</w:t>
      </w:r>
      <w:r w:rsidRPr="009F74C5">
        <w:rPr>
          <w:rFonts w:ascii="Arial" w:eastAsia="Times New Roman" w:hAnsi="Arial" w:cs="Arial"/>
          <w:sz w:val="18"/>
          <w:szCs w:val="18"/>
        </w:rPr>
        <w:t xml:space="preserve"> Code of Federal Regulations 29 CFR 1910.1001. 1971.</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8.6. </w:t>
      </w:r>
      <w:r w:rsidRPr="009F74C5">
        <w:rPr>
          <w:rFonts w:ascii="Arial" w:eastAsia="Times New Roman" w:hAnsi="Arial" w:cs="Arial"/>
          <w:i/>
          <w:iCs/>
          <w:sz w:val="18"/>
          <w:szCs w:val="18"/>
        </w:rPr>
        <w:t>Occupational Exposure to Asbestos, Tremolite, Anthophyllite, and Actinolite. Final Rule,</w:t>
      </w:r>
      <w:r w:rsidRPr="009F74C5">
        <w:rPr>
          <w:rFonts w:ascii="Arial" w:eastAsia="Times New Roman" w:hAnsi="Arial" w:cs="Arial"/>
          <w:sz w:val="18"/>
          <w:szCs w:val="18"/>
        </w:rPr>
        <w:t xml:space="preserve"> </w:t>
      </w:r>
      <w:r w:rsidRPr="009F74C5">
        <w:rPr>
          <w:rFonts w:ascii="Arial" w:eastAsia="Times New Roman" w:hAnsi="Arial" w:cs="Arial"/>
          <w:smallCaps/>
          <w:sz w:val="18"/>
          <w:szCs w:val="18"/>
        </w:rPr>
        <w:t>Federal Register</w:t>
      </w:r>
      <w:r w:rsidRPr="009F74C5">
        <w:rPr>
          <w:rFonts w:ascii="Arial" w:eastAsia="Times New Roman" w:hAnsi="Arial" w:cs="Arial"/>
          <w:sz w:val="18"/>
          <w:szCs w:val="18"/>
        </w:rPr>
        <w:t xml:space="preserve"> 51:119 (20 June 1986). pp. 22612-22790.</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8.7. </w:t>
      </w:r>
      <w:r w:rsidRPr="009F74C5">
        <w:rPr>
          <w:rFonts w:ascii="Arial" w:eastAsia="Times New Roman" w:hAnsi="Arial" w:cs="Arial"/>
          <w:i/>
          <w:iCs/>
          <w:sz w:val="18"/>
          <w:szCs w:val="18"/>
        </w:rPr>
        <w:t>Asbestos, Tremolite, Anthophyllite, and Actinolite,</w:t>
      </w:r>
      <w:r w:rsidRPr="009F74C5">
        <w:rPr>
          <w:rFonts w:ascii="Arial" w:eastAsia="Times New Roman" w:hAnsi="Arial" w:cs="Arial"/>
          <w:sz w:val="18"/>
          <w:szCs w:val="18"/>
        </w:rPr>
        <w:t xml:space="preserve"> Code of Federal Regulations 1910.1001. 1988. pp. 711-752.</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8.8. </w:t>
      </w:r>
      <w:r w:rsidRPr="009F74C5">
        <w:rPr>
          <w:rFonts w:ascii="Arial" w:eastAsia="Times New Roman" w:hAnsi="Arial" w:cs="Arial"/>
          <w:i/>
          <w:iCs/>
          <w:sz w:val="18"/>
          <w:szCs w:val="18"/>
        </w:rPr>
        <w:t>Criteria for a Recommended Standard—Occupational Exposure to Asbestos</w:t>
      </w:r>
      <w:r w:rsidRPr="009F74C5">
        <w:rPr>
          <w:rFonts w:ascii="Arial" w:eastAsia="Times New Roman" w:hAnsi="Arial" w:cs="Arial"/>
          <w:sz w:val="18"/>
          <w:szCs w:val="18"/>
        </w:rPr>
        <w:t xml:space="preserve"> (DHEW/NIOSH Pub. No. HSM 72-10267), National Institute for Occupational Safety and Health, NIOSH, Cincinnati, OH, 1972. pp. III-1—III-24.</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8.9. Leidel, N.A., Bayer, S.G., Zumwalde, R.D., Busch, K.A., </w:t>
      </w:r>
      <w:r w:rsidRPr="009F74C5">
        <w:rPr>
          <w:rFonts w:ascii="Arial" w:eastAsia="Times New Roman" w:hAnsi="Arial" w:cs="Arial"/>
          <w:i/>
          <w:iCs/>
          <w:sz w:val="18"/>
          <w:szCs w:val="18"/>
        </w:rPr>
        <w:t>USPHS/NIOSH Membrane Filter Method for Evaluating Airborne Asbestos Fibers</w:t>
      </w:r>
      <w:r w:rsidRPr="009F74C5">
        <w:rPr>
          <w:rFonts w:ascii="Arial" w:eastAsia="Times New Roman" w:hAnsi="Arial" w:cs="Arial"/>
          <w:sz w:val="18"/>
          <w:szCs w:val="18"/>
        </w:rPr>
        <w:t xml:space="preserve"> (DHEW/NIOSH Pub. No. 79-127). National Institute for Occupational Safety and Health, Cincinnati, OH, 1979.</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8.10. Dixon, W.C., </w:t>
      </w:r>
      <w:r w:rsidRPr="009F74C5">
        <w:rPr>
          <w:rFonts w:ascii="Arial" w:eastAsia="Times New Roman" w:hAnsi="Arial" w:cs="Arial"/>
          <w:i/>
          <w:iCs/>
          <w:sz w:val="18"/>
          <w:szCs w:val="18"/>
        </w:rPr>
        <w:t>Applications of Optical Microscopy in Analysis of Asbestos and Quartz,</w:t>
      </w:r>
      <w:r w:rsidRPr="009F74C5">
        <w:rPr>
          <w:rFonts w:ascii="Arial" w:eastAsia="Times New Roman" w:hAnsi="Arial" w:cs="Arial"/>
          <w:sz w:val="18"/>
          <w:szCs w:val="18"/>
        </w:rPr>
        <w:t xml:space="preserve"> Analytical Techniques in Occupational Health Chemistry, edited by D.D. Dollberg and A.W. Verstuyft. Wash. DC: American Chemical Society, (ACS Symposium Series 120) 1980. pp. 13-41.</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Quality Control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OSHA asbestos regulations require each laboratory to establish a quality control program. The following is presented as an example of how the OSHA-SLTC constructed its internal CV curve as part of meeting this requirement. Data is from 395 samples collected during OSHA compliance inspections and analyzed from October 1980 through April 1986.</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Each sample was counted by 2 to 5 different counters independently of one another. The standard deviation and the CV statistic was calculated for each sample. This data was then plotted on a graph of CV vs. fibers/mm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 A least squares regression was performed using the following equation: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lastRenderedPageBreak/>
        <w:t>CV = antilog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[A(log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(x))</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+B(log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(x))+C]</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where: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x = the number of fibers/mm</w:t>
      </w:r>
      <w:r w:rsidRPr="009F74C5">
        <w:rPr>
          <w:rFonts w:ascii="Arial" w:eastAsia="Times New Roman" w:hAnsi="Arial" w:cs="Arial"/>
          <w:sz w:val="13"/>
          <w:szCs w:val="13"/>
          <w:vertAlign w:val="superscript"/>
        </w:rPr>
        <w:t>2</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Application of least squares gave: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A = 0.182205</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B = 0.973343</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C = 0.327499</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Using these values, the equation becomes:</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CV = antilog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[0.182205(log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(x))</w:t>
      </w:r>
      <w:r w:rsidRPr="009F74C5">
        <w:rPr>
          <w:rFonts w:ascii="Arial" w:eastAsia="Times New Roman" w:hAnsi="Arial" w:cs="Arial"/>
          <w:sz w:val="13"/>
          <w:szCs w:val="13"/>
          <w:vertAlign w:val="superscript"/>
        </w:rPr>
        <w:t>2</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   −0.973343(log</w:t>
      </w:r>
      <w:r w:rsidRPr="009F74C5">
        <w:rPr>
          <w:rFonts w:ascii="Arial" w:eastAsia="Times New Roman" w:hAnsi="Arial" w:cs="Arial"/>
          <w:sz w:val="13"/>
          <w:szCs w:val="13"/>
          <w:vertAlign w:val="subscript"/>
        </w:rPr>
        <w:t>10</w:t>
      </w:r>
      <w:r w:rsidRPr="009F74C5">
        <w:rPr>
          <w:rFonts w:ascii="Arial" w:eastAsia="Times New Roman" w:hAnsi="Arial" w:cs="Arial"/>
          <w:sz w:val="18"/>
          <w:szCs w:val="18"/>
        </w:rPr>
        <w:t>(x))+0.327499]</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Sampling Pump Flow Rate Corrections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correction is used if a difference greater than 5% in ambient temperature and/or pressure is noted between calibration and sampling sites and the pump does not compensate for the differences.</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1E0934A1" wp14:editId="6234D81B">
            <wp:extent cx="1752600" cy="533400"/>
            <wp:effectExtent l="0" t="0" r="0" b="0"/>
            <wp:docPr id="97" name="Picture 97" descr="eCFR graphic er10au94.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eCFR graphic er10au94.03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88"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Where: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Q</w:t>
      </w:r>
      <w:r w:rsidRPr="009F74C5">
        <w:rPr>
          <w:rFonts w:ascii="Arial" w:eastAsia="Times New Roman" w:hAnsi="Arial" w:cs="Arial"/>
          <w:sz w:val="13"/>
          <w:szCs w:val="13"/>
          <w:vertAlign w:val="subscript"/>
        </w:rPr>
        <w:t>act</w:t>
      </w:r>
      <w:r w:rsidRPr="009F74C5">
        <w:rPr>
          <w:rFonts w:ascii="Arial" w:eastAsia="Times New Roman" w:hAnsi="Arial" w:cs="Arial"/>
          <w:sz w:val="18"/>
          <w:szCs w:val="18"/>
        </w:rPr>
        <w:t xml:space="preserve"> = actual flow rate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Q</w:t>
      </w:r>
      <w:r w:rsidRPr="009F74C5">
        <w:rPr>
          <w:rFonts w:ascii="Arial" w:eastAsia="Times New Roman" w:hAnsi="Arial" w:cs="Arial"/>
          <w:sz w:val="13"/>
          <w:szCs w:val="13"/>
          <w:vertAlign w:val="subscript"/>
        </w:rPr>
        <w:t>cal</w:t>
      </w:r>
      <w:r w:rsidRPr="009F74C5">
        <w:rPr>
          <w:rFonts w:ascii="Arial" w:eastAsia="Times New Roman" w:hAnsi="Arial" w:cs="Arial"/>
          <w:sz w:val="18"/>
          <w:szCs w:val="18"/>
        </w:rPr>
        <w:t xml:space="preserve"> = calibrated flow rate (if a rotameter was used, the rotameter value)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P</w:t>
      </w:r>
      <w:r w:rsidRPr="009F74C5">
        <w:rPr>
          <w:rFonts w:ascii="Arial" w:eastAsia="Times New Roman" w:hAnsi="Arial" w:cs="Arial"/>
          <w:sz w:val="13"/>
          <w:szCs w:val="13"/>
          <w:vertAlign w:val="subscript"/>
        </w:rPr>
        <w:t>cal</w:t>
      </w:r>
      <w:r w:rsidRPr="009F74C5">
        <w:rPr>
          <w:rFonts w:ascii="Arial" w:eastAsia="Times New Roman" w:hAnsi="Arial" w:cs="Arial"/>
          <w:sz w:val="18"/>
          <w:szCs w:val="18"/>
        </w:rPr>
        <w:t xml:space="preserve"> = uncorrected air pressure at calibration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P</w:t>
      </w:r>
      <w:r w:rsidRPr="009F74C5">
        <w:rPr>
          <w:rFonts w:ascii="Arial" w:eastAsia="Times New Roman" w:hAnsi="Arial" w:cs="Arial"/>
          <w:sz w:val="13"/>
          <w:szCs w:val="13"/>
          <w:vertAlign w:val="subscript"/>
        </w:rPr>
        <w:t>act</w:t>
      </w:r>
      <w:r w:rsidRPr="009F74C5">
        <w:rPr>
          <w:rFonts w:ascii="Arial" w:eastAsia="Times New Roman" w:hAnsi="Arial" w:cs="Arial"/>
          <w:sz w:val="18"/>
          <w:szCs w:val="18"/>
        </w:rPr>
        <w:t xml:space="preserve"> = uncorrected air pressure at sampling site</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T</w:t>
      </w:r>
      <w:r w:rsidRPr="009F74C5">
        <w:rPr>
          <w:rFonts w:ascii="Arial" w:eastAsia="Times New Roman" w:hAnsi="Arial" w:cs="Arial"/>
          <w:sz w:val="13"/>
          <w:szCs w:val="13"/>
          <w:vertAlign w:val="subscript"/>
        </w:rPr>
        <w:t>act</w:t>
      </w:r>
      <w:r w:rsidRPr="009F74C5">
        <w:rPr>
          <w:rFonts w:ascii="Arial" w:eastAsia="Times New Roman" w:hAnsi="Arial" w:cs="Arial"/>
          <w:sz w:val="18"/>
          <w:szCs w:val="18"/>
        </w:rPr>
        <w:t xml:space="preserve"> = temperature at sampling site (K)</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T</w:t>
      </w:r>
      <w:r w:rsidRPr="009F74C5">
        <w:rPr>
          <w:rFonts w:ascii="Arial" w:eastAsia="Times New Roman" w:hAnsi="Arial" w:cs="Arial"/>
          <w:sz w:val="13"/>
          <w:szCs w:val="13"/>
          <w:vertAlign w:val="subscript"/>
        </w:rPr>
        <w:t>cal</w:t>
      </w:r>
      <w:r w:rsidRPr="009F74C5">
        <w:rPr>
          <w:rFonts w:ascii="Arial" w:eastAsia="Times New Roman" w:hAnsi="Arial" w:cs="Arial"/>
          <w:sz w:val="18"/>
          <w:szCs w:val="18"/>
        </w:rPr>
        <w:t xml:space="preserve"> = temperature at calibration (K)</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Walton-Beckett Graticule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 ordering the Graticule for asbestos counting, specify the exact disc diameter needed to fit the ocular of the microscope and the diameter (mm) of the circular counting area. Instructions for measuring the dimensions necessary are listed: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Insert any available graticule into the focusing eyepiece and focus so that the graticule lines are sharp and clear.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Align the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(3) Place a stage micrometer on the microscope object stage and focus the microscope on the graduated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Measure the magnified grid length, PL (µm), using the stage micrometer.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Remove the graticule from the microscope and measure its actual grid length, AL (mm). This can be accomplished by using a mechanical stage fitted with verniers, or a jeweler's loupe with a direct reading scale.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 Let D=100 µm. Calculate the circle diameter, d</w:t>
      </w:r>
      <w:r w:rsidRPr="009F74C5">
        <w:rPr>
          <w:rFonts w:ascii="Arial" w:eastAsia="Times New Roman" w:hAnsi="Arial" w:cs="Arial"/>
          <w:sz w:val="13"/>
          <w:szCs w:val="13"/>
          <w:vertAlign w:val="subscript"/>
        </w:rPr>
        <w:t>c</w:t>
      </w:r>
      <w:r w:rsidRPr="009F74C5">
        <w:rPr>
          <w:rFonts w:ascii="Arial" w:eastAsia="Times New Roman" w:hAnsi="Arial" w:cs="Arial"/>
          <w:sz w:val="18"/>
          <w:szCs w:val="18"/>
        </w:rPr>
        <w:t xml:space="preserve"> (mm), for the Walton-Beckett graticule and specify the diameter when making a purchase:</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205378EC" wp14:editId="3D52CBE7">
            <wp:extent cx="800100" cy="388620"/>
            <wp:effectExtent l="0" t="0" r="0" b="0"/>
            <wp:docPr id="96" name="Picture 96" descr="eCFR graphic er10au94.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CFR graphic er10au94.037.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00100" cy="38862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90"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after="0" w:line="240" w:lineRule="auto"/>
        <w:ind w:firstLine="480"/>
        <w:rPr>
          <w:rFonts w:ascii="Arial" w:eastAsia="Times New Roman" w:hAnsi="Arial" w:cs="Arial"/>
          <w:sz w:val="18"/>
          <w:szCs w:val="18"/>
        </w:rPr>
      </w:pPr>
      <w:r w:rsidRPr="009F74C5">
        <w:rPr>
          <w:rFonts w:ascii="Arial" w:eastAsia="Times New Roman" w:hAnsi="Arial" w:cs="Arial"/>
          <w:i/>
          <w:iCs/>
          <w:sz w:val="18"/>
          <w:szCs w:val="18"/>
        </w:rPr>
        <w:t>Example:</w:t>
      </w:r>
      <w:r w:rsidRPr="009F74C5">
        <w:rPr>
          <w:rFonts w:ascii="Arial" w:eastAsia="Times New Roman" w:hAnsi="Arial" w:cs="Arial"/>
          <w:sz w:val="18"/>
          <w:szCs w:val="18"/>
        </w:rPr>
        <w:t xml:space="preserve"> If PL=108 µm, AL=2.93 mm and D=100 µm, then, </w:t>
      </w:r>
      <w:r>
        <w:rPr>
          <w:rFonts w:ascii="Arial" w:eastAsia="Times New Roman" w:hAnsi="Arial" w:cs="Arial"/>
          <w:noProof/>
          <w:sz w:val="18"/>
          <w:szCs w:val="18"/>
        </w:rPr>
        <w:drawing>
          <wp:inline distT="0" distB="0" distL="0" distR="0" wp14:anchorId="2C65326A" wp14:editId="414BC9A6">
            <wp:extent cx="1577340" cy="388620"/>
            <wp:effectExtent l="0" t="0" r="3810" b="0"/>
            <wp:docPr id="95" name="Picture 95" descr="eCFR graphic er10au94.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CFR graphic er10au94.038.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38862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92"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(7) Each eyepiece-objective-reticle combination on the microscope must be calibrated. Should any of the three be changed (by zoom adjustment, disassembly, replacement, etc.), the combination must be recalibrated. Calibration may change if interpupillary distance is changed.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Measure the field diameter, D (acceptable range: 100 ±2 µm) with a stage micrometer upon receipt of the graticule from the manufacturer. Determine the field area (mm</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 xml:space="preserve">Field Area = </w:t>
      </w:r>
      <w:r w:rsidRPr="009F74C5">
        <w:rPr>
          <w:rFonts w:ascii="Arial" w:eastAsia="Times New Roman" w:hAnsi="Arial" w:cs="Arial"/>
          <w:sz w:val="13"/>
          <w:szCs w:val="13"/>
          <w:vertAlign w:val="superscript"/>
        </w:rPr>
        <w:t>†</w:t>
      </w:r>
      <w:r w:rsidRPr="009F74C5">
        <w:rPr>
          <w:rFonts w:ascii="Arial" w:eastAsia="Times New Roman" w:hAnsi="Arial" w:cs="Arial"/>
          <w:sz w:val="18"/>
          <w:szCs w:val="18"/>
        </w:rPr>
        <w:t>(D/2)</w:t>
      </w:r>
      <w:r w:rsidRPr="009F74C5">
        <w:rPr>
          <w:rFonts w:ascii="Arial" w:eastAsia="Times New Roman" w:hAnsi="Arial" w:cs="Arial"/>
          <w:sz w:val="13"/>
          <w:szCs w:val="13"/>
          <w:vertAlign w:val="superscript"/>
        </w:rPr>
        <w:t>2</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If D = 100 µm=0.1 mm, then</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 xml:space="preserve">Field Area = </w:t>
      </w:r>
      <w:r w:rsidRPr="009F74C5">
        <w:rPr>
          <w:rFonts w:ascii="Arial" w:eastAsia="Times New Roman" w:hAnsi="Arial" w:cs="Arial"/>
          <w:sz w:val="13"/>
          <w:szCs w:val="13"/>
          <w:vertAlign w:val="superscript"/>
        </w:rPr>
        <w:t>†</w:t>
      </w:r>
      <w:r w:rsidRPr="009F74C5">
        <w:rPr>
          <w:rFonts w:ascii="Arial" w:eastAsia="Times New Roman" w:hAnsi="Arial" w:cs="Arial"/>
          <w:sz w:val="18"/>
          <w:szCs w:val="18"/>
        </w:rPr>
        <w:t>(0.1 mm/2)</w:t>
      </w:r>
      <w:r w:rsidRPr="009F74C5">
        <w:rPr>
          <w:rFonts w:ascii="Arial" w:eastAsia="Times New Roman" w:hAnsi="Arial" w:cs="Arial"/>
          <w:sz w:val="13"/>
          <w:szCs w:val="13"/>
          <w:vertAlign w:val="superscript"/>
        </w:rPr>
        <w:t>2</w:t>
      </w:r>
      <w:r w:rsidRPr="009F74C5">
        <w:rPr>
          <w:rFonts w:ascii="Arial" w:eastAsia="Times New Roman" w:hAnsi="Arial" w:cs="Arial"/>
          <w:sz w:val="18"/>
          <w:szCs w:val="18"/>
        </w:rPr>
        <w:t>=0.00785 mm</w:t>
      </w:r>
      <w:r w:rsidRPr="009F74C5">
        <w:rPr>
          <w:rFonts w:ascii="Arial" w:eastAsia="Times New Roman" w:hAnsi="Arial" w:cs="Arial"/>
          <w:sz w:val="13"/>
          <w:szCs w:val="13"/>
          <w:vertAlign w:val="superscript"/>
        </w:rPr>
        <w:t>2</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Graticule is available from: Graticules Ltd., Morley Road, Tonbridge TN9 IRN, Kent, England (Telephone 011-44-732-359061). Also available from PTR Optics Ltd., 145 Newton Street, Waltham, MA 02154 [telephone (617) 891-6000] or McCrone Accessories and Components, 2506 S. Michigan Ave., Chicago, IL 60616 [phone (312)-842-7100]. The graticule is custom made for each microscope.</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14:anchorId="1383C78A" wp14:editId="418AB1A1">
            <wp:extent cx="3345180" cy="3329940"/>
            <wp:effectExtent l="0" t="0" r="7620" b="3810"/>
            <wp:docPr id="94" name="Picture 94" descr="eCFR graphic er10au94.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CFR graphic er10au94.025.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45180" cy="332994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194"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18"/>
          <w:szCs w:val="18"/>
        </w:rPr>
      </w:pPr>
      <w:r w:rsidRPr="009F74C5">
        <w:rPr>
          <w:rFonts w:ascii="Arial" w:eastAsia="Times New Roman" w:hAnsi="Arial" w:cs="Arial"/>
          <w:b/>
          <w:bCs/>
          <w:smallCaps/>
          <w:sz w:val="18"/>
          <w:szCs w:val="18"/>
        </w:rPr>
        <w:t>Counts for the Fibers in the Figure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118"/>
        <w:gridCol w:w="988"/>
        <w:gridCol w:w="627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Structure 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Explanation</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 to 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Single fibers all contained within the Circle.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Fiber crosses circle once.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Fiber too short.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Two crossing fibers.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Fiber outside graticule.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Fiber crosses graticule twice.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Although split, fiber only crosses once.</w:t>
            </w:r>
          </w:p>
        </w:tc>
      </w:tr>
    </w:tbl>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C to §1926.1101 [Reserved]</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D to §1926.1101—Medical Questionnaires; 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mandatory appendix contains the medical questionnaires that must be administered to all employees who are exposed to asbestos above the permissible exposure limit, and who will therefore be included in their employer's medical surveillance program. part 1 of the appendix contains the Initial Medical Questionnaire, which must be obained for all new hires who will be covered by the medical surveillance requirements. part 2 includes the abbreviated Periodical Medical Questionnaire, which must be administered to all employees who are provided periodic medical examinations under the medical surveillance provisions of the standard.</w:t>
      </w:r>
    </w:p>
    <w:p w:rsidR="00D70103" w:rsidRPr="009F74C5" w:rsidRDefault="00D70103" w:rsidP="00E16569">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0CD45AF" wp14:editId="5DF6F608">
            <wp:extent cx="3230880" cy="4053840"/>
            <wp:effectExtent l="0" t="0" r="7620" b="3810"/>
            <wp:docPr id="93" name="Picture 93" descr="eCFR graphic ec30oc91.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CFR graphic ec30oc91.06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30880" cy="405384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196"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649783B" wp14:editId="2B96673F">
            <wp:extent cx="3017520" cy="3870960"/>
            <wp:effectExtent l="0" t="0" r="0" b="0"/>
            <wp:docPr id="92" name="Picture 92" descr="eCFR graphic ec30oc91.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eCFR graphic ec30oc91.065.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17520" cy="387096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198"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4403A05F" wp14:editId="5A2C3719">
            <wp:extent cx="3238500" cy="3764280"/>
            <wp:effectExtent l="0" t="0" r="0" b="7620"/>
            <wp:docPr id="91" name="Picture 91" descr="eCFR graphic ec30oc91.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CFR graphic ec30oc91.066.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38500" cy="376428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00"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6D4AAB12" wp14:editId="6491CE71">
            <wp:extent cx="3246120" cy="3764280"/>
            <wp:effectExtent l="0" t="0" r="0" b="7620"/>
            <wp:docPr id="90" name="Picture 90" descr="eCFR graphic ec30oc91.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CFR graphic ec30oc91.067.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46120" cy="376428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02"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8A9BD76" wp14:editId="32D62DBC">
            <wp:extent cx="3345180" cy="3840480"/>
            <wp:effectExtent l="0" t="0" r="7620" b="7620"/>
            <wp:docPr id="89" name="Picture 89" descr="eCFR graphic ec30oc91.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eCFR graphic ec30oc91.06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45180" cy="384048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04"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5DA56547" wp14:editId="2D2B48C9">
            <wp:extent cx="3284220" cy="3870960"/>
            <wp:effectExtent l="0" t="0" r="0" b="0"/>
            <wp:docPr id="88" name="Picture 88" descr="eCFR graphic ec30oc91.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CFR graphic ec30oc91.069.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84220" cy="387096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06"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70940163" wp14:editId="79061FE8">
            <wp:extent cx="3246120" cy="3566160"/>
            <wp:effectExtent l="0" t="0" r="0" b="0"/>
            <wp:docPr id="87" name="Picture 87" descr="eCFR graphic ec30oc91.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eCFR graphic ec30oc91.070.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46120" cy="356616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08"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7B030B87" wp14:editId="3EDE2ACF">
            <wp:extent cx="3368040" cy="3741420"/>
            <wp:effectExtent l="0" t="0" r="3810" b="0"/>
            <wp:docPr id="86" name="Picture 86" descr="eCFR graphic ec30oc91.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eCFR graphic ec30oc91.071.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68040" cy="374142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10"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6C1D2F46" wp14:editId="36AB75BC">
            <wp:extent cx="3535680" cy="4229100"/>
            <wp:effectExtent l="0" t="0" r="7620" b="0"/>
            <wp:docPr id="85" name="Picture 85" descr="eCFR graphic ec30oc91.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eCFR graphic ec30oc91.072.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35680" cy="422910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12"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AD076F3" wp14:editId="5A703752">
            <wp:extent cx="3307080" cy="3893820"/>
            <wp:effectExtent l="0" t="0" r="7620" b="0"/>
            <wp:docPr id="84" name="Picture 84" descr="eCFR graphic ec30oc91.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eCFR graphic ec30oc91.073.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07080" cy="389382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14"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1E0725F9" wp14:editId="13488B7D">
            <wp:extent cx="3390900" cy="3733800"/>
            <wp:effectExtent l="0" t="0" r="0" b="0"/>
            <wp:docPr id="83" name="Picture 83" descr="eCFR graphic ec30oc91.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eCFR graphic ec30oc91.07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90900" cy="373380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16"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drawing>
          <wp:inline distT="0" distB="0" distL="0" distR="0" wp14:anchorId="611BFF91" wp14:editId="0A28509F">
            <wp:extent cx="3398520" cy="3025140"/>
            <wp:effectExtent l="0" t="0" r="0" b="3810"/>
            <wp:docPr id="82" name="Picture 82" descr="eCFR graphic ec30oc91.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eCFR graphic ec30oc91.075.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98520" cy="302514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18"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E to §1926.1101—Interpretation and Classification of Chest Roentgenograms—Mandatory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Chest roentgenograms shall be interpreted and classified in accordance with a professionally accepted classification system and recorded on an interpretation form following the format of the CDC/NIOSH (M) 2.8 form. As a minimum, the content within the bold lines of this form (items 1 through 4) shall be included. This form is not to be submitted to NIOSH.</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Roentgenograms shall be interpreted and classified only by a B-reader, a board eligible/certified radiologist, or an experienced physician with known 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All interpreters, whenever interpreting chest roentgenograms made under this section, shall have immediately available for reference a complete set of the ILO-U/C International Classification of Radiographs for Pneumoconioses, 1980.</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F to §1926.1101—Work Practices and Engineering Controls for Class I Asbestos Operations (Non-Mandatory)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is a non-mandatory appendix to the asbestos standards for construction and for shipyards. It describes criteria and procedures for erecting and using negative pressure enclosures for Class I Asbestos Work, when NPEs are used as an allowable control method to comply with paragraph (g)(5)(i) of this section. Many small and variable details are involved in the erection of a negative pressure enclosure. OSHA and most participants in the rulemaking agreed that only the major, more performance oriented criteria should be made mandatory. These criteria are set out in paragraph (g) of this section. In addition, this appendix includes these mandatory specifications and procedures in its guidelines in order to make this appendix coherent and helpful. The mandatory nature of the criteria which appear in the regulatory text is not changed because they are included in this “non-mandatory” appendix. Similarly, the additional criteria and procedures included as guidelines in the appendix, do not become mandatory because mandatory criteria are also included in these comprehensive guidelines.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In addition, none of the criteria, both mandatory and recommended, are meant to specify or imply the need for use of patented or licensed methods or equipment. Recommended specifications included in this attachment should </w:t>
      </w:r>
      <w:r w:rsidRPr="009F74C5">
        <w:rPr>
          <w:rFonts w:ascii="Arial" w:eastAsia="Times New Roman" w:hAnsi="Arial" w:cs="Arial"/>
          <w:sz w:val="18"/>
          <w:szCs w:val="18"/>
        </w:rPr>
        <w:lastRenderedPageBreak/>
        <w:t>not discourage the use of creative alternatives which can be shown to reliably achieve the objectives of negative-pressure enclosures.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Requirements included in this appendix, cover general provisions to be followed in all asbestos jobs, provisions which must be followed for all Class I asbestos jobs, and provisions governing the construction and testing of negative pressure enclosures. The first category includes the requirement for use of wet methods, HEPA vacuums, and immediate bagging of waste; Class I work must conform to the following provisions: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oversight by competent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use of critical barriers over all openings to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isolation of HVAC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use of impermeable dropcloths and coverage of all objects within regulated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In addition, more specific requirements for NPEs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maintenance of −0.02 inches water gauge within 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manometric measurements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air movement away from employees performing removal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smoke testing or equivalent for detection of leaks and air direction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Unicode MS" w:eastAsia="Arial Unicode MS" w:hAnsi="Arial Unicode MS" w:cs="Arial Unicode MS" w:hint="eastAsia"/>
          <w:sz w:val="18"/>
          <w:szCs w:val="18"/>
        </w:rPr>
        <w:t>•</w:t>
      </w:r>
      <w:r w:rsidRPr="009F74C5">
        <w:rPr>
          <w:rFonts w:ascii="Arial" w:eastAsia="Times New Roman" w:hAnsi="Arial" w:cs="Arial"/>
          <w:sz w:val="18"/>
          <w:szCs w:val="18"/>
        </w:rPr>
        <w:t>  deactivation of electrical circuits, if not provided with ground-fault circuit interrupters.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Planning the Project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standard requires that an exposure assessment be conducted before the asbestos job is begun [§1926.1101 (f)(1)]. Information needed for that assessment, includes data relating to prior similar jobs, as applied to the specific variables of the current job. The information needed to conduct the assessment will be useful in planning the project, and in complying with any reporting requirements under this standard, when significant changes are being made to a control system listed in the standard, [see also those of USEPA (40 CFR 61, subpart M). Thus, although the standard does not explicitly require the preparation of a written asbestos removal plan, the usual constituents of such a plan, i.e., a description of the enclosure, the equipment, and the procedures to be used throughout the project, must be determined before the enclosure can be erected. The following information should be included in the planning of the system:</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physical description of the work area;</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description of the approximate amount of material to be removed;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schedule for turning off and sealing existing ventilation systems;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Personnel hygiene procedures;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description of personal protective equipment and clothing to be worn by employees;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description of the local exhaust ventilation systems to be used and how they are to be tested;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description of work practices to be observed by employees;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lastRenderedPageBreak/>
        <w:t>An air monitoring plan;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 description of the method to be used to transport waste material; and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The location of the dump site.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Materials and Equipment Necessary for Asbestos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Although individual asbestos removal projects vary in terms of the equipment required to accomplish the removal of the materials, some equipment and materials are common to most asbestos removal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Plastic sheeting used to protect horizontal surfaces, seal HVAC openings or to seal vertical openings and ceilings should have a minimum thickness of 6 mils. Tape or other adhesive used to attach plastic sheeting should be of sufficient adhesive strength to support the weight of the material plus all stresses encountered during the entire duration of the project without becoming detached from the surface.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Other equipment and materials which should be available at the beginning of each project are:</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—HEPA Filtered Vacuum is essential for cleaning the work area after the asbestos has been removed. It should have a long hose capable of reaching out-of-the-way places, such as areas above ceiling tiles, behind pipes, etc.</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—Portable air ventilation systems installed to provide the negative air pressure and air removal from the enclosure must be equipped with a HEPA filter. The number and capacity of units required to ventilate an enclosure depend on the size of the area to be ventilated. The filters for these systems should be designed in such a manner that they can be replaced when the air flow volume is reduced by the build-up of dust in the filtration material. Pressure monitoring devices with alarms and strip chart recorders attached to each system to indicate the pressure differential and the loss due to dust buildup on the filter are recommended.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—Water sprayers should be used to keep the asbestos material as saturated as possible during removal; the sprayers will provide a fine mist that minimizes the impact of the spray on the material.</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—Water used to saturate the asbestos containing material can be amended by adding at least 15 milliliters ( </w:t>
      </w: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w:t>
      </w:r>
      <w:r w:rsidRPr="009F74C5">
        <w:rPr>
          <w:rFonts w:ascii="Arial" w:eastAsia="Times New Roman" w:hAnsi="Arial" w:cs="Arial"/>
          <w:sz w:val="13"/>
          <w:szCs w:val="13"/>
          <w:vertAlign w:val="subscript"/>
        </w:rPr>
        <w:t>4</w:t>
      </w:r>
      <w:r w:rsidRPr="009F74C5">
        <w:rPr>
          <w:rFonts w:ascii="Arial" w:eastAsia="Times New Roman" w:hAnsi="Arial" w:cs="Arial"/>
          <w:sz w:val="18"/>
          <w:szCs w:val="18"/>
        </w:rPr>
        <w:t xml:space="preserve"> ounce) of wetting agent in 1 liter (1 pint) of water. An example of a wetting agent is a 50/50 mixture of polyoxyethylene ether and polyoxyethylene polyglycol ester.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—Backup power supplies are recommended, especially for ventilation systems.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—Shower and bath water should be with mixed hot and cold water faucets. Water that has been used to clean personnel or equipment should either be filtered or be collected and discarded as asbestos waste. Soap and shampoo should be provided to aid in removing dust from the workers' skin and hair.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—See paragraphs (h) and (i) of this section for appropriate respiratory protection and protective clothing.</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—See paragraph (k) of this section for required signs and labels.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Preparing the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Disabling HVAC Systems: The power to the heating, ventilation, and air conditioning systems that service the restricted area must be deactivated and locked off. All ducts, grills, access ports, windows and vents must be sealed off with two layers of plastic to prevent entrainment of contaminated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Operating HVAC Systems in the Restricted Area: If components of a HVAC system located in the restricted area are connected to a system that will service another zone during the project, the portion of the duct in the restricted area must be sealed and pressurized. Necessary precautions include caulking the duct joints, covering all cracks and openings with two layers of sheeting, and pressurizing the duct throughout the duration of the project by restricting the return air flow. The power to the fan supplying the positive pressure should be locked “on” to prevent pressure loss.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Sealing Elevators: If an elevator shaft is located in the restricted area, it should be either shut down or isolated by sealing with two layers of plastic sheeting. The sheeting should provide enough slack to accommodate the pressure changes in the shaft without breaking the air-tight seal.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Removing Mobile Objects: All movable objects should be cleaned and removed from the work area before an enclosure is constructed unless moving the objects creates a hazard. Mobile objects will be assumed to be contaminated and should be either cleaned with amended water and a HEPA vacuum and then removed from the area or wrapped and then disposed of as hazardous waste.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Cleaning and Sealing Surfaces: After cleaning with water and a HEPA vacuum, surfaces of stationary objects should be covered with two layers of plastic sheeting. The sheeting should be secured with duct tape or an equivalent method to provide a tight seal around the object.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Bagging Waste: In addition to the requirement for immediate bagging of waste for disposal, it is further recommended that the waste material be double-bagged and sealed in plastic bags designed for asbestos disposal. The bags should be stored in a waste storage area that can be controlled by the workers conducting the removal. Filters removed from air handling units and rubbish removed from the area are to be bagged and handled as hazardous waste.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Constructing the 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enclosure should be constructed to provide an air-tight seal around ducts and openings into existing ventilation systems and around penetrations for electrical conduits, telephone wires, water lines, drain pipes, etc. Enclosures should be both airtight and watertight except for those openings designed to provide entry and/or air flow control.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Size: An enclosure should be the minimum volume to encompass all of the working surfaces yet allow unencumbered movement by the worker(s), provide unrestricted air flow past the worker(s), and ensure walking surfaces can be kept free of tripping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Shape: The enclosure may be any shape that optimizes the flow of ventilation air past the worker(s).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Structural Integrity: The walls, ceilings and floors must be supported in such a manner that portions of the enclosure will not fall down during normal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Openings: It is not necessary that the structure be airtight; openings may be designed to direct air flow. Such openings should be located at a distance from active removal operations. They should be designed to draw air into the enclosure under all anticipated circumstances. In the event that negative pressure is lost, they should be fitted with either HEPA filters to trap dust or automatic trap doors that prevent dust from escaping the enclosure. Openings for exits should be controlled by an airlock or a vestibule.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Barrier Supports: Frames should be constructed to support all unsupported spans of sheeting.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Sheeting: Walls, barriers, ceilings, and floors should be lined with two layers of plastic sheeting having a thickness of at least 6 mil.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Seams: Seams in the sheeting material should be minimized to reduce the possibilities of accidental rips and tears in the adhesive or connections. All seams in the sheeting should overlap, be staggered and not be located at corners or wall-to-floor joints. Areas Within an Enclosure: Each enclosure consists of a work area, a decontamination area, and waste storage area. The work area where the asbestos removal operations occur should be separated from both the waste storage area and the contamination control area by physical curtains, doors, and/or airflow patterns that force any airborne contamination back into the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See paragraph (j) of this section for requirements for hygiene facilities.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During egress from the work area, each worker should step into the equipment room, clean tools and equipment, and remove gross contamination from clothing by wet cleaning and HEPA vacuuming. Before entering </w:t>
      </w:r>
      <w:r w:rsidRPr="009F74C5">
        <w:rPr>
          <w:rFonts w:ascii="Arial" w:eastAsia="Times New Roman" w:hAnsi="Arial" w:cs="Arial"/>
          <w:sz w:val="18"/>
          <w:szCs w:val="18"/>
        </w:rPr>
        <w:lastRenderedPageBreak/>
        <w:t>the shower area, foot coverings, head coverings, hand coverings, and coveralls are removed and placed in impervious bags for disposal or cleaning. Airline connections from airline respirators with HEPA disconnects and power cables from powered air-purifying respirators (PAPRs) will be disconnected just prior to entering the shower room.</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Establishing Negative Pressure Within the 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Negative Pressure: Air is to be drawn into the enclosure under all anticipated conditions and exhausted through a HEPA filter for 24 hours a day during the entire duration of the project.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Flow Tests: Air flow patterns will be checked before removal operations begin, at least once per operating shift and any time there is a question regarding the integrity of the enclosure. The primary test for air flow is to trace air currents with smoke tubes or other visual methods. Flow checks are made at each opening and at each doorway to demonstrate that air is being drawn into the enclosure and at each worker's position to show that air is being drawn away from the breathing zone.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Monitoring Pressure Within the Enclosure: After the initial air flow patterns have been checked, the static pressure must be monitored within the enclosure. Monitoring may be made using manometers, pressure gauges, or combinations of these devices. It is recommended that they be attached to alarms and strip chart recorders at points identified by the design engineer.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Corrective Actions: If the manometers or pressure gauges demonstrate a reduction in pressure differential below the required level, work should cease and the reason for the change investigated and appropriate changes made. The air flow patterns should be retested before work begins again.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Pressure Differential: The design parameters for static pressure differentials between the inside and outside of enclosures typically range from 0.02 to 0.10 inches of water gauge, depending on conditions. All zones inside the enclosure must have less pressure than the ambient pressure outside of the enclosure (−0.02 inches water gauge differential). Design specifications for the differential vary according to the size, configuration, and shape of the enclosure as well as ambient and mechanical air pressure conditions around the 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Flow Patterns: The flow of air past each worker shall be enhanced by positioning the intakes and exhaust ports to remove contaminated air from the worker's breathing zone, by positioning HEPA vacuum cleaners to draw air from the worker's breathing zone, by forcing relatively uncontaminated air past the worker toward an exhaust port, or by using a combination of methods to reduce the worker's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Handling Unit Exhaust: The exhaust plume from air handling units should be located away from adjacent personnel and intakes for HVAC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Flow Volume: The air flow volume (cubic meters per minute) exhausted (removed) from the workplace must exceed the amount of makeup air supplied to the enclosure. The rate of air exhausted from the enclosure should be designed to maintain a negative pressure in the enclosure and air movement past each worker. The volume of air flow removed from the enclosure should replace the volume of the container at every 5 to 15 minutes. Air flow volume will need to be relatively high for large enclosures, enclosures with awkward shapes, enclosures with multiple openings, and operations employing several workers in the enclosure.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 Flow Velocity: At each opening, the air flow velocity must visibly “drag” air into the enclosure. The velocity of air flow within the enclosure must be adequate to remove airborne contamination from each worker's breathing zone without disturbing the asbestos-containing material on surfaces.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Airlocks: Airlocks are mechanisms on doors and curtains that control the air flow patterns in the doorways. If air flow occurs, the patterns through doorways must be such that the air flows toward the inside of the enclosure. Sometimes vestibules, double doors, or double curtains are used to prevent air movement through the doorways. To use a vestibule, a worker enters a chamber by opening the door or curtain and then closing the entry before opening the exit door or curtain.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Airlocks should be located between the equipment room and shower room, between the shower room and the clean room, and between the waste storage area and the outside of the enclosure. The air flow between adjacent </w:t>
      </w:r>
      <w:r w:rsidRPr="009F74C5">
        <w:rPr>
          <w:rFonts w:ascii="Arial" w:eastAsia="Times New Roman" w:hAnsi="Arial" w:cs="Arial"/>
          <w:sz w:val="18"/>
          <w:szCs w:val="18"/>
        </w:rPr>
        <w:lastRenderedPageBreak/>
        <w:t>rooms must be checked using smoke tubes or other visual tests to ensure the flow patterns draw air toward the work area without producing eddies.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Monitoring for Airborne Concentrations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In addition to the breathing zone samples taken as outlined in paragraph (f) of this section, samples of air should be taken to demonstrate the integrity of the enclosure, the cleanliness of the clean room and shower area, and the effectiveness of the HEPA filter. If the clean room is shown to be contaminated, the room must be relocated to an uncontaminated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Samples taken near the exhaust of portable ventilation systems must be done with care.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General Work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Preventing dust dispersion is the primary means of controlling the spread of asbestos within the enclosure. Whenever practical, the point of removal should be isolated, enclosed, covered, or shielded from the workers in the area. Waste asbestos containing materials must be bagged during or immediately after removal; the material must remain saturated until the waste container is sealed.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Waste material with sharp points or corners must be placed in hard air-tight containers rather than bags.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Whenever possible, large components should be sealed in plastic sheeting and removed intact.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Bags or containers of waste will be moved to the waste holding area, washed, and wrapped in a bag with the appropriate labels.</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Cleaning the Work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Surfaces within the work area should be kept free of visible dust and debris to the extent feasible. Whenever visible dust appears on surfaces, the surfaces within the enclosure must be cleaned by wiping with a wet sponge, brush, or cloth and then vacuumed with a HEPA vacuum.</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All surfaces within the enclosure should be cleaned before the exhaust ventilation system is deactivated and the enclosure is disassembled. An approved encapsulant may be sprayed onto areas after the visible dust has been removed.</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G to §1926.1101 [Reserved]</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H to §1926.1101—Substance Technical Information for Asbestos. Non-Mandatory</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 Substance Identification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Substance: “Asbestos” is the name of a class of magnesium-silicate minerals that occur in fibrous form. Minerals that are included in this group are chrysotile, crocidolite, amosite, anthophyllite asbestos, tremolite asbestos, and actinolite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Asbestos is and was used in the manufacture of heat-resistant clothing, automotive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C. The potential for an asbestos-containing product to release breathable fibers depends largely on its degree of friability. Friable means that the material can be crumbled with hand pressure and is therefore likely to emit fibers. The fibrous fluffy sprayed-on materials used for fireproofing, insulation, or sound proofing are considered to be friable, and they readily release airborne fibers if disturbed. Materials such as vinyl-asbestos floor tile or roofing felt are considered non-friable if intact and generally do not emit airborne fibers unless subjected to sanding, sawing and </w:t>
      </w:r>
      <w:r w:rsidRPr="009F74C5">
        <w:rPr>
          <w:rFonts w:ascii="Arial" w:eastAsia="Times New Roman" w:hAnsi="Arial" w:cs="Arial"/>
          <w:sz w:val="18"/>
          <w:szCs w:val="18"/>
        </w:rPr>
        <w:lastRenderedPageBreak/>
        <w:t>other aggressive operations. Asbestos-cement pipe or sheet can emit airborne fibers if the materials are cut or sawed, or if they are broken.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Permissible exposure: Exposure to airborne asbestos fibers may not exceed 0.1 fibers per cubic centimeter of air (0.1 f/cc) averaged over the 8-hour workday, and 1 fiber per cubic centimeter of air (1.0 f/cc) averaged over a 30 minute work period.</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II. Health Hazard Data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III. Respirators and Protective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Respirators: You are required to wear a respirator when performing tasks that result in asbestos exposure that exceeds the permissible exposure limit (PEL) of 0.1 f/cc and when performing certain designated operations. Air-purifying respirators equipped with a high-efficiency particulate air (HEPA) filter can be used where airborne asbestos fiber concentrations do not exceed 1.0 f/cc; otherwise, more protective respirators such as air-supplied, positive-pressure, full facepiece respirators must be used. Disposable respirators or dust masks are not permitted to be used for asbestos work. For effective protection, respirators must fit your face and head snugly. Your employer is required to conduct a fit test when you are first assigned a respirator and every 6 months thereafter. Respirators should not be loosened or removed in work situations where their use is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Protective Clothing: You are required to wear protective clothing in work areas where asbestos fiber concentrations exceed the permissible exposure limit (PEL) of 0.1 f/cc.</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IV. Disposal Procedures and Clean-up</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Wastes that are generated by processes where asbestos is present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Empty asbestos shipping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Process wastes such as cuttings, trimmings, or reject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Housekeeping waste from wet-sweeping or HEPA-vacuuming.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Asbestos fireproofing or insulating material that is removed from buildings.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Asbestos-containing building products removed during building renovation or demolition.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 Contaminated disposable protective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Empty shipping bags can be flattened under exhaust hoods and packed into airtight containers for disposal. Empty shipping drums are difficult to clean and should be sealed.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Vacuum bags or disposable paper filters should not be cleaned, but should be sprayed with a fine water mist and placed into a labeled waste container.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Process waste and housekeeping waste should be wetted with water or a mixture of water and surfactant prior to packaging in disposable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E. Asbestos-containing material that is removed from buildings must be disposed of in leak-tight 6-mil plastic bags, plastic-lined cardboard containers, or plastic-lined metal containers. These wastes, which are removed while wet, should be sealed in containers before they dry out to minimize the release of asbestos fibers during handling.</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V. Access to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Each year, your employer is required to inform you of the information contained in this standard and appendices for asbestos. In addition, your employer must instruct you in the proper work practices for handling asbestos-containing materials, and the correct use of protective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Your employer is required to determine whether you are being exposed to asbestos. Your employer must treat exposure to thermal system insulation and sprayed-on and troweled-on surfacing material as asbestos exposure, unless results of laboratory analysis show that the material does not contain asbestos. You or your representative has the right to observe employee measurements and to record the results obtained. Your employer is required to inform you of your exposure, and, if you are exposed above the permissible exposure limit, he or she is required to inform you of the actions that are being taken to reduce your exposure to within the permissible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Your employer is required to keep records of your exposures and medical examinations. These exposure records must be kept for at least thirty (30) years. Medical records must be kept for the period of your employment plus thirty (30) years.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Your employer is required to release your exposure and medical records to your physician or designated representative upon your written request.</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I to §1926.1101—Medical Surveillance Guidelines for Asbestos, Non-Mandatory</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 Route of Entry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Inhalation, ingestion.</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II. Toxicology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Clinical evidence of the adverse effects associated with exposure to asbestos is present in the form of several well-conducted epidemiological studies of occupationally exposed workers, family contacts of workers, and persons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cancers. As with other known chronic occupational diseases, disease associated with asbestos generally appears about 20 years following the first occurrence of exposure: There are no known acute effects associated with exposure to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III. Signs and Symptoms of Exposure-Related Disease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signs and symptoms of lung cancer or gastrointestinal cancer induced by exposure to asbestos are not unique, except that a chest X-ray of an exposed patient with lung cancer may show pleural plaques, pleural calcification, or pleural fibrosis. Symptoms characteristic of mesothelioma include shortness of breath, pain in the walls of the chest, or abdominal pain. Mesothelioma has a much longer latency period compared with lung cancer (40 years versus 15-20 years), and mesothelioma is therefore more likely to be found among workers who were first exposed to asbestos at an early age. Mesothelioma is always fatal.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Asbestosis is pulmonary tibrosis caused by the accumulation of asbestos fibers in the lungs. Symptoms include shortness of breath, coughing, fatigue, and vague feelings of sickness. When the fibrosis worsens, shortness of breath occurs even at rest. The diagnosis of asbestosis is based on a history of exposure to asbestos, the presence of characteristics radiologic changes, end-inspiratory crackles (rales), and other clinical features of fibrosing lung disease. Pleural plaques and thickening are observed on X-rays taken during the early stages of the disease. Asbestosis is often a progressive disease even in the absence of continued exposure, although this appears to be a highly individualized characteristic. In severe cases, death may be caused by respiratory or cardiac failure.</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IV. Surveillance and Preventive Considerations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 noted above, exposure to asbestos has been linked to an increased risk of lung cancer, mesothelioma, gastrointestinal cancer, and asbestosis among occupationally exposed workers. Adequate screening tests to determine an employee's potential for developing serious chronic diseases, such as a cancer, from exposure to asbestos do not presently exist. However, some tests, particularly chest X-rays and pulmonary function tests, may indicate that an employee has been overexposed to asbestos increasing his or her risk of developing exposure 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employer is required to institute a medical surveillance program for all employees who are or will be exposed to asbestos at or above the permissible exposure limit (0.1 fiber per cubic centimeter of air). All examinations and procedures must be performed by or under the supervision of a licensed physician, at a reasonable time and place, and at no cost to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Although broad latitude is given to the physician in prescribing specific tests to be included in the medical surveillance program, OSHA requires inclusion of the following elements in the routine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 Medical and work histories with special emphasis directed to symptoms of the respiratory system, cardiovascular system, and digestive tract.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(ii) Completion of the respiratory disease questionnaire contained in appendix 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(iii) A physical examination including a chest roentgenogram and pulmonary function test that includes measurement of the employee's forced vital capacity (FVC) and forced expiratory volume at one second (FEV</w:t>
      </w:r>
      <w:r w:rsidRPr="009F74C5">
        <w:rPr>
          <w:rFonts w:ascii="Arial" w:eastAsia="Times New Roman" w:hAnsi="Arial" w:cs="Arial"/>
          <w:sz w:val="13"/>
          <w:szCs w:val="13"/>
          <w:vertAlign w:val="subscript"/>
        </w:rPr>
        <w:t>1</w:t>
      </w:r>
      <w:r w:rsidRPr="009F74C5">
        <w:rPr>
          <w:rFonts w:ascii="Arial" w:eastAsia="Times New Roman" w:hAnsi="Arial" w:cs="Arial"/>
          <w:sz w:val="18"/>
          <w:szCs w:val="18"/>
        </w:rPr>
        <w: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(iv) Any laboratory or other test that the examining physician deems by sound medical practice to be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employer is required to make the prescribed tests available at least annually to those employees covered; more often than specified if recommended by the examining physician; and upon termination of employment.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employer is required to provide the physician with the following information: A copy of this standard and appendices;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protective equipment; and 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and a copy of the opinion must be provided to the affected employee.</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lastRenderedPageBreak/>
        <w:t>Appendix J to §1926.1101—Smoking Cessation Program Information for Asbestos—Non-Mandatory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following organizations provide smoking cessation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The National Cancer Institute operates a toll-free Cancer Information Service (CIS) with trained personnel to help you. Call 1-800-4-CANCER* to reach the CIS office serving your area, or write: Office of Cancer Communications, National Cancer Institute, National Institutes of Health, Building 31 Room 10A24, Bethesda, Maryland 20892.</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2. American Cancer Society, 3340 Peachtree Road, N.E., Atlanta, Georgia 30026, (404) 320-3333</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American Cancer Society (ACS) is a voluntary organization composed of 58 divisions and 3,100 local units. Through “The Great American Smokeout” in November, the annual Cancer Crusade in April, and numerous educational materials, ACS helps people learn about the health hazards of smoking and become successful ex-smokers.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3. American Heart Association, 7320 Greenville Avenue, Dallas, Texas 75231, (214) 750-5300</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American Heart Association (AHA) is a voluntary organization with 130,000 members (physicians, scientists, and laypersons) in 55 state and regional groups. AHA produces a variety of publications and audiovisual materials about the effects of smoking on the heart. AHA also has developed a guidebook for incorporating a weight-control component into smoking cessation programs.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4. American Lung Association, 1740 Broadway, New York, New York 10019, (212) 245-8000</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voluntary organization of 7,500 members (physicians, nurses, and laypersons), the American Lung Association (ALA) conducts numerous public information programs about the health effects of smoking. ALA has 59 state and 85 local units. The organization actively supports legislation and information campaigns for non-smokers' rights and provides help for smokers who want to quit, for example, through “Freedom From Smoking,” a self-help smoking cessation program.</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5. Office on Smoking and Health, U.S. Department of Health and Human Services, 5600 Fishers Lane, Park Building, Room 110, Rockville, Maryland 20857</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Office on Smoking and Health (OSH) is the Department of Health and Human Services' lead agency in smoking control. OSH has sponsored distribution of publications on smoking-related topics, such as free flyers on relapse after initial quitting, helping a friend or family member quit smoking, the health hazards of smoking, and the effects of parental smoking on teenagers.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*In Hawaii, on Oahu call 524-1234 (call collect from neighboring islands),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Spanish-speaking staff members are available during daytime hours to callers from the following areas: California, Florida, Georgia, Illinois, New Jersey (area code 201), New York, and Texas. Consult your local telephone directory for listings of local chapters.</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K to §1926.1101—Polarized Light Microscopy of Asbestos (Non-Mandatory)</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Method number:</w:t>
      </w:r>
    </w:p>
    <w:p w:rsidR="00D70103" w:rsidRPr="009F74C5" w:rsidRDefault="00D70103" w:rsidP="00E16569">
      <w:pPr>
        <w:spacing w:before="200" w:after="100" w:line="240" w:lineRule="auto"/>
        <w:ind w:left="960" w:hanging="480"/>
        <w:rPr>
          <w:rFonts w:ascii="Arial" w:eastAsia="Times New Roman" w:hAnsi="Arial" w:cs="Arial"/>
          <w:sz w:val="18"/>
          <w:szCs w:val="18"/>
        </w:rPr>
      </w:pPr>
      <w:r w:rsidRPr="009F74C5">
        <w:rPr>
          <w:rFonts w:ascii="Arial" w:eastAsia="Times New Roman" w:hAnsi="Arial" w:cs="Arial"/>
          <w:sz w:val="18"/>
          <w:szCs w:val="18"/>
        </w:rPr>
        <w:t>ID-191</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Matrix: Bulk</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Collection Procedure:</w:t>
      </w:r>
    </w:p>
    <w:p w:rsidR="00D70103" w:rsidRPr="009F74C5" w:rsidRDefault="00D70103" w:rsidP="00E16569">
      <w:pPr>
        <w:spacing w:before="200" w:after="100" w:line="240" w:lineRule="auto"/>
        <w:ind w:left="960" w:hanging="480"/>
        <w:rPr>
          <w:rFonts w:ascii="Arial" w:eastAsia="Times New Roman" w:hAnsi="Arial" w:cs="Arial"/>
          <w:sz w:val="18"/>
          <w:szCs w:val="18"/>
        </w:rPr>
      </w:pPr>
      <w:r w:rsidRPr="009F74C5">
        <w:rPr>
          <w:rFonts w:ascii="Arial" w:eastAsia="Times New Roman" w:hAnsi="Arial" w:cs="Arial"/>
          <w:sz w:val="18"/>
          <w:szCs w:val="18"/>
        </w:rPr>
        <w:t>Collect approximately 1 to 2 grams of each type of material and place into separate 20 mL scintillation vials.</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lastRenderedPageBreak/>
        <w:t>Analytical Procedure:</w:t>
      </w:r>
    </w:p>
    <w:p w:rsidR="00D70103" w:rsidRPr="009F74C5" w:rsidRDefault="00D70103" w:rsidP="00E16569">
      <w:pPr>
        <w:spacing w:before="200" w:after="100" w:line="240" w:lineRule="auto"/>
        <w:ind w:left="960" w:hanging="480"/>
        <w:rPr>
          <w:rFonts w:ascii="Arial" w:eastAsia="Times New Roman" w:hAnsi="Arial" w:cs="Arial"/>
          <w:sz w:val="18"/>
          <w:szCs w:val="18"/>
        </w:rPr>
      </w:pPr>
      <w:r w:rsidRPr="009F74C5">
        <w:rPr>
          <w:rFonts w:ascii="Arial" w:eastAsia="Times New Roman" w:hAnsi="Arial" w:cs="Arial"/>
          <w:sz w:val="18"/>
          <w:szCs w:val="18"/>
        </w:rPr>
        <w:t>A portion of each separate phase is analyzed by gross examination, phase-polar examination, and central stop dispersion microscopy.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Commercial manufacturers and products mentioned in this method are for descriptive use only and do not constitute endorsements by USDOL-OSHA. Similar products from other sources may be substituted.</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1. Introduction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This method describes the collection and analysis of asbestos bulk materials by light microscopy techniques including phase- polar illumination and central-stop dispersion microscopy. Some terms unique to asbestos analysis are defined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Amphibole:</w:t>
      </w:r>
      <w:r w:rsidRPr="009F74C5">
        <w:rPr>
          <w:rFonts w:ascii="Arial" w:eastAsia="Times New Roman" w:hAnsi="Arial" w:cs="Arial"/>
          <w:sz w:val="18"/>
          <w:szCs w:val="18"/>
        </w:rPr>
        <w:t xml:space="preserve"> A family of minerals whose crystals are formed by long, thin units which have two thin ribbons of double chain silicate with a brucite ribbon in between. The shape of each unit is similar to an “I beam”. Minerals important in asbestos analysis include cummingtonite-grunerite, crocidolite, tremolite-actinolite and anthophyllite.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Asbestos:</w:t>
      </w:r>
      <w:r w:rsidRPr="009F74C5">
        <w:rPr>
          <w:rFonts w:ascii="Arial" w:eastAsia="Times New Roman" w:hAnsi="Arial" w:cs="Arial"/>
          <w:sz w:val="18"/>
          <w:szCs w:val="18"/>
        </w:rPr>
        <w:t xml:space="preserve"> 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857"/>
        <w:gridCol w:w="3527"/>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Chrysotile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w:t>
            </w:r>
            <w:r w:rsidRPr="009F74C5">
              <w:rPr>
                <w:rFonts w:ascii="Arial" w:eastAsia="Times New Roman" w:hAnsi="Arial" w:cs="Arial"/>
                <w:sz w:val="14"/>
                <w:szCs w:val="14"/>
                <w:vertAlign w:val="subscript"/>
              </w:rPr>
              <w:t>3</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5</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Crocidolite (Riebeckite asbestos)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Na</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Fe</w:t>
            </w:r>
            <w:r w:rsidRPr="009F74C5">
              <w:rPr>
                <w:rFonts w:ascii="Arial" w:eastAsia="Times New Roman" w:hAnsi="Arial" w:cs="Arial"/>
                <w:sz w:val="14"/>
                <w:szCs w:val="14"/>
                <w:vertAlign w:val="subscript"/>
              </w:rPr>
              <w:t>3</w:t>
            </w:r>
            <w:r w:rsidRPr="009F74C5">
              <w:rPr>
                <w:rFonts w:ascii="Arial" w:eastAsia="Times New Roman" w:hAnsi="Arial" w:cs="Arial"/>
                <w:sz w:val="20"/>
                <w:szCs w:val="20"/>
              </w:rPr>
              <w:t>2+Fe</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3+Si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Cummingtonite-Grunerite asbestos (Amosite)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7</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Tremolite-Actinolite asbestos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Ca</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5</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Anthophyllite asbestos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(Mg,Fe)</w:t>
            </w:r>
            <w:r w:rsidRPr="009F74C5">
              <w:rPr>
                <w:rFonts w:ascii="Arial" w:eastAsia="Times New Roman" w:hAnsi="Arial" w:cs="Arial"/>
                <w:sz w:val="14"/>
                <w:szCs w:val="14"/>
                <w:vertAlign w:val="subscript"/>
              </w:rPr>
              <w:t>7</w:t>
            </w:r>
            <w:r w:rsidRPr="009F74C5">
              <w:rPr>
                <w:rFonts w:ascii="Arial" w:eastAsia="Times New Roman" w:hAnsi="Arial" w:cs="Arial"/>
                <w:sz w:val="20"/>
                <w:szCs w:val="20"/>
              </w:rPr>
              <w:t xml:space="preserve"> Si</w:t>
            </w:r>
            <w:r w:rsidRPr="009F74C5">
              <w:rPr>
                <w:rFonts w:ascii="Arial" w:eastAsia="Times New Roman" w:hAnsi="Arial" w:cs="Arial"/>
                <w:sz w:val="14"/>
                <w:szCs w:val="14"/>
                <w:vertAlign w:val="subscript"/>
              </w:rPr>
              <w:t>8</w:t>
            </w:r>
            <w:r w:rsidRPr="009F74C5">
              <w:rPr>
                <w:rFonts w:ascii="Arial" w:eastAsia="Times New Roman" w:hAnsi="Arial" w:cs="Arial"/>
                <w:sz w:val="20"/>
                <w:szCs w:val="20"/>
              </w:rPr>
              <w:t xml:space="preserve"> O</w:t>
            </w:r>
            <w:r w:rsidRPr="009F74C5">
              <w:rPr>
                <w:rFonts w:ascii="Arial" w:eastAsia="Times New Roman" w:hAnsi="Arial" w:cs="Arial"/>
                <w:sz w:val="14"/>
                <w:szCs w:val="14"/>
                <w:vertAlign w:val="subscript"/>
              </w:rPr>
              <w:t>22</w:t>
            </w:r>
            <w:r w:rsidRPr="009F74C5">
              <w:rPr>
                <w:rFonts w:ascii="Arial" w:eastAsia="Times New Roman" w:hAnsi="Arial" w:cs="Arial"/>
                <w:sz w:val="20"/>
                <w:szCs w:val="20"/>
              </w:rPr>
              <w:t>(OH)</w:t>
            </w:r>
            <w:r w:rsidRPr="009F74C5">
              <w:rPr>
                <w:rFonts w:ascii="Arial" w:eastAsia="Times New Roman" w:hAnsi="Arial" w:cs="Arial"/>
                <w:sz w:val="14"/>
                <w:szCs w:val="14"/>
                <w:vertAlign w:val="subscript"/>
              </w:rPr>
              <w:t>2</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Asbestos Fiber:</w:t>
      </w:r>
      <w:r w:rsidRPr="009F74C5">
        <w:rPr>
          <w:rFonts w:ascii="Arial" w:eastAsia="Times New Roman" w:hAnsi="Arial" w:cs="Arial"/>
          <w:sz w:val="18"/>
          <w:szCs w:val="18"/>
        </w:rPr>
        <w:t xml:space="preserve"> A fiber of asbestos meeting the criteria for a fiber. (See section 3.5. of this Appendix)</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Aspect Ratio:</w:t>
      </w:r>
      <w:r w:rsidRPr="009F74C5">
        <w:rPr>
          <w:rFonts w:ascii="Arial" w:eastAsia="Times New Roman" w:hAnsi="Arial" w:cs="Arial"/>
          <w:sz w:val="18"/>
          <w:szCs w:val="18"/>
        </w:rPr>
        <w:t xml:space="preserve"> The ratio of the length of a fiber to its diameter usually defined as “length : width”, e.g. 3:1.</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Brucite:</w:t>
      </w:r>
      <w:r w:rsidRPr="009F74C5">
        <w:rPr>
          <w:rFonts w:ascii="Arial" w:eastAsia="Times New Roman" w:hAnsi="Arial" w:cs="Arial"/>
          <w:sz w:val="18"/>
          <w:szCs w:val="18"/>
        </w:rPr>
        <w:t xml:space="preserve"> A sheet mineral with the composition Mg(OH)</w:t>
      </w:r>
      <w:r w:rsidRPr="009F74C5">
        <w:rPr>
          <w:rFonts w:ascii="Arial" w:eastAsia="Times New Roman" w:hAnsi="Arial" w:cs="Arial"/>
          <w:sz w:val="13"/>
          <w:szCs w:val="13"/>
          <w:vertAlign w:val="subscript"/>
        </w:rPr>
        <w:t>2.</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Central Stop Dispersion Staining (microscope):</w:t>
      </w:r>
      <w:r w:rsidRPr="009F74C5">
        <w:rPr>
          <w:rFonts w:ascii="Arial" w:eastAsia="Times New Roman" w:hAnsi="Arial" w:cs="Arial"/>
          <w:sz w:val="18"/>
          <w:szCs w:val="18"/>
        </w:rPr>
        <w:t xml:space="preserve"> This is a dark field microscope technique that images particles using only light refracted by the particle, excluding light that travels through the particle unrefracted. This is usually accomplished with a McCrone objective or other arrangement which places a circular stop with apparent aperture equal to the objective aperture in the back focal plane of the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Cleavage Fragments:</w:t>
      </w:r>
      <w:r w:rsidRPr="009F74C5">
        <w:rPr>
          <w:rFonts w:ascii="Arial" w:eastAsia="Times New Roman" w:hAnsi="Arial" w:cs="Arial"/>
          <w:sz w:val="18"/>
          <w:szCs w:val="18"/>
        </w:rPr>
        <w:t xml:space="preserve"> Mineral particles formed by the comminution of minerals, especially those characterized by relatively parallel sides and moderate aspect ratio.</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Differential Counting:</w:t>
      </w:r>
      <w:r w:rsidRPr="009F74C5">
        <w:rPr>
          <w:rFonts w:ascii="Arial" w:eastAsia="Times New Roman" w:hAnsi="Arial" w:cs="Arial"/>
          <w:sz w:val="18"/>
          <w:szCs w:val="18"/>
        </w:rPr>
        <w:t xml:space="preserve"> The term applied to the practice of excluding certain kinds of fibers from a phase contrast asbestos count because they are not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Fiber:</w:t>
      </w:r>
      <w:r w:rsidRPr="009F74C5">
        <w:rPr>
          <w:rFonts w:ascii="Arial" w:eastAsia="Times New Roman" w:hAnsi="Arial" w:cs="Arial"/>
          <w:sz w:val="18"/>
          <w:szCs w:val="18"/>
        </w:rPr>
        <w:t xml:space="preserve"> A particle longer than or equal to 5 µm with a length to width ratio greater than or equal to 3:1. This may include cleavage fragments. (see section 3.5 of this appendix).</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Phase Contrast:</w:t>
      </w:r>
      <w:r w:rsidRPr="009F74C5">
        <w:rPr>
          <w:rFonts w:ascii="Arial" w:eastAsia="Times New Roman" w:hAnsi="Arial" w:cs="Arial"/>
          <w:sz w:val="18"/>
          <w:szCs w:val="18"/>
        </w:rPr>
        <w:t xml:space="preserve"> Contrast obtained in the microscope by causing light scattered by small particles to destructively interfere with unscattered light, thereby enhancing the visibility of very small particles and particles with very low intrinsic contrast.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lastRenderedPageBreak/>
        <w:t>Phase Contrast Microscope:</w:t>
      </w:r>
      <w:r w:rsidRPr="009F74C5">
        <w:rPr>
          <w:rFonts w:ascii="Arial" w:eastAsia="Times New Roman" w:hAnsi="Arial" w:cs="Arial"/>
          <w:sz w:val="18"/>
          <w:szCs w:val="18"/>
        </w:rPr>
        <w:t xml:space="preserve"> A microscope configured with a phase mask pair to create phase contrast. The technique which uses this is called Phase Contrast Microscopy (PCM).</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Phase-Polar Analysis:</w:t>
      </w:r>
      <w:r w:rsidRPr="009F74C5">
        <w:rPr>
          <w:rFonts w:ascii="Arial" w:eastAsia="Times New Roman" w:hAnsi="Arial" w:cs="Arial"/>
          <w:sz w:val="18"/>
          <w:szCs w:val="18"/>
        </w:rPr>
        <w:t xml:space="preserve"> This is the use of polarized light in a phase contrast microscope. It is used to see the same size fibers that are visible in air filter analysis. Although fibers finer than 1 µm are visible, analysis of these is inferred from analysis of larger bundles that are usually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Phase-Polar Microscope:</w:t>
      </w:r>
      <w:r w:rsidRPr="009F74C5">
        <w:rPr>
          <w:rFonts w:ascii="Arial" w:eastAsia="Times New Roman" w:hAnsi="Arial" w:cs="Arial"/>
          <w:sz w:val="18"/>
          <w:szCs w:val="18"/>
        </w:rPr>
        <w:t xml:space="preserve"> The phase-polar microscope is a phase contrast microscope which has an analyzer, a polarizer, a first order red plate and a rotating phase condenser all in place so that the polarized light image is enhanced by phase contrast.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Sealing Encapsulant:</w:t>
      </w:r>
      <w:r w:rsidRPr="009F74C5">
        <w:rPr>
          <w:rFonts w:ascii="Arial" w:eastAsia="Times New Roman" w:hAnsi="Arial" w:cs="Arial"/>
          <w:sz w:val="18"/>
          <w:szCs w:val="18"/>
        </w:rPr>
        <w:t xml:space="preserve"> This is a product which can be applied, preferably by spraying, onto an asbestos surface which will seal the surface so that fibers cannot be released.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Serpentine:</w:t>
      </w:r>
      <w:r w:rsidRPr="009F74C5">
        <w:rPr>
          <w:rFonts w:ascii="Arial" w:eastAsia="Times New Roman" w:hAnsi="Arial" w:cs="Arial"/>
          <w:sz w:val="18"/>
          <w:szCs w:val="18"/>
        </w:rPr>
        <w:t xml:space="preserve"> A mineral family consisting of minerals with the general composition Mg</w:t>
      </w:r>
      <w:r w:rsidRPr="009F74C5">
        <w:rPr>
          <w:rFonts w:ascii="Arial" w:eastAsia="Times New Roman" w:hAnsi="Arial" w:cs="Arial"/>
          <w:sz w:val="13"/>
          <w:szCs w:val="13"/>
          <w:vertAlign w:val="subscript"/>
        </w:rPr>
        <w:t>3</w:t>
      </w:r>
      <w:r w:rsidRPr="009F74C5">
        <w:rPr>
          <w:rFonts w:ascii="Arial" w:eastAsia="Times New Roman" w:hAnsi="Arial" w:cs="Arial"/>
          <w:sz w:val="18"/>
          <w:szCs w:val="18"/>
        </w:rPr>
        <w:t>(Si</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 xml:space="preserve"> O</w:t>
      </w:r>
      <w:r w:rsidRPr="009F74C5">
        <w:rPr>
          <w:rFonts w:ascii="Arial" w:eastAsia="Times New Roman" w:hAnsi="Arial" w:cs="Arial"/>
          <w:sz w:val="13"/>
          <w:szCs w:val="13"/>
          <w:vertAlign w:val="subscript"/>
        </w:rPr>
        <w:t>5</w:t>
      </w:r>
      <w:r w:rsidRPr="009F74C5">
        <w:rPr>
          <w:rFonts w:ascii="Arial" w:eastAsia="Times New Roman" w:hAnsi="Arial" w:cs="Arial"/>
          <w:sz w:val="18"/>
          <w:szCs w:val="18"/>
        </w:rPr>
        <w:t>(OH)</w:t>
      </w:r>
      <w:r w:rsidRPr="009F74C5">
        <w:rPr>
          <w:rFonts w:ascii="Arial" w:eastAsia="Times New Roman" w:hAnsi="Arial" w:cs="Arial"/>
          <w:sz w:val="13"/>
          <w:szCs w:val="13"/>
          <w:vertAlign w:val="subscript"/>
        </w:rPr>
        <w:t>4</w:t>
      </w:r>
      <w:r w:rsidRPr="009F74C5">
        <w:rPr>
          <w:rFonts w:ascii="Arial" w:eastAsia="Times New Roman" w:hAnsi="Arial" w:cs="Arial"/>
          <w:sz w:val="18"/>
          <w:szCs w:val="18"/>
        </w:rPr>
        <w:t xml:space="preserve"> having the magnesium in brucite layer over a silicate layer. Minerals important in asbestos analysis included in this family are chrysotile, lizardite, antigorite.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1.1. History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Light microscopy has been used for well over 100 years for the determination of mineral species. This analysis is carried out using specialized polarizing microscopes as well as bright field microscopes. The identification of minerals is an on-going process with many new minerals 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worker and public safety with the use of this material,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more successful. These provide useful corroborating information when the presence of asbestos has been shown by microscopy; however, neither can determine the difference between fibrous and non-fibrous minerals when both habits are present. The same is true of Infrared Absorption (IR).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Diffraction—SAED which is performed in the TEM. Although the resolution of the SEM is sufficient for very fine fibers to be seen, accuracy of chemical analysis that can be performed on the fibers varies with fiber diameter in fibers of less than 0.2 µm diameter. The TEM is a powerful tool to identify fibers too small to be resolved by light microscopy and should be used in conjunction with this method when necessary. The TEM can provide all three pieces of information required for fiber identification. Most fibers thicker than 1 µm can adequately be defined in the light microscope. The light microscope remains as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1.2. Principle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Minerals consist of atoms that may be arranged in random order or in a regular arrangement. Amorphous materials have atoms in random order while crystalline materials have long range order. Many materials are transparent to light, at least for small particles or for thin sections. The properties of these materials can be </w:t>
      </w:r>
      <w:r w:rsidRPr="009F74C5">
        <w:rPr>
          <w:rFonts w:ascii="Arial" w:eastAsia="Times New Roman" w:hAnsi="Arial" w:cs="Arial"/>
          <w:sz w:val="18"/>
          <w:szCs w:val="18"/>
        </w:rPr>
        <w:lastRenderedPageBreak/>
        <w:t>investigated by the effect that the material has on light passing through it. The six asbestos minerals are all crystalline with particular properties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µm. Because OSHA requires the counting and identification of fibers visible in phase contrast, the phase contrast platform is used to visualize the fibers with the polarizing elements added into the light path. Polarized light methods cannot identify fibers finer than about 1 µm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1.3. Advantages and Disadvantages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advantages of light microcopy are: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Basic identification of the materials was first performed by light microscopy and gross analysis. This provides a large base of published information against which to check analysis and analytical technique.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The analysis is quick, requires little preparation time, and can be performed on-site if a suitably equipped microscope is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disadvantages are: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Even using phase-polar illumination, not all the fibers present may be seen. This is a problem for very low asbestos concentrations where agglomerations or large bundles of fibers may not be present to allow identification by inference.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The method requires a great degree of sophistication on the part of the microscopist. An analyst is only as useful as his mental catalog of images. Therefore, a microscopist's accuracy is enhanced by experience. The mineralogical training of the analyst is very important. It is the basis on which subjective decisions are made.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The method uses only a tiny amount of material for analysis. This may lead to sampling bias and false results (high or low). This is especially true if the sample is severely inhomogeneous.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Fibers may be bound in a matrix and not distinguishable as fibers so identification cannot be made.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1.4. Method Performance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1.4.1.</w:t>
      </w:r>
      <w:r w:rsidRPr="009F74C5">
        <w:rPr>
          <w:rFonts w:ascii="Arial" w:eastAsia="Times New Roman" w:hAnsi="Arial" w:cs="Arial"/>
          <w:sz w:val="18"/>
          <w:szCs w:val="18"/>
        </w:rPr>
        <w:t xml:space="preserve"> 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range especially near 1%. EPA tried to remedy this by requiring a mandatory point counting scheme for samples less than 10%. The point counting procedure is tedious, and may introduce significant biases of its own. It has not been incorporated into this method.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lastRenderedPageBreak/>
        <w:t>1.4.2.</w:t>
      </w:r>
      <w:r w:rsidRPr="009F74C5">
        <w:rPr>
          <w:rFonts w:ascii="Arial" w:eastAsia="Times New Roman" w:hAnsi="Arial" w:cs="Arial"/>
          <w:sz w:val="18"/>
          <w:szCs w:val="18"/>
        </w:rPr>
        <w:t xml:space="preserve"> 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the precision.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i/>
          <w:iCs/>
          <w:sz w:val="18"/>
          <w:szCs w:val="18"/>
        </w:rPr>
        <w:t>1.4.3.</w:t>
      </w:r>
      <w:r w:rsidRPr="009F74C5">
        <w:rPr>
          <w:rFonts w:ascii="Arial" w:eastAsia="Times New Roman" w:hAnsi="Arial" w:cs="Arial"/>
          <w:sz w:val="18"/>
          <w:szCs w:val="18"/>
        </w:rPr>
        <w:t xml:space="preserve"> 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1.5. Interferences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Asbestos minerals belong to two mineral families: the serpentines and the amphiboles. In the serpentine family, the only common fibrous mineral is chrysotile. Occasionally, the mineral antigorite occurs in a fibril habit with morphology similar to the amphiboles. The amphibole minerals consist of a score of different minerals of which only five are regulated by federal 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are: fiberglass, mineral wool, ceramic wool, refractory ceramic fibers, kevlar, nomex, synthetic fibers, graphite or carbon fibers, cellulose (paper or wood) fibers, metal fibers, etc.</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Matrix embedding material can sometimes be a negative interference. The analyst may not be able to easily extract the fibers from the matrix in order to use the method. Where possible, remove the matrix before the analysis, taking careful note of the loss of weight. Some common matrix materials are: vinyl, rubber, tar, paint, plant fiber, cement, and epoxy. A further negative interference is that the asbestos fibers themselves may be either too small to be seen in Phase contrast Microscopy (PCM) or of a very low fibrous quality, having the appearance of plant fibers. The analyst's ability to deal with these materials increases with experience.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1.6. Uses and Occupational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1.7. Physical and Chemical Properties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The nominal chemical compositions for the asbestos minerals were given in Section 1. Compared to cleavage fragments of the same minerals, asbestiform fibers possess a high tensile strength along the fiber axis. They are chemically inert, non-combustible,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1.8. Toxicology (This section is for Information Only and Should Not Be Taken as OSHA Policy)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29 CFR 1910.1001 and 29 CFR 1926.1101 and 29 CFR 1915.1001.</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2. Sampling Procedure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2.1. Equipment for sampling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Tube or cork borer sampling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Knife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20 mL scintillation vial or similar vial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Sealing encapsulant</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2.2. Safety Precautions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Asbestos is a known carcinogen. Take care when sampling. While in an asbestos-containing atmosphere, a properly selected and fit-tested respirator should be worn. Take samples in a manner to cause the least amount of dust. Follow these general guidelines: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Do not make unnecessary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Take only a small amount (1 to 2 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Tightly close the sample container.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Use encapsulant to seal the spot where the sample was taken, if necessary.</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2.3. Sampling Procedure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w:t>
      </w:r>
      <w:r w:rsidRPr="009F74C5">
        <w:rPr>
          <w:rFonts w:ascii="Arial" w:eastAsia="Times New Roman" w:hAnsi="Arial" w:cs="Arial"/>
          <w:i/>
          <w:iCs/>
          <w:sz w:val="18"/>
          <w:szCs w:val="18"/>
        </w:rPr>
        <w:t>DO NOT USE ENVELOPES, PLASTIC OR PAPER BAGS OF ANY KIND TO COLLECT SAMPLES.</w:t>
      </w:r>
      <w:r w:rsidRPr="009F74C5">
        <w:rPr>
          <w:rFonts w:ascii="Arial" w:eastAsia="Times New Roman" w:hAnsi="Arial" w:cs="Arial"/>
          <w:sz w:val="18"/>
          <w:szCs w:val="18"/>
        </w:rPr>
        <w:t xml:space="preserve"> The use of plastic bags presents a contamination hazard to laboratory personnel and to other samples. When these containers are opened, a bellows effect blows fibers out of the container onto everything, including the person opening the container.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If a cork-borer type sampler is available, push the tube through the material all the way, so that all layers of material are sampled. Some samplers are intended to be disposable. These should be capped and sent to the laboratory. If a non-disposable cork borer is used, empty the contents into a scintillation vial and send to the laboratory. Vigorously and completely clean the cork borer between samples.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lastRenderedPageBreak/>
        <w:t>2.4   Shipment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Samples packed in glass vials must not touch or they might break in shipment.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Seal the samples with a sample seal over the end to guard against tampering and to identify the sample.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Package the bulk samples in separate packages from the air samples. They may cross-contaminate each other and will invalidate the results of the air samples.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(c) Include identifying paperwork </w:t>
      </w:r>
      <w:r w:rsidRPr="009F74C5">
        <w:rPr>
          <w:rFonts w:ascii="Arial" w:eastAsia="Times New Roman" w:hAnsi="Arial" w:cs="Arial"/>
          <w:i/>
          <w:iCs/>
          <w:sz w:val="18"/>
          <w:szCs w:val="18"/>
        </w:rPr>
        <w:t>with</w:t>
      </w:r>
      <w:r w:rsidRPr="009F74C5">
        <w:rPr>
          <w:rFonts w:ascii="Arial" w:eastAsia="Times New Roman" w:hAnsi="Arial" w:cs="Arial"/>
          <w:sz w:val="18"/>
          <w:szCs w:val="18"/>
        </w:rPr>
        <w:t xml:space="preserve"> the samples, but not in contact with the suspected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To maintain sample accountability, ship the samples by certified mail, overnight express, or hand carry them to the laboratory.</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3.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3.1.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Do not create unnecessary dust. Handle the samples in HEPA-filter equipped hoods. If samples are received in bags, envelopes or other inappropriate container, open them only in a hood having a face velocity at or greater than 100 fpm. Transfer a small amount to a scintillation vial and only handle the smaller amount.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Open samples in a hood, never in the open lab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Index of refraction oils can be toxic. Take care not to get this material on the skin. Wash immediately with soap and water if this happens.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Samples that have been heated in the muffle furnace or the drying oven may be hot. Handle them with tongs until they are cool enough to handle.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 Some of the solvents used, such as THF (tetrahydrofuran), are toxic and should only be handled in an appropriate fume hood and according to instructions given in the Material Safety Data Sheet (MSDS).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3.2.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 Phase contrast microscope with 10x, 16x and 40x objectives, 10x wide-field eyepieces, G-22 Walton-Beckett graticule, Whipple disk, polarizer, analyzer and first order red or gypsum plate, 100 Watt illuminator, rotating position condenser with oversize phase rings, central stop dispersion objective, Kohler illumination and a rotating mechanical stage.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 Stereo microscope with reflected light illumination, transmitted light illumination, polarizer, analyzer and first order red or gypsum plate, and rotating stage.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 Negative pressure hood for the stereo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 Muffle furnace capable of 600 °C</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 Drying oven capable of 50-150 °C</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(f) Aluminum specimen pans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(g) Tongs for handling samples in the furnace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(h) High dispersion index of refraction oils (Special for dispersion staining.)</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1.550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1.585</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1.590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1.605</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1.620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1.670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1.680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n = 1.690</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 A set of index of refraction oils from about n=1.350 to n=2.000 in n=0.005 increments. (Standard for Becke line analysis.)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(j) Glass slides with painted or frosted ends 1×3 inches 1mm (thick, precleaned.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(k) Cover Slips 22×22 mm, #1</w:t>
      </w:r>
      <w:r w:rsidRPr="009F74C5">
        <w:rPr>
          <w:rFonts w:ascii="Arial" w:eastAsia="Times New Roman" w:hAnsi="Arial" w:cs="Arial"/>
          <w:sz w:val="13"/>
          <w:szCs w:val="13"/>
          <w:vertAlign w:val="superscript"/>
        </w:rPr>
        <w:t>1</w:t>
      </w:r>
      <w:r w:rsidRPr="009F74C5">
        <w:rPr>
          <w:rFonts w:ascii="Arial" w:eastAsia="Times New Roman" w:hAnsi="Arial" w:cs="Arial"/>
          <w:sz w:val="18"/>
          <w:szCs w:val="18"/>
        </w:rPr>
        <w:t>⁄</w:t>
      </w:r>
      <w:r w:rsidRPr="009F74C5">
        <w:rPr>
          <w:rFonts w:ascii="Arial" w:eastAsia="Times New Roman" w:hAnsi="Arial" w:cs="Arial"/>
          <w:sz w:val="13"/>
          <w:szCs w:val="13"/>
          <w:vertAlign w:val="subscript"/>
        </w:rPr>
        <w:t>2</w:t>
      </w:r>
      <w:r w:rsidRPr="009F74C5">
        <w:rPr>
          <w:rFonts w:ascii="Arial" w:eastAsia="Times New Roman" w:hAnsi="Arial" w:cs="Arial"/>
          <w:sz w:val="18"/>
          <w:szCs w:val="18"/>
        </w:rPr>
        <w:t xml:space="preserve"> </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(l) Paper clips or dissection needles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 Hand grinder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(n) Scalpel with both #10 and #11 blades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(o) 0.1 molar HCl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 Decalcifying solution (Baxter Scientific Products) Ethylenediaminetetraacetic Acid,</w:t>
      </w:r>
    </w:p>
    <w:p w:rsidR="00D70103" w:rsidRPr="009F74C5" w:rsidRDefault="00D70103" w:rsidP="00E16569">
      <w:pPr>
        <w:numPr>
          <w:ilvl w:val="0"/>
          <w:numId w:val="1"/>
        </w:numPr>
        <w:spacing w:before="100" w:beforeAutospacing="1" w:after="165" w:line="240" w:lineRule="auto"/>
        <w:rPr>
          <w:rFonts w:ascii="Arial" w:eastAsia="Times New Roman" w:hAnsi="Arial" w:cs="Arial"/>
          <w:sz w:val="18"/>
          <w:szCs w:val="18"/>
        </w:rPr>
      </w:pPr>
      <w:r w:rsidRPr="009F74C5">
        <w:rPr>
          <w:rFonts w:ascii="Arial" w:eastAsia="Times New Roman" w:hAnsi="Arial" w:cs="Arial"/>
          <w:sz w:val="18"/>
          <w:szCs w:val="18"/>
        </w:rPr>
        <w:t>Tetrasodium 0.7 g/l</w:t>
      </w:r>
    </w:p>
    <w:p w:rsidR="00D70103" w:rsidRPr="009F74C5" w:rsidRDefault="00D70103" w:rsidP="00E16569">
      <w:pPr>
        <w:numPr>
          <w:ilvl w:val="0"/>
          <w:numId w:val="1"/>
        </w:numPr>
        <w:spacing w:before="100" w:beforeAutospacing="1" w:after="165" w:line="240" w:lineRule="auto"/>
        <w:rPr>
          <w:rFonts w:ascii="Arial" w:eastAsia="Times New Roman" w:hAnsi="Arial" w:cs="Arial"/>
          <w:sz w:val="18"/>
          <w:szCs w:val="18"/>
        </w:rPr>
      </w:pPr>
      <w:r w:rsidRPr="009F74C5">
        <w:rPr>
          <w:rFonts w:ascii="Arial" w:eastAsia="Times New Roman" w:hAnsi="Arial" w:cs="Arial"/>
          <w:sz w:val="18"/>
          <w:szCs w:val="18"/>
        </w:rPr>
        <w:t>Sodium Potassium Tartrate 8.0 mg/liter</w:t>
      </w:r>
    </w:p>
    <w:p w:rsidR="00D70103" w:rsidRPr="009F74C5" w:rsidRDefault="00D70103" w:rsidP="00E16569">
      <w:pPr>
        <w:numPr>
          <w:ilvl w:val="0"/>
          <w:numId w:val="1"/>
        </w:numPr>
        <w:spacing w:before="100" w:beforeAutospacing="1" w:after="165" w:line="240" w:lineRule="auto"/>
        <w:rPr>
          <w:rFonts w:ascii="Arial" w:eastAsia="Times New Roman" w:hAnsi="Arial" w:cs="Arial"/>
          <w:sz w:val="18"/>
          <w:szCs w:val="18"/>
        </w:rPr>
      </w:pPr>
      <w:r w:rsidRPr="009F74C5">
        <w:rPr>
          <w:rFonts w:ascii="Arial" w:eastAsia="Times New Roman" w:hAnsi="Arial" w:cs="Arial"/>
          <w:sz w:val="18"/>
          <w:szCs w:val="18"/>
        </w:rPr>
        <w:t>Hydrochloric Acid 99.2 g/liter</w:t>
      </w:r>
    </w:p>
    <w:p w:rsidR="00D70103" w:rsidRPr="009F74C5" w:rsidRDefault="00D70103" w:rsidP="00E16569">
      <w:pPr>
        <w:numPr>
          <w:ilvl w:val="0"/>
          <w:numId w:val="1"/>
        </w:numPr>
        <w:spacing w:before="100" w:beforeAutospacing="1" w:after="165" w:line="240" w:lineRule="auto"/>
        <w:rPr>
          <w:rFonts w:ascii="Arial" w:eastAsia="Times New Roman" w:hAnsi="Arial" w:cs="Arial"/>
          <w:sz w:val="18"/>
          <w:szCs w:val="18"/>
        </w:rPr>
      </w:pPr>
      <w:r w:rsidRPr="009F74C5">
        <w:rPr>
          <w:rFonts w:ascii="Arial" w:eastAsia="Times New Roman" w:hAnsi="Arial" w:cs="Arial"/>
          <w:sz w:val="18"/>
          <w:szCs w:val="18"/>
        </w:rPr>
        <w:t>Sodium Tartrate 0.14 g/liter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(q) Tetrahydrofuran (THF)</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 Hotplate capable of 60 °C</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 Balance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 Hacksaw blade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(u) Ruby mortar and pestle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3.3. Sample Pre-Preparation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Sample preparation begins with pre-preparation which may include chemical reduction of the matrix, heating the sample to dryness or heating in the muffle furnace. The end result is a sample which has been reduced to a powder that is sufficiently fine to fit under the cover slip. Analyze different phases of samples separately, e.g., tile and the tile mastic should be analyzed separately as the mastic may contain asbestos while the tile may not.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(a) </w:t>
      </w:r>
      <w:r w:rsidRPr="009F74C5">
        <w:rPr>
          <w:rFonts w:ascii="Arial" w:eastAsia="Times New Roman" w:hAnsi="Arial" w:cs="Arial"/>
          <w:i/>
          <w:iCs/>
          <w:sz w:val="18"/>
          <w:szCs w:val="18"/>
        </w:rPr>
        <w:t>Wet Samples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Samples with a high water content will not give the proper dispersion colors and must be dried prior to sample mounting. Remove the lid of the scintillation vial, place the bottle in the drying oven and heat at 100 °C to dryness (usually about 2 h). Samples which are not submitted to the lab in glass must be removed and placed in glass vials or aluminum weighing pans before placing them in the drying oven.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(b) </w:t>
      </w:r>
      <w:r w:rsidRPr="009F74C5">
        <w:rPr>
          <w:rFonts w:ascii="Arial" w:eastAsia="Times New Roman" w:hAnsi="Arial" w:cs="Arial"/>
          <w:i/>
          <w:iCs/>
          <w:sz w:val="18"/>
          <w:szCs w:val="18"/>
        </w:rPr>
        <w:t>Samples With Organic Interference—Muffle Furnace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These may include samples with tar as a matrix, vinyl asbestos tile, or any other organic that can be reduced by heating. Remove the sample from the vial and weigh in a balance to determine the weight of the submitted portion. Place the sample in a muffle furnace at 500 °C for 1 to 2 h or until all obvious organic material has been removed. Retrieve, cool and weigh again to determine the weight loss on ignition. This is necessary to determine the asbestos content of the submitted sample, because the analyst will be looking at a reduced sample.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Heating above 600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(c) </w:t>
      </w:r>
      <w:r w:rsidRPr="009F74C5">
        <w:rPr>
          <w:rFonts w:ascii="Arial" w:eastAsia="Times New Roman" w:hAnsi="Arial" w:cs="Arial"/>
          <w:i/>
          <w:iCs/>
          <w:sz w:val="18"/>
          <w:szCs w:val="18"/>
        </w:rPr>
        <w:t>Samples With Organic Interference—THF</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Vinyl asbestos tile is the most common material treated with this solvent, although, substances containing tar will sometimes yield to this treatment. Select a portion of the material and then grind it up if possible. Weigh the sample and place it in a test tube. Add sufficient THF to dissolve the organic matrix. This is usually about 4 to 5 mL. </w:t>
      </w:r>
      <w:r w:rsidRPr="009F74C5">
        <w:rPr>
          <w:rFonts w:ascii="Arial" w:eastAsia="Times New Roman" w:hAnsi="Arial" w:cs="Arial"/>
          <w:i/>
          <w:iCs/>
          <w:sz w:val="18"/>
          <w:szCs w:val="18"/>
        </w:rPr>
        <w:t>Remember, THF is highly flammable.</w:t>
      </w:r>
      <w:r w:rsidRPr="009F74C5">
        <w:rPr>
          <w:rFonts w:ascii="Arial" w:eastAsia="Times New Roman" w:hAnsi="Arial" w:cs="Arial"/>
          <w:sz w:val="18"/>
          <w:szCs w:val="18"/>
        </w:rPr>
        <w:t xml:space="preserve"> Filter the remaining material through a tared silver membrane, dry and weigh to determine how much is left after the solvent extraction. Further process the sample to remove carbonate or mount directly.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(d) </w:t>
      </w:r>
      <w:r w:rsidRPr="009F74C5">
        <w:rPr>
          <w:rFonts w:ascii="Arial" w:eastAsia="Times New Roman" w:hAnsi="Arial" w:cs="Arial"/>
          <w:i/>
          <w:iCs/>
          <w:sz w:val="18"/>
          <w:szCs w:val="18"/>
        </w:rPr>
        <w:t>Samples With Carbonate Interference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Carbonate material is often found on fibers and sometimes must be removed in order to perform dispersion microscopy. Weigh out a portion of the material and place it in a test tube. Add a sufficient amount of 0.1 M HCl or decalcifying solution in the tube to react all the carbonate as evidenced by gas formation; i.e., when the gas bubbles stop, add a little more solution. If no more gas forms, the reaction is complete. Filter the material out through a tared silver membrane, dry and weigh to determine the weight lost.</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3.4. Sample Preparation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Samples must be prepared so that accurate determination can be made of the asbestos type and amount present. The following steps are carried out in the low-flow hood (a low-flow hood has less than 50 fpm flow):</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completely destroy the observable crystallinity of asbestos and should not be used). For some samples, a portion of material can be shaved off with a scalpel, ground off with a hand grinder or hack saw blade.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The preparation tools should either be disposable or cleaned thoroughly. Use vigorous scrubbing to loosen the fibers during the washing. Rinse the implements with copious amounts of water and air-dry in a dust-free environment.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(2) If the sample is powder or has been reduced as in (1) above, it is ready to mount. Place a glass slide on a piece of optical tissue and write the identification on the painted or frosted end. Place two drops of index of refraction medium n=1.550 on the slide. (The medium n=1.550 is chosen because it is the matching index for chrysotile. Dip the end of a clean paper-clip or dissecting needle into the droplet of refraction medium </w:t>
      </w:r>
      <w:r w:rsidRPr="009F74C5">
        <w:rPr>
          <w:rFonts w:ascii="Arial" w:eastAsia="Times New Roman" w:hAnsi="Arial" w:cs="Arial"/>
          <w:i/>
          <w:iCs/>
          <w:sz w:val="18"/>
          <w:szCs w:val="18"/>
        </w:rPr>
        <w:t>on the slide</w:t>
      </w:r>
      <w:r w:rsidRPr="009F74C5">
        <w:rPr>
          <w:rFonts w:ascii="Arial" w:eastAsia="Times New Roman" w:hAnsi="Arial" w:cs="Arial"/>
          <w:sz w:val="18"/>
          <w:szCs w:val="18"/>
        </w:rPr>
        <w:t xml:space="preserv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cover-slip on the preparation by gently lowering onto the slide and allowing it to fall “trapdoor” fashion on the 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Treat at least two different areas of each phase in this fashion. Choose representative areas of the sample. It may be useful to select particular areas or fibers for analysis. This is useful to identify asbestos in severely inhomogeneous samples.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 it is determined that amphiboles may be present, repeat the above process using the appropriate high-dispersion oils until an identification is made or all six asbestos minerals have been ruled out. Note that percent determination must be done in the index medium 1.550 because amphiboles tend to disappear in their matching mediums.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3.5. Analytical procedure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This method presumes some knowledge of mineralogy and optical petrography.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analysis consists of three parts: The determination of whether there is asbestos present, what type is present and the determination of how much is present. The general flow of the analysis is: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Gross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Examination under polarized light on the stereo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Examination by phase-polar illumination on the compound phase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Determination of species by dispersion stain. Examination by Becke line analysis may also be used; however, this is usually more cumbersome for asbestos determination.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Difficult samples may need to be analyzed by SEM or TEM, or the results from those techniques combined with light microscopy for a definitive identification.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Identification of a particle as asbestos requires that it be asbestiform. Description of particles should follow the suggestion of Campbell. (Figure 1)</w:t>
      </w:r>
    </w:p>
    <w:p w:rsidR="00D70103" w:rsidRPr="009F74C5" w:rsidRDefault="00D70103" w:rsidP="00E16569">
      <w:pPr>
        <w:spacing w:after="0" w:line="240" w:lineRule="auto"/>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14:anchorId="3F9C4495" wp14:editId="68FFD288">
            <wp:extent cx="4861560" cy="6515100"/>
            <wp:effectExtent l="0" t="0" r="0" b="0"/>
            <wp:docPr id="81" name="Picture 81" descr="eCFR graphic er10au94.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eCFR graphic er10au94.026.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61560" cy="651510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18"/>
          <w:szCs w:val="18"/>
        </w:rPr>
      </w:pPr>
      <w:hyperlink r:id="rId220"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For the purpose of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characterized in groups by extremely high aspect ratios (greater than 100:1). While aspect ratio analysis is useful for characterizing populations of fibers, it cannot be </w:t>
      </w:r>
      <w:r w:rsidRPr="009F74C5">
        <w:rPr>
          <w:rFonts w:ascii="Arial" w:eastAsia="Times New Roman" w:hAnsi="Arial" w:cs="Arial"/>
          <w:sz w:val="18"/>
          <w:szCs w:val="18"/>
        </w:rPr>
        <w:lastRenderedPageBreak/>
        <w:t>used to identify individual fibers of intermediate to short aspect ratio. Observation of many fibers is often necessary to determine whether a sample consists of “cleavage fragments” or of asbestos fibers.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acicular rather than filiform.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Where the particles are less than 1 µm in diameter and have an aspect ratio greater than or equal to 3:1, it is recommended that the sample be analyzed by SEM or TEM if there is any question whether the fibers are cleavage fragments or asbestiform particles.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Care must be taken when analyzing by electron microscopy because the interferences are different from those in light microscopy and may structurally be very similar to asbestos. The classic interference is between anthophyllite and biopyribole or intermediate fiber. Use the same morphological clues for electron microscopy as are used for light microscopy, e.g. fibril splitting, internal longitudinal striation, fraying, curvature, etc.</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(1) Gross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Examine the sample, preferably in the glass vial. Determine the presence of any obvious fibrous component. Estimate a percentage based on previous experience and current observation. Determine whether any pre-preparation is necessary. Determine the number of phases present. This step may be carried out or augmented by observation at 6 to 40× under a stereo microscope.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(2) 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(3) Examine the slides on the phase-polar microscopes at magnifications of 160 and 400×.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µm in thickness must be identified by inference to the presence of larger, identifiable fibers and morphology. If no larger fibers are visible, electron microscopy should be performed. At this point, only a tentative identification can be made. Full identification must be made with dispersion microscopy. Details of the tests are included in the appendices.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(4) Once fibers have been determined to be present, they must be identified. Adjust the microscope for dispersion mode and observe the fibers. The microscope has a rotating stage, one polarizing element, and a system for generating dark-field dispersion microscopy (see Section 4.6.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540"/>
        <w:gridCol w:w="4844"/>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Type of asbestos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Index of refraction</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Chrysotile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n=1.550.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Amosite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n=1.670 or 1.680.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Crocidolite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n=1.690.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Anthophyllite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n=1.605 and 1.620.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Tremolite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n=1.605 and 1.620.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Actinolite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n=1.620.</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Where more than one liquid is suggested, the first is preferred; however, in some cases this liquid will not give good dispersion color. Take care to avoid interferences in the other liquid; e.g., wollastonite in n=1.620 will give the same colors as tremolite. In n=1.605 wollastonite will appear yellow in all directions. Wollastonite may be determined under crossed polars as it will change from blue to yellow as it is rotated along its fiber axis by tapping on the cover slip. Asbestos minerals will not change in this way.</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Determination of the angle of extinction may, when present, aid in the determination of anthophyllite from tremolite. True asbestos fibers usually have 0° extinction or ambiguous extinction, while cleavage fragments have more definite extinction.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Continue analysis until both preparations have been examined and all present species of asbestos are identified. If there are no fibers present, or there is less than 0.1% present, end the analysis with the minimum number of slides (2).</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(5) Some fibers have a coating on them which makes dispersion microscopy very difficult or impossible. Becke line analysis or electron microscopy may be performed in those cases. Determine the percentage by light microscopy. TEM analysis tends to overestimate the actual percentage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(6) Percentage determination is an estimate of occluded area, tempered by gross observation. Gross observation information is used to make sure that the high magnification microscopy does not greatly over- or under- 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 are about the same and the sample is relatively homogeneous.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View all of the area under the cover slip to make the percentage determination. View the fields while moving the stage, paying attention to the clumps of material. These are not usually the best areas to perform dispersion microscopy because of the interference from other materials. But, they are the areas most likely to represent the accurate percentage in the sample. Small amounts of asbestos require slower scanning and more frequent analysis of individual fields.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Report the area occluded by asbestos as the concentration. This estimate does not generally take into consideration the difference in density of the different species present in the sample. For most samples this is adequate. Simulation studies with similar materials must be carried out to apply microvisual estimation for that purpose and is beyond the scope of this procedure.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(7) 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Step 1. 60% remains after heating at 550 °C for 1 h.</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Step 2. 30% of the residue of step 1 remains after dissolution of carbonate in 0.1 m HCl.</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Step 3. Microvisual estimation determines that 5% of the sample is chrysotile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reported result is: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R = (Microvisual result in percent) × (Fraction remaining after step 2) × (Fraction remaining of original sample after step 1)</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R = (5)×(.30)×(.60)=0.9%</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(8) Report the percent and type of asbestos present. For samples where asbestos was identified, but is less than 1.0%, report “Asbestos present, less than 1.0%.” There must have been at least two observed fibers or fiber bundles in the two preparations to be reported as present. For samples where asbestos was not seen, report as “None Detected.”</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Auxiliary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Because of the subjective nature of asbestos analysis, certain concepts and procedures need to be discussed in more depth. This information will help the analyst understand why some of the procedures are carried out the way they are.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4.1. Light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Light is electromagnetic energy. It travels from its source in packets called quanta. It is instructive to consider light as a plane wave. The light has a direction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direction from the filament.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w:t>
      </w:r>
      <w:r w:rsidRPr="009F74C5">
        <w:rPr>
          <w:rFonts w:ascii="Arial" w:eastAsia="Times New Roman" w:hAnsi="Arial" w:cs="Arial"/>
          <w:i/>
          <w:iCs/>
          <w:sz w:val="18"/>
          <w:szCs w:val="18"/>
        </w:rPr>
        <w:t>POLARIZED.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Polarized light interacts with matter in the direction of the electric vector. This is the polarization direction. Using this property it is possible to use polarized light to probe different materials and identify them by how they interact with light.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speed of light in a vacuum is a constant at about 2.99×10</w:t>
      </w:r>
      <w:r w:rsidRPr="009F74C5">
        <w:rPr>
          <w:rFonts w:ascii="Arial" w:eastAsia="Times New Roman" w:hAnsi="Arial" w:cs="Arial"/>
          <w:sz w:val="13"/>
          <w:szCs w:val="13"/>
          <w:vertAlign w:val="superscript"/>
        </w:rPr>
        <w:t>8</w:t>
      </w:r>
      <w:r w:rsidRPr="009F74C5">
        <w:rPr>
          <w:rFonts w:ascii="Arial" w:eastAsia="Times New Roman" w:hAnsi="Arial" w:cs="Arial"/>
          <w:sz w:val="18"/>
          <w:szCs w:val="18"/>
        </w:rPr>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more dense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Section 4.6.</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4.2. Material Properties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Materials are either amorphous or crystalline. The difference between these two descriptions depends on the positions of the atoms in them. The atoms in amorphous materials are randomly arranged with no long range order. An example of an amorphous material is glass. The atoms in crystalline materials, on the other hand, are in regular arrays and have long range order. Most of the atoms can be found in highly predictable locations. Examples of crystalline material are salt, gold, and the asbestos minerals.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With the exception of anthophyllite, all the asbestos minerals belong to the monoclinic crystal type. The unit cell is the basic repeating unit of the crystal and for monoclinic crystals can be described as having three unequal sides, two 90° angles and one angle not equal to 90°. The orthorhombic group, of which anthophyllite is a member has three unequal sides and three 90°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w:t>
      </w:r>
      <w:r w:rsidRPr="009F74C5">
        <w:rPr>
          <w:rFonts w:ascii="Arial" w:eastAsia="Times New Roman" w:hAnsi="Arial" w:cs="Arial"/>
          <w:sz w:val="18"/>
          <w:szCs w:val="18"/>
        </w:rPr>
        <w:lastRenderedPageBreak/>
        <w:t>material under investigation. The indices α, β, and γ are used to identify the lowest, middle, and highest index of refraction respectively. The x direction, associated with α is called the fast axis. Conversely, the z direction is associated with γ and is the slow direction. Crocidolite has α along the fiber length making it “length-fast”. The remainder of the asbestos minerals have the γ axis along the fiber length. They are called “length-slow”. This orientation to fiber length is used to aid in the identification of asbestos.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4.3. Polarized Light Technique</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compensator between these two polarizing elements. A compensator is a piece of mineral with known properties that “compensates” for some deficiency in the optical train.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4.4. Angle of Extinction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Crystals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extinction is to first identify the polarization direction in the microscope. A commercial alignment slide can be used to establish the polarization directions or use anthophyllite or another suitable mineral. This mineral has a zero degree angle of extinction and will go dark to extinction as it aligns with the polarization directions. When a fiber of anthophyllite has gone to extinction, align the eyepiece reticle or graticule with the fiber so that there is a visual cue as to the direction of polarization in the field of view. Tape or otherwise secure the eyepiece in this position so it will not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Again note the reading of the stage. The difference in the first reading and the second is an angle of extinction.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angle measured may vary as the orientation of the fiber changes about its long axis. Tables of mineralogical data usually report the maximum angle of extinction. Asbestos forming minerals, when they exhibit an angle of extinction, usually do show an angle of extinction close to the reported maximum, or as appropriate depending on the substitution chemistry.</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4.5. Crossed Polars with Compensator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When the optical axes of a crystal are not lined up along one of the polarizing directions (either the polarizer or the analyzer) part of the light travels along one axis and part travels along the other visible axis. This is characteristic of birefringent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The color depends on the difference of the two visible indices of refraction and the thickness of the crystal. The maximum difference available is the difference between the α and the γ axes. This maximum difference is usually tabulated as the birefringence of the crystal.</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 xml:space="preserve">For this test, align the fiber at 45° to the polarization directions in order to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interference and some are suppressed by destructive interference. The result is a color dependent on </w:t>
      </w:r>
      <w:r w:rsidRPr="009F74C5">
        <w:rPr>
          <w:rFonts w:ascii="Arial" w:eastAsia="Times New Roman" w:hAnsi="Arial" w:cs="Arial"/>
          <w:sz w:val="18"/>
          <w:szCs w:val="18"/>
        </w:rPr>
        <w:lastRenderedPageBreak/>
        <w:t>the difference between the indices and the thickness of the crystal. The proper colors, thicknesses, and retardations are shown on a Michel-Levy chart. The three items, retardation, thickness and birefringence are related by the following relationship:</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R=t(n</w:t>
      </w:r>
      <w:r w:rsidRPr="009F74C5">
        <w:rPr>
          <w:rFonts w:ascii="Arial" w:eastAsia="Times New Roman" w:hAnsi="Arial" w:cs="Arial"/>
          <w:i/>
          <w:iCs/>
          <w:sz w:val="13"/>
          <w:szCs w:val="13"/>
          <w:vertAlign w:val="subscript"/>
        </w:rPr>
        <w:t>γ</w:t>
      </w:r>
      <w:r w:rsidRPr="009F74C5">
        <w:rPr>
          <w:rFonts w:ascii="Arial" w:eastAsia="Times New Roman" w:hAnsi="Arial" w:cs="Arial"/>
          <w:sz w:val="18"/>
          <w:szCs w:val="18"/>
        </w:rPr>
        <w:t>−n</w:t>
      </w:r>
      <w:r w:rsidRPr="009F74C5">
        <w:rPr>
          <w:rFonts w:ascii="Arial" w:eastAsia="Times New Roman" w:hAnsi="Arial" w:cs="Arial"/>
          <w:i/>
          <w:iCs/>
          <w:sz w:val="13"/>
          <w:szCs w:val="13"/>
          <w:vertAlign w:val="subscript"/>
        </w:rPr>
        <w:t>α</w:t>
      </w:r>
      <w:r w:rsidRPr="009F74C5">
        <w:rPr>
          <w:rFonts w:ascii="Arial" w:eastAsia="Times New Roman" w:hAnsi="Arial" w:cs="Arial"/>
          <w:sz w:val="18"/>
          <w:szCs w:val="18"/>
        </w:rPr>
        <w:t>)</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R=retardation, t=crystal thickness in µm, and</w:t>
      </w:r>
    </w:p>
    <w:p w:rsidR="00D70103" w:rsidRPr="009F74C5" w:rsidRDefault="00D70103" w:rsidP="00E16569">
      <w:pPr>
        <w:spacing w:before="200" w:after="100" w:line="240" w:lineRule="auto"/>
        <w:ind w:left="960" w:hanging="960"/>
        <w:rPr>
          <w:rFonts w:ascii="Arial" w:eastAsia="Times New Roman" w:hAnsi="Arial" w:cs="Arial"/>
          <w:sz w:val="18"/>
          <w:szCs w:val="18"/>
        </w:rPr>
      </w:pPr>
      <w:r w:rsidRPr="009F74C5">
        <w:rPr>
          <w:rFonts w:ascii="Arial" w:eastAsia="Times New Roman" w:hAnsi="Arial" w:cs="Arial"/>
          <w:sz w:val="18"/>
          <w:szCs w:val="18"/>
        </w:rPr>
        <w:t>n</w:t>
      </w:r>
      <w:r w:rsidRPr="009F74C5">
        <w:rPr>
          <w:rFonts w:ascii="Arial" w:eastAsia="Times New Roman" w:hAnsi="Arial" w:cs="Arial"/>
          <w:i/>
          <w:iCs/>
          <w:sz w:val="13"/>
          <w:szCs w:val="13"/>
          <w:vertAlign w:val="subscript"/>
        </w:rPr>
        <w:t>α,γ</w:t>
      </w:r>
      <w:r w:rsidRPr="009F74C5">
        <w:rPr>
          <w:rFonts w:ascii="Arial" w:eastAsia="Times New Roman" w:hAnsi="Arial" w:cs="Arial"/>
          <w:sz w:val="18"/>
          <w:szCs w:val="18"/>
        </w:rPr>
        <w:t>=indices of refraction.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Examination of the equation for asbestos minerals reveals that the visible colors for almost all common asbestos minerals and fiber sizes are shades of gray and black. The eye is relatively poor at discriminating different shades of gray. It is very good at discriminating different colors. In order to compensate for the low retardation, a compensator is added to the light train between the polarization elements. The compensator used for this test is a gypsum plate of known thickness and birefringence. Such a compensator when oriented at 45° to the polarizer direction, provides a retardation of 530 nm of the 530 nm wavelength color. This enhances the red color and gives the background a characteristic red to red-magenta color. If this “full-wave”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subtractive and the color seen is a first order yellow. As long as the fiber thickness does 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Certain synthetic fibers will show retardation colors different than asbestos; however, there are some forms of polyethylene and aramid which will show morphology and retardation colors similar to asbestos minerals. This test must be supplemented with a positive identification test when birefringent fibers are present which can not be excluded by morphology. This test is relatively ineffective for use on fibers less than 1 µm in diameter. For positive confirmation TEM or SEM should be used if no larger bundles or fibers are visible.</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4.6. Dispersion Staining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t>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unscattered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in order to identify other types of asbestos.</w:t>
      </w:r>
    </w:p>
    <w:p w:rsidR="00D70103" w:rsidRPr="009F74C5" w:rsidRDefault="00D70103" w:rsidP="00E16569">
      <w:pPr>
        <w:spacing w:before="100" w:beforeAutospacing="1" w:after="100" w:afterAutospacing="1" w:line="240" w:lineRule="auto"/>
        <w:ind w:firstLine="480"/>
        <w:rPr>
          <w:rFonts w:ascii="Arial" w:eastAsia="Times New Roman" w:hAnsi="Arial" w:cs="Arial"/>
          <w:sz w:val="18"/>
          <w:szCs w:val="18"/>
        </w:rPr>
      </w:pPr>
      <w:r w:rsidRPr="009F74C5">
        <w:rPr>
          <w:rFonts w:ascii="Arial" w:eastAsia="Times New Roman" w:hAnsi="Arial" w:cs="Arial"/>
          <w:sz w:val="18"/>
          <w:szCs w:val="18"/>
        </w:rPr>
        <w:lastRenderedPageBreak/>
        <w:t>Make a preparation in the suspected matching high dispersion oil, e.g., n=1.550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Section 4.4. Align a fiber with the polarization direction. Note the color. This is the color parallel to the polarizer. Then rotate the fiber rotating the stage 90° so that the polarization direction is across the fiber. This is the perpendicular position. Again note the color. Both colors must be consistent with standard asbestos minerals in the correct direction for a positive identification of asbestos. If only one of the colors is correct while the other is not, the identification is not positive. If the colors in both directions are bluish-white, the analyst has chosen a matching index oil which is higher than the correct matching oil, e.g. the analyst has used n=1.620 where chrysotile is present. The next lower oil (Section 3.5.) should be used to prepare another specimen. If the color in both directions is yellow-white to straw-yellow-white, this indicates that the index of the oil is lower than the index of the fiber, e.g. the preparation is in n=1.550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as asbestos. Take care to note and evaluate the morphology of the fibers or remove the plant fibers in pre-preparation.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coated or electron microscopy can be used for identification.</w:t>
      </w:r>
    </w:p>
    <w:p w:rsidR="00D70103" w:rsidRPr="009F74C5" w:rsidRDefault="00D70103" w:rsidP="00E16569">
      <w:pPr>
        <w:spacing w:before="200" w:after="100" w:line="240" w:lineRule="auto"/>
        <w:outlineLvl w:val="1"/>
        <w:rPr>
          <w:rFonts w:ascii="Arial" w:eastAsia="Times New Roman" w:hAnsi="Arial" w:cs="Arial"/>
          <w:i/>
          <w:iCs/>
          <w:sz w:val="20"/>
          <w:szCs w:val="20"/>
        </w:rPr>
      </w:pPr>
      <w:r w:rsidRPr="009F74C5">
        <w:rPr>
          <w:rFonts w:ascii="Arial" w:eastAsia="Times New Roman" w:hAnsi="Arial" w:cs="Arial"/>
          <w:i/>
          <w:iCs/>
          <w:sz w:val="20"/>
          <w:szCs w:val="20"/>
        </w:rPr>
        <w:t>5. References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 Crane, D.T., </w:t>
      </w:r>
      <w:r w:rsidRPr="009F74C5">
        <w:rPr>
          <w:rFonts w:ascii="Arial" w:eastAsia="Times New Roman" w:hAnsi="Arial" w:cs="Arial"/>
          <w:i/>
          <w:iCs/>
          <w:sz w:val="18"/>
          <w:szCs w:val="18"/>
        </w:rPr>
        <w:t>Asbestos in Air,</w:t>
      </w:r>
      <w:r w:rsidRPr="009F74C5">
        <w:rPr>
          <w:rFonts w:ascii="Arial" w:eastAsia="Times New Roman" w:hAnsi="Arial" w:cs="Arial"/>
          <w:sz w:val="18"/>
          <w:szCs w:val="18"/>
        </w:rPr>
        <w:t xml:space="preserve"> OSHA method ID160, Revised November 1992.</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5.2. Ford, W.E., </w:t>
      </w:r>
      <w:r w:rsidRPr="009F74C5">
        <w:rPr>
          <w:rFonts w:ascii="Arial" w:eastAsia="Times New Roman" w:hAnsi="Arial" w:cs="Arial"/>
          <w:i/>
          <w:iCs/>
          <w:sz w:val="18"/>
          <w:szCs w:val="18"/>
        </w:rPr>
        <w:t>Dana's Textbook of Mineralogy;</w:t>
      </w:r>
      <w:r w:rsidRPr="009F74C5">
        <w:rPr>
          <w:rFonts w:ascii="Arial" w:eastAsia="Times New Roman" w:hAnsi="Arial" w:cs="Arial"/>
          <w:sz w:val="18"/>
          <w:szCs w:val="18"/>
        </w:rPr>
        <w:t xml:space="preserve"> Fourth Ed.; John Wiley and Son, New York, 1950, p. vii.</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5.3. Selikoff, I.J., Lee, D.H.K., </w:t>
      </w:r>
      <w:r w:rsidRPr="009F74C5">
        <w:rPr>
          <w:rFonts w:ascii="Arial" w:eastAsia="Times New Roman" w:hAnsi="Arial" w:cs="Arial"/>
          <w:i/>
          <w:iCs/>
          <w:sz w:val="18"/>
          <w:szCs w:val="18"/>
        </w:rPr>
        <w:t>Asbestos and Disease,</w:t>
      </w:r>
      <w:r w:rsidRPr="009F74C5">
        <w:rPr>
          <w:rFonts w:ascii="Arial" w:eastAsia="Times New Roman" w:hAnsi="Arial" w:cs="Arial"/>
          <w:sz w:val="18"/>
          <w:szCs w:val="18"/>
        </w:rPr>
        <w:t xml:space="preserve"> Academic Press, New York, 1978, pp. 3,20.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5.4. </w:t>
      </w:r>
      <w:r w:rsidRPr="009F74C5">
        <w:rPr>
          <w:rFonts w:ascii="Arial" w:eastAsia="Times New Roman" w:hAnsi="Arial" w:cs="Arial"/>
          <w:i/>
          <w:iCs/>
          <w:sz w:val="18"/>
          <w:szCs w:val="18"/>
        </w:rPr>
        <w:t>Women Inspectors of Factories.</w:t>
      </w:r>
      <w:r w:rsidRPr="009F74C5">
        <w:rPr>
          <w:rFonts w:ascii="Arial" w:eastAsia="Times New Roman" w:hAnsi="Arial" w:cs="Arial"/>
          <w:sz w:val="18"/>
          <w:szCs w:val="18"/>
        </w:rPr>
        <w:t xml:space="preserve"> Annual Report for 1898, H.M. Statistical Office, London, p. 170 (1898).</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5.5. Selikoff,.I.J., Lee, D.H.K., </w:t>
      </w:r>
      <w:r w:rsidRPr="009F74C5">
        <w:rPr>
          <w:rFonts w:ascii="Arial" w:eastAsia="Times New Roman" w:hAnsi="Arial" w:cs="Arial"/>
          <w:i/>
          <w:iCs/>
          <w:sz w:val="18"/>
          <w:szCs w:val="18"/>
        </w:rPr>
        <w:t>Asbestos and Disease,</w:t>
      </w:r>
      <w:r w:rsidRPr="009F74C5">
        <w:rPr>
          <w:rFonts w:ascii="Arial" w:eastAsia="Times New Roman" w:hAnsi="Arial" w:cs="Arial"/>
          <w:sz w:val="18"/>
          <w:szCs w:val="18"/>
        </w:rPr>
        <w:t xml:space="preserve"> Academic Press, New York, 1978, pp. 26,30.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5.6. Campbell, W.J., et al, </w:t>
      </w:r>
      <w:r w:rsidRPr="009F74C5">
        <w:rPr>
          <w:rFonts w:ascii="Arial" w:eastAsia="Times New Roman" w:hAnsi="Arial" w:cs="Arial"/>
          <w:i/>
          <w:iCs/>
          <w:sz w:val="18"/>
          <w:szCs w:val="18"/>
        </w:rPr>
        <w:t>Selected Silicate Minerals and Their Asbestiform Varieties,</w:t>
      </w:r>
      <w:r w:rsidRPr="009F74C5">
        <w:rPr>
          <w:rFonts w:ascii="Arial" w:eastAsia="Times New Roman" w:hAnsi="Arial" w:cs="Arial"/>
          <w:sz w:val="18"/>
          <w:szCs w:val="18"/>
        </w:rPr>
        <w:t xml:space="preserve"> United States Department of the Interior, Bureau of Mines, Information Circular 8751, 1977.</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5.7. </w:t>
      </w:r>
      <w:r w:rsidRPr="009F74C5">
        <w:rPr>
          <w:rFonts w:ascii="Arial" w:eastAsia="Times New Roman" w:hAnsi="Arial" w:cs="Arial"/>
          <w:i/>
          <w:iCs/>
          <w:sz w:val="18"/>
          <w:szCs w:val="18"/>
        </w:rPr>
        <w:t>Asbestos,</w:t>
      </w:r>
      <w:r w:rsidRPr="009F74C5">
        <w:rPr>
          <w:rFonts w:ascii="Arial" w:eastAsia="Times New Roman" w:hAnsi="Arial" w:cs="Arial"/>
          <w:sz w:val="18"/>
          <w:szCs w:val="18"/>
        </w:rPr>
        <w:t xml:space="preserve"> Code of Federal Regulations, 29 CFR 1910.1001 and 29 CFR 1926.58.</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5.8. </w:t>
      </w:r>
      <w:r w:rsidRPr="009F74C5">
        <w:rPr>
          <w:rFonts w:ascii="Arial" w:eastAsia="Times New Roman" w:hAnsi="Arial" w:cs="Arial"/>
          <w:i/>
          <w:iCs/>
          <w:sz w:val="18"/>
          <w:szCs w:val="18"/>
        </w:rPr>
        <w:t>National Emission Standards for Hazardous Air Pollutants; Asbestos NESHAP Revision,</w:t>
      </w:r>
      <w:r w:rsidRPr="009F74C5">
        <w:rPr>
          <w:rFonts w:ascii="Arial" w:eastAsia="Times New Roman" w:hAnsi="Arial" w:cs="Arial"/>
          <w:sz w:val="18"/>
          <w:szCs w:val="18"/>
        </w:rPr>
        <w:t xml:space="preserve"> </w:t>
      </w:r>
      <w:r w:rsidRPr="009F74C5">
        <w:rPr>
          <w:rFonts w:ascii="Arial" w:eastAsia="Times New Roman" w:hAnsi="Arial" w:cs="Arial"/>
          <w:smallCaps/>
          <w:sz w:val="18"/>
          <w:szCs w:val="18"/>
        </w:rPr>
        <w:t>Federal Register,</w:t>
      </w:r>
      <w:r w:rsidRPr="009F74C5">
        <w:rPr>
          <w:rFonts w:ascii="Arial" w:eastAsia="Times New Roman" w:hAnsi="Arial" w:cs="Arial"/>
          <w:sz w:val="18"/>
          <w:szCs w:val="18"/>
        </w:rPr>
        <w:t xml:space="preserve"> Vol. 55, No. 224, 20 November 1990, p. 48410.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5.9. Ross, M. </w:t>
      </w:r>
      <w:r w:rsidRPr="009F74C5">
        <w:rPr>
          <w:rFonts w:ascii="Arial" w:eastAsia="Times New Roman" w:hAnsi="Arial" w:cs="Arial"/>
          <w:i/>
          <w:iCs/>
          <w:sz w:val="18"/>
          <w:szCs w:val="18"/>
        </w:rPr>
        <w:t>The Asbestos Minerals: Definitions, Description, Modes of Formation, Physical and Chemical Properties and Health Risk to the Mining Community,</w:t>
      </w:r>
      <w:r w:rsidRPr="009F74C5">
        <w:rPr>
          <w:rFonts w:ascii="Arial" w:eastAsia="Times New Roman" w:hAnsi="Arial" w:cs="Arial"/>
          <w:sz w:val="18"/>
          <w:szCs w:val="18"/>
        </w:rPr>
        <w:t xml:space="preserve"> Nation Bureau of Standards Special Publication, Washington, DC, 1977.</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5.10. Lilis, R., Fibrous Zeolites and Endemic Mesothelioma in Cappadocia, Turkey, </w:t>
      </w:r>
      <w:r w:rsidRPr="009F74C5">
        <w:rPr>
          <w:rFonts w:ascii="Arial" w:eastAsia="Times New Roman" w:hAnsi="Arial" w:cs="Arial"/>
          <w:i/>
          <w:iCs/>
          <w:sz w:val="18"/>
          <w:szCs w:val="18"/>
        </w:rPr>
        <w:t>J. Occ Medicine,</w:t>
      </w:r>
      <w:r w:rsidRPr="009F74C5">
        <w:rPr>
          <w:rFonts w:ascii="Arial" w:eastAsia="Times New Roman" w:hAnsi="Arial" w:cs="Arial"/>
          <w:sz w:val="18"/>
          <w:szCs w:val="18"/>
        </w:rPr>
        <w:t xml:space="preserve"> 1981, 23,(8),548-550.</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5.11. </w:t>
      </w:r>
      <w:r w:rsidRPr="009F74C5">
        <w:rPr>
          <w:rFonts w:ascii="Arial" w:eastAsia="Times New Roman" w:hAnsi="Arial" w:cs="Arial"/>
          <w:i/>
          <w:iCs/>
          <w:sz w:val="18"/>
          <w:szCs w:val="18"/>
        </w:rPr>
        <w:t>Occupational Exposure to Asbestos—1972,</w:t>
      </w:r>
      <w:r w:rsidRPr="009F74C5">
        <w:rPr>
          <w:rFonts w:ascii="Arial" w:eastAsia="Times New Roman" w:hAnsi="Arial" w:cs="Arial"/>
          <w:sz w:val="18"/>
          <w:szCs w:val="18"/>
        </w:rPr>
        <w:t xml:space="preserve"> U.S. Department of Health Education and Welfare, Public Health Service, Center for Disease Control, National Institute for Occupational Safety and Health, HSM-72-10267.</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5.12. Campbell,W.J., et al, Relationship of Mineral Habit to Size </w:t>
      </w:r>
      <w:r w:rsidRPr="009F74C5">
        <w:rPr>
          <w:rFonts w:ascii="Arial" w:eastAsia="Times New Roman" w:hAnsi="Arial" w:cs="Arial"/>
          <w:i/>
          <w:iCs/>
          <w:sz w:val="18"/>
          <w:szCs w:val="18"/>
        </w:rPr>
        <w:t>Characteristics for Tremolite Fragments and Fibers,</w:t>
      </w:r>
      <w:r w:rsidRPr="009F74C5">
        <w:rPr>
          <w:rFonts w:ascii="Arial" w:eastAsia="Times New Roman" w:hAnsi="Arial" w:cs="Arial"/>
          <w:sz w:val="18"/>
          <w:szCs w:val="18"/>
        </w:rPr>
        <w:t xml:space="preserve"> United States Department of the Interior, Bureau of Mines, Information Circular 8367, 1979.</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5.13. Mefford, D., DCM Laboratory, Denver, private communication, July 1987.</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5.14. Deer, W.A., Howie, R.A., Zussman, J., </w:t>
      </w:r>
      <w:r w:rsidRPr="009F74C5">
        <w:rPr>
          <w:rFonts w:ascii="Arial" w:eastAsia="Times New Roman" w:hAnsi="Arial" w:cs="Arial"/>
          <w:i/>
          <w:iCs/>
          <w:sz w:val="18"/>
          <w:szCs w:val="18"/>
        </w:rPr>
        <w:t>Rock Forming Minerals,</w:t>
      </w:r>
      <w:r w:rsidRPr="009F74C5">
        <w:rPr>
          <w:rFonts w:ascii="Arial" w:eastAsia="Times New Roman" w:hAnsi="Arial" w:cs="Arial"/>
          <w:sz w:val="18"/>
          <w:szCs w:val="18"/>
        </w:rPr>
        <w:t xml:space="preserve"> Longman, Thetford, UK, 1974.</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5.15. Kerr, P.F., </w:t>
      </w:r>
      <w:r w:rsidRPr="009F74C5">
        <w:rPr>
          <w:rFonts w:ascii="Arial" w:eastAsia="Times New Roman" w:hAnsi="Arial" w:cs="Arial"/>
          <w:i/>
          <w:iCs/>
          <w:sz w:val="18"/>
          <w:szCs w:val="18"/>
        </w:rPr>
        <w:t>Optical Mineralogy;</w:t>
      </w:r>
      <w:r w:rsidRPr="009F74C5">
        <w:rPr>
          <w:rFonts w:ascii="Arial" w:eastAsia="Times New Roman" w:hAnsi="Arial" w:cs="Arial"/>
          <w:sz w:val="18"/>
          <w:szCs w:val="18"/>
        </w:rPr>
        <w:t xml:space="preserve"> Third Ed. McGraw-Hill, New York, 1959.</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5.16. Veblen, D.R. (Ed.), </w:t>
      </w:r>
      <w:r w:rsidRPr="009F74C5">
        <w:rPr>
          <w:rFonts w:ascii="Arial" w:eastAsia="Times New Roman" w:hAnsi="Arial" w:cs="Arial"/>
          <w:i/>
          <w:iCs/>
          <w:sz w:val="18"/>
          <w:szCs w:val="18"/>
        </w:rPr>
        <w:t>Amphiboles and Other Hydrous Pyriboles—Mineralogy, Reviews in Mineralogy,</w:t>
      </w:r>
      <w:r w:rsidRPr="009F74C5">
        <w:rPr>
          <w:rFonts w:ascii="Arial" w:eastAsia="Times New Roman" w:hAnsi="Arial" w:cs="Arial"/>
          <w:sz w:val="18"/>
          <w:szCs w:val="18"/>
        </w:rPr>
        <w:t xml:space="preserve"> Vol 9A, Michigan, 1982, pp 1-102.</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lastRenderedPageBreak/>
        <w:t xml:space="preserve">5.17. Dixon, W.C., </w:t>
      </w:r>
      <w:r w:rsidRPr="009F74C5">
        <w:rPr>
          <w:rFonts w:ascii="Arial" w:eastAsia="Times New Roman" w:hAnsi="Arial" w:cs="Arial"/>
          <w:i/>
          <w:iCs/>
          <w:sz w:val="18"/>
          <w:szCs w:val="18"/>
        </w:rPr>
        <w:t>Applications of Optical Microscopy in the Analysis of Asbestos</w:t>
      </w:r>
      <w:r w:rsidRPr="009F74C5">
        <w:rPr>
          <w:rFonts w:ascii="Arial" w:eastAsia="Times New Roman" w:hAnsi="Arial" w:cs="Arial"/>
          <w:sz w:val="18"/>
          <w:szCs w:val="18"/>
        </w:rPr>
        <w:t xml:space="preserve"> and Quartz, ACS Symposium Series, No. 120, Analytical Techniques in Occupational Health Chemistry, 1979.</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5.18. Polarized Light Microscopy, McCrone Research Institute, Chicago, 1976.</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5.19. Asbestos Identification, McCrone Research Institute, G &amp; G printers, Chicago, 1987.</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5.20. McCrone, W.C., Calculation of Refractive Indices from Dispersion Staining Data, The Microscope, No 37, Chicago, 1989.</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5.21. Levadie, B. (Ed.), </w:t>
      </w:r>
      <w:r w:rsidRPr="009F74C5">
        <w:rPr>
          <w:rFonts w:ascii="Arial" w:eastAsia="Times New Roman" w:hAnsi="Arial" w:cs="Arial"/>
          <w:i/>
          <w:iCs/>
          <w:sz w:val="18"/>
          <w:szCs w:val="18"/>
        </w:rPr>
        <w:t>Asbestos and Other Health Related Silicates,</w:t>
      </w:r>
      <w:r w:rsidRPr="009F74C5">
        <w:rPr>
          <w:rFonts w:ascii="Arial" w:eastAsia="Times New Roman" w:hAnsi="Arial" w:cs="Arial"/>
          <w:sz w:val="18"/>
          <w:szCs w:val="18"/>
        </w:rPr>
        <w:t xml:space="preserve"> ASTM Technical Publication 834, ASTM, Philadelphia 1982.</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5.22. Steel, E. and Wylie, A., Riordan, P.H. (Ed.), Mineralogical Characteristics of Asbestos, </w:t>
      </w:r>
      <w:r w:rsidRPr="009F74C5">
        <w:rPr>
          <w:rFonts w:ascii="Arial" w:eastAsia="Times New Roman" w:hAnsi="Arial" w:cs="Arial"/>
          <w:i/>
          <w:iCs/>
          <w:sz w:val="18"/>
          <w:szCs w:val="18"/>
        </w:rPr>
        <w:t>Geology of Asbestos Deposits,</w:t>
      </w:r>
      <w:r w:rsidRPr="009F74C5">
        <w:rPr>
          <w:rFonts w:ascii="Arial" w:eastAsia="Times New Roman" w:hAnsi="Arial" w:cs="Arial"/>
          <w:sz w:val="18"/>
          <w:szCs w:val="18"/>
        </w:rPr>
        <w:t xml:space="preserve"> pp. 93-101, SME-AIME, 1981.</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5.23. Zussman, J., The Mineralogy of Asbestos, </w:t>
      </w:r>
      <w:r w:rsidRPr="009F74C5">
        <w:rPr>
          <w:rFonts w:ascii="Arial" w:eastAsia="Times New Roman" w:hAnsi="Arial" w:cs="Arial"/>
          <w:i/>
          <w:iCs/>
          <w:sz w:val="18"/>
          <w:szCs w:val="18"/>
        </w:rPr>
        <w:t>Asbestos: Properties, Applications and Hazards,</w:t>
      </w:r>
      <w:r w:rsidRPr="009F74C5">
        <w:rPr>
          <w:rFonts w:ascii="Arial" w:eastAsia="Times New Roman" w:hAnsi="Arial" w:cs="Arial"/>
          <w:sz w:val="18"/>
          <w:szCs w:val="18"/>
        </w:rPr>
        <w:t xml:space="preserve"> pp. 45-67 Wiley, 1979.</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[51 FR 22756, June 20, 1986]</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Editorial Note:</w:t>
      </w:r>
      <w:r w:rsidRPr="009F74C5">
        <w:rPr>
          <w:rFonts w:ascii="Arial" w:eastAsia="Times New Roman" w:hAnsi="Arial" w:cs="Arial"/>
          <w:sz w:val="18"/>
          <w:szCs w:val="18"/>
        </w:rPr>
        <w:t xml:space="preserve"> For </w:t>
      </w:r>
      <w:r w:rsidRPr="009F74C5">
        <w:rPr>
          <w:rFonts w:ascii="Arial" w:eastAsia="Times New Roman" w:hAnsi="Arial" w:cs="Arial"/>
          <w:smallCaps/>
          <w:sz w:val="18"/>
          <w:szCs w:val="18"/>
        </w:rPr>
        <w:t>Federal Register</w:t>
      </w:r>
      <w:r w:rsidRPr="009F74C5">
        <w:rPr>
          <w:rFonts w:ascii="Arial" w:eastAsia="Times New Roman" w:hAnsi="Arial" w:cs="Arial"/>
          <w:sz w:val="18"/>
          <w:szCs w:val="18"/>
        </w:rPr>
        <w:t xml:space="preserve"> citations affecting §1926.1101, see the List of CFR Sections Affected, which appears in the Finding Aids section of the printed volume and at </w:t>
      </w:r>
      <w:r w:rsidRPr="009F74C5">
        <w:rPr>
          <w:rFonts w:ascii="Arial" w:eastAsia="Times New Roman" w:hAnsi="Arial" w:cs="Arial"/>
          <w:i/>
          <w:iCs/>
          <w:sz w:val="18"/>
          <w:szCs w:val="18"/>
        </w:rPr>
        <w:t>www.fdsys.gov.</w:t>
      </w:r>
      <w:r w:rsidRPr="009F74C5">
        <w:rPr>
          <w:rFonts w:ascii="Arial" w:eastAsia="Times New Roman" w:hAnsi="Arial" w:cs="Arial"/>
          <w:sz w:val="18"/>
          <w:szCs w:val="18"/>
        </w:rPr>
        <w:t xml:space="preserve"> </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1" w:anchor="_top" w:history="1">
        <w:r w:rsidR="00D70103">
          <w:rPr>
            <w:rFonts w:ascii="Arial" w:eastAsia="Times New Roman" w:hAnsi="Arial" w:cs="Arial"/>
            <w:noProof/>
            <w:color w:val="0000FF"/>
            <w:sz w:val="17"/>
            <w:szCs w:val="17"/>
          </w:rPr>
          <w:drawing>
            <wp:inline distT="0" distB="0" distL="0" distR="0" wp14:anchorId="393C9368" wp14:editId="63EFDB1D">
              <wp:extent cx="152400" cy="152400"/>
              <wp:effectExtent l="0" t="0" r="0" b="0"/>
              <wp:docPr id="80" name="Picture 8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4" w:name="se29.8.1926_11102"/>
      <w:bookmarkEnd w:id="84"/>
      <w:r w:rsidRPr="009F74C5">
        <w:rPr>
          <w:rFonts w:ascii="Arial" w:eastAsia="Times New Roman" w:hAnsi="Arial" w:cs="Arial"/>
          <w:b/>
          <w:bCs/>
          <w:sz w:val="20"/>
          <w:szCs w:val="20"/>
        </w:rPr>
        <w:t>§1926.1102   Coal tar pitch volatiles; interpretation of term.</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§1910.1002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2" w:anchor="_top" w:history="1">
        <w:r w:rsidR="00D70103">
          <w:rPr>
            <w:rFonts w:ascii="Arial" w:eastAsia="Times New Roman" w:hAnsi="Arial" w:cs="Arial"/>
            <w:noProof/>
            <w:color w:val="0000FF"/>
            <w:sz w:val="17"/>
            <w:szCs w:val="17"/>
          </w:rPr>
          <w:drawing>
            <wp:inline distT="0" distB="0" distL="0" distR="0" wp14:anchorId="03B5DBAE" wp14:editId="72B94427">
              <wp:extent cx="152400" cy="152400"/>
              <wp:effectExtent l="0" t="0" r="0" b="0"/>
              <wp:docPr id="79" name="Picture 7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5" w:name="se29.8.1926_11103"/>
      <w:bookmarkEnd w:id="85"/>
      <w:r w:rsidRPr="009F74C5">
        <w:rPr>
          <w:rFonts w:ascii="Arial" w:eastAsia="Times New Roman" w:hAnsi="Arial" w:cs="Arial"/>
          <w:b/>
          <w:bCs/>
          <w:sz w:val="20"/>
          <w:szCs w:val="20"/>
        </w:rPr>
        <w:t>§1926.1103   13 carcinogens (4-Nitrobiphenyl, etc.).</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3" w:anchor="_top" w:history="1">
        <w:r w:rsidR="00D70103">
          <w:rPr>
            <w:rFonts w:ascii="Arial" w:eastAsia="Times New Roman" w:hAnsi="Arial" w:cs="Arial"/>
            <w:noProof/>
            <w:color w:val="0000FF"/>
            <w:sz w:val="17"/>
            <w:szCs w:val="17"/>
          </w:rPr>
          <w:drawing>
            <wp:inline distT="0" distB="0" distL="0" distR="0" wp14:anchorId="487870DF" wp14:editId="4F8EF9A5">
              <wp:extent cx="152400" cy="152400"/>
              <wp:effectExtent l="0" t="0" r="0" b="0"/>
              <wp:docPr id="78" name="Picture 7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6" w:name="se29.8.1926_11104"/>
      <w:bookmarkEnd w:id="86"/>
      <w:r w:rsidRPr="009F74C5">
        <w:rPr>
          <w:rFonts w:ascii="Arial" w:eastAsia="Times New Roman" w:hAnsi="Arial" w:cs="Arial"/>
          <w:b/>
          <w:bCs/>
          <w:sz w:val="20"/>
          <w:szCs w:val="20"/>
        </w:rPr>
        <w:t>§1926.1104   alpha-Naphthylamine.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4" w:anchor="_top" w:history="1">
        <w:r w:rsidR="00D70103">
          <w:rPr>
            <w:rFonts w:ascii="Arial" w:eastAsia="Times New Roman" w:hAnsi="Arial" w:cs="Arial"/>
            <w:noProof/>
            <w:color w:val="0000FF"/>
            <w:sz w:val="17"/>
            <w:szCs w:val="17"/>
          </w:rPr>
          <w:drawing>
            <wp:inline distT="0" distB="0" distL="0" distR="0" wp14:anchorId="3B0C1897" wp14:editId="5A18370A">
              <wp:extent cx="152400" cy="152400"/>
              <wp:effectExtent l="0" t="0" r="0" b="0"/>
              <wp:docPr id="77" name="Picture 7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7" w:name="se29.8.1926_11105"/>
      <w:bookmarkEnd w:id="87"/>
      <w:r w:rsidRPr="009F74C5">
        <w:rPr>
          <w:rFonts w:ascii="Arial" w:eastAsia="Times New Roman" w:hAnsi="Arial" w:cs="Arial"/>
          <w:b/>
          <w:bCs/>
          <w:sz w:val="20"/>
          <w:szCs w:val="20"/>
        </w:rPr>
        <w:t>§1926.1105   [Reserved]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5" w:anchor="_top" w:history="1">
        <w:r w:rsidR="00D70103">
          <w:rPr>
            <w:rFonts w:ascii="Arial" w:eastAsia="Times New Roman" w:hAnsi="Arial" w:cs="Arial"/>
            <w:noProof/>
            <w:color w:val="0000FF"/>
            <w:sz w:val="17"/>
            <w:szCs w:val="17"/>
          </w:rPr>
          <w:drawing>
            <wp:inline distT="0" distB="0" distL="0" distR="0" wp14:anchorId="6E0460D5" wp14:editId="3903C24A">
              <wp:extent cx="152400" cy="152400"/>
              <wp:effectExtent l="0" t="0" r="0" b="0"/>
              <wp:docPr id="76" name="Picture 7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8" w:name="se29.8.1926_11106"/>
      <w:bookmarkEnd w:id="88"/>
      <w:r w:rsidRPr="009F74C5">
        <w:rPr>
          <w:rFonts w:ascii="Arial" w:eastAsia="Times New Roman" w:hAnsi="Arial" w:cs="Arial"/>
          <w:b/>
          <w:bCs/>
          <w:sz w:val="20"/>
          <w:szCs w:val="20"/>
        </w:rPr>
        <w:lastRenderedPageBreak/>
        <w:t>§1926.1106   Methyl chloromethyl ether.</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6" w:anchor="_top" w:history="1">
        <w:r w:rsidR="00D70103">
          <w:rPr>
            <w:rFonts w:ascii="Arial" w:eastAsia="Times New Roman" w:hAnsi="Arial" w:cs="Arial"/>
            <w:noProof/>
            <w:color w:val="0000FF"/>
            <w:sz w:val="17"/>
            <w:szCs w:val="17"/>
          </w:rPr>
          <w:drawing>
            <wp:inline distT="0" distB="0" distL="0" distR="0" wp14:anchorId="604174E9" wp14:editId="4A2EFB4A">
              <wp:extent cx="152400" cy="152400"/>
              <wp:effectExtent l="0" t="0" r="0" b="0"/>
              <wp:docPr id="75" name="Picture 7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89" w:name="se29.8.1926_11107"/>
      <w:bookmarkEnd w:id="89"/>
      <w:r w:rsidRPr="009F74C5">
        <w:rPr>
          <w:rFonts w:ascii="Arial" w:eastAsia="Times New Roman" w:hAnsi="Arial" w:cs="Arial"/>
          <w:b/>
          <w:bCs/>
          <w:sz w:val="20"/>
          <w:szCs w:val="20"/>
        </w:rPr>
        <w:t>§1926.1107   3,3′-Dichlorobenzidiene (and its salts).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7" w:anchor="_top" w:history="1">
        <w:r w:rsidR="00D70103">
          <w:rPr>
            <w:rFonts w:ascii="Arial" w:eastAsia="Times New Roman" w:hAnsi="Arial" w:cs="Arial"/>
            <w:noProof/>
            <w:color w:val="0000FF"/>
            <w:sz w:val="17"/>
            <w:szCs w:val="17"/>
          </w:rPr>
          <w:drawing>
            <wp:inline distT="0" distB="0" distL="0" distR="0" wp14:anchorId="076B2E43" wp14:editId="35DA74CA">
              <wp:extent cx="152400" cy="152400"/>
              <wp:effectExtent l="0" t="0" r="0" b="0"/>
              <wp:docPr id="74" name="Picture 7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0" w:name="se29.8.1926_11108"/>
      <w:bookmarkEnd w:id="90"/>
      <w:r w:rsidRPr="009F74C5">
        <w:rPr>
          <w:rFonts w:ascii="Arial" w:eastAsia="Times New Roman" w:hAnsi="Arial" w:cs="Arial"/>
          <w:b/>
          <w:bCs/>
          <w:sz w:val="20"/>
          <w:szCs w:val="20"/>
        </w:rPr>
        <w:t>§1926.1108   bis-Chloromethyl ether.</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8" w:anchor="_top" w:history="1">
        <w:r w:rsidR="00D70103">
          <w:rPr>
            <w:rFonts w:ascii="Arial" w:eastAsia="Times New Roman" w:hAnsi="Arial" w:cs="Arial"/>
            <w:noProof/>
            <w:color w:val="0000FF"/>
            <w:sz w:val="17"/>
            <w:szCs w:val="17"/>
          </w:rPr>
          <w:drawing>
            <wp:inline distT="0" distB="0" distL="0" distR="0" wp14:anchorId="18BF48EB" wp14:editId="7D5D298C">
              <wp:extent cx="152400" cy="152400"/>
              <wp:effectExtent l="0" t="0" r="0" b="0"/>
              <wp:docPr id="73" name="Picture 7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1" w:name="se29.8.1926_11109"/>
      <w:bookmarkEnd w:id="91"/>
      <w:r w:rsidRPr="009F74C5">
        <w:rPr>
          <w:rFonts w:ascii="Arial" w:eastAsia="Times New Roman" w:hAnsi="Arial" w:cs="Arial"/>
          <w:b/>
          <w:bCs/>
          <w:sz w:val="20"/>
          <w:szCs w:val="20"/>
        </w:rPr>
        <w:t>§1926.1109   beta-Naphthylamine.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29" w:anchor="_top" w:history="1">
        <w:r w:rsidR="00D70103">
          <w:rPr>
            <w:rFonts w:ascii="Arial" w:eastAsia="Times New Roman" w:hAnsi="Arial" w:cs="Arial"/>
            <w:noProof/>
            <w:color w:val="0000FF"/>
            <w:sz w:val="17"/>
            <w:szCs w:val="17"/>
          </w:rPr>
          <w:drawing>
            <wp:inline distT="0" distB="0" distL="0" distR="0" wp14:anchorId="7A0FD951" wp14:editId="4D10E333">
              <wp:extent cx="152400" cy="152400"/>
              <wp:effectExtent l="0" t="0" r="0" b="0"/>
              <wp:docPr id="72" name="Picture 7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2" w:name="se29.8.1926_11110"/>
      <w:bookmarkEnd w:id="92"/>
      <w:r w:rsidRPr="009F74C5">
        <w:rPr>
          <w:rFonts w:ascii="Arial" w:eastAsia="Times New Roman" w:hAnsi="Arial" w:cs="Arial"/>
          <w:b/>
          <w:bCs/>
          <w:sz w:val="20"/>
          <w:szCs w:val="20"/>
        </w:rPr>
        <w:t>§1926.1110   Benzidine.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0" w:anchor="_top" w:history="1">
        <w:r w:rsidR="00D70103">
          <w:rPr>
            <w:rFonts w:ascii="Arial" w:eastAsia="Times New Roman" w:hAnsi="Arial" w:cs="Arial"/>
            <w:noProof/>
            <w:color w:val="0000FF"/>
            <w:sz w:val="17"/>
            <w:szCs w:val="17"/>
          </w:rPr>
          <w:drawing>
            <wp:inline distT="0" distB="0" distL="0" distR="0" wp14:anchorId="1BE8EF3A" wp14:editId="522E336D">
              <wp:extent cx="152400" cy="152400"/>
              <wp:effectExtent l="0" t="0" r="0" b="0"/>
              <wp:docPr id="71" name="Picture 7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3" w:name="se29.8.1926_11111"/>
      <w:bookmarkEnd w:id="93"/>
      <w:r w:rsidRPr="009F74C5">
        <w:rPr>
          <w:rFonts w:ascii="Arial" w:eastAsia="Times New Roman" w:hAnsi="Arial" w:cs="Arial"/>
          <w:b/>
          <w:bCs/>
          <w:sz w:val="20"/>
          <w:szCs w:val="20"/>
        </w:rPr>
        <w:t>§1926.1111   4-Aminodiphenyl.</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1" w:anchor="_top" w:history="1">
        <w:r w:rsidR="00D70103">
          <w:rPr>
            <w:rFonts w:ascii="Arial" w:eastAsia="Times New Roman" w:hAnsi="Arial" w:cs="Arial"/>
            <w:noProof/>
            <w:color w:val="0000FF"/>
            <w:sz w:val="17"/>
            <w:szCs w:val="17"/>
          </w:rPr>
          <w:drawing>
            <wp:inline distT="0" distB="0" distL="0" distR="0" wp14:anchorId="5177AEA5" wp14:editId="7773C5CE">
              <wp:extent cx="152400" cy="152400"/>
              <wp:effectExtent l="0" t="0" r="0" b="0"/>
              <wp:docPr id="70" name="Picture 7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4" w:name="se29.8.1926_11112"/>
      <w:bookmarkEnd w:id="94"/>
      <w:r w:rsidRPr="009F74C5">
        <w:rPr>
          <w:rFonts w:ascii="Arial" w:eastAsia="Times New Roman" w:hAnsi="Arial" w:cs="Arial"/>
          <w:b/>
          <w:bCs/>
          <w:sz w:val="20"/>
          <w:szCs w:val="20"/>
        </w:rPr>
        <w:lastRenderedPageBreak/>
        <w:t>§1926.1112   Ethyleneimine.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2" w:anchor="_top" w:history="1">
        <w:r w:rsidR="00D70103">
          <w:rPr>
            <w:rFonts w:ascii="Arial" w:eastAsia="Times New Roman" w:hAnsi="Arial" w:cs="Arial"/>
            <w:noProof/>
            <w:color w:val="0000FF"/>
            <w:sz w:val="17"/>
            <w:szCs w:val="17"/>
          </w:rPr>
          <w:drawing>
            <wp:inline distT="0" distB="0" distL="0" distR="0" wp14:anchorId="2F78762F" wp14:editId="3B5AB6C7">
              <wp:extent cx="152400" cy="152400"/>
              <wp:effectExtent l="0" t="0" r="0" b="0"/>
              <wp:docPr id="69" name="Picture 6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5" w:name="se29.8.1926_11113"/>
      <w:bookmarkEnd w:id="95"/>
      <w:r w:rsidRPr="009F74C5">
        <w:rPr>
          <w:rFonts w:ascii="Arial" w:eastAsia="Times New Roman" w:hAnsi="Arial" w:cs="Arial"/>
          <w:b/>
          <w:bCs/>
          <w:sz w:val="20"/>
          <w:szCs w:val="20"/>
        </w:rPr>
        <w:t>§1926.1113   beta-Propiolactone.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3" w:anchor="_top" w:history="1">
        <w:r w:rsidR="00D70103">
          <w:rPr>
            <w:rFonts w:ascii="Arial" w:eastAsia="Times New Roman" w:hAnsi="Arial" w:cs="Arial"/>
            <w:noProof/>
            <w:color w:val="0000FF"/>
            <w:sz w:val="17"/>
            <w:szCs w:val="17"/>
          </w:rPr>
          <w:drawing>
            <wp:inline distT="0" distB="0" distL="0" distR="0" wp14:anchorId="2222B1A2" wp14:editId="28055651">
              <wp:extent cx="152400" cy="152400"/>
              <wp:effectExtent l="0" t="0" r="0" b="0"/>
              <wp:docPr id="68" name="Picture 6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6" w:name="se29.8.1926_11114"/>
      <w:bookmarkEnd w:id="96"/>
      <w:r w:rsidRPr="009F74C5">
        <w:rPr>
          <w:rFonts w:ascii="Arial" w:eastAsia="Times New Roman" w:hAnsi="Arial" w:cs="Arial"/>
          <w:b/>
          <w:bCs/>
          <w:sz w:val="20"/>
          <w:szCs w:val="20"/>
        </w:rPr>
        <w:t>§1926.1114   2-Acetylaminofluorene.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4" w:anchor="_top" w:history="1">
        <w:r w:rsidR="00D70103">
          <w:rPr>
            <w:rFonts w:ascii="Arial" w:eastAsia="Times New Roman" w:hAnsi="Arial" w:cs="Arial"/>
            <w:noProof/>
            <w:color w:val="0000FF"/>
            <w:sz w:val="17"/>
            <w:szCs w:val="17"/>
          </w:rPr>
          <w:drawing>
            <wp:inline distT="0" distB="0" distL="0" distR="0" wp14:anchorId="6FCD1952" wp14:editId="2A514BF6">
              <wp:extent cx="152400" cy="152400"/>
              <wp:effectExtent l="0" t="0" r="0" b="0"/>
              <wp:docPr id="67" name="Picture 6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7" w:name="se29.8.1926_11115"/>
      <w:bookmarkEnd w:id="97"/>
      <w:r w:rsidRPr="009F74C5">
        <w:rPr>
          <w:rFonts w:ascii="Arial" w:eastAsia="Times New Roman" w:hAnsi="Arial" w:cs="Arial"/>
          <w:b/>
          <w:bCs/>
          <w:sz w:val="20"/>
          <w:szCs w:val="20"/>
        </w:rPr>
        <w:t>§1926.1115   4-Dimethylaminoazobenzene.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5" w:anchor="_top" w:history="1">
        <w:r w:rsidR="00D70103">
          <w:rPr>
            <w:rFonts w:ascii="Arial" w:eastAsia="Times New Roman" w:hAnsi="Arial" w:cs="Arial"/>
            <w:noProof/>
            <w:color w:val="0000FF"/>
            <w:sz w:val="17"/>
            <w:szCs w:val="17"/>
          </w:rPr>
          <w:drawing>
            <wp:inline distT="0" distB="0" distL="0" distR="0" wp14:anchorId="0BDBE8DF" wp14:editId="0E8177F3">
              <wp:extent cx="152400" cy="152400"/>
              <wp:effectExtent l="0" t="0" r="0" b="0"/>
              <wp:docPr id="66" name="Picture 6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8" w:name="se29.8.1926_11116"/>
      <w:bookmarkEnd w:id="98"/>
      <w:r w:rsidRPr="009F74C5">
        <w:rPr>
          <w:rFonts w:ascii="Arial" w:eastAsia="Times New Roman" w:hAnsi="Arial" w:cs="Arial"/>
          <w:b/>
          <w:bCs/>
          <w:sz w:val="20"/>
          <w:szCs w:val="20"/>
        </w:rPr>
        <w:t>§1926.1116   N-Nitrosodimethylamine.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§1910.1003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6" w:anchor="_top" w:history="1">
        <w:r w:rsidR="00D70103">
          <w:rPr>
            <w:rFonts w:ascii="Arial" w:eastAsia="Times New Roman" w:hAnsi="Arial" w:cs="Arial"/>
            <w:noProof/>
            <w:color w:val="0000FF"/>
            <w:sz w:val="17"/>
            <w:szCs w:val="17"/>
          </w:rPr>
          <w:drawing>
            <wp:inline distT="0" distB="0" distL="0" distR="0" wp14:anchorId="17E35CF4" wp14:editId="0871AE8C">
              <wp:extent cx="152400" cy="152400"/>
              <wp:effectExtent l="0" t="0" r="0" b="0"/>
              <wp:docPr id="65" name="Picture 6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99" w:name="se29.8.1926_11117"/>
      <w:bookmarkEnd w:id="99"/>
      <w:r w:rsidRPr="009F74C5">
        <w:rPr>
          <w:rFonts w:ascii="Arial" w:eastAsia="Times New Roman" w:hAnsi="Arial" w:cs="Arial"/>
          <w:b/>
          <w:bCs/>
          <w:sz w:val="20"/>
          <w:szCs w:val="20"/>
        </w:rPr>
        <w:t>§1926.1117   Vinyl chloride.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§1910.1017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7" w:anchor="_top" w:history="1">
        <w:r w:rsidR="00D70103">
          <w:rPr>
            <w:rFonts w:ascii="Arial" w:eastAsia="Times New Roman" w:hAnsi="Arial" w:cs="Arial"/>
            <w:noProof/>
            <w:color w:val="0000FF"/>
            <w:sz w:val="17"/>
            <w:szCs w:val="17"/>
          </w:rPr>
          <w:drawing>
            <wp:inline distT="0" distB="0" distL="0" distR="0" wp14:anchorId="0C41E34A" wp14:editId="56B94AB9">
              <wp:extent cx="152400" cy="152400"/>
              <wp:effectExtent l="0" t="0" r="0" b="0"/>
              <wp:docPr id="64" name="Picture 6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0" w:name="se29.8.1926_11118"/>
      <w:bookmarkEnd w:id="100"/>
      <w:r w:rsidRPr="009F74C5">
        <w:rPr>
          <w:rFonts w:ascii="Arial" w:eastAsia="Times New Roman" w:hAnsi="Arial" w:cs="Arial"/>
          <w:b/>
          <w:bCs/>
          <w:sz w:val="20"/>
          <w:szCs w:val="20"/>
        </w:rPr>
        <w:lastRenderedPageBreak/>
        <w:t>§1926.1118   Inorganic arsenic.</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§1910.1018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31433,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8" w:anchor="_top" w:history="1">
        <w:r w:rsidR="00D70103">
          <w:rPr>
            <w:rFonts w:ascii="Arial" w:eastAsia="Times New Roman" w:hAnsi="Arial" w:cs="Arial"/>
            <w:noProof/>
            <w:color w:val="0000FF"/>
            <w:sz w:val="17"/>
            <w:szCs w:val="17"/>
          </w:rPr>
          <w:drawing>
            <wp:inline distT="0" distB="0" distL="0" distR="0" wp14:anchorId="1D7487EE" wp14:editId="1A8F7E72">
              <wp:extent cx="152400" cy="152400"/>
              <wp:effectExtent l="0" t="0" r="0" b="0"/>
              <wp:docPr id="63" name="Picture 6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1" w:name="se29.8.1926_11126"/>
      <w:bookmarkEnd w:id="101"/>
      <w:r w:rsidRPr="009F74C5">
        <w:rPr>
          <w:rFonts w:ascii="Arial" w:eastAsia="Times New Roman" w:hAnsi="Arial" w:cs="Arial"/>
          <w:b/>
          <w:bCs/>
          <w:sz w:val="20"/>
          <w:szCs w:val="20"/>
        </w:rPr>
        <w:t>§1926.1126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Scope.</w:t>
      </w:r>
      <w:r w:rsidRPr="009F74C5">
        <w:rPr>
          <w:rFonts w:ascii="Arial" w:eastAsia="Times New Roman" w:hAnsi="Arial" w:cs="Arial"/>
          <w:sz w:val="20"/>
          <w:szCs w:val="20"/>
        </w:rPr>
        <w:t xml:space="preserve"> (1) This standard applies to occupational exposures to chromium (VI) in all forms and compounds in construction, except: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Exposures that occur in the application of pesticides regulated by the Environmental Protection Agency or another Federal government agency (</w:t>
      </w:r>
      <w:r w:rsidRPr="009F74C5">
        <w:rPr>
          <w:rFonts w:ascii="Arial" w:eastAsia="Times New Roman" w:hAnsi="Arial" w:cs="Arial"/>
          <w:i/>
          <w:iCs/>
          <w:sz w:val="20"/>
          <w:szCs w:val="20"/>
        </w:rPr>
        <w:t>e.g.</w:t>
      </w:r>
      <w:r w:rsidRPr="009F74C5">
        <w:rPr>
          <w:rFonts w:ascii="Arial" w:eastAsia="Times New Roman" w:hAnsi="Arial" w:cs="Arial"/>
          <w:sz w:val="20"/>
          <w:szCs w:val="20"/>
        </w:rPr>
        <w:t>, the treatment of wood with preservatives);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Exposures to portland cement;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Where the employer has objective data demonstrating that a material containing chromium or a specific process, operation, or activity involving chromium cannot release dusts, fumes, or mists of chromium (VI) in concentrations at or above 0.5 µgm/m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xml:space="preserve"> as an 8-hour time-weighted average (TWA) under any expected conditions of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Definitions.</w:t>
      </w:r>
      <w:r w:rsidRPr="009F74C5">
        <w:rPr>
          <w:rFonts w:ascii="Arial" w:eastAsia="Times New Roman" w:hAnsi="Arial" w:cs="Arial"/>
          <w:sz w:val="20"/>
          <w:szCs w:val="20"/>
        </w:rPr>
        <w:t xml:space="preserve"> For the purposes of this section the following definitions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Action level</w:t>
      </w:r>
      <w:r w:rsidRPr="009F74C5">
        <w:rPr>
          <w:rFonts w:ascii="Arial" w:eastAsia="Times New Roman" w:hAnsi="Arial" w:cs="Arial"/>
          <w:sz w:val="20"/>
          <w:szCs w:val="20"/>
        </w:rPr>
        <w:t xml:space="preserve"> means a concentration of airborne chromium (VI) of 2.5 micrograms per cubic meter of air (2.5 µgm/m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calculated as an 8-hour time-weighted average (TWA).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Assistant Secretary</w:t>
      </w:r>
      <w:r w:rsidRPr="009F74C5">
        <w:rPr>
          <w:rFonts w:ascii="Arial" w:eastAsia="Times New Roman" w:hAnsi="Arial" w:cs="Arial"/>
          <w:sz w:val="20"/>
          <w:szCs w:val="20"/>
        </w:rPr>
        <w:t xml:space="preserve"> means the Assistant Secretary of Labor for Occupational Safety and Health, U.S. Department of Labor,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Chromium (VI) [hexavalent chromium or Cr(VI)]</w:t>
      </w:r>
      <w:r w:rsidRPr="009F74C5">
        <w:rPr>
          <w:rFonts w:ascii="Arial" w:eastAsia="Times New Roman" w:hAnsi="Arial" w:cs="Arial"/>
          <w:sz w:val="20"/>
          <w:szCs w:val="20"/>
        </w:rPr>
        <w:t xml:space="preserve"> means chromium with a valence of positive six, in any form and in any compound.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Director</w:t>
      </w:r>
      <w:r w:rsidRPr="009F74C5">
        <w:rPr>
          <w:rFonts w:ascii="Arial" w:eastAsia="Times New Roman" w:hAnsi="Arial" w:cs="Arial"/>
          <w:sz w:val="20"/>
          <w:szCs w:val="20"/>
        </w:rPr>
        <w:t xml:space="preserve"> means the Director of the National Institute for Occupational Safety and Health (NIOSH), U.S. Department of Health and Human Services,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Emergency</w:t>
      </w:r>
      <w:r w:rsidRPr="009F74C5">
        <w:rPr>
          <w:rFonts w:ascii="Arial" w:eastAsia="Times New Roman" w:hAnsi="Arial" w:cs="Arial"/>
          <w:sz w:val="20"/>
          <w:szCs w:val="20"/>
        </w:rPr>
        <w:t xml:space="preserve"> means any occurrence that results, or is likely to result, in an uncontrolled release of chromium (VI). If an incidental release of chromium (VI) can be controlled at the time of release by employees in the immediate release area, or by maintenance personnel, it is not an emergency.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Employee exposure</w:t>
      </w:r>
      <w:r w:rsidRPr="009F74C5">
        <w:rPr>
          <w:rFonts w:ascii="Arial" w:eastAsia="Times New Roman" w:hAnsi="Arial" w:cs="Arial"/>
          <w:sz w:val="20"/>
          <w:szCs w:val="20"/>
        </w:rPr>
        <w:t xml:space="preserve"> means the exposure to airborne chromium (VI) that would occur if the employee were not using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High-efficiency particulate air [HEPA] filter</w:t>
      </w:r>
      <w:r w:rsidRPr="009F74C5">
        <w:rPr>
          <w:rFonts w:ascii="Arial" w:eastAsia="Times New Roman" w:hAnsi="Arial" w:cs="Arial"/>
          <w:sz w:val="20"/>
          <w:szCs w:val="20"/>
        </w:rPr>
        <w:t xml:space="preserve"> means a filter that is at least 99.97 percent efficient in removing mono-dispersed particles of 0.3 micrometers in diameter or larger.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Historical monitoring data</w:t>
      </w:r>
      <w:r w:rsidRPr="009F74C5">
        <w:rPr>
          <w:rFonts w:ascii="Arial" w:eastAsia="Times New Roman" w:hAnsi="Arial" w:cs="Arial"/>
          <w:sz w:val="20"/>
          <w:szCs w:val="20"/>
        </w:rPr>
        <w:t xml:space="preserve"> means data from chromium (VI) monitoring conducted prior to May 30, 2006, obtained during work operations conducted under workplace conditions closely resembling the processes, types of material, control methods, work practices, and environmental conditions in the employer's current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Objective data</w:t>
      </w:r>
      <w:r w:rsidRPr="009F74C5">
        <w:rPr>
          <w:rFonts w:ascii="Arial" w:eastAsia="Times New Roman" w:hAnsi="Arial" w:cs="Arial"/>
          <w:sz w:val="20"/>
          <w:szCs w:val="20"/>
        </w:rPr>
        <w:t xml:space="preserve"> means information such as air monitoring data from industry-wide surveys or calculations based on the composition or chemical and physical properties of a substance demonstrating the employee exposure to chromium (VI) associated with a particular product or material or a specific process, operation, or activity. The data must reflect workplace conditions closely resembling the processes, types of material, control methods, work practices, and environmental conditions in the employer's current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Physician or other licensed health care professional [PLHCP]</w:t>
      </w:r>
      <w:r w:rsidRPr="009F74C5">
        <w:rPr>
          <w:rFonts w:ascii="Arial" w:eastAsia="Times New Roman" w:hAnsi="Arial" w:cs="Arial"/>
          <w:sz w:val="20"/>
          <w:szCs w:val="20"/>
        </w:rPr>
        <w:t xml:space="preserve"> is an individual whose legally permitted scope of practice (</w:t>
      </w:r>
      <w:r w:rsidRPr="009F74C5">
        <w:rPr>
          <w:rFonts w:ascii="Arial" w:eastAsia="Times New Roman" w:hAnsi="Arial" w:cs="Arial"/>
          <w:i/>
          <w:iCs/>
          <w:sz w:val="20"/>
          <w:szCs w:val="20"/>
        </w:rPr>
        <w:t>i.e.</w:t>
      </w:r>
      <w:r w:rsidRPr="009F74C5">
        <w:rPr>
          <w:rFonts w:ascii="Arial" w:eastAsia="Times New Roman" w:hAnsi="Arial" w:cs="Arial"/>
          <w:sz w:val="20"/>
          <w:szCs w:val="20"/>
        </w:rPr>
        <w:t>, license, registration, or certification) allows him or her to independently provide or be delegated the responsibility to provide some or all of the particular health care services required by paragraph (i)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This section</w:t>
      </w:r>
      <w:r w:rsidRPr="009F74C5">
        <w:rPr>
          <w:rFonts w:ascii="Arial" w:eastAsia="Times New Roman" w:hAnsi="Arial" w:cs="Arial"/>
          <w:sz w:val="20"/>
          <w:szCs w:val="20"/>
        </w:rPr>
        <w:t xml:space="preserve"> means this §1926.1126 chromium (VI) standard.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Permissible exposure limit (PEL).</w:t>
      </w:r>
      <w:r w:rsidRPr="009F74C5">
        <w:rPr>
          <w:rFonts w:ascii="Arial" w:eastAsia="Times New Roman" w:hAnsi="Arial" w:cs="Arial"/>
          <w:sz w:val="20"/>
          <w:szCs w:val="20"/>
        </w:rPr>
        <w:t xml:space="preserve"> The employer shall ensure that no employee is exposed to an airborne concentration of chromium (VI) in excess of 5 micrograms per cubic meter of air (5 µgm/m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calculated as an 8-hour time-weighted average (TWA).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Exposure determination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Each employer who has a workplace or work operation covered by this section shall determine the 8-hour TWA exposure for each employee exposed to chromium (VI). This determination shall be made in accordance with either paragraph (d)(2) or paragraph (d)(3)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Scheduled monitoring option.</w:t>
      </w:r>
      <w:r w:rsidRPr="009F74C5">
        <w:rPr>
          <w:rFonts w:ascii="Arial" w:eastAsia="Times New Roman" w:hAnsi="Arial" w:cs="Arial"/>
          <w:sz w:val="20"/>
          <w:szCs w:val="20"/>
        </w:rPr>
        <w:t xml:space="preserve"> (i) The employer shall perform initial monitoring to determine the 8-hour TWA exposure for each employee on the basis of a sufficient number of personal breathing zone air samples to accurately characterize full shift exposure on each shift, for each job classification, in each work area. Where an employer does representative sampling instead of sampling all employees in order to meet this requirement, the employer shall sample the employee(s) expected to have the highest chromium (VI) exposures.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initial monitoring indicates that employee exposures are below the action level, the employer may discontinue monitoring for those employees whose exposures are represented by such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monitoring reveals employee exposures to be at or above the action level, the employer shall perform periodic monitoring at least every six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If monitoring reveals employee exposures to be above the PEL, the employer shall perform periodic monitoring at least every three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If periodic monitoring indicates that employee exposures are below the action level, and the result is confirmed by the result of another monitoring taken at least seven days later, the employer may discontinue the monitoring for those employees whose exposures are represented by such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The employer shall perform additional monitoring when there has been any change in the production process, raw materials, equipment, personnel, work practices, or control methods that may result in new or additional exposures to chromium (VI), or when the employer has any reason to believe that new or additional exposures have occurred.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Performance-oriented option.</w:t>
      </w:r>
      <w:r w:rsidRPr="009F74C5">
        <w:rPr>
          <w:rFonts w:ascii="Arial" w:eastAsia="Times New Roman" w:hAnsi="Arial" w:cs="Arial"/>
          <w:sz w:val="20"/>
          <w:szCs w:val="20"/>
        </w:rPr>
        <w:t xml:space="preserve"> The employer shall determine the 8-hour TWA exposure for each employee on the basis of any combination of air monitoring data, historical monitoring data, or objective data sufficient to accurately characterize employee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Employee notification of determination results.</w:t>
      </w:r>
      <w:r w:rsidRPr="009F74C5">
        <w:rPr>
          <w:rFonts w:ascii="Arial" w:eastAsia="Times New Roman" w:hAnsi="Arial" w:cs="Arial"/>
          <w:sz w:val="20"/>
          <w:szCs w:val="20"/>
        </w:rPr>
        <w:t xml:space="preserve"> (i) Within 5 work days after making an exposure determination in accordance with paragraph (d)(2) or paragraph (d)(3) of this section, the employer shall individually notify each affected employee in writing of the results of that determination or post the results in an appropriate location accessible to all affected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Whenever the exposure determination indicates that employee exposure is above the PEL, the employer shall describe in the written notification the corrective action being taken to reduce employee exposure to or below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Accuracy of measurement.</w:t>
      </w:r>
      <w:r w:rsidRPr="009F74C5">
        <w:rPr>
          <w:rFonts w:ascii="Arial" w:eastAsia="Times New Roman" w:hAnsi="Arial" w:cs="Arial"/>
          <w:sz w:val="20"/>
          <w:szCs w:val="20"/>
        </w:rPr>
        <w:t xml:space="preserve"> Where air monitoring is performed to comply with the requirements of this section, the employer shall use a method of monitoring and analysis that can measure chromium (VI) to within an accuracy of plus or minus 25 percent (±25%) and can produce accurate measurements to within a statistical confidence level of 95 percent for airborne concentrations at or above the action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Observation of monitoring.</w:t>
      </w:r>
      <w:r w:rsidRPr="009F74C5">
        <w:rPr>
          <w:rFonts w:ascii="Arial" w:eastAsia="Times New Roman" w:hAnsi="Arial" w:cs="Arial"/>
          <w:sz w:val="20"/>
          <w:szCs w:val="20"/>
        </w:rPr>
        <w:t xml:space="preserve"> (i) Where air monitoring is performed to comply with the requirements of this section, the employer shall provide affected employees or their designated representatives an opportunity to observe any monitoring of employee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 observation of monitoring requires entry into an area where the use of protective clothing or equipment is required, the employer shall provide the observer with clothing and equipment and shall assure that the observer uses such clothing and equipment and complies with all other applicable safety and health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Methods of compliance</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Engineering and work practice controls.</w:t>
      </w:r>
      <w:r w:rsidRPr="009F74C5">
        <w:rPr>
          <w:rFonts w:ascii="Arial" w:eastAsia="Times New Roman" w:hAnsi="Arial" w:cs="Arial"/>
          <w:sz w:val="20"/>
          <w:szCs w:val="20"/>
        </w:rPr>
        <w:t xml:space="preserve"> (i) Except as permitted in paragraph (e)(1)(ii) of this section, the employer shall use engineering and work practice controls to reduce and maintain employee exposure to chromium (VI) to or below the PEL unless the employer can demonstrate that such controls are not feasible. Wherever feasible engineering and work practice controls are not sufficient to reduce employee exposure to or below the PEL, the employer shall use them to reduce employee exposure to the lowest levels achievable, and shall supplement them by the use of respiratory protection that complies with the requirements of paragraph (f)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the employer can demonstrate that a process or task does not result in any employee exposure to chromium (VI) above the PEL for 30 or more days per year (12 consecutive months), the requirement to implement engineering and work practice controls to achieve the PEL does not apply to that process or task.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Prohibition of rotation.</w:t>
      </w:r>
      <w:r w:rsidRPr="009F74C5">
        <w:rPr>
          <w:rFonts w:ascii="Arial" w:eastAsia="Times New Roman" w:hAnsi="Arial" w:cs="Arial"/>
          <w:sz w:val="20"/>
          <w:szCs w:val="20"/>
        </w:rPr>
        <w:t xml:space="preserve"> The employer shall not rotate employees to different jobs to achieve compliance with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Respiratory protection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Where respiratory protection is required by this section, the employer must provide each employee an appropriate respirator that complies with the requirements of this paragraph. Respiratory protection is required during: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Periods necessary to install or implement feasible engineering and work practice controls;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Work operations, such as maintenance and repair activities, for which engineering and work practice controls are not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Work operations for which an employer has implemented all feasible engineering and work practice controls and such controls are not sufficient to reduce exposures to or below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Work operations where employees are exposed above the PEL for fewer than 30 days per year, and the employer has elected not to implement engineering and work practice controls to achieve the PEL;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Emergencies.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Respiratory protection program.</w:t>
      </w:r>
      <w:r w:rsidRPr="009F74C5">
        <w:rPr>
          <w:rFonts w:ascii="Arial" w:eastAsia="Times New Roman" w:hAnsi="Arial" w:cs="Arial"/>
          <w:sz w:val="20"/>
          <w:szCs w:val="20"/>
        </w:rPr>
        <w:t xml:space="preserve"> Where respirator use is required by this section, the employer shall institute a respiratory protection program in accordance with §1910.134, which covers each employee required to use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Protective work clothing and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Provision and use.</w:t>
      </w:r>
      <w:r w:rsidRPr="009F74C5">
        <w:rPr>
          <w:rFonts w:ascii="Arial" w:eastAsia="Times New Roman" w:hAnsi="Arial" w:cs="Arial"/>
          <w:sz w:val="20"/>
          <w:szCs w:val="20"/>
        </w:rPr>
        <w:t xml:space="preserve"> Where a hazard is present or is likely to be present from skin or eye contact with chromium (VI), the employer shall provide appropriate personal protective clothing and equipment at no cost to employees, and shall ensure that employees use such clothing and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Removal and storage.</w:t>
      </w:r>
      <w:r w:rsidRPr="009F74C5">
        <w:rPr>
          <w:rFonts w:ascii="Arial" w:eastAsia="Times New Roman" w:hAnsi="Arial" w:cs="Arial"/>
          <w:sz w:val="20"/>
          <w:szCs w:val="20"/>
        </w:rPr>
        <w:t xml:space="preserve"> (i) The employer shall ensure that employees remove all protective clothing and equipment contaminated with chromium (VI) at the end of the work shift or at the completion of their tasks involving chromium (VI) exposure, whichever comes first.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ensure that no employee removes chromium (VI)-contaminated protective clothing or equipment from the workplace, except for those employees whose job it is to launder, clean, maintain, or dispose of such clothing or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When contaminated protective clothing or equipment is removed for laundering, cleaning, maintenance, or disposal, the employer shall ensure that it is stored and transported in sealed, impermeable bags or other closed, impermeable containers.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ensure that bags or containers of contaminated protective clothing or equipment that are removed from change rooms for laundering, cleaning, maintenance, or disposal shall be labeled in accordance with the requirements of the Hazard Communication Standard, §1910.1200.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Cleaning and replacement.</w:t>
      </w:r>
      <w:r w:rsidRPr="009F74C5">
        <w:rPr>
          <w:rFonts w:ascii="Arial" w:eastAsia="Times New Roman" w:hAnsi="Arial" w:cs="Arial"/>
          <w:sz w:val="20"/>
          <w:szCs w:val="20"/>
        </w:rPr>
        <w:t xml:space="preserve"> (i) The employer shall clean, launder, repair and replace all protective clothing and equipment required by this section as needed to maintain its effectiveness.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prohibit the removal of chromium (VI) from protective clothing and equipment by blowing, shaking, or any other means that disperses chromium (VI) into the air or onto an employee's body.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inform any person who launders or cleans protective clothing or equipment contaminated with chromium (VI) of the potentially harmful effects of exposure to chromium (VI) and that the clothing and equipment should be laundered or cleaned in a manner that minimizes skin or eye contact with chromium (VI) and effectively prevents the release of airborne chromium (VI) in excess of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Hygiene areas and practices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Where protective clothing and equipment is required, the employer shall provide change rooms in conformance with 29 CFR 1926.51 Where skin contact with chromium (VI) occurs, the employer shall provide washing facilities in conformance with 29 CFR 1926.51. Eating and drinking areas provided by the employer shall also be in conformance with §1926.51.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Change rooms.</w:t>
      </w:r>
      <w:r w:rsidRPr="009F74C5">
        <w:rPr>
          <w:rFonts w:ascii="Arial" w:eastAsia="Times New Roman" w:hAnsi="Arial" w:cs="Arial"/>
          <w:sz w:val="20"/>
          <w:szCs w:val="20"/>
        </w:rPr>
        <w:t xml:space="preserve"> The employer shall assure that change rooms are equipped with separate storage facilities for protective clothing and equipment and for street clothes, and that these facilities prevent cross-contamination.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Washing facilities.</w:t>
      </w:r>
      <w:r w:rsidRPr="009F74C5">
        <w:rPr>
          <w:rFonts w:ascii="Arial" w:eastAsia="Times New Roman" w:hAnsi="Arial" w:cs="Arial"/>
          <w:sz w:val="20"/>
          <w:szCs w:val="20"/>
        </w:rPr>
        <w:t xml:space="preserve"> (i) The employer shall provide readily accessible washing facilities capable of removing chromium (VI) from the skin, and shall ensure that affected employees use these facilities when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ensure that employees who have skin contact with chromium (VI) wash their hands and faces at the end of the work shift and prior to eating, drinking, smoking, chewing tobacco or gum, applying cosmetics, or using the toilet.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Eating and drinking areas.</w:t>
      </w:r>
      <w:r w:rsidRPr="009F74C5">
        <w:rPr>
          <w:rFonts w:ascii="Arial" w:eastAsia="Times New Roman" w:hAnsi="Arial" w:cs="Arial"/>
          <w:sz w:val="20"/>
          <w:szCs w:val="20"/>
        </w:rPr>
        <w:t xml:space="preserve"> (i) Whenever the employer allows employees to consume food or beverages at a worksite where chromium (VI) is present, the employer shall ensure that eating and drinking areas and surfaces are maintained as free as practicable of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ensure that employees do not enter eating and drinking areas with protective work clothing or equipment unless surface chromium (VI) has been removed from the clothing and equipment by methods that do not disperse chromium (VI) into the air or onto an employee's body.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Prohibited activities.</w:t>
      </w:r>
      <w:r w:rsidRPr="009F74C5">
        <w:rPr>
          <w:rFonts w:ascii="Arial" w:eastAsia="Times New Roman" w:hAnsi="Arial" w:cs="Arial"/>
          <w:sz w:val="20"/>
          <w:szCs w:val="20"/>
        </w:rPr>
        <w:t xml:space="preserve"> The employer shall ensure that employees do not eat, drink, smoke, chew tobacco or gum, or apply cosmetics in areas where skin or eye contact with chromium (VI) occurs; or carry the products associated with these activities, or store such products in these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(i) The employer shall make medical surveillance available at no cost to the employee, and at a reasonable time and place, for all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Who are or may be occupationally exposed to chromium (VI) at or above the action level for 30 or more days a year;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Experiencing signs or symptoms of the adverse health effects associated with chromium (VI) exposure;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Exposed in an emergency.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assure that all medical examinations and procedures required by this section are performed by or under the supervision of a PLHCP.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Frequency.</w:t>
      </w:r>
      <w:r w:rsidRPr="009F74C5">
        <w:rPr>
          <w:rFonts w:ascii="Arial" w:eastAsia="Times New Roman" w:hAnsi="Arial" w:cs="Arial"/>
          <w:sz w:val="20"/>
          <w:szCs w:val="20"/>
        </w:rPr>
        <w:t xml:space="preserve"> The employer shall provide a medical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Within 30 days after initial assignment, unless the employee has received a chromium (VI) related medical examination that meets the requirements of this paragraph within the last twelve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Annually;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Within 30 days after a PLHCP's written medical opinion recommends an additional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Whenever an employee shows signs or symptoms of the adverse health effects associated with chromium (VI)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Within 30 days after exposure during an emergency which results in an uncontrolled release of chromium (VI);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At the termination of employment, unless the last examination that satisfied the requirements of paragraph (i) of this section was less than six months prior to the date of termination.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Contents of examination.</w:t>
      </w:r>
      <w:r w:rsidRPr="009F74C5">
        <w:rPr>
          <w:rFonts w:ascii="Arial" w:eastAsia="Times New Roman" w:hAnsi="Arial" w:cs="Arial"/>
          <w:sz w:val="20"/>
          <w:szCs w:val="20"/>
        </w:rPr>
        <w:t xml:space="preserve"> A medical examination consists 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medical and work history, with emphasis on: past, present, and anticipated future exposure to chromium (VI); any history of respiratory system dysfunction; any history of asthma, dermatitis, skin ulceration, or nasal septum perforation; and smoking status and history;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physical examination of the skin and respiratory tract;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Any additional tests deemed appropriate by the examining PLHCP.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Information provided to the PLHCP.</w:t>
      </w:r>
      <w:r w:rsidRPr="009F74C5">
        <w:rPr>
          <w:rFonts w:ascii="Arial" w:eastAsia="Times New Roman" w:hAnsi="Arial" w:cs="Arial"/>
          <w:sz w:val="20"/>
          <w:szCs w:val="20"/>
        </w:rPr>
        <w:t xml:space="preserve"> The employer shall ensure that the examining PLHCP has a copy of this standard, and shall provide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description of the affected employee's former, current, and anticipated duties as they relate to the employee's occupational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employee's former, current, and anticipated levels of occupational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 description of any personal protective equipment used or to be used by the employee, including when and for how long the employee has used that equipment;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Information from records of employment-related medical examinations previously provided to the affected employee, currently within the control of the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PLHCP's written medical opinion.</w:t>
      </w:r>
      <w:r w:rsidRPr="009F74C5">
        <w:rPr>
          <w:rFonts w:ascii="Arial" w:eastAsia="Times New Roman" w:hAnsi="Arial" w:cs="Arial"/>
          <w:sz w:val="20"/>
          <w:szCs w:val="20"/>
        </w:rPr>
        <w:t xml:space="preserve"> (i) The employer shall obtain a written medical opinion from the PLHCP, within 30 days for each medical examination performed on each employee, which contains: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PLHCP's opinion as to whether the employee has any detected medical condition(s) that would place the employee at increased risk of material impairment to health from further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Any recommended limitations upon the employee's exposure to chromium (VI) or upon the use of personal protective equipment such as respirators;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statement that the PLHCP has explained to the employee the results of the medical examination, including any medical conditions related to chromium (VI) exposure that require further evaluation or treatment, and any special provisions for use of protective clothing or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PLHCP shall not reveal to the employer specific findings or diagnoses unrelated to occupational exposure to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provide a copy of the PLHCP's written medical opinion to the examined employee within two weeks after receiving 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Communication of chromium (VI) hazards to employees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Hazard communication.</w:t>
      </w:r>
      <w:r w:rsidRPr="009F74C5">
        <w:rPr>
          <w:rFonts w:ascii="Arial" w:eastAsia="Times New Roman" w:hAnsi="Arial" w:cs="Arial"/>
          <w:sz w:val="20"/>
          <w:szCs w:val="20"/>
        </w:rPr>
        <w:t xml:space="preserve"> The employer shall include chromium (VI) in the program established to comply with the Hazard Communication Standard (HCS) (§1910.1200). The employer shall ensure that each employee has access to labels on containers of chromium and safety data sheets, and is trained in accordance with the provisions of §1910.1200 and paragraph (j)(2) of this section. The employer shall provide information on at least the following hazards: Cancer; eye irritation; and skin sensitization.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Employee information and training.</w:t>
      </w:r>
      <w:r w:rsidRPr="009F74C5">
        <w:rPr>
          <w:rFonts w:ascii="Arial" w:eastAsia="Times New Roman" w:hAnsi="Arial" w:cs="Arial"/>
          <w:sz w:val="20"/>
          <w:szCs w:val="20"/>
        </w:rPr>
        <w:t xml:space="preserve"> (i) The employer shall ensure that each employee can demonstrate knowledge of at least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contents of this section;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purpose and a description of the medical surveillance program required by paragraph (i)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make a copy of this section readily available without cost to all affected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Recordkeeping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Air monitoring data.</w:t>
      </w:r>
      <w:r w:rsidRPr="009F74C5">
        <w:rPr>
          <w:rFonts w:ascii="Arial" w:eastAsia="Times New Roman" w:hAnsi="Arial" w:cs="Arial"/>
          <w:sz w:val="20"/>
          <w:szCs w:val="20"/>
        </w:rPr>
        <w:t xml:space="preserve"> (i) The employer shall maintain an accurate record of all air monitoring conducted to comply with the requirements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This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date of measurement for each sample taken;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operation involving exposure to chromium (VI) that is being monitored;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Sampling and analytical methods used and evidence of their accuracy;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Number, duration, and the results of samples taken;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Type of personal protective equipment, such as respirators worn;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Name, social security number, and job classification of all employees represented by the monitoring, indicating which employees were actually monitored.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exposure records are maintained and made available in accordance with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Historical monitoring data.</w:t>
      </w:r>
      <w:r w:rsidRPr="009F74C5">
        <w:rPr>
          <w:rFonts w:ascii="Arial" w:eastAsia="Times New Roman" w:hAnsi="Arial" w:cs="Arial"/>
          <w:sz w:val="20"/>
          <w:szCs w:val="20"/>
        </w:rPr>
        <w:t xml:space="preserve"> (i) Where the employer has relied on historical monitoring data to determine exposure to chromium (VI), the employer shall establish and maintain an accurate record of the historical monitoring data relied upon.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record shall include information that reflects the following 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data were collected using methods that meet the accuracy requirements of paragraph (d)(5)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processes and work practices that were in use when the historical monitoring data were obtained are essentially the same as those to be used during the job for which exposure is being determined;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characteristics of the chromium (VI) containing material being handled when the historical monitoring data were obtained are the same as those on the job for which exposure is being determined;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Environmental conditions prevailing when the historical monitoring data were obtained are the same as those on the job for which exposure is being determined;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(E) Other data relevant to the operations, materials, processing, or employee exposures covered by the exception.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historical exposure records are maintained and made available in accordance with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Objective data.</w:t>
      </w:r>
      <w:r w:rsidRPr="009F74C5">
        <w:rPr>
          <w:rFonts w:ascii="Arial" w:eastAsia="Times New Roman" w:hAnsi="Arial" w:cs="Arial"/>
          <w:sz w:val="20"/>
          <w:szCs w:val="20"/>
        </w:rPr>
        <w:t xml:space="preserve"> (i) The employer shall maintain an accurate record of all objective data relied upon to comply with the requirements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This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chromium containing material in question;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source of the objective data;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testing protocol and results of testing, or analysis of the material for the release of chromium (VI);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 description of the process, operation, or activity and how the data support the determination;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Other data relevant to the process, operation, activity, material, or employee exposures.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objective data are maintained and made available in accordance with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 (i) The employer shall establish and maintain an accurate record for each employee covered by medical surveillance under paragraph (i)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record shall include the following information about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Name and social security number;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copy of the PLHCP's written opinions;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copy of the information provided to the PLHCP as required by paragraph (i)(4)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medical records are maintained and made available in accordance with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(l) </w:t>
      </w:r>
      <w:r w:rsidRPr="009F74C5">
        <w:rPr>
          <w:rFonts w:ascii="Arial" w:eastAsia="Times New Roman" w:hAnsi="Arial" w:cs="Arial"/>
          <w:i/>
          <w:iCs/>
          <w:sz w:val="20"/>
          <w:szCs w:val="20"/>
        </w:rPr>
        <w:t>Dates.</w:t>
      </w:r>
      <w:r w:rsidRPr="009F74C5">
        <w:rPr>
          <w:rFonts w:ascii="Arial" w:eastAsia="Times New Roman" w:hAnsi="Arial" w:cs="Arial"/>
          <w:sz w:val="20"/>
          <w:szCs w:val="20"/>
        </w:rPr>
        <w:t xml:space="preserve"> (1) For employers with 20 or more employees, all obligations of this section, except engineering controls required by paragraph (e) of this section, commence November 27, 2006.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employers with 19 or fewer employees, all obligations of this section, except engineering controls required by paragraph (e) of this section, commence May 30, 2007.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For all employers, engineering controls required by paragraph (e) of this section shall be implemented no later than May 31, 2010.</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[71 FR 10382, Feb. 28, 2006, as amended at 73 FR 75589, Dec. 12, 2008; 75 FR 12686, Mar. 17, 2010; 77 FR 17895, Mar. 26, 2012]</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39" w:anchor="_top" w:history="1">
        <w:r w:rsidR="00D70103">
          <w:rPr>
            <w:rFonts w:ascii="Arial" w:eastAsia="Times New Roman" w:hAnsi="Arial" w:cs="Arial"/>
            <w:noProof/>
            <w:color w:val="0000FF"/>
            <w:sz w:val="17"/>
            <w:szCs w:val="17"/>
          </w:rPr>
          <w:drawing>
            <wp:inline distT="0" distB="0" distL="0" distR="0" wp14:anchorId="0DF28BBF" wp14:editId="2CE7D7EF">
              <wp:extent cx="152400" cy="152400"/>
              <wp:effectExtent l="0" t="0" r="0" b="0"/>
              <wp:docPr id="62" name="Picture 6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2" w:name="se29.8.1926_11127"/>
      <w:bookmarkEnd w:id="102"/>
      <w:r w:rsidRPr="009F74C5">
        <w:rPr>
          <w:rFonts w:ascii="Arial" w:eastAsia="Times New Roman" w:hAnsi="Arial" w:cs="Arial"/>
          <w:b/>
          <w:bCs/>
          <w:sz w:val="20"/>
          <w:szCs w:val="20"/>
        </w:rPr>
        <w:t>§1926.1127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Scope.</w:t>
      </w:r>
      <w:r w:rsidRPr="009F74C5">
        <w:rPr>
          <w:rFonts w:ascii="Arial" w:eastAsia="Times New Roman" w:hAnsi="Arial" w:cs="Arial"/>
          <w:sz w:val="20"/>
          <w:szCs w:val="20"/>
        </w:rPr>
        <w:t xml:space="preserve"> This standard applies to all occupational exposures to cadmium and cadmium compounds, in all forms, in all construction work where an employee may potentially be exposed to cadmium. Construction work is defined as work involving construction, alteration and/or repair, including but not limited to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Wrecking, demolition or salvage of structures where cadmium or materials containing cadmium are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Use of cadmium containing-paints and cutting, brazing, burning, grinding or welding on surfaces that were painted with cadmium-containing paints;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Construction, alteration, repair, maintenance, or renovation of structures, substrates, or portions thereof, that contain cadmium, or materials containing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Cadmium welding; cutting and welding cadmium-plated steel; brazing or welding with cadmium alloys;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Installation of products containing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Electrical grounding with cadmium welding, or electrical work using cadmium-coated conduit;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Maintaining or retrofitting cadmium-coated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Cadmium contamination/emergency cleanup;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Transportation, disposal, storage, or containment of cadmium or materials containing cadmium on the site or location at which construction activities are performed.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Definitions.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Action level</w:t>
      </w:r>
      <w:r w:rsidRPr="009F74C5">
        <w:rPr>
          <w:rFonts w:ascii="Arial" w:eastAsia="Times New Roman" w:hAnsi="Arial" w:cs="Arial"/>
          <w:sz w:val="20"/>
          <w:szCs w:val="20"/>
        </w:rPr>
        <w:t xml:space="preserve"> (AL) is defined as an airborne concentration of cadmium of 2.5 micrograms per cubic meter of air (2.5 µg/m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calculated as an 8-hour time-weighted average (TWA).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Assistant Secretary</w:t>
      </w:r>
      <w:r w:rsidRPr="009F74C5">
        <w:rPr>
          <w:rFonts w:ascii="Arial" w:eastAsia="Times New Roman" w:hAnsi="Arial" w:cs="Arial"/>
          <w:sz w:val="20"/>
          <w:szCs w:val="20"/>
        </w:rPr>
        <w:t xml:space="preserve"> means the Assistant Secretary of Labor for Occupational Safety and Health, U.S. Department of Labor,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Authorized person</w:t>
      </w:r>
      <w:r w:rsidRPr="009F74C5">
        <w:rPr>
          <w:rFonts w:ascii="Arial" w:eastAsia="Times New Roman" w:hAnsi="Arial" w:cs="Arial"/>
          <w:sz w:val="20"/>
          <w:szCs w:val="20"/>
        </w:rPr>
        <w:t xml:space="preserve"> means any person authorized by the employer and required by work duties to be present in regulated areas or any person authorized by the OSH Act or regulations issued under it to be in regulated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Competent person,</w:t>
      </w:r>
      <w:r w:rsidRPr="009F74C5">
        <w:rPr>
          <w:rFonts w:ascii="Arial" w:eastAsia="Times New Roman" w:hAnsi="Arial" w:cs="Arial"/>
          <w:sz w:val="20"/>
          <w:szCs w:val="20"/>
        </w:rPr>
        <w:t xml:space="preserve"> in accordance with 29 CFR 1926.32(f), means a person designated by the employer to act on the employer's behalf who is capable of identifying existing and potential cadmium hazards in the workplace and the proper methods to control them in order to protect workers, and has the authority necessary to take prompt corrective measures to eliminate or control such hazards. The duties of a competent person include at least the following: Determining prior to the performance of work whether cadmium is present in the workplace; establishing, where necessary, regulated areas and assuring that access to and from those areas is limited to authorized employees; assuring the adequacy of any employee exposure monitoring required by this standard; assuring that all employees exposed to </w:t>
      </w:r>
      <w:r w:rsidRPr="009F74C5">
        <w:rPr>
          <w:rFonts w:ascii="Arial" w:eastAsia="Times New Roman" w:hAnsi="Arial" w:cs="Arial"/>
          <w:sz w:val="20"/>
          <w:szCs w:val="20"/>
        </w:rPr>
        <w:lastRenderedPageBreak/>
        <w:t>air cadmium levels above the PEL wear appropriate personal protective equipment and are trained in the use of appropriate methods of exposure control; assuring that proper hygiene facilities are provided and that workers are trained to use those facilities; and assuring that the engineering controls required by this standard are implemented, maintained in proper operating condition, and functioning properly.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Director</w:t>
      </w:r>
      <w:r w:rsidRPr="009F74C5">
        <w:rPr>
          <w:rFonts w:ascii="Arial" w:eastAsia="Times New Roman" w:hAnsi="Arial" w:cs="Arial"/>
          <w:sz w:val="20"/>
          <w:szCs w:val="20"/>
        </w:rPr>
        <w:t xml:space="preserve"> means the Director of the National Institute for Occupational Safety and Health (NIOSH), U.S. Department of Health and Human Services, or designee.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Employee exposure</w:t>
      </w:r>
      <w:r w:rsidRPr="009F74C5">
        <w:rPr>
          <w:rFonts w:ascii="Arial" w:eastAsia="Times New Roman" w:hAnsi="Arial" w:cs="Arial"/>
          <w:sz w:val="20"/>
          <w:szCs w:val="20"/>
        </w:rPr>
        <w:t xml:space="preserve"> and similar language referring to the air cadmium level to which an employee is exposed means the exposure to airborne cadmium that would occur if the employee were not using respiratory protective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Final medical determination</w:t>
      </w:r>
      <w:r w:rsidRPr="009F74C5">
        <w:rPr>
          <w:rFonts w:ascii="Arial" w:eastAsia="Times New Roman" w:hAnsi="Arial" w:cs="Arial"/>
          <w:sz w:val="20"/>
          <w:szCs w:val="20"/>
        </w:rPr>
        <w:t xml:space="preserve"> is the written medical opinion of the employee's health status by the examining physician under paragraphs (l)(3)-(12) of this section or, if multiple physician review under paragraph (l)(13) of this section or the alternative physician determination under paragraph (l)(14) of this section is invoked, it is the final, written medical finding, recommendation or determination that emerges from that process.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High-efficiency Particulate Air [HEPA] filter</w:t>
      </w:r>
      <w:r w:rsidRPr="009F74C5">
        <w:rPr>
          <w:rFonts w:ascii="Arial" w:eastAsia="Times New Roman" w:hAnsi="Arial" w:cs="Arial"/>
          <w:sz w:val="20"/>
          <w:szCs w:val="20"/>
        </w:rPr>
        <w:t xml:space="preserve"> means a filter capable of trapping and retaining at least 99.97 percent of mono-dispersed particles of 0.3 micrometers in diameter.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Regulated area</w:t>
      </w:r>
      <w:r w:rsidRPr="009F74C5">
        <w:rPr>
          <w:rFonts w:ascii="Arial" w:eastAsia="Times New Roman" w:hAnsi="Arial" w:cs="Arial"/>
          <w:sz w:val="20"/>
          <w:szCs w:val="20"/>
        </w:rPr>
        <w:t xml:space="preserve"> means an area demarcated by the employer where an employee's exposure to airborne concentrations of cadmium exceeds, or can reasonably be expected to exceed the permissible exposure limit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This section</w:t>
      </w:r>
      <w:r w:rsidRPr="009F74C5">
        <w:rPr>
          <w:rFonts w:ascii="Arial" w:eastAsia="Times New Roman" w:hAnsi="Arial" w:cs="Arial"/>
          <w:sz w:val="20"/>
          <w:szCs w:val="20"/>
        </w:rPr>
        <w:t xml:space="preserve"> means this cadmium standard.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Permissible Exposure Limit (PEL).</w:t>
      </w:r>
      <w:r w:rsidRPr="009F74C5">
        <w:rPr>
          <w:rFonts w:ascii="Arial" w:eastAsia="Times New Roman" w:hAnsi="Arial" w:cs="Arial"/>
          <w:sz w:val="20"/>
          <w:szCs w:val="20"/>
        </w:rPr>
        <w:t xml:space="preserve"> The employer shall assure that no employee is exposed to an airborne concentration of cadmium in excess of five micrograms per cubic meter of air (5 µg/m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 calculated as an eight-hour time-weighted average exposure (TWA).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Exposure Monitoring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(i) Prior to the performance of any construction work where employees may be potentially exposed to cadmium, the employer shall establish the applicability of this standard by determining whether cadmium is present in the workplace and whether there is the possibility that employee exposures will be at or above the action level. The employer shall designate a competent person who shall make this determination. Investigation and material testing techniques shall be used, as appropriate, in the determination. Investigation shall include a review of relevant plans, past reports, material safety data sheets, and other available records, and consultations with the property owner and discussions with appropriate individuals and agencies.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cadmium has been determined to be present in the workplace, and it has been determined that there is a possibility the employee's exposure will be at or above the action level, the competent person shall identify employees potentially exposed to cadmium at or above the action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Determinations of employee exposure shall be made from breathing-zone air samples that reflect the monitored employee's regular, daily 8-hour TWA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Eight-hour TWA exposures shall be determined for each employee on the basis of one or more personal breathing-zone air samples reflecting full shift exposure on each shift, for each job classification, in each work area. Where several employees perform the same job tasks, in the same job classification, on the same shift, in the same work area, and the length, duration, and level of cadmium exposures are similar, an employer may sample a representative fraction of the employees instead of all employees in </w:t>
      </w:r>
      <w:r w:rsidRPr="009F74C5">
        <w:rPr>
          <w:rFonts w:ascii="Arial" w:eastAsia="Times New Roman" w:hAnsi="Arial" w:cs="Arial"/>
          <w:sz w:val="20"/>
          <w:szCs w:val="20"/>
        </w:rPr>
        <w:lastRenderedPageBreak/>
        <w:t>order to meet this requirement. In representative sampling, the employer shall sample the employee(s) expected to have the highest cadmium exposures.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Specific.</w:t>
      </w:r>
      <w:r w:rsidRPr="009F74C5">
        <w:rPr>
          <w:rFonts w:ascii="Arial" w:eastAsia="Times New Roman" w:hAnsi="Arial" w:cs="Arial"/>
          <w:sz w:val="20"/>
          <w:szCs w:val="20"/>
        </w:rPr>
        <w:t xml:space="preserve"> (i) Initial monitoring. Except as provided for in paragraph (d)(2)(iii) of this section, where a determination conducted under paragraph (d)(1)(i) of this section shows the possibility of employee exposure to cadmium at or above the action level, the employer shall conduct exposure monitoring as soon as practicable that is representative of the exposure for each employee in the workplace who is or may be exposed to cadmium at or above the action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In addition, if the employee periodically performs tasks that may expose the employee to a higher concentration of airborne cadmium, the employee shall be monitored while performing those tasks.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the employer has objective data, as defined in paragraph (n)(2) of this section, demonstrating that employee exposure to cadmium will not exceed airborne concentrations at or above the action level under the expected conditions of processing, use, or handling, the employer may rely upon such data instead of implementing initial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Where a determination conducted under paragraphs (d)(1) or (d)(2) of this section is made that a potentially exposed employee is not exposed to airborne concentrations of cadmium at or above the action level, the employer shall make a written record of such determination. The record shall include at least the monitoring data developed under paragraphs (d)(2)(i)-(iii) of this section, where applicable, and shall also include the date of determination, and the name and social security number of each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Monitoring frequency (periodic monitoring).</w:t>
      </w:r>
      <w:r w:rsidRPr="009F74C5">
        <w:rPr>
          <w:rFonts w:ascii="Arial" w:eastAsia="Times New Roman" w:hAnsi="Arial" w:cs="Arial"/>
          <w:sz w:val="20"/>
          <w:szCs w:val="20"/>
        </w:rPr>
        <w:t xml:space="preserve"> (i) If the initial monitoring or periodic monitoring reveals employee exposures to be at or above the action level, the employer shall monitor at a frequency and pattern needed to assure that the monitoring results reflect with reasonable accuracy the employee's typical exposure levels, given the variability in the tasks performed, work practices, and environmental conditions on the job site, and to assure the adequacy of respiratory selection and the effectiveness of engineering and work practice controls.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initial monitoring or the periodic monitoring indicates that employee exposures are below the action level and that result is confirmed by the results of another monitoring taken at least seven days later, the employer may discontinue the monitoring for those employees whose exposures are represented by such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Additional monitoring.</w:t>
      </w:r>
      <w:r w:rsidRPr="009F74C5">
        <w:rPr>
          <w:rFonts w:ascii="Arial" w:eastAsia="Times New Roman" w:hAnsi="Arial" w:cs="Arial"/>
          <w:sz w:val="20"/>
          <w:szCs w:val="20"/>
        </w:rPr>
        <w:t xml:space="preserve"> The employer also shall institute the exposure monitoring required under paragraphs (d)(2)(i) and (d)(3) of this section whenever there has been a change in the raw materials, equipment, personnel, work practices, or finished products that may result in additional employees being exposed to cadmium at or above the action level or in employees already exposed to cadmium at or above the action level being exposed above the PEL, or whenever the employer or competent person has any reason to suspect that any other change might result in such further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Employee notification of monitoring results.</w:t>
      </w:r>
      <w:r w:rsidRPr="009F74C5">
        <w:rPr>
          <w:rFonts w:ascii="Arial" w:eastAsia="Times New Roman" w:hAnsi="Arial" w:cs="Arial"/>
          <w:sz w:val="20"/>
          <w:szCs w:val="20"/>
        </w:rPr>
        <w:t xml:space="preserve"> (i)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Wherever monitoring results indicate that employee exposure exceeds the PEL, the employer shall include in the written notice a statement that the PEL has been exceeded and a description of the corrective action being taken by the employer to reduce employee exposure to or below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Accuracy of measurement.</w:t>
      </w:r>
      <w:r w:rsidRPr="009F74C5">
        <w:rPr>
          <w:rFonts w:ascii="Arial" w:eastAsia="Times New Roman" w:hAnsi="Arial" w:cs="Arial"/>
          <w:sz w:val="20"/>
          <w:szCs w:val="20"/>
        </w:rPr>
        <w:t xml:space="preserve"> The employer shall use a method of monitoring and analysis that has an accuracy of not less than plus or minus 25 percent (±25%), with a confidence level of 95 percent, for airborne concentrations of cadmium at or above the action level and the permissible exposure limit.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(e) </w:t>
      </w:r>
      <w:r w:rsidRPr="009F74C5">
        <w:rPr>
          <w:rFonts w:ascii="Arial" w:eastAsia="Times New Roman" w:hAnsi="Arial" w:cs="Arial"/>
          <w:i/>
          <w:iCs/>
          <w:sz w:val="20"/>
          <w:szCs w:val="20"/>
        </w:rPr>
        <w:t>Regulated areas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Establishment.</w:t>
      </w:r>
      <w:r w:rsidRPr="009F74C5">
        <w:rPr>
          <w:rFonts w:ascii="Arial" w:eastAsia="Times New Roman" w:hAnsi="Arial" w:cs="Arial"/>
          <w:sz w:val="20"/>
          <w:szCs w:val="20"/>
        </w:rPr>
        <w:t xml:space="preserve"> The employer shall establish a regulated area wherever an employee's exposure to airborne concentrations of cadmium is, or can reasonably be expected to be in excess of the permissible exposure limit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Demarcation.</w:t>
      </w:r>
      <w:r w:rsidRPr="009F74C5">
        <w:rPr>
          <w:rFonts w:ascii="Arial" w:eastAsia="Times New Roman" w:hAnsi="Arial" w:cs="Arial"/>
          <w:sz w:val="20"/>
          <w:szCs w:val="20"/>
        </w:rPr>
        <w:t xml:space="preserve"> Regulated areas shall be demarcated from the rest of the workplace in any manner that adequately establishes and alerts employees of the boundaries of the regulated area, including employees who are or may be incidentally in the regulated areas, and that protects persons outside the area from exposure to airborne concentrations of cadmium in excess of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Access.</w:t>
      </w:r>
      <w:r w:rsidRPr="009F74C5">
        <w:rPr>
          <w:rFonts w:ascii="Arial" w:eastAsia="Times New Roman" w:hAnsi="Arial" w:cs="Arial"/>
          <w:sz w:val="20"/>
          <w:szCs w:val="20"/>
        </w:rPr>
        <w:t xml:space="preserve"> Access to regulated areas shall be limited to authorized persons.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Provision of respirators.</w:t>
      </w:r>
      <w:r w:rsidRPr="009F74C5">
        <w:rPr>
          <w:rFonts w:ascii="Arial" w:eastAsia="Times New Roman" w:hAnsi="Arial" w:cs="Arial"/>
          <w:sz w:val="20"/>
          <w:szCs w:val="20"/>
        </w:rPr>
        <w:t xml:space="preserve"> Each person entering a regulated area shall be supplied with and required to use a respirator, selected in accordance with paragraph (g)(2)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Prohibited activities.</w:t>
      </w:r>
      <w:r w:rsidRPr="009F74C5">
        <w:rPr>
          <w:rFonts w:ascii="Arial" w:eastAsia="Times New Roman" w:hAnsi="Arial" w:cs="Arial"/>
          <w:sz w:val="20"/>
          <w:szCs w:val="20"/>
        </w:rPr>
        <w:t xml:space="preserve"> The employer shall assure that employees do not eat, drink, smoke, chew tobacco or gum, or apply cosmetics in regulated areas, or carry the products associated with any of these activities into regulated areas or store such products in those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Methods of compliance</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Compliance hierarchy.</w:t>
      </w:r>
      <w:r w:rsidRPr="009F74C5">
        <w:rPr>
          <w:rFonts w:ascii="Arial" w:eastAsia="Times New Roman" w:hAnsi="Arial" w:cs="Arial"/>
          <w:sz w:val="20"/>
          <w:szCs w:val="20"/>
        </w:rPr>
        <w:t xml:space="preserve"> (i) Except as specified in paragraph (f)(1)(ii) of this section, the employer shall implement engineering and work practice controls to reduce and maintain employee exposure to cadmium at or below the PEL, except to the extent that the employer can demonstrate that such controls are not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requirement to implement engineering controls to achieve the PEL does not apply where the employer demonstrates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employee is only intermittently exposed;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employee is not exposed above the PEL on 30 or more days per year (12 consecutive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Wherever engineering and work practice controls are not sufficient to reduce employee exposure to or below the PEL, the employer nonetheless shall implement such controls to reduce exposures to the lowest levels achievable. The employer shall supplement such controls with respiratory protection that complies with the requirements of paragraph (g) of this section and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not use employee rotation as a method of compliance.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Specific operations</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Abrasive blasting.</w:t>
      </w:r>
      <w:r w:rsidRPr="009F74C5">
        <w:rPr>
          <w:rFonts w:ascii="Arial" w:eastAsia="Times New Roman" w:hAnsi="Arial" w:cs="Arial"/>
          <w:sz w:val="20"/>
          <w:szCs w:val="20"/>
        </w:rPr>
        <w:t xml:space="preserve"> Abrasive blasting on cadmium or cadmium-containing materials shall be conducted in a manner that will provide adequate protection.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Heating cadmium and cadmium-containing materials.</w:t>
      </w:r>
      <w:r w:rsidRPr="009F74C5">
        <w:rPr>
          <w:rFonts w:ascii="Arial" w:eastAsia="Times New Roman" w:hAnsi="Arial" w:cs="Arial"/>
          <w:sz w:val="20"/>
          <w:szCs w:val="20"/>
        </w:rPr>
        <w:t xml:space="preserve"> Welding, cutting, and other forms of heating of cadmium or cadmium-containing materials shall be conducted in accordance with the requirements of 29 CFR 1926.353 and 29 CFR 1926.354, where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Prohibitions.</w:t>
      </w:r>
      <w:r w:rsidRPr="009F74C5">
        <w:rPr>
          <w:rFonts w:ascii="Arial" w:eastAsia="Times New Roman" w:hAnsi="Arial" w:cs="Arial"/>
          <w:sz w:val="20"/>
          <w:szCs w:val="20"/>
        </w:rPr>
        <w:t xml:space="preserve"> (i) High speed abrasive disc saws and similar abrasive power equipment shall not be used for work on cadmium or cadmium-containing materials unless they are equipped with appropriate engineering controls to minimize emissions, if the exposure levels are above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Materials containing cadmium shall not be applied by spray methods, if exposures are above the PEL, unless employees are protected with supplied-air respirators with full facepiece, hood, helmet, suit, operated in positive pressure mode and measures are instituted to limit overspray and prevent contamination of adjacent areas.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Mechanical ventilation.</w:t>
      </w:r>
      <w:r w:rsidRPr="009F74C5">
        <w:rPr>
          <w:rFonts w:ascii="Arial" w:eastAsia="Times New Roman" w:hAnsi="Arial" w:cs="Arial"/>
          <w:sz w:val="20"/>
          <w:szCs w:val="20"/>
        </w:rPr>
        <w:t xml:space="preserve"> (i) When ventilation is used to control exposure, measurements that demonstrate the effectiveness of the system in controlling exposure, such as capture velocity, duct velocity, or static pressure shall be made as necessary to maintain its effectiveness.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Measurements of the system's effectiveness in controlling exposure shall be made as necessary within five working days of any change in production, process, or control that might result in a significant increase in employee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Recirculation of air. If air from exhaust ventilation is recirculated into the workplace, the system shall have a high efficiency filter and be monitored to assure effectiveness.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Procedures shall be developed and implemented to minimize employee exposure to cadmium when maintenance of ventilation systems and changing of filters is being conducted.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Compliance program.</w:t>
      </w:r>
      <w:r w:rsidRPr="009F74C5">
        <w:rPr>
          <w:rFonts w:ascii="Arial" w:eastAsia="Times New Roman" w:hAnsi="Arial" w:cs="Arial"/>
          <w:sz w:val="20"/>
          <w:szCs w:val="20"/>
        </w:rPr>
        <w:t xml:space="preserve"> (i) Where employee exposure to cadmium exceeds the PEL and the employer is required under paragraph (f)(1) of this section to implement controls to comply with the PEL, prior to the commencement of the job the employer shall establish and implement a written compliance program to reduce employee exposure to or below the PEL. To the extent that engineering and work practice controls cannot reduce exposures to or below the PEL, the employer shall include in the written compliance program the use of appropriate respiratory protection to achieve compliance with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Written compliance programs shall be reviewed and updated as often and as promptly as necessary to reflect significant changes in the employer's compliance status or significant changes in the lowest air cadmium level that is technologically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 competent person shall review the comprehensive compliance program initially and after each change.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Written compliance programs shall be provided upon request for examination and copying to the Assistant Secretary, the Director, affected employees, and designated employee representatives.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Respirator protection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For employees who use respirators required by this section, the employer must provide each employee an appropriate respirator that complies with the requirements of this paragraph. Respirators must be used during: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Periods necessary to install or implement feasible engineering and work-practice controls when employee exposures exceed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Maintenance and repair activities, and brief or intermittent work operations, for which employee exposures exceed the PEL and engineering and work-practice controls are not feasible or are not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Work operations in the regulated areas specified in paragraph (e)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Work operations for which the employer has implemented all feasible engineering and work-practice controls, and such controls are not sufficient to reduce employee exposures to or below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Work operations for which an employee, who is exposed to cadmium at or above the action level, requests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Work operations for which engineering controls are not required by paragraph (f)(1)(ii) of this section to reduce employee exposures that exceed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(vii) Emergencies.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Respirator program.</w:t>
      </w:r>
      <w:r w:rsidRPr="009F74C5">
        <w:rPr>
          <w:rFonts w:ascii="Arial" w:eastAsia="Times New Roman" w:hAnsi="Arial" w:cs="Arial"/>
          <w:sz w:val="20"/>
          <w:szCs w:val="20"/>
        </w:rPr>
        <w:t xml:space="preserve"> (i) The employer must implement a respiratory protection program in accordance with §1910.134 (b) through (d) (except (d)(1)(iii)), and (f) through (m), which covers each employee required by this section to use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an employee exhibits breathing difficulty during fit testing or respirator use, the employer must provide the employee with a medical examination in accordance with paragraph (l)(6)(ii) of this section to determine if the employee can use a respirator while performing the required duties.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No employee must use a respirator when, based on their most recent medical examination, the examining physician determines that the employee will be unable to continue to function normally while using a respirator. If the physician determines the employee must be limited in, or removed from, their current job because of the employee's inability to use a respirator, the job limitation or removal must be conducted in accordance with paragraphs (l) (11) and (12)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Respirator selection.</w:t>
      </w:r>
      <w:r w:rsidRPr="009F74C5">
        <w:rPr>
          <w:rFonts w:ascii="Arial" w:eastAsia="Times New Roman" w:hAnsi="Arial" w:cs="Arial"/>
          <w:sz w:val="20"/>
          <w:szCs w:val="20"/>
        </w:rPr>
        <w:t xml:space="preserve"> (i) Employers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Select, and provide to employees, the appropriate respirators specified in paragraph (d)(3)(i)(A) of 29 CFR 1910.134.</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employees with full facepiece respirators when they experience eye irritation.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Provide HEPA filters for powered and non-powered air-purifying respirators. </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must provide a powered air-purifying respirator instead of a negative-pressure respirator when an employee entitled to a respirator chooses to use this type of respirator and such a respirator will provide adequate protection to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Emergency situations.</w:t>
      </w:r>
      <w:r w:rsidRPr="009F74C5">
        <w:rPr>
          <w:rFonts w:ascii="Arial" w:eastAsia="Times New Roman" w:hAnsi="Arial" w:cs="Arial"/>
          <w:sz w:val="20"/>
          <w:szCs w:val="20"/>
        </w:rPr>
        <w:t xml:space="preserve"> The employer shall develop and implement a written plan for dealing with emergency situations involving substantial releases of airborne cadmium. The plan shall include provisions for the use of appropriate respirators and personal protective equipment. In addition, employees not essential to correcting the emergency situation shall be restricted from the area and normal operations halted in that area until the emergency is abated.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Protective work clothing and equipment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Provision and use.</w:t>
      </w:r>
      <w:r w:rsidRPr="009F74C5">
        <w:rPr>
          <w:rFonts w:ascii="Arial" w:eastAsia="Times New Roman" w:hAnsi="Arial" w:cs="Arial"/>
          <w:sz w:val="20"/>
          <w:szCs w:val="20"/>
        </w:rPr>
        <w:t xml:space="preserve"> If an employee is exposed to airborne cadmium above the PEL or where skin or eye irritation is associated with cadmium exposure at any level, the employer shall provide at no cost to the employee, and assure that the employee uses, appropriate protective work clothing and equipment that prevents contamination of the employee and the employee's garments. Protective work clothing and equipment includes, but is not limited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Coveralls or similar full-body work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Gloves, head coverings, and boots or foot coverings;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Face shields, vented goggles, or other appropriate protective equipment that complies with 29 CFR 1910.133.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Removal and storage.</w:t>
      </w:r>
      <w:r w:rsidRPr="009F74C5">
        <w:rPr>
          <w:rFonts w:ascii="Arial" w:eastAsia="Times New Roman" w:hAnsi="Arial" w:cs="Arial"/>
          <w:sz w:val="20"/>
          <w:szCs w:val="20"/>
        </w:rPr>
        <w:t xml:space="preserve"> (i) The employer shall assure that employees remove all protective clothing and equipment contaminated with cadmium at the completion of the work shift and do so only in change rooms provided in accordance with paragraph (j)(1)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employer shall assure that no employee takes cadmium-contaminated protective clothing or equipment from the workplace, except for employees authorized to do so for purposes of laundering, cleaning, maintaining, or disposing of cadmium-contaminated protective clothing and equipment at an appropriate location or facility away from the workplace.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assure that contaminated protective clothing and equipment, when removed for laundering, cleaning, maintenance, or disposal, is placed and stored in sealed, impermeable bags or other closed, impermeable containers that are designed to prevent dispersion of cadmium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ensure that containers of contaminated protective clothing and equipment that are to be taken out of the change rooms or the workplace for laundering, cleaning, maintenance or disposal shall bear labels in accordance with paragraph (m)(3)(ii)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Cleaning, replacement, and disposal.</w:t>
      </w:r>
      <w:r w:rsidRPr="009F74C5">
        <w:rPr>
          <w:rFonts w:ascii="Arial" w:eastAsia="Times New Roman" w:hAnsi="Arial" w:cs="Arial"/>
          <w:sz w:val="20"/>
          <w:szCs w:val="20"/>
        </w:rPr>
        <w:t xml:space="preserve"> (i) The employer shall provide the protective clothing and equipment required by paragraph (i)(1) of this section in a clean and dry condition as often as necessary to maintain its effectiveness, but in any event at least weekly. The employer is responsible for cleaning and laundering the protective clothing and equipment required by this paragraph to maintain its effectiveness and is also responsible for disposing of such clothing and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also is responsible for repairing or replacing required protective clothing and equipment as needed to maintain its effectiveness. When rips or tears are detected while an employee is working they shall be immediately mended, or the worksuit shall be immediately replaced.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prohibit the removal of cadmium from protective clothing and equipment by blowing, shaking, or any other means that disperses cadmium into the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assure that any laundering of contaminated clothing or cleaning of contaminated equipment in the workplace is done in a manner that prevents the release of airborne cadmium in excess of the permissible exposure limit prescribed in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employer shall inform any person who launders or cleans protective clothing or equipment contaminated with cadmium of the potentially harmful effects of exposure to cadmium, and that the clothing and equipment should be laundered or cleaned in a manner to effectively prevent the release of airborne cadmium in excess of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Hygiene areas and practices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For employees whose airborne exposure to cadmium is above the PEL, the employer shall provide clean change rooms, handwashing facilities, showers, and lunchroom facilities that comply with 29 CFR 1926.51.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Change rooms.</w:t>
      </w:r>
      <w:r w:rsidRPr="009F74C5">
        <w:rPr>
          <w:rFonts w:ascii="Arial" w:eastAsia="Times New Roman" w:hAnsi="Arial" w:cs="Arial"/>
          <w:sz w:val="20"/>
          <w:szCs w:val="20"/>
        </w:rPr>
        <w:t xml:space="preserve"> The employer shall assure that change rooms are equipped with separate storage facilities for street clothes and for protective clothing and equipment, which are designed to prevent dispersion of cadmium and contamination of the employee's street clothes.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Showers and handwashing facilities.</w:t>
      </w:r>
      <w:r w:rsidRPr="009F74C5">
        <w:rPr>
          <w:rFonts w:ascii="Arial" w:eastAsia="Times New Roman" w:hAnsi="Arial" w:cs="Arial"/>
          <w:sz w:val="20"/>
          <w:szCs w:val="20"/>
        </w:rPr>
        <w:t xml:space="preserve"> (i) The employer shall assure that employees whose airborne exposure to cadmium is above the PEL shower during the end of the work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assure that employees who are exposed to cadmium above the PEL wash their hands and faces prior to eating, drinking, smoking, chewing tobacco or gum, or applying cosmetics.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Lunchroom facilities.</w:t>
      </w:r>
      <w:r w:rsidRPr="009F74C5">
        <w:rPr>
          <w:rFonts w:ascii="Arial" w:eastAsia="Times New Roman" w:hAnsi="Arial" w:cs="Arial"/>
          <w:sz w:val="20"/>
          <w:szCs w:val="20"/>
        </w:rPr>
        <w:t xml:space="preserve"> (i) The employer shall assure that the lunchroom facilities are readily accessible to employees, that tables for eating are maintained free of cadmium, and that no employee in a lunchroom facility is exposed at any time to cadmium at or above a concentration of 2.5 µg/m</w:t>
      </w:r>
      <w:r w:rsidRPr="009F74C5">
        <w:rPr>
          <w:rFonts w:ascii="Arial" w:eastAsia="Times New Roman" w:hAnsi="Arial" w:cs="Arial"/>
          <w:sz w:val="14"/>
          <w:szCs w:val="14"/>
          <w:vertAlign w:val="superscript"/>
        </w:rPr>
        <w:t>3</w:t>
      </w:r>
      <w:r w:rsidRPr="009F74C5">
        <w:rPr>
          <w:rFonts w:ascii="Arial" w:eastAsia="Times New Roman" w:hAnsi="Arial" w:cs="Arial"/>
          <w:sz w:val="20"/>
          <w:szCs w:val="20"/>
        </w:rPr>
        <w: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employer shall assure that employees do not enter lunchroom facilities with protective work clothing or equipment unless surface cadmium has been removed from the clothing and equipment by HEPA vacuuming or some other method that removes cadmium dust without dispersing 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Housekeeping.</w:t>
      </w:r>
      <w:r w:rsidRPr="009F74C5">
        <w:rPr>
          <w:rFonts w:ascii="Arial" w:eastAsia="Times New Roman" w:hAnsi="Arial" w:cs="Arial"/>
          <w:sz w:val="20"/>
          <w:szCs w:val="20"/>
        </w:rPr>
        <w:t xml:space="preserve"> (1) All surfaces shall be maintained as free as practicable of accumulations of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All spills and sudden releases of material containing cadmium shall be cleaned up as soon as possible.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Surfaces contaminated with cadmium shall, wherever possible, be cleaned by vacuuming or other methods that minimize the likelihood of cadmium becoming airborne.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HEPA-filtered vacuuming equipment or equally effective filtration methods shall be used for vacuuming. The equipment shall be used and emptied in a manner that minimizes the reentry of cadmium into the workplace.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Shoveling, dry or wet sweeping, and brushing may be used only where vacuuming or other methods that minimize the likelihood of cadmium becoming airborne have been tried and found not to be effective.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Compressed air shall not be used to remove cadmium from any surface unless the compressed air is used in conjunction with a ventilation system designed to capture the dust cloud created by the compressed 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Waste, scrap, debris, bags, and containers, personal protective equipment and clothing contaminated with cadmium and consigned for disposal shall be collected and disposed of in sealed impermeable bags or other closed, impermeable containers. These bags and containers shall be labeled in accordance with paragraph (m)(3)(ii)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(l)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Scope</w:t>
      </w:r>
      <w:r w:rsidRPr="009F74C5">
        <w:rPr>
          <w:rFonts w:ascii="Arial" w:eastAsia="Times New Roman" w:hAnsi="Arial" w:cs="Arial"/>
          <w:sz w:val="20"/>
          <w:szCs w:val="20"/>
        </w:rPr>
        <w:t xml:space="preserve">—(A) </w:t>
      </w:r>
      <w:r w:rsidRPr="009F74C5">
        <w:rPr>
          <w:rFonts w:ascii="Arial" w:eastAsia="Times New Roman" w:hAnsi="Arial" w:cs="Arial"/>
          <w:i/>
          <w:iCs/>
          <w:sz w:val="20"/>
          <w:szCs w:val="20"/>
        </w:rPr>
        <w:t>Currently exposed</w:t>
      </w:r>
      <w:r w:rsidRPr="009F74C5">
        <w:rPr>
          <w:rFonts w:ascii="Arial" w:eastAsia="Times New Roman" w:hAnsi="Arial" w:cs="Arial"/>
          <w:sz w:val="20"/>
          <w:szCs w:val="20"/>
        </w:rPr>
        <w:t>—The employer shall institute a medical surveillance program for all employees who are or may be exposed at or above the action level and all employees who perform the following tasks, operations or jobs: Electrical grounding with cadmium welding; cutting, brazing, burning, grinding or welding on surfaces that were painted with cadmium-containing paints; electrical work using cadmium-coated conduit; use of cadmium containing paints; cutting and welding cadmium-plated steel; brazing or welding with cadmium alloys; fusing of reinforced steel by cadmium welding; maintaining or retrofitting cadmium-coated equipment; and, wrecking and demolition where cadmium is present. A medical surveillance program will not be required if the employer demonstrates that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Is not currently exposed by the employer to airborne concentrations of cadmium at or above the action level on 30 or more days per year (twelve consecutive months);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Is not currently exposed by the employer in those tasks on 30 or more days per year (twelve consecutive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Previously exposed—</w:t>
      </w:r>
      <w:r w:rsidRPr="009F74C5">
        <w:rPr>
          <w:rFonts w:ascii="Arial" w:eastAsia="Times New Roman" w:hAnsi="Arial" w:cs="Arial"/>
          <w:sz w:val="20"/>
          <w:szCs w:val="20"/>
        </w:rPr>
        <w:t xml:space="preserve"> The employer shall also institute a medical surveillance program for all employees who might previously have been exposed to cadmium by the employer prior to the effective date of this standard in tasks specified under paragraph (l)(1)(i)(A) of this section, unless the employer demonstrates that the employee did not in the years prior to the effective date of this section work in those tasks for the employer with exposure to cadmium for an aggregated total of more than 12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To determine an employee's fitness for using a respirator, the employer shall provide the limited medical examination specified in paragraph (l)(6)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assure that all medical examinations and procedures required by this section are performed by or under the supervision of a licensed physician, who has read and is familiar with the health effects section of appendix A to this section, the regulatory text of this section, the protocol for sample handling and lab selection in appendix F to this section, and the questionnaire of appendix D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provide the medical surveillance required by this section, including multiple physician review under paragraph (l)(13) of this section without cost to employees, and at a time and place that is reasonable and convenient to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employer shall assure that the collecting and handling of biological samples of cadmium in urine (CdU), cadmium in blood (CdB), and beta-2 microglobulin in urine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taken from employees under this section is done in a manner that assures their reliability and that analysis of biological samples of cadmium in urine (CdU), cadmium in blood (CdB), and beta-2 microglobulin in urine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taken from employees under this section is performed in laboratories with demonstrated proficiency to perform the particular analysis. (See appendix F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Initial Examination.</w:t>
      </w:r>
      <w:r w:rsidRPr="009F74C5">
        <w:rPr>
          <w:rFonts w:ascii="Arial" w:eastAsia="Times New Roman" w:hAnsi="Arial" w:cs="Arial"/>
          <w:sz w:val="20"/>
          <w:szCs w:val="20"/>
        </w:rPr>
        <w:t xml:space="preserve"> (i) For employees covered by medical surveillance under paragraph (l)(1)(i) of this section, the employer shall provide an initial medical examination. The examination shall be provided to those employees within 30 days after initial assignment to a job with exposure to cadmium or no later than 90 days after the effective date of this section, whichever date is later.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initial medical examination shall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detailed medical and work history, with emphasis on: Past, present, and anticipated future exposure to cadmium; any history of renal, cardiovascular, respiratory, hematopoietic, reproductive, and/or musculo-skeletal system dysfunction; current usage of medication with potential nephrotoxic side-effects; and smoking history and current status;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Biological monitoring that includes the following tests: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Cadmium in urine (CdU), standardized to grams of creatinine (g/Cr);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Beta-2 microglobulin in urine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standardized to grams of creatinine (g/Cr), with pH specified, as described in appendix F to this section;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Cadmium in blood (CdB), standardized to liters of whole blood (lwb).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Recent Examination: An initial examination is not required to be provided if adequate records show that the employee has been examined in accordance with the requirements of paragraph (l)(2)(ii) of this section within the past 12 months. In that case, such records shall be maintained as part of the employee's medical record and the prior exam shall be treated as if it were an initial examination for the purposes of paragraphs (l)(3) and (4)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Actions triggered by initial biological monitoring.</w:t>
      </w:r>
      <w:r w:rsidRPr="009F74C5">
        <w:rPr>
          <w:rFonts w:ascii="Arial" w:eastAsia="Times New Roman" w:hAnsi="Arial" w:cs="Arial"/>
          <w:sz w:val="20"/>
          <w:szCs w:val="20"/>
        </w:rPr>
        <w:t xml:space="preserve"> (i) If the results of the biological monitoring tests in the initial examination show the employee's CdU level to be at or below 3 µg/g Cr,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 to be at or below 300 µg/g Cr and CdB level to be at or below 5 µg/lwb, then: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For employees who are subject to medical surveillance under paragraphs (l)(1)(i)(A) of this section because of current or anticipated exposure to cadmium, the employer shall provide the minimum </w:t>
      </w:r>
      <w:r w:rsidRPr="009F74C5">
        <w:rPr>
          <w:rFonts w:ascii="Arial" w:eastAsia="Times New Roman" w:hAnsi="Arial" w:cs="Arial"/>
          <w:sz w:val="20"/>
          <w:szCs w:val="20"/>
        </w:rPr>
        <w:lastRenderedPageBreak/>
        <w:t>level of periodic medical surveillance in accordance with the requirements in paragraph (l)(4)(i) of this section;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For employees who are subject to medical surveillance under paragraph (l)(1)(i)(B) of this section because of prior but not current exposure, the employer shall provide biological monitoring for CdU, B</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and CdB one year after the initial biological monitoring and then the employer shall comply with the requirements of paragraph (l)(4)(vi)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all employees who are subject to medical surveillance under paragraph (l)(1)(i) of this section, if the results of the initial biological monitoring tests show the level of CdU to exceed 3 µg/g Cr, the level of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to be in excess of 300 µg/g Cr, or the level of CdB to be in excess of 5 µg/lwb, the employer shall: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Within two weeks after receipt of biological monitoring results, reassess the employee's occupational exposure to cadmium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Reassess the employee's work practices and personal hygiene;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Reevaluate the employee's respirator use, if any, and the respirator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Review the hygiene facilities;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4</w:t>
      </w:r>
      <w:r w:rsidRPr="009F74C5">
        <w:rPr>
          <w:rFonts w:ascii="Arial" w:eastAsia="Times New Roman" w:hAnsi="Arial" w:cs="Arial"/>
          <w:sz w:val="20"/>
          <w:szCs w:val="20"/>
        </w:rPr>
        <w:t>) Reevaluate the maintenance and effectiveness of the relevant engineering controls;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5</w:t>
      </w:r>
      <w:r w:rsidRPr="009F74C5">
        <w:rPr>
          <w:rFonts w:ascii="Arial" w:eastAsia="Times New Roman" w:hAnsi="Arial" w:cs="Arial"/>
          <w:sz w:val="20"/>
          <w:szCs w:val="20"/>
        </w:rPr>
        <w:t>) Assess the employee's smoking history and status;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Within 30 days after the exposure reassessment, specified in paragraph (l)(3)(ii)(A) of this section, take reasonable steps to correct any deficiencies found in the reassessment that may be responsible for the employee's excess exposure to cadmium;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Within 90 days after receipt of biological monitoring results, provide a full medical examination to the employee in accordance with the requirements of paragraph (l)(4)(ii) of this section. After completing the medical examination, the examining physician shall determine in a written medical opinion whether to medically remove the employee. If the physician determines that medical removal is not necessary, then until the employee's CdU level falls to or below 3 µg/g Cr,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 falls to or below 300 µg/g Cr and CdB level falls to or below 5 µg/lwb, the employer shall: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Provide biological monitoring in accordance with paragraph (l)(2)(ii)(B) of this section on a semiannual basis;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Provide annual medical examinations in accordance with paragraph (l)(4)(ii)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all employees who are subject to medical surveillance under paragraph (l)(1)(i) of this section, if the results of the initial biological monitoring tests show the level of CdU to be in excess of 15 µg/g Cr, or the level of CdB to be in excess of 15 µg/lwb, or the level of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to be in excess of 1,500 µg/g Cr,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15 µg/g Cr; or CdB exceeds 15 µg/lwb; or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-M exceeds 1500 µg/g Cr, and in addition CdU exceeds 3 µg/g Cr or CdB exceeds 5 µg/liter of whole blood, then the physician shall medically remove </w:t>
      </w:r>
      <w:r w:rsidRPr="009F74C5">
        <w:rPr>
          <w:rFonts w:ascii="Arial" w:eastAsia="Times New Roman" w:hAnsi="Arial" w:cs="Arial"/>
          <w:sz w:val="20"/>
          <w:szCs w:val="20"/>
        </w:rPr>
        <w:lastRenderedPageBreak/>
        <w:t>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 falls to or below 300 µg/g Cr and CdB level falls to or below 5 µg/lwb, the employer shall: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Periodically reassess the employee's occupational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biological monitoring in accordance with paragraph (l)(2)(ii)(B) of this section on a quarterly basis;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Provide semiannual medical examinations in accordance with paragraph (l)(4)(ii)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For all employees to whom medical surveillance is provided, beginning on January 1, 1999, and in lieu of paragraph (l)(3)(iii) of this section, whenever the results of initial biological monitoring tests show the employee's CdU level to be in excess of 7 µg/g Cr, or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 to be in excess of 750 µg/g Cr, or CdB level to be in excess of 10 µg/lwb,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7 µg/g Cr; or CdB exceeds 10 µg/lwb; or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exceeds 750 µg/g Cr, and in addition CdU exceeds 3 µg/g Cr or CdB exceeds 5 µg/liter of whole blood, then the physician shall medically remove 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 falls to or below 300 µg/g Cr and CdB level falls to or below 5 µg/lwb, the employer shall: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Periodically reassess the employee's occupational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biological monitoring in accordance with paragraph (l)(2)(ii)(B) of this section on a quarterly basis;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Provide semiannual medical examinations in accordance with paragraph (l)(4)(ii)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Periodic medical surveillance.</w:t>
      </w:r>
      <w:r w:rsidRPr="009F74C5">
        <w:rPr>
          <w:rFonts w:ascii="Arial" w:eastAsia="Times New Roman" w:hAnsi="Arial" w:cs="Arial"/>
          <w:sz w:val="20"/>
          <w:szCs w:val="20"/>
        </w:rPr>
        <w:t xml:space="preserve"> (i) For each employee who is covered by medical surveillance under paragraph (l)(1)(i)(A) of this section because of current or anticipated exposure to cadmium, the employer shall provide at least the minimum level of periodic medical surveillance, which consists of periodic medical examinations and periodic biological monitoring. A periodic medical examination shall be provided within one year after the initial examination required by paragraph (l)(2) of this section and thereafter at least biennially. Biological sampling shall be provided at least annually either as part of a periodic medical examination or separately as periodic biological monitoring.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periodic medical examination shall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A detailed medical and work history, or update thereof, with emphasis on: Past, present and anticipated future exposure to cadmium; smoking history and current status; reproductive history; current use of medications with potential nephrotoxic side-effects; any history of renal, cardiovascular, </w:t>
      </w:r>
      <w:r w:rsidRPr="009F74C5">
        <w:rPr>
          <w:rFonts w:ascii="Arial" w:eastAsia="Times New Roman" w:hAnsi="Arial" w:cs="Arial"/>
          <w:sz w:val="20"/>
          <w:szCs w:val="20"/>
        </w:rPr>
        <w:lastRenderedPageBreak/>
        <w:t>respiratory, hematopoietic, and/or musculo-skeletal system dysfunction; and as part of the medical and work history, for employees who wear respirators, questions 3-11 and 25-32 in appendix D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complete physical examination with emphasis on: blood pressure, the respiratory system, and the urinary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14 inch by 17 inch, or a reasonably standard sized posterior-anterior chest X-ray (after the initial X-ray, the frequency of chest X-rays is to be determined by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Pulmonary function tests, including forced vital capacity (FVC) and forced expiratory volume at 1 second (FEV1);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Biological monitoring, as required in paragraph (l)(2)(ii)(B)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Blood analysis, in addition to the analysis required under paragraph (l)(2)(ii)(B) of this section, including blood urea nitrogen, complete blood count, and serum creatinine;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Urinalysis, in addition to the analysis required under paragraph (l)(2)(ii)(B) of this section, including the determination of albumin, glucose, and total and low molecular weight proteins;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For males over 40 years old, prostate palpation, or other at least as effective diagnostic test(s),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Any additional tests or procedures deemed appropriate by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Periodic biological monitoring shall be provided in accordance with paragraph (l)(2)(ii)(B)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If the results of periodic biological monitoring or the results of biological monitoring performed as part of the periodic medical examination show the level of the employee's CdU,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or CdB to be in excess of the levels specified in paragraphs (l)(3)(ii) or (iii) of this section; or beginning on January 1, 1999, in excess of the levels specified in paragraphs (l)(3)(ii) or (iv), the employer shall take the appropriate actions specified in paragraphs (l)(3)(ii)-(iv) of this section, respectively.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For previously exposed employees under paragraph (l)(1)(i)(B)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If the employee's levels of CdU did not exceed 3 µg/g Cr, CdB did not exceed 5 µg/lwb, and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did not exceed 300 µg/g Cr in the initial biological monitoring tests, and if the results of the followup biological monitoring required by paragraph (l)(3)(i)(B) of this section one year after the initial examination confirm the previous results, the employer may discontinue all periodic medical surveillance for that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the initial biological monitoring results for CdU, CdB, or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were in excess of the levels specified in paragraph (l)(3)(i) of this section, but subsequent biological monitoring results required by paragraph (l)(3)(ii)-(iv) of this section show that the employee's CdU levels no longer exceed 3 µg/g Cr, CdB levels no longer exceed 5 µg/lwb, and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levels no longer exceed 300 µg/g Cr, the employer shall provide biological monitoring for CdU, CdB, and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one year after these most recent biological monitoring results. If the results of the followup biological monitoring specified in this paragraph, confirm the previous results, the employer may discontinue all periodic medical surveillance for that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However, if the results of the follow-up tests specified in paragraph (l)(4)(v)(A) or (B) of this section indicate that the level of the employee's CdU,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-M, or CdB exceeds these same levels, the employer is required to provide annual medical examinations in accordance with the provisions of </w:t>
      </w:r>
      <w:r w:rsidRPr="009F74C5">
        <w:rPr>
          <w:rFonts w:ascii="Arial" w:eastAsia="Times New Roman" w:hAnsi="Arial" w:cs="Arial"/>
          <w:sz w:val="20"/>
          <w:szCs w:val="20"/>
        </w:rPr>
        <w:lastRenderedPageBreak/>
        <w:t>paragraph (l)(4)(ii) of this section until the results of biological monitoring are consistently below these levels or the examining physician determines in a written medical opinion that further medical surveillance is not required to protect the employee's health.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A routine, biennial medical examination is not required to be provided in accordance with paragraphs (l)(3)(i) and (l)(4) of this section if adequate medical records show that the employee has been examined in accordance with the requirements of paragraph (l)(4)(ii) of this section within the past 12 months. In that case, such records shall be maintained by the employer as part of the employee's medical record, and the next routine, periodic medical examination shall be made available to the employee within two years of the previous examination.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Actions triggered by medical examinations.</w:t>
      </w:r>
      <w:r w:rsidRPr="009F74C5">
        <w:rPr>
          <w:rFonts w:ascii="Arial" w:eastAsia="Times New Roman" w:hAnsi="Arial" w:cs="Arial"/>
          <w:sz w:val="20"/>
          <w:szCs w:val="20"/>
        </w:rPr>
        <w:t xml:space="preserve"> (i) If the results of a medical examination carried out in accordance with this section indicate any laboratory or clinical finding consistent with cadmium toxicity that does not require employer action under paragraphs (l)(2), (3) or (4) of this section, the employer shall take the following steps and continue to take them until the physician determines that they are no longer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Periodically reassess: The employee's work practices and personal hygiene; the employee's respirator use, if any; the employee's smoking history and status; the respiratory protection program; the hygiene facilities; the maintenance and effectiveness of the relevant engineering controls; and take all reasonable steps to correct the deficiencies found in the reassessment that may be responsible for the employee's excess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semi-annual medical reexaminations to evaluate the abnormal clinical sign(s) of cadmium toxicity until the results are normal or the employee is medically removed;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Where the results of tests for total proteins in urine are abnormal, provide a more detailed medical evaluation of the toxic effects of cadmium on the employee's renal system.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Examination for respirator use.</w:t>
      </w:r>
      <w:r w:rsidRPr="009F74C5">
        <w:rPr>
          <w:rFonts w:ascii="Arial" w:eastAsia="Times New Roman" w:hAnsi="Arial" w:cs="Arial"/>
          <w:sz w:val="20"/>
          <w:szCs w:val="20"/>
        </w:rPr>
        <w:t xml:space="preserve"> (i) To determine an employee's fitness for respirator use, the employer shall provide a medical examination that includes the elements specified in paragraph (l)(6)(i)(A)-(D) of this section. This examination shall be provided prior to the employee's being assigned to a job that requires the use of a respirator or no later than 90 days after this section goes into effect, whichever date is later, to any employee without a medical examination within the preceding 12 months that satisfies the requirements of this paragraph.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detailed medical and work history, or update thereof, with emphasis on: past exposure to cadmium; smoking history and current status; any history of renal, cardiovascular, respiratory, hematopoietic, and/or musculo-skeletal system dysfunction; a description of the job for which the respirator is required; and questions 3-11 and 25-32 in appendix 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blood pressure test;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Biological monitoring of the employee's levels of CdU, CdB and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in accordance with the requirements of paragraph (l)(2)(ii)(B) of this section, unless such results already have been obtained within the twelve months;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Any other test or precedure that the examining physician deems appropriate.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After reviewing all the information obtained from the medical examination required in paragraph (l)(6)(i) of this section, the physician shall determine whether the employee is fit to wear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Whenever an employee has exhibited difficulty in breathing during a respirator fit test or during use of a respirator, the employer, as soon as possible, shall provide the employee with a periodic medical examination in accordance with paragraph (l)(4)(ii) of this section to determine the employee's fitness to wear a respirator.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Where the results of the examination required under paragraphs (l)(6)(i), (ii), or (iii) of this section are abnormal, medical limitation or prohibition of respirator use shall be considered. If the employee is allowed to wear a respirator, the employee's ability to continue to do so shall be periodically evaluated by a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Emergency Examinations.</w:t>
      </w:r>
      <w:r w:rsidRPr="009F74C5">
        <w:rPr>
          <w:rFonts w:ascii="Arial" w:eastAsia="Times New Roman" w:hAnsi="Arial" w:cs="Arial"/>
          <w:sz w:val="20"/>
          <w:szCs w:val="20"/>
        </w:rPr>
        <w:t xml:space="preserve"> (i) In addition to the medical surveillance required in paragraphs (l)(2)-(6) of this section, the employer shall provide a medical examination as soon as possible to any employee who may have been acutely exposed to cadmium because of an emergency.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examination shall include the requirements of paragraph (l)(4)(ii), of this section, with emphasis on the respiratory system, other organ systems considered appropriate by the examining physician, and symptoms of acute overexposure, as identified in paragraphs II(B)(1)-(2) and IV of appendix A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Termination of employment examination.</w:t>
      </w:r>
      <w:r w:rsidRPr="009F74C5">
        <w:rPr>
          <w:rFonts w:ascii="Arial" w:eastAsia="Times New Roman" w:hAnsi="Arial" w:cs="Arial"/>
          <w:sz w:val="20"/>
          <w:szCs w:val="20"/>
        </w:rPr>
        <w:t xml:space="preserve"> (i) At termination of employment, the employer shall provide a medical examination in accordance with paragraph (l)(4)(ii) of this section, including a chest X-ray where necessary, to any employee to whom at any prior time the employer was required to provide medical surveillance under paragraph (l)(1)(i) or (l)(7) of this section. However, if the last examination satisfied the requirements of paragraph (l)(4)(ii) of this section and was less than six months prior to the date of termination, no further examination is required unless otherwise specified in paragraph (l)(3) or (l)(5)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In addition, if the employer has discontinued all periodic medical surveillance under paragraph (l)(4)(v) of this section, no termination of employment medical examination is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Information provided to the physician.</w:t>
      </w:r>
      <w:r w:rsidRPr="009F74C5">
        <w:rPr>
          <w:rFonts w:ascii="Arial" w:eastAsia="Times New Roman" w:hAnsi="Arial" w:cs="Arial"/>
          <w:sz w:val="20"/>
          <w:szCs w:val="20"/>
        </w:rPr>
        <w:t xml:space="preserve"> The employer shall provide the following information to the examining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copy of this standard and appendices;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description of the affected employee's former, current, and anticipated duties as they relate to the employee's occupational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employee's former, current, and anticipated future levels of occupational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description of any personal protective equipment, including respirators, used or to be used by the employee, including when and for how long the employee has used that equipment;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Relevant results of previous biological monitoring and medical examinations.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Physician's written medical opinion.</w:t>
      </w:r>
      <w:r w:rsidRPr="009F74C5">
        <w:rPr>
          <w:rFonts w:ascii="Arial" w:eastAsia="Times New Roman" w:hAnsi="Arial" w:cs="Arial"/>
          <w:sz w:val="20"/>
          <w:szCs w:val="20"/>
        </w:rPr>
        <w:t xml:space="preserve"> (i) The employer shall promptly obtain a written, medical opinion from the examining physician for each medical examination performed on each employee. This written opinion shall contain: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physician's diagnosis for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The physician's opinion as to whether the employee has any detected medical condition(s) that would place the employee at increased risk of material impairment to health from further exposure to cadmium, including any indications of potential cadmium toxicity;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results of any biological or other testing or related evaluations that directly assess the employee's absorption of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Any recommended removal from, or limitation on the activities or duties of the employee or on the employee's use of personal protective equipment, such as respirators;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statement that the physician has clearly and carefully explained to the employee the results of the medical examination, including all biological monitoring results and any medical conditions related to cadmium exposure that require further evaluation or treatment, and any limitation on the employee's diet or use of medications.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promptly obtain a copy of the results of any biological monitoring provided by an employer to an employee independently of a medical examination under paragraphs (l)(2) and (l)(4) of this section, and, in lieu of a written medical opinion, an explanation sheet explaining those results.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instruct the physician not to reveal orally or in the written medical opinion given to the employer specific findings or diagnoses unrelated to occupational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Medical Removal Protection (MRP)</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General.</w:t>
      </w:r>
      <w:r w:rsidRPr="009F74C5">
        <w:rPr>
          <w:rFonts w:ascii="Arial" w:eastAsia="Times New Roman" w:hAnsi="Arial" w:cs="Arial"/>
          <w:sz w:val="20"/>
          <w:szCs w:val="20"/>
        </w:rPr>
        <w:t xml:space="preserve"> (A) The employer shall temporarily remove an employee from work where there is excess exposure to cadmium on each occasion that medical removal is required under paragraphs (l)(3), (l)(4), or (l)(6) of this section and on each occasion that a physician determines in a written medical opinion that the employee should be removed from such exposure. The physician's determination may be based on biological monitoring results, inability to wear a respirator, evidence of illness, other signs or symptoms of cadmium-related dysfunction or disease, or any other reason deemed medically sufficient by the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employer shall medically remove an employee in accordance with paragraph (l)(11) of this section regardless of whether at the time of removal a job is available into which the removed employee may be transferred.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Whenever an employee is medically removed under paragraph (l)(11) of this section, the employer shall transfer the removed employee to a job where the exposure to cadmium is within the permissible levels specified in that paragraph as soon as one becomes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For any employee who is medically removed under the provisions of paragraph (l)(11)(i) of this section, the employer shall provide follow-up medical examinations semi-annually until, in a written medical opinion, the examining physician determines that either the employee may be returned to his/her former job status or the employee must be permanently removed from excess cadmium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employer may not return an employee who has been medically removed for any reason to his/her former job status until a physician determines in a written medical opinion that continued medical removal is no longer necessary to protect the employee's health.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an employee is found unfit to wear a respirator under paragraph (l)(6)(ii) of this section, the employer shall remove the employee from work where exposure to cadmium is above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removal is based upon any reason other than the employee's inability to wear a respirator, the employer shall remove the employee from work where exposure to cadmium is at or above the action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Except as specified in paragraph (l)(11)(v) of this section, no employee who was removed because his/her level of CdU, CdB and/or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exceeded the trigger levels in paragraph (l)(3) or (l)(4) of this section may be returned to work with exposure to cadmium at or above the action level until the employee's levels of CdU fall to or below 3 µg/g Cr, CdB fall to or below 5 µg/lwb, and β</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-M fall to or below 300 µg/g Cr.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However, when in the examining physician's opinion continued exposure to cadmium will not pose an increased risk to the employee's health and there are special circumstances that make continued medical removal an inappropriate remedy, the physician shall fully discuss these matters with the employee, and then in a written determination may return a worker to his/her former job status despite what would otherwise be unacceptably high biological monitoring results. Thereafter and until such time as the employee's biological monitoring results have decreased to levels where he/she could have been returned to his/her former job status, the returned employee shall continue medical surveillance as if he/she were still on medical removal. Until such time, the employee is no longer subject to mandatory medical removal. Subsequent questions regarding the employee's medical removal shall be decided solely by a final medical determination.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Where an employer, although not required by this section to do so, removes an employee from exposure to cadmium or otherwise places limitations on an employee due to the effects of cadmium exposure on the employee's medical condition, the employer shall provide the same medical removal protection benefits to that employee under paragraph (l)(12) of this section as would have been provided had the removal been required under paragraph (l)(11)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Medical removal protection benefits.</w:t>
      </w:r>
      <w:r w:rsidRPr="009F74C5">
        <w:rPr>
          <w:rFonts w:ascii="Arial" w:eastAsia="Times New Roman" w:hAnsi="Arial" w:cs="Arial"/>
          <w:sz w:val="20"/>
          <w:szCs w:val="20"/>
        </w:rPr>
        <w:t xml:space="preserve"> (i) The employer shall provide medical removal protection benefits to an employee for up to a maximum of 18 months each time, and while the employee is temporarily medically removed under paragraph (l)(11)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purposes of this section, the requirement that the employer provide medical removal protection benefits means that the employer shall maintain the total normal earnings, seniority, and all other employee rights and benefits of the removed employee, including the employee's right to his/her former job status, as if the employee had not been removed from the employee's job or otherwise medically limited.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after 18 months on medical removal because of elevated biological monitoring results, the employee's monitoring results have not declined to a low enough level to permit the employee to be returned to his/her former job status: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shall make available to the employee a medical examination pursuant to this section in order to obtain a final medical determination as to whether the employee may be returned to his/her former job status or must be permanently removed from excess cadmium exposure;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employer shall assure that the final medical determination indicates whether the employee may be returned to his/her former job status and what steps, if any, should be taken to protect the employee's health;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may condition the provision of medical removal protection benefits upon the employee's participation in medical surveillance provided in accordance with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(13) </w:t>
      </w:r>
      <w:r w:rsidRPr="009F74C5">
        <w:rPr>
          <w:rFonts w:ascii="Arial" w:eastAsia="Times New Roman" w:hAnsi="Arial" w:cs="Arial"/>
          <w:i/>
          <w:iCs/>
          <w:sz w:val="20"/>
          <w:szCs w:val="20"/>
        </w:rPr>
        <w:t>Multiple physician review.</w:t>
      </w:r>
      <w:r w:rsidRPr="009F74C5">
        <w:rPr>
          <w:rFonts w:ascii="Arial" w:eastAsia="Times New Roman" w:hAnsi="Arial" w:cs="Arial"/>
          <w:sz w:val="20"/>
          <w:szCs w:val="20"/>
        </w:rPr>
        <w:t xml:space="preserve"> (i) If the employer selects the initial physician to conduct any medical examination or consultation provided to an employee under this section, the employee may designate a second physician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Review any findings, determinations, or recommendations of the initial physician;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Conduct such examinations, consultations, and laboratory tests as the second physician deems necessary to facilitate this review.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promptly notify an employee of the right to seek a second medical opinion after each occasion that an initial physician provided by the employer conducts a medical examination or consultation pursuant to this section. The employer may condition its participation in, and payment for, multiple physician review upon the employee doing the following within fifteen (15) days after receipt of this notice, or receipt of the initial physician's written opinion, whichever is later: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Informing the employer that he or she intends to seek a medical opinion;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Initiating steps to make an appointment with a second physician.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the findings, determinations, or recommendations of the second physician differ from those of the initial physician, then the employer and the employee shall assure that efforts are made for the two physicians to resolve any disagreement.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If the two physicians have been unable to quickly resolve their disagreement, then the employer and the employee, through their respective physicians, shall designate a third physician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Review any findings, determinations, or recommendations of the other two physicians;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Conduct such examinations, consultations, laboratory tests, and discussions with the other two physicians as the third physician deems necessary to resolve the disagreement among them.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employer shall act consistently with the findings, determinations, and recommendations of the third physician, unless the employer and the employee reach an agreement that is consistent with the recommendations of at least one of the other two physicians.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(14) </w:t>
      </w:r>
      <w:r w:rsidRPr="009F74C5">
        <w:rPr>
          <w:rFonts w:ascii="Arial" w:eastAsia="Times New Roman" w:hAnsi="Arial" w:cs="Arial"/>
          <w:i/>
          <w:iCs/>
          <w:sz w:val="20"/>
          <w:szCs w:val="20"/>
        </w:rPr>
        <w:t>Alternate physician determination.</w:t>
      </w:r>
      <w:r w:rsidRPr="009F74C5">
        <w:rPr>
          <w:rFonts w:ascii="Arial" w:eastAsia="Times New Roman" w:hAnsi="Arial" w:cs="Arial"/>
          <w:sz w:val="20"/>
          <w:szCs w:val="20"/>
        </w:rPr>
        <w:t xml:space="preserve"> The employer and an employee or designated employee representative may agree upon the use of any alternate form of physician determination in lieu of the multiple physician review provided by paragraph (l)(13) of this section, so long as the alternative is expeditious and at least as protective of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(15) </w:t>
      </w:r>
      <w:r w:rsidRPr="009F74C5">
        <w:rPr>
          <w:rFonts w:ascii="Arial" w:eastAsia="Times New Roman" w:hAnsi="Arial" w:cs="Arial"/>
          <w:i/>
          <w:iCs/>
          <w:sz w:val="20"/>
          <w:szCs w:val="20"/>
        </w:rPr>
        <w:t>Information the employer must provide the employee.</w:t>
      </w:r>
      <w:r w:rsidRPr="009F74C5">
        <w:rPr>
          <w:rFonts w:ascii="Arial" w:eastAsia="Times New Roman" w:hAnsi="Arial" w:cs="Arial"/>
          <w:sz w:val="20"/>
          <w:szCs w:val="20"/>
        </w:rPr>
        <w:t xml:space="preserve"> (i) The employer shall provide a copy of the physician's written medical opinion to the examined employee within five working days after receipt thereof.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provide the employee with a copy of the employee's biological monitoring results and an explanation sheet explaining the results within five working days after receipt thereof.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Within 30 days after a request by an employee, the employer shall provide the employee with the information the employer is required to provide the examining physician under paragraph (l)(9)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(16) </w:t>
      </w:r>
      <w:r w:rsidRPr="009F74C5">
        <w:rPr>
          <w:rFonts w:ascii="Arial" w:eastAsia="Times New Roman" w:hAnsi="Arial" w:cs="Arial"/>
          <w:i/>
          <w:iCs/>
          <w:sz w:val="20"/>
          <w:szCs w:val="20"/>
        </w:rPr>
        <w:t>Reporting.</w:t>
      </w:r>
      <w:r w:rsidRPr="009F74C5">
        <w:rPr>
          <w:rFonts w:ascii="Arial" w:eastAsia="Times New Roman" w:hAnsi="Arial" w:cs="Arial"/>
          <w:sz w:val="20"/>
          <w:szCs w:val="20"/>
        </w:rPr>
        <w:t xml:space="preserve"> In addition to other medical events that are required to be reported on the OSHA Form No. 200, the employer shall report any abnormal condition or disorder caused by occupational exposure to cadmium associated with employment as specified in Chapter (V)(E) of the </w:t>
      </w:r>
      <w:r w:rsidRPr="009F74C5">
        <w:rPr>
          <w:rFonts w:ascii="Arial" w:eastAsia="Times New Roman" w:hAnsi="Arial" w:cs="Arial"/>
          <w:i/>
          <w:iCs/>
          <w:sz w:val="20"/>
          <w:szCs w:val="20"/>
        </w:rPr>
        <w:t>Reporting Guidelines for Occupational Injuries and Illnesses.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Communication of cadmium hazards to employees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Hazard communication.</w:t>
      </w:r>
      <w:r w:rsidRPr="009F74C5">
        <w:rPr>
          <w:rFonts w:ascii="Arial" w:eastAsia="Times New Roman" w:hAnsi="Arial" w:cs="Arial"/>
          <w:sz w:val="20"/>
          <w:szCs w:val="20"/>
        </w:rPr>
        <w:t xml:space="preserve"> The employer shall include cadmium in the program established to comply with the Hazard Communication Standard (HCS) (§1910.1200). The employer shall ensure that each employee has access to labels on containers </w:t>
      </w:r>
      <w:r w:rsidRPr="009F74C5">
        <w:rPr>
          <w:rFonts w:ascii="Arial" w:eastAsia="Times New Roman" w:hAnsi="Arial" w:cs="Arial"/>
          <w:sz w:val="20"/>
          <w:szCs w:val="20"/>
        </w:rPr>
        <w:lastRenderedPageBreak/>
        <w:t>of cadmium and safety data sheets, and is trained in accordance with the provisions of HCS and paragraph (m)(4) of this section. The employer shall provide information on at least the following hazards: Cancer; lung effects; kidney effects; and acute toxicity effects.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Warning signs.</w:t>
      </w:r>
      <w:r w:rsidRPr="009F74C5">
        <w:rPr>
          <w:rFonts w:ascii="Arial" w:eastAsia="Times New Roman" w:hAnsi="Arial" w:cs="Arial"/>
          <w:sz w:val="20"/>
          <w:szCs w:val="20"/>
        </w:rPr>
        <w:t xml:space="preserve"> (i) Warning signs shall be provided and displayed in regulated areas. In addition, warning signs shall be posted at all approaches to regulated areas so that an employee may read the signs and take necessary protective steps before entering the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Warning signs required by paragraph (m)(2)(i) of this section shall bear the following legend:</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DANGER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CADMIUM</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MAY CAUSE CANCER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CAUSES DAMAGE TO LUNGS AND KIDNEYS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WEAR RESPIRATORY PROTECTION IN THIS AREA</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AUTHORIZED PERSONNEL ONLY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ensure that signs required by this paragraph (m)(2) are illuminated, cleaned, and maintained as necessary so that the legend is readily visible.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Prior to June 1, 2016, employers may use the following legend in lieu of that specified in paragraph (m)(2)(ii) of this section: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DANGER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CADMIUM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CANCER HAZARD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CAN CAUSE LUNG AND KIDNEY DISEASE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AUTHORIZED PERSONNEL ONLY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RESPIRATORS REQUIRED IN THIS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Warning labels.</w:t>
      </w:r>
      <w:r w:rsidRPr="009F74C5">
        <w:rPr>
          <w:rFonts w:ascii="Arial" w:eastAsia="Times New Roman" w:hAnsi="Arial" w:cs="Arial"/>
          <w:sz w:val="20"/>
          <w:szCs w:val="20"/>
        </w:rPr>
        <w:t xml:space="preserve"> (i) Shipping and storage containers containing cadmium or cadmium compounds shall bear appropriate warning labels, as specified in paragraph (m)(1)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warning labels for containers of cadmium-contaminated protective clothing, equipment, waste, scrap, or debris shall include at least the following information: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DANGER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CONTAINS CADMIUM</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MAY CAUSE CANCER</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CAUSES DAMAGE TO LUNGS AND KIDNEYS</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AVOID CREATING DUST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Where feasible, installed cadmium products shall have a visible label or other indication that cadmium is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Prior to June 1, 2015, employers may include the following information on shipping and storage containers containing cadmium, cadmium compounds, or cadmium-contaminated clothing, equipment, waste, scrap, or debris in lieu of the labeling requirements specified in paragraphs (m)(3)(i) and (m)(3)(ii) of this section:</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DANGER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CONTAINS CADMIUM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CANCER HAZARD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 xml:space="preserve">AVOID CREATING DUST </w:t>
      </w:r>
    </w:p>
    <w:p w:rsidR="00D70103" w:rsidRPr="009F74C5" w:rsidRDefault="00D70103" w:rsidP="00E16569">
      <w:pPr>
        <w:spacing w:before="200" w:after="100" w:line="240" w:lineRule="auto"/>
        <w:ind w:left="480" w:hanging="480"/>
        <w:rPr>
          <w:rFonts w:ascii="Arial" w:eastAsia="Times New Roman" w:hAnsi="Arial" w:cs="Arial"/>
          <w:sz w:val="18"/>
          <w:szCs w:val="18"/>
        </w:rPr>
      </w:pPr>
      <w:r w:rsidRPr="009F74C5">
        <w:rPr>
          <w:rFonts w:ascii="Arial" w:eastAsia="Times New Roman" w:hAnsi="Arial" w:cs="Arial"/>
          <w:sz w:val="18"/>
          <w:szCs w:val="18"/>
        </w:rPr>
        <w:t>CAN CAUSE LUNG AND KIDNEY DISEASE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Employee information and training.</w:t>
      </w:r>
      <w:r w:rsidRPr="009F74C5">
        <w:rPr>
          <w:rFonts w:ascii="Arial" w:eastAsia="Times New Roman" w:hAnsi="Arial" w:cs="Arial"/>
          <w:sz w:val="20"/>
          <w:szCs w:val="20"/>
        </w:rPr>
        <w:t xml:space="preserve"> (i) The employer shall train each employee who is potentially exposed to cadmium in accordance with the requirements of this section. The employer shall institute a training program, ensure employee participation in the program, and maintain a record of the contents of the training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Training shall be provided prior to or at the time of initial assignment to a job involving potential exposure to cadmium and at least annually thereafter.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make the training program understandable to the employee and shall assure that each employee is informed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health hazards associated with cadmium exposure, with special attention to the information incorporated in appendix A to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quantity, location, manner of use, release, and storage of cadmium in the workplace and the specific nature of operations that could result in exposure to cadmium, especially exposures above the PEL;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engineering controls and work practices associated with the employee's job assignment;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measures employees can take to protect themselves from exposure to cadmium, including modification of such habits as smoking and personal hygiene, and specific procedures the employer has implemented to protect employees from exposure to cadmium such as appropriate work practices, emergency procedures, and the provision of personal protective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purpose, proper selection, fitting, proper use, and limitations of respirators and protective clothing;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purpose and a description of the medical surveillance program required by paragraph (l)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The contents of this section and its appendices,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The employee's rights of access to records under §1926.33(g) (1) and (2).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Additional access to information and training program and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(A) The employer shall make a copy of this section and its appendices readily available to all affected employees and shall provide a copy without cost if requested.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Upon request, the employer shall provide to the Assistant Secretary or the Director all materials relating to the employee information and the training program.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Multi-employer workplace.</w:t>
      </w:r>
      <w:r w:rsidRPr="009F74C5">
        <w:rPr>
          <w:rFonts w:ascii="Arial" w:eastAsia="Times New Roman" w:hAnsi="Arial" w:cs="Arial"/>
          <w:sz w:val="20"/>
          <w:szCs w:val="20"/>
        </w:rPr>
        <w:t xml:space="preserve"> In a multi-employer workplace, an employer who produces, uses, or stores cadmium in a manner that may expose employees of other employers to cadmium shall notify those employers of the potential hazard in accordance with paragraph (e) of the hazard communication standard for construction, 29 CFR 1926.59.</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Recordkeeping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Exposure monitoring.</w:t>
      </w:r>
      <w:r w:rsidRPr="009F74C5">
        <w:rPr>
          <w:rFonts w:ascii="Arial" w:eastAsia="Times New Roman" w:hAnsi="Arial" w:cs="Arial"/>
          <w:sz w:val="20"/>
          <w:szCs w:val="20"/>
        </w:rPr>
        <w:t xml:space="preserve"> (i) The employer shall establish and keep an accurate record of all air monitoring for cadmium in the workplace.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This record shall include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monitoring date, shift, duration, air volume, and results in terms of an 8-hour TWA of each sample taken, and if cadmium is not detected, the detection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name, social security number, and job classification of all employees monitored and of all other employees whose exposures the monitoring result is intended to represent, including, where applicable, a description of how it was determined that the employee's monitoring result could be taken to represent other employee's exposures;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description of the sampling and analytical methods used and evidence of their accuracy;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type of respiratory protective device, if any, worn by the monitored employee and by any other employee whose exposure the monitoring result is intended to represent;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notation of any other conditions that might have affected the monitoring results.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Any exposure monitoring or objective data that were used and the levels.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maintain this record for at least thirty (30) years, in accordance with §1926.33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shall also provide a copy of the results of an employee's air monitoring prescribed in paragraph (d) of this section to an industry trade association and to the employee's union, if any, or, if either of such associations or unions do not exist, to another comparable organization that is competent to maintain such records and is reasonably accessible to employers and employees in the industry.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Objective data for exemption from requirement for initial monitoring.</w:t>
      </w:r>
      <w:r w:rsidRPr="009F74C5">
        <w:rPr>
          <w:rFonts w:ascii="Arial" w:eastAsia="Times New Roman" w:hAnsi="Arial" w:cs="Arial"/>
          <w:sz w:val="20"/>
          <w:szCs w:val="20"/>
        </w:rPr>
        <w:t xml:space="preserve"> (i) For purposes of this section, objective data are information demonstrating that a particular product or material containing cadmium or a specific process, operation, or activity involving cadmium cannot release dust or fumes in concentrations at or above the action level even under the worst-case release conditions. Objective data can be obtained from an industry-wide study or from laboratory product test results from manufacturers of cadmium-containing products or materials. The data the employer uses from an industry-wide survey must be obtained under workplace conditions closely resembling the processes, types of material, control methods, work practices and environmental conditions in the employer's current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shall maintain the record for at least 30 years of the objective data relied upon.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Medical surveillance.</w:t>
      </w:r>
      <w:r w:rsidRPr="009F74C5">
        <w:rPr>
          <w:rFonts w:ascii="Arial" w:eastAsia="Times New Roman" w:hAnsi="Arial" w:cs="Arial"/>
          <w:sz w:val="20"/>
          <w:szCs w:val="20"/>
        </w:rPr>
        <w:t xml:space="preserve"> (i) The employer shall establish and maintain an accurate record for each employee covered by medical surveillance under paragraph (l)(1)(i)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record shall include at least the following information about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Name, social security number, and description of duties;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copy of the physician's written opinions and of the explanation sheets for biological monitoring results;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copy of the medical history, and the results of any physical examination and all test results that are required to be provided by this section, including biological tests, X-rays, pulmonary function tests, etc., or that have been obtained to further evaluate any condition that might be related to cadmium exposure;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employee's medical symptoms that might be related to exposure to cadmium;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copy of the information provided to the physician as required by paragraph (l)(9)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employer shall assure that this record is maintained for the duration of employment plus thirty (30) years, in accordance with §1926.33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At the employee's request, the employer shall promptly provide a copy of the employee's medical record, or update as appropriate, to a medical doctor or a union specified by the employee.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Availability.</w:t>
      </w:r>
      <w:r w:rsidRPr="009F74C5">
        <w:rPr>
          <w:rFonts w:ascii="Arial" w:eastAsia="Times New Roman" w:hAnsi="Arial" w:cs="Arial"/>
          <w:sz w:val="20"/>
          <w:szCs w:val="20"/>
        </w:rPr>
        <w:t xml:space="preserve"> (i) Except as otherwise provided for in this section, access to all records required to be maintained by paragraphs (n)(1) through (3) of this section shall be in accordance with the provisions of 29 CFR 1910.1020.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Within 15 days after a request, the employer shall make an employee's medical records required to be kept by paragraph (n)(3) of this section available for examination and copying to the subject employee, to designated representatives, to anyone having the specific written consent of the subject employee, and after the employee's death or incapacitation, to the employee's family members.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Transfer of records.</w:t>
      </w:r>
      <w:r w:rsidRPr="009F74C5">
        <w:rPr>
          <w:rFonts w:ascii="Arial" w:eastAsia="Times New Roman" w:hAnsi="Arial" w:cs="Arial"/>
          <w:sz w:val="20"/>
          <w:szCs w:val="20"/>
        </w:rPr>
        <w:t xml:space="preserve"> Whenever an employer ceases to do business and there is no successor employer or designated organization to receive and retain records for the prescribed period, the employer shall comply with the requirements concerning transfer of records set forth in §1926.33 (h)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Observation of monitoring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Employee observation.</w:t>
      </w:r>
      <w:r w:rsidRPr="009F74C5">
        <w:rPr>
          <w:rFonts w:ascii="Arial" w:eastAsia="Times New Roman" w:hAnsi="Arial" w:cs="Arial"/>
          <w:sz w:val="20"/>
          <w:szCs w:val="20"/>
        </w:rPr>
        <w:t xml:space="preserve"> The employer shall provide affected employees or their designated representatives an opportunity to observe any monitoring of employee exposure to cadmium.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Observation procedures.</w:t>
      </w:r>
      <w:r w:rsidRPr="009F74C5">
        <w:rPr>
          <w:rFonts w:ascii="Arial" w:eastAsia="Times New Roman" w:hAnsi="Arial" w:cs="Arial"/>
          <w:sz w:val="20"/>
          <w:szCs w:val="20"/>
        </w:rPr>
        <w:t xml:space="preserve"> When observation of monitoring requires entry into an area where the use of protective clothing or equipment is required, the employer shall provide the observer with that clothing and equipment and shall assure that the observer uses such clothing and equipment and complies with all other applicable safety and health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(p) [Reserved] </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(q) </w:t>
      </w:r>
      <w:r w:rsidRPr="009F74C5">
        <w:rPr>
          <w:rFonts w:ascii="Arial" w:eastAsia="Times New Roman" w:hAnsi="Arial" w:cs="Arial"/>
          <w:i/>
          <w:iCs/>
          <w:sz w:val="20"/>
          <w:szCs w:val="20"/>
        </w:rPr>
        <w:t>Appendices.</w:t>
      </w:r>
      <w:r w:rsidRPr="009F74C5">
        <w:rPr>
          <w:rFonts w:ascii="Arial" w:eastAsia="Times New Roman" w:hAnsi="Arial" w:cs="Arial"/>
          <w:sz w:val="20"/>
          <w:szCs w:val="20"/>
        </w:rPr>
        <w:t xml:space="preserve"> Except where portions of appendices A, B, D, E, and F to this section are expressly incorporated in requirements of this section, these appendices are purely informational and are not </w:t>
      </w:r>
      <w:r w:rsidRPr="009F74C5">
        <w:rPr>
          <w:rFonts w:ascii="Arial" w:eastAsia="Times New Roman" w:hAnsi="Arial" w:cs="Arial"/>
          <w:sz w:val="20"/>
          <w:szCs w:val="20"/>
        </w:rPr>
        <w:lastRenderedPageBreak/>
        <w:t xml:space="preserve">intended to create any additional obligations not otherwise imposed or to detract from any existing obligations. </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A to §1926.1127—Substance Safety Data Sheet</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A are identical to those set forth in appendix A to §1910.1027 of this chapter.</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B to §1926.1127—Substance Technical Guidelines for Cadmium</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B are identical to those set forth in appendix B to §1910.1027 of this chapter.</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C to §1926.1127 [Reserved]</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D to §1926.1127—Occupational Health History Interview With Reference to Cadmium Exposure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D are identical to those set forth in appendix D to §1910.1027 of this chapter.</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E to §1926.1127—Cadmium in Workplace Atmospheres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E are identical to those set forth in appendix E to §1910.1027 of this chapter.</w:t>
      </w:r>
    </w:p>
    <w:p w:rsidR="00D70103" w:rsidRPr="009F74C5" w:rsidRDefault="00D70103" w:rsidP="00E16569">
      <w:pPr>
        <w:spacing w:before="200" w:after="100" w:line="240" w:lineRule="auto"/>
        <w:outlineLvl w:val="0"/>
        <w:rPr>
          <w:rFonts w:ascii="Arial" w:eastAsia="Times New Roman" w:hAnsi="Arial" w:cs="Arial"/>
          <w:smallCaps/>
          <w:kern w:val="36"/>
          <w:sz w:val="20"/>
          <w:szCs w:val="20"/>
        </w:rPr>
      </w:pPr>
      <w:r w:rsidRPr="009F74C5">
        <w:rPr>
          <w:rFonts w:ascii="Arial" w:eastAsia="Times New Roman" w:hAnsi="Arial" w:cs="Arial"/>
          <w:smallCaps/>
          <w:kern w:val="36"/>
          <w:sz w:val="20"/>
          <w:szCs w:val="20"/>
        </w:rPr>
        <w:t>Appendix F to §1926.1127—Nonmandatory Protocol for Biological Monitoring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appendix F are identical to those set forth in appendix F to §1910.1027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[57 FR 42452, Sept. 14, 1992, as amended at 57 FR 49272, Oct. 30, 1992; 58 FR 21787, Apr. 23, 1993. Redesignated and amended at 59 FR 215, Jan. 3, 1994; 61 FR 5510, Feb. 13, 1996; 61 FR 31433, 31434, June 20, 1996; 63 FR 1298, Jan. 8, 1998; 70 FR 1144, Jan. 5, 2005; 71 FR 16675, Apr. 3, 2006; 71 FR 50192, Aug. 24, 2006; 73 FR 75589, Dec. 12, 2008; 76 FR 33612, June 8, 2011; 77 FR 17895, Mar. 26, 2012]</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0" w:anchor="_top" w:history="1">
        <w:r w:rsidR="00D70103">
          <w:rPr>
            <w:rFonts w:ascii="Arial" w:eastAsia="Times New Roman" w:hAnsi="Arial" w:cs="Arial"/>
            <w:noProof/>
            <w:color w:val="0000FF"/>
            <w:sz w:val="17"/>
            <w:szCs w:val="17"/>
          </w:rPr>
          <w:drawing>
            <wp:inline distT="0" distB="0" distL="0" distR="0" wp14:anchorId="5553B27B" wp14:editId="06F2FD8A">
              <wp:extent cx="152400" cy="152400"/>
              <wp:effectExtent l="0" t="0" r="0" b="0"/>
              <wp:docPr id="61" name="Picture 6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3" w:name="se29.8.1926_11128"/>
      <w:bookmarkEnd w:id="103"/>
      <w:r w:rsidRPr="009F74C5">
        <w:rPr>
          <w:rFonts w:ascii="Arial" w:eastAsia="Times New Roman" w:hAnsi="Arial" w:cs="Arial"/>
          <w:b/>
          <w:bCs/>
          <w:sz w:val="20"/>
          <w:szCs w:val="20"/>
        </w:rPr>
        <w:t>§1926.1128   Benzene.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§1910.1028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1" w:anchor="_top" w:history="1">
        <w:r w:rsidR="00D70103">
          <w:rPr>
            <w:rFonts w:ascii="Arial" w:eastAsia="Times New Roman" w:hAnsi="Arial" w:cs="Arial"/>
            <w:noProof/>
            <w:color w:val="0000FF"/>
            <w:sz w:val="17"/>
            <w:szCs w:val="17"/>
          </w:rPr>
          <w:drawing>
            <wp:inline distT="0" distB="0" distL="0" distR="0" wp14:anchorId="32F55D57" wp14:editId="0A0AB404">
              <wp:extent cx="152400" cy="152400"/>
              <wp:effectExtent l="0" t="0" r="0" b="0"/>
              <wp:docPr id="60" name="Picture 6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4" w:name="se29.8.1926_11129"/>
      <w:bookmarkEnd w:id="104"/>
      <w:r w:rsidRPr="009F74C5">
        <w:rPr>
          <w:rFonts w:ascii="Arial" w:eastAsia="Times New Roman" w:hAnsi="Arial" w:cs="Arial"/>
          <w:b/>
          <w:bCs/>
          <w:sz w:val="20"/>
          <w:szCs w:val="20"/>
        </w:rPr>
        <w:t>§1926.1129   Coke oven emissions.</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§1910.1029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2" w:anchor="_top" w:history="1">
        <w:r w:rsidR="00D70103">
          <w:rPr>
            <w:rFonts w:ascii="Arial" w:eastAsia="Times New Roman" w:hAnsi="Arial" w:cs="Arial"/>
            <w:noProof/>
            <w:color w:val="0000FF"/>
            <w:sz w:val="17"/>
            <w:szCs w:val="17"/>
          </w:rPr>
          <w:drawing>
            <wp:inline distT="0" distB="0" distL="0" distR="0" wp14:anchorId="57A8B606" wp14:editId="7E5BE356">
              <wp:extent cx="152400" cy="152400"/>
              <wp:effectExtent l="0" t="0" r="0" b="0"/>
              <wp:docPr id="59" name="Picture 5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5" w:name="se29.8.1926_11144"/>
      <w:bookmarkEnd w:id="105"/>
      <w:r w:rsidRPr="009F74C5">
        <w:rPr>
          <w:rFonts w:ascii="Arial" w:eastAsia="Times New Roman" w:hAnsi="Arial" w:cs="Arial"/>
          <w:b/>
          <w:bCs/>
          <w:sz w:val="20"/>
          <w:szCs w:val="20"/>
        </w:rPr>
        <w:lastRenderedPageBreak/>
        <w:t>§1926.1144   1,2-dibromo-3-chloropropane.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§1910.1044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3" w:anchor="_top" w:history="1">
        <w:r w:rsidR="00D70103">
          <w:rPr>
            <w:rFonts w:ascii="Arial" w:eastAsia="Times New Roman" w:hAnsi="Arial" w:cs="Arial"/>
            <w:noProof/>
            <w:color w:val="0000FF"/>
            <w:sz w:val="17"/>
            <w:szCs w:val="17"/>
          </w:rPr>
          <w:drawing>
            <wp:inline distT="0" distB="0" distL="0" distR="0" wp14:anchorId="262D4E4F" wp14:editId="3321EE1D">
              <wp:extent cx="152400" cy="152400"/>
              <wp:effectExtent l="0" t="0" r="0" b="0"/>
              <wp:docPr id="58" name="Picture 5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6" w:name="se29.8.1926_11145"/>
      <w:bookmarkEnd w:id="106"/>
      <w:r w:rsidRPr="009F74C5">
        <w:rPr>
          <w:rFonts w:ascii="Arial" w:eastAsia="Times New Roman" w:hAnsi="Arial" w:cs="Arial"/>
          <w:b/>
          <w:bCs/>
          <w:sz w:val="20"/>
          <w:szCs w:val="20"/>
        </w:rPr>
        <w:t>§1926.1145   Acrylonitrile.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§1910.1045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4" w:anchor="_top" w:history="1">
        <w:r w:rsidR="00D70103">
          <w:rPr>
            <w:rFonts w:ascii="Arial" w:eastAsia="Times New Roman" w:hAnsi="Arial" w:cs="Arial"/>
            <w:noProof/>
            <w:color w:val="0000FF"/>
            <w:sz w:val="17"/>
            <w:szCs w:val="17"/>
          </w:rPr>
          <w:drawing>
            <wp:inline distT="0" distB="0" distL="0" distR="0" wp14:anchorId="37B897F7" wp14:editId="3FAAB8DF">
              <wp:extent cx="152400" cy="152400"/>
              <wp:effectExtent l="0" t="0" r="0" b="0"/>
              <wp:docPr id="57" name="Picture 5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7" w:name="se29.8.1926_11147"/>
      <w:bookmarkEnd w:id="107"/>
      <w:r w:rsidRPr="009F74C5">
        <w:rPr>
          <w:rFonts w:ascii="Arial" w:eastAsia="Times New Roman" w:hAnsi="Arial" w:cs="Arial"/>
          <w:b/>
          <w:bCs/>
          <w:sz w:val="20"/>
          <w:szCs w:val="20"/>
        </w:rPr>
        <w:t>§1926.1147   Ethylene oxide.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§1910.1047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5" w:anchor="_top" w:history="1">
        <w:r w:rsidR="00D70103">
          <w:rPr>
            <w:rFonts w:ascii="Arial" w:eastAsia="Times New Roman" w:hAnsi="Arial" w:cs="Arial"/>
            <w:noProof/>
            <w:color w:val="0000FF"/>
            <w:sz w:val="17"/>
            <w:szCs w:val="17"/>
          </w:rPr>
          <w:drawing>
            <wp:inline distT="0" distB="0" distL="0" distR="0" wp14:anchorId="13830A32" wp14:editId="252AE912">
              <wp:extent cx="152400" cy="152400"/>
              <wp:effectExtent l="0" t="0" r="0" b="0"/>
              <wp:docPr id="56" name="Picture 5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8" w:name="se29.8.1926_11148"/>
      <w:bookmarkEnd w:id="108"/>
      <w:r w:rsidRPr="009F74C5">
        <w:rPr>
          <w:rFonts w:ascii="Arial" w:eastAsia="Times New Roman" w:hAnsi="Arial" w:cs="Arial"/>
          <w:b/>
          <w:bCs/>
          <w:sz w:val="20"/>
          <w:szCs w:val="20"/>
        </w:rPr>
        <w:t>§1926.1148   Formaldehyde.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work under this section are identical to those set forth at §1910.1048 of this chapter.</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[61 FR 31434, June 20, 1996]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6" w:anchor="_top" w:history="1">
        <w:r w:rsidR="00D70103">
          <w:rPr>
            <w:rFonts w:ascii="Arial" w:eastAsia="Times New Roman" w:hAnsi="Arial" w:cs="Arial"/>
            <w:noProof/>
            <w:color w:val="0000FF"/>
            <w:sz w:val="17"/>
            <w:szCs w:val="17"/>
          </w:rPr>
          <w:drawing>
            <wp:inline distT="0" distB="0" distL="0" distR="0" wp14:anchorId="7A3C2742" wp14:editId="70BB195E">
              <wp:extent cx="152400" cy="152400"/>
              <wp:effectExtent l="0" t="0" r="0" b="0"/>
              <wp:docPr id="55" name="Picture 5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09" w:name="se29.8.1926_11152"/>
      <w:bookmarkEnd w:id="109"/>
      <w:r w:rsidRPr="009F74C5">
        <w:rPr>
          <w:rFonts w:ascii="Arial" w:eastAsia="Times New Roman" w:hAnsi="Arial" w:cs="Arial"/>
          <w:b/>
          <w:bCs/>
          <w:sz w:val="20"/>
          <w:szCs w:val="20"/>
        </w:rPr>
        <w:t>§1926.1152   Methylene chloride.</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requirements applicable to construction employment under this section are identical to those set forth at 29 CFR 1910.1052.</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[62 FR 1619, Jan. 10, 1997]</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47" w:anchor="_top" w:history="1">
        <w:r w:rsidR="00D70103">
          <w:rPr>
            <w:rFonts w:ascii="Arial" w:eastAsia="Times New Roman" w:hAnsi="Arial" w:cs="Arial"/>
            <w:noProof/>
            <w:color w:val="0000FF"/>
            <w:sz w:val="17"/>
            <w:szCs w:val="17"/>
          </w:rPr>
          <w:drawing>
            <wp:inline distT="0" distB="0" distL="0" distR="0" wp14:anchorId="54C917DE" wp14:editId="41A58F11">
              <wp:extent cx="152400" cy="152400"/>
              <wp:effectExtent l="0" t="0" r="0" b="0"/>
              <wp:docPr id="54" name="Picture 5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7"/>
          <w:szCs w:val="27"/>
        </w:rPr>
      </w:pPr>
      <w:bookmarkStart w:id="110" w:name="sp29.8.1926.aa"/>
      <w:bookmarkEnd w:id="110"/>
      <w:r w:rsidRPr="009F74C5">
        <w:rPr>
          <w:rFonts w:ascii="Arial" w:eastAsia="Times New Roman" w:hAnsi="Arial" w:cs="Arial"/>
          <w:b/>
          <w:bCs/>
          <w:sz w:val="27"/>
          <w:szCs w:val="27"/>
        </w:rPr>
        <w:t>Subpart AA—XXX</w:t>
      </w:r>
    </w:p>
    <w:p w:rsidR="00D70103" w:rsidRPr="009F74C5" w:rsidRDefault="000507F6" w:rsidP="00E16569">
      <w:pPr>
        <w:spacing w:before="100" w:beforeAutospacing="1" w:after="100" w:afterAutospacing="1" w:line="240" w:lineRule="auto"/>
        <w:rPr>
          <w:rFonts w:ascii="Arial" w:eastAsia="Times New Roman" w:hAnsi="Arial" w:cs="Arial"/>
          <w:sz w:val="20"/>
          <w:szCs w:val="20"/>
        </w:rPr>
      </w:pPr>
      <w:hyperlink r:id="rId248" w:history="1">
        <w:r w:rsidR="00D70103" w:rsidRPr="009F74C5">
          <w:rPr>
            <w:rFonts w:ascii="Arial" w:eastAsia="Times New Roman" w:hAnsi="Arial" w:cs="Arial"/>
            <w:color w:val="0000FF"/>
            <w:sz w:val="17"/>
            <w:szCs w:val="17"/>
          </w:rPr>
          <w:t>Link to an amendment published at 80 FR 25518, May 4, 2015.</w:t>
        </w:r>
      </w:hyperlink>
    </w:p>
    <w:p w:rsidR="00D70103" w:rsidRPr="009F74C5" w:rsidRDefault="000507F6" w:rsidP="00E16569">
      <w:pPr>
        <w:spacing w:before="200" w:after="100" w:afterAutospacing="1" w:line="240" w:lineRule="auto"/>
        <w:rPr>
          <w:rFonts w:ascii="Arial" w:eastAsia="Times New Roman" w:hAnsi="Arial" w:cs="Arial"/>
          <w:sz w:val="20"/>
          <w:szCs w:val="20"/>
        </w:rPr>
      </w:pPr>
      <w:hyperlink r:id="rId249" w:anchor="_top" w:history="1">
        <w:r w:rsidR="00D70103">
          <w:rPr>
            <w:rFonts w:ascii="Arial" w:eastAsia="Times New Roman" w:hAnsi="Arial" w:cs="Arial"/>
            <w:noProof/>
            <w:color w:val="0000FF"/>
            <w:sz w:val="17"/>
            <w:szCs w:val="17"/>
          </w:rPr>
          <w:drawing>
            <wp:inline distT="0" distB="0" distL="0" distR="0" wp14:anchorId="076E5CD7" wp14:editId="2FEC5988">
              <wp:extent cx="152400" cy="152400"/>
              <wp:effectExtent l="0" t="0" r="0" b="0"/>
              <wp:docPr id="53" name="Picture 5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1" w:name="se29.8.___"/>
      <w:bookmarkEnd w:id="111"/>
      <w:r w:rsidRPr="009F74C5">
        <w:rPr>
          <w:rFonts w:ascii="Arial" w:eastAsia="Times New Roman" w:hAnsi="Arial" w:cs="Arial"/>
          <w:b/>
          <w:bCs/>
          <w:sz w:val="20"/>
          <w:szCs w:val="20"/>
        </w:rPr>
        <w:t>         </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0" w:anchor="_top" w:history="1">
        <w:r w:rsidR="00D70103">
          <w:rPr>
            <w:rFonts w:ascii="Arial" w:eastAsia="Times New Roman" w:hAnsi="Arial" w:cs="Arial"/>
            <w:noProof/>
            <w:color w:val="0000FF"/>
            <w:sz w:val="17"/>
            <w:szCs w:val="17"/>
          </w:rPr>
          <w:drawing>
            <wp:inline distT="0" distB="0" distL="0" distR="0" wp14:anchorId="19337D71" wp14:editId="67601304">
              <wp:extent cx="152400" cy="152400"/>
              <wp:effectExtent l="0" t="0" r="0" b="0"/>
              <wp:docPr id="52" name="Picture 5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7"/>
          <w:szCs w:val="27"/>
        </w:rPr>
      </w:pPr>
      <w:bookmarkStart w:id="112" w:name="sp29.8.1926.bb"/>
      <w:bookmarkEnd w:id="112"/>
      <w:r w:rsidRPr="009F74C5">
        <w:rPr>
          <w:rFonts w:ascii="Arial" w:eastAsia="Times New Roman" w:hAnsi="Arial" w:cs="Arial"/>
          <w:b/>
          <w:bCs/>
          <w:sz w:val="27"/>
          <w:szCs w:val="27"/>
        </w:rPr>
        <w:t>Subpart BB [Reserved]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1" w:anchor="_top" w:history="1">
        <w:r w:rsidR="00D70103">
          <w:rPr>
            <w:rFonts w:ascii="Arial" w:eastAsia="Times New Roman" w:hAnsi="Arial" w:cs="Arial"/>
            <w:noProof/>
            <w:color w:val="0000FF"/>
            <w:sz w:val="17"/>
            <w:szCs w:val="17"/>
          </w:rPr>
          <w:drawing>
            <wp:inline distT="0" distB="0" distL="0" distR="0" wp14:anchorId="6BC67EC8" wp14:editId="38FAA1F0">
              <wp:extent cx="152400" cy="152400"/>
              <wp:effectExtent l="0" t="0" r="0" b="0"/>
              <wp:docPr id="51" name="Picture 5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7"/>
          <w:szCs w:val="27"/>
        </w:rPr>
      </w:pPr>
      <w:bookmarkStart w:id="113" w:name="sp29.8.1926.cc"/>
      <w:bookmarkEnd w:id="113"/>
      <w:r w:rsidRPr="009F74C5">
        <w:rPr>
          <w:rFonts w:ascii="Arial" w:eastAsia="Times New Roman" w:hAnsi="Arial" w:cs="Arial"/>
          <w:b/>
          <w:bCs/>
          <w:sz w:val="27"/>
          <w:szCs w:val="27"/>
        </w:rPr>
        <w:t>Subpart CC—Cranes and Derricks in Construction</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Authority:</w:t>
      </w:r>
      <w:r w:rsidRPr="009F74C5">
        <w:rPr>
          <w:rFonts w:ascii="Arial" w:eastAsia="Times New Roman" w:hAnsi="Arial" w:cs="Arial"/>
          <w:sz w:val="18"/>
          <w:szCs w:val="18"/>
        </w:rPr>
        <w:t xml:space="preserve"> 40 U.S.C. 3701 </w:t>
      </w:r>
      <w:r w:rsidRPr="009F74C5">
        <w:rPr>
          <w:rFonts w:ascii="Arial" w:eastAsia="Times New Roman" w:hAnsi="Arial" w:cs="Arial"/>
          <w:i/>
          <w:iCs/>
          <w:sz w:val="18"/>
          <w:szCs w:val="18"/>
        </w:rPr>
        <w:t>et seq.;</w:t>
      </w:r>
      <w:r w:rsidRPr="009F74C5">
        <w:rPr>
          <w:rFonts w:ascii="Arial" w:eastAsia="Times New Roman" w:hAnsi="Arial" w:cs="Arial"/>
          <w:sz w:val="18"/>
          <w:szCs w:val="18"/>
        </w:rPr>
        <w:t xml:space="preserve"> 29 U.S.C. 653, 655, 657; Secretary of Labor's Order No. 5-2007 (72 FR 31159) or 1-2012 (77 FR 3912), as applicable; and 29 CFR Part 1911. </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Source:</w:t>
      </w:r>
      <w:r w:rsidRPr="009F74C5">
        <w:rPr>
          <w:rFonts w:ascii="Arial" w:eastAsia="Times New Roman" w:hAnsi="Arial" w:cs="Arial"/>
          <w:sz w:val="18"/>
          <w:szCs w:val="18"/>
        </w:rPr>
        <w:t xml:space="preserve"> 75 FR 48135, Aug. 9, 2010, unless otherwise noted. </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2" w:anchor="_top" w:history="1">
        <w:r w:rsidR="00D70103">
          <w:rPr>
            <w:rFonts w:ascii="Arial" w:eastAsia="Times New Roman" w:hAnsi="Arial" w:cs="Arial"/>
            <w:noProof/>
            <w:color w:val="0000FF"/>
            <w:sz w:val="17"/>
            <w:szCs w:val="17"/>
          </w:rPr>
          <w:drawing>
            <wp:inline distT="0" distB="0" distL="0" distR="0" wp14:anchorId="02234198" wp14:editId="1D9809AF">
              <wp:extent cx="152400" cy="152400"/>
              <wp:effectExtent l="0" t="0" r="0" b="0"/>
              <wp:docPr id="50" name="Picture 5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4" w:name="se29.8.1926_11400"/>
      <w:bookmarkEnd w:id="114"/>
      <w:r w:rsidRPr="009F74C5">
        <w:rPr>
          <w:rFonts w:ascii="Arial" w:eastAsia="Times New Roman" w:hAnsi="Arial" w:cs="Arial"/>
          <w:b/>
          <w:bCs/>
          <w:sz w:val="20"/>
          <w:szCs w:val="20"/>
        </w:rPr>
        <w:t>§1926.1400   Scope.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This standard applies to power-operated equipment, when used in construction, that can hoist, lower and horizontally move a suspended load. Such equipment includes, but is not limited to: Articulating cranes (such as knuckle-boom cranes); crawler cranes; floating cranes; cranes on barges; locomotive cranes; mobile cranes (such as wheel-mounted, rough-terrain, all-terrain, commercial truck-mounted, and boom truck cranes); multi-purpose machines when configured to hoist and lower (by means of a winch or hook) and horizontally move a suspended load; industrial cranes (such as carry-deck cranes); dedicated pile drivers; service/mechanic trucks with a hoisting device; a crane on a monorail; tower cranes (such as a fixed jib,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“hammerhead boom”), luffing boom and self-erecting); pedestal cranes; portal cranes; overhead and gantry cranes; straddle cranes; sideboom cranes; derricks; and variations of such equipment. However, items listed in paragraph (c) of this section are excluded from the scope of this standard.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Attachments.</w:t>
      </w:r>
      <w:r w:rsidRPr="009F74C5">
        <w:rPr>
          <w:rFonts w:ascii="Arial" w:eastAsia="Times New Roman" w:hAnsi="Arial" w:cs="Arial"/>
          <w:sz w:val="20"/>
          <w:szCs w:val="20"/>
        </w:rPr>
        <w:t xml:space="preserve"> This standard applies to equipment included in paragraph (a) of this section when used with attachments. Such attachments, whether crane-attached or suspended include, but are not limited to: Hooks, magnets, grapples, clamshell buckets, orange peel buckets, concrete buckets, drag lines, personnel platforms, augers or drills and pile driving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Exclusions.</w:t>
      </w:r>
      <w:r w:rsidRPr="009F74C5">
        <w:rPr>
          <w:rFonts w:ascii="Arial" w:eastAsia="Times New Roman" w:hAnsi="Arial" w:cs="Arial"/>
          <w:sz w:val="20"/>
          <w:szCs w:val="20"/>
        </w:rPr>
        <w:t xml:space="preserve"> This subpart does not cover: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Machinery included in paragraph (a) of this section while it has been converted or adapted for a non-hoisting/lifting use. Such conversions/adaptations include, but are not limited to, power shovels, excavators and concrete pumps.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Power shovels, excavators, wheel loaders, backhoes, loader backhoes, track loaders. This machinery is also excluded when used with chains, slings or other rigging to lift suspended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Automotive wreckers and tow trucks when used to clear wrecks and haul vehicles.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Digger derricks when used for augering holes for poles carrying electric or telecommunication lines, placing and removing the poles, and for handling associated materials for installation on, or removal from, the poles, or when used for any other work subject to subpart V of this part. To be eligible for this exclusion, digger-derrick use in work subject to subpart V of this part must comply with all of the provisions of that subpart, and digger-derrick use in construction work for telecommunication service (as defined at §1910.268(s)(40)) must comply with all of the provisions of §1910.268.</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(5) Machinery originally designed as vehicle-mounted aerial devices (for lifting personnel) and self-propelled elevating work platforms.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Telescopic/hydraulic gantry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Stacker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Powered industrial trucks (forklifts), except when configured to hoist and lower (by means of a winch or hook) and horizontally move a suspended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Mechanic's truck with a hoisting device when used in activities related to equipment maintenance and repair.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Machinery that hoists by using a come-a-long or chainfall.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Dedicated drilling rigs.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Gin poles when used for the erection of communication towers.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(13) Tree trimming and tree removal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Anchor handling or dredge-related operations with a vessel or barge using an affixed A-frame.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Roustabouts.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Helicopter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(17) </w:t>
      </w:r>
      <w:r w:rsidRPr="009F74C5">
        <w:rPr>
          <w:rFonts w:ascii="Arial" w:eastAsia="Times New Roman" w:hAnsi="Arial" w:cs="Arial"/>
          <w:i/>
          <w:iCs/>
          <w:sz w:val="20"/>
          <w:szCs w:val="20"/>
        </w:rPr>
        <w:t>Material Delivery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Articulating/knuckle-boom truck cranes that deliver material to a construction site when used to transfer materials from the truck crane to the ground, without arranging the materials in a particular sequence for hoisting.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Articulating/knuckle-boom truck cranes that deliver material to a construction site when the crane is used to transfer building supply sheet goods or building supply packaged materials from the truck crane onto a structure, using a fork/cradle at the end of the boom, but only when the truck crane is equipped with a properly functioning automatic overload prevention device. Such sheet goods or packaged materials include, but are not limited to: Sheets of sheet rock, sheets of plywood, bags of cement, sheets or packages of roofing shingles, and rolls of roofing felt.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This exclusion does not apply when: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articulating/knuckle-boom crane is used to hold, support or stabilize the material to facilitate a construction activity, such as holding material in place while it is attached to the structure;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material being handled by the articulating/knuckle-boom crane is a prefabricated component. Such prefabricated components include, but are not limited to: Precast concrete members or panels, roof trusses (wooden, cold-formed metal, steel, or other material), prefabricated building sections such as, but not limited to: Floor panels, wall panels, roof panels, roof structures, or similar items;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(C) The material being handled by the crane is a structural steel member (for example, steel joists, beams, columns, steel decking (bundled or unbundled) or a component of a systems-engineered metal building (as defined in 29 CFR 1926 subpart 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activity is not specifically excluded under §1400(c)(17)(i) and (ii).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All sections of this subpart CC apply to the equipment covered by this standard unless specified otherwise.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duties of controlling entities under this subpart include, but are not limited to, the duties specified in §§1926.1402(c), 1926.1402(e) and 1926.1424(b).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Where provisions of this standard direct an operator, crewmember, or other employee to take certain actions, the employer must establish, effectively communicate to the relevant persons, and enforce, work rules to ensure compliance with such provisions.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For work covered by subpart V of this part, compliance with §1926.959 is deemed compliance with §§1926.1407 through 1926.1411.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Section 1926.1402 does not apply to cranes designed for use on railroad tracks, when used on railroad tracks that are part of the general railroad system of transportation that is regulated pursuant to the Federal Railroad Administration under 49 CFR part 213, and that comply with applicable Federal Railroad Administration requirements.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§1926.1402(f).</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[75 FR 48135, Aug. 9, 2010, as amended at 78 FR 32116, May 29, 2013; 79 FR 20743, Apr. 11, 2014]</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3" w:anchor="_top" w:history="1">
        <w:r w:rsidR="00D70103">
          <w:rPr>
            <w:rFonts w:ascii="Arial" w:eastAsia="Times New Roman" w:hAnsi="Arial" w:cs="Arial"/>
            <w:noProof/>
            <w:color w:val="0000FF"/>
            <w:sz w:val="17"/>
            <w:szCs w:val="17"/>
          </w:rPr>
          <w:drawing>
            <wp:inline distT="0" distB="0" distL="0" distR="0" wp14:anchorId="6CB85185" wp14:editId="761C4F14">
              <wp:extent cx="152400" cy="152400"/>
              <wp:effectExtent l="0" t="0" r="0" b="0"/>
              <wp:docPr id="49" name="Picture 4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5" w:name="se29.8.1926_11401"/>
      <w:bookmarkEnd w:id="115"/>
      <w:r w:rsidRPr="009F74C5">
        <w:rPr>
          <w:rFonts w:ascii="Arial" w:eastAsia="Times New Roman" w:hAnsi="Arial" w:cs="Arial"/>
          <w:b/>
          <w:bCs/>
          <w:sz w:val="20"/>
          <w:szCs w:val="20"/>
        </w:rPr>
        <w:t>§1926.1401   Definitions.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A/D director (Assembly/Disassembly director)</w:t>
      </w:r>
      <w:r w:rsidRPr="009F74C5">
        <w:rPr>
          <w:rFonts w:ascii="Arial" w:eastAsia="Times New Roman" w:hAnsi="Arial" w:cs="Arial"/>
          <w:sz w:val="20"/>
          <w:szCs w:val="20"/>
        </w:rPr>
        <w:t xml:space="preserve"> means an individual who meets this subpart's requirements for an A/D director, irrespective of the person's formal job title or whether the person is non-management or management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Articulating crane</w:t>
      </w:r>
      <w:r w:rsidRPr="009F74C5">
        <w:rPr>
          <w:rFonts w:ascii="Arial" w:eastAsia="Times New Roman" w:hAnsi="Arial" w:cs="Arial"/>
          <w:sz w:val="20"/>
          <w:szCs w:val="20"/>
        </w:rPr>
        <w:t xml:space="preserve"> means a crane whose boom consists of a series of folding, pin connected structural members, typically manipulated to extend or retract by power from hydraulic cylinders.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Assembly/Disassembly</w:t>
      </w:r>
      <w:r w:rsidRPr="009F74C5">
        <w:rPr>
          <w:rFonts w:ascii="Arial" w:eastAsia="Times New Roman" w:hAnsi="Arial" w:cs="Arial"/>
          <w:sz w:val="20"/>
          <w:szCs w:val="20"/>
        </w:rPr>
        <w:t xml:space="preserve"> means the assembly and/or disassembly of equipment covered under this standard. With regard to tower cranes, “erecting and climbing” replaces the term “assembly,” and “dismantling” replaces the term “disassembly.” Regardless of whether the crane is initially erected to its full height or is climbed in stages, the process of increasing the height of the crane is an erection process.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Assist crane</w:t>
      </w:r>
      <w:r w:rsidRPr="009F74C5">
        <w:rPr>
          <w:rFonts w:ascii="Arial" w:eastAsia="Times New Roman" w:hAnsi="Arial" w:cs="Arial"/>
          <w:sz w:val="20"/>
          <w:szCs w:val="20"/>
        </w:rPr>
        <w:t xml:space="preserve"> means a crane used to assist in assembling or disassembling a crane.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Attachments</w:t>
      </w:r>
      <w:r w:rsidRPr="009F74C5">
        <w:rPr>
          <w:rFonts w:ascii="Arial" w:eastAsia="Times New Roman" w:hAnsi="Arial" w:cs="Arial"/>
          <w:sz w:val="20"/>
          <w:szCs w:val="20"/>
        </w:rPr>
        <w:t xml:space="preserve"> means any device that expands the range of tasks that can be done by the equipment. Examples include, but are not limited to: An auger, drill, magnet, pile-driver, and boom-attached personnel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Audible signal</w:t>
      </w:r>
      <w:r w:rsidRPr="009F74C5">
        <w:rPr>
          <w:rFonts w:ascii="Arial" w:eastAsia="Times New Roman" w:hAnsi="Arial" w:cs="Arial"/>
          <w:sz w:val="20"/>
          <w:szCs w:val="20"/>
        </w:rPr>
        <w:t xml:space="preserve"> means a signal made by a distinct sound or series of sounds. Examples include, but are not limited to, sounds made by a bell, horn, or whistle.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Blocking</w:t>
      </w:r>
      <w:r w:rsidRPr="009F74C5">
        <w:rPr>
          <w:rFonts w:ascii="Arial" w:eastAsia="Times New Roman" w:hAnsi="Arial" w:cs="Arial"/>
          <w:sz w:val="20"/>
          <w:szCs w:val="20"/>
        </w:rPr>
        <w:t xml:space="preserve"> (also referred to as “cribbing”) is wood or other material used to support equipment or a component and distribute loads to the ground. It is typically used to support lattice boom sections during assembly/disassembly and under outrigger and stabilizer floats.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Boatswain's chair</w:t>
      </w:r>
      <w:r w:rsidRPr="009F74C5">
        <w:rPr>
          <w:rFonts w:ascii="Arial" w:eastAsia="Times New Roman" w:hAnsi="Arial" w:cs="Arial"/>
          <w:sz w:val="20"/>
          <w:szCs w:val="20"/>
        </w:rPr>
        <w:t xml:space="preserve"> means a single-point adjustable suspension scaffold consisting of a seat or sling (which may be incorporated into a full body harness) designed to support one employee in a sitting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Bogie</w:t>
      </w:r>
      <w:r w:rsidRPr="009F74C5">
        <w:rPr>
          <w:rFonts w:ascii="Arial" w:eastAsia="Times New Roman" w:hAnsi="Arial" w:cs="Arial"/>
          <w:sz w:val="20"/>
          <w:szCs w:val="20"/>
        </w:rPr>
        <w:t xml:space="preserve"> means “travel bogie,” which is defined below.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(equipment other than tower crane)</w:t>
      </w:r>
      <w:r w:rsidRPr="009F74C5">
        <w:rPr>
          <w:rFonts w:ascii="Arial" w:eastAsia="Times New Roman" w:hAnsi="Arial" w:cs="Arial"/>
          <w:sz w:val="20"/>
          <w:szCs w:val="20"/>
        </w:rPr>
        <w:t xml:space="preserve"> means an inclined spar, strut, or other long structural member which supports the upper hoisting tackle on a crane or derrick. Typically, the length and vertical angle of the boom can be varied to achieve increased height or height and reach when lifting loads. Booms can usually be grouped into general categories of hydraulically extendible, cantilevered type, latticed section, cable supported type or articulating type.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(tower cranes):</w:t>
      </w:r>
      <w:r w:rsidRPr="009F74C5">
        <w:rPr>
          <w:rFonts w:ascii="Arial" w:eastAsia="Times New Roman" w:hAnsi="Arial" w:cs="Arial"/>
          <w:sz w:val="20"/>
          <w:szCs w:val="20"/>
        </w:rPr>
        <w:t xml:space="preserve"> On tower cranes, if the “boom”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principal horizontal structure) is fixed, it is referred to as a jib; if it is moveable up and down, it is referred to as a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angle indicator</w:t>
      </w:r>
      <w:r w:rsidRPr="009F74C5">
        <w:rPr>
          <w:rFonts w:ascii="Arial" w:eastAsia="Times New Roman" w:hAnsi="Arial" w:cs="Arial"/>
          <w:sz w:val="20"/>
          <w:szCs w:val="20"/>
        </w:rPr>
        <w:t xml:space="preserve"> means a device which measures the angle of the boom relative to horizontal.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hoist limiting device</w:t>
      </w:r>
      <w:r w:rsidRPr="009F74C5">
        <w:rPr>
          <w:rFonts w:ascii="Arial" w:eastAsia="Times New Roman" w:hAnsi="Arial" w:cs="Arial"/>
          <w:sz w:val="20"/>
          <w:szCs w:val="20"/>
        </w:rPr>
        <w:t xml:space="preserve"> includes boom hoist disengaging device, boom hoist shut-off, boom hoist disconnect, boom hoist hydraulic relief, boom hoist kick-outs, automatic boom stop device, or derricking limiter. This type of device disengages boom hoist power when the boom reaches a predetermined operating angle. It also sets brakes or closes valves to prevent the boom from lowering after power is disengaged.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length indicator</w:t>
      </w:r>
      <w:r w:rsidRPr="009F74C5">
        <w:rPr>
          <w:rFonts w:ascii="Arial" w:eastAsia="Times New Roman" w:hAnsi="Arial" w:cs="Arial"/>
          <w:sz w:val="20"/>
          <w:szCs w:val="20"/>
        </w:rPr>
        <w:t xml:space="preserve"> indicates the length of the permanent part of the boom (such as ruled markings on the boom) or, as in some computerized systems, the length of the boom with extensions/attachments.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stop</w:t>
      </w:r>
      <w:r w:rsidRPr="009F74C5">
        <w:rPr>
          <w:rFonts w:ascii="Arial" w:eastAsia="Times New Roman" w:hAnsi="Arial" w:cs="Arial"/>
          <w:sz w:val="20"/>
          <w:szCs w:val="20"/>
        </w:rPr>
        <w:t xml:space="preserve"> includes boom stops, (belly straps with struts/standoff), telescoping boom stops, attachment boom stops, and backstops. These devices restrict the boom from moving above a certain maximum angle and toppling over backward.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Boom suspension system</w:t>
      </w:r>
      <w:r w:rsidRPr="009F74C5">
        <w:rPr>
          <w:rFonts w:ascii="Arial" w:eastAsia="Times New Roman" w:hAnsi="Arial" w:cs="Arial"/>
          <w:sz w:val="20"/>
          <w:szCs w:val="20"/>
        </w:rPr>
        <w:t xml:space="preserve"> means a system of pendants, running ropes, sheaves, and other hardware which supports the boom tip and controls the boom angle.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Builder</w:t>
      </w:r>
      <w:r w:rsidRPr="009F74C5">
        <w:rPr>
          <w:rFonts w:ascii="Arial" w:eastAsia="Times New Roman" w:hAnsi="Arial" w:cs="Arial"/>
          <w:sz w:val="20"/>
          <w:szCs w:val="20"/>
        </w:rPr>
        <w:t xml:space="preserve"> means the builder/constructor of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Center of gravity:</w:t>
      </w:r>
      <w:r w:rsidRPr="009F74C5">
        <w:rPr>
          <w:rFonts w:ascii="Arial" w:eastAsia="Times New Roman" w:hAnsi="Arial" w:cs="Arial"/>
          <w:sz w:val="20"/>
          <w:szCs w:val="20"/>
        </w:rPr>
        <w:t xml:space="preserve"> The center of gravity of any object is the point in the object around which its weight is evenly distributed. If you could put a support under that point, you could balance the object on the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Certified welder</w:t>
      </w:r>
      <w:r w:rsidRPr="009F74C5">
        <w:rPr>
          <w:rFonts w:ascii="Arial" w:eastAsia="Times New Roman" w:hAnsi="Arial" w:cs="Arial"/>
          <w:sz w:val="20"/>
          <w:szCs w:val="20"/>
        </w:rPr>
        <w:t xml:space="preserve"> means a welder who meets nationally recognized certification requirements applicable to the task being performed.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Climbing</w:t>
      </w:r>
      <w:r w:rsidRPr="009F74C5">
        <w:rPr>
          <w:rFonts w:ascii="Arial" w:eastAsia="Times New Roman" w:hAnsi="Arial" w:cs="Arial"/>
          <w:sz w:val="20"/>
          <w:szCs w:val="20"/>
        </w:rPr>
        <w:t xml:space="preserve"> means the process in which a tower crane is raised to a new working height, either by adding additional tower sections to the top of the crane (top climbing), or by a system in which the entire crane is raised inside the structure (inside climbing).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Come-a-long</w:t>
      </w:r>
      <w:r w:rsidRPr="009F74C5">
        <w:rPr>
          <w:rFonts w:ascii="Arial" w:eastAsia="Times New Roman" w:hAnsi="Arial" w:cs="Arial"/>
          <w:sz w:val="20"/>
          <w:szCs w:val="20"/>
        </w:rPr>
        <w:t xml:space="preserve"> means a mechanical device typically consisting of a chain or cable attached at each end that is used to facilitate movement of materials through leverage.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Competent person</w:t>
      </w:r>
      <w:r w:rsidRPr="009F74C5">
        <w:rPr>
          <w:rFonts w:ascii="Arial" w:eastAsia="Times New Roman" w:hAnsi="Arial" w:cs="Arial"/>
          <w:sz w:val="20"/>
          <w:szCs w:val="20"/>
        </w:rPr>
        <w:t xml:space="preserve"> means one who is capable of identifying existing and predictable hazards in the surroundings or working conditions which are unsanitary, hazardous, or dangerous to employees, and who has authorization to take prompt corrective measures to eliminate them.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Controlled load lowering</w:t>
      </w:r>
      <w:r w:rsidRPr="009F74C5">
        <w:rPr>
          <w:rFonts w:ascii="Arial" w:eastAsia="Times New Roman" w:hAnsi="Arial" w:cs="Arial"/>
          <w:sz w:val="20"/>
          <w:szCs w:val="20"/>
        </w:rPr>
        <w:t xml:space="preserve"> means lowering a load by means of a mechanical hoist drum device that allows a hoisted load to be lowered with maximum control using the gear train or hydraulic components of the hoist mechanism. Controlled load lowering requires the use of the hoist drive motor, rather than the load hoist brake, to lower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Controlling entity</w:t>
      </w:r>
      <w:r w:rsidRPr="009F74C5">
        <w:rPr>
          <w:rFonts w:ascii="Arial" w:eastAsia="Times New Roman" w:hAnsi="Arial" w:cs="Arial"/>
          <w:sz w:val="20"/>
          <w:szCs w:val="20"/>
        </w:rPr>
        <w:t xml:space="preserve"> means an employer that is a prime contractor, general contractor, construction manager or any other legal entity which has the overall responsibility for the construction of the project—its planning, quality and completion.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Counterweight</w:t>
      </w:r>
      <w:r w:rsidRPr="009F74C5">
        <w:rPr>
          <w:rFonts w:ascii="Arial" w:eastAsia="Times New Roman" w:hAnsi="Arial" w:cs="Arial"/>
          <w:sz w:val="20"/>
          <w:szCs w:val="20"/>
        </w:rPr>
        <w:t xml:space="preserve"> means a weight used to supplement the weight of equipment in providing stability for lifting loads by counterbalancing those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Crane/derrick</w:t>
      </w:r>
      <w:r w:rsidRPr="009F74C5">
        <w:rPr>
          <w:rFonts w:ascii="Arial" w:eastAsia="Times New Roman" w:hAnsi="Arial" w:cs="Arial"/>
          <w:sz w:val="20"/>
          <w:szCs w:val="20"/>
        </w:rPr>
        <w:t xml:space="preserve"> includes all equipment covered by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Crawler crane</w:t>
      </w:r>
      <w:r w:rsidRPr="009F74C5">
        <w:rPr>
          <w:rFonts w:ascii="Arial" w:eastAsia="Times New Roman" w:hAnsi="Arial" w:cs="Arial"/>
          <w:sz w:val="20"/>
          <w:szCs w:val="20"/>
        </w:rPr>
        <w:t xml:space="preserve"> means equipment that has a type of base mounting which incorporates a continuous belt of sprocket driven track.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Crossover points</w:t>
      </w:r>
      <w:r w:rsidRPr="009F74C5">
        <w:rPr>
          <w:rFonts w:ascii="Arial" w:eastAsia="Times New Roman" w:hAnsi="Arial" w:cs="Arial"/>
          <w:sz w:val="20"/>
          <w:szCs w:val="20"/>
        </w:rPr>
        <w:t xml:space="preserve"> means locations on a wire rope which is spooled on a drum where one layer of rope climbs up on and crosses over the previous layer. This takes place at each flange of the drum as the rope is spooled onto the drum, reaches the flange, and begins to wrap back in the opposite direction.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Dedicated channel</w:t>
      </w:r>
      <w:r w:rsidRPr="009F74C5">
        <w:rPr>
          <w:rFonts w:ascii="Arial" w:eastAsia="Times New Roman" w:hAnsi="Arial" w:cs="Arial"/>
          <w:sz w:val="20"/>
          <w:szCs w:val="20"/>
        </w:rPr>
        <w:t xml:space="preserve"> means a line of communication assigned by the employer who controls the communication system to only one signal person and crane/derrick or to a coordinated group of cranes/derricks/signal person(s).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Dedicated pile-driver</w:t>
      </w:r>
      <w:r w:rsidRPr="009F74C5">
        <w:rPr>
          <w:rFonts w:ascii="Arial" w:eastAsia="Times New Roman" w:hAnsi="Arial" w:cs="Arial"/>
          <w:sz w:val="20"/>
          <w:szCs w:val="20"/>
        </w:rPr>
        <w:t xml:space="preserve"> is a machine that is designed to function exclusively as a pile-driver. These machines typically have the ability to both hoist the material that will be pile-driven and to pile-drive that material.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Dedicated spotter (power lines):</w:t>
      </w:r>
      <w:r w:rsidRPr="009F74C5">
        <w:rPr>
          <w:rFonts w:ascii="Arial" w:eastAsia="Times New Roman" w:hAnsi="Arial" w:cs="Arial"/>
          <w:sz w:val="20"/>
          <w:szCs w:val="20"/>
        </w:rPr>
        <w:t xml:space="preserve"> To be considered a dedicated spotter, the requirements of §1926.1428 (Signal person qualifications) must be met and his/her sole responsibility is to watch the separation between the power line and the equipment, load line and load (including rigging and lifting accessories), and ensure through communication with the operator that the applicable minimum approach distance is not breached.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Directly under the load</w:t>
      </w:r>
      <w:r w:rsidRPr="009F74C5">
        <w:rPr>
          <w:rFonts w:ascii="Arial" w:eastAsia="Times New Roman" w:hAnsi="Arial" w:cs="Arial"/>
          <w:sz w:val="20"/>
          <w:szCs w:val="20"/>
        </w:rPr>
        <w:t xml:space="preserve"> means a part or all of an employee is directly beneath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Dismantling</w:t>
      </w:r>
      <w:r w:rsidRPr="009F74C5">
        <w:rPr>
          <w:rFonts w:ascii="Arial" w:eastAsia="Times New Roman" w:hAnsi="Arial" w:cs="Arial"/>
          <w:sz w:val="20"/>
          <w:szCs w:val="20"/>
        </w:rPr>
        <w:t xml:space="preserve"> includes partial dismantling (such as dismantling to shorten a boom or substitute a different component).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Drum rotation indicator</w:t>
      </w:r>
      <w:r w:rsidRPr="009F74C5">
        <w:rPr>
          <w:rFonts w:ascii="Arial" w:eastAsia="Times New Roman" w:hAnsi="Arial" w:cs="Arial"/>
          <w:sz w:val="20"/>
          <w:szCs w:val="20"/>
        </w:rPr>
        <w:t xml:space="preserve"> means a device on a crane or hoist which indicates in which direction and at what relative speed a particular hoist drum is turning.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Electrical contact</w:t>
      </w:r>
      <w:r w:rsidRPr="009F74C5">
        <w:rPr>
          <w:rFonts w:ascii="Arial" w:eastAsia="Times New Roman" w:hAnsi="Arial" w:cs="Arial"/>
          <w:sz w:val="20"/>
          <w:szCs w:val="20"/>
        </w:rPr>
        <w:t xml:space="preserve"> occurs when a person, object, or equipment makes contact or comes in close proximity with an energized conductor or equipment that allows the passage of current.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Employer-made equipment</w:t>
      </w:r>
      <w:r w:rsidRPr="009F74C5">
        <w:rPr>
          <w:rFonts w:ascii="Arial" w:eastAsia="Times New Roman" w:hAnsi="Arial" w:cs="Arial"/>
          <w:sz w:val="20"/>
          <w:szCs w:val="20"/>
        </w:rPr>
        <w:t xml:space="preserve"> means floating cranes/derricks designed and built by an employer for the employer's own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Encroachment</w:t>
      </w:r>
      <w:r w:rsidRPr="009F74C5">
        <w:rPr>
          <w:rFonts w:ascii="Arial" w:eastAsia="Times New Roman" w:hAnsi="Arial" w:cs="Arial"/>
          <w:sz w:val="20"/>
          <w:szCs w:val="20"/>
        </w:rPr>
        <w:t xml:space="preserve"> is where any part of the crane, load line or load (including rigging and lifting accessories) breaches a minimum clearance distance that this subpart requires to be maintained from a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Equipment</w:t>
      </w:r>
      <w:r w:rsidRPr="009F74C5">
        <w:rPr>
          <w:rFonts w:ascii="Arial" w:eastAsia="Times New Roman" w:hAnsi="Arial" w:cs="Arial"/>
          <w:sz w:val="20"/>
          <w:szCs w:val="20"/>
        </w:rPr>
        <w:t xml:space="preserve"> means equipment covered by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Equipment criteria</w:t>
      </w:r>
      <w:r w:rsidRPr="009F74C5">
        <w:rPr>
          <w:rFonts w:ascii="Arial" w:eastAsia="Times New Roman" w:hAnsi="Arial" w:cs="Arial"/>
          <w:sz w:val="20"/>
          <w:szCs w:val="20"/>
        </w:rPr>
        <w:t xml:space="preserve"> means instructions, recommendations, limitations and 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Fall protection equipment</w:t>
      </w:r>
      <w:r w:rsidRPr="009F74C5">
        <w:rPr>
          <w:rFonts w:ascii="Arial" w:eastAsia="Times New Roman" w:hAnsi="Arial" w:cs="Arial"/>
          <w:sz w:val="20"/>
          <w:szCs w:val="20"/>
        </w:rPr>
        <w:t xml:space="preserve"> means guardrail systems, safety net systems, personal fall arrest systems, positioning device systems or fall restraint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Fall restraint system</w:t>
      </w:r>
      <w:r w:rsidRPr="009F74C5">
        <w:rPr>
          <w:rFonts w:ascii="Arial" w:eastAsia="Times New Roman" w:hAnsi="Arial" w:cs="Arial"/>
          <w:sz w:val="20"/>
          <w:szCs w:val="20"/>
        </w:rPr>
        <w:t xml:space="preserve"> means a fall protection system that prevents the user from falling any distance. The system is comprised of either a body belt or body harness, along with an anchorage, connectors and other necessary equipment. The other components typically include a lanyard, and may also include a lifeline and other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Fall zone</w:t>
      </w:r>
      <w:r w:rsidRPr="009F74C5">
        <w:rPr>
          <w:rFonts w:ascii="Arial" w:eastAsia="Times New Roman" w:hAnsi="Arial" w:cs="Arial"/>
          <w:sz w:val="20"/>
          <w:szCs w:val="20"/>
        </w:rPr>
        <w:t xml:space="preserve"> means the area (including but not limited to the area directly beneath the load) in which it is reasonably foreseeable that partially or completely suspended materials could fall in the event of an accident.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Flange points</w:t>
      </w:r>
      <w:r w:rsidRPr="009F74C5">
        <w:rPr>
          <w:rFonts w:ascii="Arial" w:eastAsia="Times New Roman" w:hAnsi="Arial" w:cs="Arial"/>
          <w:sz w:val="20"/>
          <w:szCs w:val="20"/>
        </w:rPr>
        <w:t xml:space="preserve"> are points of contact between rope and drum flange where the rope changes layers.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Floating cranes/derricks</w:t>
      </w:r>
      <w:r w:rsidRPr="009F74C5">
        <w:rPr>
          <w:rFonts w:ascii="Arial" w:eastAsia="Times New Roman" w:hAnsi="Arial" w:cs="Arial"/>
          <w:sz w:val="20"/>
          <w:szCs w:val="20"/>
        </w:rPr>
        <w:t xml:space="preserve"> means equipment designed by the manufacturer (or employer) for marine use by permanent attachment to a barge, pontoons, vessel or other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For example</w:t>
      </w:r>
      <w:r w:rsidRPr="009F74C5">
        <w:rPr>
          <w:rFonts w:ascii="Arial" w:eastAsia="Times New Roman" w:hAnsi="Arial" w:cs="Arial"/>
          <w:sz w:val="20"/>
          <w:szCs w:val="20"/>
        </w:rPr>
        <w:t xml:space="preserve"> means “one example, although there are others.”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Free fall (of the load line)</w:t>
      </w:r>
      <w:r w:rsidRPr="009F74C5">
        <w:rPr>
          <w:rFonts w:ascii="Arial" w:eastAsia="Times New Roman" w:hAnsi="Arial" w:cs="Arial"/>
          <w:sz w:val="20"/>
          <w:szCs w:val="20"/>
        </w:rPr>
        <w:t xml:space="preserve"> means that only the brake is used to regulate the descent of the load line (the drive mechanism is not used to drive the load down faster or retard its lowering).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Free surface effect</w:t>
      </w:r>
      <w:r w:rsidRPr="009F74C5">
        <w:rPr>
          <w:rFonts w:ascii="Arial" w:eastAsia="Times New Roman" w:hAnsi="Arial" w:cs="Arial"/>
          <w:sz w:val="20"/>
          <w:szCs w:val="20"/>
        </w:rPr>
        <w:t xml:space="preserve"> is the uncontrolled transverse movement of liquids in compartments which reduce a vessel's transverse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Hoist</w:t>
      </w:r>
      <w:r w:rsidRPr="009F74C5">
        <w:rPr>
          <w:rFonts w:ascii="Arial" w:eastAsia="Times New Roman" w:hAnsi="Arial" w:cs="Arial"/>
          <w:sz w:val="20"/>
          <w:szCs w:val="20"/>
        </w:rPr>
        <w:t xml:space="preserve"> means a mechanical device for lifting and lowering loads by winding a line onto or off a drum.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Hoisting</w:t>
      </w:r>
      <w:r w:rsidRPr="009F74C5">
        <w:rPr>
          <w:rFonts w:ascii="Arial" w:eastAsia="Times New Roman" w:hAnsi="Arial" w:cs="Arial"/>
          <w:sz w:val="20"/>
          <w:szCs w:val="20"/>
        </w:rPr>
        <w:t xml:space="preserve"> is the act of raising, lowering or otherwise moving a load in the air with equipment covered by this standard. As used in this standard, “hoisting” can be done by means other than wire rope/hoist drum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Include/including</w:t>
      </w:r>
      <w:r w:rsidRPr="009F74C5">
        <w:rPr>
          <w:rFonts w:ascii="Arial" w:eastAsia="Times New Roman" w:hAnsi="Arial" w:cs="Arial"/>
          <w:sz w:val="20"/>
          <w:szCs w:val="20"/>
        </w:rPr>
        <w:t xml:space="preserve"> means “including, but not limited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Insulating link/device</w:t>
      </w:r>
      <w:r w:rsidRPr="009F74C5">
        <w:rPr>
          <w:rFonts w:ascii="Arial" w:eastAsia="Times New Roman" w:hAnsi="Arial" w:cs="Arial"/>
          <w:sz w:val="20"/>
          <w:szCs w:val="20"/>
        </w:rPr>
        <w:t xml:space="preserve"> means an insulating device listed, labeled, or accepted by a Nationally Recognized Testing Laboratory in accordance with 29 CFR 1910.7.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Jib stop</w:t>
      </w:r>
      <w:r w:rsidRPr="009F74C5">
        <w:rPr>
          <w:rFonts w:ascii="Arial" w:eastAsia="Times New Roman" w:hAnsi="Arial" w:cs="Arial"/>
          <w:sz w:val="20"/>
          <w:szCs w:val="20"/>
        </w:rPr>
        <w:t xml:space="preserve"> (also referred to as a jib backstop), is the same type of device as a boom stop but is for a fixed or luffing jib.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Land crane/derrick</w:t>
      </w:r>
      <w:r w:rsidRPr="009F74C5">
        <w:rPr>
          <w:rFonts w:ascii="Arial" w:eastAsia="Times New Roman" w:hAnsi="Arial" w:cs="Arial"/>
          <w:sz w:val="20"/>
          <w:szCs w:val="20"/>
        </w:rPr>
        <w:t xml:space="preserve"> is equipment not originally designed by the manufacturer for marine use by permanent attachment to barges, pontoons, vessels, or other means of floatation.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List</w:t>
      </w:r>
      <w:r w:rsidRPr="009F74C5">
        <w:rPr>
          <w:rFonts w:ascii="Arial" w:eastAsia="Times New Roman" w:hAnsi="Arial" w:cs="Arial"/>
          <w:sz w:val="20"/>
          <w:szCs w:val="20"/>
        </w:rPr>
        <w:t xml:space="preserve"> means the angle of inclination about the longitudinal axis of a barge, pontoons, vessel or other means of floatation.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Load</w:t>
      </w:r>
      <w:r w:rsidRPr="009F74C5">
        <w:rPr>
          <w:rFonts w:ascii="Arial" w:eastAsia="Times New Roman" w:hAnsi="Arial" w:cs="Arial"/>
          <w:sz w:val="20"/>
          <w:szCs w:val="20"/>
        </w:rPr>
        <w:t xml:space="preserve"> refers to the object(s) being hoisted and/or the weight of the object(s); both uses refer to the object(s) and the load-attaching equipment, such as, the load block, ropes, slings, shackles, and any other ancillary attachment.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Load moment (or rated capacity) indicator</w:t>
      </w:r>
      <w:r w:rsidRPr="009F74C5">
        <w:rPr>
          <w:rFonts w:ascii="Arial" w:eastAsia="Times New Roman" w:hAnsi="Arial" w:cs="Arial"/>
          <w:sz w:val="20"/>
          <w:szCs w:val="20"/>
        </w:rPr>
        <w:t xml:space="preserve"> means a system which aids the equipment operator by sensing (directly or indirectly) the overturning moment on the equipment,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load multiplied by radius. It compares this lifting condition to the equipment's rated capacity, and indicates to the operator the percentage of capacity at which the equipment is working. Lights, bells, or buzzers may be incorporated as a warning of an approaching overload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Load moment (or rated capacity) limiter</w:t>
      </w:r>
      <w:r w:rsidRPr="009F74C5">
        <w:rPr>
          <w:rFonts w:ascii="Arial" w:eastAsia="Times New Roman" w:hAnsi="Arial" w:cs="Arial"/>
          <w:sz w:val="20"/>
          <w:szCs w:val="20"/>
        </w:rPr>
        <w:t xml:space="preserve"> means a system which aids the equipment operator by sensing (directly or indirectly) the overturning moment on the equipment,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load multiplied by radius. It compares this lifting condition to the equipment's rated capacity, and when the rated capacity is reached, it shuts off power to those equipment functions which can increase the severity of loading on the equipment, </w:t>
      </w:r>
      <w:r w:rsidRPr="009F74C5">
        <w:rPr>
          <w:rFonts w:ascii="Arial" w:eastAsia="Times New Roman" w:hAnsi="Arial" w:cs="Arial"/>
          <w:i/>
          <w:iCs/>
          <w:sz w:val="20"/>
          <w:szCs w:val="20"/>
        </w:rPr>
        <w:t>e.g.,</w:t>
      </w:r>
      <w:r w:rsidRPr="009F74C5">
        <w:rPr>
          <w:rFonts w:ascii="Arial" w:eastAsia="Times New Roman" w:hAnsi="Arial" w:cs="Arial"/>
          <w:sz w:val="20"/>
          <w:szCs w:val="20"/>
        </w:rPr>
        <w:t xml:space="preserve"> hoisting, telescoping out, or luffing out. Typically, those functions which decrease the severity of loading on the equipment remain operational, </w:t>
      </w:r>
      <w:r w:rsidRPr="009F74C5">
        <w:rPr>
          <w:rFonts w:ascii="Arial" w:eastAsia="Times New Roman" w:hAnsi="Arial" w:cs="Arial"/>
          <w:i/>
          <w:iCs/>
          <w:sz w:val="20"/>
          <w:szCs w:val="20"/>
        </w:rPr>
        <w:t>e.g.,</w:t>
      </w:r>
      <w:r w:rsidRPr="009F74C5">
        <w:rPr>
          <w:rFonts w:ascii="Arial" w:eastAsia="Times New Roman" w:hAnsi="Arial" w:cs="Arial"/>
          <w:sz w:val="20"/>
          <w:szCs w:val="20"/>
        </w:rPr>
        <w:t xml:space="preserve"> lowering, telescoping in, or luffing in.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Locomotive crane</w:t>
      </w:r>
      <w:r w:rsidRPr="009F74C5">
        <w:rPr>
          <w:rFonts w:ascii="Arial" w:eastAsia="Times New Roman" w:hAnsi="Arial" w:cs="Arial"/>
          <w:sz w:val="20"/>
          <w:szCs w:val="20"/>
        </w:rPr>
        <w:t xml:space="preserve"> means a crane mounted on a base or car equipped for travel on a railroad track.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Luffing jib limiting device</w:t>
      </w:r>
      <w:r w:rsidRPr="009F74C5">
        <w:rPr>
          <w:rFonts w:ascii="Arial" w:eastAsia="Times New Roman" w:hAnsi="Arial" w:cs="Arial"/>
          <w:sz w:val="20"/>
          <w:szCs w:val="20"/>
        </w:rPr>
        <w:t xml:space="preserve"> is similar to a boom hoist limiting device, except that it limits the movement of the luffing jib.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Marine hoisted personnel transfer device</w:t>
      </w:r>
      <w:r w:rsidRPr="009F74C5">
        <w:rPr>
          <w:rFonts w:ascii="Arial" w:eastAsia="Times New Roman" w:hAnsi="Arial" w:cs="Arial"/>
          <w:sz w:val="20"/>
          <w:szCs w:val="20"/>
        </w:rPr>
        <w:t xml:space="preserve"> means a device, such as a “transfer net,” that is designed to protect the employees being hoisted during a marine transfer and to facilitate rapid entry into and exit from the device. Such devices do not include boatswain's chairs when hoisted by equipment covered by this standard.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Marine worksite</w:t>
      </w:r>
      <w:r w:rsidRPr="009F74C5">
        <w:rPr>
          <w:rFonts w:ascii="Arial" w:eastAsia="Times New Roman" w:hAnsi="Arial" w:cs="Arial"/>
          <w:sz w:val="20"/>
          <w:szCs w:val="20"/>
        </w:rPr>
        <w:t xml:space="preserve"> means a construction worksite located in, on or above the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Mobile crane</w:t>
      </w:r>
      <w:r w:rsidRPr="009F74C5">
        <w:rPr>
          <w:rFonts w:ascii="Arial" w:eastAsia="Times New Roman" w:hAnsi="Arial" w:cs="Arial"/>
          <w:sz w:val="20"/>
          <w:szCs w:val="20"/>
        </w:rPr>
        <w:t xml:space="preserve"> means a lifting device incorporating a cable suspended latticed boom or hydraulic telescopic boom designed to be moved between operating locations by transport over the road.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Moving point-to-point</w:t>
      </w:r>
      <w:r w:rsidRPr="009F74C5">
        <w:rPr>
          <w:rFonts w:ascii="Arial" w:eastAsia="Times New Roman" w:hAnsi="Arial" w:cs="Arial"/>
          <w:sz w:val="20"/>
          <w:szCs w:val="20"/>
        </w:rPr>
        <w:t xml:space="preserve"> means the times during which an employee is in the process of going to or from a work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Multi-purpose machine</w:t>
      </w:r>
      <w:r w:rsidRPr="009F74C5">
        <w:rPr>
          <w:rFonts w:ascii="Arial" w:eastAsia="Times New Roman" w:hAnsi="Arial" w:cs="Arial"/>
          <w:sz w:val="20"/>
          <w:szCs w:val="20"/>
        </w:rPr>
        <w:t xml:space="preserve"> means a machine that is designed to be configured in various ways, at least one of which allows it to hoist (by means of a winch or hook) and horizontally move a suspended load. For example, a machine that can rotate and can be configured with removable forks/tongs (for use as a forklift) or with a winch pack, jib (with a hook at the end) or jib used in conjunction with a winch. When configured with the forks/tongs, it is not covered by this subpart. When configured with a winch pack, jib (with a hook at the end) or jib used in conjunction with a winch, it is covered by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Nationally recognized accrediting agency</w:t>
      </w:r>
      <w:r w:rsidRPr="009F74C5">
        <w:rPr>
          <w:rFonts w:ascii="Arial" w:eastAsia="Times New Roman" w:hAnsi="Arial" w:cs="Arial"/>
          <w:sz w:val="20"/>
          <w:szCs w:val="20"/>
        </w:rPr>
        <w:t xml:space="preserve"> is an organization that, due to its independence and expertise, is widely recognized as competent to accredit testing organizations. Examples of such accrediting agencies include, but are not limited to, the National Commission for Certifying Agencies and the American National Standards Institute.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Nonconductive</w:t>
      </w:r>
      <w:r w:rsidRPr="009F74C5">
        <w:rPr>
          <w:rFonts w:ascii="Arial" w:eastAsia="Times New Roman" w:hAnsi="Arial" w:cs="Arial"/>
          <w:sz w:val="20"/>
          <w:szCs w:val="20"/>
        </w:rPr>
        <w:t xml:space="preserve"> means that, because of the nature and condition of the materials used, and the conditions of use (including environmental conditions and condition of the material), the object in question has the property of not becoming energized (that is, it has high dielectric properties offering a high resistance to the passage of current under the conditions of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Operational aids</w:t>
      </w:r>
      <w:r w:rsidRPr="009F74C5">
        <w:rPr>
          <w:rFonts w:ascii="Arial" w:eastAsia="Times New Roman" w:hAnsi="Arial" w:cs="Arial"/>
          <w:sz w:val="20"/>
          <w:szCs w:val="20"/>
        </w:rPr>
        <w:t xml:space="preserve"> are devices that assist the operator in the safe operation of the crane by providing information or automatically taking control of a crane function. These include, but are not limited to, the devices listed in §1926.1416 (“listed operational aids”).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Operational controls</w:t>
      </w:r>
      <w:r w:rsidRPr="009F74C5">
        <w:rPr>
          <w:rFonts w:ascii="Arial" w:eastAsia="Times New Roman" w:hAnsi="Arial" w:cs="Arial"/>
          <w:sz w:val="20"/>
          <w:szCs w:val="20"/>
        </w:rPr>
        <w:t xml:space="preserve"> means levers, switches, pedals and other devices for controlling equipment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Operator</w:t>
      </w:r>
      <w:r w:rsidRPr="009F74C5">
        <w:rPr>
          <w:rFonts w:ascii="Arial" w:eastAsia="Times New Roman" w:hAnsi="Arial" w:cs="Arial"/>
          <w:sz w:val="20"/>
          <w:szCs w:val="20"/>
        </w:rPr>
        <w:t xml:space="preserve"> means a person who is operating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Overhead and gantry cranes</w:t>
      </w:r>
      <w:r w:rsidRPr="009F74C5">
        <w:rPr>
          <w:rFonts w:ascii="Arial" w:eastAsia="Times New Roman" w:hAnsi="Arial" w:cs="Arial"/>
          <w:sz w:val="20"/>
          <w:szCs w:val="20"/>
        </w:rPr>
        <w:t xml:space="preserve"> includes overhead/bridge cranes, semigantry, cantilever gantry, wall cranes, storage bridge cranes, launching gantry cranes, and similar equipment, irrespective of whether it travels on tracks, wheels, or other means.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Paragraph</w:t>
      </w:r>
      <w:r w:rsidRPr="009F74C5">
        <w:rPr>
          <w:rFonts w:ascii="Arial" w:eastAsia="Times New Roman" w:hAnsi="Arial" w:cs="Arial"/>
          <w:sz w:val="20"/>
          <w:szCs w:val="20"/>
        </w:rPr>
        <w:t xml:space="preserve"> refers to a paragraph in the same section of this subpart that the word “paragraph” is used,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Pendants</w:t>
      </w:r>
      <w:r w:rsidRPr="009F74C5">
        <w:rPr>
          <w:rFonts w:ascii="Arial" w:eastAsia="Times New Roman" w:hAnsi="Arial" w:cs="Arial"/>
          <w:sz w:val="20"/>
          <w:szCs w:val="20"/>
        </w:rPr>
        <w:t xml:space="preserve"> includes both wire and bar types. Wire type: A fixed length of wire rope with mechanical fittings at both ends for pinning segments of wire rope together. Bar type: Instead of wire rope, a bar is used. Pendants are typically used in a latticed boom crane system to easily change the length of the boom suspension system without completely changing the rope on the drum when the boom length is increased or decreased.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Personal fall arrest system</w:t>
      </w:r>
      <w:r w:rsidRPr="009F74C5">
        <w:rPr>
          <w:rFonts w:ascii="Arial" w:eastAsia="Times New Roman" w:hAnsi="Arial" w:cs="Arial"/>
          <w:sz w:val="20"/>
          <w:szCs w:val="20"/>
        </w:rPr>
        <w:t xml:space="preserve"> means a system used to arrest an employee in a fall from a working level. It consists of an anchorage, connectors, a body harness and may include a lanyard, deceleration device, lifeline, or suitable combination of these.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Portal crane</w:t>
      </w:r>
      <w:r w:rsidRPr="009F74C5">
        <w:rPr>
          <w:rFonts w:ascii="Arial" w:eastAsia="Times New Roman" w:hAnsi="Arial" w:cs="Arial"/>
          <w:sz w:val="20"/>
          <w:szCs w:val="20"/>
        </w:rPr>
        <w:t xml:space="preserve"> is a type of crane consisting of a rotating upperstructure, hoist machinery, and boom mounted on top of a structural gantry which may be fixed in one location or have travel capability. The gantry legs or columns usually have portal openings in between to allow passage of traffic beneath the gantry.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Power lines</w:t>
      </w:r>
      <w:r w:rsidRPr="009F74C5">
        <w:rPr>
          <w:rFonts w:ascii="Arial" w:eastAsia="Times New Roman" w:hAnsi="Arial" w:cs="Arial"/>
          <w:sz w:val="20"/>
          <w:szCs w:val="20"/>
        </w:rPr>
        <w:t xml:space="preserve"> means electric transmission and distribution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Procedures</w:t>
      </w:r>
      <w:r w:rsidRPr="009F74C5">
        <w:rPr>
          <w:rFonts w:ascii="Arial" w:eastAsia="Times New Roman" w:hAnsi="Arial" w:cs="Arial"/>
          <w:sz w:val="20"/>
          <w:szCs w:val="20"/>
        </w:rPr>
        <w:t xml:space="preserve"> include, but are not limited to: Instructions, diagrams, recommendations, warnings, specifications, protocols and limitations.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Proximity alarm</w:t>
      </w:r>
      <w:r w:rsidRPr="009F74C5">
        <w:rPr>
          <w:rFonts w:ascii="Arial" w:eastAsia="Times New Roman" w:hAnsi="Arial" w:cs="Arial"/>
          <w:sz w:val="20"/>
          <w:szCs w:val="20"/>
        </w:rPr>
        <w:t xml:space="preserve"> is a device that provides a warning of proximity to a power line and that has been listed, labeled, or accepted by a Nationally Recognized Testing Laboratory in accordance with 29 CFR 1910.7.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Qualified evaluator (not a third party)</w:t>
      </w:r>
      <w:r w:rsidRPr="009F74C5">
        <w:rPr>
          <w:rFonts w:ascii="Arial" w:eastAsia="Times New Roman" w:hAnsi="Arial" w:cs="Arial"/>
          <w:sz w:val="20"/>
          <w:szCs w:val="20"/>
        </w:rPr>
        <w:t xml:space="preserve"> means a person employed by the signal person's employer who has demonstrated that he/she is competent in accurately assessing whether individuals meet the Qualification Requirements in this subpart for a signal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Qualified evaluator (third party)</w:t>
      </w:r>
      <w:r w:rsidRPr="009F74C5">
        <w:rPr>
          <w:rFonts w:ascii="Arial" w:eastAsia="Times New Roman" w:hAnsi="Arial" w:cs="Arial"/>
          <w:sz w:val="20"/>
          <w:szCs w:val="20"/>
        </w:rPr>
        <w:t xml:space="preserve"> means an entity that, due to its independence and expertise, has demonstrated that it is competent in accurately assessing whether individuals meet the Qualification Requirements in this subpart for a signal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Qualified person</w:t>
      </w:r>
      <w:r w:rsidRPr="009F74C5">
        <w:rPr>
          <w:rFonts w:ascii="Arial" w:eastAsia="Times New Roman" w:hAnsi="Arial" w:cs="Arial"/>
          <w:sz w:val="20"/>
          <w:szCs w:val="20"/>
        </w:rPr>
        <w:t xml:space="preserve"> means a person who, by possession of a recognized degree, certificate, or professional standing, or who by extensive knowledge, training and experience, successfully demonstrated the ability to solve/resolve problems relating to the subject matter, the work, or the project.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Qualified rigger</w:t>
      </w:r>
      <w:r w:rsidRPr="009F74C5">
        <w:rPr>
          <w:rFonts w:ascii="Arial" w:eastAsia="Times New Roman" w:hAnsi="Arial" w:cs="Arial"/>
          <w:sz w:val="20"/>
          <w:szCs w:val="20"/>
        </w:rPr>
        <w:t xml:space="preserve"> is a rigger who meets the criteria for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lastRenderedPageBreak/>
        <w:t>Range control limit device</w:t>
      </w:r>
      <w:r w:rsidRPr="009F74C5">
        <w:rPr>
          <w:rFonts w:ascii="Arial" w:eastAsia="Times New Roman" w:hAnsi="Arial" w:cs="Arial"/>
          <w:sz w:val="20"/>
          <w:szCs w:val="20"/>
        </w:rPr>
        <w:t xml:space="preserve"> is a device that can be set by an equipment operator to limit movement of the boom or jib tip to a plane or multiple planes.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Range control warning device</w:t>
      </w:r>
      <w:r w:rsidRPr="009F74C5">
        <w:rPr>
          <w:rFonts w:ascii="Arial" w:eastAsia="Times New Roman" w:hAnsi="Arial" w:cs="Arial"/>
          <w:sz w:val="20"/>
          <w:szCs w:val="20"/>
        </w:rPr>
        <w:t xml:space="preserve"> is a device that can be set by an equipment operator to warn that the boom or jib tip is at a plane or multiple planes.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Rated capacity</w:t>
      </w:r>
      <w:r w:rsidRPr="009F74C5">
        <w:rPr>
          <w:rFonts w:ascii="Arial" w:eastAsia="Times New Roman" w:hAnsi="Arial" w:cs="Arial"/>
          <w:sz w:val="20"/>
          <w:szCs w:val="20"/>
        </w:rPr>
        <w:t xml:space="preserve"> means the maximum working load permitted by the manufacturer under specified working conditions. Such working conditions typically include a specific combination of factors such as equipment configuration, radii, boom length, and other parameters of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Rated capacity indicator: See</w:t>
      </w:r>
      <w:r w:rsidRPr="009F74C5">
        <w:rPr>
          <w:rFonts w:ascii="Arial" w:eastAsia="Times New Roman" w:hAnsi="Arial" w:cs="Arial"/>
          <w:sz w:val="20"/>
          <w:szCs w:val="20"/>
        </w:rPr>
        <w:t xml:space="preserve"> load moment indicator.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Rated capacity limiter: See</w:t>
      </w:r>
      <w:r w:rsidRPr="009F74C5">
        <w:rPr>
          <w:rFonts w:ascii="Arial" w:eastAsia="Times New Roman" w:hAnsi="Arial" w:cs="Arial"/>
          <w:sz w:val="20"/>
          <w:szCs w:val="20"/>
        </w:rPr>
        <w:t xml:space="preserve"> load moment limiter.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Repetitive pickup points</w:t>
      </w:r>
      <w:r w:rsidRPr="009F74C5">
        <w:rPr>
          <w:rFonts w:ascii="Arial" w:eastAsia="Times New Roman" w:hAnsi="Arial" w:cs="Arial"/>
          <w:sz w:val="20"/>
          <w:szCs w:val="20"/>
        </w:rPr>
        <w:t xml:space="preserve"> refer to, when operating on a short cycle operation, the rope being used on a single layer and being spooled repetitively over a short portion of the drum.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Running wire rope</w:t>
      </w:r>
      <w:r w:rsidRPr="009F74C5">
        <w:rPr>
          <w:rFonts w:ascii="Arial" w:eastAsia="Times New Roman" w:hAnsi="Arial" w:cs="Arial"/>
          <w:sz w:val="20"/>
          <w:szCs w:val="20"/>
        </w:rPr>
        <w:t xml:space="preserve"> means a wire rope that moves over sheaves or drums.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Runway</w:t>
      </w:r>
      <w:r w:rsidRPr="009F74C5">
        <w:rPr>
          <w:rFonts w:ascii="Arial" w:eastAsia="Times New Roman" w:hAnsi="Arial" w:cs="Arial"/>
          <w:sz w:val="20"/>
          <w:szCs w:val="20"/>
        </w:rPr>
        <w:t xml:space="preserve"> means a firm, level surface designed, prepared and designated as a path of travel for the weight and configuration of the crane being used to lift and travel with the crane suspended platform. An existing surface may be used as long as it meets these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Section</w:t>
      </w:r>
      <w:r w:rsidRPr="009F74C5">
        <w:rPr>
          <w:rFonts w:ascii="Arial" w:eastAsia="Times New Roman" w:hAnsi="Arial" w:cs="Arial"/>
          <w:sz w:val="20"/>
          <w:szCs w:val="20"/>
        </w:rPr>
        <w:t xml:space="preserve"> means a section of this subpart,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Sideboom crane</w:t>
      </w:r>
      <w:r w:rsidRPr="009F74C5">
        <w:rPr>
          <w:rFonts w:ascii="Arial" w:eastAsia="Times New Roman" w:hAnsi="Arial" w:cs="Arial"/>
          <w:sz w:val="20"/>
          <w:szCs w:val="20"/>
        </w:rPr>
        <w:t xml:space="preserve"> means a track-type or wheel-type tractor having a boom mounted on the side of the tractor, used for lifting, lowering or transporting a load suspended on the load hook. The boom or hook can be lifted or lowered in a vertical direction only.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Special hazard warnings</w:t>
      </w:r>
      <w:r w:rsidRPr="009F74C5">
        <w:rPr>
          <w:rFonts w:ascii="Arial" w:eastAsia="Times New Roman" w:hAnsi="Arial" w:cs="Arial"/>
          <w:sz w:val="20"/>
          <w:szCs w:val="20"/>
        </w:rPr>
        <w:t xml:space="preserve"> means warnings of site-specific hazards (for example, proximity of power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Stability (flotation device)</w:t>
      </w:r>
      <w:r w:rsidRPr="009F74C5">
        <w:rPr>
          <w:rFonts w:ascii="Arial" w:eastAsia="Times New Roman" w:hAnsi="Arial" w:cs="Arial"/>
          <w:sz w:val="20"/>
          <w:szCs w:val="20"/>
        </w:rPr>
        <w:t xml:space="preserve"> means the tendency of a barge, pontoons, vessel or other means of flotation to return to an upright position after having been inclined by an external force.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Standard Method</w:t>
      </w:r>
      <w:r w:rsidRPr="009F74C5">
        <w:rPr>
          <w:rFonts w:ascii="Arial" w:eastAsia="Times New Roman" w:hAnsi="Arial" w:cs="Arial"/>
          <w:sz w:val="20"/>
          <w:szCs w:val="20"/>
        </w:rPr>
        <w:t xml:space="preserve"> means the protocol in appendix A of this subpart for hand signals.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Such as</w:t>
      </w:r>
      <w:r w:rsidRPr="009F74C5">
        <w:rPr>
          <w:rFonts w:ascii="Arial" w:eastAsia="Times New Roman" w:hAnsi="Arial" w:cs="Arial"/>
          <w:sz w:val="20"/>
          <w:szCs w:val="20"/>
        </w:rPr>
        <w:t xml:space="preserve"> means “such as, but not limited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Superstructure: See</w:t>
      </w:r>
      <w:r w:rsidRPr="009F74C5">
        <w:rPr>
          <w:rFonts w:ascii="Arial" w:eastAsia="Times New Roman" w:hAnsi="Arial" w:cs="Arial"/>
          <w:sz w:val="20"/>
          <w:szCs w:val="20"/>
        </w:rPr>
        <w:t xml:space="preserve"> Upperworks.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Tagline</w:t>
      </w:r>
      <w:r w:rsidRPr="009F74C5">
        <w:rPr>
          <w:rFonts w:ascii="Arial" w:eastAsia="Times New Roman" w:hAnsi="Arial" w:cs="Arial"/>
          <w:sz w:val="20"/>
          <w:szCs w:val="20"/>
        </w:rPr>
        <w:t xml:space="preserve"> means a rope (usually fiber) attached to a lifted load for purposes of controlling load spinning and pendular motions or used to stabilize a bucket or magnet during material handling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Tender</w:t>
      </w:r>
      <w:r w:rsidRPr="009F74C5">
        <w:rPr>
          <w:rFonts w:ascii="Arial" w:eastAsia="Times New Roman" w:hAnsi="Arial" w:cs="Arial"/>
          <w:sz w:val="20"/>
          <w:szCs w:val="20"/>
        </w:rPr>
        <w:t xml:space="preserve"> means an individual responsible for monitoring and communicating with a diver.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Tilt up or tilt down operation</w:t>
      </w:r>
      <w:r w:rsidRPr="009F74C5">
        <w:rPr>
          <w:rFonts w:ascii="Arial" w:eastAsia="Times New Roman" w:hAnsi="Arial" w:cs="Arial"/>
          <w:sz w:val="20"/>
          <w:szCs w:val="20"/>
        </w:rPr>
        <w:t xml:space="preserve"> means raising/lowering a load from the horizontal to vertical or vertical to horizontal.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Tower crane</w:t>
      </w:r>
      <w:r w:rsidRPr="009F74C5">
        <w:rPr>
          <w:rFonts w:ascii="Arial" w:eastAsia="Times New Roman" w:hAnsi="Arial" w:cs="Arial"/>
          <w:sz w:val="20"/>
          <w:szCs w:val="20"/>
        </w:rPr>
        <w:t xml:space="preserve"> is a type of lifting structure which utilizes a vertical mast or tower to support a working boom (jib) in an elevated position. Loads are suspended from the working boom. While the working boom </w:t>
      </w:r>
      <w:r w:rsidRPr="009F74C5">
        <w:rPr>
          <w:rFonts w:ascii="Arial" w:eastAsia="Times New Roman" w:hAnsi="Arial" w:cs="Arial"/>
          <w:sz w:val="20"/>
          <w:szCs w:val="20"/>
        </w:rPr>
        <w:lastRenderedPageBreak/>
        <w:t>may be of the fixed type (horizontal or angled) or have luffing capability, it can always rotate to swing loads, either by rotating on the top of the tower (top slewing) or by the rotation of the tower (bottom slewing). The tower base may be fixed in one location or ballasted and moveable between locations. Mobile cranes that are configured with luffing jib and/or tower attachments are not considered tower cranes under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Travel bogie (tower cranes)</w:t>
      </w:r>
      <w:r w:rsidRPr="009F74C5">
        <w:rPr>
          <w:rFonts w:ascii="Arial" w:eastAsia="Times New Roman" w:hAnsi="Arial" w:cs="Arial"/>
          <w:sz w:val="20"/>
          <w:szCs w:val="20"/>
        </w:rPr>
        <w:t xml:space="preserve"> is an assembly of two or more axles arranged to permit vertical wheel displacement and equalize the loading on the wheels.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Trim</w:t>
      </w:r>
      <w:r w:rsidRPr="009F74C5">
        <w:rPr>
          <w:rFonts w:ascii="Arial" w:eastAsia="Times New Roman" w:hAnsi="Arial" w:cs="Arial"/>
          <w:sz w:val="20"/>
          <w:szCs w:val="20"/>
        </w:rPr>
        <w:t xml:space="preserve"> means angle of inclination about the transverse axis of a barge, pontoons, vessel or other means of floatation.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Two blocking</w:t>
      </w:r>
      <w:r w:rsidRPr="009F74C5">
        <w:rPr>
          <w:rFonts w:ascii="Arial" w:eastAsia="Times New Roman" w:hAnsi="Arial" w:cs="Arial"/>
          <w:sz w:val="20"/>
          <w:szCs w:val="20"/>
        </w:rPr>
        <w:t xml:space="preserve"> means a condition in which a component that is uppermost on the hoist line such as the load block, hook block, overhaul ball, or similar component, comes in contact with the boom tip, fixed upper block or similar component. This binds the system and continued application of power can cause failure of the hoist rope or other component.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Unavailable procedures</w:t>
      </w:r>
      <w:r w:rsidRPr="009F74C5">
        <w:rPr>
          <w:rFonts w:ascii="Arial" w:eastAsia="Times New Roman" w:hAnsi="Arial" w:cs="Arial"/>
          <w:sz w:val="20"/>
          <w:szCs w:val="20"/>
        </w:rPr>
        <w:t xml:space="preserve"> means procedures that are no longer available from the manufacturer, or have never been available, from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Upperstructure: See</w:t>
      </w:r>
      <w:r w:rsidRPr="009F74C5">
        <w:rPr>
          <w:rFonts w:ascii="Arial" w:eastAsia="Times New Roman" w:hAnsi="Arial" w:cs="Arial"/>
          <w:sz w:val="20"/>
          <w:szCs w:val="20"/>
        </w:rPr>
        <w:t xml:space="preserve"> Upperworks.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Upperworks</w:t>
      </w:r>
      <w:r w:rsidRPr="009F74C5">
        <w:rPr>
          <w:rFonts w:ascii="Arial" w:eastAsia="Times New Roman" w:hAnsi="Arial" w:cs="Arial"/>
          <w:sz w:val="20"/>
          <w:szCs w:val="20"/>
        </w:rPr>
        <w:t xml:space="preserve"> means the revolving frame of equipment on which the operating machinery (and many cases the engine) are mounted along with the operator's cab. The counterweight is typically supported on the rear of the upperstructure and the boom or other front end attachment is mounted on the front.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Up to</w:t>
      </w:r>
      <w:r w:rsidRPr="009F74C5">
        <w:rPr>
          <w:rFonts w:ascii="Arial" w:eastAsia="Times New Roman" w:hAnsi="Arial" w:cs="Arial"/>
          <w:sz w:val="20"/>
          <w:szCs w:val="20"/>
        </w:rPr>
        <w:t xml:space="preserve"> means “up to and including.”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Wire rope</w:t>
      </w:r>
      <w:r w:rsidRPr="009F74C5">
        <w:rPr>
          <w:rFonts w:ascii="Arial" w:eastAsia="Times New Roman" w:hAnsi="Arial" w:cs="Arial"/>
          <w:sz w:val="20"/>
          <w:szCs w:val="20"/>
        </w:rPr>
        <w:t xml:space="preserve"> means a flexible rope constructed by laying steel wires into various patterns of multi-wired strands around a core system to produce a helically wound rope.</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4" w:anchor="_top" w:history="1">
        <w:r w:rsidR="00D70103">
          <w:rPr>
            <w:rFonts w:ascii="Arial" w:eastAsia="Times New Roman" w:hAnsi="Arial" w:cs="Arial"/>
            <w:noProof/>
            <w:color w:val="0000FF"/>
            <w:sz w:val="17"/>
            <w:szCs w:val="17"/>
          </w:rPr>
          <w:drawing>
            <wp:inline distT="0" distB="0" distL="0" distR="0" wp14:anchorId="3712A488" wp14:editId="613ECF65">
              <wp:extent cx="152400" cy="152400"/>
              <wp:effectExtent l="0" t="0" r="0" b="0"/>
              <wp:docPr id="48" name="Picture 4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6" w:name="se29.8.1926_11402"/>
      <w:bookmarkEnd w:id="116"/>
      <w:r w:rsidRPr="009F74C5">
        <w:rPr>
          <w:rFonts w:ascii="Arial" w:eastAsia="Times New Roman" w:hAnsi="Arial" w:cs="Arial"/>
          <w:b/>
          <w:bCs/>
          <w:sz w:val="20"/>
          <w:szCs w:val="20"/>
        </w:rPr>
        <w:t>§1926.1402   Ground 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Definitions.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“Ground conditions” means the ability of the ground to support the equipment (including slope, compaction, and firmness).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“Supporting materials” means blocking, mats, cribbing, marsh buggies (in marshes/wetlands), or similar supporting materials or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equipment must not be assembled or used unless ground conditions are firm, drained, and graded to a sufficient extent so that, in conjunction (if necessary) with the use of supporting materials, the equipment manufacturer's specifications for adequate support and degree of level of the equipment are met. The requirement for the ground to be drained does not apply to marshes/wetlands.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controlling entity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Ensure that ground preparations necessary to meet the requirements in paragraph (b) of this section are provided.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Inform the user of the equipment and the operator of the location of hazards beneath the equipment set-up area (such as voids, tanks, utilities) if those hazards are identified in documents (such as site drawings, as-built drawings, and soil analyses) that are in the possession of the controlling entity (whether at the site or off-site) or the hazards are otherwise known to that controlling entity.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If there is no controlling entity for the project, the requirement in paragraph (c)(1) of this section must be met by the employer that has authority at the site to make or arrange for ground preparations needed to meet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If the A/D director or the operator determines that ground conditions do not meet the requirements in paragraph (b) of this section, that person's employer must have a discussion with the controlling entity regarding the ground preparations that are needed so that, with the use of suitable supporting materials/devices (if necessary), the requirements in paragraph (b) of this section can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This section does not apply to cranes designed for use on railroad tracks when used on railroad tracks that are part of the general railroad system of transportation that is regulated pursuant to the Federal Railroad Administration under 49 CFR part 213 and that comply with applicable Federal Railroad Administration requirements.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5" w:anchor="_top" w:history="1">
        <w:r w:rsidR="00D70103">
          <w:rPr>
            <w:rFonts w:ascii="Arial" w:eastAsia="Times New Roman" w:hAnsi="Arial" w:cs="Arial"/>
            <w:noProof/>
            <w:color w:val="0000FF"/>
            <w:sz w:val="17"/>
            <w:szCs w:val="17"/>
          </w:rPr>
          <w:drawing>
            <wp:inline distT="0" distB="0" distL="0" distR="0" wp14:anchorId="41A7354D" wp14:editId="46B49C1F">
              <wp:extent cx="152400" cy="152400"/>
              <wp:effectExtent l="0" t="0" r="0" b="0"/>
              <wp:docPr id="47" name="Picture 4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7" w:name="se29.8.1926_11403"/>
      <w:bookmarkEnd w:id="117"/>
      <w:r w:rsidRPr="009F74C5">
        <w:rPr>
          <w:rFonts w:ascii="Arial" w:eastAsia="Times New Roman" w:hAnsi="Arial" w:cs="Arial"/>
          <w:b/>
          <w:bCs/>
          <w:sz w:val="20"/>
          <w:szCs w:val="20"/>
        </w:rPr>
        <w:t>§1926.1403   Assembly/Disassembly—selection of manufacturer or employer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When assembling or disassembling equipment (or attachments), the employer must comply with all applicable manufacturer prohibitions and must comply with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Manufacturer procedures applicable to assembly and disassembly,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Employer procedures for assembly and disassembly. Employer procedures may be used only where the employer can demonstrate that the procedures used meet the requirements in §1926.1406.</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The employer must follow manufacturer procedures when an employer uses synthetic slings during assembly or disassembly rigging. (</w:t>
      </w:r>
      <w:r w:rsidRPr="009F74C5">
        <w:rPr>
          <w:rFonts w:ascii="Arial" w:eastAsia="Times New Roman" w:hAnsi="Arial" w:cs="Arial"/>
          <w:i/>
          <w:iCs/>
          <w:sz w:val="18"/>
          <w:szCs w:val="18"/>
        </w:rPr>
        <w:t>See</w:t>
      </w:r>
      <w:r w:rsidRPr="009F74C5">
        <w:rPr>
          <w:rFonts w:ascii="Arial" w:eastAsia="Times New Roman" w:hAnsi="Arial" w:cs="Arial"/>
          <w:sz w:val="18"/>
          <w:szCs w:val="18"/>
        </w:rPr>
        <w:t xml:space="preserve"> §1926.1404(r).)</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6" w:anchor="_top" w:history="1">
        <w:r w:rsidR="00D70103">
          <w:rPr>
            <w:rFonts w:ascii="Arial" w:eastAsia="Times New Roman" w:hAnsi="Arial" w:cs="Arial"/>
            <w:noProof/>
            <w:color w:val="0000FF"/>
            <w:sz w:val="17"/>
            <w:szCs w:val="17"/>
          </w:rPr>
          <w:drawing>
            <wp:inline distT="0" distB="0" distL="0" distR="0" wp14:anchorId="19D6203D" wp14:editId="469F88DF">
              <wp:extent cx="152400" cy="152400"/>
              <wp:effectExtent l="0" t="0" r="0" b="0"/>
              <wp:docPr id="46" name="Picture 4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8" w:name="se29.8.1926_11404"/>
      <w:bookmarkEnd w:id="118"/>
      <w:r w:rsidRPr="009F74C5">
        <w:rPr>
          <w:rFonts w:ascii="Arial" w:eastAsia="Times New Roman" w:hAnsi="Arial" w:cs="Arial"/>
          <w:b/>
          <w:bCs/>
          <w:sz w:val="20"/>
          <w:szCs w:val="20"/>
        </w:rPr>
        <w:t>§1926.1404   Assembly/Disassembly—general requirements (applies to all assembly and disassembly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Supervision—competent-qualified person.</w:t>
      </w:r>
      <w:r w:rsidRPr="009F74C5">
        <w:rPr>
          <w:rFonts w:ascii="Arial" w:eastAsia="Times New Roman" w:hAnsi="Arial" w:cs="Arial"/>
          <w:sz w:val="20"/>
          <w:szCs w:val="20"/>
        </w:rPr>
        <w:t xml:space="preserve"> (1) Assembly/disassembly must be directed by a person who meets the criteria for both a competent person and a qualified person, or by a competent person who is assisted by one or more qualified persons (“A/D director”).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the assembly/disassembly is being performed by only one person, that person must meet the criteria for both a competent person and a qualified person. For purposes of this standard, that person is considered the A/D director.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Knowledge of procedures.</w:t>
      </w:r>
      <w:r w:rsidRPr="009F74C5">
        <w:rPr>
          <w:rFonts w:ascii="Arial" w:eastAsia="Times New Roman" w:hAnsi="Arial" w:cs="Arial"/>
          <w:sz w:val="20"/>
          <w:szCs w:val="20"/>
        </w:rPr>
        <w:t xml:space="preserve"> The A/D director must understand the applicable assembly/disassembly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Review of procedures.</w:t>
      </w:r>
      <w:r w:rsidRPr="009F74C5">
        <w:rPr>
          <w:rFonts w:ascii="Arial" w:eastAsia="Times New Roman" w:hAnsi="Arial" w:cs="Arial"/>
          <w:sz w:val="20"/>
          <w:szCs w:val="20"/>
        </w:rPr>
        <w:t xml:space="preserve"> The A/D director must review the applicable assembly/disassembly procedures immediately prior to the commencement of assembly/disassembly unless the A/D director </w:t>
      </w:r>
      <w:r w:rsidRPr="009F74C5">
        <w:rPr>
          <w:rFonts w:ascii="Arial" w:eastAsia="Times New Roman" w:hAnsi="Arial" w:cs="Arial"/>
          <w:sz w:val="20"/>
          <w:szCs w:val="20"/>
        </w:rPr>
        <w:lastRenderedPageBreak/>
        <w:t>understands the procedures and has applied them to the same type and configuration of equipment (including accessories, if any).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Crew instructions.</w:t>
      </w:r>
      <w:r w:rsidRPr="009F74C5">
        <w:rPr>
          <w:rFonts w:ascii="Arial" w:eastAsia="Times New Roman" w:hAnsi="Arial" w:cs="Arial"/>
          <w:sz w:val="20"/>
          <w:szCs w:val="20"/>
        </w:rPr>
        <w:t xml:space="preserve"> (1) Before commencing assembly/disassembly operations, the A/D director must ensure that the crew members understand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Their tasks.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hazards associated with their tasks.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hazardous positions/locations that they need to avoid.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During assembly/disassembly operations, before a crew member takes on a different task, or when adding new personnel during the operations, the requirements in paragraphs (d)(1)(i) through (d)(1)(iii) of this section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Protecting assembly/disassembly crew members out of operator view.</w:t>
      </w:r>
      <w:r w:rsidRPr="009F74C5">
        <w:rPr>
          <w:rFonts w:ascii="Arial" w:eastAsia="Times New Roman" w:hAnsi="Arial" w:cs="Arial"/>
          <w:sz w:val="20"/>
          <w:szCs w:val="20"/>
        </w:rPr>
        <w:t xml:space="preserve"> (1) Before a crew member goes to a location that is out of view of the operator and is either in, on, or under the equipment, or near the equipment (or load) where the crew member could be injured by movement of the equipment (or load), the crew member must inform the operator that he/she is going to that location.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the operator knows that a crew member went to a location covered by paragraph (e)(1) of this section, the operator must not move any part of the equipment (or load) until the operator is informed in accordance with a pre-arranged system of communication that the crew member is in a safe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Working under the boom, jib or other components.</w:t>
      </w:r>
      <w:r w:rsidRPr="009F74C5">
        <w:rPr>
          <w:rFonts w:ascii="Arial" w:eastAsia="Times New Roman" w:hAnsi="Arial" w:cs="Arial"/>
          <w:sz w:val="20"/>
          <w:szCs w:val="20"/>
        </w:rPr>
        <w:t xml:space="preserve"> (1) When pins (or similar devices) are being removed, employees must not be under the boom, jib, or other components, except where the requirements of paragraph (f)(2)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Where the employer demonstrates that site constraints require one or more employees to be under the boom, jib, or other components when pins (or similar devices) are being removed, the A/D director must implement procedures that minimize the risk of unintended dangerous movement and minimize the duration and extent of exposure under the boom.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Non-mandatory appendix B of this subpart for an example.)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Capacity limits.</w:t>
      </w:r>
      <w:r w:rsidRPr="009F74C5">
        <w:rPr>
          <w:rFonts w:ascii="Arial" w:eastAsia="Times New Roman" w:hAnsi="Arial" w:cs="Arial"/>
          <w:sz w:val="20"/>
          <w:szCs w:val="20"/>
        </w:rPr>
        <w:t xml:space="preserve"> During all phases of assembly/disassembly, rated capacity limits for loads imposed on the equipment, equipment components (including rigging), lifting lugs and equipment accessories, must not be exceeded for the equipment being assembled/disassembled.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Addressing specific hazards.</w:t>
      </w:r>
      <w:r w:rsidRPr="009F74C5">
        <w:rPr>
          <w:rFonts w:ascii="Arial" w:eastAsia="Times New Roman" w:hAnsi="Arial" w:cs="Arial"/>
          <w:sz w:val="20"/>
          <w:szCs w:val="20"/>
        </w:rPr>
        <w:t xml:space="preserve"> The A/D director supervising the assembly/disassembly operation must address the hazards associated with the operation, which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Site and ground bearing conditions.</w:t>
      </w:r>
      <w:r w:rsidRPr="009F74C5">
        <w:rPr>
          <w:rFonts w:ascii="Arial" w:eastAsia="Times New Roman" w:hAnsi="Arial" w:cs="Arial"/>
          <w:sz w:val="20"/>
          <w:szCs w:val="20"/>
        </w:rPr>
        <w:t xml:space="preserve"> Site and ground conditions must be adequate for safe assembly/disassembly operations and to support the equipment during assembly/disassembly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§1926.1402 for ground condition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Blocking material.</w:t>
      </w:r>
      <w:r w:rsidRPr="009F74C5">
        <w:rPr>
          <w:rFonts w:ascii="Arial" w:eastAsia="Times New Roman" w:hAnsi="Arial" w:cs="Arial"/>
          <w:sz w:val="20"/>
          <w:szCs w:val="20"/>
        </w:rPr>
        <w:t xml:space="preserve"> The size, amount, condition and method of stacking the blocking must be sufficient to sustain the loads and maintain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Proper location of blocking.</w:t>
      </w:r>
      <w:r w:rsidRPr="009F74C5">
        <w:rPr>
          <w:rFonts w:ascii="Arial" w:eastAsia="Times New Roman" w:hAnsi="Arial" w:cs="Arial"/>
          <w:sz w:val="20"/>
          <w:szCs w:val="20"/>
        </w:rPr>
        <w:t xml:space="preserve"> When used to support lattice booms or components, blocking must be appropriately placed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Protect the structural integrity of the equipment,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Prevent dangerous movement and collapse.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Verifying assist crane loads.</w:t>
      </w:r>
      <w:r w:rsidRPr="009F74C5">
        <w:rPr>
          <w:rFonts w:ascii="Arial" w:eastAsia="Times New Roman" w:hAnsi="Arial" w:cs="Arial"/>
          <w:sz w:val="20"/>
          <w:szCs w:val="20"/>
        </w:rPr>
        <w:t xml:space="preserve"> When using an assist crane, the loads that will be imposed on the assist crane at each phase of assembly/disassembly must be verified in accordance with §1926.1417(o)(3) before assembly/disassembly begins.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Boom and jib pick points.</w:t>
      </w:r>
      <w:r w:rsidRPr="009F74C5">
        <w:rPr>
          <w:rFonts w:ascii="Arial" w:eastAsia="Times New Roman" w:hAnsi="Arial" w:cs="Arial"/>
          <w:sz w:val="20"/>
          <w:szCs w:val="20"/>
        </w:rPr>
        <w:t xml:space="preserve"> The point(s) of attachment of rigging to a boom (or boom sections or jib or jib sections) must be suitable for preventing structural damage and facilitating safe handling of these components.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Center of gravity.</w:t>
      </w:r>
      <w:r w:rsidRPr="009F74C5">
        <w:rPr>
          <w:rFonts w:ascii="Arial" w:eastAsia="Times New Roman" w:hAnsi="Arial" w:cs="Arial"/>
          <w:sz w:val="20"/>
          <w:szCs w:val="20"/>
        </w:rPr>
        <w:t xml:space="preserve"> (i) The center of gravity of the load must be identified if that is necessary for the method used for maintaining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there is insufficient information to accurately identify the center of gravity, measures designed to prevent unintended dangerous movement resulting from an inaccurate identification of the center of gravity must be used.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Non-mandatory appendix B of this subpart for an example.)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Stability upon pin removal.</w:t>
      </w:r>
      <w:r w:rsidRPr="009F74C5">
        <w:rPr>
          <w:rFonts w:ascii="Arial" w:eastAsia="Times New Roman" w:hAnsi="Arial" w:cs="Arial"/>
          <w:sz w:val="20"/>
          <w:szCs w:val="20"/>
        </w:rPr>
        <w:t xml:space="preserve"> The boom sections, boom suspension systems (such as gantry A-frames and jib struts), and components must be rigged or supported to maintain stability upon the removal of the pins.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Snagging.</w:t>
      </w:r>
      <w:r w:rsidRPr="009F74C5">
        <w:rPr>
          <w:rFonts w:ascii="Arial" w:eastAsia="Times New Roman" w:hAnsi="Arial" w:cs="Arial"/>
          <w:sz w:val="20"/>
          <w:szCs w:val="20"/>
        </w:rPr>
        <w:t xml:space="preserve"> Suspension ropes and pendants must not be allowed to catch on the boom or jib connection pins or cotter pins (including keepers and locking pins).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(9) </w:t>
      </w:r>
      <w:r w:rsidRPr="009F74C5">
        <w:rPr>
          <w:rFonts w:ascii="Arial" w:eastAsia="Times New Roman" w:hAnsi="Arial" w:cs="Arial"/>
          <w:i/>
          <w:iCs/>
          <w:sz w:val="20"/>
          <w:szCs w:val="20"/>
        </w:rPr>
        <w:t>Struck by counterweights.</w:t>
      </w:r>
      <w:r w:rsidRPr="009F74C5">
        <w:rPr>
          <w:rFonts w:ascii="Arial" w:eastAsia="Times New Roman" w:hAnsi="Arial" w:cs="Arial"/>
          <w:sz w:val="20"/>
          <w:szCs w:val="20"/>
        </w:rPr>
        <w:t xml:space="preserve"> The potential for unintended movement from inadequately supported counterweights and from hoisting counterweights.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Boom hoist brake failure.</w:t>
      </w:r>
      <w:r w:rsidRPr="009F74C5">
        <w:rPr>
          <w:rFonts w:ascii="Arial" w:eastAsia="Times New Roman" w:hAnsi="Arial" w:cs="Arial"/>
          <w:sz w:val="20"/>
          <w:szCs w:val="20"/>
        </w:rPr>
        <w:t xml:space="preserve"> Each time reliance is to be placed on the boom hoist brake to prevent boom movement during assembly/disassembly, the brake must be tested prior to such reliance to determine if it is sufficient to prevent boom movement. If it is not sufficient, a boom hoist pawl, other locking device/back-up braking device, or another method of preventing dangerous movement of the boom (such as blocking or using an assist crane) from a boom hoist brake failure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Loss of backward stability.</w:t>
      </w:r>
      <w:r w:rsidRPr="009F74C5">
        <w:rPr>
          <w:rFonts w:ascii="Arial" w:eastAsia="Times New Roman" w:hAnsi="Arial" w:cs="Arial"/>
          <w:sz w:val="20"/>
          <w:szCs w:val="20"/>
        </w:rPr>
        <w:t xml:space="preserve"> Backward stability before swinging the upperworks, travel, and when attaching or removing equipment components.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Wind speed and weather.</w:t>
      </w:r>
      <w:r w:rsidRPr="009F74C5">
        <w:rPr>
          <w:rFonts w:ascii="Arial" w:eastAsia="Times New Roman" w:hAnsi="Arial" w:cs="Arial"/>
          <w:sz w:val="20"/>
          <w:szCs w:val="20"/>
        </w:rPr>
        <w:t xml:space="preserve"> The effect of wind speed and weather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Cantilevered boom sections.</w:t>
      </w:r>
      <w:r w:rsidRPr="009F74C5">
        <w:rPr>
          <w:rFonts w:ascii="Arial" w:eastAsia="Times New Roman" w:hAnsi="Arial" w:cs="Arial"/>
          <w:sz w:val="20"/>
          <w:szCs w:val="20"/>
        </w:rPr>
        <w:t xml:space="preserve"> Manufacturer limitations on the maximum amount of boom supported only by cantilevering must not be exceeded. Where these are unavailable, a registered professional engineer familiar with the type of equipment involved must determine in writing this limitation, which must not be exceeded.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Weight of components.</w:t>
      </w:r>
      <w:r w:rsidRPr="009F74C5">
        <w:rPr>
          <w:rFonts w:ascii="Arial" w:eastAsia="Times New Roman" w:hAnsi="Arial" w:cs="Arial"/>
          <w:sz w:val="20"/>
          <w:szCs w:val="20"/>
        </w:rPr>
        <w:t xml:space="preserve"> The weight of each of the components must be readily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Components and configuration.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 The selection of components, and configuration of the equipment, that affect the capacity or safe operation of the equipment must be in accordance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Manufacturer instructions, prohibitions, limitations, and specifications. Where these are unavailable, a registered professional engineer familiar with the type of equipment involved must approve, in writing, the selection and configuration of components;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Approved modifications that meet the requirements of §1926.1434 (Equipment modifications).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Post-assembly inspection.</w:t>
      </w:r>
      <w:r w:rsidRPr="009F74C5">
        <w:rPr>
          <w:rFonts w:ascii="Arial" w:eastAsia="Times New Roman" w:hAnsi="Arial" w:cs="Arial"/>
          <w:sz w:val="20"/>
          <w:szCs w:val="20"/>
        </w:rPr>
        <w:t xml:space="preserve"> Upon completion of assembly, the equipment must be inspected to ensure compliance with paragraph (m)(1) of this section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§1926.1412(c) for post-assembly inspection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Shipping pins.</w:t>
      </w:r>
      <w:r w:rsidRPr="009F74C5">
        <w:rPr>
          <w:rFonts w:ascii="Arial" w:eastAsia="Times New Roman" w:hAnsi="Arial" w:cs="Arial"/>
          <w:sz w:val="20"/>
          <w:szCs w:val="20"/>
        </w:rPr>
        <w:t xml:space="preserve"> Reusable shipping pins, straps, links, and similar equipment must be removed. Once they are removed they must either be stowed or otherwise stored so that they do not present a falling object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(p) </w:t>
      </w:r>
      <w:r w:rsidRPr="009F74C5">
        <w:rPr>
          <w:rFonts w:ascii="Arial" w:eastAsia="Times New Roman" w:hAnsi="Arial" w:cs="Arial"/>
          <w:i/>
          <w:iCs/>
          <w:sz w:val="20"/>
          <w:szCs w:val="20"/>
        </w:rPr>
        <w:t>Pile driving.</w:t>
      </w:r>
      <w:r w:rsidRPr="009F74C5">
        <w:rPr>
          <w:rFonts w:ascii="Arial" w:eastAsia="Times New Roman" w:hAnsi="Arial" w:cs="Arial"/>
          <w:sz w:val="20"/>
          <w:szCs w:val="20"/>
        </w:rPr>
        <w:t xml:space="preserve"> Equipment used for pile driving must not have a jib attached during pile driving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(q) </w:t>
      </w:r>
      <w:r w:rsidRPr="009F74C5">
        <w:rPr>
          <w:rFonts w:ascii="Arial" w:eastAsia="Times New Roman" w:hAnsi="Arial" w:cs="Arial"/>
          <w:i/>
          <w:iCs/>
          <w:sz w:val="20"/>
          <w:szCs w:val="20"/>
        </w:rPr>
        <w:t>Outriggers and Stabilizers.</w:t>
      </w:r>
      <w:r w:rsidRPr="009F74C5">
        <w:rPr>
          <w:rFonts w:ascii="Arial" w:eastAsia="Times New Roman" w:hAnsi="Arial" w:cs="Arial"/>
          <w:sz w:val="20"/>
          <w:szCs w:val="20"/>
        </w:rPr>
        <w:t xml:space="preserve"> When the load to be handled and the operating radius require the use of outriggers or stabilizers, or at any time when outriggers or stabilizers are used, all of the following requirements must be met (except as otherwise indicated):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outriggers or stabilizers must be either fully extended or, if manufacturer procedures permit, deployed as specified in the load chart.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outriggers must be set to remove the equipment weight from the wheels, except for locomotive cranes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(q)(6) of this section for use of outriggers on locomotive cranes). This provision does not apply to stabilizers.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outrigger floats are used, they must be attached to the outriggers. When stabilizer floats are used, they must be attached to the stabilizers.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Each outrigger or stabilizer must be visible to the operator or to a signal person during extension and setting.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Outrigger and stabilizer blocking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Meet the requirements in paragraphs (h)(2) and (h)(3)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 placed only under the outrigger or stabilizer float/pad of the jack or, where the outrigger or stabilizer is designed without a jack, under the outer bearing surface of the extended outrigger or stabilizer beam.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For locomotive cranes, when using outriggers or stabilizers to handle loads, the manufacturer's procedures must be followed. When lifting loads without using outriggers or stabilizers, the manufacturer's procedures must be met regarding truck wedges or screws.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(r) </w:t>
      </w:r>
      <w:r w:rsidRPr="009F74C5">
        <w:rPr>
          <w:rFonts w:ascii="Arial" w:eastAsia="Times New Roman" w:hAnsi="Arial" w:cs="Arial"/>
          <w:i/>
          <w:iCs/>
          <w:sz w:val="20"/>
          <w:szCs w:val="20"/>
        </w:rPr>
        <w:t>Rigging.</w:t>
      </w:r>
      <w:r w:rsidRPr="009F74C5">
        <w:rPr>
          <w:rFonts w:ascii="Arial" w:eastAsia="Times New Roman" w:hAnsi="Arial" w:cs="Arial"/>
          <w:sz w:val="20"/>
          <w:szCs w:val="20"/>
        </w:rPr>
        <w:t xml:space="preserve"> In addition to following the requirements in 29 CFR 1926.251 and other requirements in this and other standards applicable to rigging, when rigging is used for assembly/disassembly,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rigging work is done by a qualified rigger.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Synthetic slings are protected from: Abrasive, sharp or acute edges, and configurations that could cause a reduction of the sling's rated capacity, such as distortion or localized compression.</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Requirements for the protection of wire rope slings are contained in 29 CFR 1926.251(c)(9).</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synthetic slings are used, the synthetic sling manufacturer's instructions, limitations, specifications and recommendations must be followed.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7" w:anchor="_top" w:history="1">
        <w:r w:rsidR="00D70103">
          <w:rPr>
            <w:rFonts w:ascii="Arial" w:eastAsia="Times New Roman" w:hAnsi="Arial" w:cs="Arial"/>
            <w:noProof/>
            <w:color w:val="0000FF"/>
            <w:sz w:val="17"/>
            <w:szCs w:val="17"/>
          </w:rPr>
          <w:drawing>
            <wp:inline distT="0" distB="0" distL="0" distR="0" wp14:anchorId="5A52934C" wp14:editId="2CE9A7E6">
              <wp:extent cx="152400" cy="152400"/>
              <wp:effectExtent l="0" t="0" r="0" b="0"/>
              <wp:docPr id="45" name="Picture 4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19" w:name="se29.8.1926_11405"/>
      <w:bookmarkEnd w:id="119"/>
      <w:r w:rsidRPr="009F74C5">
        <w:rPr>
          <w:rFonts w:ascii="Arial" w:eastAsia="Times New Roman" w:hAnsi="Arial" w:cs="Arial"/>
          <w:b/>
          <w:bCs/>
          <w:sz w:val="20"/>
          <w:szCs w:val="20"/>
        </w:rPr>
        <w:t>§1926.1405   Disassembly—additional requirements for dismantling of booms and jibs (applies to both the use of manufacturer procedures and employer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Dismantling (including dismantling for changing the length of) booms and jibs.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None of the pins in the pendants are to be removed (partly or completely) when the pendants are in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None of the pins (top or bottom) on boom sections located between the pendant attachment points and the crane/derrick body are to be removed (partly or completely) when the pendants are in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None of the pins (top or bottom) on boom sections located between the uppermost boom section and the crane/derrick body are to be removed (partly or completely) when the boom is being supported by the uppermost boom section resting on the ground (or other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None of the top pins on boom sections located on the cantilevered portion of the boom being removed (the portion being removed ahead of the pendant attachment points) are to be removed (partly or completely) until the cantilevered section to be removed is fully supported.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8" w:anchor="_top" w:history="1">
        <w:r w:rsidR="00D70103">
          <w:rPr>
            <w:rFonts w:ascii="Arial" w:eastAsia="Times New Roman" w:hAnsi="Arial" w:cs="Arial"/>
            <w:noProof/>
            <w:color w:val="0000FF"/>
            <w:sz w:val="17"/>
            <w:szCs w:val="17"/>
          </w:rPr>
          <w:drawing>
            <wp:inline distT="0" distB="0" distL="0" distR="0" wp14:anchorId="1ADADB81" wp14:editId="59239923">
              <wp:extent cx="152400" cy="152400"/>
              <wp:effectExtent l="0" t="0" r="0" b="0"/>
              <wp:docPr id="44" name="Picture 4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0" w:name="se29.8.1926_11406"/>
      <w:bookmarkEnd w:id="120"/>
      <w:r w:rsidRPr="009F74C5">
        <w:rPr>
          <w:rFonts w:ascii="Arial" w:eastAsia="Times New Roman" w:hAnsi="Arial" w:cs="Arial"/>
          <w:b/>
          <w:bCs/>
          <w:sz w:val="20"/>
          <w:szCs w:val="20"/>
        </w:rPr>
        <w:t>§1926.1406   Assembly/Disassembly—employer procedures—general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When using employer procedures instead of manufacturer procedures for assembly/disassembly, the employer must ensure that the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Prevent unintended dangerous movement, and prevent collapse, of any part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Provide adequate support and stability of all parts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Position employees involved in the assembly/disassembly operation so that their exposure to unintended movement or collapse of part or all of the equipment is minimized.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Qualified person.</w:t>
      </w:r>
      <w:r w:rsidRPr="009F74C5">
        <w:rPr>
          <w:rFonts w:ascii="Arial" w:eastAsia="Times New Roman" w:hAnsi="Arial" w:cs="Arial"/>
          <w:sz w:val="20"/>
          <w:szCs w:val="20"/>
        </w:rPr>
        <w:t xml:space="preserve"> Employer procedures must be developed by a qualified person.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59" w:anchor="_top" w:history="1">
        <w:r w:rsidR="00D70103">
          <w:rPr>
            <w:rFonts w:ascii="Arial" w:eastAsia="Times New Roman" w:hAnsi="Arial" w:cs="Arial"/>
            <w:noProof/>
            <w:color w:val="0000FF"/>
            <w:sz w:val="17"/>
            <w:szCs w:val="17"/>
          </w:rPr>
          <w:drawing>
            <wp:inline distT="0" distB="0" distL="0" distR="0" wp14:anchorId="45B6B32C" wp14:editId="0D048890">
              <wp:extent cx="152400" cy="152400"/>
              <wp:effectExtent l="0" t="0" r="0" b="0"/>
              <wp:docPr id="43" name="Picture 4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1" w:name="se29.8.1926_11407"/>
      <w:bookmarkEnd w:id="121"/>
      <w:r w:rsidRPr="009F74C5">
        <w:rPr>
          <w:rFonts w:ascii="Arial" w:eastAsia="Times New Roman" w:hAnsi="Arial" w:cs="Arial"/>
          <w:b/>
          <w:bCs/>
          <w:sz w:val="20"/>
          <w:szCs w:val="20"/>
        </w:rPr>
        <w:t>§1926.1407   Power line safety (up to 350 kV)—assembly and disassembly.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Before assembling or disassembling equipment, the employer must determine if any part of the equipment, load line, or load (including rigging and lifting accessories) could get, in the direction or area of assembly/disassembly, closer than 20 feet to a power line during the assembly/disassembly process. If so, the employer must meet the requirements in Option (1), Option (2), or Option (3) of this section,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Option (1)—Deenergize and ground.</w:t>
      </w:r>
      <w:r w:rsidRPr="009F74C5">
        <w:rPr>
          <w:rFonts w:ascii="Arial" w:eastAsia="Times New Roman" w:hAnsi="Arial" w:cs="Arial"/>
          <w:sz w:val="20"/>
          <w:szCs w:val="20"/>
        </w:rPr>
        <w:t xml:space="preserve"> Confirm from the utility owner/operator that the power line has been deenergized and visibly grounded at the worksite.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Option (2)</w:t>
      </w:r>
      <w:r w:rsidRPr="009F74C5">
        <w:rPr>
          <w:rFonts w:ascii="Arial" w:eastAsia="Times New Roman" w:hAnsi="Arial" w:cs="Arial"/>
          <w:sz w:val="20"/>
          <w:szCs w:val="20"/>
        </w:rPr>
        <w:t>—</w:t>
      </w:r>
      <w:r w:rsidRPr="009F74C5">
        <w:rPr>
          <w:rFonts w:ascii="Arial" w:eastAsia="Times New Roman" w:hAnsi="Arial" w:cs="Arial"/>
          <w:i/>
          <w:iCs/>
          <w:sz w:val="20"/>
          <w:szCs w:val="20"/>
        </w:rPr>
        <w:t>20 foot clearance.</w:t>
      </w:r>
      <w:r w:rsidRPr="009F74C5">
        <w:rPr>
          <w:rFonts w:ascii="Arial" w:eastAsia="Times New Roman" w:hAnsi="Arial" w:cs="Arial"/>
          <w:sz w:val="20"/>
          <w:szCs w:val="20"/>
        </w:rPr>
        <w:t xml:space="preserve"> Ensure that no part of the equipment, load line or load (including rigging and lifting accessories), gets closer than 20 feet to the power line by implementing the measures specified in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Option (3)</w:t>
      </w:r>
      <w:r w:rsidRPr="009F74C5">
        <w:rPr>
          <w:rFonts w:ascii="Arial" w:eastAsia="Times New Roman" w:hAnsi="Arial" w:cs="Arial"/>
          <w:sz w:val="20"/>
          <w:szCs w:val="20"/>
        </w:rPr>
        <w:t>—</w:t>
      </w:r>
      <w:r w:rsidRPr="009F74C5">
        <w:rPr>
          <w:rFonts w:ascii="Arial" w:eastAsia="Times New Roman" w:hAnsi="Arial" w:cs="Arial"/>
          <w:i/>
          <w:iCs/>
          <w:sz w:val="20"/>
          <w:szCs w:val="20"/>
        </w:rPr>
        <w:t>Table A clearance.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Determine the line's voltage and the minimum clearance distance permitted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Determine if any part of the equipment, load line, or load (including rigging and lifting accessories), could get closer than the minimum clearance distance to the power line permitted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 If so, then the employer must follow the requirements in paragraph (b) of this section to ensure that no part of the equipment, load line, or load (including rigging and lifting accessories), gets closer to the line than the minimum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Preventing encroachment/electrocution.</w:t>
      </w:r>
      <w:r w:rsidRPr="009F74C5">
        <w:rPr>
          <w:rFonts w:ascii="Arial" w:eastAsia="Times New Roman" w:hAnsi="Arial" w:cs="Arial"/>
          <w:sz w:val="20"/>
          <w:szCs w:val="20"/>
        </w:rPr>
        <w:t xml:space="preserve"> Where encroachment precautions are required under Option (2), or Option (3) of this section, all of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Conduct a planning meeting with the Assembly/Disassembly director (A/D director), operator, assembly/disassembly crew and the other workers who will be in the assembly/disassembly area to review the location of the power line(s) and the steps that will be implemented to prevent encroachment/electrocution.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tag lines are used, they must be nonconductive.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At least one of the following additional measures must be in place. The measure selected from this list must be effective in preventing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additional measures are: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Use a dedicated spotter who is in continuous contact with the equipment operator. The dedicated spotter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Be equipped with a visual aid to assist in identifying the minimum clearance distance. Examples of a visual aid include, but are not limited to: A clearly visible line painted on the ground; a clearly visible line of stanchions; a set of clearly visible line-of-sight landmarks (such as a fence post behind the dedicated spotter and a building corner ahead of the dedicated spotter).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Be positioned to effectively gauge the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(C) Where necessary, use equipment that enables the dedicated spotter to communicate directly with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Give timely information to the operator so that the required clearance distance can be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proximity alarm set to give the operator sufficient warning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 device that automatically warns the operator when to stop movement, such as a range control warning device. Such a device must be set to give the operator sufficient warning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device that automatically limits range of movement, set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An elevated warning line, barricade, or line of signs, in view of the operator, equipped with flags or similar high-visibility markings.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Assembly/disassembly below power lines prohibited.</w:t>
      </w:r>
      <w:r w:rsidRPr="009F74C5">
        <w:rPr>
          <w:rFonts w:ascii="Arial" w:eastAsia="Times New Roman" w:hAnsi="Arial" w:cs="Arial"/>
          <w:sz w:val="20"/>
          <w:szCs w:val="20"/>
        </w:rPr>
        <w:t xml:space="preserve"> No part of a crane/derrick, load line, or load (including rigging and lifting accessories), whether partially or fully assembled, is allowed below a power line unless the employer has confirmed that the utility owner/operator has deenergized and (at the worksite) visibly grounded the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Assembly/disassembly inside Table A clearance prohibited.</w:t>
      </w:r>
      <w:r w:rsidRPr="009F74C5">
        <w:rPr>
          <w:rFonts w:ascii="Arial" w:eastAsia="Times New Roman" w:hAnsi="Arial" w:cs="Arial"/>
          <w:sz w:val="20"/>
          <w:szCs w:val="20"/>
        </w:rPr>
        <w:t xml:space="preserve"> No part of a crane/derrick, load line, or load (including rigging and lifting accessories), whether partially or fully assembled, is allowed closer than the minimum approach distance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 to a power line unless the employer has confirmed that the utility owner/operator has deenergized and (at the worksite) visibly grounded the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Voltage information.</w:t>
      </w:r>
      <w:r w:rsidRPr="009F74C5">
        <w:rPr>
          <w:rFonts w:ascii="Arial" w:eastAsia="Times New Roman" w:hAnsi="Arial" w:cs="Arial"/>
          <w:sz w:val="20"/>
          <w:szCs w:val="20"/>
        </w:rPr>
        <w:t xml:space="preserve"> Where Option (3) of this section is used, the utility owner/operator of the power lines must provide the requested voltage information within two working days of the employer's request.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Power lines presumed energized.</w:t>
      </w:r>
      <w:r w:rsidRPr="009F74C5">
        <w:rPr>
          <w:rFonts w:ascii="Arial" w:eastAsia="Times New Roman" w:hAnsi="Arial" w:cs="Arial"/>
          <w:sz w:val="20"/>
          <w:szCs w:val="20"/>
        </w:rPr>
        <w:t xml:space="preserve"> The employer must assume that all power lines are energized unless the utility owner/operator confirms that the power line has been and continues to be deenergized and visibly grounded at the worksite.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Posting of electrocution warnings.</w:t>
      </w:r>
      <w:r w:rsidRPr="009F74C5">
        <w:rPr>
          <w:rFonts w:ascii="Arial" w:eastAsia="Times New Roman" w:hAnsi="Arial" w:cs="Arial"/>
          <w:sz w:val="20"/>
          <w:szCs w:val="20"/>
        </w:rPr>
        <w:t xml:space="preserve"> There must be at least one electrocution hazard warning conspicuously posted in the cab so that it is in view of the operator and (except for overhead gantry and tower cranes) at least two on the outside of the equipment.</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0" w:anchor="_top" w:history="1">
        <w:r w:rsidR="00D70103">
          <w:rPr>
            <w:rFonts w:ascii="Arial" w:eastAsia="Times New Roman" w:hAnsi="Arial" w:cs="Arial"/>
            <w:noProof/>
            <w:color w:val="0000FF"/>
            <w:sz w:val="17"/>
            <w:szCs w:val="17"/>
          </w:rPr>
          <w:drawing>
            <wp:inline distT="0" distB="0" distL="0" distR="0" wp14:anchorId="01F7AD2B" wp14:editId="15BB0E95">
              <wp:extent cx="152400" cy="152400"/>
              <wp:effectExtent l="0" t="0" r="0" b="0"/>
              <wp:docPr id="42" name="Picture 4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2" w:name="se29.8.1926_11408"/>
      <w:bookmarkEnd w:id="122"/>
      <w:r w:rsidRPr="009F74C5">
        <w:rPr>
          <w:rFonts w:ascii="Arial" w:eastAsia="Times New Roman" w:hAnsi="Arial" w:cs="Arial"/>
          <w:b/>
          <w:bCs/>
          <w:sz w:val="20"/>
          <w:szCs w:val="20"/>
        </w:rPr>
        <w:t>§1926.1408   Power line safety (up to 350 kV)—equipment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Hazard assessments and precautions inside the work zone.</w:t>
      </w:r>
      <w:r w:rsidRPr="009F74C5">
        <w:rPr>
          <w:rFonts w:ascii="Arial" w:eastAsia="Times New Roman" w:hAnsi="Arial" w:cs="Arial"/>
          <w:sz w:val="20"/>
          <w:szCs w:val="20"/>
        </w:rPr>
        <w:t xml:space="preserve"> Before beginning equipment operations, the employer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Identify the work zone by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Demarcating boundaries (such as with flags, or a device such as a range limit device or range control warning device) and prohibiting the operator from operating the equipment past those boundaries,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Defining the work zone as the area 360 degrees around the equipment, up to the equipment's maximum working radius.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Determine if any part of the equipment, load line or load (including rigging and lifting accessories), if operated up to the equipment's maximum working radius in the work zone, could get closer than 20 feet to a power line. If so, the employer must meet the requirements in Option (1), Option (2), or Option (3) of this section,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Option (1)—Deenergize and ground.</w:t>
      </w:r>
      <w:r w:rsidRPr="009F74C5">
        <w:rPr>
          <w:rFonts w:ascii="Arial" w:eastAsia="Times New Roman" w:hAnsi="Arial" w:cs="Arial"/>
          <w:sz w:val="20"/>
          <w:szCs w:val="20"/>
        </w:rPr>
        <w:t xml:space="preserve"> Confirm from the utility owner/operator that the power line has been deenergized and visibly grounded at the worksite.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Option (2)</w:t>
      </w:r>
      <w:r w:rsidRPr="009F74C5">
        <w:rPr>
          <w:rFonts w:ascii="Arial" w:eastAsia="Times New Roman" w:hAnsi="Arial" w:cs="Arial"/>
          <w:sz w:val="20"/>
          <w:szCs w:val="20"/>
        </w:rPr>
        <w:t>—</w:t>
      </w:r>
      <w:r w:rsidRPr="009F74C5">
        <w:rPr>
          <w:rFonts w:ascii="Arial" w:eastAsia="Times New Roman" w:hAnsi="Arial" w:cs="Arial"/>
          <w:i/>
          <w:iCs/>
          <w:sz w:val="20"/>
          <w:szCs w:val="20"/>
        </w:rPr>
        <w:t>20 foot clearance.</w:t>
      </w:r>
      <w:r w:rsidRPr="009F74C5">
        <w:rPr>
          <w:rFonts w:ascii="Arial" w:eastAsia="Times New Roman" w:hAnsi="Arial" w:cs="Arial"/>
          <w:sz w:val="20"/>
          <w:szCs w:val="20"/>
        </w:rPr>
        <w:t xml:space="preserve"> Ensure that no part of the equipment, load line, or load (including rigging and lifting accessories), gets closer than 20 feet to the power line by implementing the measures specified in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Option (3)</w:t>
      </w:r>
      <w:r w:rsidRPr="009F74C5">
        <w:rPr>
          <w:rFonts w:ascii="Arial" w:eastAsia="Times New Roman" w:hAnsi="Arial" w:cs="Arial"/>
          <w:sz w:val="20"/>
          <w:szCs w:val="20"/>
        </w:rPr>
        <w:t>—</w:t>
      </w:r>
      <w:r w:rsidRPr="009F74C5">
        <w:rPr>
          <w:rFonts w:ascii="Arial" w:eastAsia="Times New Roman" w:hAnsi="Arial" w:cs="Arial"/>
          <w:i/>
          <w:iCs/>
          <w:sz w:val="20"/>
          <w:szCs w:val="20"/>
        </w:rPr>
        <w:t>Table A clearance.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Determine the line's voltage and the minimum approach distance permitted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Determine if any part of the equipment, load line or load (including rigging and lifting accessories), while operating up to the equipment's maximum working radius in the work zone, could get closer than the minimum approach distance of the power line permitted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 If so, then the employer must follow the requirements in paragraph (b) of this section to ensure that no part of the equipment, load line, or load (including rigging and lifting accessories), gets closer to the line than the minimum approach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Preventing encroachment/electrocution.</w:t>
      </w:r>
      <w:r w:rsidRPr="009F74C5">
        <w:rPr>
          <w:rFonts w:ascii="Arial" w:eastAsia="Times New Roman" w:hAnsi="Arial" w:cs="Arial"/>
          <w:sz w:val="20"/>
          <w:szCs w:val="20"/>
        </w:rPr>
        <w:t xml:space="preserve"> Where encroachment precautions are required under Option (2) or Option (3) of this section, all of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Conduct a planning meeting with the operator and the other workers who will be in the area of the equipment or load to review the location of the power line(s), and the steps that will be implemented to prevent encroachment/electrocution.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tag lines are used, they must be non-conductive.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Erect and maintain an elevated warning line, barricade, or line of signs, in view of the operator, equipped with flags or similar high-visibility markings, at 20 feet from the power line (if using Option (2) of this section) or at the minimum approach distance under Table A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 (if using Option (3) of this section). If the operator is unable to see the elevated warning line, a dedicated spotter must be used as described in §1926.1408(b)(4)(ii) in addition to implementing one of the measures described in §§1926.1408(b)(4)(i), (iii), (iv) and (v).</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Implement at least one of the following measures: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proximity alarm set to give the operator sufficient warning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dedicated spotter who is in continuous contact with the operator. Where this measure is selected, the dedicated spotter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Be equipped with a visual aid to assist in identifying the minimum clearance distance. Examples of a visual aid include, but are not limited to: A clearly visible line painted on the ground; a clearly visible </w:t>
      </w:r>
      <w:r w:rsidRPr="009F74C5">
        <w:rPr>
          <w:rFonts w:ascii="Arial" w:eastAsia="Times New Roman" w:hAnsi="Arial" w:cs="Arial"/>
          <w:sz w:val="20"/>
          <w:szCs w:val="20"/>
        </w:rPr>
        <w:lastRenderedPageBreak/>
        <w:t>line of stanchions; a set of clearly visible line-of-sight landmarks (such as a fence post behind the dedicated spotter and a building corner ahead of the dedicated spotter).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Be positioned to effectively gauge the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Where necessary, use equipment that enables the dedicated spotter to communicate directly with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Give timely information to the operator so that the required clearance distance can be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 device that automatically warns the operator when to stop movement, such as a range control warning device. Such a device must be set to give the operator sufficient warning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device that automatically limits range of movement, set to prevent encroachment.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An insulating link/device, as defined in §1926.1401, installed at a point between the end of the load line (or below) and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requirements of paragraph (b)(4) of this section do not apply to work covered by subpart V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Voltage information.</w:t>
      </w:r>
      <w:r w:rsidRPr="009F74C5">
        <w:rPr>
          <w:rFonts w:ascii="Arial" w:eastAsia="Times New Roman" w:hAnsi="Arial" w:cs="Arial"/>
          <w:sz w:val="20"/>
          <w:szCs w:val="20"/>
        </w:rPr>
        <w:t xml:space="preserve"> Where Option (3) of this section is used, the utility owner/operator of the power lines must provide the requested voltage information within two working days of the employer's request.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Operations below power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No part of the equipment, load line, or load (including rigging and lifting accessories) is allowed below a power line unless the employer has confirmed that the utility owner/operator has deenergized and (at the worksite) visibly grounded the power line, except where one of the exceptions in paragraph (d)(2) of this section applies.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Exceptions.</w:t>
      </w:r>
      <w:r w:rsidRPr="009F74C5">
        <w:rPr>
          <w:rFonts w:ascii="Arial" w:eastAsia="Times New Roman" w:hAnsi="Arial" w:cs="Arial"/>
          <w:sz w:val="20"/>
          <w:szCs w:val="20"/>
        </w:rPr>
        <w:t xml:space="preserve"> Paragraph (d)(1) of this section is inapplicable where the employer demonstrates that one of the following applies: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work is covered by subpart V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For equipment with non-extensible booms: The uppermost part of the equipment, with the boom at true vertical, would be more than 20 feet below the plane of the power line or more than the Table A of this section minimum clearance distance below the plane of the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equipment with articulating or extensible booms: The uppermost part of the equipment, with the boom in the fully extended position, at true vertical, would be more than 20 feet below the plane of the power line or more than the Table A of this section minimum clearance distance below the plane of the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employer demonstrates that compliance with paragraph (d)(1) of this section is infeasible and meets the requirements of §1926.1410.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(e) </w:t>
      </w:r>
      <w:r w:rsidRPr="009F74C5">
        <w:rPr>
          <w:rFonts w:ascii="Arial" w:eastAsia="Times New Roman" w:hAnsi="Arial" w:cs="Arial"/>
          <w:i/>
          <w:iCs/>
          <w:sz w:val="20"/>
          <w:szCs w:val="20"/>
        </w:rPr>
        <w:t>Power lines presumed energized.</w:t>
      </w:r>
      <w:r w:rsidRPr="009F74C5">
        <w:rPr>
          <w:rFonts w:ascii="Arial" w:eastAsia="Times New Roman" w:hAnsi="Arial" w:cs="Arial"/>
          <w:sz w:val="20"/>
          <w:szCs w:val="20"/>
        </w:rPr>
        <w:t xml:space="preserve"> The employer must assume that all power lines are energized unless the utility owner/operator confirms that the power line has been and continues to be deenergized and visibly grounded at the worksite.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When working near transmitter/communication towers where the equipment is close enough for an electrical charge to be induced in the equipment or materials being handled, the transmitter must be deenergized or the following precautions must be taken: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equipment must be provided with an electrical ground.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tag lines are used, they must be non-conductive.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employer must train each operator and crew member assigned to work with the equipment on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procedures to be followed in the event of electrical contact with a power line. Such training must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Information regarding the danger of electrocution from the operator simultaneously touching the equipment and the ground.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importance to the operator's safety of remaining inside the cab except where there is an imminent danger of fire, explosion, or other emergency that necessitates leaving the cab.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safest means of evacuating from equipment that may be energized.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danger of the potentially energized zone around the equipment (step potential).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need for crew in the area to avoid approaching or touching the equipment and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Safe clearance distance from power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Power lines are presumed to be energized unless the utility owner/operator confirms that the power line has been and continues to be deenergized and visibly grounded at the worksite.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Power lines are presumed to be uninsulated unless the utility owner/operator or a registered engineer who is a qualified person with respect to electrical power transmission and distribution confirms that a line is insulated.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limitations of an insulating link/device, proximity alarm, and range control (and similar) device, if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procedures to be followed to properly ground equipment and the limitations of grounding.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Employees working as dedicated spotters must be trained to enable them to effectively perform their task, including training on the applicable requirements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Training under this section must be administered in accordance with §1926.1430(g).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(h) Devices originally designed by the manufacturer for use as: A safety device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§1926.1415), operational aid, or a means to prevent power line contact or electrocution, when used to comply with this section, must meet the manufacturer's procedures for use and conditions of use.</w:t>
      </w:r>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A—Minimum Clearance Distances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994"/>
        <w:gridCol w:w="7390"/>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w:t>
            </w:r>
            <w:r w:rsidRPr="009F74C5">
              <w:rPr>
                <w:rFonts w:ascii="Arial" w:eastAsia="Times New Roman" w:hAnsi="Arial" w:cs="Arial"/>
                <w:b/>
                <w:bCs/>
                <w:sz w:val="20"/>
                <w:szCs w:val="20"/>
              </w:rPr>
              <w:br/>
              <w:t>(nominal, kV, alternating current)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Minimum clearance distance</w:t>
            </w:r>
            <w:r w:rsidRPr="009F74C5">
              <w:rPr>
                <w:rFonts w:ascii="Arial" w:eastAsia="Times New Roman" w:hAnsi="Arial" w:cs="Arial"/>
                <w:b/>
                <w:bCs/>
                <w:sz w:val="20"/>
                <w:szCs w:val="20"/>
              </w:rPr>
              <w:br/>
              <w:t>(feet)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up to 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50 to 200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200 to 350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350 to 500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500 to 750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35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750 to 1,000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1,000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(as established by the utility owner/operator or registered professional engineer who is a qualified person with respect to electrical power transmission and distribution).</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b/>
          <w:bCs/>
          <w:sz w:val="20"/>
          <w:szCs w:val="20"/>
        </w:rPr>
        <w:t>Note:</w:t>
      </w:r>
      <w:r w:rsidRPr="009F74C5">
        <w:rPr>
          <w:rFonts w:ascii="Arial" w:eastAsia="Times New Roman" w:hAnsi="Arial" w:cs="Arial"/>
          <w:sz w:val="20"/>
          <w:szCs w:val="20"/>
        </w:rPr>
        <w:t xml:space="preserve"> The value that follows “to” is up to and includes that value. For example, over 50 to 200 means up to and including 200kV.</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1" w:anchor="_top" w:history="1">
        <w:r w:rsidR="00D70103">
          <w:rPr>
            <w:rFonts w:ascii="Arial" w:eastAsia="Times New Roman" w:hAnsi="Arial" w:cs="Arial"/>
            <w:noProof/>
            <w:color w:val="0000FF"/>
            <w:sz w:val="17"/>
            <w:szCs w:val="17"/>
          </w:rPr>
          <w:drawing>
            <wp:inline distT="0" distB="0" distL="0" distR="0" wp14:anchorId="442B3A4E" wp14:editId="49689A74">
              <wp:extent cx="152400" cy="152400"/>
              <wp:effectExtent l="0" t="0" r="0" b="0"/>
              <wp:docPr id="41" name="Picture 4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3" w:name="se29.8.1926_11409"/>
      <w:bookmarkEnd w:id="123"/>
      <w:r w:rsidRPr="009F74C5">
        <w:rPr>
          <w:rFonts w:ascii="Arial" w:eastAsia="Times New Roman" w:hAnsi="Arial" w:cs="Arial"/>
          <w:b/>
          <w:bCs/>
          <w:sz w:val="20"/>
          <w:szCs w:val="20"/>
        </w:rPr>
        <w:t>§1926.1409   Power line safety (over 350 kV).</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requirements of §1926.1407 and §1926.1408 apply to power lines over 350 kV except: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For power lines at or below 1000 kV, wherever the distance “20 feet” is specified, the distance “50 feet” must be substituted;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For power lines over 1000 kV, the minimum clearance distance must be established by the utility owner/operator or registered professional engineer who is a qualified person with respect to electrical power transmission and distribution.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2" w:anchor="_top" w:history="1">
        <w:r w:rsidR="00D70103">
          <w:rPr>
            <w:rFonts w:ascii="Arial" w:eastAsia="Times New Roman" w:hAnsi="Arial" w:cs="Arial"/>
            <w:noProof/>
            <w:color w:val="0000FF"/>
            <w:sz w:val="17"/>
            <w:szCs w:val="17"/>
          </w:rPr>
          <w:drawing>
            <wp:inline distT="0" distB="0" distL="0" distR="0" wp14:anchorId="4CFA1EFE" wp14:editId="3283E1B9">
              <wp:extent cx="152400" cy="152400"/>
              <wp:effectExtent l="0" t="0" r="0" b="0"/>
              <wp:docPr id="40" name="Picture 4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4" w:name="se29.8.1926_11410"/>
      <w:bookmarkEnd w:id="124"/>
      <w:r w:rsidRPr="009F74C5">
        <w:rPr>
          <w:rFonts w:ascii="Arial" w:eastAsia="Times New Roman" w:hAnsi="Arial" w:cs="Arial"/>
          <w:b/>
          <w:bCs/>
          <w:sz w:val="20"/>
          <w:szCs w:val="20"/>
        </w:rPr>
        <w:t>§1926.1410   Power line safety (all voltages)—equipment operations closer than the Table A zone.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Equipment operations in which any part of the equipment, load line, or load (including rigging and lifting accessories) is closer than the minimum approach distance under Table A of §1926.1408 to an energized power line is prohibited, except where the employer demonstrates that all of the following requirements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determines that it is infeasible to do the work without breaching the minimum approach distance under Table A of §1926.1408.</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The employer determines that, after consultation with the utility owner/operator, it is infeasible to deenergize and ground the power line or relocate the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Minimum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power line owner/operator or registered professional engineer who is a qualified person with respect to electrical power transmission and distribution determines the minimum clearance distance that must be maintained to prevent electrical contact in light of the on-site conditions. The factors that must be considered in making this determination include, but are not limited to: Conditions affecting atmospheric conductivity; time necessary to bring the equipment, load line, and load (including rigging and lifting accessories) to a complete stop; wind conditions; degree of sway in the power line; lighting conditions, and other conditions affecting the ability to prevent electrical contact.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Paragraph (c)(1) of this section does not apply to work covered by subpart V of this part; instead, for such work, the minimum approach distances established by the employer under sect;1926.960(c)(1)(i)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 planning meeting with the employer and utility owner/operator (or registered professional engineer who is a qualified person with respect to electrical power transmission and distribution) is held to determine the procedures that will be followed to prevent electrical contact and electrocution. At a minimum these procedures must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If the power line is equipped with a device that automatically reenergizes the circuit in the event of a power line contact, before the work begins, the automatic reclosing feature of the circuit interrupting device must be made inoperative if the design of the device permits.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 dedicated spotter who is in continuous contact with the operator. The dedicated spotter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 equipped with a visual aid to assist in identifying the minimum clearance distance. Examples of a visual aid include, but are not limited to: A line painted on the ground; a clearly visible line of stanchions; a set of clearly visible line-of-sight landmarks (such as a fence post behind the dedicated spotter and a building corner ahead of the dedicated spotter).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 positioned to effectively gauge the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necessary, use equipment that enables the dedicated spotter to communicate directly with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Give timely information to the operator so that the required clearance distance can be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An elevated warning line, or barricade (not attached to the crane), in view of the operator (either directly or through video equipment), equipped with flags or similar high-visibility markings, to prevent electrical contact. However, this provision does not apply to work covered by subpart V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Insulating link/device.</w:t>
      </w:r>
      <w:r w:rsidRPr="009F74C5">
        <w:rPr>
          <w:rFonts w:ascii="Arial" w:eastAsia="Times New Roman" w:hAnsi="Arial" w:cs="Arial"/>
          <w:sz w:val="20"/>
          <w:szCs w:val="20"/>
        </w:rPr>
        <w:t xml:space="preserve"> (i) An insulating link/device installed at a point between the end of the load line (or below) and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Paragraph (d)(4)(i) of this section does not apply to work covered by subpart V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Until November 8, 2011, the following procedure may be substituted for the requirement in paragraph (d)(4)(i) of this section: All employees, excluding equipment operators located on the equipment, who may come in contact with the equipment, the load line, or the load must be insulated or guarded from the equipment, the load line, and the load. Insulating gloves rated for the voltage involved are adequate insulation for the purposes of this paragraph.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Until November 8, 2013, the following procedure may be substituted for the requirement in (d)(4)(i)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must use a link/device manufactured on or before November 8, 2011, that meets the definition of an insulating link/device, except that it has not been approved by a Nationally Recognized Testing Laboratory, and that is maintained and used in accordance with manufacturer requirements and recommendations, and is installed at a point between the end of the load line (or below) and the load;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All employees, excluding equipment operators located on the equipment, who may come in contact with the equipment, the load line, or the load must be insulated or guarded from the equipment, the load line, and the load through an additional means other than the device described in paragraph (d)(4)(v)(A) of this section. Insulating gloves rated for the voltage involved are adequate additional means of protection for the purposes of this paragraph.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Nonconductive rigging if the rigging may be within the Table A of §1926.1408 distance during the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If the equipment is equipped with a device that automatically limits range of movement, it must be used and set to prevent any part of the equipment, load line, or load (including rigging and lifting accessories) from breaching the minimum approach distance established under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If a tag line is used, it must be of the nonconductive type.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Barricades forming a perimeter at least 10 feet away from the equipment to prevent unauthorized personnel from entering the work area. In areas where obstacles prevent the barricade from being at least 10 feet away, the barricade must be as far from the equipment as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Workers other than the operator must be prohibited from touching the load line above the insulating link/device and crane. Operators remotely operating the equipment from the ground must use either wireless controls that isolate the operator from the equipment or insulating mats that insulate the operator from the ground.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Only personnel essential to the operation are permitted to be in the area of the crane and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The equipment must be properly grounded.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Insulating line hose or cover-up must be installed by the utility owner/operator except where such devices are unavailable for the line voltages involved.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procedures developed to comply with paragraph (d) of this section are documented and immediately available on-site.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equipment user and utility owner/operator (or registered professional engineer) meet with the equipment operator and the other workers who will be in the area of the equipment or load to review the procedures that will be implemented to prevent breaching the minimum approach distance established in paragraph (c) of this section and prevent electrocution.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(g) The procedures developed to comply with paragraph (d) of this section are implemented.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The utility owner/operator (or registered professional engineer) and all employers of employees involved in the work must identify one person who will direct the implementation of the procedures. The person identified in accordance with this paragraph must direct the implementation of the procedures and must have the authority to stop work at any time to ensure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If a problem occurs implementing the procedures being used to comply with paragraph (d) of this section, or indicating that those procedures are inadequate to prevent electrocution, the employer must safely stop operations and either develop new procedures to comply with paragraph (d) of this section or have the utility owner/operator deenergize and visibly ground or relocate the power line before resuming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Devices originally designed by the manufacturer for use as a safety device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§1926.1415), operational aid, or a means to prevent power line contact or electrocution, when used to comply with this section, must comply with the manufacturer's procedures for use and conditions of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The employer must train each operator and crew member assigned to work with the equipment in accordance with §1926.1408(g).</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[75 FR 48135, Aug. 9, 2010, as amended at 79 FR 20743, Apr. 11, 2014]</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3" w:anchor="_top" w:history="1">
        <w:r w:rsidR="00D70103">
          <w:rPr>
            <w:rFonts w:ascii="Arial" w:eastAsia="Times New Roman" w:hAnsi="Arial" w:cs="Arial"/>
            <w:noProof/>
            <w:color w:val="0000FF"/>
            <w:sz w:val="17"/>
            <w:szCs w:val="17"/>
          </w:rPr>
          <w:drawing>
            <wp:inline distT="0" distB="0" distL="0" distR="0" wp14:anchorId="08773BD2" wp14:editId="613E90F3">
              <wp:extent cx="152400" cy="152400"/>
              <wp:effectExtent l="0" t="0" r="0" b="0"/>
              <wp:docPr id="39" name="Picture 3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5" w:name="se29.8.1926_11411"/>
      <w:bookmarkEnd w:id="125"/>
      <w:r w:rsidRPr="009F74C5">
        <w:rPr>
          <w:rFonts w:ascii="Arial" w:eastAsia="Times New Roman" w:hAnsi="Arial" w:cs="Arial"/>
          <w:b/>
          <w:bCs/>
          <w:sz w:val="20"/>
          <w:szCs w:val="20"/>
        </w:rPr>
        <w:t>§1926.1411   Power line safety—while traveling under or near power lines with no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This section establishes procedures and criteria that must be met for equipment traveling under or near a power line on a construction site with no load. Equipment traveling on a construction site with a load is governed by §§1926.1408, 1926.1409 or 1926.1410, whichever is appropriate, and §1926.1417(u).</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boom/mast and boom/mast support system are lowered sufficiently to meet the requirements of this paragraph.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clearances specified in Table T of this section are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effects of speed and terrain on equipment movement (including movement of the boom/mast) are considered so that those effects do not cause the minimum clearance distances specified in Table T of this section to be breached.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Dedicated spotter.</w:t>
      </w:r>
      <w:r w:rsidRPr="009F74C5">
        <w:rPr>
          <w:rFonts w:ascii="Arial" w:eastAsia="Times New Roman" w:hAnsi="Arial" w:cs="Arial"/>
          <w:sz w:val="20"/>
          <w:szCs w:val="20"/>
        </w:rPr>
        <w:t xml:space="preserve"> If any part of the equipment while traveling will get closer than 20 feet to the power line, the employer must ensure that a dedicated spotter who is in continuous contact with the driver/operator is used. The dedicated spotter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 positioned to effectively gauge the clearance distance.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Where necessary, use equipment that enables the dedicated spotter to communicate directly with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Give timely information to the operator so that the required clearance distance can be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Additional precautions for traveling in poor visibility.</w:t>
      </w:r>
      <w:r w:rsidRPr="009F74C5">
        <w:rPr>
          <w:rFonts w:ascii="Arial" w:eastAsia="Times New Roman" w:hAnsi="Arial" w:cs="Arial"/>
          <w:sz w:val="20"/>
          <w:szCs w:val="20"/>
        </w:rPr>
        <w:t xml:space="preserve"> When traveling at night, or in conditions of poor visibility, in addition to the measures specified in paragraphs (b)(1) through (4) of this section,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power lines are illuminated or another means of identifying the location of the lines is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safe path of travel is identified and used.</w:t>
      </w:r>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T—Minimum Clearance Distances While Traveling With No Load</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1994"/>
        <w:gridCol w:w="7390"/>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Voltage</w:t>
            </w:r>
            <w:r w:rsidRPr="009F74C5">
              <w:rPr>
                <w:rFonts w:ascii="Arial" w:eastAsia="Times New Roman" w:hAnsi="Arial" w:cs="Arial"/>
                <w:b/>
                <w:bCs/>
                <w:sz w:val="20"/>
                <w:szCs w:val="20"/>
              </w:rPr>
              <w:br/>
              <w:t>(nominal, kV, alternating current)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While traveling—minimum clearance distance</w:t>
            </w:r>
            <w:r w:rsidRPr="009F74C5">
              <w:rPr>
                <w:rFonts w:ascii="Arial" w:eastAsia="Times New Roman" w:hAnsi="Arial" w:cs="Arial"/>
                <w:b/>
                <w:bCs/>
                <w:sz w:val="20"/>
                <w:szCs w:val="20"/>
              </w:rPr>
              <w:br/>
              <w:t>(feet)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up to 0.75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.75 to 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50 to 345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345 to 750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750 to 1,000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1,000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(as established by the utility owner/operator or registered professional engineer who is a qualified person with respect to electrical power transmission and distribution).</w:t>
            </w:r>
          </w:p>
        </w:tc>
      </w:tr>
    </w:tbl>
    <w:p w:rsidR="00D70103" w:rsidRPr="009F74C5" w:rsidRDefault="000507F6" w:rsidP="00E16569">
      <w:pPr>
        <w:spacing w:before="200" w:after="100" w:afterAutospacing="1" w:line="240" w:lineRule="auto"/>
        <w:rPr>
          <w:rFonts w:ascii="Arial" w:eastAsia="Times New Roman" w:hAnsi="Arial" w:cs="Arial"/>
          <w:sz w:val="20"/>
          <w:szCs w:val="20"/>
        </w:rPr>
      </w:pPr>
      <w:hyperlink r:id="rId264" w:anchor="_top" w:history="1">
        <w:r w:rsidR="00D70103">
          <w:rPr>
            <w:rFonts w:ascii="Arial" w:eastAsia="Times New Roman" w:hAnsi="Arial" w:cs="Arial"/>
            <w:noProof/>
            <w:color w:val="0000FF"/>
            <w:sz w:val="17"/>
            <w:szCs w:val="17"/>
          </w:rPr>
          <w:drawing>
            <wp:inline distT="0" distB="0" distL="0" distR="0" wp14:anchorId="384B93D1" wp14:editId="46729516">
              <wp:extent cx="152400" cy="152400"/>
              <wp:effectExtent l="0" t="0" r="0" b="0"/>
              <wp:docPr id="38" name="Picture 3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6" w:name="se29.8.1926_11412"/>
      <w:bookmarkEnd w:id="126"/>
      <w:r w:rsidRPr="009F74C5">
        <w:rPr>
          <w:rFonts w:ascii="Arial" w:eastAsia="Times New Roman" w:hAnsi="Arial" w:cs="Arial"/>
          <w:b/>
          <w:bCs/>
          <w:sz w:val="20"/>
          <w:szCs w:val="20"/>
        </w:rPr>
        <w:t>§1926.1412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Modified equipment.</w:t>
      </w:r>
      <w:r w:rsidRPr="009F74C5">
        <w:rPr>
          <w:rFonts w:ascii="Arial" w:eastAsia="Times New Roman" w:hAnsi="Arial" w:cs="Arial"/>
          <w:sz w:val="20"/>
          <w:szCs w:val="20"/>
        </w:rPr>
        <w:t xml:space="preserve"> (1) Equipment that has had modifications or additions which affect the safe operation of the equipment (such as modifications or additions involving a safety device or operational aid, critical part of a control system, power plant, braking system, load-sustaining structural components, load hook, or in-use operating mechanism) or capacity must be inspected by a qualified person after such modifications/additions have been completed, prior to initial use. The inspection must meet all of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inspection must assure that the modifications or additions have been done in accordance with the approval obtained pursuant to §1926.1434 (Equipment modifications).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inspection must include functional testing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Equipment must not be used until an inspection under this paragraph demonstrates that the requirements of paragraph (a)(1)(i) of this section have been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Repaired/adjusted equipment.</w:t>
      </w:r>
      <w:r w:rsidRPr="009F74C5">
        <w:rPr>
          <w:rFonts w:ascii="Arial" w:eastAsia="Times New Roman" w:hAnsi="Arial" w:cs="Arial"/>
          <w:sz w:val="20"/>
          <w:szCs w:val="20"/>
        </w:rPr>
        <w:t xml:space="preserve"> (1) Equipment that has had a repair or adjustment that relates to safe operation (such as: A repair or adjustment to a safety device or operator aid, or to a critical part of a </w:t>
      </w:r>
      <w:r w:rsidRPr="009F74C5">
        <w:rPr>
          <w:rFonts w:ascii="Arial" w:eastAsia="Times New Roman" w:hAnsi="Arial" w:cs="Arial"/>
          <w:sz w:val="20"/>
          <w:szCs w:val="20"/>
        </w:rPr>
        <w:lastRenderedPageBreak/>
        <w:t>control system, power plant, braking system, load-sustaining structural components, load hook, or in-use operating mechanism), must be inspected by a qualified person after such a repair or adjustment has been completed, prior to initial use. The inspection must meet all of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qualified person must determine if the repair/adjustment meets manufacturer equipment criteria (where applicable and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manufacturer equipment criteria are unavailable or inapplicable, the qualified person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Determine if a registered professional engineer (RPE) is needed to develop criteria for the repair/adjustment. If an RPE is not needed, the employer must ensure that the criteria are developed by the qualified person. If an RPE is needed, the employer must ensure that they are developed by an RPE.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Determine if the repair/adjustment meets the criteria developed in accordance with paragraph (b)(1)(ii)(A)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inspection must include functional testing of the repaired/adjusted parts and other components that may be affected by the repair/adjustment.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Equipment must not be used until an inspection under this paragraph demonstrates that the repair/adjustment meets the requirements of paragraph (b)(1)(i) of this section (or, where applicable, paragraph (b)(1)(ii)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Post-assembly.</w:t>
      </w:r>
      <w:r w:rsidRPr="009F74C5">
        <w:rPr>
          <w:rFonts w:ascii="Arial" w:eastAsia="Times New Roman" w:hAnsi="Arial" w:cs="Arial"/>
          <w:sz w:val="20"/>
          <w:szCs w:val="20"/>
        </w:rPr>
        <w:t xml:space="preserve"> (1) Upon completion of assembly, the equipment must be inspected by a qualified person to assure that it is configured in accordance with manufacturer equipment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manufacturer equipment criteria are unavailable, a qualified person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Determine if a registered professional engineer (RPE) familiar with the type of equipment involved is needed to develop criteria for the equipment configuration. If an RPE is not needed, the employer must ensure that the criteria are developed by the qualified person. If an RPE is needed, the employer must ensure that they are developed by an RPE.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Determine if the equipment meets the criteria developed in accordance with paragraph (c)(2)(i)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Equipment must not be used until an inspection under this paragraph demonstrates that the equipment is configured in accordance with the applicable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Each shift.</w:t>
      </w:r>
      <w:r w:rsidRPr="009F74C5">
        <w:rPr>
          <w:rFonts w:ascii="Arial" w:eastAsia="Times New Roman" w:hAnsi="Arial" w:cs="Arial"/>
          <w:sz w:val="20"/>
          <w:szCs w:val="20"/>
        </w:rPr>
        <w:t xml:space="preserve"> (1) A competent person must begin a visual inspection prior to each shift the equipment will be used, which must be completed before or during that shift. The inspection must consist of observation for apparent deficiencies. Taking apart equipment components and booming down is not required as part of this inspection unless the results of the visual inspection or trial operation indicate that further investigation necessitating taking apart equipment components or booming down is needed. Determinations made in conducting the inspection must be reassessed in light of observations made during operation. At a minimum the inspection must include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Control mechanisms for maladjustments interfering with proper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Control and drive mechanisms for apparent excessive wear of components and contamination by lubricants, water or other foreign matter.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Air, hydraulic, and other pressurized lines for deterioration or leakage, particularly those which flex in normal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Hydraulic system for proper fluid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Hooks and latches for deformation, cracks, excessive wear, or damage such as from chemicals or heat.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Wire rope reeving for compliance with the manufacturer's 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Wire rope, in accordance with §1926.1413(a).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Electrical apparatus for malfunctioning, signs of apparent excessive deterioration, dirt or moisture accumulation.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Tires (when in use) for proper inflation and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Ground conditions around the equipment for proper support, including ground settling under and around outriggers/stabilizers and supporting foundations, ground water accumulation, or similar conditions. This paragraph does not apply to the inspection of ground conditions for railroad tracks and their underlying support when the railroad tracks are part of the general railroad system of transportation that is regulated pursuant to the Federal Railroad Administration under 49 CFR part 213.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 The equipment for level position within the tolerances specified by the equipment manufacturer's recommendations, both before each shift and after each move and setup.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 Operator cab windows for significant cracks, breaks, or other deficiencies that would hamper the operator's view.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(xiii) Rails, rail stops, rail clamps and supporting surfaces when the equipment has rail traveling. This paragraph does not apply to the inspection of rails, rail stops, rail clamps and supporting surfaces when the railroad tracks are part of the general railroad system of transportation that is regulated pursuant to the Federal Railroad Administration under 49 CFR part 213.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(xiv) Safety devices and operational aids for proper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If any deficiency in paragraphs (d)(1)(i) through (xiii) of this section (or in additional inspection items required to be checked for specific types of equipment in accordance with other sections of this standard) is identified, an immediate determination must be made by the competent person as to whether the deficiency constitutes a safety hazard. If the deficiency is determined to constitute a safety hazard, the equipment must be taken out of service until it has been corrected.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any deficiency in paragraph (d)(1)(xiv) of this section (safety devices/operational aids) is identified, the action specified in §1926.1415 and §1926.1416 must be taken prior to using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Monthly.</w:t>
      </w:r>
      <w:r w:rsidRPr="009F74C5">
        <w:rPr>
          <w:rFonts w:ascii="Arial" w:eastAsia="Times New Roman" w:hAnsi="Arial" w:cs="Arial"/>
          <w:sz w:val="20"/>
          <w:szCs w:val="20"/>
        </w:rPr>
        <w:t xml:space="preserve"> (1) Each month the equipment is in service it must be inspected in accordance with paragraph (d) of this section (each shift).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Equipment must not be used until an inspection under this paragraph demonstrates that no corrective action under paragraphs (d)(2) and (3) of this section is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Documentation.</w:t>
      </w:r>
      <w:r w:rsidRPr="009F74C5">
        <w:rPr>
          <w:rFonts w:ascii="Arial" w:eastAsia="Times New Roman" w:hAnsi="Arial" w:cs="Arial"/>
          <w:sz w:val="20"/>
          <w:szCs w:val="20"/>
        </w:rPr>
        <w:t xml:space="preserve"> (i) The following information must be documented and maintained by the employer that conducts the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items checked and the results of the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name and signature of the person who conducted the inspection and the date.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This document must be retained for a minimum of three months.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Annual/comprehensive.</w:t>
      </w:r>
      <w:r w:rsidRPr="009F74C5">
        <w:rPr>
          <w:rFonts w:ascii="Arial" w:eastAsia="Times New Roman" w:hAnsi="Arial" w:cs="Arial"/>
          <w:sz w:val="20"/>
          <w:szCs w:val="20"/>
        </w:rPr>
        <w:t xml:space="preserve"> (1) At least every 12 months the equipment must be inspected by a qualified person in accordance with paragraph (d) of this section (each shift) except that the corrective action set forth in paragraphs (f)(4), (f)(5), and (f)(6) of this section must apply in place of the corrective action required by paragraphs (d)(2) and (d)(3)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 addition, at least every 12 months, the equipment must be inspected by a qualified person. Disassembly is required, as necessary, to complete the inspection. The equipment must be inspected for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Equipment structure (including the boom and, if equipped, the jib):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Structural members: Deformed, cracked, or significantly corroded.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Bolts, rivets and other fasteners: loose, failed or significantly corroded.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Welds for cracks.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Sheaves and drums for cracks or significant wear.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Parts such as pins, bearings, shafts, gears, rollers and locking devices for distortion, cracks or significant wear.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Brake and clutch system parts, linings, pawls and ratchets for excessive wear.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Safety devices and operational aids for proper operation (including significant inaccuracies).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Gasoline, diesel, electric, or other power plants for safety-related problems (such as leaking exhaust and emergency shut-down feature) and conditions, and proper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Chains and chain drive sprockets for excessive wear of sprockets and excessive chain stretch.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Travel steering, brakes, and locking devices, for proper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Tires for damage or excessive wear.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Hydraulic, pneumatic and other pressurized hoses, fittings and tubing,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Flexible hose or its junction with the fittings for indications of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Threaded or clamped joints for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(C) Outer covering of the hose for blistering, abnormal deformation or other signs of failure/impending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Outer surface of a hose, rigid tube, or fitting for indications of excessive abrasion or scrubbing.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 Hydraulic and pneumatic pumps and motors,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Performance indicators: Unusual noises or vibration, low operating speed, excessive heating of the fluid, low pressure.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Loose bolts or fasteners.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Shaft seals and joints between pump sections for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 Hydraulic and pneumatic valves,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Spools: Sticking, improper return to neutral, and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Valve housing cracks.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Relief valves: Failure to reach correct pressure (if there is a manufacturer procedure for checking pressure, it must be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(xiii) Hydraulic and pneumatic cylinders,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Drifting caused by fluid leaking across the piston.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Rod seals and welded joints for leaks.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Cylinder rods for scores, nicks, or dents.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Case (barrel) for significant dents.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Rod eyes and connecting joints: Loose or deformed.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(xiv) Outrigger or stabilizer pads/floats for excessive wear or cracks.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 Slider pads for excessive wear or cracks.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(xvi) Electrical components and wiring for cracked or split insulation and loose or corroded terminations.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(xvii) Warning labels and decals originally supplied with the equipment by the manufacturer or otherwise required under this standard: Missing or unreadable.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(xviii) Originally equipped operator seat (or equivalent): Missing.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(xix) Operator seat: Unserviceable.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(xx) Originally equipped steps, ladders, handrails, guards: Missing.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(xxi) Steps, ladders, handrails, guards: In unusable/unsafe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This inspection must include functional testing to determine that the equipment as configured in the inspection is functioning properly.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If any deficiency is identified, an immediate determination must be made by the qualified person as to whether the deficiency constitutes a safety hazard or, though not yet a safety hazard, needs to be monitored in the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If the qualified person determines that a deficiency is a safety hazard, the equipment must be taken out of service until it has been corrected, except when temporary alternative measures are implemented as specified in §1926.1416(d) or §1926.1435(e).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If the qualified person determines that, though not presently a safety hazard, the deficiency needs to be monitored, the employer must ensure that the deficiency is checked in the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Documentation of annual/comprehensive inspection.</w:t>
      </w:r>
      <w:r w:rsidRPr="009F74C5">
        <w:rPr>
          <w:rFonts w:ascii="Arial" w:eastAsia="Times New Roman" w:hAnsi="Arial" w:cs="Arial"/>
          <w:sz w:val="20"/>
          <w:szCs w:val="20"/>
        </w:rPr>
        <w:t xml:space="preserve"> The following information must be documented, maintained, and retained for a minimum of 12 months, by the employer that conducts the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items checked and the results of the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name and signature of the person who conducted the inspection and the date.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Severe service.</w:t>
      </w:r>
      <w:r w:rsidRPr="009F74C5">
        <w:rPr>
          <w:rFonts w:ascii="Arial" w:eastAsia="Times New Roman" w:hAnsi="Arial" w:cs="Arial"/>
          <w:sz w:val="20"/>
          <w:szCs w:val="20"/>
        </w:rPr>
        <w:t xml:space="preserve"> Where the severity of use/conditions is such that there is a reasonable probability of damage or excessive wear (such as loading that may have exceeded rated capacity, shock loading that may have exceeded rated capacity, prolonged exposure to a corrosive atmosphere), the employer must stop using the equipment and a qualified person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Inspect the equipment for structural damage to determine if the equipment can continue to be used safely.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 light of the use/conditions determine whether any items/conditions listed in paragraph (f) of this section need to be inspected; if so, the qualified person must inspect those items/conditions.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a deficiency is found, the employer must follow the requirements in paragraphs (f)(4) through (6)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Equipment not in regular use.</w:t>
      </w:r>
      <w:r w:rsidRPr="009F74C5">
        <w:rPr>
          <w:rFonts w:ascii="Arial" w:eastAsia="Times New Roman" w:hAnsi="Arial" w:cs="Arial"/>
          <w:sz w:val="20"/>
          <w:szCs w:val="20"/>
        </w:rPr>
        <w:t xml:space="preserve"> Equipment that has been idle for 3 months or more must be inspected by a qualified person in accordance with the requirements of paragraph (e) (Monthly) of this section before initial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Any part of a manufacturer's procedures regarding inspections that relate to safe operation (such as to a safety device or operational aid, critical part of a control system, power plant, braking system, load-sustaining structural components, load hook, or in-use operating mechanism) that is more comprehensive or has a more frequent schedule of inspection than the requirements of this section must be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(k) All documents produced under this section must be available, during the applicable document retention period, to all persons who conduct inspections under this section.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5" w:anchor="_top" w:history="1">
        <w:r w:rsidR="00D70103">
          <w:rPr>
            <w:rFonts w:ascii="Arial" w:eastAsia="Times New Roman" w:hAnsi="Arial" w:cs="Arial"/>
            <w:noProof/>
            <w:color w:val="0000FF"/>
            <w:sz w:val="17"/>
            <w:szCs w:val="17"/>
          </w:rPr>
          <w:drawing>
            <wp:inline distT="0" distB="0" distL="0" distR="0" wp14:anchorId="34CE56DE" wp14:editId="6AE74F5F">
              <wp:extent cx="152400" cy="152400"/>
              <wp:effectExtent l="0" t="0" r="0" b="0"/>
              <wp:docPr id="37" name="Picture 3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7" w:name="se29.8.1926_11413"/>
      <w:bookmarkEnd w:id="127"/>
      <w:r w:rsidRPr="009F74C5">
        <w:rPr>
          <w:rFonts w:ascii="Arial" w:eastAsia="Times New Roman" w:hAnsi="Arial" w:cs="Arial"/>
          <w:b/>
          <w:bCs/>
          <w:sz w:val="20"/>
          <w:szCs w:val="20"/>
        </w:rPr>
        <w:t>§1926.1413   Wire rope—inspection.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Shift inspection.</w:t>
      </w:r>
      <w:r w:rsidRPr="009F74C5">
        <w:rPr>
          <w:rFonts w:ascii="Arial" w:eastAsia="Times New Roman" w:hAnsi="Arial" w:cs="Arial"/>
          <w:sz w:val="20"/>
          <w:szCs w:val="20"/>
        </w:rPr>
        <w:t xml:space="preserve"> (1) A competent person must begin a visual inspection prior to each shift the equipment is used, which must be completed before or during that shift. The inspection must consist of observation of wire ropes (running and standing) that are likely to be in use during the shift for apparent deficiencies, including those listed in paragraph (a)(2) of this section. Untwisting (opening) of wire rope or booming down is not required as part of this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Apparent deficiencies</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Category I.</w:t>
      </w:r>
      <w:r w:rsidRPr="009F74C5">
        <w:rPr>
          <w:rFonts w:ascii="Arial" w:eastAsia="Times New Roman" w:hAnsi="Arial" w:cs="Arial"/>
          <w:sz w:val="20"/>
          <w:szCs w:val="20"/>
        </w:rPr>
        <w:t xml:space="preserve"> Apparent deficiencies in this category include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Significant distortion of the wire rope structure such as kinking, crushing, unstranding, birdcaging, signs of core failure or steel core protrusion between the outer strands.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Significant corrosion.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Electric arc damage (from a source other than power lines) or heat damage.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Improperly applied end connections.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Significantly corroded, cracked, bent, or worn end connections (such as from severe service).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Category II.</w:t>
      </w:r>
      <w:r w:rsidRPr="009F74C5">
        <w:rPr>
          <w:rFonts w:ascii="Arial" w:eastAsia="Times New Roman" w:hAnsi="Arial" w:cs="Arial"/>
          <w:sz w:val="20"/>
          <w:szCs w:val="20"/>
        </w:rPr>
        <w:t xml:space="preserve"> Apparent deficiencies in this category are: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Visible broken wires,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In running wire ropes: Six randomly distributed broken wires in one rope lay or three broken wires in one strand in one rope lay, where a rope lay is the length along the rope in which one strand makes a complete revolution around the rope.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In rotation resistant ropes: Two randomly distributed broken wires in six rope diameters or four randomly distributed broken wires in 30 rope diameters.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In pendants or standing wire ropes: More than two broken wires in one rope lay located in rope beyond end connections and/or more than one broken wire in a rope lay located at an end connection.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diameter reduction of more than 5% from nominal diameter.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Category III.</w:t>
      </w:r>
      <w:r w:rsidRPr="009F74C5">
        <w:rPr>
          <w:rFonts w:ascii="Arial" w:eastAsia="Times New Roman" w:hAnsi="Arial" w:cs="Arial"/>
          <w:sz w:val="20"/>
          <w:szCs w:val="20"/>
        </w:rPr>
        <w:t xml:space="preserve"> Apparent deficiencies in this category include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In rotation resistant wire rope, core protrusion or other distortion indicating core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Prior electrical contact with a power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A broken strand.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Critical review items.</w:t>
      </w:r>
      <w:r w:rsidRPr="009F74C5">
        <w:rPr>
          <w:rFonts w:ascii="Arial" w:eastAsia="Times New Roman" w:hAnsi="Arial" w:cs="Arial"/>
          <w:sz w:val="20"/>
          <w:szCs w:val="20"/>
        </w:rPr>
        <w:t xml:space="preserve"> The competent person must give particular attention to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Rotation resistant wire rope in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Wire rope being used for boom hoists and luffing hoists, particularly at reverse bends.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Wire rope at flange points, crossover points and repetitive pickup points on drums.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Wire rope at or near terminal ends.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Wire rope in contact with saddles, equalizer sheaves or other sheaves where rope travel is limited.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Removal from service.</w:t>
      </w:r>
      <w:r w:rsidRPr="009F74C5">
        <w:rPr>
          <w:rFonts w:ascii="Arial" w:eastAsia="Times New Roman" w:hAnsi="Arial" w:cs="Arial"/>
          <w:sz w:val="20"/>
          <w:szCs w:val="20"/>
        </w:rPr>
        <w:t xml:space="preserve"> (i) If a deficiency in Category I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(a)(2)(i) of this section) is identified, an immediate determination must be made by the competent person as to whether the deficiency constitutes a safety hazard. If the deficiency is determined to constitute a safety hazard, operations involving use of the wire rope in question must be prohibited until: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wire rope is replaced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the deficiency is localized, the problem is corrected by severing the wire rope in two; the undamaged portion may continue to be used. Joining lengths of wire rope by splicing is prohibited. If a rope is shortened under this paragraph, the employer must ensure that the drum will still have two wraps of wire when the load and/or boom is in its lowest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a deficiency in Category II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(a)(2)(ii) of this section) is identified, operations involving use of the wire rope in question must be prohibited until: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complies with the wire rope manufacturer's established criterion for removal from service or a different criterion that the wire rope manufacturer has approved in writing for that specific wire rope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wire rope is replaced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If the deficiency is localized, the problem is corrected by severing the wire rope in two; the undamaged portion may continue to be used. Joining lengths of wire rope by splicing is prohibited. If a rope is shortened under this paragraph, the employer must ensure that the drum will still have two wraps of wire when the load and/or boom is in its lowest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a deficiency in Category III is identified, operations involving use of the wire rope in question must be prohibited until: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wire rope is replaced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the deficiency (other than power line contact) is localized, the problem is corrected by severing the wire rope in two; the undamaged portion may continue to be used. Joining lengths of wire rope by splicing is prohibited. Repair of wire rope that contacted an energized power line is also prohibited. If a rope is shortened under this paragraph, the employer must ensure that the drum will still have two wraps of wire when the load and/or boom is in its lowest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Where a wire rope is required to be removed from service under this section, either the equipment (as a whole) or the hoist with that wire rope must be tagged-out, in accordance with §1926.1417(f)(1), until the wire rope is repaired or replaced.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Monthly inspection.</w:t>
      </w:r>
      <w:r w:rsidRPr="009F74C5">
        <w:rPr>
          <w:rFonts w:ascii="Arial" w:eastAsia="Times New Roman" w:hAnsi="Arial" w:cs="Arial"/>
          <w:sz w:val="20"/>
          <w:szCs w:val="20"/>
        </w:rPr>
        <w:t xml:space="preserve"> (1) Each month an inspection must be conducted in accordance with paragraph (a) (shift inspection)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inspection must include any deficiencies that the qualified person who conducts the annual inspection determines under paragraph (c)(3)(ii) of this section must be monitored.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Wire ropes on equipment must not be used until an inspection under this paragraph demonstrates that no corrective action under paragraph (a)(4) of this section is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inspection must be documented according to §1926.1412(e)(3) (monthly inspection documentation).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Annual/comprehensive.</w:t>
      </w:r>
      <w:r w:rsidRPr="009F74C5">
        <w:rPr>
          <w:rFonts w:ascii="Arial" w:eastAsia="Times New Roman" w:hAnsi="Arial" w:cs="Arial"/>
          <w:sz w:val="20"/>
          <w:szCs w:val="20"/>
        </w:rPr>
        <w:t xml:space="preserve"> (1) At least every 12 months, wire ropes in use on equipment must be inspected by a qualified person in accordance with paragraph (a) of this section (shift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 addition, at least every 12 months, the wire ropes in use on equipment must be inspected by a qualified person,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inspection must be for deficiencies of the types listed in paragraph (a)(2)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inspection must be complete and thorough, covering the surface of the entire length of the wire ropes, with particular attention given to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Critical review items listed in paragraph (a)(3)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Those sections that are normally hidden during shift and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Wire rope subject to reverse bends.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Wire rope passing over sheaves.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In the event an inspection under paragraph (c)(2) of this section is not feasible due to existing set-up and configuration of the equipment (such as where an assist crane is needed) or due to site conditions (such as a dense urban setting), such inspections must be conducted as soon as it becomes feasible, but no longer than an additional 6 months for running ropes and, for standing ropes, at the time of disassembly.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a deficiency is identified, an immediate determination must be made by the qualified person as to whether the deficiency constitutes a safety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If the deficiency is determined to constitute a safety hazard, operations involving use of the wire rope in question must be prohibited until: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wire rope is replaced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If the deficiency is localized, the problem is corrected by severing the wire rope in two; the undamaged portion may continue to be used. Joining lengths of wire rope by splicing is prohibited. If a </w:t>
      </w:r>
      <w:r w:rsidRPr="009F74C5">
        <w:rPr>
          <w:rFonts w:ascii="Arial" w:eastAsia="Times New Roman" w:hAnsi="Arial" w:cs="Arial"/>
          <w:sz w:val="20"/>
          <w:szCs w:val="20"/>
        </w:rPr>
        <w:lastRenderedPageBreak/>
        <w:t>rope is shortened under this paragraph, the employer must ensure that the drum will still have two wraps of wire when the load and/or boom is in its lowest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qualified person determines that, though not presently a safety hazard, the deficiency needs to be monitored, the employer must ensure that the deficiency is checked in the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inspection must be documented according to §1926.1412(f)(7) (annual/comprehensive inspection documentation).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Rope lubricants that are of the type that hinder inspection must not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All documents produced under this section must be available, during the applicable document retention period, to all persons who conduct inspections under this section.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6" w:anchor="_top" w:history="1">
        <w:r w:rsidR="00D70103">
          <w:rPr>
            <w:rFonts w:ascii="Arial" w:eastAsia="Times New Roman" w:hAnsi="Arial" w:cs="Arial"/>
            <w:noProof/>
            <w:color w:val="0000FF"/>
            <w:sz w:val="17"/>
            <w:szCs w:val="17"/>
          </w:rPr>
          <w:drawing>
            <wp:inline distT="0" distB="0" distL="0" distR="0" wp14:anchorId="46DCEFB7" wp14:editId="24E5113B">
              <wp:extent cx="152400" cy="152400"/>
              <wp:effectExtent l="0" t="0" r="0" b="0"/>
              <wp:docPr id="36" name="Picture 3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8" w:name="se29.8.1926_11414"/>
      <w:bookmarkEnd w:id="128"/>
      <w:r w:rsidRPr="009F74C5">
        <w:rPr>
          <w:rFonts w:ascii="Arial" w:eastAsia="Times New Roman" w:hAnsi="Arial" w:cs="Arial"/>
          <w:b/>
          <w:bCs/>
          <w:sz w:val="20"/>
          <w:szCs w:val="20"/>
        </w:rPr>
        <w:t>§1926.1414   Wire rope—selection and installation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Original equipment wire rope and replacement wire rope must be selected and installed in accordance with the requirements of this section. Selection of replacement wire rope must be in accordance with the recommendations of the wire rope manufacturer, the equipment manufacturer, or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Wire rope design criteria:</w:t>
      </w:r>
      <w:r w:rsidRPr="009F74C5">
        <w:rPr>
          <w:rFonts w:ascii="Arial" w:eastAsia="Times New Roman" w:hAnsi="Arial" w:cs="Arial"/>
          <w:sz w:val="20"/>
          <w:szCs w:val="20"/>
        </w:rPr>
        <w:t xml:space="preserve"> Wire rope (other than rotation resistant rope) must comply with either Option (1) or Option (2) of this section,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Option (1).</w:t>
      </w:r>
      <w:r w:rsidRPr="009F74C5">
        <w:rPr>
          <w:rFonts w:ascii="Arial" w:eastAsia="Times New Roman" w:hAnsi="Arial" w:cs="Arial"/>
          <w:sz w:val="20"/>
          <w:szCs w:val="20"/>
        </w:rPr>
        <w:t xml:space="preserve"> Wire rope must comply with section 5-1.7.1 of ASME B30.5-2004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except that section's paragraph (c) must not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Option (2).</w:t>
      </w:r>
      <w:r w:rsidRPr="009F74C5">
        <w:rPr>
          <w:rFonts w:ascii="Arial" w:eastAsia="Times New Roman" w:hAnsi="Arial" w:cs="Arial"/>
          <w:sz w:val="20"/>
          <w:szCs w:val="20"/>
        </w:rPr>
        <w:t xml:space="preserve"> Wire rope must be designed to have, in relation to the equipment's rated capacity, a sufficient minimum breaking force and design factor so that compliance with the applicable inspection provisions in §1926.1413 will be an effective means of preventing sudden rope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Wire rope must be compatible with the safe functioning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Boom hoist reeving.</w:t>
      </w:r>
      <w:r w:rsidRPr="009F74C5">
        <w:rPr>
          <w:rFonts w:ascii="Arial" w:eastAsia="Times New Roman" w:hAnsi="Arial" w:cs="Arial"/>
          <w:sz w:val="20"/>
          <w:szCs w:val="20"/>
        </w:rPr>
        <w:t xml:space="preserve"> (1) Fiber core ropes must not be used for boom hoist reeving, except for derricks.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Rotation resistant ropes must be used for boom hoist reeving only where the requirements of paragraph (e)(4)(ii)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Rotation resistant ropes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Definitions</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Type I rotation resistant wire rope (“Type I”).</w:t>
      </w:r>
      <w:r w:rsidRPr="009F74C5">
        <w:rPr>
          <w:rFonts w:ascii="Arial" w:eastAsia="Times New Roman" w:hAnsi="Arial" w:cs="Arial"/>
          <w:sz w:val="20"/>
          <w:szCs w:val="20"/>
        </w:rPr>
        <w:t xml:space="preserve"> Type I rotation resistant rope is stranded rope constructed to have little or no tendency to rotate or, if guided, transmits little or no torque. It has at least 15 outer strands and comprises an assembly of at least three layers of strands laid helically over a center in two operations. The direction of lay of the outer strands is opposite to that of the underlying layer.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Type II rotation resistant wire rope (“Type II”).</w:t>
      </w:r>
      <w:r w:rsidRPr="009F74C5">
        <w:rPr>
          <w:rFonts w:ascii="Arial" w:eastAsia="Times New Roman" w:hAnsi="Arial" w:cs="Arial"/>
          <w:sz w:val="20"/>
          <w:szCs w:val="20"/>
        </w:rPr>
        <w:t xml:space="preserve"> Type II rotation resistant rope is stranded rope constructed to have significant resistance to rotation. It has at least 10 outer strands and comprises an assembly of two or more layers of strands laid helically over a center in two or three operations. The direction of lay of the outer strands is opposite to that of the underlying layer.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(iii) </w:t>
      </w:r>
      <w:r w:rsidRPr="009F74C5">
        <w:rPr>
          <w:rFonts w:ascii="Arial" w:eastAsia="Times New Roman" w:hAnsi="Arial" w:cs="Arial"/>
          <w:i/>
          <w:iCs/>
          <w:sz w:val="20"/>
          <w:szCs w:val="20"/>
        </w:rPr>
        <w:t>Type III rotation resistant wire rope (“Type III”).</w:t>
      </w:r>
      <w:r w:rsidRPr="009F74C5">
        <w:rPr>
          <w:rFonts w:ascii="Arial" w:eastAsia="Times New Roman" w:hAnsi="Arial" w:cs="Arial"/>
          <w:sz w:val="20"/>
          <w:szCs w:val="20"/>
        </w:rPr>
        <w:t xml:space="preserve"> Type III rotation resistant rope is stranded rope constructed to have limited resistance to rotation. It has no more than nine outer strands, and comprises an assembly of two layers of strands laid helically over a center in two operations. The direction of lay of the outer strands is opposite to that of the underlying layer.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Requirements.</w:t>
      </w:r>
      <w:r w:rsidRPr="009F74C5">
        <w:rPr>
          <w:rFonts w:ascii="Arial" w:eastAsia="Times New Roman" w:hAnsi="Arial" w:cs="Arial"/>
          <w:sz w:val="20"/>
          <w:szCs w:val="20"/>
        </w:rPr>
        <w:t xml:space="preserve"> (i) Types II and III with an operating design factor of less than 5 must not be used for duty cycle or repetitive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Rotation resistant ropes (including Types I, II and III) must have an operating design factor of no less than 3.5.</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Type I must have an operating design factor of no less than 5, except where the wire rope manufacturer and the equipment manufacturer approves the design factor, in writing.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Types II and III must have an operating design factor of no less than 5, except where the requirements of paragraph (e)(3)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Types II and III with an operating design factor of less than 5 are used (for non-duty cycle, non-repetitive lifts), the following requirements must be met for each lifting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qualified person must inspect the rope in accordance with §1926.1413(a). The rope must be used only if the qualified person determines that there are no deficiencies constituting a hazard. In making this determination, more than one broken wire in any one rope lay must be considered a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Operations must be conducted in such a manner and at such speeds as to minimize dynamic effects.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Each lift made under §1926.1414(e)(3) must be recorded in the monthly and annual inspection documents. Such prior uses must be considered by the qualified person in determining whether to use the rope again.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Additional requirements for rotation resistant ropes for boom hoist reeving.</w:t>
      </w:r>
      <w:r w:rsidRPr="009F74C5">
        <w:rPr>
          <w:rFonts w:ascii="Arial" w:eastAsia="Times New Roman" w:hAnsi="Arial" w:cs="Arial"/>
          <w:sz w:val="20"/>
          <w:szCs w:val="20"/>
        </w:rPr>
        <w:t xml:space="preserve"> (i) Rotation resistant ropes must not be used for boom hoist reeving, except where the requirements of paragraph (e)(4)(ii)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Rotation resistant ropes may be used as boom hoist reeving when load hoists are used as boom hoists for attachments such as luffing attachments or boom and mast attachment systems. Under these conditions, all of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drum must provide a first layer rope pitch diameter of not less than 18 times the nominal diameter of the rope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requirements in §1926.1426(a) (irrespective of the date of manufacture of the equipment), and §1926.1426(b).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The requirements in ASME B30.5-2004 sections 5-1.3.2(a), (a)(2) through (a)(4), (b) and (d)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except that the minimum pitch diameter for sheaves used in multiple rope reeving is 18 times the nominal diameter of the rope used (instead of the value of 16 specified in section 5-1.3.2(d)).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All sheaves used in the boom hoist reeving system must have a rope pitch diameter of not less than 18 times the nominal diameter of the rope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(E) The operating design factor for the boom hoist reeving system must be not less than five.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The operating design factor for these ropes must be the total minimum breaking force of all parts of rope in the system divided by the load imposed on the rope system when supporting the static weights of the structure and the load within the equipment's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When provided, a power-controlled lowering system must be capable of handling rated capacities and speeds as specified by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Wire rope clips used in conjunction with wedge sockets must be attached to the unloaded dead end of the rope only, except that the use of devices specifically designed for dead-ending rope in a wedge socket is permitted.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Socketing must be done in the manner specified by the manufacturer of the wire rope or fitting.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Prior to cutting a wire rope, seizings must be placed on each side of the point to be cut. The length and number of seizings must be in accordance with the wire rope manufacturer's instructions.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7" w:anchor="_top" w:history="1">
        <w:r w:rsidR="00D70103">
          <w:rPr>
            <w:rFonts w:ascii="Arial" w:eastAsia="Times New Roman" w:hAnsi="Arial" w:cs="Arial"/>
            <w:noProof/>
            <w:color w:val="0000FF"/>
            <w:sz w:val="17"/>
            <w:szCs w:val="17"/>
          </w:rPr>
          <w:drawing>
            <wp:inline distT="0" distB="0" distL="0" distR="0" wp14:anchorId="02D2BE6F" wp14:editId="69E04C10">
              <wp:extent cx="152400" cy="152400"/>
              <wp:effectExtent l="0" t="0" r="0" b="0"/>
              <wp:docPr id="35" name="Picture 3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29" w:name="se29.8.1926_11415"/>
      <w:bookmarkEnd w:id="129"/>
      <w:r w:rsidRPr="009F74C5">
        <w:rPr>
          <w:rFonts w:ascii="Arial" w:eastAsia="Times New Roman" w:hAnsi="Arial" w:cs="Arial"/>
          <w:b/>
          <w:bCs/>
          <w:sz w:val="20"/>
          <w:szCs w:val="20"/>
        </w:rPr>
        <w:t>§1926.1415   Safety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Safety devices.</w:t>
      </w:r>
      <w:r w:rsidRPr="009F74C5">
        <w:rPr>
          <w:rFonts w:ascii="Arial" w:eastAsia="Times New Roman" w:hAnsi="Arial" w:cs="Arial"/>
          <w:sz w:val="20"/>
          <w:szCs w:val="20"/>
        </w:rPr>
        <w:t xml:space="preserve"> The following safety devices are required on all equipment covered by this subpart,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Crane level indicator.</w:t>
      </w:r>
      <w:r w:rsidRPr="009F74C5">
        <w:rPr>
          <w:rFonts w:ascii="Arial" w:eastAsia="Times New Roman" w:hAnsi="Arial" w:cs="Arial"/>
          <w:sz w:val="20"/>
          <w:szCs w:val="20"/>
        </w:rPr>
        <w:t xml:space="preserve"> (i) The equipment must have a crane level indicator that is either built into the equipment or is available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a built-in crane level indicator is not working properly, it must be tagged-out or removed. If a removable crane level indicator is not working properly, it must be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This requirement does not apply to portal cranes, derricks, floating cranes/derricks and land cranes/derricks on barges, pontoons, vessels or other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Boom stops, except for derricks and hydraulic booms.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Jib stops (if a jib is attached), except for derricks.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Equipment with foot pedal brakes must have locks.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Hydraulic outrigger jacks and hydraulic stabilizer jacks must have an integral holding device/check valve.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Equipment on rails must have rail clamps and rail stops, except for portal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Horn.</w:t>
      </w:r>
      <w:r w:rsidRPr="009F74C5">
        <w:rPr>
          <w:rFonts w:ascii="Arial" w:eastAsia="Times New Roman" w:hAnsi="Arial" w:cs="Arial"/>
          <w:sz w:val="20"/>
          <w:szCs w:val="20"/>
        </w:rPr>
        <w:t xml:space="preserve"> (i) The equipment must have a horn that is either built into the equipment or is on the equipment and immediately available to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a built-in horn is not working properly, it must be tagged-out or removed. If a removable horn is not working properly, it must be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(b) </w:t>
      </w:r>
      <w:r w:rsidRPr="009F74C5">
        <w:rPr>
          <w:rFonts w:ascii="Arial" w:eastAsia="Times New Roman" w:hAnsi="Arial" w:cs="Arial"/>
          <w:i/>
          <w:iCs/>
          <w:sz w:val="20"/>
          <w:szCs w:val="20"/>
        </w:rPr>
        <w:t>Proper operation required.</w:t>
      </w:r>
      <w:r w:rsidRPr="009F74C5">
        <w:rPr>
          <w:rFonts w:ascii="Arial" w:eastAsia="Times New Roman" w:hAnsi="Arial" w:cs="Arial"/>
          <w:sz w:val="20"/>
          <w:szCs w:val="20"/>
        </w:rPr>
        <w:t xml:space="preserve"> Operations must not begin unless all of the devices listed in this section are in proper working order. If a device stops working properly during operations, the operator must safely stop operations. If any of the devices listed in this section are not in proper working order, the equipment must be taken out of service and operations must not resume until the device is again working properly.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(Operation). Alternative measures are not permitted to be used.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8" w:anchor="_top" w:history="1">
        <w:r w:rsidR="00D70103">
          <w:rPr>
            <w:rFonts w:ascii="Arial" w:eastAsia="Times New Roman" w:hAnsi="Arial" w:cs="Arial"/>
            <w:noProof/>
            <w:color w:val="0000FF"/>
            <w:sz w:val="17"/>
            <w:szCs w:val="17"/>
          </w:rPr>
          <w:drawing>
            <wp:inline distT="0" distB="0" distL="0" distR="0" wp14:anchorId="5CD2F44E" wp14:editId="23F333CC">
              <wp:extent cx="152400" cy="152400"/>
              <wp:effectExtent l="0" t="0" r="0" b="0"/>
              <wp:docPr id="34" name="Picture 3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0" w:name="se29.8.1926_11416"/>
      <w:bookmarkEnd w:id="130"/>
      <w:r w:rsidRPr="009F74C5">
        <w:rPr>
          <w:rFonts w:ascii="Arial" w:eastAsia="Times New Roman" w:hAnsi="Arial" w:cs="Arial"/>
          <w:b/>
          <w:bCs/>
          <w:sz w:val="20"/>
          <w:szCs w:val="20"/>
        </w:rPr>
        <w:t>§1926.1416   Operational aids.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devices listed in this section (“listed operational aids”) are required on all equipment covered by this subpart,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requirements in paragraphs (e)(1), (e)(2), and (e)(3) of this section do not apply to articulating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requirements in paragraphs (d)(3), (e)(1), and (e)(4) of this section apply only to those digger derricks manufactured after November 8, 2011.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Operations must not begin unless the listed operational aids are in proper working order, except where an operational aid is being repaired the employer uses the specified temporary alternative measures. The time periods permitted for repairing defective operational aids are specified in paragraphs (d) and (e) of this section. More protective alternative measures specified by the crane/derrick manufacturer, if any, must be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If a listed operational aid stops working properly during operations, the operator must safely stop operations until the temporary alternative measures are implemented or the device is again working properly. If a replacement part is no longer available, the use of a substitute device that performs the same type of function is permitted and is not considered a modification under §1926.1434.</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Category I operational aids and alternative measures.</w:t>
      </w:r>
      <w:r w:rsidRPr="009F74C5">
        <w:rPr>
          <w:rFonts w:ascii="Arial" w:eastAsia="Times New Roman" w:hAnsi="Arial" w:cs="Arial"/>
          <w:sz w:val="20"/>
          <w:szCs w:val="20"/>
        </w:rPr>
        <w:t xml:space="preserve"> Operational aids listed in this paragraph that are not working properly must be repaired no later than 7 calendar days after the deficiency occurs.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If the employer documents that it has ordered the necessary parts within 7 calendar days of the occurrence of the deficiency, the repair must be completed within 7 calendar days of receipt of the parts.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§1926.1417(j) for 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Boom hoist limiting device.</w:t>
      </w:r>
      <w:r w:rsidRPr="009F74C5">
        <w:rPr>
          <w:rFonts w:ascii="Arial" w:eastAsia="Times New Roman" w:hAnsi="Arial" w:cs="Arial"/>
          <w:sz w:val="20"/>
          <w:szCs w:val="20"/>
        </w:rPr>
        <w:t xml:space="preserve"> (i) For equipment manufactured after December 16, 1969, a boom hoist limiting device is required. </w:t>
      </w:r>
      <w:r w:rsidRPr="009F74C5">
        <w:rPr>
          <w:rFonts w:ascii="Arial" w:eastAsia="Times New Roman" w:hAnsi="Arial" w:cs="Arial"/>
          <w:i/>
          <w:iCs/>
          <w:sz w:val="20"/>
          <w:szCs w:val="20"/>
        </w:rPr>
        <w:t>Temporary alternative measures (use at least one).</w:t>
      </w:r>
      <w:r w:rsidRPr="009F74C5">
        <w:rPr>
          <w:rFonts w:ascii="Arial" w:eastAsia="Times New Roman" w:hAnsi="Arial" w:cs="Arial"/>
          <w:sz w:val="20"/>
          <w:szCs w:val="20"/>
        </w:rPr>
        <w:t xml:space="preserve"> One or more of the following methods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Use a boom angle indicator.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Clearly mark the boom hoist cable (so that it can easily be seen by the operator) at a point that will give the operator sufficient time to stop the hoist to keep the boom within the minimum allowable radius. In addition, install mirrors or remote video cameras and displays if necessary for the operator to see the mark.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Clearly mark the boom hoist cable (so that it can easily be seen by a spotter) at a point that will give the spotter sufficient time to signal the operator and have the operator stop the hoist to keep the boom within the minimum allowable radius.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If the equipment was manufactured on or before December 16, 1969, and is not equipped with a boom hoist limiting device, at least one of the measures in paragraphs (d)(1)(i)(A) through (C) of this section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Luffing jib limiting device.</w:t>
      </w:r>
      <w:r w:rsidRPr="009F74C5">
        <w:rPr>
          <w:rFonts w:ascii="Arial" w:eastAsia="Times New Roman" w:hAnsi="Arial" w:cs="Arial"/>
          <w:sz w:val="20"/>
          <w:szCs w:val="20"/>
        </w:rPr>
        <w:t xml:space="preserve"> Equipment with a luffing jib must have a luffing jib limiting device. Temporary alternative measures are the same as in paragraph (d)(1)(i) of this section, except to limit the movement of the luffing jib rather than the boom hoist.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Anti two-blocking device.</w:t>
      </w:r>
      <w:r w:rsidRPr="009F74C5">
        <w:rPr>
          <w:rFonts w:ascii="Arial" w:eastAsia="Times New Roman" w:hAnsi="Arial" w:cs="Arial"/>
          <w:sz w:val="20"/>
          <w:szCs w:val="20"/>
        </w:rPr>
        <w:t xml:space="preserve"> (i) Telescopic boom cranes manufactured after February 28, 1992, must be equipped with a device which automatically prevents damage from contact between the load block, overhaul ball, or similar component, and the boom tip (or fixed upper block or similar component). The device(s) must prevent such damage at all points where two-blocking could occur.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Clearly mark the cable (so that it can easily be seen by the operator) at a point that will give the operator sufficient time to stop the hoist to prevent two-blocking, and use a spotter when extending the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Lattice boom cranes.</w:t>
      </w:r>
      <w:r w:rsidRPr="009F74C5">
        <w:rPr>
          <w:rFonts w:ascii="Arial" w:eastAsia="Times New Roman" w:hAnsi="Arial" w:cs="Arial"/>
          <w:sz w:val="20"/>
          <w:szCs w:val="20"/>
        </w:rPr>
        <w:t xml:space="preserve"> (A) Lattice boom cranes manufactured after Feb 28, 1992, must be equipped with a device that either automatically prevents damage and load failure from contact between the load block, overhaul ball, or similar component, and the boom tip (or fixed upper block or similar component), or warns the operator in time for the operator to prevent two-blocking. The device must prevent such damage/failure or provide adequate warning for all points where two-blocking could occur.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Lattice boom cranes and derricks manufactured after November 8, 2011 must be equipped with a device which automatically prevents damage and load failure from contact between the load block, overhaul ball, or similar component, and the boom tip (or fixed upper block or similar component). The device(s) must prevent such damage/failure at all points where two-blocking could occur.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The requirements in paragraphs (d)(3)(ii)(A) and (B) of this section do not apply to such lattice boom equipment when used for dragline, clamshell (grapple), magnet, drop ball, container handling, concrete bucket, marine operations that do not involve hoisting personnel, and pile driving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Clearly mark the cable (so that it can easily be seen by the operator) at a point that will give the operator sufficient time to stop the hoist to prevent two-blocking, or use a spotter.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Articulating cranes manufactured after December 31, 1999, that are equipped with a load hoist must be equipped with a device that automatically prevents damage from contact between the load block, overhaul ball, or similar component, and the boom tip (or fixed upper block or similar component). The device must prevent such damage at all points where two-blocking could occur.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When two-blocking could only occur with movement of the load hoist, clearly mark the cable (so that it can easily be seen by the operator) at a point that will give the operator sufficient time to stop the hoist to prevent two-blocking, or use a spotter. When two-blocking could occur without movement of the load hoist, clearly mark the cable (so that it can easily be seen by the operator) at a point that will give the operator sufficient time to stop the hoist to prevent two-blocking, and use a spotter when extending the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Category II operational aids and alternative measures.</w:t>
      </w:r>
      <w:r w:rsidRPr="009F74C5">
        <w:rPr>
          <w:rFonts w:ascii="Arial" w:eastAsia="Times New Roman" w:hAnsi="Arial" w:cs="Arial"/>
          <w:sz w:val="20"/>
          <w:szCs w:val="20"/>
        </w:rPr>
        <w:t xml:space="preserve"> Operational aids listed in this paragraph that are not working properly must be repaired no later than 30 calendar days after the deficiency occurs.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If the employer documents that it has ordered the necessary parts within 7 calendar days of the occurrence of the deficiency, and the part is not received in time to complete the repair in 30 calendar days, the repair must be completed within 7 calendar days of receipt of the parts.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§1926.1417(j) for 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(1) </w:t>
      </w:r>
      <w:r w:rsidRPr="009F74C5">
        <w:rPr>
          <w:rFonts w:ascii="Arial" w:eastAsia="Times New Roman" w:hAnsi="Arial" w:cs="Arial"/>
          <w:i/>
          <w:iCs/>
          <w:sz w:val="20"/>
          <w:szCs w:val="20"/>
        </w:rPr>
        <w:t>Boom angle or radius indicator.</w:t>
      </w:r>
      <w:r w:rsidRPr="009F74C5">
        <w:rPr>
          <w:rFonts w:ascii="Arial" w:eastAsia="Times New Roman" w:hAnsi="Arial" w:cs="Arial"/>
          <w:sz w:val="20"/>
          <w:szCs w:val="20"/>
        </w:rPr>
        <w:t xml:space="preserve"> The equipment must have a boom angle or radius indicator readable from the operator's station.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Radii or boom angle must be determined by measuring the radii or boom angle with a measuring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Jib angle indicator if the equipment has a luffing jib.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Radii or jib angle must be determined by ascertaining the main boom angle and then measuring the radii or jib angle with a measuring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Boom length indicator if the equipment has a telescopic boom, except where the rated capacity is independent of the boom length.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One or more of the following methods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Mark the boom with measured marks to calculate boom length,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Calculate boom length from boom angle and radius measurements,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Measure the boom with a measuring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Load weighing and similar devices.</w:t>
      </w:r>
      <w:r w:rsidRPr="009F74C5">
        <w:rPr>
          <w:rFonts w:ascii="Arial" w:eastAsia="Times New Roman" w:hAnsi="Arial" w:cs="Arial"/>
          <w:sz w:val="20"/>
          <w:szCs w:val="20"/>
        </w:rPr>
        <w:t xml:space="preserve"> (i) Equipment (other than derricks and articulating cranes) manufactured after March 29, 2003 with a rated capacity over 6,000 pounds must have at least one of the following: load weighing device, load moment (or rated capacity) indicator, or load moment (or rated capacity) limiter.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weight of the load must be determined from a source recognized by the industry (such as the load's manufacturer) or by a calculation method recognized by the industry (such as calculating a steel beam from measured dimensions and a known per foot weight). This information must be provided to the operator prior to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Articulating cranes manufactured after November 8, 2011 must have at least one of the following: automatic overload prevention device, load weighing device, load moment (or rated capacity) indicator, or load moment (rated capacity) limiter.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weight of the load must be determined from a source recognized by the industry (such as the load's manufacturer) or by a calculation method recognized by the industry (such as calculating a steel beam from measured dimensions and a known per foot weight). This information must be provided to the operator prior to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following devices are required on equipment manufactured after November 8, 2011: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Outrigger/stabilizer position (horizontal beam extension) sensor/monitor if the equipment has outriggers or stabilizers.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operator must verify that the position of the outriggers or stabilizers is correct (in accordance with manufacturer procedures) before beginning operations requiring outrigger or stabilizer deployment.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Hoist drum rotation indicator if the equipment has a hoist drum not visible from the operator's station.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Mark the drum to indicate the rotation of the drum. In addition, install mirrors or remote video cameras and displays if necessary for the operator to see the mark.</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69" w:anchor="_top" w:history="1">
        <w:r w:rsidR="00D70103">
          <w:rPr>
            <w:rFonts w:ascii="Arial" w:eastAsia="Times New Roman" w:hAnsi="Arial" w:cs="Arial"/>
            <w:noProof/>
            <w:color w:val="0000FF"/>
            <w:sz w:val="17"/>
            <w:szCs w:val="17"/>
          </w:rPr>
          <w:drawing>
            <wp:inline distT="0" distB="0" distL="0" distR="0" wp14:anchorId="4416DC52" wp14:editId="3C0F0D02">
              <wp:extent cx="152400" cy="152400"/>
              <wp:effectExtent l="0" t="0" r="0" b="0"/>
              <wp:docPr id="33" name="Picture 3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1" w:name="se29.8.1926_11417"/>
      <w:bookmarkEnd w:id="131"/>
      <w:r w:rsidRPr="009F74C5">
        <w:rPr>
          <w:rFonts w:ascii="Arial" w:eastAsia="Times New Roman" w:hAnsi="Arial" w:cs="Arial"/>
          <w:b/>
          <w:bCs/>
          <w:sz w:val="20"/>
          <w:szCs w:val="20"/>
        </w:rPr>
        <w:t>§1926.1417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must comply with all manufacturer procedures applicable to the operational functions of equipment, including its use with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(b) </w:t>
      </w:r>
      <w:r w:rsidRPr="009F74C5">
        <w:rPr>
          <w:rFonts w:ascii="Arial" w:eastAsia="Times New Roman" w:hAnsi="Arial" w:cs="Arial"/>
          <w:i/>
          <w:iCs/>
          <w:sz w:val="20"/>
          <w:szCs w:val="20"/>
        </w:rPr>
        <w:t>Unavailable operation procedures.</w:t>
      </w:r>
      <w:r w:rsidRPr="009F74C5">
        <w:rPr>
          <w:rFonts w:ascii="Arial" w:eastAsia="Times New Roman" w:hAnsi="Arial" w:cs="Arial"/>
          <w:sz w:val="20"/>
          <w:szCs w:val="20"/>
        </w:rPr>
        <w:t xml:space="preserve"> (1) Where the manufacturer procedures are unavailable, the employer must develop and ensure compliance with all procedures necessary for the safe operation of the equipment and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Procedures for the operational controls must be developed by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Procedures related to the capacity of the equipment must be developed and signed by a registered professional engineer familiar with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Accessibility of procedures.</w:t>
      </w:r>
      <w:r w:rsidRPr="009F74C5">
        <w:rPr>
          <w:rFonts w:ascii="Arial" w:eastAsia="Times New Roman" w:hAnsi="Arial" w:cs="Arial"/>
          <w:sz w:val="20"/>
          <w:szCs w:val="20"/>
        </w:rPr>
        <w:t xml:space="preserve"> (1) The procedures applicable to the operation of the equipment, including rated capacities (load charts), recommended operating speeds, special hazard warnings, instructions, and operator's manual, must be readily available in the cab at all times for use by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rated capacities are available in the cab only in electronic form: In the event of a failure which makes the rated capacities inaccessible, the operator must immediately cease operations or follow safe shut-down procedures until the rated capacities (in electronic or other form) are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operator must not engage in any practice or activity that diverts his/her attention while actually engaged in operating the equipment, such as the use of cellular phones (other than when used for signal communications).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Leaving the equipment unattended.</w:t>
      </w:r>
      <w:r w:rsidRPr="009F74C5">
        <w:rPr>
          <w:rFonts w:ascii="Arial" w:eastAsia="Times New Roman" w:hAnsi="Arial" w:cs="Arial"/>
          <w:sz w:val="20"/>
          <w:szCs w:val="20"/>
        </w:rPr>
        <w:t xml:space="preserve"> (1) The operator must not leave the controls while the load is suspended, except where all of the following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operator remains adjacent to the equipment and is not engaged in any other duties.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load is to be held suspended for a period of time exceeding normal lifting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competent person determines that it is safe to do so and implements measures necessary to restrain the boom hoist and telescoping, load, swing, and outrigger or stabilizer functions.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Barricades or caution lines, and notices, are erected to prevent all employees from entering the fall zone. No employees, including those listed in §§1926.1425(b)(1) through (3), §1926.1425(d) or §1926.1425(e), are permitted in the fall zone.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provisions in §1926.1417(e)(1) do not apply to working gear (such as slings, spreader bars, ladders, and welding machines) where the weight of the working gear is negligible relative to the lifting capacity of the equipment as positioned, and the working gear is suspended over an area other than an entrance or exit.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Tag-out</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Tagging out of service equipment/functions.</w:t>
      </w:r>
      <w:r w:rsidRPr="009F74C5">
        <w:rPr>
          <w:rFonts w:ascii="Arial" w:eastAsia="Times New Roman" w:hAnsi="Arial" w:cs="Arial"/>
          <w:sz w:val="20"/>
          <w:szCs w:val="20"/>
        </w:rPr>
        <w:t xml:space="preserve"> Where the employer has taken the equipment out of service, a tag must be placed in the cab stating that the equipment is out of service and is not to be used. Where the employer has taken a function(s) out of service, a tag must be placed in a conspicuous position stating that the function is out of service and is not to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Response to “do not operate”/tag-out signs.</w:t>
      </w:r>
      <w:r w:rsidRPr="009F74C5">
        <w:rPr>
          <w:rFonts w:ascii="Arial" w:eastAsia="Times New Roman" w:hAnsi="Arial" w:cs="Arial"/>
          <w:sz w:val="20"/>
          <w:szCs w:val="20"/>
        </w:rPr>
        <w:t xml:space="preserve"> (i) If there is a warning (tag-out or maintenance/do not operate) sign on the equipment or starting control, the operator must not activate the switch or start the equipment until the sign has been removed by a person authorized to remove it, or until the operator has verified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No one is servicing, working on, or otherwise in a dangerous position on the machine.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The equipment has been repaired and is working properly.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there is a warning (tag-out or maintenance/do not operate) sign on any other switch or control, the operator must not activate that switch or control until the sign has been removed by a person authorized to remove it, or until the operator has verified that the requirements in paragraphs (f)(2)(i)(A) and (B) of this section have been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Before starting the engine, the operator must verify that all controls are in the proper starting position and that all personnel are in the clear.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Storm warning.</w:t>
      </w:r>
      <w:r w:rsidRPr="009F74C5">
        <w:rPr>
          <w:rFonts w:ascii="Arial" w:eastAsia="Times New Roman" w:hAnsi="Arial" w:cs="Arial"/>
          <w:sz w:val="20"/>
          <w:szCs w:val="20"/>
        </w:rPr>
        <w:t xml:space="preserve"> When a local storm warning has been issued, the competent person must determine whether it is necessary to implement manufacturer recommendations for securing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If equipment adjustments or repairs are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operator must, in writing, promptly inform the person designated by the employer to receive such information and, where there are successive shifts, to the next operator;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must notify all affected employees, at the beginning of each shift, of the necessary adjustments or repairs and all alternative measures.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Safety devices and operational aids must not be used as a substitute for the exercise of professional judgment by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(m) If the competent person determines that there is a slack rope condition requiring re-spooling of the rope, it must be verified (before starting to lift) that the rope is seated on the drum and in the sheaves as the slack is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The competent person must adjust the equipment and/or operations to address the effect of wind, ice, and snow on equipment stability and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Compliance with rated capacity.</w:t>
      </w:r>
      <w:r w:rsidRPr="009F74C5">
        <w:rPr>
          <w:rFonts w:ascii="Arial" w:eastAsia="Times New Roman" w:hAnsi="Arial" w:cs="Arial"/>
          <w:sz w:val="20"/>
          <w:szCs w:val="20"/>
        </w:rPr>
        <w:t xml:space="preserve"> (1) The equipment must not be operated in excess of its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operator must not be required to operate the equipment in a manner that would violate paragraph (o)(1)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Load weight.</w:t>
      </w:r>
      <w:r w:rsidRPr="009F74C5">
        <w:rPr>
          <w:rFonts w:ascii="Arial" w:eastAsia="Times New Roman" w:hAnsi="Arial" w:cs="Arial"/>
          <w:sz w:val="20"/>
          <w:szCs w:val="20"/>
        </w:rPr>
        <w:t xml:space="preserve"> The operator must verify that the load is within the rated capacity of the equipment by at least one of the following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In addition, when requested by the operator, this information must be provided to the operator prior to the lift;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operator must begin hoisting the load to determine, using a load weighing device, load moment indicator, rated capacity indicator, or rated capacity limiter, if it exceeds 75 percent of the maximum rated capacity at the longest radius that will be used during the lift operation. If it does, the operator must not proceed with the lift until he/she verifies the weight of the load in accordance with paragraph (o)(3)(i)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(p) The boom or other parts of the equipment must not contact any obstruction.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The equipment must not be used to drag or pull loads sideways.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(r) On wheel-mounted equipment, no loads must be lifted over the front area, except as permitted by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 The operator must test the brakes each time a load that is 90% or more of the maximum line pull is handled by lifting the load a few inches and applying the brakes. In duty cycle and repetitive lifts where each lift is 90% or more of the maximum line pull, this requirement applies to the first lift but not to successive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 Neither the load nor the boom must be lowered below the point where less than two full wraps of rope remain on their respective drums.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(u) </w:t>
      </w:r>
      <w:r w:rsidRPr="009F74C5">
        <w:rPr>
          <w:rFonts w:ascii="Arial" w:eastAsia="Times New Roman" w:hAnsi="Arial" w:cs="Arial"/>
          <w:i/>
          <w:iCs/>
          <w:sz w:val="20"/>
          <w:szCs w:val="20"/>
        </w:rPr>
        <w:t>Traveling with a load.</w:t>
      </w:r>
      <w:r w:rsidRPr="009F74C5">
        <w:rPr>
          <w:rFonts w:ascii="Arial" w:eastAsia="Times New Roman" w:hAnsi="Arial" w:cs="Arial"/>
          <w:sz w:val="20"/>
          <w:szCs w:val="20"/>
        </w:rPr>
        <w:t xml:space="preserve"> (1) Traveling with a load is prohibited if the practice is prohibited by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traveling with a load,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competent person supervises the operation, determines if it is necessary to reduce rated capacity, and makes determinations regarding load position, boom location, ground support, travel route, overhead obstructions, and speed of movement necessary to ensure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determinations of the competent person required in paragraph (u)(2)(i) of this section are implemented.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equipment with tires, tire pressure specified by the manufacturer is maintained.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Rotational speed of the equipment must be such that the load does not swing out beyond the radius at which it can be controlled.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 A tag or restraint line must be used if necessary to prevent rotation of the load that would be hazardous.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The brakes must be adjusted in accordance with manufacturer procedures to prevent unintended movement.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(y) The operator must obey a stop (or emergency stop) signal, irrespective of who gives it.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(z) </w:t>
      </w:r>
      <w:r w:rsidRPr="009F74C5">
        <w:rPr>
          <w:rFonts w:ascii="Arial" w:eastAsia="Times New Roman" w:hAnsi="Arial" w:cs="Arial"/>
          <w:i/>
          <w:iCs/>
          <w:sz w:val="20"/>
          <w:szCs w:val="20"/>
        </w:rPr>
        <w:t>Swinging locomotive cranes.</w:t>
      </w:r>
      <w:r w:rsidRPr="009F74C5">
        <w:rPr>
          <w:rFonts w:ascii="Arial" w:eastAsia="Times New Roman" w:hAnsi="Arial" w:cs="Arial"/>
          <w:sz w:val="20"/>
          <w:szCs w:val="20"/>
        </w:rPr>
        <w:t xml:space="preserve"> A locomotive crane must not be swung into a position where railway cars on an adjacent track could strike it, until it is determined that cars are not being moved on the adjacent track and that proper flag protection has been established.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(aa) </w:t>
      </w:r>
      <w:r w:rsidRPr="009F74C5">
        <w:rPr>
          <w:rFonts w:ascii="Arial" w:eastAsia="Times New Roman" w:hAnsi="Arial" w:cs="Arial"/>
          <w:i/>
          <w:iCs/>
          <w:sz w:val="20"/>
          <w:szCs w:val="20"/>
        </w:rPr>
        <w:t>Counterweight/ballast.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 The following applies to equipment other than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Equipment must not be operated without the counterweight or ballast in place as specified by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maximum counterweight or ballast specified by the manufacturer for the equipment must not be exceeded.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Counterweight/ballast requirements for tower cranes are specified in §1926.1435(b)(8).</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0" w:anchor="_top" w:history="1">
        <w:r w:rsidR="00D70103">
          <w:rPr>
            <w:rFonts w:ascii="Arial" w:eastAsia="Times New Roman" w:hAnsi="Arial" w:cs="Arial"/>
            <w:noProof/>
            <w:color w:val="0000FF"/>
            <w:sz w:val="17"/>
            <w:szCs w:val="17"/>
          </w:rPr>
          <w:drawing>
            <wp:inline distT="0" distB="0" distL="0" distR="0" wp14:anchorId="2872C9B0" wp14:editId="56B0351C">
              <wp:extent cx="152400" cy="152400"/>
              <wp:effectExtent l="0" t="0" r="0" b="0"/>
              <wp:docPr id="32" name="Picture 3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2" w:name="se29.8.1926_11418"/>
      <w:bookmarkEnd w:id="132"/>
      <w:r w:rsidRPr="009F74C5">
        <w:rPr>
          <w:rFonts w:ascii="Arial" w:eastAsia="Times New Roman" w:hAnsi="Arial" w:cs="Arial"/>
          <w:b/>
          <w:bCs/>
          <w:sz w:val="20"/>
          <w:szCs w:val="20"/>
        </w:rPr>
        <w:t>§1926.1418   Authority to stop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Whenever there is a concern as to safety, the operator must have the authority to stop and refuse to handle loads until a qualified person has determined that safety has been assured.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1" w:anchor="_top" w:history="1">
        <w:r w:rsidR="00D70103">
          <w:rPr>
            <w:rFonts w:ascii="Arial" w:eastAsia="Times New Roman" w:hAnsi="Arial" w:cs="Arial"/>
            <w:noProof/>
            <w:color w:val="0000FF"/>
            <w:sz w:val="17"/>
            <w:szCs w:val="17"/>
          </w:rPr>
          <w:drawing>
            <wp:inline distT="0" distB="0" distL="0" distR="0" wp14:anchorId="40F25AA6" wp14:editId="2C8C663A">
              <wp:extent cx="152400" cy="152400"/>
              <wp:effectExtent l="0" t="0" r="0" b="0"/>
              <wp:docPr id="31" name="Picture 3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3" w:name="se29.8.1926_11419"/>
      <w:bookmarkEnd w:id="133"/>
      <w:r w:rsidRPr="009F74C5">
        <w:rPr>
          <w:rFonts w:ascii="Arial" w:eastAsia="Times New Roman" w:hAnsi="Arial" w:cs="Arial"/>
          <w:b/>
          <w:bCs/>
          <w:sz w:val="20"/>
          <w:szCs w:val="20"/>
        </w:rPr>
        <w:t>§1926.1419   Signals—general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signal person must be provided in each of the following situations: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point of operation, meaning the load travel or the area near or at load placement, is not in full view of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When the equipment is traveling, the view in the direction of travel is obstructed.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Due to site specific safety concerns, either the operator or the person handling the load determines that it is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Types of signals.</w:t>
      </w:r>
      <w:r w:rsidRPr="009F74C5">
        <w:rPr>
          <w:rFonts w:ascii="Arial" w:eastAsia="Times New Roman" w:hAnsi="Arial" w:cs="Arial"/>
          <w:sz w:val="20"/>
          <w:szCs w:val="20"/>
        </w:rPr>
        <w:t xml:space="preserve"> Signals to operators must be by hand, voice, audible, or new signals.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Hand signals.</w:t>
      </w:r>
      <w:r w:rsidRPr="009F74C5">
        <w:rPr>
          <w:rFonts w:ascii="Arial" w:eastAsia="Times New Roman" w:hAnsi="Arial" w:cs="Arial"/>
          <w:sz w:val="20"/>
          <w:szCs w:val="20"/>
        </w:rPr>
        <w:t xml:space="preserve"> (1) When using hand signals, the Standard Method must be used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appendix A of this subpart).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Where use of the Standard Method for hand signals is infeasible, or where an operation or use of an attachment is not covered in the Standard Method, non-standard hand signals may be used in accordance with paragraph (c)(2)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Non-standard hand signals.</w:t>
      </w:r>
      <w:r w:rsidRPr="009F74C5">
        <w:rPr>
          <w:rFonts w:ascii="Arial" w:eastAsia="Times New Roman" w:hAnsi="Arial" w:cs="Arial"/>
          <w:sz w:val="20"/>
          <w:szCs w:val="20"/>
        </w:rPr>
        <w:t xml:space="preserve"> When using non-standard hand signals, the signal person, operator, and lift director (where there is one) must contact each other prior to the operation and agree on the non-standard hand signals that will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New signals.</w:t>
      </w:r>
      <w:r w:rsidRPr="009F74C5">
        <w:rPr>
          <w:rFonts w:ascii="Arial" w:eastAsia="Times New Roman" w:hAnsi="Arial" w:cs="Arial"/>
          <w:sz w:val="20"/>
          <w:szCs w:val="20"/>
        </w:rPr>
        <w:t xml:space="preserve"> Signals other than hand, voice, or audible signals may be used where the employer demonstrates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new signals provide at least equally effective communication as voice, audible, or Standard Method hand signals,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new signals comply with a national consensus standard that provides at least equally effective communication as voice, audible, or Standard Method hand signals.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(e) </w:t>
      </w:r>
      <w:r w:rsidRPr="009F74C5">
        <w:rPr>
          <w:rFonts w:ascii="Arial" w:eastAsia="Times New Roman" w:hAnsi="Arial" w:cs="Arial"/>
          <w:i/>
          <w:iCs/>
          <w:sz w:val="20"/>
          <w:szCs w:val="20"/>
        </w:rPr>
        <w:t>Suitability.</w:t>
      </w:r>
      <w:r w:rsidRPr="009F74C5">
        <w:rPr>
          <w:rFonts w:ascii="Arial" w:eastAsia="Times New Roman" w:hAnsi="Arial" w:cs="Arial"/>
          <w:sz w:val="20"/>
          <w:szCs w:val="20"/>
        </w:rPr>
        <w:t xml:space="preserve"> The signals used (hand, voice, audible, or new), and means of transmitting the signals to the operator (such as direct line of sight, video, radio, </w:t>
      </w:r>
      <w:r w:rsidRPr="009F74C5">
        <w:rPr>
          <w:rFonts w:ascii="Arial" w:eastAsia="Times New Roman" w:hAnsi="Arial" w:cs="Arial"/>
          <w:i/>
          <w:iCs/>
          <w:sz w:val="20"/>
          <w:szCs w:val="20"/>
        </w:rPr>
        <w:t>etc.</w:t>
      </w:r>
      <w:r w:rsidRPr="009F74C5">
        <w:rPr>
          <w:rFonts w:ascii="Arial" w:eastAsia="Times New Roman" w:hAnsi="Arial" w:cs="Arial"/>
          <w:sz w:val="20"/>
          <w:szCs w:val="20"/>
        </w:rPr>
        <w:t>), must be appropriate for the site 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During operations requiring signals, the ability to transmit signals between the operator and signal person must be maintained. If that ability is interrupted at any time, the operator must safely stop operations requiring signals until it is reestablished and a proper signal is given and understood.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If the operator becomes aware of a safety problem and needs to communicate with the signal person, the operator must safely stop operations. Operations must not resume until the operator and signal person agree that the problem has been resolved.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 Only one person may give signals to a crane/derrick at a time, except in circumstances covered by paragraph (j)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(j) Anyone who becomes aware of a safety problem must alert the operator or signal person by giving the stop or emergency stop signal. (</w:t>
      </w:r>
      <w:r w:rsidRPr="009F74C5">
        <w:rPr>
          <w:rFonts w:ascii="Arial" w:eastAsia="Times New Roman" w:hAnsi="Arial" w:cs="Arial"/>
          <w:smallCaps/>
          <w:sz w:val="20"/>
          <w:szCs w:val="20"/>
        </w:rPr>
        <w:t>Note:</w:t>
      </w:r>
      <w:r w:rsidRPr="009F74C5">
        <w:rPr>
          <w:rFonts w:ascii="Arial" w:eastAsia="Times New Roman" w:hAnsi="Arial" w:cs="Arial"/>
          <w:sz w:val="20"/>
          <w:szCs w:val="20"/>
        </w:rPr>
        <w:t xml:space="preserve"> §1926.1417(y) requires the operator to obey a stop or emergency stop signal).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(k) All directions given to the operator by the signal person must be given from the operator's direction perspective.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Communication with multiple cranes/derricks.</w:t>
      </w:r>
      <w:r w:rsidRPr="009F74C5">
        <w:rPr>
          <w:rFonts w:ascii="Arial" w:eastAsia="Times New Roman" w:hAnsi="Arial" w:cs="Arial"/>
          <w:sz w:val="20"/>
          <w:szCs w:val="20"/>
        </w:rPr>
        <w:t xml:space="preserve"> Where a signal person(s) is in communication with more than one crane/derrick, a system must be used for identifying the crane/derrick each signal is for,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each signal, prior to giving the function/direction, the signal person must identify the crane/derrick the signal is for,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must use an equally effective method of identifying which crane/derrick the signal is for.</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2" w:anchor="_top" w:history="1">
        <w:r w:rsidR="00D70103">
          <w:rPr>
            <w:rFonts w:ascii="Arial" w:eastAsia="Times New Roman" w:hAnsi="Arial" w:cs="Arial"/>
            <w:noProof/>
            <w:color w:val="0000FF"/>
            <w:sz w:val="17"/>
            <w:szCs w:val="17"/>
          </w:rPr>
          <w:drawing>
            <wp:inline distT="0" distB="0" distL="0" distR="0" wp14:anchorId="213A8355" wp14:editId="5CCD1990">
              <wp:extent cx="152400" cy="152400"/>
              <wp:effectExtent l="0" t="0" r="0" b="0"/>
              <wp:docPr id="30" name="Picture 3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4" w:name="se29.8.1926_11420"/>
      <w:bookmarkEnd w:id="134"/>
      <w:r w:rsidRPr="009F74C5">
        <w:rPr>
          <w:rFonts w:ascii="Arial" w:eastAsia="Times New Roman" w:hAnsi="Arial" w:cs="Arial"/>
          <w:b/>
          <w:bCs/>
          <w:sz w:val="20"/>
          <w:szCs w:val="20"/>
        </w:rPr>
        <w:t>§1926.1420   Signals—radio, telephone or other electronic transmission of signals.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device(s) used to transmit signals must be tested on site before beginning operations to ensure that the signal transmission is effective, clear, and reliable.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Signal transmission must be through a dedicated channel, except: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Multiple cranes/derricks and one or more signal persons may share a dedicated channel for the purpose of coordinating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a crane is being operated on or adjacent to railroad tracks, and the actions of the crane operator need to be coordinated with the movement of other equipment or trains on the same or adjacent tracks.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operator's reception of signals must be by a hands-free system.</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3" w:anchor="_top" w:history="1">
        <w:r w:rsidR="00D70103">
          <w:rPr>
            <w:rFonts w:ascii="Arial" w:eastAsia="Times New Roman" w:hAnsi="Arial" w:cs="Arial"/>
            <w:noProof/>
            <w:color w:val="0000FF"/>
            <w:sz w:val="17"/>
            <w:szCs w:val="17"/>
          </w:rPr>
          <w:drawing>
            <wp:inline distT="0" distB="0" distL="0" distR="0" wp14:anchorId="435A804E" wp14:editId="01F905C2">
              <wp:extent cx="152400" cy="152400"/>
              <wp:effectExtent l="0" t="0" r="0" b="0"/>
              <wp:docPr id="29" name="Picture 2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5" w:name="se29.8.1926_11421"/>
      <w:bookmarkEnd w:id="135"/>
      <w:r w:rsidRPr="009F74C5">
        <w:rPr>
          <w:rFonts w:ascii="Arial" w:eastAsia="Times New Roman" w:hAnsi="Arial" w:cs="Arial"/>
          <w:b/>
          <w:bCs/>
          <w:sz w:val="20"/>
          <w:szCs w:val="20"/>
        </w:rPr>
        <w:t>§1926.1421   Signals—voice signals—additional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Prior to beginning operations, the operator, signal person and lift director (if there is one), must contact each other and agree on the voice signals that will be used. Once the voice signals are agreed upon, these workers need not meet again to discuss voice signals unless another worker is added or substituted, there is confusion about the voice signals, or a voice signal is to be changed.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Each voice signal must contain the following three elements, given in the following order: function (such as hoist, boom, </w:t>
      </w:r>
      <w:r w:rsidRPr="009F74C5">
        <w:rPr>
          <w:rFonts w:ascii="Arial" w:eastAsia="Times New Roman" w:hAnsi="Arial" w:cs="Arial"/>
          <w:i/>
          <w:iCs/>
          <w:sz w:val="20"/>
          <w:szCs w:val="20"/>
        </w:rPr>
        <w:t>etc.</w:t>
      </w:r>
      <w:r w:rsidRPr="009F74C5">
        <w:rPr>
          <w:rFonts w:ascii="Arial" w:eastAsia="Times New Roman" w:hAnsi="Arial" w:cs="Arial"/>
          <w:sz w:val="20"/>
          <w:szCs w:val="20"/>
        </w:rPr>
        <w:t>), direction; distance and/or speed; function, stop command.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operator, signal person and lift director (if there is one), must be able to effectively communicate in the language used.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4" w:anchor="_top" w:history="1">
        <w:r w:rsidR="00D70103">
          <w:rPr>
            <w:rFonts w:ascii="Arial" w:eastAsia="Times New Roman" w:hAnsi="Arial" w:cs="Arial"/>
            <w:noProof/>
            <w:color w:val="0000FF"/>
            <w:sz w:val="17"/>
            <w:szCs w:val="17"/>
          </w:rPr>
          <w:drawing>
            <wp:inline distT="0" distB="0" distL="0" distR="0" wp14:anchorId="495E99A6" wp14:editId="4D395BA9">
              <wp:extent cx="152400" cy="152400"/>
              <wp:effectExtent l="0" t="0" r="0" b="0"/>
              <wp:docPr id="28" name="Picture 2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6" w:name="se29.8.1926_11422"/>
      <w:bookmarkEnd w:id="136"/>
      <w:r w:rsidRPr="009F74C5">
        <w:rPr>
          <w:rFonts w:ascii="Arial" w:eastAsia="Times New Roman" w:hAnsi="Arial" w:cs="Arial"/>
          <w:b/>
          <w:bCs/>
          <w:sz w:val="20"/>
          <w:szCs w:val="20"/>
        </w:rPr>
        <w:t>§1926.1422   Signals—hand signal chart.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Hand signal charts must be either posted on the equipment or conspicuously posted in the vicinity of the hoisting operations.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5" w:anchor="_top" w:history="1">
        <w:r w:rsidR="00D70103">
          <w:rPr>
            <w:rFonts w:ascii="Arial" w:eastAsia="Times New Roman" w:hAnsi="Arial" w:cs="Arial"/>
            <w:noProof/>
            <w:color w:val="0000FF"/>
            <w:sz w:val="17"/>
            <w:szCs w:val="17"/>
          </w:rPr>
          <w:drawing>
            <wp:inline distT="0" distB="0" distL="0" distR="0" wp14:anchorId="2C7E3185" wp14:editId="003E8DF7">
              <wp:extent cx="152400" cy="152400"/>
              <wp:effectExtent l="0" t="0" r="0" b="0"/>
              <wp:docPr id="27" name="Picture 2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7" w:name="se29.8.1926_11423"/>
      <w:bookmarkEnd w:id="137"/>
      <w:r w:rsidRPr="009F74C5">
        <w:rPr>
          <w:rFonts w:ascii="Arial" w:eastAsia="Times New Roman" w:hAnsi="Arial" w:cs="Arial"/>
          <w:b/>
          <w:bCs/>
          <w:sz w:val="20"/>
          <w:szCs w:val="20"/>
        </w:rPr>
        <w:t>§1926.1423   Fall protection.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Application.</w:t>
      </w:r>
      <w:r w:rsidRPr="009F74C5">
        <w:rPr>
          <w:rFonts w:ascii="Arial" w:eastAsia="Times New Roman" w:hAnsi="Arial" w:cs="Arial"/>
          <w:sz w:val="20"/>
          <w:szCs w:val="20"/>
        </w:rPr>
        <w:t xml:space="preserve"> (1) Paragraphs (b), (c)(3), (e) and (f) of this section apply to all equipment covered by this subpart except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Paragraphs (c)(1), (c)(2), (d), (g), (j) and (k) of this section apply to all equipment covered by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Paragraphs (c)(4) and (h) of this section apply only to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Boom walkways.</w:t>
      </w:r>
      <w:r w:rsidRPr="009F74C5">
        <w:rPr>
          <w:rFonts w:ascii="Arial" w:eastAsia="Times New Roman" w:hAnsi="Arial" w:cs="Arial"/>
          <w:sz w:val="20"/>
          <w:szCs w:val="20"/>
        </w:rPr>
        <w:t xml:space="preserve"> (1) Equipment manufactured after November 8, 2011 with lattice booms must be equipped with walkways on the boom(s) if the vertical profile of the boom (from cord centerline to cord centerline) is 6 or more feet.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Boom walkway criteria.</w:t>
      </w:r>
      <w:r w:rsidRPr="009F74C5">
        <w:rPr>
          <w:rFonts w:ascii="Arial" w:eastAsia="Times New Roman" w:hAnsi="Arial" w:cs="Arial"/>
          <w:sz w:val="20"/>
          <w:szCs w:val="20"/>
        </w:rPr>
        <w:t xml:space="preserve"> (i) The walkways must be at least 12 inches wide.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Guardrails, railings and other permanent fall protection attachments along walkways are: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Not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Prohibited on booms supported by pendant ropes or bars if the guardrails/railings/attachments could be snagged by the ropes or bars.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Prohibited if of the removable type (designed to be installed and removed each time the boom is assembled/disassembled).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(D) Where not prohibited, guardrails or railings may be of any height up to, but not more than, 45 inches.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Steps, handholds, ladders, grabrails, guardrails and railings.</w:t>
      </w:r>
      <w:r w:rsidRPr="009F74C5">
        <w:rPr>
          <w:rFonts w:ascii="Arial" w:eastAsia="Times New Roman" w:hAnsi="Arial" w:cs="Arial"/>
          <w:sz w:val="20"/>
          <w:szCs w:val="20"/>
        </w:rPr>
        <w:t xml:space="preserve"> (1) Section 1926.502(b) does not apply to equipment covered by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must maintain in good condition originally-equipped steps, handholds, ladders and guardrails/railings/grabrails.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Equipment manufactured after November 8, 2011 must be equipped so as to provide safe access and egress between the ground and the operator work station(s), including the forward and rear positions, by the provision of devices such as steps, handholds, ladders, and guardrails/railings/grabrails. These devices must meet the following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Steps, handholds, ladders and guardrails/railings/grabrails must meet the criteria of SAE J185 (May 2003)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or ISO 11660-2:1994(E)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except where infeasible.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Walking/stepping surfaces, except for crawler treads, must have slip-resistant features/properties (such as diamond plate metal, strategically placed grip tape, expanded metal, or slip-resistant paint).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Tower cranes manufactured after November 8, 2011 must be equipped so as to provide safe access and egress between the ground and the cab, machinery platforms, and tower (mast), by the provision of devices such as steps, handholds, ladders, and guardrails/railings/grabrails. These devices must meet the following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Steps, handholds, ladders, and guardrails/railings/grabrails must meet the criteria of ISO 11660-1:2008(E)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and ISO 11660-3:2008(E)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or SAE J185 (May 2003)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except where infeasible.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Walking/stepping surfaces must have slip-resistant features/properties (such as diamond plate metal, strategically placed grip tape, expanded metal, or slip-resistant paint).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Personal fall arrest and fall restraint systems.</w:t>
      </w:r>
      <w:r w:rsidRPr="009F74C5">
        <w:rPr>
          <w:rFonts w:ascii="Arial" w:eastAsia="Times New Roman" w:hAnsi="Arial" w:cs="Arial"/>
          <w:sz w:val="20"/>
          <w:szCs w:val="20"/>
        </w:rPr>
        <w:t xml:space="preserve"> Personal fall arrest system components must be used in personal fall arrest and fall restraint systems and must conform to the criteria in §1926.502(d) except that §1926.502(d)(15) does not apply to components used in personal fall arrest and fall restraint systems. Either body belts or body harnesses must be used in personal fall arrest and fall restraint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For non-assembly/disassembly work, the employer must provide and ensure the use of fall protection equipment for employees who are on a walking/working surface with an unprotected side or edge more than 6 feet above a lower level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When moving point-to-point: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On non-lattice booms (whether horizontal or not horizontal).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On lattice booms that are not horizontal.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On horizontal lattice booms where the fall distance is 15 feet or more.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While at a work station on any part of the equipment (including the boom, of any type), except when the employee is at or near draw-works (when the equipment is running), in the cab, or on the deck.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For assembly/disassembly work, the employer must provide and ensure the use of fall protection equipment for employees who are on a walking/working surface with an unprotected side or edge more than 15 feet above a lower level, except when the employee is at or near draw-works (when the equipment is running), in the cab, or on the deck.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Anchorage criteria.</w:t>
      </w:r>
      <w:r w:rsidRPr="009F74C5">
        <w:rPr>
          <w:rFonts w:ascii="Arial" w:eastAsia="Times New Roman" w:hAnsi="Arial" w:cs="Arial"/>
          <w:sz w:val="20"/>
          <w:szCs w:val="20"/>
        </w:rPr>
        <w:t xml:space="preserve"> (1) Sections 1926.502(d)(15) and 1926.502(e)(2) apply to equipment covered by this subpart only to the extent delineated in paragraph (g)(2)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Anchorages for personal fall arrest and positioning device systems.</w:t>
      </w:r>
      <w:r w:rsidRPr="009F74C5">
        <w:rPr>
          <w:rFonts w:ascii="Arial" w:eastAsia="Times New Roman" w:hAnsi="Arial" w:cs="Arial"/>
          <w:sz w:val="20"/>
          <w:szCs w:val="20"/>
        </w:rPr>
        <w:t xml:space="preserve"> (i) Personal fall arrest systems must be anchored to any apparently substantial part of the equipment unless a competent person, from a visual inspection, without an engineering analysis, would conclude that the criteria in §1926.502(d)(15) would not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Positioning device systems must be anchored to any apparently substantial part of the equipment unless a competent person, from a visual inspection, without an engineering analysis, would conclude that the criteria in §1926.502(e)(2) would not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Attachable anchor devices (portable anchor devices that are attached to the equipment) must meet the anchorage criteria in §1926.502(d)(15) for personal fall arrest systems and §1926.502(e)(2) for positioning device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Anchorages for fall restraint systems.</w:t>
      </w:r>
      <w:r w:rsidRPr="009F74C5">
        <w:rPr>
          <w:rFonts w:ascii="Arial" w:eastAsia="Times New Roman" w:hAnsi="Arial" w:cs="Arial"/>
          <w:sz w:val="20"/>
          <w:szCs w:val="20"/>
        </w:rPr>
        <w:t xml:space="preserve"> Fall restraint systems must be anchored to any part of the equipment that is capable of withstanding twice the maximum load that an employee may impose on it during reasonably anticipated conditions of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Tower cranes.</w:t>
      </w:r>
      <w:r w:rsidRPr="009F74C5">
        <w:rPr>
          <w:rFonts w:ascii="Arial" w:eastAsia="Times New Roman" w:hAnsi="Arial" w:cs="Arial"/>
          <w:sz w:val="20"/>
          <w:szCs w:val="20"/>
        </w:rPr>
        <w:t xml:space="preserve"> (1) For work other than erecting, climbing, and dismantling, the employer must provide and ensure the use of fall protection equipment for employees who are on a walking/working surface with an unprotected side or edge more than 6 feet above a lower level, except when the employee is at or near draw-works (when the equipment is running), in the cab, or on the deck.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erecting, climbing, and dismantling work, the employer must provide and ensure the use of fall protection equipment for employees who are on a walking/working surface with an unprotected side or edge more than 15 feet above a lower level.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Anchoring to the load line.</w:t>
      </w:r>
      <w:r w:rsidRPr="009F74C5">
        <w:rPr>
          <w:rFonts w:ascii="Arial" w:eastAsia="Times New Roman" w:hAnsi="Arial" w:cs="Arial"/>
          <w:sz w:val="20"/>
          <w:szCs w:val="20"/>
        </w:rPr>
        <w:t xml:space="preserve"> A personal fall arrest system is permitted to be anchored to the crane/derrick's hook (or other part of the load line) where all of the following requirements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A qualified person has determined that the set-up and rated capacity of the crane/derrick (including the hook, load line and rigging) meets or exceeds the requirements in §1926.502(d)(15).</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equipment operator must be at the work site and informed that the equipment is being used for this purpose.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No load is suspended from the load line when the personal fall arrest system is anchored to the crane/derrick's hook (or other part of the load line).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Training.</w:t>
      </w:r>
      <w:r w:rsidRPr="009F74C5">
        <w:rPr>
          <w:rFonts w:ascii="Arial" w:eastAsia="Times New Roman" w:hAnsi="Arial" w:cs="Arial"/>
          <w:sz w:val="20"/>
          <w:szCs w:val="20"/>
        </w:rPr>
        <w:t xml:space="preserve"> The employer must train each employee who may be exposed to fall hazards while on, or hoisted by, equipment covered by this subpart on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 the requirements in this subpart that address fall protection.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applicable requirements in §§1926.500 and 1926.502.</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6" w:anchor="_top" w:history="1">
        <w:r w:rsidR="00D70103">
          <w:rPr>
            <w:rFonts w:ascii="Arial" w:eastAsia="Times New Roman" w:hAnsi="Arial" w:cs="Arial"/>
            <w:noProof/>
            <w:color w:val="0000FF"/>
            <w:sz w:val="17"/>
            <w:szCs w:val="17"/>
          </w:rPr>
          <w:drawing>
            <wp:inline distT="0" distB="0" distL="0" distR="0" wp14:anchorId="7AD8FD9D" wp14:editId="71867BC6">
              <wp:extent cx="152400" cy="152400"/>
              <wp:effectExtent l="0" t="0" r="0" b="0"/>
              <wp:docPr id="26" name="Picture 2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8" w:name="se29.8.1926_11424"/>
      <w:bookmarkEnd w:id="138"/>
      <w:r w:rsidRPr="009F74C5">
        <w:rPr>
          <w:rFonts w:ascii="Arial" w:eastAsia="Times New Roman" w:hAnsi="Arial" w:cs="Arial"/>
          <w:b/>
          <w:bCs/>
          <w:sz w:val="20"/>
          <w:szCs w:val="20"/>
        </w:rPr>
        <w:t>§1926.1424   Work area control.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Swing radius hazards.</w:t>
      </w:r>
      <w:r w:rsidRPr="009F74C5">
        <w:rPr>
          <w:rFonts w:ascii="Arial" w:eastAsia="Times New Roman" w:hAnsi="Arial" w:cs="Arial"/>
          <w:sz w:val="20"/>
          <w:szCs w:val="20"/>
        </w:rPr>
        <w:t xml:space="preserve"> (1) The requirements in paragraph (a)(2) of this section apply where there are accessible areas in which the equipment's rotating superstructure (whether permanently or temporarily mounted) poses a reasonably foreseeable risk 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Striking and injuring an employee;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Pinching/crushing an employee against another part of the equipment or another object.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To prevent employees from entering these hazard areas, the employer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Train each employee assigned to work on or near the equipment (“authorized personnel”) in how to recognize struck-by and pinch/crush hazard areas posed by the rotating superstructure.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Erect and maintain control lines, warning lines, railings or similar barriers to mark the boundaries of the hazard areas.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When the employer can demonstrate that it is neither feasible to erect such barriers on the ground nor on the equipment, the hazard areas must be clearly marked by a combination of warning signs (such as “Danger—Swing/Crush Zone”) and high visibility markings on the equipment that identify the hazard areas. In addition, the employer must train each employee to understand what these markings signify.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Protecting employees in the hazard area.</w:t>
      </w:r>
      <w:r w:rsidRPr="009F74C5">
        <w:rPr>
          <w:rFonts w:ascii="Arial" w:eastAsia="Times New Roman" w:hAnsi="Arial" w:cs="Arial"/>
          <w:sz w:val="20"/>
          <w:szCs w:val="20"/>
        </w:rPr>
        <w:t xml:space="preserve"> (i) Before an employee goes to a location in the hazard area that is out of view of the operator, the employee (or someone instructed by the employee) must ensure that the operator is informed that he/she is going to that location.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the operator knows that an employee went to a location covered by paragraph (a)(1) of this section, the operator must not rotate the superstructure until the operator is informed in accordance with a pre-arranged system of communication that the employee is in a safe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Where any part of a crane/derrick is within the working radius of another crane/derrick, the controlling entity must institute a system to coordinate operations. If there is no controlling entity, the employer (if there is only one employer operating the multiple pieces of equipment), or employers, must institute such a system.</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7" w:anchor="_top" w:history="1">
        <w:r w:rsidR="00D70103">
          <w:rPr>
            <w:rFonts w:ascii="Arial" w:eastAsia="Times New Roman" w:hAnsi="Arial" w:cs="Arial"/>
            <w:noProof/>
            <w:color w:val="0000FF"/>
            <w:sz w:val="17"/>
            <w:szCs w:val="17"/>
          </w:rPr>
          <w:drawing>
            <wp:inline distT="0" distB="0" distL="0" distR="0" wp14:anchorId="4F47603A" wp14:editId="0043704F">
              <wp:extent cx="152400" cy="152400"/>
              <wp:effectExtent l="0" t="0" r="0" b="0"/>
              <wp:docPr id="25" name="Picture 2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39" w:name="se29.8.1926_11425"/>
      <w:bookmarkEnd w:id="139"/>
      <w:r w:rsidRPr="009F74C5">
        <w:rPr>
          <w:rFonts w:ascii="Arial" w:eastAsia="Times New Roman" w:hAnsi="Arial" w:cs="Arial"/>
          <w:b/>
          <w:bCs/>
          <w:sz w:val="20"/>
          <w:szCs w:val="20"/>
        </w:rPr>
        <w:t>§1926.1425   Keeping clear of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Where available, hoisting routes that minimize the exposure of employees to hoisted loads must be used, to the extent consistent with public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While the operator is not moving a suspended load, no employee must be within the fall zone, except for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Engaged in hooking, unhooking or guiding a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Engaged in the initial attachment of the load to a component or structure;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Operating a concrete hopper or concrete bucket.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When employees are engaged in hooking, unhooking, or guiding the load, or in the initial connection of a load to a component or structure and are within the fall zone, all of the following criteria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materials being hoisted must be rigged to prevent unintentional displacement.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Hooks with self-closing latches or their equivalent must be used.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“J” hooks are permitted to be used for setting wooden trusses.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materials must be rigged by a qualified rigger.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Receiving a load.</w:t>
      </w:r>
      <w:r w:rsidRPr="009F74C5">
        <w:rPr>
          <w:rFonts w:ascii="Arial" w:eastAsia="Times New Roman" w:hAnsi="Arial" w:cs="Arial"/>
          <w:sz w:val="20"/>
          <w:szCs w:val="20"/>
        </w:rPr>
        <w:t xml:space="preserve"> Only employees needed to receive a load are permitted to be within the fall zone when a load is being landed.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During a tilt-up or tilt-down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No employee must be directly under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Only employees essential to the operation are permitted in the fall zone (but not directly under the load). An employee is essential to the operation if the employee is conducting one of the following operations and the employer can demonstrate it is infeasible for the employee to perform that operation from outside the fall zone: (1) Physically guide the load; (2) closely monitor and give instructions regarding the load's movement; or (3) either detach it from or initially attach it to another component or structure (such as, but not limited to, making an initial connection or installing bracing).</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Boom free fall is prohibited when an employee is in the fall zone of the boom or load, and load line free fall is prohibited when an employee is directly under the load; </w:t>
      </w:r>
      <w:r w:rsidRPr="009F74C5">
        <w:rPr>
          <w:rFonts w:ascii="Arial" w:eastAsia="Times New Roman" w:hAnsi="Arial" w:cs="Arial"/>
          <w:i/>
          <w:iCs/>
          <w:sz w:val="18"/>
          <w:szCs w:val="18"/>
        </w:rPr>
        <w:t>see</w:t>
      </w:r>
      <w:r w:rsidRPr="009F74C5">
        <w:rPr>
          <w:rFonts w:ascii="Arial" w:eastAsia="Times New Roman" w:hAnsi="Arial" w:cs="Arial"/>
          <w:sz w:val="18"/>
          <w:szCs w:val="18"/>
        </w:rPr>
        <w:t xml:space="preserve"> §1926.1426.</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8" w:anchor="_top" w:history="1">
        <w:r w:rsidR="00D70103">
          <w:rPr>
            <w:rFonts w:ascii="Arial" w:eastAsia="Times New Roman" w:hAnsi="Arial" w:cs="Arial"/>
            <w:noProof/>
            <w:color w:val="0000FF"/>
            <w:sz w:val="17"/>
            <w:szCs w:val="17"/>
          </w:rPr>
          <w:drawing>
            <wp:inline distT="0" distB="0" distL="0" distR="0" wp14:anchorId="36383501" wp14:editId="25564AF2">
              <wp:extent cx="152400" cy="152400"/>
              <wp:effectExtent l="0" t="0" r="0" b="0"/>
              <wp:docPr id="24" name="Picture 2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0" w:name="se29.8.1926_11426"/>
      <w:bookmarkEnd w:id="140"/>
      <w:r w:rsidRPr="009F74C5">
        <w:rPr>
          <w:rFonts w:ascii="Arial" w:eastAsia="Times New Roman" w:hAnsi="Arial" w:cs="Arial"/>
          <w:b/>
          <w:bCs/>
          <w:sz w:val="20"/>
          <w:szCs w:val="20"/>
        </w:rPr>
        <w:t>§1926.1426   Free fall and controlled load lowering.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Boom free fall prohibitions.</w:t>
      </w:r>
      <w:r w:rsidRPr="009F74C5">
        <w:rPr>
          <w:rFonts w:ascii="Arial" w:eastAsia="Times New Roman" w:hAnsi="Arial" w:cs="Arial"/>
          <w:sz w:val="20"/>
          <w:szCs w:val="20"/>
        </w:rPr>
        <w:t xml:space="preserve"> (1) The use of equipment in which the boom is designed to free fall (live boom) is prohibited in each of the following circumstances: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An employee is in the fall zone of the boom or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 employee is being hoisted.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load or boom is directly over a power line, or over any part of the area extending the Table A of §1926.1408 clearance distance to each side of the power line; or any part of the area extending the Table A clearance distance to each side of the power line is within the radius of vertical travel of the boom or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load is over a shaft, except where there are no employees in the shaft.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load is over a cofferdam, except where there are no employees in the fall zone of the boom or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(vi) Lifting operations are taking place in a refinery or tank farm.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use of equipment in which the boom is designed to free fall (live boom) is permitted only where none of the circumstances listed in paragraph (a)(1) of this section are present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equipment was manufactured prior to October 31, 1984;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equipment is a floating crane/derrick or a land crane/derrick on a vessel/flotation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Preventing boom free fall.</w:t>
      </w:r>
      <w:r w:rsidRPr="009F74C5">
        <w:rPr>
          <w:rFonts w:ascii="Arial" w:eastAsia="Times New Roman" w:hAnsi="Arial" w:cs="Arial"/>
          <w:sz w:val="20"/>
          <w:szCs w:val="20"/>
        </w:rPr>
        <w:t xml:space="preserve"> Where the use of equipment with a boom that is designed to free fall (live boom) is prohibited, the boom hoist must have a secondary mechanism or device designed to prevent the boom from falling in the event the primary system used to hold or regulate the boom hoist fails,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Friction drums must have: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friction clutch and, in addition, a braking device, to allow for controlled boom lowering.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secondary braking or locking device, which is manually or automatically engaged, to back-up the primary brake while the boom is held (such as a secondary friction brake or a ratchet and pawl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Hydraulic drums must have an integrally mounted holding device or internal static brake to prevent boom hoist movement in the event of hydraulic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Neither clutches nor hydraulic motors must be considered brake or locking devices for purposes of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Hydraulic boom cylinders must have an integrally mounted holding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Preventing uncontrolled retraction.</w:t>
      </w:r>
      <w:r w:rsidRPr="009F74C5">
        <w:rPr>
          <w:rFonts w:ascii="Arial" w:eastAsia="Times New Roman" w:hAnsi="Arial" w:cs="Arial"/>
          <w:sz w:val="20"/>
          <w:szCs w:val="20"/>
        </w:rPr>
        <w:t xml:space="preserve"> Hydraulic telescoping booms must have an integrally mounted holding device to prevent the boom from retracting in the event of hydraulic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Load line free fall.</w:t>
      </w:r>
      <w:r w:rsidRPr="009F74C5">
        <w:rPr>
          <w:rFonts w:ascii="Arial" w:eastAsia="Times New Roman" w:hAnsi="Arial" w:cs="Arial"/>
          <w:sz w:val="20"/>
          <w:szCs w:val="20"/>
        </w:rPr>
        <w:t xml:space="preserve"> In each of the following circumstances, controlled load lowering is required and free fall of the load line hoist is prohibited: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An employee is directly under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An employee is being hoisted.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load is directly over a power line, or over any part of the area extending the Table A of §1926.1408 clearance distance to each side of the power line; or any part of the area extending the Table A of §1926.1408 clearance distance to each side of the power line is within the radius of vertical travel of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load is over a shaft.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load is over a cofferdam, except where there are no employees in the fall zone of the load.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79" w:anchor="_top" w:history="1">
        <w:r w:rsidR="00D70103">
          <w:rPr>
            <w:rFonts w:ascii="Arial" w:eastAsia="Times New Roman" w:hAnsi="Arial" w:cs="Arial"/>
            <w:noProof/>
            <w:color w:val="0000FF"/>
            <w:sz w:val="17"/>
            <w:szCs w:val="17"/>
          </w:rPr>
          <w:drawing>
            <wp:inline distT="0" distB="0" distL="0" distR="0" wp14:anchorId="7A85F722" wp14:editId="0066CFA9">
              <wp:extent cx="152400" cy="152400"/>
              <wp:effectExtent l="0" t="0" r="0" b="0"/>
              <wp:docPr id="23" name="Picture 2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1" w:name="se29.8.1926_11427"/>
      <w:bookmarkEnd w:id="141"/>
      <w:r w:rsidRPr="009F74C5">
        <w:rPr>
          <w:rFonts w:ascii="Arial" w:eastAsia="Times New Roman" w:hAnsi="Arial" w:cs="Arial"/>
          <w:b/>
          <w:bCs/>
          <w:sz w:val="20"/>
          <w:szCs w:val="20"/>
        </w:rPr>
        <w:t>§1926.1427   Operator qualification and certification.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(a) The employer must ensure that, prior to operating any equipment covered under subpart CC, the person is operating the equipment during a training period in accordance with paragraph (f) of this section, or the operator is qualified or certified to operate the equipment in accordance with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When a non-military government entity issues operator licenses for equipment covered under subpart CC, and that government licensing program meets the requirements of paragraphs (e)(2) and (j) of this section, the equipment operator must either be: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Licensed by that government entity for operation of equipment within that entity's jurisdiction;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qualified in compliance with paragraph (d)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Where paragraph (a)(1) of this section is not applicable, the certification or qualification must comply with one of the options in paragraphs (b) through (d)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Exceptions:</w:t>
      </w:r>
      <w:r w:rsidRPr="009F74C5">
        <w:rPr>
          <w:rFonts w:ascii="Arial" w:eastAsia="Times New Roman" w:hAnsi="Arial" w:cs="Arial"/>
          <w:sz w:val="20"/>
          <w:szCs w:val="20"/>
        </w:rPr>
        <w:t xml:space="preserve"> Operator qualification or certification under this section is not required for operators of derricks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§1926.1436), sideboom cranes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§1926.1440), or equipment with a maximum manufacturer-rated hoisting/lifting capacity of 2,000 pounds or less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§1926.1441).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Whenever operator qualification or certification is required under §1926.1427, the employer must provide the qualification or certification at no cost to operators who are employed by the employer on November 8, 2010.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Option (1): Certification by an accredited crane operator testing organization.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a testing organization to be considered accredited to certify operators under this subpart, it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Be accredited by a nationally recognized accrediting agency based on that agency's determination that industry recognized criteria for written testing materials, practical examinations, test administration, grading, facilities/equipment and personnel have been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Administer written and practical tests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Assess the operator applicant regarding, at a minimum, the knowledge and skills listed in paragraphs (j)(1)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Provide different levels of certification based on equipment capacity and type.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Have procedures for operators to re-apply and be re-tested in the event an operator applicant fails a test or is decertified.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Have testing procedures for re-certification designed to ensure that the operator continues to meet the technical knowledge and skills requirements in paragraphs (j)(1)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Have its accreditation reviewed by the nationally recognized accrediting agency at least every three years.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An operator will be deemed qualified to operate a particular piece of equipment if the operator is certified under paragraph (b) of this section for that type and capacity of equipment or for higher-capacity equipment of that type. If no accredited testing agency offers certification examinations for a particular type and/or capacity of equipment, an operator will be deemed qualified to operate that equipment if the </w:t>
      </w:r>
      <w:r w:rsidRPr="009F74C5">
        <w:rPr>
          <w:rFonts w:ascii="Arial" w:eastAsia="Times New Roman" w:hAnsi="Arial" w:cs="Arial"/>
          <w:sz w:val="20"/>
          <w:szCs w:val="20"/>
        </w:rPr>
        <w:lastRenderedPageBreak/>
        <w:t>operator has been certified for the type/capacity that is most similar to that equipment and for which a certification examination is available. The operator's certificate must state the type/capacity of equipment for which the operator is certified.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 certification issued under this option is portable and meets the requirements of paragraph (a)(2)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A certification issued under this paragraph is valid for 5 years.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Option (2): Qualification by an audited employer program.</w:t>
      </w:r>
      <w:r w:rsidRPr="009F74C5">
        <w:rPr>
          <w:rFonts w:ascii="Arial" w:eastAsia="Times New Roman" w:hAnsi="Arial" w:cs="Arial"/>
          <w:sz w:val="20"/>
          <w:szCs w:val="20"/>
        </w:rPr>
        <w:t xml:space="preserve"> The employer's qualification of its employee must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written and practical tests must be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Developed by an accredited crane operator testing organization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(b) of this section);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Approved by an auditor in accordance with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auditor is certified to evaluate such tests by an accredited crane operator testing organization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auditor is not an employee of the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approval must be based on the auditor's determination that the written and practical tests meet nationally recognized test development criteria and are valid and reliable in assessing the operator applicants regarding, at a minimum, the knowledge and skills listed in paragraphs (j)(1)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audit must be conducted in accordance with nationally recognized auditing standards.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Administration of tests.</w:t>
      </w:r>
      <w:r w:rsidRPr="009F74C5">
        <w:rPr>
          <w:rFonts w:ascii="Arial" w:eastAsia="Times New Roman" w:hAnsi="Arial" w:cs="Arial"/>
          <w:sz w:val="20"/>
          <w:szCs w:val="20"/>
        </w:rPr>
        <w:t xml:space="preserve"> (i) The written and practical tests must be administered under circumstances approved by the auditor as meeting nationally recognized test administration standards.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auditor must be certified to evaluate the administration of the written and practical tests by an accredited crane operator testing organization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(b)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auditor must not be an employee of the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audit must be conducted in accordance with nationally recognized auditing standards.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employer program must be audited within 3 months of the beginning of the program and at least every 3 years thereafter.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employer program must have testing procedures for re-qualification designed to ensure that the operator continues to meet the technical knowledge and skills requirements in paragraphs (j)(1) and (2) of this section. The re-qualification procedures must be audited in accordance with paragraphs (c)(1)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Deficiencies.</w:t>
      </w:r>
      <w:r w:rsidRPr="009F74C5">
        <w:rPr>
          <w:rFonts w:ascii="Arial" w:eastAsia="Times New Roman" w:hAnsi="Arial" w:cs="Arial"/>
          <w:sz w:val="20"/>
          <w:szCs w:val="20"/>
        </w:rPr>
        <w:t xml:space="preserve"> If the auditor determines that there is a significant deficiency (“deficiency”) in the program,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No operator is qualified until the auditor confirms that the deficiency has been corrected.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program is audited again within 180 days of the confirmation that the deficiency was corrected.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auditor files a documented report of the deficiency to the appropriate Regional Office of the Occupational Safety and Health Administration within 15 days of the auditor's determination that there is a deficiency.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Records of the audits of the employer's program are maintained by the auditor for three years and are made available by the auditor to the Secretary of Labor or the Secretary's designated representative upon request.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A qualification under this paragraph is: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Not portable. Such a qualification meets the requirements of paragraph (a) of this section only where the operator is employed by (and operating the equipment for) the employer that issued the qualification.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Valid for 5 years.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Option (3): Qualification by the U.S. military.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purposes of this section, an operator who is an employee of the U.S. military is considered qualified if he/she has a current operator qualification issued by the U.S. military for operation of the equipment. An employee of the U.S. military is a Federal employee of the Department of Defense or Armed Forces and does not include employees of private contractors.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 qualification under this paragraph is: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Not portable. Such a qualification meets the requirements of paragraph (a) of this section only where the operator is employed by (and operating the equipment for) the employer that issued the qualification.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Valid for the period of time stipulated by the issuing entity.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Option (4): Licensing by a government entity.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For purposes of this section, a government licensing department/office that issues operator licenses for operating equipment covered by this standard is considered a government accredited crane operator testing organization if the criteria in paragraph (e)(2)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Licensing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requirements for obtaining the license include an assessment, by written and practical tests, of the operator applicant regarding, at a minimum, the knowledge and skills listed in paragraphs (j)(1)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testing meets industry recognized criteria for written testing materials, practical examinations, test administration, grading, facilities/equipment and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The government authority that oversees the licensing department/office, has determined that the requirements in paragraphs (e)(2)(i) and (ii) of this section have been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licensing department/office has testing procedures for re-licensing designed to ensure that the operator continues to meet the technical knowledge and skills requirements in paragraphs (j)(1) and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 license issued by a government accredited crane operator testing organization that meets the requirements of this option: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Meets the operator qualification requirements of this section for operation of equipment only within the jurisdiction of the government entity.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Is valid for the period of time stipulated by the licensing department/office, but no longer than 5 years.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Pre-qualification/certification training period.</w:t>
      </w:r>
      <w:r w:rsidRPr="009F74C5">
        <w:rPr>
          <w:rFonts w:ascii="Arial" w:eastAsia="Times New Roman" w:hAnsi="Arial" w:cs="Arial"/>
          <w:sz w:val="20"/>
          <w:szCs w:val="20"/>
        </w:rPr>
        <w:t xml:space="preserve"> An employee who is not qualified or certified under this section is permitted to operate equipment only as an operator-in-training and only where the requirements of this paragraph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employer must provide each operator-in-training with sufficient training prior to operating the equipment to enable the operator-in-training to operate the equipment safely under limitations established by this section (including continuous monitoring) and any additional limitations established by the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tasks performed by the operator-in-training while operating the equipment must be within the operator-in-training's 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Trainer.</w:t>
      </w:r>
      <w:r w:rsidRPr="009F74C5">
        <w:rPr>
          <w:rFonts w:ascii="Arial" w:eastAsia="Times New Roman" w:hAnsi="Arial" w:cs="Arial"/>
          <w:sz w:val="20"/>
          <w:szCs w:val="20"/>
        </w:rPr>
        <w:t xml:space="preserve"> While operating the equipment, the operator-in-training must be continuously monitored by an individual (“operator's trainer”) who meets all of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operator's trainer is an employee or agent of the operator-in-training's employer.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operator's trainer is either a certified operator under this section, or has passed the written portion of a certification test under one of the options in paragraphs (b) through (e) of this section, and is familiar with the proper use of the equipment's controls.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While monitoring the operator-in-training, the operator's trainer performs no tasks that detract from the trainer's ability to monitor the operator-in-training.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For equipment other than tower cranes: The operator's trainer and the operator-in-training must be in direct line of sight of each other. In addition, they must communicate verbally or by hand signals. For tower cranes: The operator's trainer and the operator-in-training must be in direct communication with each other.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Continuous monitoring.</w:t>
      </w:r>
      <w:r w:rsidRPr="009F74C5">
        <w:rPr>
          <w:rFonts w:ascii="Arial" w:eastAsia="Times New Roman" w:hAnsi="Arial" w:cs="Arial"/>
          <w:sz w:val="20"/>
          <w:szCs w:val="20"/>
        </w:rPr>
        <w:t xml:space="preserve"> The operator-in-training must be monitored by the operator's trainer at all times, except for short breaks where all of the following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break lasts no longer than 15 minutes and there is no more than one break per hour.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Immediately prior to the break the operator's trainer informs the operator-in-training of the specific tasks that the operator-in-training is to perform and limitations to which he/she must adhere during the operator trainer's break.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The specific tasks that the operator-in-training will perform during the operator trainer's break are within the operator-in-training's abilities.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operator-in-training must not operate the equipment in any of the following circumstances unless the exception stated in paragraph (f)(5)(v) of this section is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If any part of the equipment, load line or load (including rigging and lifting accessories), if operated up to the equipment's maximum working radius in the work zone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§1926.1408(a)(1)), could get within 20 feet of a power line that is up to 350 kV, or within 50 feet of a power line that is over 350 kV.</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equipment is used to hoist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In multiple-equipment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If the equipment is used over a shaft, cofferdam, or in a tank farm.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In multiple-lift rigging operations, except where the operator's trainer determines that the operator-in-training skills are sufficient for this high-skill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Under this section, a testing entity is permitted to provide training as well as testing services as long as the criteria of the applicable accrediting agency (in the option selected) for an organization providing both services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Language and Literacy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Tests under this section may be administered verbally, with answers given verbally, where the operator candidate: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Passes a written demonstration of literacy relevant to the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Demonstrates the ability to use the type of written manufacturer procedures applicable to the class/type of equipment for which the candidate is seeking certification.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Tests under this section may be administered in any language the operator candidate understands, and the operator's certificate must note the language in which the test was given. The operator is qualified under paragraph (b)(2) of this section to operate equipment that is furnished with materials required by this subpart that are written in the language of the certification. The operator may only operate equipment furnished with such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Certification criteria.</w:t>
      </w:r>
      <w:r w:rsidRPr="009F74C5">
        <w:rPr>
          <w:rFonts w:ascii="Arial" w:eastAsia="Times New Roman" w:hAnsi="Arial" w:cs="Arial"/>
          <w:sz w:val="20"/>
          <w:szCs w:val="20"/>
        </w:rPr>
        <w:t xml:space="preserve"> Qualifications and certifications must be based, at a minimum, on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A determination through a written test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individual knows the information necessary for safe operation of the specific type of equipment the individual will operate, including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controls and operational/performance characteristics.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Use of, and the ability to calculate (manually or with a calculator), load/capacity information on a variety of configurations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Procedures for preventing and responding to power line contact.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Technical knowledge similar to the subject matter criteria listed in appendix C of this subpart applicable to the specific type of equipment the individual will operate. Use of the appendix C criteria meets the requirements of this provision.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Technical knowledge applicable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1</w:t>
      </w:r>
      <w:r w:rsidRPr="009F74C5">
        <w:rPr>
          <w:rFonts w:ascii="Arial" w:eastAsia="Times New Roman" w:hAnsi="Arial" w:cs="Arial"/>
          <w:sz w:val="20"/>
          <w:szCs w:val="20"/>
        </w:rPr>
        <w:t>) The suitability of the supporting ground and surface to handle expected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2</w:t>
      </w:r>
      <w:r w:rsidRPr="009F74C5">
        <w:rPr>
          <w:rFonts w:ascii="Arial" w:eastAsia="Times New Roman" w:hAnsi="Arial" w:cs="Arial"/>
          <w:sz w:val="20"/>
          <w:szCs w:val="20"/>
        </w:rPr>
        <w:t>) Site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w:t>
      </w:r>
      <w:r w:rsidRPr="009F74C5">
        <w:rPr>
          <w:rFonts w:ascii="Arial" w:eastAsia="Times New Roman" w:hAnsi="Arial" w:cs="Arial"/>
          <w:i/>
          <w:iCs/>
          <w:sz w:val="20"/>
          <w:szCs w:val="20"/>
        </w:rPr>
        <w:t>3</w:t>
      </w:r>
      <w:r w:rsidRPr="009F74C5">
        <w:rPr>
          <w:rFonts w:ascii="Arial" w:eastAsia="Times New Roman" w:hAnsi="Arial" w:cs="Arial"/>
          <w:sz w:val="20"/>
          <w:szCs w:val="20"/>
        </w:rPr>
        <w:t>) Site access.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(F) This subpart, including applicable incorporated materials.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individual is able to read and locate relevant information in the equipment manual and other materials containing information referred to in paragraph (j)(1)(i)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 determination through a practical test that the individual has the skills necessary for safe operation of the equipment, including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Ability to recognize, from visual and auditory observation, the items listed in §1926.1412(d) (shift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Operational and maneuvering skills.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Application of load chart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Application of safe shut-down and securing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Phase-in.</w:t>
      </w:r>
      <w:r w:rsidRPr="009F74C5">
        <w:rPr>
          <w:rFonts w:ascii="Arial" w:eastAsia="Times New Roman" w:hAnsi="Arial" w:cs="Arial"/>
          <w:sz w:val="20"/>
          <w:szCs w:val="20"/>
        </w:rPr>
        <w:t xml:space="preserve"> (1) The provisions of this section became applicable on November 8, 2010, except for paragraphs (a)(2) and (f), which are applicable November 10, 2017.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When §1926.1427(a)(1) is not applicable, all of the requirements in paragraphs (k)(2)(i) and (ii) of this section apply until November 10, 2017.</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employer must ensure that operators of equipment covered by this standard are competent to operate the equipment safely.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When an employee assigned to operate machinery does not have the required knowledge or ability to operate the equipment safely, the employer must train that employee prior to operating the equipment. The employer must ensure that each operator is evaluated to confirm that he/she understands the information provided in the training.</w:t>
      </w:r>
    </w:p>
    <w:p w:rsidR="00D70103" w:rsidRPr="009F74C5" w:rsidRDefault="00D70103" w:rsidP="00E16569">
      <w:pPr>
        <w:spacing w:before="200" w:after="100" w:afterAutospacing="1" w:line="240" w:lineRule="auto"/>
        <w:rPr>
          <w:rFonts w:ascii="Arial" w:eastAsia="Times New Roman" w:hAnsi="Arial" w:cs="Arial"/>
          <w:sz w:val="18"/>
          <w:szCs w:val="18"/>
        </w:rPr>
      </w:pPr>
      <w:r w:rsidRPr="009F74C5">
        <w:rPr>
          <w:rFonts w:ascii="Arial" w:eastAsia="Times New Roman" w:hAnsi="Arial" w:cs="Arial"/>
          <w:sz w:val="18"/>
          <w:szCs w:val="18"/>
        </w:rPr>
        <w:t>[75 FR 48135, Aug. 9, 2010, as amended at 79 FR 57798, Sept. 26, 2014]</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0" w:anchor="_top" w:history="1">
        <w:r w:rsidR="00D70103">
          <w:rPr>
            <w:rFonts w:ascii="Arial" w:eastAsia="Times New Roman" w:hAnsi="Arial" w:cs="Arial"/>
            <w:noProof/>
            <w:color w:val="0000FF"/>
            <w:sz w:val="17"/>
            <w:szCs w:val="17"/>
          </w:rPr>
          <w:drawing>
            <wp:inline distT="0" distB="0" distL="0" distR="0" wp14:anchorId="03394710" wp14:editId="4767DAEC">
              <wp:extent cx="152400" cy="152400"/>
              <wp:effectExtent l="0" t="0" r="0" b="0"/>
              <wp:docPr id="22" name="Picture 2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2" w:name="se29.8.1926_11428"/>
      <w:bookmarkEnd w:id="142"/>
      <w:r w:rsidRPr="009F74C5">
        <w:rPr>
          <w:rFonts w:ascii="Arial" w:eastAsia="Times New Roman" w:hAnsi="Arial" w:cs="Arial"/>
          <w:b/>
          <w:bCs/>
          <w:sz w:val="20"/>
          <w:szCs w:val="20"/>
        </w:rPr>
        <w:lastRenderedPageBreak/>
        <w:t>§1926.1428   Signal person qualifications.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of the signal person must ensure that each signal person meets the Qualification Requirements (paragraph (c) of this section) prior to giving any signals. This requirement must be met by using either Option (1) or Option (2)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Option (1)—Third party qualified evaluator.</w:t>
      </w:r>
      <w:r w:rsidRPr="009F74C5">
        <w:rPr>
          <w:rFonts w:ascii="Arial" w:eastAsia="Times New Roman" w:hAnsi="Arial" w:cs="Arial"/>
          <w:sz w:val="20"/>
          <w:szCs w:val="20"/>
        </w:rPr>
        <w:t xml:space="preserve"> The signal person has documentation from a third party qualified evaluator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Qualified Evaluator (third party), §1926.1401 for definition) showing that the signal person meets the Qualification Requirements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Option (2)—Employer's qualified evaluator.</w:t>
      </w:r>
      <w:r w:rsidRPr="009F74C5">
        <w:rPr>
          <w:rFonts w:ascii="Arial" w:eastAsia="Times New Roman" w:hAnsi="Arial" w:cs="Arial"/>
          <w:sz w:val="20"/>
          <w:szCs w:val="20"/>
        </w:rPr>
        <w:t xml:space="preserve"> The employer's qualified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Qualified Evaluator (not a third party), §1926.1401 for definition) evaluator assesses the individual and determines that the individual meets the Qualification Requirements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(c) of this section) and provides documentation of that determination. An assessment by an employer's qualified evaluator under this option is not portable—other employers are not permitted to use it to meet the requirements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employer must make the documentation for whichever option is used available at the site while the signal person is employed by the employer. The documentation must specify each type of signaling (</w:t>
      </w:r>
      <w:r w:rsidRPr="009F74C5">
        <w:rPr>
          <w:rFonts w:ascii="Arial" w:eastAsia="Times New Roman" w:hAnsi="Arial" w:cs="Arial"/>
          <w:i/>
          <w:iCs/>
          <w:sz w:val="20"/>
          <w:szCs w:val="20"/>
        </w:rPr>
        <w:t>e.g.</w:t>
      </w:r>
      <w:r w:rsidRPr="009F74C5">
        <w:rPr>
          <w:rFonts w:ascii="Arial" w:eastAsia="Times New Roman" w:hAnsi="Arial" w:cs="Arial"/>
          <w:sz w:val="20"/>
          <w:szCs w:val="20"/>
        </w:rPr>
        <w:t xml:space="preserve"> hand signals, radio signals, </w:t>
      </w:r>
      <w:r w:rsidRPr="009F74C5">
        <w:rPr>
          <w:rFonts w:ascii="Arial" w:eastAsia="Times New Roman" w:hAnsi="Arial" w:cs="Arial"/>
          <w:i/>
          <w:iCs/>
          <w:sz w:val="20"/>
          <w:szCs w:val="20"/>
        </w:rPr>
        <w:t>etc.</w:t>
      </w:r>
      <w:r w:rsidRPr="009F74C5">
        <w:rPr>
          <w:rFonts w:ascii="Arial" w:eastAsia="Times New Roman" w:hAnsi="Arial" w:cs="Arial"/>
          <w:sz w:val="20"/>
          <w:szCs w:val="20"/>
        </w:rPr>
        <w:t>) for which the signal person meets the requirements of paragraph (c)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subsequent actions by the signal person indicate that the individual does not meet the Qualification Requirements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(c) of this section), the employer must not allow the individual to continue working as a signal person until re-training is provided and a re-assessment is made in accordance with paragraph (a) of this section that confirms that the individual meets the Qualification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Qualification Requirements.</w:t>
      </w:r>
      <w:r w:rsidRPr="009F74C5">
        <w:rPr>
          <w:rFonts w:ascii="Arial" w:eastAsia="Times New Roman" w:hAnsi="Arial" w:cs="Arial"/>
          <w:sz w:val="20"/>
          <w:szCs w:val="20"/>
        </w:rPr>
        <w:t xml:space="preserve"> Each signal person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Know and understand the type of signals used. If hand signals are used, the signal person must know and understand the Standard Method for hand signals.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Be competent in the application of the type of signals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Have a basic understanding of equipment operation and limitations, including the crane dynamics involved in swinging and stopping loads and boom deflection from hoisting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Know and understand the relevant requirements of §1926.1419 through §1926.1422 and §1926.1428.</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Demonstrate that he/she meets the requirements in paragraphs (c)(1) through (4) of this section through an oral or written test, and through a practical test.</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1" w:anchor="_top" w:history="1">
        <w:r w:rsidR="00D70103">
          <w:rPr>
            <w:rFonts w:ascii="Arial" w:eastAsia="Times New Roman" w:hAnsi="Arial" w:cs="Arial"/>
            <w:noProof/>
            <w:color w:val="0000FF"/>
            <w:sz w:val="17"/>
            <w:szCs w:val="17"/>
          </w:rPr>
          <w:drawing>
            <wp:inline distT="0" distB="0" distL="0" distR="0" wp14:anchorId="76467B18" wp14:editId="08ED2CCD">
              <wp:extent cx="152400" cy="152400"/>
              <wp:effectExtent l="0" t="0" r="0" b="0"/>
              <wp:docPr id="21" name="Picture 2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3" w:name="se29.8.1926_11429"/>
      <w:bookmarkEnd w:id="143"/>
      <w:r w:rsidRPr="009F74C5">
        <w:rPr>
          <w:rFonts w:ascii="Arial" w:eastAsia="Times New Roman" w:hAnsi="Arial" w:cs="Arial"/>
          <w:b/>
          <w:bCs/>
          <w:sz w:val="20"/>
          <w:szCs w:val="20"/>
        </w:rPr>
        <w:t>§1926.1429   Qualifications of maintenance &amp; repair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Maintenance, inspection and repair personnel are permitted to operate the equipment only where all of the following requirements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 The operation is limited to those functions necessary to perform maintenance, inspect the equipment, or verify its performance.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personnel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Operate the equipment under the direct supervision of an operator who meets the requirements of §1926.1427 (Operator qualification and certification);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Are familiar with the operation, limitations, characteristics and hazards associated with the type of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Maintenance and repair personnel must meet the definition of a qualified person with respect to the equipment and maintenance/repair tasks performed.</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2" w:anchor="_top" w:history="1">
        <w:r w:rsidR="00D70103">
          <w:rPr>
            <w:rFonts w:ascii="Arial" w:eastAsia="Times New Roman" w:hAnsi="Arial" w:cs="Arial"/>
            <w:noProof/>
            <w:color w:val="0000FF"/>
            <w:sz w:val="17"/>
            <w:szCs w:val="17"/>
          </w:rPr>
          <w:drawing>
            <wp:inline distT="0" distB="0" distL="0" distR="0" wp14:anchorId="0DDC694D" wp14:editId="5BC0649F">
              <wp:extent cx="152400" cy="152400"/>
              <wp:effectExtent l="0" t="0" r="0" b="0"/>
              <wp:docPr id="20" name="Picture 2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4" w:name="se29.8.1926_11430"/>
      <w:bookmarkEnd w:id="144"/>
      <w:r w:rsidRPr="009F74C5">
        <w:rPr>
          <w:rFonts w:ascii="Arial" w:eastAsia="Times New Roman" w:hAnsi="Arial" w:cs="Arial"/>
          <w:b/>
          <w:bCs/>
          <w:sz w:val="20"/>
          <w:szCs w:val="20"/>
        </w:rPr>
        <w:t>§1926.1430   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employer must provide training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Overhead powerlines.</w:t>
      </w:r>
      <w:r w:rsidRPr="009F74C5">
        <w:rPr>
          <w:rFonts w:ascii="Arial" w:eastAsia="Times New Roman" w:hAnsi="Arial" w:cs="Arial"/>
          <w:sz w:val="20"/>
          <w:szCs w:val="20"/>
        </w:rPr>
        <w:t xml:space="preserve"> The employer must train each employee specified in §1926.1408(g) and §1926.1410(m) in the topics listed in §1926.1408(g).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Signal persons.</w:t>
      </w:r>
      <w:r w:rsidRPr="009F74C5">
        <w:rPr>
          <w:rFonts w:ascii="Arial" w:eastAsia="Times New Roman" w:hAnsi="Arial" w:cs="Arial"/>
          <w:sz w:val="20"/>
          <w:szCs w:val="20"/>
        </w:rPr>
        <w:t xml:space="preserve"> The employer must train each employee who will be assigned to work as a signal persons who does not meet the requirements of §1926.1428(c) in the areas addressed in that paragraph.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Operators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Operators-in-Training for equipment where certification or qualification is required by this subpart.</w:t>
      </w:r>
      <w:r w:rsidRPr="009F74C5">
        <w:rPr>
          <w:rFonts w:ascii="Arial" w:eastAsia="Times New Roman" w:hAnsi="Arial" w:cs="Arial"/>
          <w:sz w:val="20"/>
          <w:szCs w:val="20"/>
        </w:rPr>
        <w:t xml:space="preserve"> The employer must train each operator-in-training in the areas addressed in §1926.1427(j). The employer must provide re-training if the operator-in-training does not pass a qualification or certification test.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Transitional Period.</w:t>
      </w:r>
      <w:r w:rsidRPr="009F74C5">
        <w:rPr>
          <w:rFonts w:ascii="Arial" w:eastAsia="Times New Roman" w:hAnsi="Arial" w:cs="Arial"/>
          <w:sz w:val="20"/>
          <w:szCs w:val="20"/>
        </w:rPr>
        <w:t xml:space="preserve"> During the four-year phase-in period for operator certification or qualification, as provided in §1926.1427(k), employers must train each operator who has not yet been certified or qualified in the areas addressed in §1926.1427(j).</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Operators excepted from the requirements of §1926.1427.</w:t>
      </w:r>
      <w:r w:rsidRPr="009F74C5">
        <w:rPr>
          <w:rFonts w:ascii="Arial" w:eastAsia="Times New Roman" w:hAnsi="Arial" w:cs="Arial"/>
          <w:sz w:val="20"/>
          <w:szCs w:val="20"/>
        </w:rPr>
        <w:t xml:space="preserve"> The employer must train each operator excepted under §1926.1427(a) from the requirements of §1926.1427 on the safe operation of the equipment the operator will be using.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employer must train each operator of the equipment covered by this subpart in the following practices: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On friction equipment, whenever moving a boom off a support, first raise the boom a short distance (sufficient to take the load of the boom) to determine if the boom hoist brake needs to be adjusted. On other types of equipment with a boom, the same practice is applicable, except that typically there is no means of adjusting the brake; if the brake does not hold, a repair is necessary.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§1926.1417(f) and (j) for 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available, the manufacturer's emergency procedures for halting unintended equipment movement.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(d) </w:t>
      </w:r>
      <w:r w:rsidRPr="009F74C5">
        <w:rPr>
          <w:rFonts w:ascii="Arial" w:eastAsia="Times New Roman" w:hAnsi="Arial" w:cs="Arial"/>
          <w:i/>
          <w:iCs/>
          <w:sz w:val="20"/>
          <w:szCs w:val="20"/>
        </w:rPr>
        <w:t>Competent persons and qualified persons.</w:t>
      </w:r>
      <w:r w:rsidRPr="009F74C5">
        <w:rPr>
          <w:rFonts w:ascii="Arial" w:eastAsia="Times New Roman" w:hAnsi="Arial" w:cs="Arial"/>
          <w:sz w:val="20"/>
          <w:szCs w:val="20"/>
        </w:rPr>
        <w:t xml:space="preserve"> The employer must train each competent person and each qualified person regarding the requirements of this subpart applicable to their respective roles.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Crush/pinch points.</w:t>
      </w:r>
      <w:r w:rsidRPr="009F74C5">
        <w:rPr>
          <w:rFonts w:ascii="Arial" w:eastAsia="Times New Roman" w:hAnsi="Arial" w:cs="Arial"/>
          <w:sz w:val="20"/>
          <w:szCs w:val="20"/>
        </w:rPr>
        <w:t xml:space="preserve"> The employer must train each employee who works with the equipment to keep clear of holes, and crush/pinch points and the hazards addressed in §1926.1424 (Work area control).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Tag-out.</w:t>
      </w:r>
      <w:r w:rsidRPr="009F74C5">
        <w:rPr>
          <w:rFonts w:ascii="Arial" w:eastAsia="Times New Roman" w:hAnsi="Arial" w:cs="Arial"/>
          <w:sz w:val="20"/>
          <w:szCs w:val="20"/>
        </w:rPr>
        <w:t xml:space="preserve"> The employer must train each operator and each additional employee authorized to start/energize equipment or operate equipment controls (such as maintenance and repair employees), in the tag-out and start-up procedures in §§1926.1417(f) and (g).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Training administration.</w:t>
      </w:r>
      <w:r w:rsidRPr="009F74C5">
        <w:rPr>
          <w:rFonts w:ascii="Arial" w:eastAsia="Times New Roman" w:hAnsi="Arial" w:cs="Arial"/>
          <w:sz w:val="20"/>
          <w:szCs w:val="20"/>
        </w:rPr>
        <w:t xml:space="preserve"> (1) The employer must evaluate each employee required to be trained under this subpart to confirm that the employee understands the information provided in the training.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must provide refresher training in relevant topics for each employee when, based on the conduct of the employee or an evaluation of the employee's knowledge, there is an indication that retraining is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Whenever training is required under subpart CC, the employer must provide the training at no cost to the employee.</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3" w:anchor="_top" w:history="1">
        <w:r w:rsidR="00D70103">
          <w:rPr>
            <w:rFonts w:ascii="Arial" w:eastAsia="Times New Roman" w:hAnsi="Arial" w:cs="Arial"/>
            <w:noProof/>
            <w:color w:val="0000FF"/>
            <w:sz w:val="17"/>
            <w:szCs w:val="17"/>
          </w:rPr>
          <w:drawing>
            <wp:inline distT="0" distB="0" distL="0" distR="0" wp14:anchorId="7EE103B2" wp14:editId="1957BF00">
              <wp:extent cx="152400" cy="152400"/>
              <wp:effectExtent l="0" t="0" r="0" b="0"/>
              <wp:docPr id="19" name="Picture 1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5" w:name="se29.8.1926_11431"/>
      <w:bookmarkEnd w:id="145"/>
      <w:r w:rsidRPr="009F74C5">
        <w:rPr>
          <w:rFonts w:ascii="Arial" w:eastAsia="Times New Roman" w:hAnsi="Arial" w:cs="Arial"/>
          <w:b/>
          <w:bCs/>
          <w:sz w:val="20"/>
          <w:szCs w:val="20"/>
        </w:rPr>
        <w:t>§1926.1431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requirements of this section are supplemental to the other requirements in this subpart and apply when one or more employees are hoisted.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use of equipment to hoist employees is prohibited except where the employer demonstrates that the erection, use, and dismantling of conventional means of reaching the work area, such as a personnel hoist, ladder, stairway, aerial lift, elevating work platform, or scaffold, would be more hazardous, or is not possible because of the project's structural design or worksite conditions. This paragraph does not apply to work covered by subpart R (Steel Erection)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Use of personnel platform.</w:t>
      </w:r>
      <w:r w:rsidRPr="009F74C5">
        <w:rPr>
          <w:rFonts w:ascii="Arial" w:eastAsia="Times New Roman" w:hAnsi="Arial" w:cs="Arial"/>
          <w:sz w:val="20"/>
          <w:szCs w:val="20"/>
        </w:rPr>
        <w:t xml:space="preserve"> (1) When using equipment to hoist employees, the employees must be in a personnel platform that meets the requirements of paragraph (e)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Exceptions:</w:t>
      </w:r>
      <w:r w:rsidRPr="009F74C5">
        <w:rPr>
          <w:rFonts w:ascii="Arial" w:eastAsia="Times New Roman" w:hAnsi="Arial" w:cs="Arial"/>
          <w:sz w:val="20"/>
          <w:szCs w:val="20"/>
        </w:rPr>
        <w:t xml:space="preserve"> A personnel platform is not required for hoisting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Into and out of drill shafts that are up to and including 8 feet in diameter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(o) of this section for requirements for hoisting these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In pile driving operations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(p) of this section for requirements for hoisting these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Solely for transfer to or from a marine worksite in a marine-hoisted personnel transfer device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(r) of this section for requirements for hoisting these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In storage-tank (steel or concrete), shaft and chimney operations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(s) of this section for requirements for hoisting these employees).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(c) </w:t>
      </w:r>
      <w:r w:rsidRPr="009F74C5">
        <w:rPr>
          <w:rFonts w:ascii="Arial" w:eastAsia="Times New Roman" w:hAnsi="Arial" w:cs="Arial"/>
          <w:i/>
          <w:iCs/>
          <w:sz w:val="20"/>
          <w:szCs w:val="20"/>
        </w:rPr>
        <w:t>Equipment set-up.</w:t>
      </w:r>
      <w:r w:rsidRPr="009F74C5">
        <w:rPr>
          <w:rFonts w:ascii="Arial" w:eastAsia="Times New Roman" w:hAnsi="Arial" w:cs="Arial"/>
          <w:sz w:val="20"/>
          <w:szCs w:val="20"/>
        </w:rPr>
        <w:t xml:space="preserve"> (1) The equipment must be uniformly level, within one percent of level grade, and located on footing that a qualified person has determined to be sufficiently firm and stable.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Equipment with outriggers or stabilizers must have them all extended and locked. The amount of extension must be the same for all outriggers and stabilizers and in accordance with manufacturer procedures and load charts.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Equipment criteria</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Capacity: Use of suspended personnel platforms.</w:t>
      </w:r>
      <w:r w:rsidRPr="009F74C5">
        <w:rPr>
          <w:rFonts w:ascii="Arial" w:eastAsia="Times New Roman" w:hAnsi="Arial" w:cs="Arial"/>
          <w:sz w:val="20"/>
          <w:szCs w:val="20"/>
        </w:rPr>
        <w:t xml:space="preserve"> The total load (with the platform loaded, including the hook, load line and rigging) must not exceed 50 percent of the rated capacity for the radius and configuration of the equipment, except during proof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Capacity: Use of boom-attached personnel platforms.</w:t>
      </w:r>
      <w:r w:rsidRPr="009F74C5">
        <w:rPr>
          <w:rFonts w:ascii="Arial" w:eastAsia="Times New Roman" w:hAnsi="Arial" w:cs="Arial"/>
          <w:sz w:val="20"/>
          <w:szCs w:val="20"/>
        </w:rPr>
        <w:t xml:space="preserve"> The total weight of the loaded personnel platform must not exceed 50 percent of the rated capacity for the radius and configuration of the equipment (except during proof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Capacity: Hoisting personnel without a personnel platform.</w:t>
      </w:r>
      <w:r w:rsidRPr="009F74C5">
        <w:rPr>
          <w:rFonts w:ascii="Arial" w:eastAsia="Times New Roman" w:hAnsi="Arial" w:cs="Arial"/>
          <w:sz w:val="20"/>
          <w:szCs w:val="20"/>
        </w:rPr>
        <w:t xml:space="preserve"> When hoisting personnel without a personnel platform pursuant to paragraph (b)(2) of this section, the total load (including the hook, load line, rigging and any other equipment that imposes a load) must not exceed 50 percent of the rated capacity for the radius and configuration of the equipment, except during proof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When the occupied personnel platform is in a stationary working position, the load and boom hoist brakes, swing brakes, and operator actuated secondary braking and locking features (such as pawls or dogs) or automatic secondary brakes must be engaged.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Devices.</w:t>
      </w:r>
      <w:r w:rsidRPr="009F74C5">
        <w:rPr>
          <w:rFonts w:ascii="Arial" w:eastAsia="Times New Roman" w:hAnsi="Arial" w:cs="Arial"/>
          <w:sz w:val="20"/>
          <w:szCs w:val="20"/>
        </w:rPr>
        <w:t xml:space="preserve"> (i) Equipment (except for derricks and articulating cranes) with a variable angle boom must be equipped with all of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boom angle indicator, readily visible to the operator,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boom hoist limiting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Articulating cranes must be equipped with a properly functioning automatic overload protection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Equipment with a luffing jib must be equipped with: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jib angle indicator, readily visible to the operator,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 jib hoist limiting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Equipment with telescoping booms must be equipped with a device to indicate the boom's extended length clearly to the operator, or must have measuring marks on the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w:t>
      </w:r>
      <w:r w:rsidRPr="009F74C5">
        <w:rPr>
          <w:rFonts w:ascii="Arial" w:eastAsia="Times New Roman" w:hAnsi="Arial" w:cs="Arial"/>
          <w:i/>
          <w:iCs/>
          <w:sz w:val="20"/>
          <w:szCs w:val="20"/>
        </w:rPr>
        <w:t>Anti two-block.</w:t>
      </w:r>
      <w:r w:rsidRPr="009F74C5">
        <w:rPr>
          <w:rFonts w:ascii="Arial" w:eastAsia="Times New Roman" w:hAnsi="Arial" w:cs="Arial"/>
          <w:sz w:val="20"/>
          <w:szCs w:val="20"/>
        </w:rPr>
        <w:t xml:space="preserve"> A device which automatically prevents damage and load failure from contact between the load block, overhaul ball, or similar component, and the boom tip (or fixed upper block or similar component) must be used. The device(s) must prevent such damage/failure at all points where two-blocking could occur.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This device is not required when hoisting personnel in pile driving operations. Instead, paragraph (p)(2) of this section specifies how to prevent two-blocking during such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 </w:t>
      </w:r>
      <w:r w:rsidRPr="009F74C5">
        <w:rPr>
          <w:rFonts w:ascii="Arial" w:eastAsia="Times New Roman" w:hAnsi="Arial" w:cs="Arial"/>
          <w:i/>
          <w:iCs/>
          <w:sz w:val="20"/>
          <w:szCs w:val="20"/>
        </w:rPr>
        <w:t>Controlled load lowering.</w:t>
      </w:r>
      <w:r w:rsidRPr="009F74C5">
        <w:rPr>
          <w:rFonts w:ascii="Arial" w:eastAsia="Times New Roman" w:hAnsi="Arial" w:cs="Arial"/>
          <w:sz w:val="20"/>
          <w:szCs w:val="20"/>
        </w:rPr>
        <w:t xml:space="preserve"> The load line hoist drum must have a system, other than the load line hoist brake, which regulates the lowering rate of speed of the hoist mechanism. This system or device must be used when hoisting personnel.</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lastRenderedPageBreak/>
        <w:t>Note:</w:t>
      </w:r>
      <w:r w:rsidRPr="009F74C5">
        <w:rPr>
          <w:rFonts w:ascii="Arial" w:eastAsia="Times New Roman" w:hAnsi="Arial" w:cs="Arial"/>
          <w:sz w:val="18"/>
          <w:szCs w:val="18"/>
        </w:rPr>
        <w:t xml:space="preserve"> Free fall of the load line hoist is prohibited (</w:t>
      </w:r>
      <w:r w:rsidRPr="009F74C5">
        <w:rPr>
          <w:rFonts w:ascii="Arial" w:eastAsia="Times New Roman" w:hAnsi="Arial" w:cs="Arial"/>
          <w:i/>
          <w:iCs/>
          <w:sz w:val="18"/>
          <w:szCs w:val="18"/>
        </w:rPr>
        <w:t>see</w:t>
      </w:r>
      <w:r w:rsidRPr="009F74C5">
        <w:rPr>
          <w:rFonts w:ascii="Arial" w:eastAsia="Times New Roman" w:hAnsi="Arial" w:cs="Arial"/>
          <w:sz w:val="18"/>
          <w:szCs w:val="18"/>
        </w:rPr>
        <w:t xml:space="preserve"> §1926.1426(d); the use of equipment in which the boom hoist mechanism can free fall is also prohibited (</w:t>
      </w:r>
      <w:r w:rsidRPr="009F74C5">
        <w:rPr>
          <w:rFonts w:ascii="Arial" w:eastAsia="Times New Roman" w:hAnsi="Arial" w:cs="Arial"/>
          <w:i/>
          <w:iCs/>
          <w:sz w:val="18"/>
          <w:szCs w:val="18"/>
        </w:rPr>
        <w:t>see</w:t>
      </w:r>
      <w:r w:rsidRPr="009F74C5">
        <w:rPr>
          <w:rFonts w:ascii="Arial" w:eastAsia="Times New Roman" w:hAnsi="Arial" w:cs="Arial"/>
          <w:sz w:val="18"/>
          <w:szCs w:val="18"/>
        </w:rPr>
        <w:t xml:space="preserve"> §1926.1426(a)(1).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(vii) </w:t>
      </w:r>
      <w:r w:rsidRPr="009F74C5">
        <w:rPr>
          <w:rFonts w:ascii="Arial" w:eastAsia="Times New Roman" w:hAnsi="Arial" w:cs="Arial"/>
          <w:i/>
          <w:iCs/>
          <w:sz w:val="20"/>
          <w:szCs w:val="20"/>
        </w:rPr>
        <w:t>Proper operation required.</w:t>
      </w:r>
      <w:r w:rsidRPr="009F74C5">
        <w:rPr>
          <w:rFonts w:ascii="Arial" w:eastAsia="Times New Roman" w:hAnsi="Arial" w:cs="Arial"/>
          <w:sz w:val="20"/>
          <w:szCs w:val="20"/>
        </w:rPr>
        <w:t xml:space="preserve"> Personnel hoisting operations must not begin unless the devices listed in this section are in proper working order. If a device stops working properly during such operations, the operator must safely stop operations. Personnel hoisting operations must not resume until the device is again working properly. Alternative measures are not permitted.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for tag-out and related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Direct attachment of a personnel platform to a luffing jib is prohibited.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Personnel platform criteria.</w:t>
      </w:r>
      <w:r w:rsidRPr="009F74C5">
        <w:rPr>
          <w:rFonts w:ascii="Arial" w:eastAsia="Times New Roman" w:hAnsi="Arial" w:cs="Arial"/>
          <w:sz w:val="20"/>
          <w:szCs w:val="20"/>
        </w:rPr>
        <w:t xml:space="preserve"> (1) A qualified person familiar with structural design must design the personnel platform and attachment/suspension system used for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system used to connect the personnel platform to the equipment must allow the platform to remain within 10 degrees of level, regardless of boom angle.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suspension system must be designed to minimize tipping of the platform due to movement of employees occupying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personnel platform itself (excluding the guardrail system and personal fall arrest system anchorages), must be capable of supporting, without failure, its own weight and at least five times the maximum intended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All welding of the personnel platform and its components must be performed by a certified welder familiar with the weld grades, types and material specified in the platform design.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The personnel platform must be equipped with a guardrail system which meets the requirements of subpart M of this part, and must be enclosed at least from the toeboard to mid-rail with either solid construction material or expanded metal having openings no greater than </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inch (1.27 cm). Points to which personal fall arrest systems are attached must meet the anchorage requirements in subpart M of this 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A grab rail must be installed inside the entire perimeter of the personnel platform except for access gates/doors.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Access gates/doors.</w:t>
      </w:r>
      <w:r w:rsidRPr="009F74C5">
        <w:rPr>
          <w:rFonts w:ascii="Arial" w:eastAsia="Times New Roman" w:hAnsi="Arial" w:cs="Arial"/>
          <w:sz w:val="20"/>
          <w:szCs w:val="20"/>
        </w:rPr>
        <w:t xml:space="preserve"> If installed, access gates/doors of all types (including swinging, sliding, folding, or other types)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Not swing outward. If due to the size of the personnel platform, such as a 1-person platform, it is infeasible for the door to swing inward and allow safe entry for the platform occupant, then the access gate/door may swing outward.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 equipped with a device that prevents accidental opening.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Headroom must be sufficient to allow employees to stand upright in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In addition to the use of hard hats, employees must be protected by overhead protection on the personnel platform when employees are exposed to falling objects. The platform overhead protection must not obscure the view of the operator or platform occupants (such as wire mesh that has up to </w:t>
      </w:r>
      <w:r w:rsidRPr="009F74C5">
        <w:rPr>
          <w:rFonts w:ascii="Arial" w:eastAsia="Times New Roman" w:hAnsi="Arial" w:cs="Arial"/>
          <w:sz w:val="14"/>
          <w:szCs w:val="14"/>
          <w:vertAlign w:val="superscript"/>
        </w:rPr>
        <w:t>1</w:t>
      </w:r>
      <w:r w:rsidRPr="009F74C5">
        <w:rPr>
          <w:rFonts w:ascii="Arial" w:eastAsia="Times New Roman" w:hAnsi="Arial" w:cs="Arial"/>
          <w:sz w:val="20"/>
          <w:szCs w:val="20"/>
        </w:rPr>
        <w:t>⁄</w:t>
      </w:r>
      <w:r w:rsidRPr="009F74C5">
        <w:rPr>
          <w:rFonts w:ascii="Arial" w:eastAsia="Times New Roman" w:hAnsi="Arial" w:cs="Arial"/>
          <w:sz w:val="14"/>
          <w:szCs w:val="14"/>
          <w:vertAlign w:val="subscript"/>
        </w:rPr>
        <w:t>2</w:t>
      </w:r>
      <w:r w:rsidRPr="009F74C5">
        <w:rPr>
          <w:rFonts w:ascii="Arial" w:eastAsia="Times New Roman" w:hAnsi="Arial" w:cs="Arial"/>
          <w:sz w:val="20"/>
          <w:szCs w:val="20"/>
        </w:rPr>
        <w:t xml:space="preserve"> inch openings), unless full protection is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All edges exposed to employee contact must be smooth enough to prevent injury.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(12) The weight of the platform and its rated capacity must be conspicuously posted on the platform with a plate or other permanent marking.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Personnel platform loading.</w:t>
      </w:r>
      <w:r w:rsidRPr="009F74C5">
        <w:rPr>
          <w:rFonts w:ascii="Arial" w:eastAsia="Times New Roman" w:hAnsi="Arial" w:cs="Arial"/>
          <w:sz w:val="20"/>
          <w:szCs w:val="20"/>
        </w:rPr>
        <w:t xml:space="preserve"> (1) The personnel platform must not be loaded in excess of its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Use.</w:t>
      </w:r>
      <w:r w:rsidRPr="009F74C5">
        <w:rPr>
          <w:rFonts w:ascii="Arial" w:eastAsia="Times New Roman" w:hAnsi="Arial" w:cs="Arial"/>
          <w:sz w:val="20"/>
          <w:szCs w:val="20"/>
        </w:rPr>
        <w:t xml:space="preserve"> (i) Personnel platforms must be used only for employees, their tools, and the materials necessary to do their work. Platforms must not be used to hoist materials or tools when not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Materials and tools to be used during the lift, if secured and distributed in accordance with paragraph (f)(3) of this section may be in the platform for trial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Materials and tools must be: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Secured to prevent displacement.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Evenly distributed within the confines of the platform while it is suspended.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number of employees occupying the personnel platform must not exceed the maximum number the platform was designed to hold or the number required to perform the work, whichever is less.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Attachment and rigging</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Hooks and other detachable devices.</w:t>
      </w:r>
      <w:r w:rsidRPr="009F74C5">
        <w:rPr>
          <w:rFonts w:ascii="Arial" w:eastAsia="Times New Roman" w:hAnsi="Arial" w:cs="Arial"/>
          <w:sz w:val="20"/>
          <w:szCs w:val="20"/>
        </w:rPr>
        <w:t xml:space="preserve"> (i) Hooks used in the connection between the hoist line and the personnel platform (including hooks on overhaul ball assemblies, lower load blocks, bridle legs, or other attachment assemblies or components) must be: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Of a type that can be closed and locked, eliminating the throat opening.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Closed and locked when attached.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Shackles used in place of hooks must be of the alloy anchor type, with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bolt, nut and retaining pin, in place;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Of the screw type, with the screw pin secured from accidental removal.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Where other detachable devices are used, they must be of the type that can be closed and locked to the same extent as the devices addressed in paragraphs (g)(1)(i) and (ii) of this section. Such devices must be closed and locked when attached.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Rope bridle.</w:t>
      </w:r>
      <w:r w:rsidRPr="009F74C5">
        <w:rPr>
          <w:rFonts w:ascii="Arial" w:eastAsia="Times New Roman" w:hAnsi="Arial" w:cs="Arial"/>
          <w:sz w:val="20"/>
          <w:szCs w:val="20"/>
        </w:rPr>
        <w:t xml:space="preserve"> When a rope bridle is used to suspend the personnel platform, each bridle leg must be connected to a master link or shackle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(g)(1) of this section) in a manner that ensures that the load is evenly divided among the bridle legs.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Rigging hardware (including wire rope, shackles, rings, master links, and other rigging hardware) and hooks must be capable of supporting, without failure, at least five times the maximum intended load applied or transmitted to that component. Where rotation resistant rope is used, the slings must be capable of supporting without failure at least ten times the maximum intended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Eyes in wire rope slings must be fabricated with thimbles.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(5) Bridles and associated rigging for suspending the personnel platform must be used only for the platform and the necessary employees, their tools and materials necessary to do their work. The bridles and associated rigging must not have been used for any purpose other than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Trial lift and inspection.</w:t>
      </w:r>
      <w:r w:rsidRPr="009F74C5">
        <w:rPr>
          <w:rFonts w:ascii="Arial" w:eastAsia="Times New Roman" w:hAnsi="Arial" w:cs="Arial"/>
          <w:sz w:val="20"/>
          <w:szCs w:val="20"/>
        </w:rPr>
        <w:t xml:space="preserve"> (1) A trial lift with the unoccupied personnel platform loaded at least to the anticipated liftweight must be made from ground level, or any other location where employees will enter the platform, to each location at which the platform is to be hoisted and positioned. Where there is more than one location to be reached from a single set-up position, either individual trial lifts for each location, or a single trial lift, in which the platform is moved sequentially to each location, must be performed; the method selected must be the same as the method that will be used to hoist the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trial lift must be performed immediately prior to each shift in which personnel will be hoisted. In addition, the trial lift must be repeated prior to hoisting employees in each of the following circumstances: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equipment is moved and set up in a new location or returned to a previously used location.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lift route is changed, unless the competent person determines that the new route presents no new factors affecting safety.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competent person must determine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Safety devices and operational aids required by this section are activated and functioning properly. Other safety devices and operational aids must meet the requirements of §1926.1415 and §1926.1416.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Nothing interferes with the equipment or the personnel platform in the course of the trial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lift will not exceed 50 percent of the equipment's rated capacity at any time during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load radius to be used during the lift has been accurately determined.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Immediately after the trial lift, the competent person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Conduct a visual inspection of the equipment, base support or ground, and personnel platform, to determine whether the trial lift has exposed any defect or problem or produced any adverse effect.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Confirm that, upon the completion of the trial lift process, the test weight has been removed.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Immediately prior to each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platform must be hoisted a few inches with the personnel and materials/tools on board and inspected by a competent person to ensure that it is secure and properly balanced.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following conditions must be determined by a competent person to exist before the lift of personnel proceeds: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Hoist ropes must be free of deficiencies in accordance with §1926.1413(a).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Multiple part lines must not be twisted around each other.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primary attachment must be centered over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(D) If the load rope is slack, the hoisting system must be inspected to ensure that all ropes are properly seated on drums and in sheaves.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Any condition found during the trial lift and subsequent inspection(s) that fails to meet a requirement of this standard or otherwise creates a safety hazard must be corrected before hoisting personnel.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for tag-out and related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Proof testing.</w:t>
      </w:r>
      <w:r w:rsidRPr="009F74C5">
        <w:rPr>
          <w:rFonts w:ascii="Arial" w:eastAsia="Times New Roman" w:hAnsi="Arial" w:cs="Arial"/>
          <w:sz w:val="20"/>
          <w:szCs w:val="20"/>
        </w:rPr>
        <w:t xml:space="preserve"> (1) At each jobsite, prior to hoisting employees on the personnel platform, and after any repair or modification, the platform and rigging must be proof tested to 125 percent of the platform's rated capacity. The proof test may be done concurrently with the trial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platform must be lowered by controlled load lowering, braked, and held in a suspended position for a minimum of five minutes with the test load evenly distributed on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After proof testing, a competent person must inspect the platform and rigging to determine if the test has been passed. If any deficiencies are found that pose a safety hazard, the platform and rigging must not be used to hoist personnel unless the deficiencies are corrected, the test is repeated, and a competent person determines that the test has been passed.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 for tag-out and related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Personnel hoisting must not be conducted until the competent person determines that the platform and rigging have successfully passed the proof test.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Work practices.</w:t>
      </w:r>
      <w:r w:rsidRPr="009F74C5">
        <w:rPr>
          <w:rFonts w:ascii="Arial" w:eastAsia="Times New Roman" w:hAnsi="Arial" w:cs="Arial"/>
          <w:sz w:val="20"/>
          <w:szCs w:val="20"/>
        </w:rPr>
        <w:t xml:space="preserve"> (1) Hoisting of the personnel platform must be performed in a slow, controlled, cautious manner, with no sudden movements of the equipment or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Platform occupants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Keep all parts of the body inside the platform during raising, lowering, and horizontal movement. This provision does not apply to an occupant of the platform when necessary to position the platform or while performing the duties of a signal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Not stand, sit on, or work from the top or intermediate rail or toeboard, or use any other means/device to raise their working height.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Not pull the platform out of plumb in relation to the hoisting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Before employees exit or enter a hoisted personnel platform that is not landed, the platform must be secured to the structure where the work is to be performed, unless the employer can demonstrate that securing to the structure would create a greater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If the platform is tied to the structure, the operator must not move the platform until the operator receives confirmation that it is freely suspended.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Tag lines must be used when necessary to control the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Platforms without controls.</w:t>
      </w:r>
      <w:r w:rsidRPr="009F74C5">
        <w:rPr>
          <w:rFonts w:ascii="Arial" w:eastAsia="Times New Roman" w:hAnsi="Arial" w:cs="Arial"/>
          <w:sz w:val="20"/>
          <w:szCs w:val="20"/>
        </w:rPr>
        <w:t xml:space="preserve"> Where the platform is not equipped with controls, the equipment operator must remain at the equipment controls, on site, and in view of the equipment, at all times while the platform is occupied.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(7) </w:t>
      </w:r>
      <w:r w:rsidRPr="009F74C5">
        <w:rPr>
          <w:rFonts w:ascii="Arial" w:eastAsia="Times New Roman" w:hAnsi="Arial" w:cs="Arial"/>
          <w:i/>
          <w:iCs/>
          <w:sz w:val="20"/>
          <w:szCs w:val="20"/>
        </w:rPr>
        <w:t>Platforms with controls.</w:t>
      </w:r>
      <w:r w:rsidRPr="009F74C5">
        <w:rPr>
          <w:rFonts w:ascii="Arial" w:eastAsia="Times New Roman" w:hAnsi="Arial" w:cs="Arial"/>
          <w:sz w:val="20"/>
          <w:szCs w:val="20"/>
        </w:rPr>
        <w:t xml:space="preserve"> Where the platform is equipped with controls, all of the following must be met at all times while the platform is occupied: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occupant using the controls in the platform must be a qualified person with respect to their use, including the safe limitations of the equipment and hazards associated with its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equipment operator must be at a set of equipment controls that include boom and swing functions of the equipment, and must be on site and in view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platform operating manual must be in the platform or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Environmental conditions</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Wind.</w:t>
      </w:r>
      <w:r w:rsidRPr="009F74C5">
        <w:rPr>
          <w:rFonts w:ascii="Arial" w:eastAsia="Times New Roman" w:hAnsi="Arial" w:cs="Arial"/>
          <w:sz w:val="20"/>
          <w:szCs w:val="20"/>
        </w:rPr>
        <w:t xml:space="preserve"> When wind speed (sustained or gusts) exceeds 20 mph at the personnel platform, a qualified person must determine if, in light of the wind conditions, it is not safe to lift personnel. If it is not, the lifting operation must not begin (or, if already in progress, must be terminated).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Other weather and environmental conditions.</w:t>
      </w:r>
      <w:r w:rsidRPr="009F74C5">
        <w:rPr>
          <w:rFonts w:ascii="Arial" w:eastAsia="Times New Roman" w:hAnsi="Arial" w:cs="Arial"/>
          <w:sz w:val="20"/>
          <w:szCs w:val="20"/>
        </w:rPr>
        <w:t xml:space="preserve"> A qualified person must determine if, in light of indications of dangerous weather conditions, or other impending or existing danger, it is not safe to lift personnel. If it is not, the lifting operation must not begin (or, if already in progress, must be terminated).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Employees being hoisted must remain in direct communication with the signal person (where used), or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(10) </w:t>
      </w:r>
      <w:r w:rsidRPr="009F74C5">
        <w:rPr>
          <w:rFonts w:ascii="Arial" w:eastAsia="Times New Roman" w:hAnsi="Arial" w:cs="Arial"/>
          <w:i/>
          <w:iCs/>
          <w:sz w:val="20"/>
          <w:szCs w:val="20"/>
        </w:rPr>
        <w:t>Fall protection.</w:t>
      </w:r>
      <w:r w:rsidRPr="009F74C5">
        <w:rPr>
          <w:rFonts w:ascii="Arial" w:eastAsia="Times New Roman" w:hAnsi="Arial" w:cs="Arial"/>
          <w:sz w:val="20"/>
          <w:szCs w:val="20"/>
        </w:rPr>
        <w:t xml:space="preserve"> (i) Except over water, employees occupying the personnel platform must be provided and use a personal fall arrest system. The system must be attached to a structural member within the personnel platform. When working over or near water, the requirements of §1926.106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fall arrest system, including the attachment point (anchorage) used to comply with paragraph (i) of this section, must meet the requirements in §1926.502.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(11) </w:t>
      </w:r>
      <w:r w:rsidRPr="009F74C5">
        <w:rPr>
          <w:rFonts w:ascii="Arial" w:eastAsia="Times New Roman" w:hAnsi="Arial" w:cs="Arial"/>
          <w:i/>
          <w:iCs/>
          <w:sz w:val="20"/>
          <w:szCs w:val="20"/>
        </w:rPr>
        <w:t>Other load lines.</w:t>
      </w:r>
      <w:r w:rsidRPr="009F74C5">
        <w:rPr>
          <w:rFonts w:ascii="Arial" w:eastAsia="Times New Roman" w:hAnsi="Arial" w:cs="Arial"/>
          <w:sz w:val="20"/>
          <w:szCs w:val="20"/>
        </w:rPr>
        <w:t xml:space="preserve"> (i) No lifts must be made on any other of the equipment's load lines while personnel are being hoisted, except in pile driving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Factory-produced boom-mounted personnel platforms that incorporate a winch as original equipment.</w:t>
      </w:r>
      <w:r w:rsidRPr="009F74C5">
        <w:rPr>
          <w:rFonts w:ascii="Arial" w:eastAsia="Times New Roman" w:hAnsi="Arial" w:cs="Arial"/>
          <w:sz w:val="20"/>
          <w:szCs w:val="20"/>
        </w:rPr>
        <w:t xml:space="preserve"> Loads are permitted to be hoisted by such a winch while employees occupy the personnel platform only where the load on the winch line does not exceed 500 pounds and does not exceed the rated capacity of the winch and platform.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Traveling—equipment other than derricks.</w:t>
      </w:r>
      <w:r w:rsidRPr="009F74C5">
        <w:rPr>
          <w:rFonts w:ascii="Arial" w:eastAsia="Times New Roman" w:hAnsi="Arial" w:cs="Arial"/>
          <w:sz w:val="20"/>
          <w:szCs w:val="20"/>
        </w:rPr>
        <w:t xml:space="preserve"> (i) Hoisting of employees while the equipment is traveling is prohibited, except for: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Equipment that travels on fixed rails;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Where the employer demonstrates that there is no less hazardous way to perform the work.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This exception does not apply to rubber-tired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Where employees are hoisted while the equipment is traveling, all of the following criteria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Equipment travel must be restricted to a fixed track or runway.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Where a runway is used, it must be a firm, level surface designed, prepared and designated as a path of travel for the weight and configuration of the equipment being used to lift and travel with the personnel platform. An existing surface may be used as long as it meets these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Equipment travel must be limited to boom length.</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The boom must be parallel to the direction of travel, except where it is safer to do otherwise.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A complete trial run must be performed to test the route of travel before employees are allowed to occupy the platform. This trial run can be performed at the same time as the trial lift required by paragraph (h) of this section which tests the lift route.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(13) </w:t>
      </w:r>
      <w:r w:rsidRPr="009F74C5">
        <w:rPr>
          <w:rFonts w:ascii="Arial" w:eastAsia="Times New Roman" w:hAnsi="Arial" w:cs="Arial"/>
          <w:i/>
          <w:iCs/>
          <w:sz w:val="20"/>
          <w:szCs w:val="20"/>
        </w:rPr>
        <w:t>Traveling—derricks.</w:t>
      </w:r>
      <w:r w:rsidRPr="009F74C5">
        <w:rPr>
          <w:rFonts w:ascii="Arial" w:eastAsia="Times New Roman" w:hAnsi="Arial" w:cs="Arial"/>
          <w:sz w:val="20"/>
          <w:szCs w:val="20"/>
        </w:rPr>
        <w:t xml:space="preserve"> Derricks are prohibited from traveling while personnel are hoisted.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Pre-lift meeting.</w:t>
      </w:r>
      <w:r w:rsidRPr="009F74C5">
        <w:rPr>
          <w:rFonts w:ascii="Arial" w:eastAsia="Times New Roman" w:hAnsi="Arial" w:cs="Arial"/>
          <w:sz w:val="20"/>
          <w:szCs w:val="20"/>
        </w:rPr>
        <w:t xml:space="preserve"> A pre-lift meeting must be: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Held to review the applicable requirements of this section and the procedures that will be followed.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Attended by the equipment operator, signal person (if used for the lift), employees to be hoisted, and the person responsible for the task to be performed.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Held prior to the trial lift at each new work location, and must be repeated for any employees newly assigned to the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Hoisting personnel near power lines.</w:t>
      </w:r>
      <w:r w:rsidRPr="009F74C5">
        <w:rPr>
          <w:rFonts w:ascii="Arial" w:eastAsia="Times New Roman" w:hAnsi="Arial" w:cs="Arial"/>
          <w:sz w:val="20"/>
          <w:szCs w:val="20"/>
        </w:rPr>
        <w:t xml:space="preserve"> Hoisting personnel within 20 feet of a power line that is up to 350 kV, and hoisting personnel within 50 feet of a power line that is over 350 kV, is prohibited, except for work covered by subpart V of this part (Power Transmission and Distribution).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(o) </w:t>
      </w:r>
      <w:r w:rsidRPr="009F74C5">
        <w:rPr>
          <w:rFonts w:ascii="Arial" w:eastAsia="Times New Roman" w:hAnsi="Arial" w:cs="Arial"/>
          <w:i/>
          <w:iCs/>
          <w:sz w:val="20"/>
          <w:szCs w:val="20"/>
        </w:rPr>
        <w:t>Hoisting personnel in drill shafts.</w:t>
      </w:r>
      <w:r w:rsidRPr="009F74C5">
        <w:rPr>
          <w:rFonts w:ascii="Arial" w:eastAsia="Times New Roman" w:hAnsi="Arial" w:cs="Arial"/>
          <w:sz w:val="20"/>
          <w:szCs w:val="20"/>
        </w:rPr>
        <w:t xml:space="preserve"> When hoisting employees into and out of drill shafts that are up to and including 8 feet in diameter, all of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employee must be in either a personnel platform or on a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using a personnel platform, paragraphs (a) through (n)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using a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following paragraphs of this section apply: (a), (c), (d)(1), (d)(3), (d)(4), (e)(1), (e)(2), (e)(3), (f)(1), (f)(2)(i), (f)(3)(i), (g), (h), (k)(1), (k)(6), (k)(8), (k)(9), (k)(11)(i), (m), (n). Where the terms “personnel platform” or “platform” are used in these paragraphs, substitute them with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signal person must be stationed at the shaft opening.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employee must be hoisted in a slow, controlled descent and ascent.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employee must use personal fall protection equipment, including a full body harness, attached independent of the crane/derrick.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fall protection equipment must meet the applicable requirements in §1926.502.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(vi) The boatswain's chair itself (excluding the personal fall arrest system anchorages), must be capable of supporting, without failure, its own weight and at least five times the maximum intended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No more than one person must be hoisted at a time.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(p) </w:t>
      </w:r>
      <w:r w:rsidRPr="009F74C5">
        <w:rPr>
          <w:rFonts w:ascii="Arial" w:eastAsia="Times New Roman" w:hAnsi="Arial" w:cs="Arial"/>
          <w:i/>
          <w:iCs/>
          <w:sz w:val="20"/>
          <w:szCs w:val="20"/>
        </w:rPr>
        <w:t>Hoisting personnel for pile driving operations.</w:t>
      </w:r>
      <w:r w:rsidRPr="009F74C5">
        <w:rPr>
          <w:rFonts w:ascii="Arial" w:eastAsia="Times New Roman" w:hAnsi="Arial" w:cs="Arial"/>
          <w:sz w:val="20"/>
          <w:szCs w:val="20"/>
        </w:rPr>
        <w:t xml:space="preserve"> When hoisting an employee in pile driving operations,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employee must be in a personnel platform or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For lattice boom cranes: Clearly mark the cable (so that it can easily be seen by the operator) at a point that will give the operator sufficient time to stop the hoist to prevent two-blocking, or use a spotter who is in direct communication with the operator to inform the operator when this point is reached. For telescopic boom cranes: Clearly mark the cable (so that it can be easily seen by the operator) at a point that will give the operator sufficient time to stop the hoist to prevent two-blocking, and use a spotter who is in direct communication with the operator to inform the operator when this point is 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using a personnel platform, paragraphs (b) through (n)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If using a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following paragraphs of this section apply: (a), (c), (d)(1), (d)(3), (d)(4), (e)(1), (e)(2), (e)(3), (f)(1), (f)(2)(i), (f)(3)(i), (g), (h), (j), (k)(1), (k)(6), (k)(8), (k)(9), (k)(11)(i), (m), and (n). Where the terms “personnel platform” or “platform” are used in these paragraphs, substitute them with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employee must be hoisted in a slow, controlled descent and ascent.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employee must use personal fall protection equipment, including a full body harness, independently attached to the lower load block or overhaul ball.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fall protection equipment must meet the applicable requirements in §1926.502.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boatswain's chair itself (excluding the personal fall arrest system anchorages), must be capable of supporting, without failure, its own weight and at least five times the maximum intended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No more than one person must be hoisted at a time.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(q)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(r) </w:t>
      </w:r>
      <w:r w:rsidRPr="009F74C5">
        <w:rPr>
          <w:rFonts w:ascii="Arial" w:eastAsia="Times New Roman" w:hAnsi="Arial" w:cs="Arial"/>
          <w:i/>
          <w:iCs/>
          <w:sz w:val="20"/>
          <w:szCs w:val="20"/>
        </w:rPr>
        <w:t>Hoisting personnel for marine transfer.</w:t>
      </w:r>
      <w:r w:rsidRPr="009F74C5">
        <w:rPr>
          <w:rFonts w:ascii="Arial" w:eastAsia="Times New Roman" w:hAnsi="Arial" w:cs="Arial"/>
          <w:sz w:val="20"/>
          <w:szCs w:val="20"/>
        </w:rPr>
        <w:t xml:space="preserve"> When hoisting employees solely for transfer to or from a marine worksite,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employee must be in either a personnel platform or a marine-hoisted personnel transfer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using a personnel platform, paragraphs (a) through (n)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using a marine-hoisted personnel transfer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The following paragraphs of this section apply: (a), (c)(2), (d)(1), (d)(3), (d)(4), (e)(1) through (5), (e)(12), (f)(1), (g), (h), (j), (k)(1), (k)(8), (k)(9), (k)(10)(ii), (k)(11)(i), (k)(12), (m), and (n). Where the terms </w:t>
      </w:r>
      <w:r w:rsidRPr="009F74C5">
        <w:rPr>
          <w:rFonts w:ascii="Arial" w:eastAsia="Times New Roman" w:hAnsi="Arial" w:cs="Arial"/>
          <w:sz w:val="20"/>
          <w:szCs w:val="20"/>
        </w:rPr>
        <w:lastRenderedPageBreak/>
        <w:t>“personnel platform” or “platform” are used in these paragraphs, substitute them with “marine-hoisted personnel transfer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transfer device must be used only for transferring workers.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number of workers occupying the transfer device must not exceed the maximum number it was designed to hold.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Each employee must wear a U.S. Coast Guard personal flotation device approved for industrial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(s) </w:t>
      </w:r>
      <w:r w:rsidRPr="009F74C5">
        <w:rPr>
          <w:rFonts w:ascii="Arial" w:eastAsia="Times New Roman" w:hAnsi="Arial" w:cs="Arial"/>
          <w:i/>
          <w:iCs/>
          <w:sz w:val="20"/>
          <w:szCs w:val="20"/>
        </w:rPr>
        <w:t>Hoisting personnel for storage-tank (steel or concrete), shaft and chimney operations.</w:t>
      </w:r>
      <w:r w:rsidRPr="009F74C5">
        <w:rPr>
          <w:rFonts w:ascii="Arial" w:eastAsia="Times New Roman" w:hAnsi="Arial" w:cs="Arial"/>
          <w:sz w:val="20"/>
          <w:szCs w:val="20"/>
        </w:rPr>
        <w:t xml:space="preserve"> When hoisting an employee in storage tank (steel or concrete), shaft and chimney operations,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employee must be in a personnel platform except when the employer can demonstrate that use of a personnel platform is infeasible; in such a case, a boatswain's chair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If using a personnel platform, paragraphs (a) through (n) of this section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If using a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following paragraphs of this section apply: (a), (c), (d)(1), (d)(3), (d)(4), (e)(1), (e)(2), (e)(3), (f)(1), (f)(2)(i), (f)(3)(i), (g), (h), (k)(1), (k)(6), (k)(8), (k)(9), (k)(11)(i), (m), (n). Where the terms “personnel platform” or “platform” are used in these paragraphs, substitute them with “boatswains chair.”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employee must be hoisted in a slow, controlled descent and ascent.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employee must use personal fall protection equipment, including a full body harness, attached independent of the crane/derrick. When there is no adequate structure for attachment of personal fall arrest equipment as required in §1926.502(d)(15), the attachment must be to the lower load block or overhaul ball.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fall protection equipment must meet the applicable requirements in §1926.502.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boatswain's chair itself (excluding the personal fall arrest system anchorages), must be capable of supporting, without failure, its own weight and at least five times the maximum intended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No more than one person must be hoisted at a time.</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4" w:anchor="_top" w:history="1">
        <w:r w:rsidR="00D70103">
          <w:rPr>
            <w:rFonts w:ascii="Arial" w:eastAsia="Times New Roman" w:hAnsi="Arial" w:cs="Arial"/>
            <w:noProof/>
            <w:color w:val="0000FF"/>
            <w:sz w:val="17"/>
            <w:szCs w:val="17"/>
          </w:rPr>
          <w:drawing>
            <wp:inline distT="0" distB="0" distL="0" distR="0" wp14:anchorId="564715BA" wp14:editId="0019594A">
              <wp:extent cx="152400" cy="152400"/>
              <wp:effectExtent l="0" t="0" r="0" b="0"/>
              <wp:docPr id="18" name="Picture 1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6" w:name="se29.8.1926_11432"/>
      <w:bookmarkEnd w:id="146"/>
      <w:r w:rsidRPr="009F74C5">
        <w:rPr>
          <w:rFonts w:ascii="Arial" w:eastAsia="Times New Roman" w:hAnsi="Arial" w:cs="Arial"/>
          <w:b/>
          <w:bCs/>
          <w:sz w:val="20"/>
          <w:szCs w:val="20"/>
        </w:rPr>
        <w:t>§1926.1432   Multiple-crane/derrick lifts—supplemental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Plan development.</w:t>
      </w:r>
      <w:r w:rsidRPr="009F74C5">
        <w:rPr>
          <w:rFonts w:ascii="Arial" w:eastAsia="Times New Roman" w:hAnsi="Arial" w:cs="Arial"/>
          <w:sz w:val="20"/>
          <w:szCs w:val="20"/>
        </w:rPr>
        <w:t xml:space="preserve"> Before beginning a crane/derrick operation in which more than one crane/derrick will be supporting the load, the operation must be planned. The planning must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plan must be developed by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plan must be designed to ensure that the requirements of this subpart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(3) Where the qualified person determines that engineering expertise is needed for the planning, the employer must ensure that it is provided.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Plan implementation.</w:t>
      </w:r>
      <w:r w:rsidRPr="009F74C5">
        <w:rPr>
          <w:rFonts w:ascii="Arial" w:eastAsia="Times New Roman" w:hAnsi="Arial" w:cs="Arial"/>
          <w:sz w:val="20"/>
          <w:szCs w:val="20"/>
        </w:rPr>
        <w:t xml:space="preserve"> (1) The multiple-crane/derrick lift must be directed by a person who meets the criteria for both a competent person and a qualified person, or by a competent person who is assisted by one or more qualified persons (lift director).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lift director must review the plan in a meeting with all workers who will be involved with the operation.</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5" w:anchor="_top" w:history="1">
        <w:r w:rsidR="00D70103">
          <w:rPr>
            <w:rFonts w:ascii="Arial" w:eastAsia="Times New Roman" w:hAnsi="Arial" w:cs="Arial"/>
            <w:noProof/>
            <w:color w:val="0000FF"/>
            <w:sz w:val="17"/>
            <w:szCs w:val="17"/>
          </w:rPr>
          <w:drawing>
            <wp:inline distT="0" distB="0" distL="0" distR="0" wp14:anchorId="678321C1" wp14:editId="2CB2D9F5">
              <wp:extent cx="152400" cy="152400"/>
              <wp:effectExtent l="0" t="0" r="0" b="0"/>
              <wp:docPr id="17" name="Picture 1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7" w:name="se29.8.1926_11433"/>
      <w:bookmarkEnd w:id="147"/>
      <w:r w:rsidRPr="009F74C5">
        <w:rPr>
          <w:rFonts w:ascii="Arial" w:eastAsia="Times New Roman" w:hAnsi="Arial" w:cs="Arial"/>
          <w:b/>
          <w:bCs/>
          <w:sz w:val="20"/>
          <w:szCs w:val="20"/>
        </w:rPr>
        <w:t>§1926.1433   Design, construction and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following requirements apply to equipment that has a manufacturer-rated hoisting/lifting capacity of more than 2,000 pounds.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Crawler, truck and locomotive cranes manufactured prior to November 8, 2010 must meet the applicable requirements for design, construction, and testing as prescribed in ANSI B30.5-1968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PCSA Std. No. 2 (1968)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the requirements in paragraph (b) of this section, or the applicable DIN standards that were in effect at the time of manufacture.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Mobile (including crawler and truck) and locomotive cranes manufactured on or after November 8, 2010 must meet the following portions of ASME B30.5-2004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as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In section 5-1.1.1 (“Load Ratings—Where Stability Governs Lifting Performance”), paragraphs (a)-(d) (including subparagraphs).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In section 5-1.1.2 (“Load Ratings—Where Structural Competence Governs Lifting Performance”), paragraph (b).</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Section 5-1.2 (“Stability (Backward and Forward)”).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In section 5-1.3.1 (“Boom Hoist Mechanism”), paragraphs (a), (b)(1) and (b)(2), except that when using rotation resistant rope, §1926.1414(c)(4)(ii)(A) applies.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In section 5-1.3.2 (“Load Hoist Mechanism”), paragraphs (a)(2) through (a)(4) (including subparagraphs), (b) (including subparagraphs), (c) (first sentence only) and (d).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Section 5-1.3.3 (“Telescoping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Section 5-1.4 (“Swing Mechanism”).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In section 5-1.5 (“Crane Travel”), all provisions except 5-1.5.3(d).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In section 5-1.6 (“Controls”), all provisions except 5-1.6.1 (c).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Section 5-1.7.4 (“Sheaves”).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Section 5-1.7.5 (“Sheave sizes”).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(12) In section 5-1.9.1 (“Booms”), paragraph (f).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(13) Section 5-1.9.3 (“Outriggers”).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Section 5-1.9.4 (“Locomotive Crane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Section 5-1.9.7 (“Clutch and Brake Protection”).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In section 5-1.9.11 (“Miscellaneous equipment”), paragraphs (a), (c), (e), and (f).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Prototype testing: mobile (including crawler and truck) and locomotive cranes manufactured on or after November 8, 2010 must meet the prototype testing requirements in Test Option A or Test Option B of this section. Tower cranes manufactured on or after November 8, 2010 must meet the prototype testing requirements in BS EN 14439:2006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w:t>
      </w:r>
    </w:p>
    <w:p w:rsidR="00D70103" w:rsidRPr="009F74C5" w:rsidRDefault="00D70103" w:rsidP="00E16569">
      <w:pPr>
        <w:spacing w:before="200" w:after="100" w:afterAutospacing="1" w:line="240" w:lineRule="auto"/>
        <w:ind w:firstLine="480"/>
        <w:rPr>
          <w:rFonts w:ascii="Arial" w:eastAsia="Times New Roman" w:hAnsi="Arial" w:cs="Arial"/>
          <w:sz w:val="18"/>
          <w:szCs w:val="18"/>
        </w:rPr>
      </w:pPr>
      <w:r w:rsidRPr="009F74C5">
        <w:rPr>
          <w:rFonts w:ascii="Arial" w:eastAsia="Times New Roman" w:hAnsi="Arial" w:cs="Arial"/>
          <w:smallCaps/>
          <w:sz w:val="18"/>
          <w:szCs w:val="18"/>
        </w:rPr>
        <w:t>Note:</w:t>
      </w:r>
      <w:r w:rsidRPr="009F74C5">
        <w:rPr>
          <w:rFonts w:ascii="Arial" w:eastAsia="Times New Roman" w:hAnsi="Arial" w:cs="Arial"/>
          <w:sz w:val="18"/>
          <w:szCs w:val="18"/>
        </w:rPr>
        <w:t xml:space="preserve"> Prototype testing of crawler, locomotive and truck cranes manufactured prior to November 8, 2010 must conform to paragraph (a)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Test Option A.</w:t>
      </w:r>
      <w:r w:rsidRPr="009F74C5">
        <w:rPr>
          <w:rFonts w:ascii="Arial" w:eastAsia="Times New Roman" w:hAnsi="Arial" w:cs="Arial"/>
          <w:sz w:val="20"/>
          <w:szCs w:val="20"/>
        </w:rPr>
        <w:t xml:space="preserve"> (i) The following applies to equipment with cantilevered booms (such as hydraulic boom cranes): All the tests listed in SAE J1063 (Nov. 1993) Table 1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performed to load all critical structural elements to their respective limits. All the strength margins listed in SAE J1063 (Nov. 1993) Table 2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The following applies to equipment with pendant supported lattice booms: All the tests listed in SAE J987 (Jun. 2003) Table 1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performed to load all critical structural elements to their respective limits. All the strength margins listed in SAE J987 (Jun. 2003) Table 2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Test Option B.</w:t>
      </w:r>
      <w:r w:rsidRPr="009F74C5">
        <w:rPr>
          <w:rFonts w:ascii="Arial" w:eastAsia="Times New Roman" w:hAnsi="Arial" w:cs="Arial"/>
          <w:sz w:val="20"/>
          <w:szCs w:val="20"/>
        </w:rPr>
        <w:t xml:space="preserve"> The testing and verification requirements of BS EN 13000:2004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met. In applying BS EN 13000:2004, the following additional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The following applies to equipment with cantilevered booms (such as hydraulic boom cranes): The analysis methodology (computer modeling) must demonstrate that all load cases listed in SAE J1063 (Nov. 1993)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meet the strength margins listed in SAE J1063 (Nov. 1993) Table 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The following applies to equipment with pendant supported lattice booms: The analysis methodology (computer modeling) must demonstrate that all load cases listed in SAE J987 (Jun. 2003)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meet the strength margins listed in SAE J987 (Jun. 2003) Table 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Analysis verification.</w:t>
      </w:r>
      <w:r w:rsidRPr="009F74C5">
        <w:rPr>
          <w:rFonts w:ascii="Arial" w:eastAsia="Times New Roman" w:hAnsi="Arial" w:cs="Arial"/>
          <w:sz w:val="20"/>
          <w:szCs w:val="20"/>
        </w:rPr>
        <w:t xml:space="preserve"> The physical testing requirements under SAE J1063 (Nov. 1993)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and SAE J987 (Jun. 2003)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must be met unless the reliability of the analysis methodology (computer modeling) has been demonstrated by a documented history of verification through strain gauge measuring or strain gauge measuring in combination with other physical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All equipment covered by this subpart must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Rated capacity and related information.</w:t>
      </w:r>
      <w:r w:rsidRPr="009F74C5">
        <w:rPr>
          <w:rFonts w:ascii="Arial" w:eastAsia="Times New Roman" w:hAnsi="Arial" w:cs="Arial"/>
          <w:sz w:val="20"/>
          <w:szCs w:val="20"/>
        </w:rPr>
        <w:t xml:space="preserve"> The information available in the cab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§1926.1417(c)) regarding “rated capacity” and related information must include, at a minimum,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A complete range of the manufacturer's equipment rated capacities,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At all manufacturer approved operating radii, boom angles, work areas, boom lengths and configurations, jib lengths and angles (or offset).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Alternate ratings for use and nonuse of option equipment which affects rated capacities, such as outriggers, stabilizers, and extra counterweights.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 work area chart for which capacities are listed in the load chart. (</w:t>
      </w:r>
      <w:r w:rsidRPr="009F74C5">
        <w:rPr>
          <w:rFonts w:ascii="Arial" w:eastAsia="Times New Roman" w:hAnsi="Arial" w:cs="Arial"/>
          <w:smallCaps/>
          <w:sz w:val="20"/>
          <w:szCs w:val="20"/>
        </w:rPr>
        <w:t>Note:</w:t>
      </w:r>
      <w:r w:rsidRPr="009F74C5">
        <w:rPr>
          <w:rFonts w:ascii="Arial" w:eastAsia="Times New Roman" w:hAnsi="Arial" w:cs="Arial"/>
          <w:sz w:val="20"/>
          <w:szCs w:val="20"/>
        </w:rPr>
        <w:t xml:space="preserve"> An example of this type of chart is in ASME B30.5-2004, section 5-1.1.3, Figure 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work area figure and load chart must clearly indicate the areas where no load is to be handled.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Recommended reeving for the hoist lines must be shown.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Recommended parts of hoist reeving, size, and type of wire rope for various equipment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Recommended boom hoist reeving diagram, where applicable; size, type and length of wire rope.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Tire pressure (where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Caution or warnings relative to limitations on equipment and operating procedures, including an indication of the least stable direction.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Position of the gantry and requirements for intermediate boom suspension (where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Instructions for boom erection and conditions under which the boom, or boom and jib combinations, may be raised or lowered.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 Whether the hoist holding mechanism is automatically or manually controlled, whether free fall is available, or any combination of these.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 The maximum telescopic travel length of each boom telescopic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(xiii) Whether sections are telescoped manually or with power.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(xiv) The sequence and procedure for extending and retracting the telescopic boom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 Maximum loads permitted during the boom extending operation, and any limiting conditions or cautions.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(xvi) Hydraulic relief valve settings specified by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Load hooks (including latched and unlatched types), ball assemblies and load blocks must be of sufficient weight to overhaul the line from the highest hook position for boom or boom and jib lengths and the number of parts of the line in use.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Hook and ball assemblies and load blocks must be marked with their rated capacity and weight.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(4) </w:t>
      </w:r>
      <w:r w:rsidRPr="009F74C5">
        <w:rPr>
          <w:rFonts w:ascii="Arial" w:eastAsia="Times New Roman" w:hAnsi="Arial" w:cs="Arial"/>
          <w:i/>
          <w:iCs/>
          <w:sz w:val="20"/>
          <w:szCs w:val="20"/>
        </w:rPr>
        <w:t>Latching hooks.</w:t>
      </w:r>
      <w:r w:rsidRPr="009F74C5">
        <w:rPr>
          <w:rFonts w:ascii="Arial" w:eastAsia="Times New Roman" w:hAnsi="Arial" w:cs="Arial"/>
          <w:sz w:val="20"/>
          <w:szCs w:val="20"/>
        </w:rPr>
        <w:t xml:space="preserve"> (i) Hooks must be equipped with latches, except where the requirements of paragraph (d)(4)(ii)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Hooks without latches, or with latches removed or disabled, must not be used unless: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qualified person has determined that it is safer to hoist and place the load without latches (or with the latches removed/tied-back).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Routes for the loads are pre-planned to ensure that no employee is required to work in the fall zone except for employees necessary for the hooking or unhooking of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latch must close the throat opening and be designed to retain slings or other lifting devices/accessories in the hook when the rigging apparatus is slack.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Posted warnings.</w:t>
      </w:r>
      <w:r w:rsidRPr="009F74C5">
        <w:rPr>
          <w:rFonts w:ascii="Arial" w:eastAsia="Times New Roman" w:hAnsi="Arial" w:cs="Arial"/>
          <w:sz w:val="20"/>
          <w:szCs w:val="20"/>
        </w:rPr>
        <w:t xml:space="preserve"> Posted warnings required by this subpart as well as those originally supplied with the equipment by the manufacturer must be maintained in legible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An accessible fire extinguisher must be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Cabs.</w:t>
      </w:r>
      <w:r w:rsidRPr="009F74C5">
        <w:rPr>
          <w:rFonts w:ascii="Arial" w:eastAsia="Times New Roman" w:hAnsi="Arial" w:cs="Arial"/>
          <w:sz w:val="20"/>
          <w:szCs w:val="20"/>
        </w:rPr>
        <w:t xml:space="preserve"> Equipment with cabs must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Cabs must be designed with a form of adjustable ventilation and method for clearing the windshield for maintaining visibility and air circulation. Examples of means for adjustable ventilation include air conditioner or window that can be opened (for ventilation and air circulation); examples of means for maintaining visibility include heater (for preventing windshield icing), defroster, fan, windshield wiper.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Cab doors (swinging, sliding) must be designed to prevent inadvertent opening or closing while traveling or operating the machine. Swinging doors adjacent to the operator must open outward. Sliding operator doors must open rearward.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Windows.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cab must have windows in front and on both sides of the operator. Forward vertical visibility must be sufficient to give the operator a view of the boom point at all times.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Windows may have sections designed to be opened or readily removed. Windows with sections designed to be opened must be designed so that they can be secured to prevent inadvertent closure.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Windows must be of safety glass or material with similar optical and safety properties, that introduce no visible distortion or otherwise obscure visibility that interferes with the safe operation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 clear passageway must be provided from the operator's station to an exit door on the operator's side.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Areas of the cab roof that serve as a workstation for rigging, maintenance or other equipment-related tasks must be capable of supporting 250 pounds without permanent distortion.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Belts, gears, shafts, pulleys, sprockets, spindles, drums, fly wheels, chains, and other parts or components that reciprocate, rotate or otherwise move must be guarded where contact by employees (except for maintenance and repair employees) is possible in the performance of normal duties.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(9) All exhaust pipes, turbochargers, and charge air coolers must be insulated or guarded where contact by employees (except for maintenance and repair employees) is possible in the performance of normal duties.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Hydraulic and pneumatic lines must be protected from damage to the extent feasible.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The equipment must be designed so that exhaust fumes are not discharged in the cab and are discharged in a direction away from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(12) </w:t>
      </w:r>
      <w:r w:rsidRPr="009F74C5">
        <w:rPr>
          <w:rFonts w:ascii="Arial" w:eastAsia="Times New Roman" w:hAnsi="Arial" w:cs="Arial"/>
          <w:i/>
          <w:iCs/>
          <w:sz w:val="20"/>
          <w:szCs w:val="20"/>
        </w:rPr>
        <w:t>Friction mechanisms.</w:t>
      </w:r>
      <w:r w:rsidRPr="009F74C5">
        <w:rPr>
          <w:rFonts w:ascii="Arial" w:eastAsia="Times New Roman" w:hAnsi="Arial" w:cs="Arial"/>
          <w:sz w:val="20"/>
          <w:szCs w:val="20"/>
        </w:rPr>
        <w:t xml:space="preserve"> Where friction mechanisms (such as brakes and clutches) are used to control the boom hoist or load line hoist, they must be: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Of a size and thermal capacity sufficient to control all rated loads with the minimum recommended reeving.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Adjustable to permit compensation for lining wear to maintain proper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(13) </w:t>
      </w:r>
      <w:r w:rsidRPr="009F74C5">
        <w:rPr>
          <w:rFonts w:ascii="Arial" w:eastAsia="Times New Roman" w:hAnsi="Arial" w:cs="Arial"/>
          <w:i/>
          <w:iCs/>
          <w:sz w:val="20"/>
          <w:szCs w:val="20"/>
        </w:rPr>
        <w:t>Hydraulic load hoists.</w:t>
      </w:r>
      <w:r w:rsidRPr="009F74C5">
        <w:rPr>
          <w:rFonts w:ascii="Arial" w:eastAsia="Times New Roman" w:hAnsi="Arial" w:cs="Arial"/>
          <w:sz w:val="20"/>
          <w:szCs w:val="20"/>
        </w:rPr>
        <w:t xml:space="preserve"> Hydraulic drums must have an integrally mounted holding device or internal static brake to prevent load hoist movement in the event of hydraulic failure.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employer's obligations under paragraphs (a) through (c) and (d)(7) through (13) of this section are met where the equipment has not changed (except in accordance with §1926.1434 (Equipment modifications)) and it can refer to documentation from the manufacturer showing that the equipment has been designed, constructed and tested in accordance with those paragraphs.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6" w:anchor="_top" w:history="1">
        <w:r w:rsidR="00D70103">
          <w:rPr>
            <w:rFonts w:ascii="Arial" w:eastAsia="Times New Roman" w:hAnsi="Arial" w:cs="Arial"/>
            <w:noProof/>
            <w:color w:val="0000FF"/>
            <w:sz w:val="17"/>
            <w:szCs w:val="17"/>
          </w:rPr>
          <w:drawing>
            <wp:inline distT="0" distB="0" distL="0" distR="0" wp14:anchorId="6460623F" wp14:editId="60A5E759">
              <wp:extent cx="152400" cy="152400"/>
              <wp:effectExtent l="0" t="0" r="0" b="0"/>
              <wp:docPr id="16" name="Picture 16"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8" w:name="se29.8.1926_11434"/>
      <w:bookmarkEnd w:id="148"/>
      <w:r w:rsidRPr="009F74C5">
        <w:rPr>
          <w:rFonts w:ascii="Arial" w:eastAsia="Times New Roman" w:hAnsi="Arial" w:cs="Arial"/>
          <w:b/>
          <w:bCs/>
          <w:sz w:val="20"/>
          <w:szCs w:val="20"/>
        </w:rPr>
        <w:t>§1926.1434   Equipment modifications.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Modifications or additions which affect the capacity or safe operation of the equipment are prohibited except where the requirements of paragraphs (a)(1), (a)(2), (a)(3), (a)(4), or (a)(5)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Manufacturer review and approval.</w:t>
      </w:r>
      <w:r w:rsidRPr="009F74C5">
        <w:rPr>
          <w:rFonts w:ascii="Arial" w:eastAsia="Times New Roman" w:hAnsi="Arial" w:cs="Arial"/>
          <w:sz w:val="20"/>
          <w:szCs w:val="20"/>
        </w:rPr>
        <w:t xml:space="preserve"> (i) The manufacturer approves the modifications/additions in writing.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load charts, procedures, instruction manuals and instruction plates/tags/decals are modified as necessary to accord with the modification/addition.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original safety factor of the equipment is not reduced.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Manufacturer refusal to review request.</w:t>
      </w:r>
      <w:r w:rsidRPr="009F74C5">
        <w:rPr>
          <w:rFonts w:ascii="Arial" w:eastAsia="Times New Roman" w:hAnsi="Arial" w:cs="Arial"/>
          <w:sz w:val="20"/>
          <w:szCs w:val="20"/>
        </w:rPr>
        <w:t xml:space="preserve"> The manufacturer is provided a detailed description of the proposed modification/addition, is asked to approve the modification/addition, but it declines to review the technical merits of the proposal or fails, within 30 days, to acknowledge the request or initiate the review, and all of the following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registered professional engineer who is a qualified person with respect to the equipment involved: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Approves the modification/addition and specifies the equipment configurations to which that approval applies,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(B) Modifies load charts, procedures, instruction manuals and instruction plates/tags/decals as necessary to accord with the modification/addition.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original safety factor of the equipment is not reduced.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Unavailable manufacturer.</w:t>
      </w:r>
      <w:r w:rsidRPr="009F74C5">
        <w:rPr>
          <w:rFonts w:ascii="Arial" w:eastAsia="Times New Roman" w:hAnsi="Arial" w:cs="Arial"/>
          <w:sz w:val="20"/>
          <w:szCs w:val="20"/>
        </w:rPr>
        <w:t xml:space="preserve"> The manufacturer is unavailable and the requirements of paragraphs (a)(2)(i) and (ii)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Manufacturer does not complete the review within 120 days of the request.</w:t>
      </w:r>
      <w:r w:rsidRPr="009F74C5">
        <w:rPr>
          <w:rFonts w:ascii="Arial" w:eastAsia="Times New Roman" w:hAnsi="Arial" w:cs="Arial"/>
          <w:sz w:val="20"/>
          <w:szCs w:val="20"/>
        </w:rPr>
        <w:t xml:space="preserve"> The manufacturer is provided a detailed description of the proposed modification/addition, is asked to approve the modification/addition, agrees to review the technical merits of the proposal, but fails to complete the review of the proposal within 120 days of the date it was provided the detailed description of the proposed modification/addition, and the requirements of paragraphs (a)(2)(i) and (ii)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Multiple manufacturers of equipment designed for use on marine work sites.</w:t>
      </w:r>
      <w:r w:rsidRPr="009F74C5">
        <w:rPr>
          <w:rFonts w:ascii="Arial" w:eastAsia="Times New Roman" w:hAnsi="Arial" w:cs="Arial"/>
          <w:sz w:val="20"/>
          <w:szCs w:val="20"/>
        </w:rPr>
        <w:t xml:space="preserve"> The equipment is designed for marine work sites, contains major structural components from more than one manufacturer, and the requirements of paragraphs (a)(2)(i) and (ii)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Modifications or additions which affect the capacity or safe operation of the equipment are prohibited where the manufacturer, after a review of the technical safety merits of the proposed modification/addition, rejects the proposal and explains the reasons for the rejection in a written response. If the manufacturer rejects the proposal but does not explain the reasons for the rejection in writing, the employer may treat this as a manufacturer refusal to review the request under paragraph (a)(2)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provisions in paragraphs (a) and (b) of this section do not apply to modifications made or approved by the U.S. military.</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7" w:anchor="_top" w:history="1">
        <w:r w:rsidR="00D70103">
          <w:rPr>
            <w:rFonts w:ascii="Arial" w:eastAsia="Times New Roman" w:hAnsi="Arial" w:cs="Arial"/>
            <w:noProof/>
            <w:color w:val="0000FF"/>
            <w:sz w:val="17"/>
            <w:szCs w:val="17"/>
          </w:rPr>
          <w:drawing>
            <wp:inline distT="0" distB="0" distL="0" distR="0" wp14:anchorId="57A920B7" wp14:editId="0E58EF17">
              <wp:extent cx="152400" cy="152400"/>
              <wp:effectExtent l="0" t="0" r="0" b="0"/>
              <wp:docPr id="15" name="Picture 15"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49" w:name="se29.8.1926_11435"/>
      <w:bookmarkEnd w:id="149"/>
      <w:r w:rsidRPr="009F74C5">
        <w:rPr>
          <w:rFonts w:ascii="Arial" w:eastAsia="Times New Roman" w:hAnsi="Arial" w:cs="Arial"/>
          <w:b/>
          <w:bCs/>
          <w:sz w:val="20"/>
          <w:szCs w:val="20"/>
        </w:rPr>
        <w:t>§1926.1435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This section contains supplemental requirements for tower cranes; all sections of this subpart apply to tower cranes unless specified otherwise.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Erecting, climbing and dismantling.</w:t>
      </w:r>
      <w:r w:rsidRPr="009F74C5">
        <w:rPr>
          <w:rFonts w:ascii="Arial" w:eastAsia="Times New Roman" w:hAnsi="Arial" w:cs="Arial"/>
          <w:sz w:val="20"/>
          <w:szCs w:val="20"/>
        </w:rPr>
        <w:t xml:space="preserve"> (1) Section 1926.1403 (Assembly/Disassembly—selection of manufacturer or employer procedures), §1926.1404 (Assembly/Disassembly—general requirements (applies to all assembly and disassembly operations)), §1926.1405 (Disassembly—additional requirements for dismantling of booms and jibs (applies to both the use of manufacturer procedures and employer procedures)), and §1926.1406 (Assembly/Disassembly—employer procedures—general requirements), apply to tower cranes (except as otherwise specified), except that the term “assembly/disassembly” is replaced by “erecting, climbing and dismantling,” and the term “disassembly” is replaced by “dismantling.”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Dangerous areas (self-erecting tower cranes).</w:t>
      </w:r>
      <w:r w:rsidRPr="009F74C5">
        <w:rPr>
          <w:rFonts w:ascii="Arial" w:eastAsia="Times New Roman" w:hAnsi="Arial" w:cs="Arial"/>
          <w:sz w:val="20"/>
          <w:szCs w:val="20"/>
        </w:rPr>
        <w:t xml:space="preserve"> In addition to the requirements in §1926.1404(e), for self-erecting tower cranes, the following applies: Employees must not be in or under the tower, jib, or rotating portion of the crane during erecting, climbing and dismantling operations until the crane is secured in a locked position and the competent person in charge indicates it is safe to enter this area, unless the manufacturer's instructions direct otherwise and only the necessary personnel are permitted in this area.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Foundations and structural supports.</w:t>
      </w:r>
      <w:r w:rsidRPr="009F74C5">
        <w:rPr>
          <w:rFonts w:ascii="Arial" w:eastAsia="Times New Roman" w:hAnsi="Arial" w:cs="Arial"/>
          <w:sz w:val="20"/>
          <w:szCs w:val="20"/>
        </w:rPr>
        <w:t xml:space="preserve"> Tower crane foundations and structural supports (including both the portions of the structure used for support and the means of attachment) must be designed by the manufacturer or a registered professional engineer.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Addressing specific hazards.</w:t>
      </w:r>
      <w:r w:rsidRPr="009F74C5">
        <w:rPr>
          <w:rFonts w:ascii="Arial" w:eastAsia="Times New Roman" w:hAnsi="Arial" w:cs="Arial"/>
          <w:sz w:val="20"/>
          <w:szCs w:val="20"/>
        </w:rPr>
        <w:t xml:space="preserve"> The requirements in §1926.1404(h)(1) through (9) apply. In addition, the A/D director must address the following: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Foundations and structural supports.</w:t>
      </w:r>
      <w:r w:rsidRPr="009F74C5">
        <w:rPr>
          <w:rFonts w:ascii="Arial" w:eastAsia="Times New Roman" w:hAnsi="Arial" w:cs="Arial"/>
          <w:sz w:val="20"/>
          <w:szCs w:val="20"/>
        </w:rPr>
        <w:t xml:space="preserve"> The A/D director must determine that tower crane foundations and structural supports are installed in accordance with their design.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Loss of backward stability.</w:t>
      </w:r>
      <w:r w:rsidRPr="009F74C5">
        <w:rPr>
          <w:rFonts w:ascii="Arial" w:eastAsia="Times New Roman" w:hAnsi="Arial" w:cs="Arial"/>
          <w:sz w:val="20"/>
          <w:szCs w:val="20"/>
        </w:rPr>
        <w:t xml:space="preserve"> Backward stability before swinging self erecting cranes or cranes on traveling or static undercarriages.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Wind speed.</w:t>
      </w:r>
      <w:r w:rsidRPr="009F74C5">
        <w:rPr>
          <w:rFonts w:ascii="Arial" w:eastAsia="Times New Roman" w:hAnsi="Arial" w:cs="Arial"/>
          <w:sz w:val="20"/>
          <w:szCs w:val="20"/>
        </w:rPr>
        <w:t xml:space="preserve"> Wind must not exceed the speed recommended by the manufacturer or, where manufacturer does not specify this information, the speed determined by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Plumb tolerance.</w:t>
      </w:r>
      <w:r w:rsidRPr="009F74C5">
        <w:rPr>
          <w:rFonts w:ascii="Arial" w:eastAsia="Times New Roman" w:hAnsi="Arial" w:cs="Arial"/>
          <w:sz w:val="20"/>
          <w:szCs w:val="20"/>
        </w:rPr>
        <w:t xml:space="preserve"> Towers must be erected plumb to the manufacturer's tolerance and verified by a qualified person. Where the manufacturer does not specify plumb tolerance, the crane tower must be plumb to a tolerance of at least 1:500 (approximately 1 inch in 40 feet).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Multiple tower crane jobsites.</w:t>
      </w:r>
      <w:r w:rsidRPr="009F74C5">
        <w:rPr>
          <w:rFonts w:ascii="Arial" w:eastAsia="Times New Roman" w:hAnsi="Arial" w:cs="Arial"/>
          <w:sz w:val="20"/>
          <w:szCs w:val="20"/>
        </w:rPr>
        <w:t xml:space="preserve"> On jobsites where more than one fixed jib (hammerhead) tower crane is installed, the cranes must be located such that no crane can come in contact with the structure of another crane. Cranes are permitted to pass over one another.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(7) </w:t>
      </w:r>
      <w:r w:rsidRPr="009F74C5">
        <w:rPr>
          <w:rFonts w:ascii="Arial" w:eastAsia="Times New Roman" w:hAnsi="Arial" w:cs="Arial"/>
          <w:i/>
          <w:iCs/>
          <w:sz w:val="20"/>
          <w:szCs w:val="20"/>
        </w:rPr>
        <w:t>Climbing procedures.</w:t>
      </w:r>
      <w:r w:rsidRPr="009F74C5">
        <w:rPr>
          <w:rFonts w:ascii="Arial" w:eastAsia="Times New Roman" w:hAnsi="Arial" w:cs="Arial"/>
          <w:sz w:val="20"/>
          <w:szCs w:val="20"/>
        </w:rPr>
        <w:t xml:space="preserve"> Prior to, and during, all climbing procedures (including inside climbing and top climbing), the employer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Comply with all manufacturer prohibitions.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Have a registered professional engineer verify that the host structure is strong enough to sustain the forces imposed through the braces, brace anchorages and supporting floors.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(8) </w:t>
      </w:r>
      <w:r w:rsidRPr="009F74C5">
        <w:rPr>
          <w:rFonts w:ascii="Arial" w:eastAsia="Times New Roman" w:hAnsi="Arial" w:cs="Arial"/>
          <w:i/>
          <w:iCs/>
          <w:sz w:val="20"/>
          <w:szCs w:val="20"/>
        </w:rPr>
        <w:t>Counterweight/ballast.</w:t>
      </w:r>
      <w:r w:rsidRPr="009F74C5">
        <w:rPr>
          <w:rFonts w:ascii="Arial" w:eastAsia="Times New Roman" w:hAnsi="Arial" w:cs="Arial"/>
          <w:sz w:val="20"/>
          <w:szCs w:val="20"/>
        </w:rPr>
        <w:t xml:space="preserve"> (i) Equipment must not be erected, dismantled or operated without the amount and position of counterweight and/or ballast in place as specified by the manufacturer or a registered professional engineer familiar with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maximum counterweight and/or ballast specified by the manufacturer or registered professional engineer familiar with the equipment must not be exceeded.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Signs.</w:t>
      </w:r>
      <w:r w:rsidRPr="009F74C5">
        <w:rPr>
          <w:rFonts w:ascii="Arial" w:eastAsia="Times New Roman" w:hAnsi="Arial" w:cs="Arial"/>
          <w:sz w:val="20"/>
          <w:szCs w:val="20"/>
        </w:rPr>
        <w:t xml:space="preserve"> The size and location of signs installed on tower cranes must be in accordance with manufacturer specifications. Where these are unavailable, a registered professional engineer familiar with the type of equipment involved must approve in writing the size and location of any signs.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Safety devices.</w:t>
      </w:r>
      <w:r w:rsidRPr="009F74C5">
        <w:rPr>
          <w:rFonts w:ascii="Arial" w:eastAsia="Times New Roman" w:hAnsi="Arial" w:cs="Arial"/>
          <w:sz w:val="20"/>
          <w:szCs w:val="20"/>
        </w:rPr>
        <w:t xml:space="preserve"> (1) Section 1926.1415 does not apply to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following safety devices are required on all tower cranes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Boom stops on luffing boom type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Jib stops on luffing boom type tower cranes if equipped with a jib attachment.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Travel rail end stops at both ends of travel rail.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(iv) Travel rail clamps on all travel bogies.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Integrally mounted check valves on all load supporting hydraulic cylinders.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Hydraulic system pressure limiting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The following brakes, which must automatically set in the event of pressure loss or power failure, are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A hoist brake on all hoists.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Swing brake.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Trolley brake.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Rail travel brake.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Deadman control or forced neutral return control (hand) levers.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Emergency stop switch at the operator's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(x) Trolley end stops must be provided at both ends of travel of the trolley.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Proper operation required.</w:t>
      </w:r>
      <w:r w:rsidRPr="009F74C5">
        <w:rPr>
          <w:rFonts w:ascii="Arial" w:eastAsia="Times New Roman" w:hAnsi="Arial" w:cs="Arial"/>
          <w:sz w:val="20"/>
          <w:szCs w:val="20"/>
        </w:rPr>
        <w:t xml:space="preserve"> Operations must not begin unless the devices listed in this section are in proper working order. If a device stops working properly during operations, the operator must safely stop operations. The equipment must be taken out of service, and operations must not resume until the device is again working properly.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§1926.1417(f). Alternative measures are not permitted to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Operational aids.</w:t>
      </w:r>
      <w:r w:rsidRPr="009F74C5">
        <w:rPr>
          <w:rFonts w:ascii="Arial" w:eastAsia="Times New Roman" w:hAnsi="Arial" w:cs="Arial"/>
          <w:sz w:val="20"/>
          <w:szCs w:val="20"/>
        </w:rPr>
        <w:t xml:space="preserve"> (1) Section 1926.1416 does not apply to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devices listed in this section (“operational aids”) are required on all tower cranes covered by this subpart, unless otherwise specified.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Operations must not begin unless the operational aids are in proper working order, except where the employer meets the specified temporary alternative measures. More protective alternative measures specified by the tower crane manufacturer, if any, must be followed.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§1926.1417(j) for 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If an operational aid stops working properly during operations, the operator must safely stop operations until the temporary alternative measures are implemented or the device is again working properly. If a replacement part is no longer available, the use of a substitute device that performs the same type of function is permitted and is not considered a modification under §1926.1434.</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Category I operational aids and alternative measures.</w:t>
      </w:r>
      <w:r w:rsidRPr="009F74C5">
        <w:rPr>
          <w:rFonts w:ascii="Arial" w:eastAsia="Times New Roman" w:hAnsi="Arial" w:cs="Arial"/>
          <w:sz w:val="20"/>
          <w:szCs w:val="20"/>
        </w:rPr>
        <w:t xml:space="preserve"> Operational aids listed in this paragraph that are not working properly must be repaired no later than 7 calendar days after the deficiency occurs.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If the employer documents that it has ordered the necessary parts within 7 calendar days of the occurrence of the deficiency, the repair must be completed within 7 calendar days of receipt of the parts.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Trolley travel limiting device.</w:t>
      </w:r>
      <w:r w:rsidRPr="009F74C5">
        <w:rPr>
          <w:rFonts w:ascii="Arial" w:eastAsia="Times New Roman" w:hAnsi="Arial" w:cs="Arial"/>
          <w:sz w:val="20"/>
          <w:szCs w:val="20"/>
        </w:rPr>
        <w:t xml:space="preserve"> The travel of the trolley must be restricted at both ends of the jib by a trolley travel limiting device to prevent the trolley from running into the trolley end stops. </w:t>
      </w:r>
      <w:r w:rsidRPr="009F74C5">
        <w:rPr>
          <w:rFonts w:ascii="Arial" w:eastAsia="Times New Roman" w:hAnsi="Arial" w:cs="Arial"/>
          <w:i/>
          <w:iCs/>
          <w:sz w:val="20"/>
          <w:szCs w:val="20"/>
        </w:rPr>
        <w:t>Temporary alternative measures: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(A) </w:t>
      </w:r>
      <w:r w:rsidRPr="009F74C5">
        <w:rPr>
          <w:rFonts w:ascii="Arial" w:eastAsia="Times New Roman" w:hAnsi="Arial" w:cs="Arial"/>
          <w:i/>
          <w:iCs/>
          <w:sz w:val="20"/>
          <w:szCs w:val="20"/>
        </w:rPr>
        <w:t>Option A.</w:t>
      </w:r>
      <w:r w:rsidRPr="009F74C5">
        <w:rPr>
          <w:rFonts w:ascii="Arial" w:eastAsia="Times New Roman" w:hAnsi="Arial" w:cs="Arial"/>
          <w:sz w:val="20"/>
          <w:szCs w:val="20"/>
        </w:rPr>
        <w:t xml:space="preserve"> The trolley rope must be marked (so it can be seen by the operator) at a point that will give the operator sufficient time to stop the trolley prior to the end stops.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Option B.</w:t>
      </w:r>
      <w:r w:rsidRPr="009F74C5">
        <w:rPr>
          <w:rFonts w:ascii="Arial" w:eastAsia="Times New Roman" w:hAnsi="Arial" w:cs="Arial"/>
          <w:sz w:val="20"/>
          <w:szCs w:val="20"/>
        </w:rPr>
        <w:t xml:space="preserve"> A spotter who is in direct communication with the operator must be used when operations are conducted within 10 feet of the outer or inner trolley end stops.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Boom hoist limiting device.</w:t>
      </w:r>
      <w:r w:rsidRPr="009F74C5">
        <w:rPr>
          <w:rFonts w:ascii="Arial" w:eastAsia="Times New Roman" w:hAnsi="Arial" w:cs="Arial"/>
          <w:sz w:val="20"/>
          <w:szCs w:val="20"/>
        </w:rPr>
        <w:t xml:space="preserve"> The range of the boom must be limited at the minimum and maximum radius.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Clearly mark the cable (so it can be seen by the operator) at a point that will give the operator sufficient time to stop the boom hoist within the minimum and maximum boom radius, or use a spotter who is in direct communication with the operator to inform the operator when this point is 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Anti two-blocking device.</w:t>
      </w:r>
      <w:r w:rsidRPr="009F74C5">
        <w:rPr>
          <w:rFonts w:ascii="Arial" w:eastAsia="Times New Roman" w:hAnsi="Arial" w:cs="Arial"/>
          <w:sz w:val="20"/>
          <w:szCs w:val="20"/>
        </w:rPr>
        <w:t xml:space="preserve"> The tower crane must be equipped with a device which automatically prevents damage from contact between the load block, overhaul ball, or similar component, and the boom tip (or fixed upper block or similar component). The device(s) must prevent such damage at all points where two-blocking could occur.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Clearly mark the cable (so it can be seen by the operator) at a point that will give the operator sufficient time to stop the hoist to prevent two-blocking, or use a spotter who is in direct communication with the operator to inform the operator when this point is 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Hoist drum lower limiting device.</w:t>
      </w:r>
      <w:r w:rsidRPr="009F74C5">
        <w:rPr>
          <w:rFonts w:ascii="Arial" w:eastAsia="Times New Roman" w:hAnsi="Arial" w:cs="Arial"/>
          <w:sz w:val="20"/>
          <w:szCs w:val="20"/>
        </w:rPr>
        <w:t xml:space="preserve"> Tower cranes manufactured after November 8, 2011 must be equipped with a device that prevents the last 2 wraps of hoist cable from being spooled off the drum.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Mark the cable (so it can be seen by the operator) at a point that will give the operator sufficient time to stop the hoist prior to last 2 wraps of hoist cable being spooled off the drum, or use a spotter who is in direct communication with the operator to inform the operator when this point is reached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w:t>
      </w:r>
      <w:r w:rsidRPr="009F74C5">
        <w:rPr>
          <w:rFonts w:ascii="Arial" w:eastAsia="Times New Roman" w:hAnsi="Arial" w:cs="Arial"/>
          <w:i/>
          <w:iCs/>
          <w:sz w:val="20"/>
          <w:szCs w:val="20"/>
        </w:rPr>
        <w:t>Load moment limiting device.</w:t>
      </w:r>
      <w:r w:rsidRPr="009F74C5">
        <w:rPr>
          <w:rFonts w:ascii="Arial" w:eastAsia="Times New Roman" w:hAnsi="Arial" w:cs="Arial"/>
          <w:sz w:val="20"/>
          <w:szCs w:val="20"/>
        </w:rPr>
        <w:t xml:space="preserve"> The tower crane must have a device that prevents moment overloading.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A radius indicating device must be used (if the tower crane is not equipped with a radius indicating device, the radius must be measured to ensure the load is within the rated capacity of the crane). In addition,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 </w:t>
      </w:r>
      <w:r w:rsidRPr="009F74C5">
        <w:rPr>
          <w:rFonts w:ascii="Arial" w:eastAsia="Times New Roman" w:hAnsi="Arial" w:cs="Arial"/>
          <w:i/>
          <w:iCs/>
          <w:sz w:val="20"/>
          <w:szCs w:val="20"/>
        </w:rPr>
        <w:t>Hoist line pull limiting device.</w:t>
      </w:r>
      <w:r w:rsidRPr="009F74C5">
        <w:rPr>
          <w:rFonts w:ascii="Arial" w:eastAsia="Times New Roman" w:hAnsi="Arial" w:cs="Arial"/>
          <w:sz w:val="20"/>
          <w:szCs w:val="20"/>
        </w:rPr>
        <w:t xml:space="preserve"> The capacity of the hoist must be limited to prevent overloading, including each individual gear ratio if equipped with a multiple speed hoist transmission.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operator must ensure that the weight of the load does not exceed the capacity of the hoist (including for each individual gear ratio if equipped with a multiple speed hoist transmission).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(vii) </w:t>
      </w:r>
      <w:r w:rsidRPr="009F74C5">
        <w:rPr>
          <w:rFonts w:ascii="Arial" w:eastAsia="Times New Roman" w:hAnsi="Arial" w:cs="Arial"/>
          <w:i/>
          <w:iCs/>
          <w:sz w:val="20"/>
          <w:szCs w:val="20"/>
        </w:rPr>
        <w:t>Rail travel limiting device.</w:t>
      </w:r>
      <w:r w:rsidRPr="009F74C5">
        <w:rPr>
          <w:rFonts w:ascii="Arial" w:eastAsia="Times New Roman" w:hAnsi="Arial" w:cs="Arial"/>
          <w:sz w:val="20"/>
          <w:szCs w:val="20"/>
        </w:rPr>
        <w:t xml:space="preserve"> The travel distance in each direction must be limited to prevent the travel bogies from running into the end stops or buffers.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A spotter who is in direct communication with the operator must be used when operations are conducted within 10 feet of either end of the travel rail end stops; the spotter must inform the operator of the distance of the travel bogies from the end stops or buffers.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(viii) </w:t>
      </w:r>
      <w:r w:rsidRPr="009F74C5">
        <w:rPr>
          <w:rFonts w:ascii="Arial" w:eastAsia="Times New Roman" w:hAnsi="Arial" w:cs="Arial"/>
          <w:i/>
          <w:iCs/>
          <w:sz w:val="20"/>
          <w:szCs w:val="20"/>
        </w:rPr>
        <w:t>Boom hoist drum positive locking device and control.</w:t>
      </w:r>
      <w:r w:rsidRPr="009F74C5">
        <w:rPr>
          <w:rFonts w:ascii="Arial" w:eastAsia="Times New Roman" w:hAnsi="Arial" w:cs="Arial"/>
          <w:sz w:val="20"/>
          <w:szCs w:val="20"/>
        </w:rPr>
        <w:t xml:space="preserve"> The boom hoist drum must be equipped with a control that will enable the operator to positively lock the boom hoist drum from the cab.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device must be manually set when required if an electric, hydraulic or automatic control is not functioning.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Category II operational aids and alternative measures.</w:t>
      </w:r>
      <w:r w:rsidRPr="009F74C5">
        <w:rPr>
          <w:rFonts w:ascii="Arial" w:eastAsia="Times New Roman" w:hAnsi="Arial" w:cs="Arial"/>
          <w:sz w:val="20"/>
          <w:szCs w:val="20"/>
        </w:rPr>
        <w:t xml:space="preserve"> Operational aids listed in this paragraph that are not working properly must be repaired no later than 30 calendar days after the deficiency occurs.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If the employer documents that it has ordered the necessary parts within 7 calendar days of </w:t>
      </w:r>
      <w:r w:rsidRPr="009F74C5">
        <w:rPr>
          <w:rFonts w:ascii="Arial" w:eastAsia="Times New Roman" w:hAnsi="Arial" w:cs="Arial"/>
          <w:sz w:val="20"/>
          <w:szCs w:val="20"/>
        </w:rPr>
        <w:lastRenderedPageBreak/>
        <w:t>the occurrence of the deficiency, and the part is not received in time to complete the repair in 30 calendar days, the repair must be completed within 7 calendar days of receipt of the parts.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Boom angle or hook radius indicator.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Luffing boom tower cranes must have a boom angle indicator readable from the operator's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Hammerhead tower cranes manufactured after November 8, 2011 must have a hook radius indicator readable from the operator's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Hook radii or boom angle must be determined by measuring the hook radii or boom angle with a measuring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Trolley travel deceleration device.</w:t>
      </w:r>
      <w:r w:rsidRPr="009F74C5">
        <w:rPr>
          <w:rFonts w:ascii="Arial" w:eastAsia="Times New Roman" w:hAnsi="Arial" w:cs="Arial"/>
          <w:sz w:val="20"/>
          <w:szCs w:val="20"/>
        </w:rPr>
        <w:t xml:space="preserve"> The trolley speed must be automatically reduced prior to the trolley reaching the end limit in both directions. </w:t>
      </w:r>
      <w:r w:rsidRPr="009F74C5">
        <w:rPr>
          <w:rFonts w:ascii="Arial" w:eastAsia="Times New Roman" w:hAnsi="Arial" w:cs="Arial"/>
          <w:i/>
          <w:iCs/>
          <w:sz w:val="20"/>
          <w:szCs w:val="20"/>
        </w:rPr>
        <w:t>Temporary alternative measure:</w:t>
      </w:r>
      <w:r w:rsidRPr="009F74C5">
        <w:rPr>
          <w:rFonts w:ascii="Arial" w:eastAsia="Times New Roman" w:hAnsi="Arial" w:cs="Arial"/>
          <w:sz w:val="20"/>
          <w:szCs w:val="20"/>
        </w:rPr>
        <w:t xml:space="preserve"> The employer must post a notice in the cab of the crane notifying the operator that the trolley travel deceleration device is malfunctioning and instructing the operator to take special care to reduce the trolley speed when approaching the trolley end limits.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Boom hoist deceleration device.</w:t>
      </w:r>
      <w:r w:rsidRPr="009F74C5">
        <w:rPr>
          <w:rFonts w:ascii="Arial" w:eastAsia="Times New Roman" w:hAnsi="Arial" w:cs="Arial"/>
          <w:sz w:val="20"/>
          <w:szCs w:val="20"/>
        </w:rPr>
        <w:t xml:space="preserve"> The boom speed must be automatically reduced prior to the boom reaching the minimum or maximum radius limit. </w:t>
      </w:r>
      <w:r w:rsidRPr="009F74C5">
        <w:rPr>
          <w:rFonts w:ascii="Arial" w:eastAsia="Times New Roman" w:hAnsi="Arial" w:cs="Arial"/>
          <w:i/>
          <w:iCs/>
          <w:sz w:val="20"/>
          <w:szCs w:val="20"/>
        </w:rPr>
        <w:t>Temporary alternative measure:</w:t>
      </w:r>
      <w:r w:rsidRPr="009F74C5">
        <w:rPr>
          <w:rFonts w:ascii="Arial" w:eastAsia="Times New Roman" w:hAnsi="Arial" w:cs="Arial"/>
          <w:sz w:val="20"/>
          <w:szCs w:val="20"/>
        </w:rPr>
        <w:t xml:space="preserve"> The employer must post a notice in the cab of the crane notifying the operator that the boom hoist deceleration device is malfunctioning and instructing the operator to take special care to reduce the boom speed when approaching the minimum or maximum radius limits.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Load hoist deceleration device.</w:t>
      </w:r>
      <w:r w:rsidRPr="009F74C5">
        <w:rPr>
          <w:rFonts w:ascii="Arial" w:eastAsia="Times New Roman" w:hAnsi="Arial" w:cs="Arial"/>
          <w:sz w:val="20"/>
          <w:szCs w:val="20"/>
        </w:rPr>
        <w:t xml:space="preserve"> The load speed must be automatically reduced prior to the hoist reaching the upper limit. </w:t>
      </w:r>
      <w:r w:rsidRPr="009F74C5">
        <w:rPr>
          <w:rFonts w:ascii="Arial" w:eastAsia="Times New Roman" w:hAnsi="Arial" w:cs="Arial"/>
          <w:i/>
          <w:iCs/>
          <w:sz w:val="20"/>
          <w:szCs w:val="20"/>
        </w:rPr>
        <w:t>Temporary alternative measure:</w:t>
      </w:r>
      <w:r w:rsidRPr="009F74C5">
        <w:rPr>
          <w:rFonts w:ascii="Arial" w:eastAsia="Times New Roman" w:hAnsi="Arial" w:cs="Arial"/>
          <w:sz w:val="20"/>
          <w:szCs w:val="20"/>
        </w:rPr>
        <w:t xml:space="preserve"> The employer must post a notice in the cab of the crane notifying the operator that the load hoist deceleration device is malfunctioning and instructing the operator to take special care to reduce the load speed when approaching the upper limits.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 </w:t>
      </w:r>
      <w:r w:rsidRPr="009F74C5">
        <w:rPr>
          <w:rFonts w:ascii="Arial" w:eastAsia="Times New Roman" w:hAnsi="Arial" w:cs="Arial"/>
          <w:i/>
          <w:iCs/>
          <w:sz w:val="20"/>
          <w:szCs w:val="20"/>
        </w:rPr>
        <w:t>Wind speed indicator.</w:t>
      </w:r>
      <w:r w:rsidRPr="009F74C5">
        <w:rPr>
          <w:rFonts w:ascii="Arial" w:eastAsia="Times New Roman" w:hAnsi="Arial" w:cs="Arial"/>
          <w:sz w:val="20"/>
          <w:szCs w:val="20"/>
        </w:rPr>
        <w:t xml:space="preserve"> A device must be provided to display the wind speed and must be mounted above the upper rotating structure on tower cranes. On self erecting cranes, it must be mounted at or above the jib level.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Use of wind speed information from a properly functioning indicating device on another tower crane on the same site, or a qualified person estimates the wind speed.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(vi) </w:t>
      </w:r>
      <w:r w:rsidRPr="009F74C5">
        <w:rPr>
          <w:rFonts w:ascii="Arial" w:eastAsia="Times New Roman" w:hAnsi="Arial" w:cs="Arial"/>
          <w:i/>
          <w:iCs/>
          <w:sz w:val="20"/>
          <w:szCs w:val="20"/>
        </w:rPr>
        <w:t>Load indicating device.</w:t>
      </w:r>
      <w:r w:rsidRPr="009F74C5">
        <w:rPr>
          <w:rFonts w:ascii="Arial" w:eastAsia="Times New Roman" w:hAnsi="Arial" w:cs="Arial"/>
          <w:sz w:val="20"/>
          <w:szCs w:val="20"/>
        </w:rPr>
        <w:t xml:space="preserve"> Cranes manufactured after November 8, 2011 must have a device that displays the magnitude of the load on the hook. Displays that are part of load moment limiting devices that display the load on the hook meet this requirement.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Inspections.</w:t>
      </w:r>
      <w:r w:rsidRPr="009F74C5">
        <w:rPr>
          <w:rFonts w:ascii="Arial" w:eastAsia="Times New Roman" w:hAnsi="Arial" w:cs="Arial"/>
          <w:sz w:val="20"/>
          <w:szCs w:val="20"/>
        </w:rPr>
        <w:t xml:space="preserve"> (1) Section 1926.1412 (Inspections) applies to tower cranes, except that the term “assembly” is replaced by “erection.” Section 1926.1413 (Wire rope—inspection) applies to tower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Pre-erection inspection.</w:t>
      </w:r>
      <w:r w:rsidRPr="009F74C5">
        <w:rPr>
          <w:rFonts w:ascii="Arial" w:eastAsia="Times New Roman" w:hAnsi="Arial" w:cs="Arial"/>
          <w:sz w:val="20"/>
          <w:szCs w:val="20"/>
        </w:rPr>
        <w:t xml:space="preserve"> Before each crane component is erected, it must be inspected by a qualified person for damage or excessive wear.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qualified person must pay particular attention to components that will be difficult to inspect thoroughly during shift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If the qualified person determines that a component is damaged or worn to the extent that it would create a safety hazard if used on the crane, that component must not be erected on the crane unless it is repaired and, upon reinspection by the qualified person, found to no longer create a safety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the qualified person determines that, though not presently a safety hazard, the component needs to be monitored, the employer must ensure that the component is checked in the monthly inspections. Any such determination must be documented, and the documentation must be available to any individual who conducts a monthly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Post-erection inspection.</w:t>
      </w:r>
      <w:r w:rsidRPr="009F74C5">
        <w:rPr>
          <w:rFonts w:ascii="Arial" w:eastAsia="Times New Roman" w:hAnsi="Arial" w:cs="Arial"/>
          <w:sz w:val="20"/>
          <w:szCs w:val="20"/>
        </w:rPr>
        <w:t xml:space="preserve"> In addition to the requirements in §1926.1412(c), the following requirements must be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load test using certified weights, or scaled weights using a certified scale with a current certificate of calibration, must be conducted after each erection.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load test must be conducted in accordance with the manufacturer's instructions when available. Where these instructions are unavailable, the test must be conducted in accordance with written load test procedures developed by a registered professional engineer familiar with the type of equipment involved.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Monthly.</w:t>
      </w:r>
      <w:r w:rsidRPr="009F74C5">
        <w:rPr>
          <w:rFonts w:ascii="Arial" w:eastAsia="Times New Roman" w:hAnsi="Arial" w:cs="Arial"/>
          <w:sz w:val="20"/>
          <w:szCs w:val="20"/>
        </w:rPr>
        <w:t xml:space="preserve"> The following additional items must be included: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Tower (mast) bolts and other structural bolts (for loose or dislodged condition) from the base of the tower crane up or, if the crane is tied to or braced by the structure, those above the upper-most brace support.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upper-most tie-in, braces, floor supports and floor wedges where the tower crane is supported by the structure, for loose or dislodged components.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Annual.</w:t>
      </w:r>
      <w:r w:rsidRPr="009F74C5">
        <w:rPr>
          <w:rFonts w:ascii="Arial" w:eastAsia="Times New Roman" w:hAnsi="Arial" w:cs="Arial"/>
          <w:sz w:val="20"/>
          <w:szCs w:val="20"/>
        </w:rPr>
        <w:t xml:space="preserve"> In addition to the items that must be inspected under §1926.1412(f), all turntable and tower bolts must be inspected for proper condition and torque.</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8" w:anchor="_top" w:history="1">
        <w:r w:rsidR="00D70103">
          <w:rPr>
            <w:rFonts w:ascii="Arial" w:eastAsia="Times New Roman" w:hAnsi="Arial" w:cs="Arial"/>
            <w:noProof/>
            <w:color w:val="0000FF"/>
            <w:sz w:val="17"/>
            <w:szCs w:val="17"/>
          </w:rPr>
          <w:drawing>
            <wp:inline distT="0" distB="0" distL="0" distR="0" wp14:anchorId="04D8FA55" wp14:editId="13085278">
              <wp:extent cx="152400" cy="152400"/>
              <wp:effectExtent l="0" t="0" r="0" b="0"/>
              <wp:docPr id="14" name="Picture 1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0" w:name="se29.8.1926_11436"/>
      <w:bookmarkEnd w:id="150"/>
      <w:r w:rsidRPr="009F74C5">
        <w:rPr>
          <w:rFonts w:ascii="Arial" w:eastAsia="Times New Roman" w:hAnsi="Arial" w:cs="Arial"/>
          <w:b/>
          <w:bCs/>
          <w:sz w:val="20"/>
          <w:szCs w:val="20"/>
        </w:rPr>
        <w:t>§1926.1436   Derricks.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This section contains supplemental requirements for derricks, whether temporarily or permanently mounted; all sections of this subpart apply to derricks unless specified otherwise. A derrick is powered equipment consisting of a mast or equivalent member that is held at or near the end by guys or braces, with or without a boom, and its hoisting mechanism. The mast/equivalent member and/or the load is moved by the hoisting mechanism (typically base-mounted) and operating ropes. Derricks include: A-frame, basket, breast, Chicago boom, gin pole (except gin poles used for erection of communication towers), guy, shearleg, stiffleg, and variations of such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Operation—procedures.</w:t>
      </w:r>
      <w:r w:rsidRPr="009F74C5">
        <w:rPr>
          <w:rFonts w:ascii="Arial" w:eastAsia="Times New Roman" w:hAnsi="Arial" w:cs="Arial"/>
          <w:sz w:val="20"/>
          <w:szCs w:val="20"/>
        </w:rPr>
        <w:t xml:space="preserve"> (1) Section 1926.1417 (Operation) applies except for §1926.1417(c) (Accessibility of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Load chart contents.</w:t>
      </w:r>
      <w:r w:rsidRPr="009F74C5">
        <w:rPr>
          <w:rFonts w:ascii="Arial" w:eastAsia="Times New Roman" w:hAnsi="Arial" w:cs="Arial"/>
          <w:sz w:val="20"/>
          <w:szCs w:val="20"/>
        </w:rPr>
        <w:t xml:space="preserve"> Load charts must contain at least the following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Rated capacity at corresponding ranges of boom angle or operating radii.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Specific lengths of components to which the rated capacities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Required parts for hoist reeving.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Size and construction of rope must be included on the load chart or in the operating manual.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Load chart location</w:t>
      </w:r>
      <w:r w:rsidRPr="009F74C5">
        <w:rPr>
          <w:rFonts w:ascii="Arial" w:eastAsia="Times New Roman" w:hAnsi="Arial" w:cs="Arial"/>
          <w:sz w:val="20"/>
          <w:szCs w:val="20"/>
        </w:rPr>
        <w:t xml:space="preserve">—(i) </w:t>
      </w:r>
      <w:r w:rsidRPr="009F74C5">
        <w:rPr>
          <w:rFonts w:ascii="Arial" w:eastAsia="Times New Roman" w:hAnsi="Arial" w:cs="Arial"/>
          <w:i/>
          <w:iCs/>
          <w:sz w:val="20"/>
          <w:szCs w:val="20"/>
        </w:rPr>
        <w:t>Permanent installations.</w:t>
      </w:r>
      <w:r w:rsidRPr="009F74C5">
        <w:rPr>
          <w:rFonts w:ascii="Arial" w:eastAsia="Times New Roman" w:hAnsi="Arial" w:cs="Arial"/>
          <w:sz w:val="20"/>
          <w:szCs w:val="20"/>
        </w:rPr>
        <w:t xml:space="preserve"> For permanently installed derricks with fixed lengths of boom, guy, and mast, a load chart must be posted where it is visible to personnel responsible for the operation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Non-permanent installations.</w:t>
      </w:r>
      <w:r w:rsidRPr="009F74C5">
        <w:rPr>
          <w:rFonts w:ascii="Arial" w:eastAsia="Times New Roman" w:hAnsi="Arial" w:cs="Arial"/>
          <w:sz w:val="20"/>
          <w:szCs w:val="20"/>
        </w:rPr>
        <w:t xml:space="preserve"> For derricks that are not permanently installed, the load chart must be readily available at the job site to personnel responsible for the operation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Construction</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General requirements.</w:t>
      </w:r>
      <w:r w:rsidRPr="009F74C5">
        <w:rPr>
          <w:rFonts w:ascii="Arial" w:eastAsia="Times New Roman" w:hAnsi="Arial" w:cs="Arial"/>
          <w:sz w:val="20"/>
          <w:szCs w:val="20"/>
        </w:rPr>
        <w:t xml:space="preserve"> (i) Derricks must be constructed to meet all stresses imposed on members and components when installed and operated in accordance with the manufacturer's/builder's procedures and within its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Welding of load sustaining members must conform to recommended practices in ANSI/AWS D14.3-94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or AWS D1.1/D1.1M:2002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Guy derricks.</w:t>
      </w:r>
      <w:r w:rsidRPr="009F74C5">
        <w:rPr>
          <w:rFonts w:ascii="Arial" w:eastAsia="Times New Roman" w:hAnsi="Arial" w:cs="Arial"/>
          <w:sz w:val="20"/>
          <w:szCs w:val="20"/>
        </w:rPr>
        <w:t xml:space="preserve"> (i) The minimum number of guys must be 6, with equal spacing, except where a qualified person or derrick manufacturer approves variations from these requirements and revises the rated capacity to compensate for such variations.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Guy derricks must not be used unless the employer has the following guy information from the manufacturer or a qualified person, when not available from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number of guys.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spacing around the mast.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size, grade, and construction of rope to be used for each guy.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For guy derricks manufactured after December 18, 1970, in addition to the information required in paragraph (c)(2)(ii) of this section, the employer must have the following guy information from the manufacturer or a qualified person, when not available from the manufacturer: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amount of initial sag or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amount of tension in guy line rope at anchor.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mast base must permit the mast to rotate freely with allowance for slight tilting of the mast caused by guy slack.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mast cap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Permit the mast to rotate freely.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Withstand tilting and cramping caused by the guy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Be secured to the mast to prevent disengagement during erection.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(D) Be provided with means for attaching guy ropes.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Stiffleg derricks.</w:t>
      </w:r>
      <w:r w:rsidRPr="009F74C5">
        <w:rPr>
          <w:rFonts w:ascii="Arial" w:eastAsia="Times New Roman" w:hAnsi="Arial" w:cs="Arial"/>
          <w:sz w:val="20"/>
          <w:szCs w:val="20"/>
        </w:rPr>
        <w:t xml:space="preserve"> (i) The mast must be supported in the vertical position by at least two stifflegs; one end of each must be connected to the top of the mast and the other end securely anchored.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stifflegs must be capable of withstanding the loads imposed at any point of operation within the load chart range.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mast base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Permit the mast to rotate freely (when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Permit deflection of the mast without binding.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mast must be prevented from lifting out of its socket when the mast is in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stiffleg connecting member at the top of the mast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Permit the mast to rotate freely (when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Withstand the loads imposed by the action of the stifflegs.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Be secured so as to oppose separating forces.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Gin pole derricks.</w:t>
      </w:r>
      <w:r w:rsidRPr="009F74C5">
        <w:rPr>
          <w:rFonts w:ascii="Arial" w:eastAsia="Times New Roman" w:hAnsi="Arial" w:cs="Arial"/>
          <w:sz w:val="20"/>
          <w:szCs w:val="20"/>
        </w:rPr>
        <w:t xml:space="preserve"> (i) Guy lines must be sized and spaced so as to make the gin pole stable in both boomed and vertical positions.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Where the size and/or spacing of guy lines do not result in the gin pole being stable in both boomed and vertical positions, the employer must ensure that the derrick is not used in an unstable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base of the gin pole must permit movement of the pole (when necessary).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gin pole must be anchored at the base against horizontal forces (when such forces are present).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Chicago boom derricks.</w:t>
      </w:r>
      <w:r w:rsidRPr="009F74C5">
        <w:rPr>
          <w:rFonts w:ascii="Arial" w:eastAsia="Times New Roman" w:hAnsi="Arial" w:cs="Arial"/>
          <w:sz w:val="20"/>
          <w:szCs w:val="20"/>
        </w:rPr>
        <w:t xml:space="preserve"> The fittings for stepping the boom and for attaching the topping lift must be arranged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Permit the derrick to swing at all permitted operating radii and mounting heights between fittings.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Accommodate attachment to the upright member of the host structure.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Withstand the forces applied when configured and operated in accordance with the manufacturer's/builder's procedures and within its rated capacity.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Prevent the boom or topping lift from lifting out under tensile forces.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Anchoring and guying.</w:t>
      </w:r>
      <w:r w:rsidRPr="009F74C5">
        <w:rPr>
          <w:rFonts w:ascii="Arial" w:eastAsia="Times New Roman" w:hAnsi="Arial" w:cs="Arial"/>
          <w:sz w:val="20"/>
          <w:szCs w:val="20"/>
        </w:rPr>
        <w:t xml:space="preserve"> (1) Load anchoring data developed by the manufacturer or a qualified person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Guy derricks.</w:t>
      </w:r>
      <w:r w:rsidRPr="009F74C5">
        <w:rPr>
          <w:rFonts w:ascii="Arial" w:eastAsia="Times New Roman" w:hAnsi="Arial" w:cs="Arial"/>
          <w:sz w:val="20"/>
          <w:szCs w:val="20"/>
        </w:rPr>
        <w:t xml:space="preserve"> (i) The mast base must be anchored.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The guys must be secured to the ground or other firm anchorage.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anchorage and guying must be designed to withstand maximum horizontal and vertical forces encountered when operating within rated capacity with the particular guy slope and spacing specified for the application.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Stiffleg derricks.</w:t>
      </w:r>
      <w:r w:rsidRPr="009F74C5">
        <w:rPr>
          <w:rFonts w:ascii="Arial" w:eastAsia="Times New Roman" w:hAnsi="Arial" w:cs="Arial"/>
          <w:sz w:val="20"/>
          <w:szCs w:val="20"/>
        </w:rPr>
        <w:t xml:space="preserve"> (i) The mast base and stifflegs must be anchored.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mast base and stifflegs must be designed to withstand maximum horizontal and vertical forces encountered when operating within rated capacity with the particular stiffleg spacing and slope specified for the application.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Swingers and hoists.</w:t>
      </w:r>
      <w:r w:rsidRPr="009F74C5">
        <w:rPr>
          <w:rFonts w:ascii="Arial" w:eastAsia="Times New Roman" w:hAnsi="Arial" w:cs="Arial"/>
          <w:sz w:val="20"/>
          <w:szCs w:val="20"/>
        </w:rPr>
        <w:t xml:space="preserve"> (1) The boom, swinger mechanisms and hoists must be suitable for the derrick work intended and must be anchored to prevent displacement from the imposed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Hoists.</w:t>
      </w:r>
      <w:r w:rsidRPr="009F74C5">
        <w:rPr>
          <w:rFonts w:ascii="Arial" w:eastAsia="Times New Roman" w:hAnsi="Arial" w:cs="Arial"/>
          <w:sz w:val="20"/>
          <w:szCs w:val="20"/>
        </w:rPr>
        <w:t xml:space="preserve"> (i) Base mounted drum hoists must meet the requirements in the following sections of ASME B30.7-2001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Sections 7-1.1 (“Load ratings and markings”).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Section 7-1.2 (“Construction”), except: 7-1.2.13 (“Operator's cab”); 7-1.2.15 (“Fire extinguishers”).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Section 7-1.3 (“Installation”).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Applicable terms in section 7-0.2 (“Definitions”).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Load tests for new hoists.</w:t>
      </w:r>
      <w:r w:rsidRPr="009F74C5">
        <w:rPr>
          <w:rFonts w:ascii="Arial" w:eastAsia="Times New Roman" w:hAnsi="Arial" w:cs="Arial"/>
          <w:sz w:val="20"/>
          <w:szCs w:val="20"/>
        </w:rPr>
        <w:t xml:space="preserve"> The employer must ensure that new hoists are load tested to a minimum of 110% of rated capacity, but not more than 125% of rated capacity, unless otherwise recommended by the manufacturer. This requirement is met where the manufacturer has conducted this testing.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Repaired or modified hoists.</w:t>
      </w:r>
      <w:r w:rsidRPr="009F74C5">
        <w:rPr>
          <w:rFonts w:ascii="Arial" w:eastAsia="Times New Roman" w:hAnsi="Arial" w:cs="Arial"/>
          <w:sz w:val="20"/>
          <w:szCs w:val="20"/>
        </w:rPr>
        <w:t xml:space="preserve"> Hoists that have had repairs, modifications or additions affecting their capacity or safe operation must be evaluated by a qualified person to determine if a load test is necessary. If it is, load testing must be conducted in accordance with paragraphs (e)(2)(ii) and (iv)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Load test procedure.</w:t>
      </w:r>
      <w:r w:rsidRPr="009F74C5">
        <w:rPr>
          <w:rFonts w:ascii="Arial" w:eastAsia="Times New Roman" w:hAnsi="Arial" w:cs="Arial"/>
          <w:sz w:val="20"/>
          <w:szCs w:val="20"/>
        </w:rPr>
        <w:t xml:space="preserve"> Load tests required by paragraphs (e)(2)(ii) or (e)(2)(iii) of this section must be conducted as follows: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test load must be hoisted a vertical distance to assure that the load is supported by the hoist and held by the hoist brake(s).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test load must be lowered, stopped and held with the brake(s).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hoist must not be used unless a competent person determines that the test has been passed.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Operational aids.</w:t>
      </w:r>
      <w:r w:rsidRPr="009F74C5">
        <w:rPr>
          <w:rFonts w:ascii="Arial" w:eastAsia="Times New Roman" w:hAnsi="Arial" w:cs="Arial"/>
          <w:sz w:val="20"/>
          <w:szCs w:val="20"/>
        </w:rPr>
        <w:t xml:space="preserve"> (1) Section 1926.1416 (Operational aids) applies, except for §1926.1416(d)(1) (Boom hoist limiting device), §1926.1416(e)(1) (Boom angle or radius indicator), and §1926.1416(e)(4) (Load weighing and similar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(2) </w:t>
      </w:r>
      <w:r w:rsidRPr="009F74C5">
        <w:rPr>
          <w:rFonts w:ascii="Arial" w:eastAsia="Times New Roman" w:hAnsi="Arial" w:cs="Arial"/>
          <w:i/>
          <w:iCs/>
          <w:sz w:val="20"/>
          <w:szCs w:val="20"/>
        </w:rPr>
        <w:t>Boom angle aid.</w:t>
      </w:r>
      <w:r w:rsidRPr="009F74C5">
        <w:rPr>
          <w:rFonts w:ascii="Arial" w:eastAsia="Times New Roman" w:hAnsi="Arial" w:cs="Arial"/>
          <w:sz w:val="20"/>
          <w:szCs w:val="20"/>
        </w:rPr>
        <w:t xml:space="preserve"> A boom angle indicator is not required but if the derrick is not equipped with a functioning one, the employer must ensure that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boom hoist cable must be marked with caution and stop marks. The stop marks must correspond to maximum and minimum allowable boom angles. The caution and stop marks must be in view of the operator, or a spotter who is in direct communication with the operator;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An electronic or other device that signals the operator in time to prevent the boom from moving past its maximum and minimum angles, or automatically prevents such movement, is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Load weight/capacity devices.</w:t>
      </w:r>
      <w:r w:rsidRPr="009F74C5">
        <w:rPr>
          <w:rFonts w:ascii="Arial" w:eastAsia="Times New Roman" w:hAnsi="Arial" w:cs="Arial"/>
          <w:sz w:val="20"/>
          <w:szCs w:val="20"/>
        </w:rPr>
        <w:t xml:space="preserve"> (i) Derricks manufactured more than one year after November 8, 2010 with a maximum rated capacity over 6,000 pounds must have at least one of the following: load weighing device, load moment indicator, rated capacity indicator, or rated capacity limiter. </w:t>
      </w:r>
      <w:r w:rsidRPr="009F74C5">
        <w:rPr>
          <w:rFonts w:ascii="Arial" w:eastAsia="Times New Roman" w:hAnsi="Arial" w:cs="Arial"/>
          <w:i/>
          <w:iCs/>
          <w:sz w:val="20"/>
          <w:szCs w:val="20"/>
        </w:rPr>
        <w:t>Temporary alternative measures:</w:t>
      </w:r>
      <w:r w:rsidRPr="009F74C5">
        <w:rPr>
          <w:rFonts w:ascii="Arial" w:eastAsia="Times New Roman" w:hAnsi="Arial" w:cs="Arial"/>
          <w:sz w:val="20"/>
          <w:szCs w:val="20"/>
        </w:rPr>
        <w:t xml:space="preserve">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§1926.1417(j) for additional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A load weight/capacity device that is not working properly must be repaired no later than 30 days after the deficiency occurs.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If the employer documents that it has ordered the necessary parts within 7 days of the occurrence of the deficiency, and the part is not received in time to complete the repair in 30 days, the repair must be completed within 7 days of receipt of the parts.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Post-assembly approval and testing—new or reinstalled derricks</w:t>
      </w:r>
      <w:r w:rsidRPr="009F74C5">
        <w:rPr>
          <w:rFonts w:ascii="Arial" w:eastAsia="Times New Roman" w:hAnsi="Arial" w:cs="Arial"/>
          <w:sz w:val="20"/>
          <w:szCs w:val="20"/>
        </w:rPr>
        <w:t xml:space="preserve">—(1) </w:t>
      </w:r>
      <w:r w:rsidRPr="009F74C5">
        <w:rPr>
          <w:rFonts w:ascii="Arial" w:eastAsia="Times New Roman" w:hAnsi="Arial" w:cs="Arial"/>
          <w:i/>
          <w:iCs/>
          <w:sz w:val="20"/>
          <w:szCs w:val="20"/>
        </w:rPr>
        <w:t>Anchorages.</w:t>
      </w:r>
      <w:r w:rsidRPr="009F74C5">
        <w:rPr>
          <w:rFonts w:ascii="Arial" w:eastAsia="Times New Roman" w:hAnsi="Arial" w:cs="Arial"/>
          <w:sz w:val="20"/>
          <w:szCs w:val="20"/>
        </w:rPr>
        <w:t xml:space="preserve"> (i) Anchorages, including the structure to which the derrick is attached (if applicable), must be approved by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using a rock or hairpin anchorage, the qualified person must determine if any special testing of the anchorage is needed. If so, it must be tested accordingly.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Functional test.</w:t>
      </w:r>
      <w:r w:rsidRPr="009F74C5">
        <w:rPr>
          <w:rFonts w:ascii="Arial" w:eastAsia="Times New Roman" w:hAnsi="Arial" w:cs="Arial"/>
          <w:sz w:val="20"/>
          <w:szCs w:val="20"/>
        </w:rPr>
        <w:t xml:space="preserve"> Prior to initial use, new or reinstalled derricks must be tested by a competent person with no hook load to verify proper operation. This test must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Lifting and lowering the hook(s) through the full range of hook travel.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Raising and lowering the boom through the full range of boom travel.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Swinging in each direction through the full range of swing.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Actuating the anti two-block and boom hoist limit devices (if provided).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Actuating locking, limiting and indicating devices (if provided).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Load test.</w:t>
      </w:r>
      <w:r w:rsidRPr="009F74C5">
        <w:rPr>
          <w:rFonts w:ascii="Arial" w:eastAsia="Times New Roman" w:hAnsi="Arial" w:cs="Arial"/>
          <w:sz w:val="20"/>
          <w:szCs w:val="20"/>
        </w:rPr>
        <w:t xml:space="preserve"> Prior to initial use, new or reinstalled derricks must be load tested by a competent person. The test load must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Test loads must be at least 100% and no more than 110% of the rated capacity, unless otherwise recommended by the manufacturer or qualified person, but in no event must the test load be less than the maximum anticipated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test must consist of: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(A) Hoisting the test load a few inches and holding to verify that the load is supported by the derrick and held by the hoist brake(s).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Swinging the derrick, if applicable, the full range of its swing, at the maximum allowable working radius for the test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Booming the derrick up and down within the allowable working radius for the test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Lowering, stopping and holding the load with the brake(s).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derrick must not be used unless the competent person determines that the test has been passed.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Documentation.</w:t>
      </w:r>
      <w:r w:rsidRPr="009F74C5">
        <w:rPr>
          <w:rFonts w:ascii="Arial" w:eastAsia="Times New Roman" w:hAnsi="Arial" w:cs="Arial"/>
          <w:sz w:val="20"/>
          <w:szCs w:val="20"/>
        </w:rPr>
        <w:t xml:space="preserve"> Tests conducted under this paragraph must be documented. The document must contain the date, test results and the name of the tester. The document must be retained until the derrick is re-tested or dismantled, whichever occurs first. All such documents must be available, during the applicable document retention period, to all persons who conduct inspections in accordance with §1926.1412.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Load testing repaired or modified derricks.</w:t>
      </w:r>
      <w:r w:rsidRPr="009F74C5">
        <w:rPr>
          <w:rFonts w:ascii="Arial" w:eastAsia="Times New Roman" w:hAnsi="Arial" w:cs="Arial"/>
          <w:sz w:val="20"/>
          <w:szCs w:val="20"/>
        </w:rPr>
        <w:t xml:space="preserve"> Derricks that have had repairs, modifications or additions affecting the derrick's capacity or safe operation must be evaluated by a qualified person to determine if a load test is necessary. If it is, load testing must be conducted and documented in accordance with paragraph (g)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Power failure procedures.</w:t>
      </w:r>
      <w:r w:rsidRPr="009F74C5">
        <w:rPr>
          <w:rFonts w:ascii="Arial" w:eastAsia="Times New Roman" w:hAnsi="Arial" w:cs="Arial"/>
          <w:sz w:val="20"/>
          <w:szCs w:val="20"/>
        </w:rPr>
        <w:t xml:space="preserve"> If power fails during operations, the derrick operator must safely stop operations. This must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Setting all brakes or locking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Moving all clutch and other power controls to the off position.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Use of winch heads.</w:t>
      </w:r>
      <w:r w:rsidRPr="009F74C5">
        <w:rPr>
          <w:rFonts w:ascii="Arial" w:eastAsia="Times New Roman" w:hAnsi="Arial" w:cs="Arial"/>
          <w:sz w:val="20"/>
          <w:szCs w:val="20"/>
        </w:rPr>
        <w:t xml:space="preserve"> (1) Ropes must not be handled on a winch head without the knowledge of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While a winch head is being used, the operator must be within reach of the power unit control lever.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Securing the boom.</w:t>
      </w:r>
      <w:r w:rsidRPr="009F74C5">
        <w:rPr>
          <w:rFonts w:ascii="Arial" w:eastAsia="Times New Roman" w:hAnsi="Arial" w:cs="Arial"/>
          <w:sz w:val="20"/>
          <w:szCs w:val="20"/>
        </w:rPr>
        <w:t xml:space="preserve"> (1) When the boom is being held in a fixed position, dogs, pawls, or other positive holding mechanisms on the boom hoist must be engaged.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When taken out of service for 30 days or more, the boom must be secured by one of the following methods: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Laid down.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Secured to a stationary member, as nearly under the head as possible, by attachment of a sling to the load block.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(iii) For guy derricks, lifted to a vertical position and secured to the mast.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For stiffleg derricks, secured against the stiffleg.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(n) The process of jumping the derrick must be supervised by the A/D director.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(o) Derrick operations must be supervised by a competent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(p) </w:t>
      </w:r>
      <w:r w:rsidRPr="009F74C5">
        <w:rPr>
          <w:rFonts w:ascii="Arial" w:eastAsia="Times New Roman" w:hAnsi="Arial" w:cs="Arial"/>
          <w:i/>
          <w:iCs/>
          <w:sz w:val="20"/>
          <w:szCs w:val="20"/>
        </w:rPr>
        <w:t>Inspections.</w:t>
      </w:r>
      <w:r w:rsidRPr="009F74C5">
        <w:rPr>
          <w:rFonts w:ascii="Arial" w:eastAsia="Times New Roman" w:hAnsi="Arial" w:cs="Arial"/>
          <w:sz w:val="20"/>
          <w:szCs w:val="20"/>
        </w:rPr>
        <w:t xml:space="preserve"> In addition to the requirements in §1926.1412, the following additional items must be included in the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Daily:</w:t>
      </w:r>
      <w:r w:rsidRPr="009F74C5">
        <w:rPr>
          <w:rFonts w:ascii="Arial" w:eastAsia="Times New Roman" w:hAnsi="Arial" w:cs="Arial"/>
          <w:sz w:val="20"/>
          <w:szCs w:val="20"/>
        </w:rPr>
        <w:t xml:space="preserve"> Guys for proper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Annual.</w:t>
      </w:r>
      <w:r w:rsidRPr="009F74C5">
        <w:rPr>
          <w:rFonts w:ascii="Arial" w:eastAsia="Times New Roman" w:hAnsi="Arial" w:cs="Arial"/>
          <w:sz w:val="20"/>
          <w:szCs w:val="20"/>
        </w:rPr>
        <w:t xml:space="preserve"> (i) Gudgeon pin for cracks, wear, and distortion.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Foundation supports for continued ability to sustain the imposed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(q) </w:t>
      </w:r>
      <w:r w:rsidRPr="009F74C5">
        <w:rPr>
          <w:rFonts w:ascii="Arial" w:eastAsia="Times New Roman" w:hAnsi="Arial" w:cs="Arial"/>
          <w:i/>
          <w:iCs/>
          <w:sz w:val="20"/>
          <w:szCs w:val="20"/>
        </w:rPr>
        <w:t>Qualification and Training.</w:t>
      </w:r>
      <w:r w:rsidRPr="009F74C5">
        <w:rPr>
          <w:rFonts w:ascii="Arial" w:eastAsia="Times New Roman" w:hAnsi="Arial" w:cs="Arial"/>
          <w:sz w:val="20"/>
          <w:szCs w:val="20"/>
        </w:rPr>
        <w:t xml:space="preserve"> The employer must train each operator of a derrick on the safe operation of equipment the individual will operate. Section 1926.1427 of this subpart (Operator qualification and certification) does not apply.</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89" w:anchor="_top" w:history="1">
        <w:r w:rsidR="00D70103">
          <w:rPr>
            <w:rFonts w:ascii="Arial" w:eastAsia="Times New Roman" w:hAnsi="Arial" w:cs="Arial"/>
            <w:noProof/>
            <w:color w:val="0000FF"/>
            <w:sz w:val="17"/>
            <w:szCs w:val="17"/>
          </w:rPr>
          <w:drawing>
            <wp:inline distT="0" distB="0" distL="0" distR="0" wp14:anchorId="415072ED" wp14:editId="4655C3D1">
              <wp:extent cx="152400" cy="152400"/>
              <wp:effectExtent l="0" t="0" r="0" b="0"/>
              <wp:docPr id="13" name="Picture 1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1" w:name="se29.8.1926_11437"/>
      <w:bookmarkEnd w:id="151"/>
      <w:r w:rsidRPr="009F74C5">
        <w:rPr>
          <w:rFonts w:ascii="Arial" w:eastAsia="Times New Roman" w:hAnsi="Arial" w:cs="Arial"/>
          <w:b/>
          <w:bCs/>
          <w:sz w:val="20"/>
          <w:szCs w:val="20"/>
        </w:rPr>
        <w:t>§1926.1437   Floating cranes/derricks and land cranes/derricks on barges.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This section contains supplemental requirements for floating cranes/derricks and land cranes/derricks on barges, pontoons, vessels or other means of flotation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vessel/flotation device). The sections of this subpart apply to floating cranes/derricks and land cranes/derricks on barges, pontoons, vessels or other means of flotation, unless specified otherwise. The requirements of this section do not apply when using jacked barges when the jacks are deployed to the river, lake, or sea bed and the barge is fully supported by the jacks.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General requirements.</w:t>
      </w:r>
      <w:r w:rsidRPr="009F74C5">
        <w:rPr>
          <w:rFonts w:ascii="Arial" w:eastAsia="Times New Roman" w:hAnsi="Arial" w:cs="Arial"/>
          <w:sz w:val="20"/>
          <w:szCs w:val="20"/>
        </w:rPr>
        <w:t xml:space="preserve"> The requirements in paragraphs (c) through (k) of this section apply to both floating cranes/derricks and land cranes/derricks on barges, pontoons, vessels or other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Work area control.</w:t>
      </w:r>
      <w:r w:rsidRPr="009F74C5">
        <w:rPr>
          <w:rFonts w:ascii="Arial" w:eastAsia="Times New Roman" w:hAnsi="Arial" w:cs="Arial"/>
          <w:sz w:val="20"/>
          <w:szCs w:val="20"/>
        </w:rPr>
        <w:t xml:space="preserve"> (1) The requirements of §1926.1424 (Work area control) apply, except for §1926.1424(a)(2)(ii).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must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Erect and maintain control lines, warning lines, railings or similar barriers to mark the boundaries of the hazard areas;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Clearly mark the hazard areas by a combination of warning signs (such as, “Danger—Swing/Crush Zone”) and high visibility markings on the equipment that identify the hazard areas. In addition, the employer must train each employee to understand what these markings signify.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Keeping clear of the load.</w:t>
      </w:r>
      <w:r w:rsidRPr="009F74C5">
        <w:rPr>
          <w:rFonts w:ascii="Arial" w:eastAsia="Times New Roman" w:hAnsi="Arial" w:cs="Arial"/>
          <w:sz w:val="20"/>
          <w:szCs w:val="20"/>
        </w:rPr>
        <w:t xml:space="preserve"> Section 1926.1425 does not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Additional safety devices.</w:t>
      </w:r>
      <w:r w:rsidRPr="009F74C5">
        <w:rPr>
          <w:rFonts w:ascii="Arial" w:eastAsia="Times New Roman" w:hAnsi="Arial" w:cs="Arial"/>
          <w:sz w:val="20"/>
          <w:szCs w:val="20"/>
        </w:rPr>
        <w:t xml:space="preserve"> In addition to the safety devices listed in §1926.1415, the following safety devices are required: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 Barge, pontoon, vessel or other means of flotation list and trim device. The safety device must be located in the cab or, when there is no cab, at the operator's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Positive equipment house lock.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Wind speed and direction indicator.</w:t>
      </w:r>
      <w:r w:rsidRPr="009F74C5">
        <w:rPr>
          <w:rFonts w:ascii="Arial" w:eastAsia="Times New Roman" w:hAnsi="Arial" w:cs="Arial"/>
          <w:sz w:val="20"/>
          <w:szCs w:val="20"/>
        </w:rPr>
        <w:t xml:space="preserve"> A competent person must determine if wind is a factor that needs to be considered; if wind needs to be considered, a wind speed and direction indicator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Operational aids.</w:t>
      </w:r>
      <w:r w:rsidRPr="009F74C5">
        <w:rPr>
          <w:rFonts w:ascii="Arial" w:eastAsia="Times New Roman" w:hAnsi="Arial" w:cs="Arial"/>
          <w:sz w:val="20"/>
          <w:szCs w:val="20"/>
        </w:rPr>
        <w:t xml:space="preserve"> (1) An anti two-block device is required only when hoisting personnel or hoisting over an occupied cofferdam or shaft.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Section 1926.1416(e)(4) (Load weighing and similar devices) does not apply to dragline, clamshell (grapple), magnet, drop ball, container handling, concrete bucket, and pile driving work performed under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(g) </w:t>
      </w:r>
      <w:r w:rsidRPr="009F74C5">
        <w:rPr>
          <w:rFonts w:ascii="Arial" w:eastAsia="Times New Roman" w:hAnsi="Arial" w:cs="Arial"/>
          <w:i/>
          <w:iCs/>
          <w:sz w:val="20"/>
          <w:szCs w:val="20"/>
        </w:rPr>
        <w:t>Accessibility of procedures applicable to equipment operation.</w:t>
      </w:r>
      <w:r w:rsidRPr="009F74C5">
        <w:rPr>
          <w:rFonts w:ascii="Arial" w:eastAsia="Times New Roman" w:hAnsi="Arial" w:cs="Arial"/>
          <w:sz w:val="20"/>
          <w:szCs w:val="20"/>
        </w:rPr>
        <w:t xml:space="preserve"> If the crane/derrick has a cab, the requirements of §1926.1417(c) apply. If the crane/derrick does not have a cab,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Rated capacities (load charts) are posted at the operator's station. If the operator's station is moveable (such as with pendant-controlled equipment), the load charts are posted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Procedures applicable to the operation of the equipment (other than load charts), recommended operating speeds, special hazard warnings, instructions and operators manual, must be readily available on board the vessel/flotation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Inspections.</w:t>
      </w:r>
      <w:r w:rsidRPr="009F74C5">
        <w:rPr>
          <w:rFonts w:ascii="Arial" w:eastAsia="Times New Roman" w:hAnsi="Arial" w:cs="Arial"/>
          <w:sz w:val="20"/>
          <w:szCs w:val="20"/>
        </w:rPr>
        <w:t xml:space="preserve"> In addition to meeting the requirements of §1926.1412 for inspecting the crane/derrick, the employer must inspect the barge, pontoons, vessel or other means of flotation used to support a floating crane/derrick or land crane/derrick, and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Shift.</w:t>
      </w:r>
      <w:r w:rsidRPr="009F74C5">
        <w:rPr>
          <w:rFonts w:ascii="Arial" w:eastAsia="Times New Roman" w:hAnsi="Arial" w:cs="Arial"/>
          <w:sz w:val="20"/>
          <w:szCs w:val="20"/>
        </w:rPr>
        <w:t xml:space="preserve"> For each shift inspection, the means used to secure/attach the equipment to the vessel/flotation device is in proper condition, including wear, corrosion, loose or missing fasteners, defective welds, and (when applicable) insufficient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Monthly.</w:t>
      </w:r>
      <w:r w:rsidRPr="009F74C5">
        <w:rPr>
          <w:rFonts w:ascii="Arial" w:eastAsia="Times New Roman" w:hAnsi="Arial" w:cs="Arial"/>
          <w:sz w:val="20"/>
          <w:szCs w:val="20"/>
        </w:rPr>
        <w:t xml:space="preserve"> For each monthly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means used to secure/attach the equipment to the vessel/flotation device is in proper condition, including inspection for wear, corrosion, and, when applicable, insufficient tension.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vessel/flotation device is not taking on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deckload is properly secured.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vessel/flotation device is watertight based on the condition of the chain lockers, storage, fuel compartments, and hatches.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firefighting and lifesaving equipment is in place and functional.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shift and monthly inspections are conducted by a competent person, and: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 If any deficiency is identified, an immediate determination is made by a qualified person whether the deficiency constitutes a hazard.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deficiency is determined to constitute a hazard, the vessel/flotation device is removed from service until the deficiency has been corrected.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(4) </w:t>
      </w:r>
      <w:r w:rsidRPr="009F74C5">
        <w:rPr>
          <w:rFonts w:ascii="Arial" w:eastAsia="Times New Roman" w:hAnsi="Arial" w:cs="Arial"/>
          <w:i/>
          <w:iCs/>
          <w:sz w:val="20"/>
          <w:szCs w:val="20"/>
        </w:rPr>
        <w:t>Annual: external vessel/flotation device inspection.</w:t>
      </w:r>
      <w:r w:rsidRPr="009F74C5">
        <w:rPr>
          <w:rFonts w:ascii="Arial" w:eastAsia="Times New Roman" w:hAnsi="Arial" w:cs="Arial"/>
          <w:sz w:val="20"/>
          <w:szCs w:val="20"/>
        </w:rPr>
        <w:t xml:space="preserve"> For each annual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external portion of the barge, pontoons, vessel or other means of flotation used is inspected annually by a qualified person who has expertise with respect to vessels/flotation devices and that the inspection includes the following items: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items identified in paragraphs (h)(1) (</w:t>
      </w:r>
      <w:r w:rsidRPr="009F74C5">
        <w:rPr>
          <w:rFonts w:ascii="Arial" w:eastAsia="Times New Roman" w:hAnsi="Arial" w:cs="Arial"/>
          <w:i/>
          <w:iCs/>
          <w:sz w:val="20"/>
          <w:szCs w:val="20"/>
        </w:rPr>
        <w:t>Shift</w:t>
      </w:r>
      <w:r w:rsidRPr="009F74C5">
        <w:rPr>
          <w:rFonts w:ascii="Arial" w:eastAsia="Times New Roman" w:hAnsi="Arial" w:cs="Arial"/>
          <w:sz w:val="20"/>
          <w:szCs w:val="20"/>
        </w:rPr>
        <w:t>) and (h)(2) (</w:t>
      </w:r>
      <w:r w:rsidRPr="009F74C5">
        <w:rPr>
          <w:rFonts w:ascii="Arial" w:eastAsia="Times New Roman" w:hAnsi="Arial" w:cs="Arial"/>
          <w:i/>
          <w:iCs/>
          <w:sz w:val="20"/>
          <w:szCs w:val="20"/>
        </w:rPr>
        <w:t>Monthly</w:t>
      </w:r>
      <w:r w:rsidRPr="009F74C5">
        <w:rPr>
          <w:rFonts w:ascii="Arial" w:eastAsia="Times New Roman" w:hAnsi="Arial" w:cs="Arial"/>
          <w:sz w:val="20"/>
          <w:szCs w:val="20"/>
        </w:rPr>
        <w:t>)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Cleats, bitts, chocks, fenders, capstans, ladders, and stanchions, for significant corrosion, wear, deterioration, or deformation that could impair the function of these items.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External evidence of leaks and structural damage; evidence of leaks and damage below the waterline may be determined through internal inspection of the vessel/flotation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Four-corner draft readings.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Firefighting equipment for serviceability.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Rescue skiffs, lifelines, work vests, life preservers and ring buoys are inspected for proper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If any deficiency is identified, an immediate determination is made by the qualified person whether the deficiency constitutes a hazard or, though not yet a hazard, needs to be monitored in the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If the qualified person determines that the deficiency constitutes a hazard, the vessel/flotation device is removed from service until it has been corrected.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requirements in §1926.1417(f).</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the qualified person determines that, though not presently a hazard, the deficiency needs to be monitored, the deficiency is checked in the monthly inspections.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(5) </w:t>
      </w:r>
      <w:r w:rsidRPr="009F74C5">
        <w:rPr>
          <w:rFonts w:ascii="Arial" w:eastAsia="Times New Roman" w:hAnsi="Arial" w:cs="Arial"/>
          <w:i/>
          <w:iCs/>
          <w:sz w:val="20"/>
          <w:szCs w:val="20"/>
        </w:rPr>
        <w:t>Four-year: internal vessel/flotation device inspection.</w:t>
      </w:r>
      <w:r w:rsidRPr="009F74C5">
        <w:rPr>
          <w:rFonts w:ascii="Arial" w:eastAsia="Times New Roman" w:hAnsi="Arial" w:cs="Arial"/>
          <w:sz w:val="20"/>
          <w:szCs w:val="20"/>
        </w:rPr>
        <w:t xml:space="preserve"> For each four-year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marine engineer, marine architect, licensed surveyor, or other qualified person who has expertise with respect to vessels/flotation devices surveys the internal portion of the barge, pontoons, vessel, or other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If the surveyor identifies a deficiency, an immediate determination is made by the surveyor as to whether the deficiency constitutes a hazard or, though not yet a hazard, needs to be monitored in the monthly or annual inspections, as appropriate.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If the surveyor determines that the deficiency constitutes a hazard, the vessel/flotation device is removed from service until it has been corrected.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If the surveyor determines that, though not presently a hazard, the deficiency needs to be monitored, the deficiency is checked in the monthly or annual inspections, as appropriate.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(6) </w:t>
      </w:r>
      <w:r w:rsidRPr="009F74C5">
        <w:rPr>
          <w:rFonts w:ascii="Arial" w:eastAsia="Times New Roman" w:hAnsi="Arial" w:cs="Arial"/>
          <w:i/>
          <w:iCs/>
          <w:sz w:val="20"/>
          <w:szCs w:val="20"/>
        </w:rPr>
        <w:t>Documentation.</w:t>
      </w:r>
      <w:r w:rsidRPr="009F74C5">
        <w:rPr>
          <w:rFonts w:ascii="Arial" w:eastAsia="Times New Roman" w:hAnsi="Arial" w:cs="Arial"/>
          <w:sz w:val="20"/>
          <w:szCs w:val="20"/>
        </w:rPr>
        <w:t xml:space="preserve"> The monthly and annual inspections required in paragraphs (h)(2) and (h)(4) of this section are documented in accordance with §§1926.1412 (e)(3) and 1926.1412(f)(7), respectively, and that the four-year inspection required in paragraph (h)(5) of this section is documented in accordance with §1926.1412(f)(7), except that the documentation for that inspection must be retained for a minimum of 4 years. All such documents must be made available, during the applicable document retention period, to all persons who conduct inspections in accordance with §1926.1412.</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Working with a diver.</w:t>
      </w:r>
      <w:r w:rsidRPr="009F74C5">
        <w:rPr>
          <w:rFonts w:ascii="Arial" w:eastAsia="Times New Roman" w:hAnsi="Arial" w:cs="Arial"/>
          <w:sz w:val="20"/>
          <w:szCs w:val="20"/>
        </w:rPr>
        <w:t xml:space="preserve"> The employer must meet the following additional requirements when working with a diver in the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If a crane/derrick is used to get a diver into and out of the water, it must not be used for any other purpose until the diver is back on board. When used for more than one diver, it must not be used for any other purpose until all divers are back on board.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operator must remain at the controls of the crane/derrick at all times.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In addition to the requirements in §§1926.1419 through 1926.1422 (Signals), either: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clear line of sight must be maintained between the operator and tender;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signals between the operator and tender must be transmitted electronically.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means used to secure the crane/derrick to the vessel/flotation device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paragraph (n)(5) of this section) must not allow any amount of shifting in any direction.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Manufacturer's specifications and limitations.</w:t>
      </w:r>
      <w:r w:rsidRPr="009F74C5">
        <w:rPr>
          <w:rFonts w:ascii="Arial" w:eastAsia="Times New Roman" w:hAnsi="Arial" w:cs="Arial"/>
          <w:sz w:val="20"/>
          <w:szCs w:val="20"/>
        </w:rPr>
        <w:t xml:space="preserve"> (1) The employer must ensure that the barge, pontoons, vessel, or other means of flotation must be capable of withstanding imposed environmental, operational and in-transit loads when used in accordance with the manufacturer's specifications and limitations.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employer must ensure that the manufacturer's specifications and limitations with respect to environmental, operational, and in-transit loads for a barge, pontoon, vessel, or other means of flotation are not exceeded or violated.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When the manufacturer's specifications and limitations are unavailable, the employer must ensure that the specifications and limitations established by a qualified person with respect to environmental, operational and in-transit loads for the barge, pontoons, vessel, or other means of flotation are not exceeded or violated.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(l)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(m) </w:t>
      </w:r>
      <w:r w:rsidRPr="009F74C5">
        <w:rPr>
          <w:rFonts w:ascii="Arial" w:eastAsia="Times New Roman" w:hAnsi="Arial" w:cs="Arial"/>
          <w:i/>
          <w:iCs/>
          <w:sz w:val="20"/>
          <w:szCs w:val="20"/>
        </w:rPr>
        <w:t>Floating cranes/derricks.</w:t>
      </w:r>
      <w:r w:rsidRPr="009F74C5">
        <w:rPr>
          <w:rFonts w:ascii="Arial" w:eastAsia="Times New Roman" w:hAnsi="Arial" w:cs="Arial"/>
          <w:sz w:val="20"/>
          <w:szCs w:val="20"/>
        </w:rPr>
        <w:t xml:space="preserve"> For equipment designed by the manufacturer (or employer) for marine use by permanent attachment to barges, pontoons, vessels or other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(1) </w:t>
      </w:r>
      <w:r w:rsidRPr="009F74C5">
        <w:rPr>
          <w:rFonts w:ascii="Arial" w:eastAsia="Times New Roman" w:hAnsi="Arial" w:cs="Arial"/>
          <w:i/>
          <w:iCs/>
          <w:sz w:val="20"/>
          <w:szCs w:val="20"/>
        </w:rPr>
        <w:t>Load charts.</w:t>
      </w:r>
      <w:r w:rsidRPr="009F74C5">
        <w:rPr>
          <w:rFonts w:ascii="Arial" w:eastAsia="Times New Roman" w:hAnsi="Arial" w:cs="Arial"/>
          <w:sz w:val="20"/>
          <w:szCs w:val="20"/>
        </w:rPr>
        <w:t xml:space="preserve"> (i) The employer must not exceed the manufacturer load charts applicable to operations on water. When using these charts, the employer must comply with all parameters and limitations (such as dynamic and environmental parameters) applicable to the use of the charts.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employer must ensure that load charts take into consideration a minimum wind speed of 40 miles per hour.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(2) The employer must ensure that the requirements for maximum allowable list and maximum allowable trim as specified in Table M1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M1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577"/>
        <w:gridCol w:w="1872"/>
        <w:gridCol w:w="1935"/>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Rated capacity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allowable list</w:t>
            </w:r>
            <w:r w:rsidRPr="009F74C5">
              <w:rPr>
                <w:rFonts w:ascii="Arial" w:eastAsia="Times New Roman" w:hAnsi="Arial" w:cs="Arial"/>
                <w:b/>
                <w:bCs/>
                <w:sz w:val="20"/>
                <w:szCs w:val="20"/>
              </w:rPr>
              <w:br/>
              <w:t>(degrees)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Maximum allowable trim</w:t>
            </w:r>
            <w:r w:rsidRPr="009F74C5">
              <w:rPr>
                <w:rFonts w:ascii="Arial" w:eastAsia="Times New Roman" w:hAnsi="Arial" w:cs="Arial"/>
                <w:b/>
                <w:bCs/>
                <w:sz w:val="20"/>
                <w:szCs w:val="20"/>
              </w:rPr>
              <w:br/>
              <w:t>(degrees)</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i/>
                <w:iCs/>
                <w:sz w:val="20"/>
                <w:szCs w:val="20"/>
              </w:rPr>
              <w:t>Equipment designed for marine use by permanent attachment (other than derricks):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25 tons or less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Over 25 tons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i/>
                <w:iCs/>
                <w:sz w:val="20"/>
                <w:szCs w:val="20"/>
              </w:rPr>
              <w:t>Derricks designed for marine use by permanent attachment: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Any rated capacity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10</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The employer must ensure that the equipment is stable under the conditions specified in Tables M2 and M3 of this section. (</w:t>
      </w:r>
      <w:r w:rsidRPr="009F74C5">
        <w:rPr>
          <w:rFonts w:ascii="Arial" w:eastAsia="Times New Roman" w:hAnsi="Arial" w:cs="Arial"/>
          <w:smallCaps/>
          <w:sz w:val="20"/>
          <w:szCs w:val="20"/>
        </w:rPr>
        <w:t>Note</w:t>
      </w:r>
      <w:r w:rsidRPr="009F74C5">
        <w:rPr>
          <w:rFonts w:ascii="Arial" w:eastAsia="Times New Roman" w:hAnsi="Arial" w:cs="Arial"/>
          <w:sz w:val="20"/>
          <w:szCs w:val="20"/>
        </w:rPr>
        <w:t>: Freeboard is the vertical distance between the water line and the main deck of the vessel.)</w:t>
      </w:r>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M2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3977"/>
        <w:gridCol w:w="2049"/>
        <w:gridCol w:w="3358"/>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Operated at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Wind speed</w:t>
            </w:r>
            <w:r w:rsidRPr="009F74C5">
              <w:rPr>
                <w:rFonts w:ascii="Arial" w:eastAsia="Times New Roman" w:hAnsi="Arial" w:cs="Arial"/>
                <w:b/>
                <w:bCs/>
                <w:sz w:val="20"/>
                <w:szCs w:val="20"/>
              </w:rPr>
              <w:br/>
              <w:t>(mph)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Minimum freeboard</w:t>
            </w:r>
            <w:r w:rsidRPr="009F74C5">
              <w:rPr>
                <w:rFonts w:ascii="Arial" w:eastAsia="Times New Roman" w:hAnsi="Arial" w:cs="Arial"/>
                <w:b/>
                <w:bCs/>
                <w:sz w:val="20"/>
                <w:szCs w:val="20"/>
              </w:rPr>
              <w:br/>
              <w:t>(ft)</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Rated capacity</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Rated capacity plus 25%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High boom, no load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60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2</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Table M3</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7622"/>
        <w:gridCol w:w="1762"/>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Operated at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Wind speed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i/>
                <w:iCs/>
                <w:sz w:val="20"/>
                <w:szCs w:val="20"/>
              </w:rPr>
              <w:t>For backward stability of the boom:</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High boom, no load, full back list (least stable condition)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90 mph.</w:t>
            </w:r>
          </w:p>
        </w:tc>
      </w:tr>
    </w:tbl>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If the equipment is employer-made, it must not be used unless the employer has documents demonstrating that the load charts and applicable parameters for use meet the requirements of paragraphs (m)(1) through (3) of this section. Such documents must be signed by a registered professional engineer who is a qualified person with respect to the design of this type of equipment (including the means of flotation).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employer must ensure that the barge, pontoons, vessel or other means of flotation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Are structurally sufficient to withstand the static and dynamic loads of the crane/derrick when operating at the crane/derrick's maximum rated capacity with all planned and actual deck loads and ballasted compartments.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Have a subdivided hull with one or more longitudinal watertight bulkheads for reducing the free-surface effect.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Have access to void compartments to allow for inspection and pumping.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(n) </w:t>
      </w:r>
      <w:r w:rsidRPr="009F74C5">
        <w:rPr>
          <w:rFonts w:ascii="Arial" w:eastAsia="Times New Roman" w:hAnsi="Arial" w:cs="Arial"/>
          <w:i/>
          <w:iCs/>
          <w:sz w:val="20"/>
          <w:szCs w:val="20"/>
        </w:rPr>
        <w:t>Land cranes/derricks.</w:t>
      </w:r>
      <w:r w:rsidRPr="009F74C5">
        <w:rPr>
          <w:rFonts w:ascii="Arial" w:eastAsia="Times New Roman" w:hAnsi="Arial" w:cs="Arial"/>
          <w:sz w:val="20"/>
          <w:szCs w:val="20"/>
        </w:rPr>
        <w:t xml:space="preserve"> For land cranes/derricks used on barges, pontoons, vessels or other means of flotation,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rated capacity of the equipment (including but not limited to modification of load charts) applicable for use on land is reduced to:</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Account for increased loading from list, trim, wave action, and wind.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Be applicable to a specified location(s) on the specific barge, pontoons, vessel or other means of flotation that will be used, under the environmental conditions expected and encountered.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conditions required in paragraphs (n)(3) and (n)(4) of this section are met.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rated capacity modification required in paragraph (n)(1) of this section is performed by the equipment manufacturer, or a qualified person who has expertise with respect to both land crane/derrick capacity and the stability of vessels/flotation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For list and trim.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maximum allowable list and the maximum allowable trim for the barge, pontoon, vessel or other means of flotation must not exceed the amount necessary to ensure that the conditions in paragraph (n)(4) of this section are met. In addition, the maximum allowable list and the maximum allowable trim does not exceed the least of the following: 5 degrees, the amount specified by the crane/derrick manufacturer, or, when, an amount is not so specified, the amount specified by the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maximum allowable list and the maximum allowable trim for the land crane/derrick does not exceed the amount specified by the crane/derrick manufacturer, or, when, an amount is not so specified, the amount specified by the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For the following 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All deck surfaces of the barge, pontoons, vessel or other means of flotation used are above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entire bottom area of the barge, pontoons, vessel or other means of flotation used is submerged.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Physical attachment, corralling, rails system and centerline cable system meet the requirements in Option (1), Option (2), Option (3), or Option (4) of this section, and that whichever option is used also meets the requirements of paragraph (n)(5)(v)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 </w:t>
      </w:r>
      <w:r w:rsidRPr="009F74C5">
        <w:rPr>
          <w:rFonts w:ascii="Arial" w:eastAsia="Times New Roman" w:hAnsi="Arial" w:cs="Arial"/>
          <w:i/>
          <w:iCs/>
          <w:sz w:val="20"/>
          <w:szCs w:val="20"/>
        </w:rPr>
        <w:t>Option (1)—Physical attachment.</w:t>
      </w:r>
      <w:r w:rsidRPr="009F74C5">
        <w:rPr>
          <w:rFonts w:ascii="Arial" w:eastAsia="Times New Roman" w:hAnsi="Arial" w:cs="Arial"/>
          <w:sz w:val="20"/>
          <w:szCs w:val="20"/>
        </w:rPr>
        <w:t xml:space="preserve"> The crane/derrick is physically attached to the barge, pontoons, vessel or other means of flotation. Methods of physical attachment include crossed-cable systems attached to the crane/derrick and vessel/flotation device, bolting or welding the crane/derrick to the vessel/flotation device, strapping the crane/derrick to the vessel/flotation device with chains, or other methods of physical attachment.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(ii) </w:t>
      </w:r>
      <w:r w:rsidRPr="009F74C5">
        <w:rPr>
          <w:rFonts w:ascii="Arial" w:eastAsia="Times New Roman" w:hAnsi="Arial" w:cs="Arial"/>
          <w:i/>
          <w:iCs/>
          <w:sz w:val="20"/>
          <w:szCs w:val="20"/>
        </w:rPr>
        <w:t>Option (2)—Corralling.</w:t>
      </w:r>
      <w:r w:rsidRPr="009F74C5">
        <w:rPr>
          <w:rFonts w:ascii="Arial" w:eastAsia="Times New Roman" w:hAnsi="Arial" w:cs="Arial"/>
          <w:sz w:val="20"/>
          <w:szCs w:val="20"/>
        </w:rPr>
        <w:t xml:space="preserve"> The crane/derrick is prevented from shifting by installing barricade restraints (</w:t>
      </w:r>
      <w:r w:rsidRPr="009F74C5">
        <w:rPr>
          <w:rFonts w:ascii="Arial" w:eastAsia="Times New Roman" w:hAnsi="Arial" w:cs="Arial"/>
          <w:i/>
          <w:iCs/>
          <w:sz w:val="20"/>
          <w:szCs w:val="20"/>
        </w:rPr>
        <w:t>i.e.,</w:t>
      </w:r>
      <w:r w:rsidRPr="009F74C5">
        <w:rPr>
          <w:rFonts w:ascii="Arial" w:eastAsia="Times New Roman" w:hAnsi="Arial" w:cs="Arial"/>
          <w:sz w:val="20"/>
          <w:szCs w:val="20"/>
        </w:rPr>
        <w:t xml:space="preserve"> a corralling system). Employers must ensure that corralling systems do not allow the equipment to shift by any amount of shifting in any direction.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w:t>
      </w:r>
      <w:r w:rsidRPr="009F74C5">
        <w:rPr>
          <w:rFonts w:ascii="Arial" w:eastAsia="Times New Roman" w:hAnsi="Arial" w:cs="Arial"/>
          <w:i/>
          <w:iCs/>
          <w:sz w:val="20"/>
          <w:szCs w:val="20"/>
        </w:rPr>
        <w:t>Option (3)—Rails.</w:t>
      </w:r>
      <w:r w:rsidRPr="009F74C5">
        <w:rPr>
          <w:rFonts w:ascii="Arial" w:eastAsia="Times New Roman" w:hAnsi="Arial" w:cs="Arial"/>
          <w:sz w:val="20"/>
          <w:szCs w:val="20"/>
        </w:rPr>
        <w:t xml:space="preserve"> The crane/derrick must be prevented from shifting by being mounted on a rail system. Employers must ensure that rail clamps and rail stops are used unless the system is designed to prevent movement during operation by other means.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(iv) </w:t>
      </w:r>
      <w:r w:rsidRPr="009F74C5">
        <w:rPr>
          <w:rFonts w:ascii="Arial" w:eastAsia="Times New Roman" w:hAnsi="Arial" w:cs="Arial"/>
          <w:i/>
          <w:iCs/>
          <w:sz w:val="20"/>
          <w:szCs w:val="20"/>
        </w:rPr>
        <w:t>Option (4)—Centerline cable system.</w:t>
      </w:r>
      <w:r w:rsidRPr="009F74C5">
        <w:rPr>
          <w:rFonts w:ascii="Arial" w:eastAsia="Times New Roman" w:hAnsi="Arial" w:cs="Arial"/>
          <w:sz w:val="20"/>
          <w:szCs w:val="20"/>
        </w:rPr>
        <w:t xml:space="preserve"> The crane/derrick is prevented from shifting by being mounted to a wire rope system. The employer must ensure that the wire rope system meets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wire rope and attachments are of sufficient size and strength to support the side load of crane/derrick.</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wire rope is attached physically to the vessel/flotation device.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The wire rope is attached to the crane/derrick by appropriate attachment methods (such as shackles or sheaves) on the undercarriage, and that the method used will allow the crew to secure the crane/derrick from movement during operation and to move the crane/derrick longitudinally along the vessel/flotation device for repositioning.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Means are installed to prevent the crane/derrick from passing the forward or aft end of the wire rope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(E) The crane/derrick is secured from movement during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systems/means used to comply with Option (1), Option (2), Option (3), or Option (4) of this section are designed by a marine engineer, registered professional engineer familiar with floating crane/derrick design, or qualified person familiar with floating crane/derrick design.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(6) </w:t>
      </w:r>
      <w:r w:rsidRPr="009F74C5">
        <w:rPr>
          <w:rFonts w:ascii="Arial" w:eastAsia="Times New Roman" w:hAnsi="Arial" w:cs="Arial"/>
          <w:i/>
          <w:iCs/>
          <w:sz w:val="20"/>
          <w:szCs w:val="20"/>
        </w:rPr>
        <w:t>Exception.</w:t>
      </w:r>
      <w:r w:rsidRPr="009F74C5">
        <w:rPr>
          <w:rFonts w:ascii="Arial" w:eastAsia="Times New Roman" w:hAnsi="Arial" w:cs="Arial"/>
          <w:sz w:val="20"/>
          <w:szCs w:val="20"/>
        </w:rPr>
        <w:t xml:space="preserve"> For mobile auxiliary cranes used on the deck of a floating crane/derrick, the requirement specified by paragraph (n)(5) of this section to use Option (1), Option (2), Option (3), or Option (4) does not apply when the employer demonstrates implementation of a plan and procedures that meet the following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 marine engineer or registered professional engineer familiar with floating crane/derrick design develops and signs a written plan for the use of the mobile auxiliary crane.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plan is designed so that the applicable requirements of this section are met despite the position, travel, operation, and lack of physical attachment (or corralling, use of rails or cable system) of the mobile auxiliary crane.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plan specifies the areas of the deck where the mobile auxiliary crane is permitted to be positioned, travel, and operate, and the parameters and limitations of such movements and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The deck is marked to identify the permitted areas for positioning, travel, and operation.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plan specifies the dynamic and environmental conditions that must be present for use of the plan.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(vi) If the dynamic and environmental conditions in paragraph (n)(6)(v) of this section are exceeded, the mobile auxiliary crane is attached physically or corralled in accordance with Option (1), Option (2) or Option (4) of paragraph (n)(5)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The barge, pontoons, vessel or other means of flotation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Are structurally sufficient to withstand the static and dynamic loads of the crane/derrick when operating at the crane/derrick's maximum rated capacity with all anticipated deck loads and ballasted compartments.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Have a subdivided hull with one or more longitudinal watertight bulkheads for reducing the free surface effect.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Have access to void compartments to allow for inspection and pumping.</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0" w:anchor="_top" w:history="1">
        <w:r w:rsidR="00D70103">
          <w:rPr>
            <w:rFonts w:ascii="Arial" w:eastAsia="Times New Roman" w:hAnsi="Arial" w:cs="Arial"/>
            <w:noProof/>
            <w:color w:val="0000FF"/>
            <w:sz w:val="17"/>
            <w:szCs w:val="17"/>
          </w:rPr>
          <w:drawing>
            <wp:inline distT="0" distB="0" distL="0" distR="0" wp14:anchorId="6345FAF8" wp14:editId="0EB9F854">
              <wp:extent cx="152400" cy="152400"/>
              <wp:effectExtent l="0" t="0" r="0" b="0"/>
              <wp:docPr id="12" name="Picture 1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2" w:name="se29.8.1926_11438"/>
      <w:bookmarkEnd w:id="152"/>
      <w:r w:rsidRPr="009F74C5">
        <w:rPr>
          <w:rFonts w:ascii="Arial" w:eastAsia="Times New Roman" w:hAnsi="Arial" w:cs="Arial"/>
          <w:b/>
          <w:bCs/>
          <w:sz w:val="20"/>
          <w:szCs w:val="20"/>
        </w:rPr>
        <w:t>§1926.1438   Overhead &amp; gantry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(a) </w:t>
      </w:r>
      <w:r w:rsidRPr="009F74C5">
        <w:rPr>
          <w:rFonts w:ascii="Arial" w:eastAsia="Times New Roman" w:hAnsi="Arial" w:cs="Arial"/>
          <w:i/>
          <w:iCs/>
          <w:sz w:val="20"/>
          <w:szCs w:val="20"/>
        </w:rPr>
        <w:t>Permanently installed overhead and gantry cranes.</w:t>
      </w:r>
      <w:r w:rsidRPr="009F74C5">
        <w:rPr>
          <w:rFonts w:ascii="Arial" w:eastAsia="Times New Roman" w:hAnsi="Arial" w:cs="Arial"/>
          <w:sz w:val="20"/>
          <w:szCs w:val="20"/>
        </w:rPr>
        <w:t xml:space="preserve"> The requirements of §1910.179, except for §1910.179(b)(1), and not the requirements of this subpart CC, apply to the following equipment when used in construction and permanently installed in a facility: overhead and gantry cranes, including semigantry, cantilever gantry, wall cranes, storage bridge cranes, and others having the same fundamental characteristics.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Overhead and gantry cranes that are not permanently installed in a facility.</w:t>
      </w:r>
      <w:r w:rsidRPr="009F74C5">
        <w:rPr>
          <w:rFonts w:ascii="Arial" w:eastAsia="Times New Roman" w:hAnsi="Arial" w:cs="Arial"/>
          <w:sz w:val="20"/>
          <w:szCs w:val="20"/>
        </w:rPr>
        <w:t xml:space="preserve"> (1) This paragraph applies to the following equipment when used in construction and not permanently installed in a facility: Overhead and gantry cranes, overhead/bridge cranes, semigantry, cantilever gantry, wall cranes, storage bridge cranes, launching gantry cranes, and similar equipment having the same fundamental characteristics, irrespective of whether it travels on tracks, wheels, or other means.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The following requirements apply to equipment identified in paragraph (b)(1) of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Sections 1926.1400 through 1926.1414; §§1926.1417 through 1926.1425; §1926.1426(d), §§1926.1427 through 1926.1434; §1926.1437, §1926.1439, and §1926.1441.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The following portions of §1910.179:</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Paragraphs (b)(5),(6),(7); (e)(1),(3),(5),(6); (f)(1),(4); (g); (h)(1),(3); (k); and (n) of §1910.179.</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The definitions in §1910.179(a) except for “hoist” and “load.” For those words, the definitions in §1926.1401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Section 1910.179(b)(2), but only where the equipment identified in paragraph (b)(1) of this section (§1926.1438) was manufactured before September 19, 2001.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(iii) For equipment manufactured on or after September 19, 2001, the following sections of ASME B30.2-2005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 apply: 2-1.3.1; 2-1.3.2; 2-1.4.1; 2-1.6; 2-1.7.2; 2-1.8.2; 2-1.9.1; 2-1.9.2; 2-1.11; 2-1.12.2; 2-1.13.7; 2-1.14.2; 2-1.14.3; 2-1.14.5; 2-1.15.; 2-2.2.2; 2-3.2.1.1. In addition, 2-3.5 applies, except in 2-3.5.1(b), “29 CFR 1910.147” is substituted for “ANSI Z244.1.”</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1" w:anchor="_top" w:history="1">
        <w:r w:rsidR="00D70103">
          <w:rPr>
            <w:rFonts w:ascii="Arial" w:eastAsia="Times New Roman" w:hAnsi="Arial" w:cs="Arial"/>
            <w:noProof/>
            <w:color w:val="0000FF"/>
            <w:sz w:val="17"/>
            <w:szCs w:val="17"/>
          </w:rPr>
          <w:drawing>
            <wp:inline distT="0" distB="0" distL="0" distR="0" wp14:anchorId="0F786824" wp14:editId="193FD458">
              <wp:extent cx="152400" cy="152400"/>
              <wp:effectExtent l="0" t="0" r="0" b="0"/>
              <wp:docPr id="11" name="Picture 11"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3" w:name="se29.8.1926_11439"/>
      <w:bookmarkEnd w:id="153"/>
      <w:r w:rsidRPr="009F74C5">
        <w:rPr>
          <w:rFonts w:ascii="Arial" w:eastAsia="Times New Roman" w:hAnsi="Arial" w:cs="Arial"/>
          <w:b/>
          <w:bCs/>
          <w:sz w:val="20"/>
          <w:szCs w:val="20"/>
        </w:rPr>
        <w:lastRenderedPageBreak/>
        <w:t>§1926.1439   Dedicated pile drivers.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provisions of subpart CC apply to dedicated pile drivers, except as specified in this section.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Section 1926.1416(d)(3) (Anti two-blocking device) does not apply.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Section 1926.1416(e)(4) (Load weighing and similar devices) applies only to dedicated pile drivers manufactured after November 8, 2011.</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In §1926.1433, only §§1926.1433(d) and (e) apply to dedicated pile drivers.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2" w:anchor="_top" w:history="1">
        <w:r w:rsidR="00D70103">
          <w:rPr>
            <w:rFonts w:ascii="Arial" w:eastAsia="Times New Roman" w:hAnsi="Arial" w:cs="Arial"/>
            <w:noProof/>
            <w:color w:val="0000FF"/>
            <w:sz w:val="17"/>
            <w:szCs w:val="17"/>
          </w:rPr>
          <w:drawing>
            <wp:inline distT="0" distB="0" distL="0" distR="0" wp14:anchorId="40C1EE57" wp14:editId="6AE14630">
              <wp:extent cx="152400" cy="152400"/>
              <wp:effectExtent l="0" t="0" r="0" b="0"/>
              <wp:docPr id="10" name="Picture 10"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4" w:name="se29.8.1926_11440"/>
      <w:bookmarkEnd w:id="154"/>
      <w:r w:rsidRPr="009F74C5">
        <w:rPr>
          <w:rFonts w:ascii="Arial" w:eastAsia="Times New Roman" w:hAnsi="Arial" w:cs="Arial"/>
          <w:b/>
          <w:bCs/>
          <w:sz w:val="20"/>
          <w:szCs w:val="20"/>
        </w:rPr>
        <w:t>§1926.1440   Sideboom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provisions of this standard apply, except §1926.1402 (Ground conditions), §1926.1415 (Safety devices), §1926.1416 (Operational aids), and §1926.1427 (Operator qualification and certification).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Section 1926.1426 (Free fall and controlled load lowering) applies, except §1926.1426(a)(2)(i). Sideboom cranes in which the boom is designed to free fall (live boom) are permitted only if manufactured prior to November 8, 2010.</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Sideboom cranes mounted on wheel or crawler tractors must meet all of the following requirements of ASME B30.14-2004 (incorporated by reference,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Section 14-1.1 (“Load Ratings”).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Section 14-1.3 (“Side Boom Tractor Travel”).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Section 14-1.5 (“Ropes and Reeving Accessories”).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Section 14-1.7.1 (“Booms”).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Section 14-1.7.2 (“General Requirements—Exhaust Gases”).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Section 14-1.7.3 (“General Requirements—Stabilizers (Wheel-Type Side Boom Tractors)”).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Section 14-1.7.4 (“General Requirements—Welded Construction”).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Section 14-1.7.6 (“General Requirements—Clutch and Brake Protection”).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Section 14-2.2.2 (“Testing—Rated Load Test”), except that it applies only to equipment that has been altered or modified.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In section 14-3.1.2 (“Operator Qualifications”), paragraph (a), except the phrase “When required by law.”</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In section 14-3.1.3 (“Operating Practices”), paragraphs (e), (f)(1)-(f)(4), (f)(6), (f)(7), (h), and (i).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In section 14-3.2.3 (“Moving the Load”), paragraphs (j), (l), and (m).</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3" w:anchor="_top" w:history="1">
        <w:r w:rsidR="00D70103">
          <w:rPr>
            <w:rFonts w:ascii="Arial" w:eastAsia="Times New Roman" w:hAnsi="Arial" w:cs="Arial"/>
            <w:noProof/>
            <w:color w:val="0000FF"/>
            <w:sz w:val="17"/>
            <w:szCs w:val="17"/>
          </w:rPr>
          <w:drawing>
            <wp:inline distT="0" distB="0" distL="0" distR="0" wp14:anchorId="5F4E7D52" wp14:editId="612AA38E">
              <wp:extent cx="152400" cy="152400"/>
              <wp:effectExtent l="0" t="0" r="0" b="0"/>
              <wp:docPr id="9" name="Picture 9"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5" w:name="se29.8.1926_11441"/>
      <w:bookmarkEnd w:id="155"/>
      <w:r w:rsidRPr="009F74C5">
        <w:rPr>
          <w:rFonts w:ascii="Arial" w:eastAsia="Times New Roman" w:hAnsi="Arial" w:cs="Arial"/>
          <w:b/>
          <w:bCs/>
          <w:sz w:val="20"/>
          <w:szCs w:val="20"/>
        </w:rPr>
        <w:t>§1926.1441   Equipment with a rated hoisting/lifting capacity of 2,000 pounds or less.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following paragraphs of this section specify requirements for employers using equipment with a maximum rated hoisting/lifting capacity of 2,000 pounds or less.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The employer using this equipment must comply with the following provisions of this subpart: §1926.1400 (Scope); §1926.1401 (Definitions); §1926.1402 (Ground conditions); §1926.1403 (Assembly/disassembly—selection of manufacturer or employer procedures); §1926.1406 (Assembly/disassembly—employer procedures); §§1926.1407 through 1926.1411 (Power line safety); §1926.1412(c) (</w:t>
      </w:r>
      <w:r w:rsidRPr="009F74C5">
        <w:rPr>
          <w:rFonts w:ascii="Arial" w:eastAsia="Times New Roman" w:hAnsi="Arial" w:cs="Arial"/>
          <w:i/>
          <w:iCs/>
          <w:sz w:val="20"/>
          <w:szCs w:val="20"/>
        </w:rPr>
        <w:t>Post-assembly</w:t>
      </w:r>
      <w:r w:rsidRPr="009F74C5">
        <w:rPr>
          <w:rFonts w:ascii="Arial" w:eastAsia="Times New Roman" w:hAnsi="Arial" w:cs="Arial"/>
          <w:sz w:val="20"/>
          <w:szCs w:val="20"/>
        </w:rPr>
        <w:t>); §§1926.1413 through 1926.1414 (Wire rope); §1926.1418 (Authority to stop operation); §§1926.1419 through 1926.1422 (Signals); §1926.1423 (Fall protection); §1926.1425 (Keeping clear of the load) (except for §1926.1425(c)(3) (qualified rigger)); §1926.1426 (Free fall and controlled load lowering); §1926.1432 (Multiple crane/derrick lifts—supplemental requirements); §1926.1434 (Equipment modifications); §1926.1435 (Tower cranes); §1926.1436 (Derricks); §1926.1437 (Floating cranes/derricks and land cranes/derricks on barges); §1926.1438 (Overhead &amp; gantry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(b) </w:t>
      </w:r>
      <w:r w:rsidRPr="009F74C5">
        <w:rPr>
          <w:rFonts w:ascii="Arial" w:eastAsia="Times New Roman" w:hAnsi="Arial" w:cs="Arial"/>
          <w:i/>
          <w:iCs/>
          <w:sz w:val="20"/>
          <w:szCs w:val="20"/>
        </w:rPr>
        <w:t>Assembly/disassembly.</w:t>
      </w:r>
      <w:r w:rsidRPr="009F74C5">
        <w:rPr>
          <w:rFonts w:ascii="Arial" w:eastAsia="Times New Roman" w:hAnsi="Arial" w:cs="Arial"/>
          <w:sz w:val="20"/>
          <w:szCs w:val="20"/>
        </w:rPr>
        <w:t xml:space="preserve"> (1) In addition to compliance with §§1926.1403 (Assembly/disassembly—selection of manufacturer or employer procedures) and 1926.1406 (Assembly/disassembly—employer procedures), the employer must also comply with §1926.1441(b)(2)-(3).</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Components and configuration.</w:t>
      </w:r>
      <w:r w:rsidRPr="009F74C5">
        <w:rPr>
          <w:rFonts w:ascii="Arial" w:eastAsia="Times New Roman" w:hAnsi="Arial" w:cs="Arial"/>
          <w:sz w:val="20"/>
          <w:szCs w:val="20"/>
        </w:rPr>
        <w:t xml:space="preserve">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selection of components, and the configuration of the equipment, that affect the capacity or safe operation of the equipment complies with either the: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Manufacturer instructions, recommendations, limitations, and specifications. When these documents and information are unavailable, a registered professional engineer familiar with the type of equipment involved must approve, in writing, the selection and configuration of components; 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Approved modifications that meet the requirements of §1926.1434 (Equipment modifications).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(ii) </w:t>
      </w:r>
      <w:r w:rsidRPr="009F74C5">
        <w:rPr>
          <w:rFonts w:ascii="Arial" w:eastAsia="Times New Roman" w:hAnsi="Arial" w:cs="Arial"/>
          <w:i/>
          <w:iCs/>
          <w:sz w:val="20"/>
          <w:szCs w:val="20"/>
        </w:rPr>
        <w:t>Post-assembly inspection.</w:t>
      </w:r>
      <w:r w:rsidRPr="009F74C5">
        <w:rPr>
          <w:rFonts w:ascii="Arial" w:eastAsia="Times New Roman" w:hAnsi="Arial" w:cs="Arial"/>
          <w:sz w:val="20"/>
          <w:szCs w:val="20"/>
        </w:rPr>
        <w:t xml:space="preserve"> Upon completion of assembly, the equipment is inspected to ensure that it is in compliance with paragraph (b)(2)(i) of this section (</w:t>
      </w:r>
      <w:r w:rsidRPr="009F74C5">
        <w:rPr>
          <w:rFonts w:ascii="Arial" w:eastAsia="Times New Roman" w:hAnsi="Arial" w:cs="Arial"/>
          <w:i/>
          <w:iCs/>
          <w:sz w:val="20"/>
          <w:szCs w:val="20"/>
        </w:rPr>
        <w:t>see</w:t>
      </w:r>
      <w:r w:rsidRPr="009F74C5">
        <w:rPr>
          <w:rFonts w:ascii="Arial" w:eastAsia="Times New Roman" w:hAnsi="Arial" w:cs="Arial"/>
          <w:sz w:val="20"/>
          <w:szCs w:val="20"/>
        </w:rPr>
        <w:t xml:space="preserve"> §1926.1412(c) for post-assembly inspection requirements).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(3) </w:t>
      </w:r>
      <w:r w:rsidRPr="009F74C5">
        <w:rPr>
          <w:rFonts w:ascii="Arial" w:eastAsia="Times New Roman" w:hAnsi="Arial" w:cs="Arial"/>
          <w:i/>
          <w:iCs/>
          <w:sz w:val="20"/>
          <w:szCs w:val="20"/>
        </w:rPr>
        <w:t>Manufacturer prohibitions.</w:t>
      </w:r>
      <w:r w:rsidRPr="009F74C5">
        <w:rPr>
          <w:rFonts w:ascii="Arial" w:eastAsia="Times New Roman" w:hAnsi="Arial" w:cs="Arial"/>
          <w:sz w:val="20"/>
          <w:szCs w:val="20"/>
        </w:rPr>
        <w:t xml:space="preserve"> The employer must comply with applicable manufacturer prohibitions.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(c) </w:t>
      </w:r>
      <w:r w:rsidRPr="009F74C5">
        <w:rPr>
          <w:rFonts w:ascii="Arial" w:eastAsia="Times New Roman" w:hAnsi="Arial" w:cs="Arial"/>
          <w:i/>
          <w:iCs/>
          <w:sz w:val="20"/>
          <w:szCs w:val="20"/>
        </w:rPr>
        <w:t>Operation—procedures.</w:t>
      </w:r>
      <w:r w:rsidRPr="009F74C5">
        <w:rPr>
          <w:rFonts w:ascii="Arial" w:eastAsia="Times New Roman" w:hAnsi="Arial" w:cs="Arial"/>
          <w:sz w:val="20"/>
          <w:szCs w:val="20"/>
        </w:rPr>
        <w:t xml:space="preserve"> (1) The employer must comply with all manufacturer procedures applicable to the operational functions of the equipment, including its use with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Unavailable operation procedures.</w:t>
      </w:r>
      <w:r w:rsidRPr="009F74C5">
        <w:rPr>
          <w:rFonts w:ascii="Arial" w:eastAsia="Times New Roman" w:hAnsi="Arial" w:cs="Arial"/>
          <w:sz w:val="20"/>
          <w:szCs w:val="20"/>
        </w:rPr>
        <w:t xml:space="preserve"> The employer must: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When the manufacturer's procedures are unavailable, develop, and ensure compliance with, all procedures necessary for the safe operation of the equipment and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Ensure that procedures for the operational controls are developed by a qualified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Ensure that procedures related to the capacity of the equipment are developed and signed by a registered professional engineer familiar with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 xml:space="preserve">(3) </w:t>
      </w:r>
      <w:r w:rsidRPr="009F74C5">
        <w:rPr>
          <w:rFonts w:ascii="Arial" w:eastAsia="Times New Roman" w:hAnsi="Arial" w:cs="Arial"/>
          <w:i/>
          <w:iCs/>
          <w:sz w:val="20"/>
          <w:szCs w:val="20"/>
        </w:rPr>
        <w:t>Accessibility.</w:t>
      </w:r>
      <w:r w:rsidRPr="009F74C5">
        <w:rPr>
          <w:rFonts w:ascii="Arial" w:eastAsia="Times New Roman" w:hAnsi="Arial" w:cs="Arial"/>
          <w:sz w:val="20"/>
          <w:szCs w:val="20"/>
        </w:rPr>
        <w:t xml:space="preserve"> The employer must ensure that: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load chart is available to the operator at the control station;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Procedures applicable to the operation of the equipment, recommended operating speeds, special hazard warnings, instructions, and operator's manual are readily available for use by the operator.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When rated capacities are available at the control station only in electronic form and a failure occurs that makes the rated capacities inaccessible, the operator immediately ceases operations or follows safe shut-down procedures until the rated capacities (in electronic or other form) are available.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(d) </w:t>
      </w:r>
      <w:r w:rsidRPr="009F74C5">
        <w:rPr>
          <w:rFonts w:ascii="Arial" w:eastAsia="Times New Roman" w:hAnsi="Arial" w:cs="Arial"/>
          <w:i/>
          <w:iCs/>
          <w:sz w:val="20"/>
          <w:szCs w:val="20"/>
        </w:rPr>
        <w:t>Safety devices and operational aids.</w:t>
      </w:r>
      <w:r w:rsidRPr="009F74C5">
        <w:rPr>
          <w:rFonts w:ascii="Arial" w:eastAsia="Times New Roman" w:hAnsi="Arial" w:cs="Arial"/>
          <w:sz w:val="20"/>
          <w:szCs w:val="20"/>
        </w:rPr>
        <w:t xml:space="preserve"> (1) The employer must ensure that safety devices and operational aids that are part of the original equipment are maintained in accordance with manufacturer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(2) </w:t>
      </w:r>
      <w:r w:rsidRPr="009F74C5">
        <w:rPr>
          <w:rFonts w:ascii="Arial" w:eastAsia="Times New Roman" w:hAnsi="Arial" w:cs="Arial"/>
          <w:i/>
          <w:iCs/>
          <w:sz w:val="20"/>
          <w:szCs w:val="20"/>
        </w:rPr>
        <w:t>Anti two-blocking.</w:t>
      </w:r>
      <w:r w:rsidRPr="009F74C5">
        <w:rPr>
          <w:rFonts w:ascii="Arial" w:eastAsia="Times New Roman" w:hAnsi="Arial" w:cs="Arial"/>
          <w:sz w:val="20"/>
          <w:szCs w:val="20"/>
        </w:rPr>
        <w:t xml:space="preserve"> The employer must ensure that equipment covered by this section manufactured more than one year after November 8, 2010 have either an anti two-block device that meets the requirements of §1926.1416(d)(3), or is designed so that, in the event of a two-block situation, no damage or load failure will occur (for example, by using a power unit that stalls in response to a two-block situation).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(e) </w:t>
      </w:r>
      <w:r w:rsidRPr="009F74C5">
        <w:rPr>
          <w:rFonts w:ascii="Arial" w:eastAsia="Times New Roman" w:hAnsi="Arial" w:cs="Arial"/>
          <w:i/>
          <w:iCs/>
          <w:sz w:val="20"/>
          <w:szCs w:val="20"/>
        </w:rPr>
        <w:t>Operator qualifications.</w:t>
      </w:r>
      <w:r w:rsidRPr="009F74C5">
        <w:rPr>
          <w:rFonts w:ascii="Arial" w:eastAsia="Times New Roman" w:hAnsi="Arial" w:cs="Arial"/>
          <w:sz w:val="20"/>
          <w:szCs w:val="20"/>
        </w:rPr>
        <w:t xml:space="preserve"> The employer must train each operator, prior to operating the equipment, on the safe operation of the type of equipment the operator will be using.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(f) </w:t>
      </w:r>
      <w:r w:rsidRPr="009F74C5">
        <w:rPr>
          <w:rFonts w:ascii="Arial" w:eastAsia="Times New Roman" w:hAnsi="Arial" w:cs="Arial"/>
          <w:i/>
          <w:iCs/>
          <w:sz w:val="20"/>
          <w:szCs w:val="20"/>
        </w:rPr>
        <w:t>Signal person qualifications.</w:t>
      </w:r>
      <w:r w:rsidRPr="009F74C5">
        <w:rPr>
          <w:rFonts w:ascii="Arial" w:eastAsia="Times New Roman" w:hAnsi="Arial" w:cs="Arial"/>
          <w:sz w:val="20"/>
          <w:szCs w:val="20"/>
        </w:rPr>
        <w:t xml:space="preserve"> The employer must train each signal person in the proper use of signals applicable to the use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(g)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(h) </w:t>
      </w:r>
      <w:r w:rsidRPr="009F74C5">
        <w:rPr>
          <w:rFonts w:ascii="Arial" w:eastAsia="Times New Roman" w:hAnsi="Arial" w:cs="Arial"/>
          <w:i/>
          <w:iCs/>
          <w:sz w:val="20"/>
          <w:szCs w:val="20"/>
        </w:rPr>
        <w:t>Inspections.</w:t>
      </w:r>
      <w:r w:rsidRPr="009F74C5">
        <w:rPr>
          <w:rFonts w:ascii="Arial" w:eastAsia="Times New Roman" w:hAnsi="Arial" w:cs="Arial"/>
          <w:sz w:val="20"/>
          <w:szCs w:val="20"/>
        </w:rPr>
        <w:t xml:space="preserve"> The employer must ensure that equipment is inspected in accordance with manufacturer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[Reserved]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(j) </w:t>
      </w:r>
      <w:r w:rsidRPr="009F74C5">
        <w:rPr>
          <w:rFonts w:ascii="Arial" w:eastAsia="Times New Roman" w:hAnsi="Arial" w:cs="Arial"/>
          <w:i/>
          <w:iCs/>
          <w:sz w:val="20"/>
          <w:szCs w:val="20"/>
        </w:rPr>
        <w:t>Hoisting personnel.</w:t>
      </w:r>
      <w:r w:rsidRPr="009F74C5">
        <w:rPr>
          <w:rFonts w:ascii="Arial" w:eastAsia="Times New Roman" w:hAnsi="Arial" w:cs="Arial"/>
          <w:sz w:val="20"/>
          <w:szCs w:val="20"/>
        </w:rPr>
        <w:t xml:space="preserve"> The employer must ensure that equipment covered by this section is not used to hoist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 xml:space="preserve">(k) </w:t>
      </w:r>
      <w:r w:rsidRPr="009F74C5">
        <w:rPr>
          <w:rFonts w:ascii="Arial" w:eastAsia="Times New Roman" w:hAnsi="Arial" w:cs="Arial"/>
          <w:i/>
          <w:iCs/>
          <w:sz w:val="20"/>
          <w:szCs w:val="20"/>
        </w:rPr>
        <w:t>Design.</w:t>
      </w:r>
      <w:r w:rsidRPr="009F74C5">
        <w:rPr>
          <w:rFonts w:ascii="Arial" w:eastAsia="Times New Roman" w:hAnsi="Arial" w:cs="Arial"/>
          <w:sz w:val="20"/>
          <w:szCs w:val="20"/>
        </w:rPr>
        <w:t xml:space="preserve"> The employer must ensure that the equipment is designed by a qualified engineer.</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4" w:anchor="_top" w:history="1">
        <w:r w:rsidR="00D70103">
          <w:rPr>
            <w:rFonts w:ascii="Arial" w:eastAsia="Times New Roman" w:hAnsi="Arial" w:cs="Arial"/>
            <w:noProof/>
            <w:color w:val="0000FF"/>
            <w:sz w:val="17"/>
            <w:szCs w:val="17"/>
          </w:rPr>
          <w:drawing>
            <wp:inline distT="0" distB="0" distL="0" distR="0" wp14:anchorId="3BD16696" wp14:editId="6B5966D3">
              <wp:extent cx="152400" cy="152400"/>
              <wp:effectExtent l="0" t="0" r="0" b="0"/>
              <wp:docPr id="8" name="Picture 8"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6" w:name="se29.8.1926_11442"/>
      <w:bookmarkEnd w:id="156"/>
      <w:r w:rsidRPr="009F74C5">
        <w:rPr>
          <w:rFonts w:ascii="Arial" w:eastAsia="Times New Roman" w:hAnsi="Arial" w:cs="Arial"/>
          <w:b/>
          <w:bCs/>
          <w:sz w:val="20"/>
          <w:szCs w:val="20"/>
        </w:rPr>
        <w:t>§1926.1442   Severability.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Should a court of competent jurisdiction hold any provision(s) of subpart CC to be invalid, such action shall not affect any other provision of the subpart.</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295" w:anchor="_top" w:history="1">
        <w:r w:rsidR="00D70103">
          <w:rPr>
            <w:rFonts w:ascii="Arial" w:eastAsia="Times New Roman" w:hAnsi="Arial" w:cs="Arial"/>
            <w:noProof/>
            <w:color w:val="0000FF"/>
            <w:sz w:val="17"/>
            <w:szCs w:val="17"/>
          </w:rPr>
          <w:drawing>
            <wp:inline distT="0" distB="0" distL="0" distR="0" wp14:anchorId="5FCAA0CA" wp14:editId="7B87540C">
              <wp:extent cx="152400" cy="152400"/>
              <wp:effectExtent l="0" t="0" r="0" b="0"/>
              <wp:docPr id="7" name="Picture 7"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7" w:name="ap29.8.1926_11442.a"/>
      <w:r w:rsidRPr="009F74C5">
        <w:rPr>
          <w:rFonts w:ascii="Arial" w:eastAsia="Times New Roman" w:hAnsi="Arial" w:cs="Arial"/>
          <w:b/>
          <w:bCs/>
          <w:sz w:val="20"/>
          <w:szCs w:val="20"/>
        </w:rPr>
        <w:t>Appendix A to Subpart CC of Part 1926—Standard Hand Signals</w:t>
      </w:r>
    </w:p>
    <w:p w:rsidR="00D70103" w:rsidRPr="009F74C5" w:rsidRDefault="00D70103" w:rsidP="00E16569">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11B05B6E" wp14:editId="35B0433C">
            <wp:extent cx="4229100" cy="5402580"/>
            <wp:effectExtent l="0" t="0" r="0" b="7620"/>
            <wp:docPr id="6" name="Picture 6" descr="eCFR graphic er09au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eCFR graphic er09au10.003.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229100" cy="540258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97" w:history="1">
        <w:r w:rsidR="00D70103" w:rsidRPr="009F74C5">
          <w:rPr>
            <w:rFonts w:ascii="Arial" w:eastAsia="Times New Roman" w:hAnsi="Arial" w:cs="Arial"/>
            <w:color w:val="0000FF"/>
            <w:sz w:val="17"/>
            <w:szCs w:val="17"/>
          </w:rPr>
          <w:t>View or download PDF</w:t>
        </w:r>
      </w:hyperlink>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6101815" wp14:editId="7278BBD0">
            <wp:extent cx="4229100" cy="4518660"/>
            <wp:effectExtent l="0" t="0" r="0" b="0"/>
            <wp:docPr id="5" name="Picture 5" descr="eCFR graphic er09au1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CFR graphic er09au10.004.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229100" cy="4518660"/>
                    </a:xfrm>
                    <a:prstGeom prst="rect">
                      <a:avLst/>
                    </a:prstGeom>
                    <a:noFill/>
                    <a:ln>
                      <a:noFill/>
                    </a:ln>
                  </pic:spPr>
                </pic:pic>
              </a:graphicData>
            </a:graphic>
          </wp:inline>
        </w:drawing>
      </w:r>
    </w:p>
    <w:p w:rsidR="00D70103" w:rsidRPr="009F74C5" w:rsidRDefault="000507F6" w:rsidP="00E16569">
      <w:pPr>
        <w:spacing w:before="100" w:beforeAutospacing="1" w:after="100" w:afterAutospacing="1" w:line="240" w:lineRule="auto"/>
        <w:ind w:firstLine="480"/>
        <w:rPr>
          <w:rFonts w:ascii="Arial" w:eastAsia="Times New Roman" w:hAnsi="Arial" w:cs="Arial"/>
          <w:sz w:val="20"/>
          <w:szCs w:val="20"/>
        </w:rPr>
      </w:pPr>
      <w:hyperlink r:id="rId299" w:history="1">
        <w:r w:rsidR="00D70103" w:rsidRPr="009F74C5">
          <w:rPr>
            <w:rFonts w:ascii="Arial" w:eastAsia="Times New Roman" w:hAnsi="Arial" w:cs="Arial"/>
            <w:color w:val="0000FF"/>
            <w:sz w:val="17"/>
            <w:szCs w:val="17"/>
          </w:rPr>
          <w:t>View or download PDF</w:t>
        </w:r>
      </w:hyperlink>
    </w:p>
    <w:p w:rsidR="00D70103" w:rsidRPr="009F74C5" w:rsidRDefault="000507F6" w:rsidP="00E16569">
      <w:pPr>
        <w:spacing w:before="200" w:after="100" w:afterAutospacing="1" w:line="240" w:lineRule="auto"/>
        <w:rPr>
          <w:rFonts w:ascii="Arial" w:eastAsia="Times New Roman" w:hAnsi="Arial" w:cs="Arial"/>
          <w:sz w:val="20"/>
          <w:szCs w:val="20"/>
        </w:rPr>
      </w:pPr>
      <w:hyperlink r:id="rId300" w:anchor="_top" w:history="1">
        <w:r w:rsidR="00D70103">
          <w:rPr>
            <w:rFonts w:ascii="Arial" w:eastAsia="Times New Roman" w:hAnsi="Arial" w:cs="Arial"/>
            <w:noProof/>
            <w:color w:val="0000FF"/>
            <w:sz w:val="17"/>
            <w:szCs w:val="17"/>
          </w:rPr>
          <w:drawing>
            <wp:inline distT="0" distB="0" distL="0" distR="0" wp14:anchorId="1CCA00C4" wp14:editId="0C8C2FC1">
              <wp:extent cx="152400" cy="152400"/>
              <wp:effectExtent l="0" t="0" r="0" b="0"/>
              <wp:docPr id="4" name="Picture 4"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8" w:name="ap29.8.1926_11442.b"/>
      <w:bookmarkEnd w:id="158"/>
      <w:r w:rsidRPr="009F74C5">
        <w:rPr>
          <w:rFonts w:ascii="Arial" w:eastAsia="Times New Roman" w:hAnsi="Arial" w:cs="Arial"/>
          <w:b/>
          <w:bCs/>
          <w:sz w:val="20"/>
          <w:szCs w:val="20"/>
        </w:rPr>
        <w:t>Appendix B to Subpart CC of Part 1926—Assembly/Disassembly: Sample Procedures for Minimizing the Risk of Unintended Dangerous Boom Movement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Section 1926.1404(f)(1) provides that when pins (or similar devices) are being removed, employees must not be under the boom, jib, or other components, except where the requirements of §1926.1404(f)(2) are met. The exception in §1926.1404(f)(2) applies when the employer demonstrates that site constraints require one or more employees to be under the boom, jib, or other components when pins (or similar devices) are being removed. In such a situation, the A/D director must implement procedures that minimize the risk of unintended dangerous movement and minimize the duration and extent of exposure under the boom.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The following scenario is an example of how the exception applies: A boom cannot be disassembled on the ground because of aboveground piping (as might be found, for example, in an oil refinery) that precludes lowering the boom to the ground. The boom must therefore be disassembled in the air, and the employees who remove the pins must perform that work from an aerial lift whose base is positioned on one side (the near side) of the boom. To gain access to the pins on the far side, the aerial lift basket must move under the boom, since, due to lack of room, the aerial lift cannot be repositioned on the far side. Due to lack of room, the aerial lift cannot be repositioned on the far side, so the aerial basket must move under the boom to gain access to the pins on the far side.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To minimize the risk of unintended dangerous movement while the pins are removed, the A/D director uses an assist crane that is rigged to support the boom section that is being detached, using particular care to ensure that the section end that is near the employee(s) removing the pins is well supported. The duration and extent of exposure is minimized by removing the far side pins first, moving the aerial lift basket as soon as possible to the near side so that the employees are no longer under the boom, and then removing the near side pins.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Section 1926.1404(h)(6)(i) provides that, during assembly/disassembly, the center of gravity of the load must be identified if that is necessary for the method used for maintaining stability. Section 1926.1404(h)(6)(ii) states that, where there is insufficient information to accurately identify the center of gravity, measures designed to prevent unintended dangerous movement resulting from an inaccurate identification of the center of gravity must be used.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An example of the application of §1926.1404(h)(6)(ii) is as follows: The boom is assembled by lowering boom sections sequentially into place using an assist crane. The A/D director's plan is to keep the boom sections stable while they are lowered into place by attaching the assist crane hoist line above the center of gravity of each section. However, in assembling the non-symmetrical top section of the boom, the A/D director is not able to determine where to attach the assist crane hoist line so that it is above the center of gravity. In this situation, before raising the section, all personnel are kept clear of the section and the section is first raised a few inches to determine whether it tips when raised (if it did tip, it would indicate it is not rigged over the center of gravity). If this occurs, the hoist line is repositioned and the procedure repeated (with employees kept clear of the section while it is raised) until the A/D director determines that it is rigged over the center of gravity and can be moved into place without dangerous movement.</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301" w:anchor="_top" w:history="1">
        <w:r w:rsidR="00D70103">
          <w:rPr>
            <w:rFonts w:ascii="Arial" w:eastAsia="Times New Roman" w:hAnsi="Arial" w:cs="Arial"/>
            <w:noProof/>
            <w:color w:val="0000FF"/>
            <w:sz w:val="17"/>
            <w:szCs w:val="17"/>
          </w:rPr>
          <w:drawing>
            <wp:inline distT="0" distB="0" distL="0" distR="0" wp14:anchorId="7910BCB4" wp14:editId="12242B12">
              <wp:extent cx="152400" cy="152400"/>
              <wp:effectExtent l="0" t="0" r="0" b="0"/>
              <wp:docPr id="3" name="Picture 3"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p w:rsidR="00D70103" w:rsidRPr="009F74C5" w:rsidRDefault="00D70103" w:rsidP="00E16569">
      <w:pPr>
        <w:spacing w:before="200" w:after="100" w:line="240" w:lineRule="auto"/>
        <w:outlineLvl w:val="1"/>
        <w:rPr>
          <w:rFonts w:ascii="Arial" w:eastAsia="Times New Roman" w:hAnsi="Arial" w:cs="Arial"/>
          <w:b/>
          <w:bCs/>
          <w:sz w:val="20"/>
          <w:szCs w:val="20"/>
        </w:rPr>
      </w:pPr>
      <w:bookmarkStart w:id="159" w:name="ap29.8.1926_11442.c"/>
      <w:bookmarkEnd w:id="159"/>
      <w:r w:rsidRPr="009F74C5">
        <w:rPr>
          <w:rFonts w:ascii="Arial" w:eastAsia="Times New Roman" w:hAnsi="Arial" w:cs="Arial"/>
          <w:b/>
          <w:bCs/>
          <w:sz w:val="20"/>
          <w:szCs w:val="20"/>
        </w:rPr>
        <w:t>Appendix C to Subpart CC of Part 1926—Operator Certification: Written Examination: Technical Knowledge Criteria</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This appendix contains information for employers, accredited testing organizations, auditors and government entities developing criteria for a written examination to test an individual's technical knowledge relating to the operation of cranes.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(a) General technical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The functions and limitations of the crane and attachments.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Wire rope: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Background information necessary to understand the inspection and removal from service criteria in §1926.1413 and §1926.1414.</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Capacity and when multi-part rope is needed.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Relationship between line pull and safe working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How to determine the manufacturer's recommended rope for the crane.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Rigging devices and their use, such as: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Slings.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(ii) Spreaders.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Lifting beams.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Wire rope fittings, such as clips, shackles and wedge sockets.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Saddles (softeners).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Clamps (beams).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The technical limitations of protective measures against electrical hazards: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Grounding.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Proximity warning devices.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Insulated links.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Boom cages.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Proximity to electric power lines, radii, and microwave structures.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The effects of load share and load transfer in multi-crane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Basic crane terms.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The basics of machine power flow systems.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Mechanical.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Electrical.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Pneumatic.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Hydraulic.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Combination.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The significance of the instruments and gauge readings.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The effects of thermal expansion and contraction in hydraulic cylinders.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Background information necessary to understand the requirements of pre-operation and inspection.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How to use the safety devices and operational aids required under §1926.1415 and §1926.1416.</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The difference between duty-cycle and lifting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(13) How to calculate net capacity for every possible configuration of the equipment using the manufacturer's load chart.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How to use manufacturer-approved attachments and their effect on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How to obtain dimensions, weight, and center of gravity of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The effects of dynamic loading from:</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Wind.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Stopping and starting.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Impact loading.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Moving with the 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(17) The effect of side loading.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(18) The principles of backward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(b) Site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How to identify the suitability of the supporting ground/surface to support the expected loads of the operation. Elements include: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Weaknesses below the surface (such as voids, tanks, loose fill).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Weaknesses on the surface (such as retaining walls, slopes, excavations, depressions).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Proper use of mats, blocking/cribbing, outriggers, stabilizers, or crawlers.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Identification of site hazards such as power lines, piping, and traffic.</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How to review operation plans with supervisors and other workers (such as the signal person), including how to determine working height, boom length, load radius, and travel clearance.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(5) How to determine if there is adequate room for extension of crawlers or outriggers/stabilizers and counterweights.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(c)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How to pick, carry, swing and place the load smoothly and safely on rubber tires and on outriggers/stabilizers or crawlers (where applicable).</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How to communicate at the site with supervisors, the crew and the signal person.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Proper procedures and methods of reeving wire ropes and methods of reeving multiple-part lines and selecting the proper load block and/or ball.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How to react to changes in conditions that affect the safe operation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(5) How to shut down and secure the equipment properly when leaving it unattended.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(6) Know how to apply the manufacturer's specifications for operating in various weather conditions, and understand how environmental conditions affect the safe operation of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(7) How to properly level the equipment.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(8) How to verify the weight of the load and rigging prior to initiating the lift.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(9) How to determine where the load is to be picked up and placed and how to verify the radii.</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(10) Know basic rigging procedures.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(11) How to carry out the shift inspection required in this subpart.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(12) Know that the following operations require specific procedures and skill levels: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Multi-crane lifts.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Clamshell/dragline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Pile driving and extracting.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Concrete operations, including poured-in-place and tilt-up.</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Demolition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Operations on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(viii) Magnet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Multi-drum operations.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(13) Know the proper procedures for operating safely under the following conditions: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Traveling with suspended loads.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Approaching a two-block condition.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Operating near power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Hoisting personnel.</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Using other than full outrigger/crawler or stabilizer extensions.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Lifting loads from beneath the surface of the water.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Using various approved counterweight configurations.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lastRenderedPageBreak/>
        <w:t>(viii) Handling loads out of the operator's vision (“operating in the blind”).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(ix) Using electronic communication systems for signal communication.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(14) Know the proper procedures for load control and the use of hand-held tag lines.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(15) Know the emergency response procedure for:</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Fires.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Power line contact.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Loss of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Control malfunction.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Two-blocking.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Overload.</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Carrier or travel malfunction.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(16) Know how to properly use outriggers and stabilizers in accordance with manufacturer specifications.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(d) Use of load charts.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(1) Know the terminology necessary to use load charts.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(2) Know how to ensure that the load chart is the appropriate chart for the equipment in its particular configuration and application.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(3) Know how to use load charts. This includes knowing:</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 The operational limitations of load charts and footnotes.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 How to relate the chart to the configuration of the crane, crawlers, or outriggers/stabilizers extended or retracted, jib erected or offset, and various counterweight configurations.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(iii) The difference between structural capacity and capacity limited by stability.</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(iv) What is included in capacity ratings.</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 The range diagram and its relationship to the load chart.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 The work area chart and its relationship to the load chart.</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(vii) Where to find and how to use the “parts-of-line” information.</w:t>
      </w:r>
    </w:p>
    <w:p w:rsidR="00D70103" w:rsidRPr="009F74C5" w:rsidRDefault="00D70103" w:rsidP="00E16569">
      <w:pPr>
        <w:spacing w:before="100" w:beforeAutospacing="1" w:after="100" w:afterAutospacing="1" w:line="240" w:lineRule="auto"/>
        <w:ind w:firstLine="480"/>
        <w:rPr>
          <w:rFonts w:ascii="Arial" w:eastAsia="Times New Roman" w:hAnsi="Arial" w:cs="Arial"/>
          <w:sz w:val="20"/>
          <w:szCs w:val="20"/>
        </w:rPr>
      </w:pPr>
      <w:r w:rsidRPr="009F74C5">
        <w:rPr>
          <w:rFonts w:ascii="Arial" w:eastAsia="Times New Roman" w:hAnsi="Arial" w:cs="Arial"/>
          <w:sz w:val="20"/>
          <w:szCs w:val="20"/>
        </w:rPr>
        <w:t>(4) Know how to use the load chart together with the load indicators and/or load moment devices.</w:t>
      </w:r>
    </w:p>
    <w:p w:rsidR="00D70103" w:rsidRPr="009F74C5" w:rsidRDefault="000507F6" w:rsidP="00E16569">
      <w:pPr>
        <w:spacing w:before="200" w:after="100" w:afterAutospacing="1" w:line="240" w:lineRule="auto"/>
        <w:rPr>
          <w:rFonts w:ascii="Arial" w:eastAsia="Times New Roman" w:hAnsi="Arial" w:cs="Arial"/>
          <w:sz w:val="20"/>
          <w:szCs w:val="20"/>
        </w:rPr>
      </w:pPr>
      <w:hyperlink r:id="rId302" w:anchor="_top" w:history="1">
        <w:r w:rsidR="00D70103">
          <w:rPr>
            <w:rFonts w:ascii="Arial" w:eastAsia="Times New Roman" w:hAnsi="Arial" w:cs="Arial"/>
            <w:noProof/>
            <w:color w:val="0000FF"/>
            <w:sz w:val="17"/>
            <w:szCs w:val="17"/>
          </w:rPr>
          <w:drawing>
            <wp:inline distT="0" distB="0" distL="0" distR="0" wp14:anchorId="109517C0" wp14:editId="42BCDBCB">
              <wp:extent cx="152400" cy="152400"/>
              <wp:effectExtent l="0" t="0" r="0" b="0"/>
              <wp:docPr id="2" name="Picture 2" descr="return arro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return arro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70103" w:rsidRPr="009F74C5">
          <w:rPr>
            <w:rFonts w:ascii="Arial" w:eastAsia="Times New Roman" w:hAnsi="Arial" w:cs="Arial"/>
            <w:color w:val="0000FF"/>
            <w:sz w:val="17"/>
            <w:szCs w:val="17"/>
          </w:rPr>
          <w:t>Back to Top</w:t>
        </w:r>
      </w:hyperlink>
    </w:p>
    <w:bookmarkEnd w:id="157"/>
    <w:p w:rsidR="00D70103" w:rsidRPr="009F74C5" w:rsidRDefault="00D70103" w:rsidP="00E16569">
      <w:pPr>
        <w:spacing w:before="200" w:after="100" w:line="240" w:lineRule="auto"/>
        <w:outlineLvl w:val="1"/>
        <w:rPr>
          <w:rFonts w:ascii="Arial" w:eastAsia="Times New Roman" w:hAnsi="Arial" w:cs="Arial"/>
          <w:b/>
          <w:bCs/>
          <w:sz w:val="20"/>
          <w:szCs w:val="20"/>
        </w:rPr>
      </w:pPr>
      <w:r w:rsidRPr="009F74C5">
        <w:rPr>
          <w:rFonts w:ascii="Arial" w:eastAsia="Times New Roman" w:hAnsi="Arial" w:cs="Arial"/>
          <w:b/>
          <w:bCs/>
          <w:sz w:val="20"/>
          <w:szCs w:val="20"/>
        </w:rPr>
        <w:t>Appendix A to Part 1926—Designations for General Industry Standards Incorporated Into Body of Construction Standards</w:t>
      </w:r>
    </w:p>
    <w:p w:rsidR="00D70103" w:rsidRPr="009F74C5" w:rsidRDefault="00D70103" w:rsidP="00E16569">
      <w:pPr>
        <w:spacing w:before="200" w:after="100" w:line="240" w:lineRule="auto"/>
        <w:outlineLvl w:val="2"/>
        <w:rPr>
          <w:rFonts w:ascii="Arial" w:eastAsia="Times New Roman" w:hAnsi="Arial" w:cs="Arial"/>
          <w:sz w:val="20"/>
          <w:szCs w:val="20"/>
        </w:rPr>
      </w:pPr>
      <w:r w:rsidRPr="009F74C5">
        <w:rPr>
          <w:rFonts w:ascii="Arial" w:eastAsia="Times New Roman" w:hAnsi="Arial" w:cs="Arial"/>
          <w:sz w:val="20"/>
          <w:szCs w:val="20"/>
        </w:rPr>
        <w:t>New Designations for General Industry Standards Incorporated Into Body of Construction Standards</w:t>
      </w:r>
    </w:p>
    <w:p w:rsidR="00D70103" w:rsidRPr="009F74C5" w:rsidRDefault="00D70103" w:rsidP="00E16569">
      <w:pPr>
        <w:spacing w:before="100" w:beforeAutospacing="1" w:after="100" w:afterAutospacing="1" w:line="240" w:lineRule="auto"/>
        <w:ind w:firstLine="480"/>
        <w:rPr>
          <w:rFonts w:ascii="Arial" w:eastAsia="Times New Roman" w:hAnsi="Arial" w:cs="Arial"/>
          <w:b/>
          <w:bCs/>
          <w:smallCaps/>
          <w:sz w:val="20"/>
          <w:szCs w:val="20"/>
        </w:rPr>
      </w:pPr>
      <w:r w:rsidRPr="009F74C5">
        <w:rPr>
          <w:rFonts w:ascii="Arial" w:eastAsia="Times New Roman" w:hAnsi="Arial" w:cs="Arial"/>
          <w:b/>
          <w:bCs/>
          <w:smallCaps/>
          <w:sz w:val="20"/>
          <w:szCs w:val="20"/>
        </w:rPr>
        <w:t>1926 Designations for Applicable 1910 Standards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175"/>
        <w:gridCol w:w="5209"/>
      </w:tblGrid>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New § no. and/or para.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70103" w:rsidRPr="009F74C5" w:rsidRDefault="00D70103" w:rsidP="00E16569">
            <w:pPr>
              <w:spacing w:after="0" w:line="240" w:lineRule="auto"/>
              <w:rPr>
                <w:rFonts w:ascii="Arial" w:eastAsia="Times New Roman" w:hAnsi="Arial" w:cs="Arial"/>
                <w:b/>
                <w:bCs/>
                <w:sz w:val="20"/>
                <w:szCs w:val="20"/>
              </w:rPr>
            </w:pPr>
            <w:r w:rsidRPr="009F74C5">
              <w:rPr>
                <w:rFonts w:ascii="Arial" w:eastAsia="Times New Roman" w:hAnsi="Arial" w:cs="Arial"/>
                <w:b/>
                <w:bCs/>
                <w:sz w:val="20"/>
                <w:szCs w:val="20"/>
              </w:rPr>
              <w:t>Source § no. and/or para.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1926.20 (c)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1910.5 (a)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1926.32(g)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1910.12(b)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1926.34 (a)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1910.36(b)(4)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1910.37 (q)(1)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(k)(2)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1910.38(a)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1926.50(g)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1910.151(c)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1926.51(a)(6)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1910.141(a)(2)(v)</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(f) (2)-(4)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 (1)-(3)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(g)(2)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1926.53 (c)-(r)</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1910.96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1926.57 (f)-(i)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1910.94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1926.64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1910.119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1926.65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1926.66 (a)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1910.107 (a)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[Do.] (b) (1)-(10)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(h)-(j)</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1910.132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1910.136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1926.97 (a)-(e)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1910.156(e)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   [Do.] (f)-(h)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Subpt. L App. E</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1910.156(f)</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1926.102(a) (6)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1910.133(a) (2)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1926.103 (d)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1910.134 (a)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(f)-(i)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(d)-(g)</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1926.150(c)(1) (xi)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1910.157 (g)(1)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(xii)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(g)(2)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(xiii)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(xiv)</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1926.152 (b)(5)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1910.107(e)(2)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1910.106(j)</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(j)</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(k) (1)-(3)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(g)(4)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(k)(4)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1926.153(a) (3)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1910.110(a)(4)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(m) (1)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(d)(7)(vii)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(d)(7)(viii)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(n)</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(b)(5)(iii)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(o)   </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1910.160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1910.162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1910.164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1926.159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1910.165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1926.200(c)(3)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1910.145(d)(4)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1926.250(c)</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1910.176(c)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 (1)-(4)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1910.30(a) (1), (2), (4) and (5)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1926.251(a)(5)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1910.184(a)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   [Do.] (b)(6)(i)-(ii)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(e)(3)(i)-(ii)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 (2)-(3)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(c)(10)-(12)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(c)(10)-(12)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(c)(13)-(15)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[Do.](f) (2)-(4)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(d)(3)-(6)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 (2)-(5)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(e)(3)-(5)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 (2)-(4)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(e)(6)-(7)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 (6)-(7)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1926.300(b) (3)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1910.212(a)(1)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1910.215(b)(9)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(8) and (9)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 (3) and (4)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1926.302(b)(10)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1910.244(b)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1926.303(b)(2)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1910.215(a) (2)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1926.304 (g)</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1910.213(h)(1)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1926.305(d)(1)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1910.244(a)(2) (iii)-(viii)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1910.169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1926.350(a) (10)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1910.253(b) (4)(iii)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1910.101(b)</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1926.353(b)(3)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1910.252(b)(4)(iv)</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1926.416 (a)(4)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1910.333(c)(2)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(f) (1)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1910.334(a)(1)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(a)(2)(iii)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      [Do.] (5)-(6)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 (1)-(2)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(7)-(9)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 (1)-(3)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(d)</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1926.417(d)</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1910.333(b)(2)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1926.451(a) (22)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1910.28(a) (15)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(18)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1926.453 (a)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1910.29(a)</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(b)</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(c)</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1926.600(a)(7)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1910.176(f)</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1926.602(c)(1) (vii)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1910.178(m) (3)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(viii)</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1926.900 (s)</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1910.109 (g)(2)(ii)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(t)</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(h)(3)(ii)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1926.905(u)</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(e)(3)(iii)</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1926.914(aa)</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      [Do.] (a)(12)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1926.1050(b)</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1910.21(g)(9)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1926.1071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1910.401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1926.1072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1910.402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1926.1076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1926.1087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1910.427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1926.1090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1910.430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1926.1091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1910.440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1926.1092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1910.441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lastRenderedPageBreak/>
              <w:t>1926.1105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1926.1109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1910.1009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1926.1110</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1910.1010</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1926.1111</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1910.1011</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1926.1112</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1910.1012</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1926.1113</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1910.1013</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1926.1116</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1910.1016</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1926.1118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1910.1018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1926.1128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1910.1028</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1926.1129</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1910.1029</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1926.1144</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1910.1044</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1926.1145</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1910.1045</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1926.1147</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1910.1047</w:t>
            </w:r>
          </w:p>
        </w:tc>
      </w:tr>
      <w:tr w:rsidR="00D70103" w:rsidRPr="009F74C5" w:rsidTr="00402AAF">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1926.1148</w:t>
            </w:r>
          </w:p>
        </w:tc>
        <w:tc>
          <w:tcPr>
            <w:tcW w:w="0" w:type="auto"/>
            <w:tcBorders>
              <w:top w:val="single" w:sz="6" w:space="0" w:color="000000"/>
              <w:left w:val="single" w:sz="6" w:space="0" w:color="000000"/>
              <w:bottom w:val="single" w:sz="6" w:space="0" w:color="000000"/>
              <w:right w:val="single" w:sz="6" w:space="0" w:color="000000"/>
            </w:tcBorders>
            <w:hideMark/>
          </w:tcPr>
          <w:p w:rsidR="00D70103" w:rsidRPr="009F74C5" w:rsidRDefault="00D70103" w:rsidP="00E16569">
            <w:pPr>
              <w:spacing w:after="0" w:line="240" w:lineRule="auto"/>
              <w:rPr>
                <w:rFonts w:ascii="Arial" w:eastAsia="Times New Roman" w:hAnsi="Arial" w:cs="Arial"/>
                <w:sz w:val="20"/>
                <w:szCs w:val="20"/>
              </w:rPr>
            </w:pPr>
            <w:r w:rsidRPr="009F74C5">
              <w:rPr>
                <w:rFonts w:ascii="Arial" w:eastAsia="Times New Roman" w:hAnsi="Arial" w:cs="Arial"/>
                <w:sz w:val="20"/>
                <w:szCs w:val="20"/>
              </w:rPr>
              <w:t>1910.1048</w:t>
            </w:r>
          </w:p>
        </w:tc>
      </w:tr>
    </w:tbl>
    <w:p w:rsidR="00424F31" w:rsidRDefault="00D70103" w:rsidP="00E16569">
      <w:r w:rsidRPr="009F74C5">
        <w:rPr>
          <w:rFonts w:ascii="Arial" w:eastAsia="Times New Roman" w:hAnsi="Arial" w:cs="Arial"/>
          <w:sz w:val="18"/>
          <w:szCs w:val="18"/>
        </w:rPr>
        <w:t>[58 FR 35305, June 30, 1993, as amended at 61 FR 9255, Mar. 7, 1996; 75 FR 48135, Aug. 9, 2010</w:t>
      </w:r>
      <w:r>
        <w:rPr>
          <w:rFonts w:ascii="Arial" w:eastAsia="Times New Roman" w:hAnsi="Arial" w:cs="Arial"/>
          <w:sz w:val="18"/>
          <w:szCs w:val="18"/>
        </w:rPr>
        <w:t>]</w:t>
      </w:r>
    </w:p>
    <w:sectPr w:rsidR="00424F31">
      <w:footerReference w:type="default" r:id="rId3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E1" w:rsidRDefault="00892FE1" w:rsidP="00206BE8">
      <w:pPr>
        <w:spacing w:after="0" w:line="240" w:lineRule="auto"/>
      </w:pPr>
      <w:r>
        <w:separator/>
      </w:r>
    </w:p>
  </w:endnote>
  <w:endnote w:type="continuationSeparator" w:id="0">
    <w:p w:rsidR="00892FE1" w:rsidRDefault="00892FE1" w:rsidP="0020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596664"/>
      <w:docPartObj>
        <w:docPartGallery w:val="Page Numbers (Bottom of Page)"/>
        <w:docPartUnique/>
      </w:docPartObj>
    </w:sdtPr>
    <w:sdtEndPr>
      <w:rPr>
        <w:noProof/>
      </w:rPr>
    </w:sdtEndPr>
    <w:sdtContent>
      <w:p w:rsidR="00206BE8" w:rsidRDefault="00206BE8">
        <w:pPr>
          <w:pStyle w:val="Footer"/>
          <w:jc w:val="center"/>
        </w:pPr>
        <w:r>
          <w:fldChar w:fldCharType="begin"/>
        </w:r>
        <w:r>
          <w:instrText xml:space="preserve"> PAGE   \* MERGEFORMAT </w:instrText>
        </w:r>
        <w:r>
          <w:fldChar w:fldCharType="separate"/>
        </w:r>
        <w:r w:rsidR="00BB082E">
          <w:rPr>
            <w:noProof/>
          </w:rPr>
          <w:t>1</w:t>
        </w:r>
        <w:r>
          <w:rPr>
            <w:noProof/>
          </w:rPr>
          <w:fldChar w:fldCharType="end"/>
        </w:r>
      </w:p>
    </w:sdtContent>
  </w:sdt>
  <w:p w:rsidR="00206BE8" w:rsidRDefault="00206B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E1" w:rsidRDefault="00892FE1" w:rsidP="00206BE8">
      <w:pPr>
        <w:spacing w:after="0" w:line="240" w:lineRule="auto"/>
      </w:pPr>
      <w:r>
        <w:separator/>
      </w:r>
    </w:p>
  </w:footnote>
  <w:footnote w:type="continuationSeparator" w:id="0">
    <w:p w:rsidR="00892FE1" w:rsidRDefault="00892FE1" w:rsidP="00206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928F3"/>
    <w:multiLevelType w:val="multilevel"/>
    <w:tmpl w:val="632E6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103"/>
    <w:rsid w:val="00000E37"/>
    <w:rsid w:val="00002CE9"/>
    <w:rsid w:val="000040D3"/>
    <w:rsid w:val="00010DBE"/>
    <w:rsid w:val="00011229"/>
    <w:rsid w:val="00011F36"/>
    <w:rsid w:val="0001302F"/>
    <w:rsid w:val="00015492"/>
    <w:rsid w:val="000155C6"/>
    <w:rsid w:val="000157A7"/>
    <w:rsid w:val="00015CA2"/>
    <w:rsid w:val="000175F3"/>
    <w:rsid w:val="00021B8C"/>
    <w:rsid w:val="00023B7B"/>
    <w:rsid w:val="00025258"/>
    <w:rsid w:val="00026878"/>
    <w:rsid w:val="00026F00"/>
    <w:rsid w:val="000308B0"/>
    <w:rsid w:val="00033953"/>
    <w:rsid w:val="000370ED"/>
    <w:rsid w:val="000373FE"/>
    <w:rsid w:val="000435FC"/>
    <w:rsid w:val="00044156"/>
    <w:rsid w:val="0004527B"/>
    <w:rsid w:val="0004531C"/>
    <w:rsid w:val="00046627"/>
    <w:rsid w:val="000507F6"/>
    <w:rsid w:val="000527AC"/>
    <w:rsid w:val="00053D7E"/>
    <w:rsid w:val="00054969"/>
    <w:rsid w:val="00056C41"/>
    <w:rsid w:val="000600A7"/>
    <w:rsid w:val="000604F3"/>
    <w:rsid w:val="00060AD6"/>
    <w:rsid w:val="0006162F"/>
    <w:rsid w:val="000710A3"/>
    <w:rsid w:val="00080B2A"/>
    <w:rsid w:val="000827C2"/>
    <w:rsid w:val="0008390E"/>
    <w:rsid w:val="0009016E"/>
    <w:rsid w:val="00091F5A"/>
    <w:rsid w:val="00095A96"/>
    <w:rsid w:val="000A5ABD"/>
    <w:rsid w:val="000A6208"/>
    <w:rsid w:val="000A697A"/>
    <w:rsid w:val="000A700A"/>
    <w:rsid w:val="000B1E67"/>
    <w:rsid w:val="000B2D78"/>
    <w:rsid w:val="000B713F"/>
    <w:rsid w:val="000C0763"/>
    <w:rsid w:val="000C290F"/>
    <w:rsid w:val="000C437D"/>
    <w:rsid w:val="000D243B"/>
    <w:rsid w:val="000D2470"/>
    <w:rsid w:val="000D33A5"/>
    <w:rsid w:val="000D5958"/>
    <w:rsid w:val="000D5E6A"/>
    <w:rsid w:val="000D67A6"/>
    <w:rsid w:val="000E19B1"/>
    <w:rsid w:val="000E5013"/>
    <w:rsid w:val="000F1BE7"/>
    <w:rsid w:val="000F32BF"/>
    <w:rsid w:val="000F4D1D"/>
    <w:rsid w:val="000F4F59"/>
    <w:rsid w:val="000F7698"/>
    <w:rsid w:val="000F7B58"/>
    <w:rsid w:val="00101AF9"/>
    <w:rsid w:val="00107BF0"/>
    <w:rsid w:val="0012154C"/>
    <w:rsid w:val="001224E5"/>
    <w:rsid w:val="001237EF"/>
    <w:rsid w:val="00126269"/>
    <w:rsid w:val="0013348E"/>
    <w:rsid w:val="00136D56"/>
    <w:rsid w:val="00140577"/>
    <w:rsid w:val="00141438"/>
    <w:rsid w:val="001435EB"/>
    <w:rsid w:val="00143C16"/>
    <w:rsid w:val="0014471C"/>
    <w:rsid w:val="001473E7"/>
    <w:rsid w:val="00150EAD"/>
    <w:rsid w:val="00152D3A"/>
    <w:rsid w:val="0016067D"/>
    <w:rsid w:val="0016069B"/>
    <w:rsid w:val="00165518"/>
    <w:rsid w:val="00165FC8"/>
    <w:rsid w:val="001664E1"/>
    <w:rsid w:val="001671DF"/>
    <w:rsid w:val="00167578"/>
    <w:rsid w:val="0017100D"/>
    <w:rsid w:val="001717A5"/>
    <w:rsid w:val="00173026"/>
    <w:rsid w:val="0017388E"/>
    <w:rsid w:val="0018102C"/>
    <w:rsid w:val="00181F3C"/>
    <w:rsid w:val="00183E0B"/>
    <w:rsid w:val="00185E62"/>
    <w:rsid w:val="001861E8"/>
    <w:rsid w:val="00186B31"/>
    <w:rsid w:val="001875B7"/>
    <w:rsid w:val="00187DD7"/>
    <w:rsid w:val="00187EC9"/>
    <w:rsid w:val="00187F6F"/>
    <w:rsid w:val="00191D73"/>
    <w:rsid w:val="001A047C"/>
    <w:rsid w:val="001A2A6D"/>
    <w:rsid w:val="001A62BD"/>
    <w:rsid w:val="001A68F0"/>
    <w:rsid w:val="001B3739"/>
    <w:rsid w:val="001B390D"/>
    <w:rsid w:val="001B44AB"/>
    <w:rsid w:val="001B5D8E"/>
    <w:rsid w:val="001B76E4"/>
    <w:rsid w:val="001B78D5"/>
    <w:rsid w:val="001C0040"/>
    <w:rsid w:val="001C2243"/>
    <w:rsid w:val="001D1313"/>
    <w:rsid w:val="001D3809"/>
    <w:rsid w:val="001D381F"/>
    <w:rsid w:val="001D3C22"/>
    <w:rsid w:val="001D60A2"/>
    <w:rsid w:val="001D62BB"/>
    <w:rsid w:val="001D67A6"/>
    <w:rsid w:val="001E683C"/>
    <w:rsid w:val="001F3795"/>
    <w:rsid w:val="002001C6"/>
    <w:rsid w:val="00201A6F"/>
    <w:rsid w:val="00203890"/>
    <w:rsid w:val="00206BE8"/>
    <w:rsid w:val="00217178"/>
    <w:rsid w:val="0022411B"/>
    <w:rsid w:val="00226953"/>
    <w:rsid w:val="0022756B"/>
    <w:rsid w:val="00230A32"/>
    <w:rsid w:val="00230C18"/>
    <w:rsid w:val="00230EEA"/>
    <w:rsid w:val="00233ABC"/>
    <w:rsid w:val="00234428"/>
    <w:rsid w:val="00234836"/>
    <w:rsid w:val="00235149"/>
    <w:rsid w:val="002354B3"/>
    <w:rsid w:val="0023642E"/>
    <w:rsid w:val="00237D36"/>
    <w:rsid w:val="002426AA"/>
    <w:rsid w:val="00242C70"/>
    <w:rsid w:val="00244D37"/>
    <w:rsid w:val="00244DF2"/>
    <w:rsid w:val="00245AC8"/>
    <w:rsid w:val="00250B43"/>
    <w:rsid w:val="00255610"/>
    <w:rsid w:val="0025661A"/>
    <w:rsid w:val="002576D1"/>
    <w:rsid w:val="00257D40"/>
    <w:rsid w:val="00261180"/>
    <w:rsid w:val="00261807"/>
    <w:rsid w:val="00262B0B"/>
    <w:rsid w:val="0026378C"/>
    <w:rsid w:val="00263FA1"/>
    <w:rsid w:val="002664A8"/>
    <w:rsid w:val="00271B55"/>
    <w:rsid w:val="00271FBB"/>
    <w:rsid w:val="002720A1"/>
    <w:rsid w:val="00272244"/>
    <w:rsid w:val="0027571D"/>
    <w:rsid w:val="00277E18"/>
    <w:rsid w:val="002844A3"/>
    <w:rsid w:val="002937E9"/>
    <w:rsid w:val="00297A24"/>
    <w:rsid w:val="002A3F12"/>
    <w:rsid w:val="002A452E"/>
    <w:rsid w:val="002A6936"/>
    <w:rsid w:val="002A6ECA"/>
    <w:rsid w:val="002B1641"/>
    <w:rsid w:val="002B204F"/>
    <w:rsid w:val="002B2699"/>
    <w:rsid w:val="002B3E69"/>
    <w:rsid w:val="002C2F1D"/>
    <w:rsid w:val="002C38C0"/>
    <w:rsid w:val="002D1350"/>
    <w:rsid w:val="002D66A6"/>
    <w:rsid w:val="002E4672"/>
    <w:rsid w:val="002E64B3"/>
    <w:rsid w:val="002E6A72"/>
    <w:rsid w:val="002E77CA"/>
    <w:rsid w:val="002E7B48"/>
    <w:rsid w:val="002F0775"/>
    <w:rsid w:val="002F1285"/>
    <w:rsid w:val="002F17AE"/>
    <w:rsid w:val="002F1AFB"/>
    <w:rsid w:val="002F2B3F"/>
    <w:rsid w:val="002F4726"/>
    <w:rsid w:val="00300C40"/>
    <w:rsid w:val="00303667"/>
    <w:rsid w:val="00304C56"/>
    <w:rsid w:val="00305C7D"/>
    <w:rsid w:val="00311996"/>
    <w:rsid w:val="00312A86"/>
    <w:rsid w:val="00316A2A"/>
    <w:rsid w:val="00322427"/>
    <w:rsid w:val="003251DA"/>
    <w:rsid w:val="00325861"/>
    <w:rsid w:val="0032627C"/>
    <w:rsid w:val="0032763A"/>
    <w:rsid w:val="00330BD3"/>
    <w:rsid w:val="0033440B"/>
    <w:rsid w:val="00334C3E"/>
    <w:rsid w:val="00337459"/>
    <w:rsid w:val="003414FA"/>
    <w:rsid w:val="003435CA"/>
    <w:rsid w:val="00344110"/>
    <w:rsid w:val="00346913"/>
    <w:rsid w:val="0035126D"/>
    <w:rsid w:val="00351659"/>
    <w:rsid w:val="00353C0D"/>
    <w:rsid w:val="0035601D"/>
    <w:rsid w:val="003568EE"/>
    <w:rsid w:val="00361FD0"/>
    <w:rsid w:val="003621CF"/>
    <w:rsid w:val="003628C3"/>
    <w:rsid w:val="00364022"/>
    <w:rsid w:val="003655A7"/>
    <w:rsid w:val="0037051E"/>
    <w:rsid w:val="00375D8E"/>
    <w:rsid w:val="003919CC"/>
    <w:rsid w:val="0039201E"/>
    <w:rsid w:val="00392DE7"/>
    <w:rsid w:val="00395A58"/>
    <w:rsid w:val="0039752D"/>
    <w:rsid w:val="00397B5A"/>
    <w:rsid w:val="003A21D7"/>
    <w:rsid w:val="003A47AB"/>
    <w:rsid w:val="003A604E"/>
    <w:rsid w:val="003A61B4"/>
    <w:rsid w:val="003A7B34"/>
    <w:rsid w:val="003B5517"/>
    <w:rsid w:val="003B6316"/>
    <w:rsid w:val="003B67B5"/>
    <w:rsid w:val="003B7BC5"/>
    <w:rsid w:val="003C1DF6"/>
    <w:rsid w:val="003C22BD"/>
    <w:rsid w:val="003C36FD"/>
    <w:rsid w:val="003D7723"/>
    <w:rsid w:val="003D7730"/>
    <w:rsid w:val="003E099B"/>
    <w:rsid w:val="003E106E"/>
    <w:rsid w:val="003E4D0F"/>
    <w:rsid w:val="003F03E7"/>
    <w:rsid w:val="003F0897"/>
    <w:rsid w:val="003F1DBA"/>
    <w:rsid w:val="003F280B"/>
    <w:rsid w:val="003F3F95"/>
    <w:rsid w:val="003F71CC"/>
    <w:rsid w:val="003F74CB"/>
    <w:rsid w:val="00401728"/>
    <w:rsid w:val="00402AAF"/>
    <w:rsid w:val="00404FEF"/>
    <w:rsid w:val="00405E0A"/>
    <w:rsid w:val="00406947"/>
    <w:rsid w:val="004101FB"/>
    <w:rsid w:val="004165CA"/>
    <w:rsid w:val="0041791D"/>
    <w:rsid w:val="00417AD3"/>
    <w:rsid w:val="00420B98"/>
    <w:rsid w:val="004226B3"/>
    <w:rsid w:val="00423F4A"/>
    <w:rsid w:val="00424F31"/>
    <w:rsid w:val="00425B40"/>
    <w:rsid w:val="00430235"/>
    <w:rsid w:val="00433B3C"/>
    <w:rsid w:val="00434F1D"/>
    <w:rsid w:val="0043565D"/>
    <w:rsid w:val="004361E1"/>
    <w:rsid w:val="00436798"/>
    <w:rsid w:val="00440478"/>
    <w:rsid w:val="004420F0"/>
    <w:rsid w:val="0044428F"/>
    <w:rsid w:val="00452E7E"/>
    <w:rsid w:val="00454B32"/>
    <w:rsid w:val="004553A9"/>
    <w:rsid w:val="00456B6A"/>
    <w:rsid w:val="00456F59"/>
    <w:rsid w:val="004619E6"/>
    <w:rsid w:val="0047194F"/>
    <w:rsid w:val="00476800"/>
    <w:rsid w:val="00481A29"/>
    <w:rsid w:val="00482046"/>
    <w:rsid w:val="004838D7"/>
    <w:rsid w:val="004874CC"/>
    <w:rsid w:val="0048784D"/>
    <w:rsid w:val="00487965"/>
    <w:rsid w:val="00487C90"/>
    <w:rsid w:val="00492160"/>
    <w:rsid w:val="00493942"/>
    <w:rsid w:val="004954DC"/>
    <w:rsid w:val="00495A63"/>
    <w:rsid w:val="004971AB"/>
    <w:rsid w:val="004A0152"/>
    <w:rsid w:val="004A2738"/>
    <w:rsid w:val="004A431A"/>
    <w:rsid w:val="004A5EEF"/>
    <w:rsid w:val="004A65F9"/>
    <w:rsid w:val="004A7CE8"/>
    <w:rsid w:val="004B2477"/>
    <w:rsid w:val="004B4C4F"/>
    <w:rsid w:val="004B65FC"/>
    <w:rsid w:val="004B6D68"/>
    <w:rsid w:val="004C54E0"/>
    <w:rsid w:val="004C5E67"/>
    <w:rsid w:val="004C6FAE"/>
    <w:rsid w:val="004C754B"/>
    <w:rsid w:val="004D001A"/>
    <w:rsid w:val="004D00EE"/>
    <w:rsid w:val="004D1D9C"/>
    <w:rsid w:val="004D47D2"/>
    <w:rsid w:val="004D5E67"/>
    <w:rsid w:val="004D758D"/>
    <w:rsid w:val="004E1AAF"/>
    <w:rsid w:val="004E2ACE"/>
    <w:rsid w:val="004E2D26"/>
    <w:rsid w:val="004E394E"/>
    <w:rsid w:val="004E5331"/>
    <w:rsid w:val="004E62FB"/>
    <w:rsid w:val="004F4B9E"/>
    <w:rsid w:val="004F61FA"/>
    <w:rsid w:val="004F65DE"/>
    <w:rsid w:val="004F74F8"/>
    <w:rsid w:val="005045DF"/>
    <w:rsid w:val="00505140"/>
    <w:rsid w:val="00505C1A"/>
    <w:rsid w:val="00506CF1"/>
    <w:rsid w:val="0051245D"/>
    <w:rsid w:val="0051555F"/>
    <w:rsid w:val="00515B3D"/>
    <w:rsid w:val="00517ED9"/>
    <w:rsid w:val="005204A2"/>
    <w:rsid w:val="005215B5"/>
    <w:rsid w:val="00521E42"/>
    <w:rsid w:val="00525DAC"/>
    <w:rsid w:val="00531280"/>
    <w:rsid w:val="005345A3"/>
    <w:rsid w:val="005346C5"/>
    <w:rsid w:val="00540EC1"/>
    <w:rsid w:val="00542878"/>
    <w:rsid w:val="00546AAF"/>
    <w:rsid w:val="00550A45"/>
    <w:rsid w:val="00551075"/>
    <w:rsid w:val="0055482F"/>
    <w:rsid w:val="0055647C"/>
    <w:rsid w:val="00556EA6"/>
    <w:rsid w:val="00556FF7"/>
    <w:rsid w:val="005632C0"/>
    <w:rsid w:val="00564079"/>
    <w:rsid w:val="00570F2B"/>
    <w:rsid w:val="00571611"/>
    <w:rsid w:val="00573CC1"/>
    <w:rsid w:val="00574D0D"/>
    <w:rsid w:val="005756BB"/>
    <w:rsid w:val="0057576D"/>
    <w:rsid w:val="00575BCC"/>
    <w:rsid w:val="00580522"/>
    <w:rsid w:val="00581037"/>
    <w:rsid w:val="005822EF"/>
    <w:rsid w:val="005860CB"/>
    <w:rsid w:val="00596492"/>
    <w:rsid w:val="005A0D31"/>
    <w:rsid w:val="005A1958"/>
    <w:rsid w:val="005A3036"/>
    <w:rsid w:val="005A44B1"/>
    <w:rsid w:val="005B1687"/>
    <w:rsid w:val="005B341E"/>
    <w:rsid w:val="005B6497"/>
    <w:rsid w:val="005B64DB"/>
    <w:rsid w:val="005B6DDD"/>
    <w:rsid w:val="005B7031"/>
    <w:rsid w:val="005C1B71"/>
    <w:rsid w:val="005C4CFC"/>
    <w:rsid w:val="005D11B5"/>
    <w:rsid w:val="005D1E44"/>
    <w:rsid w:val="005E2DCF"/>
    <w:rsid w:val="005E621F"/>
    <w:rsid w:val="005F0D2E"/>
    <w:rsid w:val="005F1AC2"/>
    <w:rsid w:val="005F3380"/>
    <w:rsid w:val="005F3B1E"/>
    <w:rsid w:val="006011CB"/>
    <w:rsid w:val="00601510"/>
    <w:rsid w:val="006043F6"/>
    <w:rsid w:val="0060544B"/>
    <w:rsid w:val="00610B2F"/>
    <w:rsid w:val="006135E8"/>
    <w:rsid w:val="006148E9"/>
    <w:rsid w:val="006173C0"/>
    <w:rsid w:val="00621613"/>
    <w:rsid w:val="0062356E"/>
    <w:rsid w:val="00634432"/>
    <w:rsid w:val="0063466E"/>
    <w:rsid w:val="006404AA"/>
    <w:rsid w:val="00643BB7"/>
    <w:rsid w:val="006452C4"/>
    <w:rsid w:val="00653735"/>
    <w:rsid w:val="006540F9"/>
    <w:rsid w:val="00656A5C"/>
    <w:rsid w:val="00656C07"/>
    <w:rsid w:val="00662034"/>
    <w:rsid w:val="00666C6A"/>
    <w:rsid w:val="00671803"/>
    <w:rsid w:val="00672173"/>
    <w:rsid w:val="00675740"/>
    <w:rsid w:val="006818A8"/>
    <w:rsid w:val="006839F2"/>
    <w:rsid w:val="006845A4"/>
    <w:rsid w:val="00686351"/>
    <w:rsid w:val="0068742C"/>
    <w:rsid w:val="00692402"/>
    <w:rsid w:val="00692841"/>
    <w:rsid w:val="00692AD8"/>
    <w:rsid w:val="00694128"/>
    <w:rsid w:val="00695048"/>
    <w:rsid w:val="00695E04"/>
    <w:rsid w:val="0069756A"/>
    <w:rsid w:val="006A2BA8"/>
    <w:rsid w:val="006A67EA"/>
    <w:rsid w:val="006B0AD4"/>
    <w:rsid w:val="006B10D3"/>
    <w:rsid w:val="006B4B24"/>
    <w:rsid w:val="006B6194"/>
    <w:rsid w:val="006C027F"/>
    <w:rsid w:val="006C064E"/>
    <w:rsid w:val="006C0E7A"/>
    <w:rsid w:val="006C11FB"/>
    <w:rsid w:val="006C6C10"/>
    <w:rsid w:val="006C6F71"/>
    <w:rsid w:val="006D0C6B"/>
    <w:rsid w:val="006D164B"/>
    <w:rsid w:val="006D582E"/>
    <w:rsid w:val="006D66E7"/>
    <w:rsid w:val="006E403A"/>
    <w:rsid w:val="006E6479"/>
    <w:rsid w:val="006F7C5D"/>
    <w:rsid w:val="00700702"/>
    <w:rsid w:val="007013CE"/>
    <w:rsid w:val="007036AB"/>
    <w:rsid w:val="00703BEC"/>
    <w:rsid w:val="00704062"/>
    <w:rsid w:val="007045CE"/>
    <w:rsid w:val="00706B92"/>
    <w:rsid w:val="0071011C"/>
    <w:rsid w:val="00711BA2"/>
    <w:rsid w:val="00713230"/>
    <w:rsid w:val="00713DEE"/>
    <w:rsid w:val="00713FDA"/>
    <w:rsid w:val="00715B71"/>
    <w:rsid w:val="00721CF1"/>
    <w:rsid w:val="0072266B"/>
    <w:rsid w:val="00722DAA"/>
    <w:rsid w:val="00735A5D"/>
    <w:rsid w:val="0073684F"/>
    <w:rsid w:val="007375EA"/>
    <w:rsid w:val="00737CB9"/>
    <w:rsid w:val="00743C55"/>
    <w:rsid w:val="0074475E"/>
    <w:rsid w:val="00744E5C"/>
    <w:rsid w:val="0074630C"/>
    <w:rsid w:val="00746860"/>
    <w:rsid w:val="007507C4"/>
    <w:rsid w:val="00751F4E"/>
    <w:rsid w:val="00752E17"/>
    <w:rsid w:val="0075360E"/>
    <w:rsid w:val="00753B3B"/>
    <w:rsid w:val="0075719D"/>
    <w:rsid w:val="00770BC1"/>
    <w:rsid w:val="00772AD2"/>
    <w:rsid w:val="00774301"/>
    <w:rsid w:val="00774CD4"/>
    <w:rsid w:val="007801D0"/>
    <w:rsid w:val="007839A4"/>
    <w:rsid w:val="00783B90"/>
    <w:rsid w:val="00784877"/>
    <w:rsid w:val="00785DCC"/>
    <w:rsid w:val="00787636"/>
    <w:rsid w:val="00787A28"/>
    <w:rsid w:val="0079012E"/>
    <w:rsid w:val="007902C8"/>
    <w:rsid w:val="007910E6"/>
    <w:rsid w:val="007928AB"/>
    <w:rsid w:val="007A01E6"/>
    <w:rsid w:val="007A4327"/>
    <w:rsid w:val="007A512C"/>
    <w:rsid w:val="007A610E"/>
    <w:rsid w:val="007B0378"/>
    <w:rsid w:val="007B4ABC"/>
    <w:rsid w:val="007C0A20"/>
    <w:rsid w:val="007C7224"/>
    <w:rsid w:val="007D01AB"/>
    <w:rsid w:val="007D4632"/>
    <w:rsid w:val="007D7290"/>
    <w:rsid w:val="007E03D8"/>
    <w:rsid w:val="007E07EF"/>
    <w:rsid w:val="007E21D0"/>
    <w:rsid w:val="007E4CEE"/>
    <w:rsid w:val="007F1A7D"/>
    <w:rsid w:val="007F1E43"/>
    <w:rsid w:val="007F3727"/>
    <w:rsid w:val="007F6686"/>
    <w:rsid w:val="007F73B5"/>
    <w:rsid w:val="008003DD"/>
    <w:rsid w:val="00804A34"/>
    <w:rsid w:val="008063F3"/>
    <w:rsid w:val="0081071B"/>
    <w:rsid w:val="008116F9"/>
    <w:rsid w:val="0081239C"/>
    <w:rsid w:val="008216B2"/>
    <w:rsid w:val="00821AC0"/>
    <w:rsid w:val="00822355"/>
    <w:rsid w:val="008225E2"/>
    <w:rsid w:val="00822CBB"/>
    <w:rsid w:val="008243FE"/>
    <w:rsid w:val="0083027C"/>
    <w:rsid w:val="0083200B"/>
    <w:rsid w:val="00832903"/>
    <w:rsid w:val="00832CCC"/>
    <w:rsid w:val="008331B8"/>
    <w:rsid w:val="0083506B"/>
    <w:rsid w:val="00837744"/>
    <w:rsid w:val="00840D88"/>
    <w:rsid w:val="00841997"/>
    <w:rsid w:val="00843586"/>
    <w:rsid w:val="008449E1"/>
    <w:rsid w:val="00845433"/>
    <w:rsid w:val="00851206"/>
    <w:rsid w:val="00852388"/>
    <w:rsid w:val="008527AE"/>
    <w:rsid w:val="008555C0"/>
    <w:rsid w:val="00855C0E"/>
    <w:rsid w:val="00855CF4"/>
    <w:rsid w:val="008569B5"/>
    <w:rsid w:val="008577EC"/>
    <w:rsid w:val="008600DF"/>
    <w:rsid w:val="00861426"/>
    <w:rsid w:val="00862C8A"/>
    <w:rsid w:val="0086419D"/>
    <w:rsid w:val="00866713"/>
    <w:rsid w:val="008671C9"/>
    <w:rsid w:val="00867DCE"/>
    <w:rsid w:val="00870A9A"/>
    <w:rsid w:val="00870E0F"/>
    <w:rsid w:val="00871D1B"/>
    <w:rsid w:val="00871E7F"/>
    <w:rsid w:val="00873027"/>
    <w:rsid w:val="00873E83"/>
    <w:rsid w:val="008742C7"/>
    <w:rsid w:val="00875062"/>
    <w:rsid w:val="00875573"/>
    <w:rsid w:val="0087648F"/>
    <w:rsid w:val="008778C9"/>
    <w:rsid w:val="00877C5A"/>
    <w:rsid w:val="00877EEA"/>
    <w:rsid w:val="00882A14"/>
    <w:rsid w:val="00884ED2"/>
    <w:rsid w:val="00885621"/>
    <w:rsid w:val="00892759"/>
    <w:rsid w:val="00892FE1"/>
    <w:rsid w:val="008939BF"/>
    <w:rsid w:val="00897939"/>
    <w:rsid w:val="008A2493"/>
    <w:rsid w:val="008B008A"/>
    <w:rsid w:val="008B089F"/>
    <w:rsid w:val="008B4508"/>
    <w:rsid w:val="008B5DD6"/>
    <w:rsid w:val="008B5E43"/>
    <w:rsid w:val="008B6085"/>
    <w:rsid w:val="008B7A12"/>
    <w:rsid w:val="008C0C8A"/>
    <w:rsid w:val="008C188D"/>
    <w:rsid w:val="008C1981"/>
    <w:rsid w:val="008C2BEE"/>
    <w:rsid w:val="008C5B85"/>
    <w:rsid w:val="008C5C45"/>
    <w:rsid w:val="008D244A"/>
    <w:rsid w:val="008D40C6"/>
    <w:rsid w:val="008D4F52"/>
    <w:rsid w:val="008D594E"/>
    <w:rsid w:val="008D5C24"/>
    <w:rsid w:val="008D7EA4"/>
    <w:rsid w:val="008E0E11"/>
    <w:rsid w:val="008E39EE"/>
    <w:rsid w:val="008E4919"/>
    <w:rsid w:val="008E7F75"/>
    <w:rsid w:val="008F3145"/>
    <w:rsid w:val="008F43D7"/>
    <w:rsid w:val="0090002B"/>
    <w:rsid w:val="009000CE"/>
    <w:rsid w:val="009033B8"/>
    <w:rsid w:val="00910BFC"/>
    <w:rsid w:val="009164E7"/>
    <w:rsid w:val="00916D23"/>
    <w:rsid w:val="009175B8"/>
    <w:rsid w:val="00920019"/>
    <w:rsid w:val="009232F8"/>
    <w:rsid w:val="00925A6C"/>
    <w:rsid w:val="00931D25"/>
    <w:rsid w:val="00932671"/>
    <w:rsid w:val="00935C3F"/>
    <w:rsid w:val="009374D9"/>
    <w:rsid w:val="00940657"/>
    <w:rsid w:val="0094284D"/>
    <w:rsid w:val="0094652A"/>
    <w:rsid w:val="00946A53"/>
    <w:rsid w:val="0094765C"/>
    <w:rsid w:val="00947B9E"/>
    <w:rsid w:val="00947F1D"/>
    <w:rsid w:val="009504A8"/>
    <w:rsid w:val="00950AB6"/>
    <w:rsid w:val="009511AC"/>
    <w:rsid w:val="00951F66"/>
    <w:rsid w:val="0095593D"/>
    <w:rsid w:val="009576B5"/>
    <w:rsid w:val="009635B5"/>
    <w:rsid w:val="0096566F"/>
    <w:rsid w:val="00966793"/>
    <w:rsid w:val="009700CC"/>
    <w:rsid w:val="00981038"/>
    <w:rsid w:val="00983C84"/>
    <w:rsid w:val="00984981"/>
    <w:rsid w:val="009900F0"/>
    <w:rsid w:val="0099039C"/>
    <w:rsid w:val="009915F8"/>
    <w:rsid w:val="00991FAB"/>
    <w:rsid w:val="009923CD"/>
    <w:rsid w:val="00992516"/>
    <w:rsid w:val="00994A81"/>
    <w:rsid w:val="00995184"/>
    <w:rsid w:val="009965C6"/>
    <w:rsid w:val="00996E7D"/>
    <w:rsid w:val="009A1C70"/>
    <w:rsid w:val="009A320F"/>
    <w:rsid w:val="009A5162"/>
    <w:rsid w:val="009A6BA9"/>
    <w:rsid w:val="009A7B80"/>
    <w:rsid w:val="009B26F3"/>
    <w:rsid w:val="009B2A8E"/>
    <w:rsid w:val="009B34C8"/>
    <w:rsid w:val="009B4CC0"/>
    <w:rsid w:val="009B6D08"/>
    <w:rsid w:val="009B6F94"/>
    <w:rsid w:val="009B725D"/>
    <w:rsid w:val="009B7BB0"/>
    <w:rsid w:val="009C0145"/>
    <w:rsid w:val="009D3A39"/>
    <w:rsid w:val="009D4346"/>
    <w:rsid w:val="009D6CD0"/>
    <w:rsid w:val="009E1FC5"/>
    <w:rsid w:val="009E4B5B"/>
    <w:rsid w:val="009E7972"/>
    <w:rsid w:val="009F0ECB"/>
    <w:rsid w:val="009F129A"/>
    <w:rsid w:val="009F143B"/>
    <w:rsid w:val="009F1A81"/>
    <w:rsid w:val="009F317E"/>
    <w:rsid w:val="009F36C2"/>
    <w:rsid w:val="009F51FF"/>
    <w:rsid w:val="00A007D5"/>
    <w:rsid w:val="00A00F08"/>
    <w:rsid w:val="00A01D8C"/>
    <w:rsid w:val="00A0218A"/>
    <w:rsid w:val="00A04178"/>
    <w:rsid w:val="00A0424F"/>
    <w:rsid w:val="00A05CF7"/>
    <w:rsid w:val="00A07FEF"/>
    <w:rsid w:val="00A12DC8"/>
    <w:rsid w:val="00A14324"/>
    <w:rsid w:val="00A1712E"/>
    <w:rsid w:val="00A1735D"/>
    <w:rsid w:val="00A17BDE"/>
    <w:rsid w:val="00A17FBC"/>
    <w:rsid w:val="00A2165F"/>
    <w:rsid w:val="00A25DEB"/>
    <w:rsid w:val="00A27D3D"/>
    <w:rsid w:val="00A27EBF"/>
    <w:rsid w:val="00A306A3"/>
    <w:rsid w:val="00A3173C"/>
    <w:rsid w:val="00A3595E"/>
    <w:rsid w:val="00A365C8"/>
    <w:rsid w:val="00A36A06"/>
    <w:rsid w:val="00A462B2"/>
    <w:rsid w:val="00A462B3"/>
    <w:rsid w:val="00A46BDF"/>
    <w:rsid w:val="00A47990"/>
    <w:rsid w:val="00A47F88"/>
    <w:rsid w:val="00A5395F"/>
    <w:rsid w:val="00A556B0"/>
    <w:rsid w:val="00A57DC8"/>
    <w:rsid w:val="00A61A40"/>
    <w:rsid w:val="00A62116"/>
    <w:rsid w:val="00A62175"/>
    <w:rsid w:val="00A73D26"/>
    <w:rsid w:val="00A77510"/>
    <w:rsid w:val="00A8010E"/>
    <w:rsid w:val="00A80CCB"/>
    <w:rsid w:val="00A81313"/>
    <w:rsid w:val="00A84212"/>
    <w:rsid w:val="00A843B6"/>
    <w:rsid w:val="00A84E32"/>
    <w:rsid w:val="00A87C90"/>
    <w:rsid w:val="00A92D0F"/>
    <w:rsid w:val="00A93C78"/>
    <w:rsid w:val="00A944C6"/>
    <w:rsid w:val="00AA487B"/>
    <w:rsid w:val="00AA4ADE"/>
    <w:rsid w:val="00AA718E"/>
    <w:rsid w:val="00AB1202"/>
    <w:rsid w:val="00AB1476"/>
    <w:rsid w:val="00AB2307"/>
    <w:rsid w:val="00AB5C7C"/>
    <w:rsid w:val="00AC2A8D"/>
    <w:rsid w:val="00AC3638"/>
    <w:rsid w:val="00AD0EB8"/>
    <w:rsid w:val="00AD3859"/>
    <w:rsid w:val="00AD50AE"/>
    <w:rsid w:val="00AD65D0"/>
    <w:rsid w:val="00AD7F5E"/>
    <w:rsid w:val="00AE0F67"/>
    <w:rsid w:val="00AE13D7"/>
    <w:rsid w:val="00AE4536"/>
    <w:rsid w:val="00AE758E"/>
    <w:rsid w:val="00AF3D1D"/>
    <w:rsid w:val="00AF4A63"/>
    <w:rsid w:val="00B00254"/>
    <w:rsid w:val="00B018E7"/>
    <w:rsid w:val="00B02E4C"/>
    <w:rsid w:val="00B03C30"/>
    <w:rsid w:val="00B03EB9"/>
    <w:rsid w:val="00B03F24"/>
    <w:rsid w:val="00B05CCF"/>
    <w:rsid w:val="00B125F6"/>
    <w:rsid w:val="00B14E61"/>
    <w:rsid w:val="00B23B8C"/>
    <w:rsid w:val="00B3300D"/>
    <w:rsid w:val="00B3350D"/>
    <w:rsid w:val="00B3429B"/>
    <w:rsid w:val="00B36B9A"/>
    <w:rsid w:val="00B37F0E"/>
    <w:rsid w:val="00B43AEF"/>
    <w:rsid w:val="00B44017"/>
    <w:rsid w:val="00B4539A"/>
    <w:rsid w:val="00B45BDD"/>
    <w:rsid w:val="00B45D3D"/>
    <w:rsid w:val="00B47566"/>
    <w:rsid w:val="00B50D54"/>
    <w:rsid w:val="00B51AA1"/>
    <w:rsid w:val="00B5317D"/>
    <w:rsid w:val="00B551FC"/>
    <w:rsid w:val="00B55B8B"/>
    <w:rsid w:val="00B560EC"/>
    <w:rsid w:val="00B61B7E"/>
    <w:rsid w:val="00B61C87"/>
    <w:rsid w:val="00B628A5"/>
    <w:rsid w:val="00B6368C"/>
    <w:rsid w:val="00B63844"/>
    <w:rsid w:val="00B67870"/>
    <w:rsid w:val="00B741FE"/>
    <w:rsid w:val="00B74C95"/>
    <w:rsid w:val="00B75B83"/>
    <w:rsid w:val="00B77109"/>
    <w:rsid w:val="00B809F2"/>
    <w:rsid w:val="00B825DA"/>
    <w:rsid w:val="00B83B7A"/>
    <w:rsid w:val="00B90757"/>
    <w:rsid w:val="00B917AD"/>
    <w:rsid w:val="00B95BD3"/>
    <w:rsid w:val="00B96346"/>
    <w:rsid w:val="00B96E08"/>
    <w:rsid w:val="00BA1585"/>
    <w:rsid w:val="00BA1A58"/>
    <w:rsid w:val="00BA321D"/>
    <w:rsid w:val="00BA46BF"/>
    <w:rsid w:val="00BA50A7"/>
    <w:rsid w:val="00BA5929"/>
    <w:rsid w:val="00BA6F82"/>
    <w:rsid w:val="00BA7DA2"/>
    <w:rsid w:val="00BB082E"/>
    <w:rsid w:val="00BB287F"/>
    <w:rsid w:val="00BB4829"/>
    <w:rsid w:val="00BB4F2D"/>
    <w:rsid w:val="00BB6D6A"/>
    <w:rsid w:val="00BC0631"/>
    <w:rsid w:val="00BC1678"/>
    <w:rsid w:val="00BD0AF5"/>
    <w:rsid w:val="00BD1052"/>
    <w:rsid w:val="00BD1DBB"/>
    <w:rsid w:val="00BD1FD7"/>
    <w:rsid w:val="00BD3942"/>
    <w:rsid w:val="00BD4AB4"/>
    <w:rsid w:val="00BE0163"/>
    <w:rsid w:val="00BE0E03"/>
    <w:rsid w:val="00BE2317"/>
    <w:rsid w:val="00BE4F17"/>
    <w:rsid w:val="00BE58FA"/>
    <w:rsid w:val="00BE5AE8"/>
    <w:rsid w:val="00BF15E9"/>
    <w:rsid w:val="00BF24EE"/>
    <w:rsid w:val="00BF3155"/>
    <w:rsid w:val="00BF4B5E"/>
    <w:rsid w:val="00C01F28"/>
    <w:rsid w:val="00C027A8"/>
    <w:rsid w:val="00C111F4"/>
    <w:rsid w:val="00C12241"/>
    <w:rsid w:val="00C12724"/>
    <w:rsid w:val="00C15036"/>
    <w:rsid w:val="00C20B6D"/>
    <w:rsid w:val="00C319DD"/>
    <w:rsid w:val="00C31EFF"/>
    <w:rsid w:val="00C34783"/>
    <w:rsid w:val="00C34C7B"/>
    <w:rsid w:val="00C3563C"/>
    <w:rsid w:val="00C35B3F"/>
    <w:rsid w:val="00C370C0"/>
    <w:rsid w:val="00C37BC5"/>
    <w:rsid w:val="00C44268"/>
    <w:rsid w:val="00C46F8B"/>
    <w:rsid w:val="00C47A4A"/>
    <w:rsid w:val="00C53B29"/>
    <w:rsid w:val="00C627A7"/>
    <w:rsid w:val="00C65EE7"/>
    <w:rsid w:val="00C6729B"/>
    <w:rsid w:val="00C73B42"/>
    <w:rsid w:val="00C7795B"/>
    <w:rsid w:val="00C81039"/>
    <w:rsid w:val="00C8297E"/>
    <w:rsid w:val="00C82BC9"/>
    <w:rsid w:val="00C8479A"/>
    <w:rsid w:val="00C85139"/>
    <w:rsid w:val="00C87034"/>
    <w:rsid w:val="00C8725A"/>
    <w:rsid w:val="00C8743D"/>
    <w:rsid w:val="00C90AFA"/>
    <w:rsid w:val="00C952A6"/>
    <w:rsid w:val="00C96202"/>
    <w:rsid w:val="00CA4ABB"/>
    <w:rsid w:val="00CA5963"/>
    <w:rsid w:val="00CB04FB"/>
    <w:rsid w:val="00CB3CAD"/>
    <w:rsid w:val="00CB569B"/>
    <w:rsid w:val="00CB6E95"/>
    <w:rsid w:val="00CB7054"/>
    <w:rsid w:val="00CC0C18"/>
    <w:rsid w:val="00CC1B43"/>
    <w:rsid w:val="00CC2277"/>
    <w:rsid w:val="00CC3ACB"/>
    <w:rsid w:val="00CC4AE7"/>
    <w:rsid w:val="00CC7C64"/>
    <w:rsid w:val="00CD17BC"/>
    <w:rsid w:val="00CD2791"/>
    <w:rsid w:val="00CD55E7"/>
    <w:rsid w:val="00CE2DB1"/>
    <w:rsid w:val="00CE6C6A"/>
    <w:rsid w:val="00CE77AF"/>
    <w:rsid w:val="00CF0D27"/>
    <w:rsid w:val="00CF535D"/>
    <w:rsid w:val="00CF53CF"/>
    <w:rsid w:val="00CF6B51"/>
    <w:rsid w:val="00D01735"/>
    <w:rsid w:val="00D027ED"/>
    <w:rsid w:val="00D0447C"/>
    <w:rsid w:val="00D055FB"/>
    <w:rsid w:val="00D10BAC"/>
    <w:rsid w:val="00D111E0"/>
    <w:rsid w:val="00D1150C"/>
    <w:rsid w:val="00D11A6F"/>
    <w:rsid w:val="00D11AB9"/>
    <w:rsid w:val="00D12BD6"/>
    <w:rsid w:val="00D151BD"/>
    <w:rsid w:val="00D160FF"/>
    <w:rsid w:val="00D16393"/>
    <w:rsid w:val="00D21EBC"/>
    <w:rsid w:val="00D24570"/>
    <w:rsid w:val="00D371AD"/>
    <w:rsid w:val="00D4331B"/>
    <w:rsid w:val="00D501E0"/>
    <w:rsid w:val="00D5127C"/>
    <w:rsid w:val="00D56913"/>
    <w:rsid w:val="00D60EF5"/>
    <w:rsid w:val="00D61069"/>
    <w:rsid w:val="00D6284E"/>
    <w:rsid w:val="00D63986"/>
    <w:rsid w:val="00D63F58"/>
    <w:rsid w:val="00D64593"/>
    <w:rsid w:val="00D657A9"/>
    <w:rsid w:val="00D66461"/>
    <w:rsid w:val="00D70103"/>
    <w:rsid w:val="00D73CC3"/>
    <w:rsid w:val="00D7471F"/>
    <w:rsid w:val="00D7549E"/>
    <w:rsid w:val="00D77A0C"/>
    <w:rsid w:val="00D80EC5"/>
    <w:rsid w:val="00D82117"/>
    <w:rsid w:val="00D92E89"/>
    <w:rsid w:val="00D93DF0"/>
    <w:rsid w:val="00D95D21"/>
    <w:rsid w:val="00DA2334"/>
    <w:rsid w:val="00DB062C"/>
    <w:rsid w:val="00DB1106"/>
    <w:rsid w:val="00DB61D2"/>
    <w:rsid w:val="00DB6C36"/>
    <w:rsid w:val="00DB7096"/>
    <w:rsid w:val="00DB75B7"/>
    <w:rsid w:val="00DC1579"/>
    <w:rsid w:val="00DC4690"/>
    <w:rsid w:val="00DC5820"/>
    <w:rsid w:val="00DC5CD0"/>
    <w:rsid w:val="00DC7223"/>
    <w:rsid w:val="00DC75FB"/>
    <w:rsid w:val="00DC7F5D"/>
    <w:rsid w:val="00DD17F2"/>
    <w:rsid w:val="00DD1BDB"/>
    <w:rsid w:val="00DD4367"/>
    <w:rsid w:val="00DD438A"/>
    <w:rsid w:val="00DD6E1B"/>
    <w:rsid w:val="00DE01BE"/>
    <w:rsid w:val="00DE1823"/>
    <w:rsid w:val="00DE4A79"/>
    <w:rsid w:val="00DE4DA4"/>
    <w:rsid w:val="00DE4F55"/>
    <w:rsid w:val="00DE5A0D"/>
    <w:rsid w:val="00DE5A35"/>
    <w:rsid w:val="00DE5C10"/>
    <w:rsid w:val="00DE6D62"/>
    <w:rsid w:val="00DE7823"/>
    <w:rsid w:val="00DE7934"/>
    <w:rsid w:val="00DF018F"/>
    <w:rsid w:val="00DF0EEE"/>
    <w:rsid w:val="00DF1F9C"/>
    <w:rsid w:val="00DF362D"/>
    <w:rsid w:val="00DF3742"/>
    <w:rsid w:val="00DF61A4"/>
    <w:rsid w:val="00DF711C"/>
    <w:rsid w:val="00E01083"/>
    <w:rsid w:val="00E056BD"/>
    <w:rsid w:val="00E12DE7"/>
    <w:rsid w:val="00E145E5"/>
    <w:rsid w:val="00E164D7"/>
    <w:rsid w:val="00E16569"/>
    <w:rsid w:val="00E16E37"/>
    <w:rsid w:val="00E2526E"/>
    <w:rsid w:val="00E2785B"/>
    <w:rsid w:val="00E3078B"/>
    <w:rsid w:val="00E33089"/>
    <w:rsid w:val="00E335A5"/>
    <w:rsid w:val="00E33788"/>
    <w:rsid w:val="00E340A6"/>
    <w:rsid w:val="00E37556"/>
    <w:rsid w:val="00E4195C"/>
    <w:rsid w:val="00E50521"/>
    <w:rsid w:val="00E554E1"/>
    <w:rsid w:val="00E61B1C"/>
    <w:rsid w:val="00E62E55"/>
    <w:rsid w:val="00E7073F"/>
    <w:rsid w:val="00E70CEE"/>
    <w:rsid w:val="00E72E75"/>
    <w:rsid w:val="00E73DEB"/>
    <w:rsid w:val="00E747FE"/>
    <w:rsid w:val="00E75E43"/>
    <w:rsid w:val="00E8117F"/>
    <w:rsid w:val="00E837E7"/>
    <w:rsid w:val="00E83AFE"/>
    <w:rsid w:val="00E87354"/>
    <w:rsid w:val="00E91A6B"/>
    <w:rsid w:val="00E95ACF"/>
    <w:rsid w:val="00E969C1"/>
    <w:rsid w:val="00E96F3A"/>
    <w:rsid w:val="00E971F0"/>
    <w:rsid w:val="00EA16F7"/>
    <w:rsid w:val="00EA1A7F"/>
    <w:rsid w:val="00EA1E85"/>
    <w:rsid w:val="00EA2977"/>
    <w:rsid w:val="00EA49ED"/>
    <w:rsid w:val="00EA717B"/>
    <w:rsid w:val="00EB005A"/>
    <w:rsid w:val="00EB46B7"/>
    <w:rsid w:val="00EB4B4C"/>
    <w:rsid w:val="00EB55F2"/>
    <w:rsid w:val="00EC11D6"/>
    <w:rsid w:val="00EC2702"/>
    <w:rsid w:val="00EC5F3A"/>
    <w:rsid w:val="00ED14C7"/>
    <w:rsid w:val="00ED17E4"/>
    <w:rsid w:val="00ED56EF"/>
    <w:rsid w:val="00ED6C4F"/>
    <w:rsid w:val="00EE02A8"/>
    <w:rsid w:val="00EE0D9B"/>
    <w:rsid w:val="00EE3489"/>
    <w:rsid w:val="00EE388E"/>
    <w:rsid w:val="00EF24A0"/>
    <w:rsid w:val="00EF2C5C"/>
    <w:rsid w:val="00EF2D3A"/>
    <w:rsid w:val="00EF4F9D"/>
    <w:rsid w:val="00EF7BF3"/>
    <w:rsid w:val="00F11DDB"/>
    <w:rsid w:val="00F15344"/>
    <w:rsid w:val="00F163E3"/>
    <w:rsid w:val="00F179DB"/>
    <w:rsid w:val="00F20548"/>
    <w:rsid w:val="00F20EFE"/>
    <w:rsid w:val="00F21C34"/>
    <w:rsid w:val="00F22D36"/>
    <w:rsid w:val="00F25B15"/>
    <w:rsid w:val="00F30188"/>
    <w:rsid w:val="00F3480A"/>
    <w:rsid w:val="00F3630A"/>
    <w:rsid w:val="00F367F1"/>
    <w:rsid w:val="00F4210F"/>
    <w:rsid w:val="00F42698"/>
    <w:rsid w:val="00F42D7E"/>
    <w:rsid w:val="00F51E99"/>
    <w:rsid w:val="00F56A55"/>
    <w:rsid w:val="00F60F70"/>
    <w:rsid w:val="00F6441D"/>
    <w:rsid w:val="00F655F9"/>
    <w:rsid w:val="00F66D9A"/>
    <w:rsid w:val="00F66F1B"/>
    <w:rsid w:val="00F675AE"/>
    <w:rsid w:val="00F70CE9"/>
    <w:rsid w:val="00F71148"/>
    <w:rsid w:val="00F71625"/>
    <w:rsid w:val="00F72512"/>
    <w:rsid w:val="00F72E0C"/>
    <w:rsid w:val="00F74E2B"/>
    <w:rsid w:val="00F80AB9"/>
    <w:rsid w:val="00F80B94"/>
    <w:rsid w:val="00F81D5A"/>
    <w:rsid w:val="00F834BF"/>
    <w:rsid w:val="00F83F11"/>
    <w:rsid w:val="00F865DE"/>
    <w:rsid w:val="00F94284"/>
    <w:rsid w:val="00FA3723"/>
    <w:rsid w:val="00FA4E00"/>
    <w:rsid w:val="00FA4EBB"/>
    <w:rsid w:val="00FA643E"/>
    <w:rsid w:val="00FB179C"/>
    <w:rsid w:val="00FB2ABD"/>
    <w:rsid w:val="00FB4B7C"/>
    <w:rsid w:val="00FC37C6"/>
    <w:rsid w:val="00FC3AAB"/>
    <w:rsid w:val="00FC3FA3"/>
    <w:rsid w:val="00FC5429"/>
    <w:rsid w:val="00FD13A0"/>
    <w:rsid w:val="00FD3A1E"/>
    <w:rsid w:val="00FD489F"/>
    <w:rsid w:val="00FD7D37"/>
    <w:rsid w:val="00FE0DBE"/>
    <w:rsid w:val="00FE1625"/>
    <w:rsid w:val="00FE21B8"/>
    <w:rsid w:val="00FE267E"/>
    <w:rsid w:val="00FE2F88"/>
    <w:rsid w:val="00FE58B8"/>
    <w:rsid w:val="00FF08FA"/>
    <w:rsid w:val="00FF09B0"/>
    <w:rsid w:val="00FF12AA"/>
    <w:rsid w:val="00FF1D79"/>
    <w:rsid w:val="00FF2E80"/>
    <w:rsid w:val="00FF6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103"/>
  </w:style>
  <w:style w:type="paragraph" w:styleId="Heading1">
    <w:name w:val="heading 1"/>
    <w:basedOn w:val="Normal"/>
    <w:link w:val="Heading1Char"/>
    <w:uiPriority w:val="9"/>
    <w:qFormat/>
    <w:rsid w:val="00D70103"/>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D70103"/>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D70103"/>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D70103"/>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D70103"/>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103"/>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D70103"/>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D70103"/>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D70103"/>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D70103"/>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D70103"/>
    <w:rPr>
      <w:rFonts w:ascii="Arial" w:hAnsi="Arial" w:cs="Arial" w:hint="default"/>
      <w:strike w:val="0"/>
      <w:dstrike w:val="0"/>
      <w:color w:val="0000FF"/>
      <w:sz w:val="17"/>
      <w:szCs w:val="17"/>
      <w:u w:val="none"/>
      <w:effect w:val="none"/>
    </w:rPr>
  </w:style>
  <w:style w:type="paragraph" w:styleId="NormalWeb">
    <w:name w:val="Normal (Web)"/>
    <w:basedOn w:val="Normal"/>
    <w:uiPriority w:val="99"/>
    <w:semiHidden/>
    <w:unhideWhenUsed/>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D70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D70103"/>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D70103"/>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D7010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D70103"/>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D70103"/>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D70103"/>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menu-home-title">
    <w:name w:val="menu-home-title"/>
    <w:basedOn w:val="Normal"/>
    <w:rsid w:val="00D70103"/>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D70103"/>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D70103"/>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D70103"/>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D70103"/>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D70103"/>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D70103"/>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D70103"/>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D70103"/>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D70103"/>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D70103"/>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D70103"/>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D70103"/>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D70103"/>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D70103"/>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D7010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D70103"/>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D70103"/>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D70103"/>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D70103"/>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D70103"/>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D70103"/>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D70103"/>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updatebodytest">
    <w:name w:val="updatebodytest"/>
    <w:basedOn w:val="Normal"/>
    <w:rsid w:val="00D70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D7010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D70103"/>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D70103"/>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D70103"/>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D70103"/>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D70103"/>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D70103"/>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D70103"/>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D70103"/>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D70103"/>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D70103"/>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D70103"/>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D70103"/>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D70103"/>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D70103"/>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D70103"/>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D70103"/>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D70103"/>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D70103"/>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D70103"/>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D701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D701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D70103"/>
    <w:rPr>
      <w:shd w:val="clear" w:color="auto" w:fill="FFFFFF"/>
    </w:rPr>
  </w:style>
  <w:style w:type="character" w:customStyle="1" w:styleId="pdash">
    <w:name w:val="pdash"/>
    <w:basedOn w:val="DefaultParagraphFont"/>
    <w:rsid w:val="00D70103"/>
    <w:rPr>
      <w:shd w:val="clear" w:color="auto" w:fill="FFFFFF"/>
    </w:rPr>
  </w:style>
  <w:style w:type="character" w:customStyle="1" w:styleId="top-menu-pipe1">
    <w:name w:val="top-menu-pipe1"/>
    <w:basedOn w:val="DefaultParagraphFont"/>
    <w:rsid w:val="00D70103"/>
  </w:style>
  <w:style w:type="paragraph" w:styleId="z-TopofForm">
    <w:name w:val="HTML Top of Form"/>
    <w:basedOn w:val="Normal"/>
    <w:next w:val="Normal"/>
    <w:link w:val="z-TopofFormChar"/>
    <w:hidden/>
    <w:uiPriority w:val="99"/>
    <w:semiHidden/>
    <w:unhideWhenUsed/>
    <w:rsid w:val="00D7010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7010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7010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70103"/>
    <w:rPr>
      <w:rFonts w:ascii="Arial" w:eastAsia="Times New Roman" w:hAnsi="Arial" w:cs="Arial"/>
      <w:vanish/>
      <w:sz w:val="16"/>
      <w:szCs w:val="16"/>
    </w:rPr>
  </w:style>
  <w:style w:type="paragraph" w:customStyle="1" w:styleId="gpotblnote">
    <w:name w:val="gpotbl_note"/>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D70103"/>
    <w:rPr>
      <w:smallCaps w:val="0"/>
      <w:sz w:val="17"/>
      <w:szCs w:val="17"/>
      <w:vertAlign w:val="superscript"/>
    </w:rPr>
  </w:style>
  <w:style w:type="paragraph" w:styleId="BalloonText">
    <w:name w:val="Balloon Text"/>
    <w:basedOn w:val="Normal"/>
    <w:link w:val="BalloonTextChar"/>
    <w:uiPriority w:val="99"/>
    <w:semiHidden/>
    <w:unhideWhenUsed/>
    <w:rsid w:val="00D70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103"/>
    <w:rPr>
      <w:rFonts w:ascii="Tahoma" w:hAnsi="Tahoma" w:cs="Tahoma"/>
      <w:sz w:val="16"/>
      <w:szCs w:val="16"/>
    </w:rPr>
  </w:style>
  <w:style w:type="paragraph" w:styleId="Header">
    <w:name w:val="header"/>
    <w:basedOn w:val="Normal"/>
    <w:link w:val="HeaderChar"/>
    <w:uiPriority w:val="99"/>
    <w:unhideWhenUsed/>
    <w:rsid w:val="00206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BE8"/>
  </w:style>
  <w:style w:type="paragraph" w:styleId="Footer">
    <w:name w:val="footer"/>
    <w:basedOn w:val="Normal"/>
    <w:link w:val="FooterChar"/>
    <w:uiPriority w:val="99"/>
    <w:unhideWhenUsed/>
    <w:rsid w:val="00206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B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103"/>
  </w:style>
  <w:style w:type="paragraph" w:styleId="Heading1">
    <w:name w:val="heading 1"/>
    <w:basedOn w:val="Normal"/>
    <w:link w:val="Heading1Char"/>
    <w:uiPriority w:val="9"/>
    <w:qFormat/>
    <w:rsid w:val="00D70103"/>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D70103"/>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D70103"/>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D70103"/>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D70103"/>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103"/>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D70103"/>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D70103"/>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D70103"/>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D70103"/>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D70103"/>
    <w:rPr>
      <w:rFonts w:ascii="Arial" w:hAnsi="Arial" w:cs="Arial" w:hint="default"/>
      <w:strike w:val="0"/>
      <w:dstrike w:val="0"/>
      <w:color w:val="0000FF"/>
      <w:sz w:val="17"/>
      <w:szCs w:val="17"/>
      <w:u w:val="none"/>
      <w:effect w:val="none"/>
    </w:rPr>
  </w:style>
  <w:style w:type="paragraph" w:styleId="NormalWeb">
    <w:name w:val="Normal (Web)"/>
    <w:basedOn w:val="Normal"/>
    <w:uiPriority w:val="99"/>
    <w:semiHidden/>
    <w:unhideWhenUsed/>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D7010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D70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D70103"/>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D70103"/>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D7010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D70103"/>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D70103"/>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D70103"/>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menu-home-title">
    <w:name w:val="menu-home-title"/>
    <w:basedOn w:val="Normal"/>
    <w:rsid w:val="00D70103"/>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D70103"/>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D70103"/>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D70103"/>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D70103"/>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D70103"/>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D70103"/>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D70103"/>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D70103"/>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D70103"/>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D70103"/>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D70103"/>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D70103"/>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D70103"/>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D70103"/>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D7010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D70103"/>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D70103"/>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D70103"/>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D70103"/>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D70103"/>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D70103"/>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D70103"/>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updatebodytest">
    <w:name w:val="updatebodytest"/>
    <w:basedOn w:val="Normal"/>
    <w:rsid w:val="00D70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D7010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D70103"/>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D70103"/>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D70103"/>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D70103"/>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D70103"/>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D70103"/>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D70103"/>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D70103"/>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D70103"/>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D70103"/>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D70103"/>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D70103"/>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D70103"/>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D70103"/>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D70103"/>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D70103"/>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D70103"/>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D70103"/>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D70103"/>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D70103"/>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D70103"/>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D70103"/>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D70103"/>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D70103"/>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D70103"/>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D701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D701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D70103"/>
    <w:rPr>
      <w:shd w:val="clear" w:color="auto" w:fill="FFFFFF"/>
    </w:rPr>
  </w:style>
  <w:style w:type="character" w:customStyle="1" w:styleId="pdash">
    <w:name w:val="pdash"/>
    <w:basedOn w:val="DefaultParagraphFont"/>
    <w:rsid w:val="00D70103"/>
    <w:rPr>
      <w:shd w:val="clear" w:color="auto" w:fill="FFFFFF"/>
    </w:rPr>
  </w:style>
  <w:style w:type="character" w:customStyle="1" w:styleId="top-menu-pipe1">
    <w:name w:val="top-menu-pipe1"/>
    <w:basedOn w:val="DefaultParagraphFont"/>
    <w:rsid w:val="00D70103"/>
  </w:style>
  <w:style w:type="paragraph" w:styleId="z-TopofForm">
    <w:name w:val="HTML Top of Form"/>
    <w:basedOn w:val="Normal"/>
    <w:next w:val="Normal"/>
    <w:link w:val="z-TopofFormChar"/>
    <w:hidden/>
    <w:uiPriority w:val="99"/>
    <w:semiHidden/>
    <w:unhideWhenUsed/>
    <w:rsid w:val="00D7010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7010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7010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70103"/>
    <w:rPr>
      <w:rFonts w:ascii="Arial" w:eastAsia="Times New Roman" w:hAnsi="Arial" w:cs="Arial"/>
      <w:vanish/>
      <w:sz w:val="16"/>
      <w:szCs w:val="16"/>
    </w:rPr>
  </w:style>
  <w:style w:type="paragraph" w:customStyle="1" w:styleId="gpotblnote">
    <w:name w:val="gpotbl_note"/>
    <w:basedOn w:val="Normal"/>
    <w:rsid w:val="00D70103"/>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D70103"/>
    <w:rPr>
      <w:smallCaps w:val="0"/>
      <w:sz w:val="17"/>
      <w:szCs w:val="17"/>
      <w:vertAlign w:val="superscript"/>
    </w:rPr>
  </w:style>
  <w:style w:type="paragraph" w:styleId="BalloonText">
    <w:name w:val="Balloon Text"/>
    <w:basedOn w:val="Normal"/>
    <w:link w:val="BalloonTextChar"/>
    <w:uiPriority w:val="99"/>
    <w:semiHidden/>
    <w:unhideWhenUsed/>
    <w:rsid w:val="00D70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103"/>
    <w:rPr>
      <w:rFonts w:ascii="Tahoma" w:hAnsi="Tahoma" w:cs="Tahoma"/>
      <w:sz w:val="16"/>
      <w:szCs w:val="16"/>
    </w:rPr>
  </w:style>
  <w:style w:type="paragraph" w:styleId="Header">
    <w:name w:val="header"/>
    <w:basedOn w:val="Normal"/>
    <w:link w:val="HeaderChar"/>
    <w:uiPriority w:val="99"/>
    <w:unhideWhenUsed/>
    <w:rsid w:val="00206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BE8"/>
  </w:style>
  <w:style w:type="paragraph" w:styleId="Footer">
    <w:name w:val="footer"/>
    <w:basedOn w:val="Normal"/>
    <w:link w:val="FooterChar"/>
    <w:uiPriority w:val="99"/>
    <w:unhideWhenUsed/>
    <w:rsid w:val="00206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cfr.gov/cgi-bin/text-idx?SID=fce2ae0bf3f8a67e60e0085338ee568e&amp;mc=true&amp;node=pt29.8.1926&amp;rgn=div5" TargetMode="External"/><Relationship Id="rId299" Type="http://schemas.openxmlformats.org/officeDocument/2006/relationships/hyperlink" Target="http://www.ecfr.gov/graphics/pdfs/er09au10.004.pdf" TargetMode="External"/><Relationship Id="rId303" Type="http://schemas.openxmlformats.org/officeDocument/2006/relationships/footer" Target="footer1.xml"/><Relationship Id="rId21" Type="http://schemas.openxmlformats.org/officeDocument/2006/relationships/hyperlink" Target="http://www.ecfr.gov/cgi-bin/text-idx?SID=fce2ae0bf3f8a67e60e0085338ee568e&amp;mc=true&amp;node=pt29.8.1926&amp;rgn=div5" TargetMode="External"/><Relationship Id="rId42" Type="http://schemas.openxmlformats.org/officeDocument/2006/relationships/hyperlink" Target="http://www.ecfr.gov/cgi-bin/text-idx?SID=fce2ae0bf3f8a67e60e0085338ee568e&amp;mc=true&amp;node=pt29.8.1926&amp;rgn=div5" TargetMode="External"/><Relationship Id="rId63" Type="http://schemas.openxmlformats.org/officeDocument/2006/relationships/image" Target="media/image7.gif"/><Relationship Id="rId84" Type="http://schemas.openxmlformats.org/officeDocument/2006/relationships/hyperlink" Target="http://www.ecfr.gov/cgi-bin/text-idx?SID=fce2ae0bf3f8a67e60e0085338ee568e&amp;mc=true&amp;node=pt29.8.1926&amp;rgn=div5" TargetMode="External"/><Relationship Id="rId138" Type="http://schemas.openxmlformats.org/officeDocument/2006/relationships/image" Target="media/image39.gif"/><Relationship Id="rId159" Type="http://schemas.openxmlformats.org/officeDocument/2006/relationships/hyperlink" Target="http://www.ecfr.gov/cgi-bin/text-idx?SID=fce2ae0bf3f8a67e60e0085338ee568e&amp;mc=true&amp;node=pt29.8.1926&amp;rgn=div5" TargetMode="External"/><Relationship Id="rId170" Type="http://schemas.openxmlformats.org/officeDocument/2006/relationships/hyperlink" Target="http://www.ecfr.gov/cgi-bin/text-idx?SID=fce2ae0bf3f8a67e60e0085338ee568e&amp;mc=true&amp;node=pt29.8.1926&amp;rgn=div5" TargetMode="External"/><Relationship Id="rId191" Type="http://schemas.openxmlformats.org/officeDocument/2006/relationships/image" Target="media/image49.gif"/><Relationship Id="rId205" Type="http://schemas.openxmlformats.org/officeDocument/2006/relationships/image" Target="media/image56.gif"/><Relationship Id="rId226" Type="http://schemas.openxmlformats.org/officeDocument/2006/relationships/hyperlink" Target="http://www.ecfr.gov/cgi-bin/text-idx?SID=fce2ae0bf3f8a67e60e0085338ee568e&amp;mc=true&amp;node=pt29.8.1926&amp;rgn=div5" TargetMode="External"/><Relationship Id="rId247" Type="http://schemas.openxmlformats.org/officeDocument/2006/relationships/hyperlink" Target="http://www.ecfr.gov/cgi-bin/text-idx?SID=fce2ae0bf3f8a67e60e0085338ee568e&amp;mc=true&amp;node=pt29.8.1926&amp;rgn=div5" TargetMode="External"/><Relationship Id="rId107" Type="http://schemas.openxmlformats.org/officeDocument/2006/relationships/image" Target="media/image25.gif"/><Relationship Id="rId268" Type="http://schemas.openxmlformats.org/officeDocument/2006/relationships/hyperlink" Target="http://www.ecfr.gov/cgi-bin/text-idx?SID=fce2ae0bf3f8a67e60e0085338ee568e&amp;mc=true&amp;node=pt29.8.1926&amp;rgn=div5" TargetMode="External"/><Relationship Id="rId289" Type="http://schemas.openxmlformats.org/officeDocument/2006/relationships/hyperlink" Target="http://www.ecfr.gov/cgi-bin/text-idx?SID=fce2ae0bf3f8a67e60e0085338ee568e&amp;mc=true&amp;node=pt29.8.1926&amp;rgn=div5" TargetMode="External"/><Relationship Id="rId11" Type="http://schemas.openxmlformats.org/officeDocument/2006/relationships/hyperlink" Target="http://www.ecfr.gov/cgi-bin/text-idx?gp=&amp;SID=fce2ae0bf3f8a67e60e0085338ee568e&amp;mc=true&amp;tpl=/ecfrbrowse/Title29/29chapterXVII.tpl" TargetMode="External"/><Relationship Id="rId32" Type="http://schemas.openxmlformats.org/officeDocument/2006/relationships/hyperlink" Target="http://www.ecfr.gov/cgi-bin/text-idx?SID=fce2ae0bf3f8a67e60e0085338ee568e&amp;mc=true&amp;node=pt29.8.1926&amp;rgn=div5" TargetMode="External"/><Relationship Id="rId53" Type="http://schemas.openxmlformats.org/officeDocument/2006/relationships/hyperlink" Target="http://www.ecfr.gov/cgi-bin/text-idx?SID=fce2ae0bf3f8a67e60e0085338ee568e&amp;mc=true&amp;node=pt29.8.1926&amp;rgn=div5" TargetMode="External"/><Relationship Id="rId74" Type="http://schemas.openxmlformats.org/officeDocument/2006/relationships/image" Target="media/image12.gif"/><Relationship Id="rId128" Type="http://schemas.openxmlformats.org/officeDocument/2006/relationships/image" Target="media/image34.gif"/><Relationship Id="rId149" Type="http://schemas.openxmlformats.org/officeDocument/2006/relationships/hyperlink" Target="http://www.ecfr.gov/cgi-bin/text-idx?SID=fce2ae0bf3f8a67e60e0085338ee568e&amp;mc=true&amp;node=pt29.8.1926&amp;rgn=div5" TargetMode="External"/><Relationship Id="rId5" Type="http://schemas.openxmlformats.org/officeDocument/2006/relationships/webSettings" Target="webSettings.xml"/><Relationship Id="rId95" Type="http://schemas.openxmlformats.org/officeDocument/2006/relationships/image" Target="media/image19.gif"/><Relationship Id="rId160" Type="http://schemas.openxmlformats.org/officeDocument/2006/relationships/hyperlink" Target="http://www.ecfr.gov/cgi-bin/text-idx?SID=fce2ae0bf3f8a67e60e0085338ee568e&amp;mc=true&amp;node=pt29.8.1926&amp;rgn=div5" TargetMode="External"/><Relationship Id="rId181" Type="http://schemas.openxmlformats.org/officeDocument/2006/relationships/image" Target="media/image44.gif"/><Relationship Id="rId216" Type="http://schemas.openxmlformats.org/officeDocument/2006/relationships/hyperlink" Target="http://www.ecfr.gov/graphics/pdfs/ec30oc91.074.pdf" TargetMode="External"/><Relationship Id="rId237" Type="http://schemas.openxmlformats.org/officeDocument/2006/relationships/hyperlink" Target="http://www.ecfr.gov/cgi-bin/text-idx?SID=fce2ae0bf3f8a67e60e0085338ee568e&amp;mc=true&amp;node=pt29.8.1926&amp;rgn=div5" TargetMode="External"/><Relationship Id="rId258" Type="http://schemas.openxmlformats.org/officeDocument/2006/relationships/hyperlink" Target="http://www.ecfr.gov/cgi-bin/text-idx?SID=fce2ae0bf3f8a67e60e0085338ee568e&amp;mc=true&amp;node=pt29.8.1926&amp;rgn=div5" TargetMode="External"/><Relationship Id="rId279" Type="http://schemas.openxmlformats.org/officeDocument/2006/relationships/hyperlink" Target="http://www.ecfr.gov/cgi-bin/text-idx?SID=fce2ae0bf3f8a67e60e0085338ee568e&amp;mc=true&amp;node=pt29.8.1926&amp;rgn=div5" TargetMode="External"/><Relationship Id="rId22" Type="http://schemas.openxmlformats.org/officeDocument/2006/relationships/hyperlink" Target="http://www.ecfr.gov/cgi-bin/text-idx?SID=fce2ae0bf3f8a67e60e0085338ee568e&amp;mc=true&amp;node=pt29.8.1926&amp;rgn=div5" TargetMode="External"/><Relationship Id="rId43" Type="http://schemas.openxmlformats.org/officeDocument/2006/relationships/hyperlink" Target="http://www.ecfr.gov/cgi-bin/text-idx?SID=fce2ae0bf3f8a67e60e0085338ee568e&amp;mc=true&amp;node=pt29.8.1926&amp;rgn=div5" TargetMode="External"/><Relationship Id="rId64" Type="http://schemas.openxmlformats.org/officeDocument/2006/relationships/hyperlink" Target="http://www.ecfr.gov/graphics/pdfs/er11ap14.038.pdf" TargetMode="External"/><Relationship Id="rId118" Type="http://schemas.openxmlformats.org/officeDocument/2006/relationships/image" Target="media/image29.gif"/><Relationship Id="rId139" Type="http://schemas.openxmlformats.org/officeDocument/2006/relationships/hyperlink" Target="http://www.ecfr.gov/graphics/pdfs/er20jy06.019.pdf" TargetMode="External"/><Relationship Id="rId290" Type="http://schemas.openxmlformats.org/officeDocument/2006/relationships/hyperlink" Target="http://www.ecfr.gov/cgi-bin/text-idx?SID=fce2ae0bf3f8a67e60e0085338ee568e&amp;mc=true&amp;node=pt29.8.1926&amp;rgn=div5" TargetMode="External"/><Relationship Id="rId304" Type="http://schemas.openxmlformats.org/officeDocument/2006/relationships/fontTable" Target="fontTable.xml"/><Relationship Id="rId85" Type="http://schemas.openxmlformats.org/officeDocument/2006/relationships/hyperlink" Target="http://www.ecfr.gov/cgi-bin/text-idx?SID=fce2ae0bf3f8a67e60e0085338ee568e&amp;mc=true&amp;node=pt29.8.1926&amp;rgn=div5" TargetMode="External"/><Relationship Id="rId150" Type="http://schemas.openxmlformats.org/officeDocument/2006/relationships/hyperlink" Target="http://www.ecfr.gov/cgi-bin/text-idx?SID=fce2ae0bf3f8a67e60e0085338ee568e&amp;mc=true&amp;node=pt29.8.1926&amp;rgn=div5" TargetMode="External"/><Relationship Id="rId171" Type="http://schemas.openxmlformats.org/officeDocument/2006/relationships/hyperlink" Target="http://www.ecfr.gov/cgi-bin/text-idx?SID=fce2ae0bf3f8a67e60e0085338ee568e&amp;mc=true&amp;node=pt29.8.1926&amp;rgn=div5" TargetMode="External"/><Relationship Id="rId192" Type="http://schemas.openxmlformats.org/officeDocument/2006/relationships/hyperlink" Target="http://www.ecfr.gov/graphics/pdfs/er10au94.038.pdf" TargetMode="External"/><Relationship Id="rId206" Type="http://schemas.openxmlformats.org/officeDocument/2006/relationships/hyperlink" Target="http://www.ecfr.gov/graphics/pdfs/ec30oc91.069.pdf" TargetMode="External"/><Relationship Id="rId227" Type="http://schemas.openxmlformats.org/officeDocument/2006/relationships/hyperlink" Target="http://www.ecfr.gov/cgi-bin/text-idx?SID=fce2ae0bf3f8a67e60e0085338ee568e&amp;mc=true&amp;node=pt29.8.1926&amp;rgn=div5" TargetMode="External"/><Relationship Id="rId248" Type="http://schemas.openxmlformats.org/officeDocument/2006/relationships/hyperlink" Target="http://www.ecfr.gov/cgi-bin/text-idx?SID=fce2ae0bf3f8a67e60e0085338ee568e&amp;mc=true&amp;node=20150504y1.21" TargetMode="External"/><Relationship Id="rId269" Type="http://schemas.openxmlformats.org/officeDocument/2006/relationships/hyperlink" Target="http://www.ecfr.gov/cgi-bin/text-idx?SID=fce2ae0bf3f8a67e60e0085338ee568e&amp;mc=true&amp;node=pt29.8.1926&amp;rgn=div5" TargetMode="External"/><Relationship Id="rId12" Type="http://schemas.openxmlformats.org/officeDocument/2006/relationships/hyperlink" Target="http://www.ecfr.gov/cgi-bin/text-idx?SID=fce2ae0bf3f8a67e60e0085338ee568e&amp;mc=true&amp;node=pt29.8.1926&amp;rgn=div5" TargetMode="External"/><Relationship Id="rId33" Type="http://schemas.openxmlformats.org/officeDocument/2006/relationships/hyperlink" Target="http://www.ecfr.gov/cgi-bin/text-idx?SID=fce2ae0bf3f8a67e60e0085338ee568e&amp;mc=true&amp;node=pt29.8.1926&amp;rgn=div5" TargetMode="External"/><Relationship Id="rId108" Type="http://schemas.openxmlformats.org/officeDocument/2006/relationships/hyperlink" Target="http://www.ecfr.gov/graphics/pdfs/ec30oc91.059.pdf" TargetMode="External"/><Relationship Id="rId129" Type="http://schemas.openxmlformats.org/officeDocument/2006/relationships/hyperlink" Target="http://www.ecfr.gov/graphics/pdfs/er20jy06.014.pdf" TargetMode="External"/><Relationship Id="rId280" Type="http://schemas.openxmlformats.org/officeDocument/2006/relationships/hyperlink" Target="http://www.ecfr.gov/cgi-bin/text-idx?SID=fce2ae0bf3f8a67e60e0085338ee568e&amp;mc=true&amp;node=pt29.8.1926&amp;rgn=div5" TargetMode="External"/><Relationship Id="rId54" Type="http://schemas.openxmlformats.org/officeDocument/2006/relationships/hyperlink" Target="http://www.ecfr.gov/cgi-bin/text-idx?SID=fce2ae0bf3f8a67e60e0085338ee568e&amp;mc=true&amp;node=pt29.8.1926&amp;rgn=div5" TargetMode="External"/><Relationship Id="rId75" Type="http://schemas.openxmlformats.org/officeDocument/2006/relationships/hyperlink" Target="http://www.ecfr.gov/graphics/pdfs/er11ap14.043.pdf" TargetMode="External"/><Relationship Id="rId96" Type="http://schemas.openxmlformats.org/officeDocument/2006/relationships/hyperlink" Target="http://www.ecfr.gov/graphics/pdfs/ec30oc91.053.pdf" TargetMode="External"/><Relationship Id="rId140" Type="http://schemas.openxmlformats.org/officeDocument/2006/relationships/image" Target="media/image40.gif"/><Relationship Id="rId161" Type="http://schemas.openxmlformats.org/officeDocument/2006/relationships/hyperlink" Target="http://www.ecfr.gov/cgi-bin/text-idx?SID=fce2ae0bf3f8a67e60e0085338ee568e&amp;mc=true&amp;node=pt29.8.1926&amp;rgn=div5" TargetMode="External"/><Relationship Id="rId182" Type="http://schemas.openxmlformats.org/officeDocument/2006/relationships/hyperlink" Target="http://www.ecfr.gov/graphics/pdfs/er10au94.033.pdf" TargetMode="External"/><Relationship Id="rId217" Type="http://schemas.openxmlformats.org/officeDocument/2006/relationships/image" Target="media/image62.gif"/><Relationship Id="rId6" Type="http://schemas.openxmlformats.org/officeDocument/2006/relationships/footnotes" Target="footnotes.xml"/><Relationship Id="rId238" Type="http://schemas.openxmlformats.org/officeDocument/2006/relationships/hyperlink" Target="http://www.ecfr.gov/cgi-bin/text-idx?SID=fce2ae0bf3f8a67e60e0085338ee568e&amp;mc=true&amp;node=pt29.8.1926&amp;rgn=div5" TargetMode="External"/><Relationship Id="rId259" Type="http://schemas.openxmlformats.org/officeDocument/2006/relationships/hyperlink" Target="http://www.ecfr.gov/cgi-bin/text-idx?SID=fce2ae0bf3f8a67e60e0085338ee568e&amp;mc=true&amp;node=pt29.8.1926&amp;rgn=div5" TargetMode="External"/><Relationship Id="rId23" Type="http://schemas.openxmlformats.org/officeDocument/2006/relationships/hyperlink" Target="http://www.ecfr.gov/cgi-bin/text-idx?SID=fce2ae0bf3f8a67e60e0085338ee568e&amp;mc=true&amp;node=pt29.8.1926&amp;rgn=div5" TargetMode="External"/><Relationship Id="rId119" Type="http://schemas.openxmlformats.org/officeDocument/2006/relationships/hyperlink" Target="http://www.ecfr.gov/graphics/pdfs/er20jy06.009.pdf" TargetMode="External"/><Relationship Id="rId270" Type="http://schemas.openxmlformats.org/officeDocument/2006/relationships/hyperlink" Target="http://www.ecfr.gov/cgi-bin/text-idx?SID=fce2ae0bf3f8a67e60e0085338ee568e&amp;mc=true&amp;node=pt29.8.1926&amp;rgn=div5" TargetMode="External"/><Relationship Id="rId291" Type="http://schemas.openxmlformats.org/officeDocument/2006/relationships/hyperlink" Target="http://www.ecfr.gov/cgi-bin/text-idx?SID=fce2ae0bf3f8a67e60e0085338ee568e&amp;mc=true&amp;node=pt29.8.1926&amp;rgn=div5" TargetMode="External"/><Relationship Id="rId305" Type="http://schemas.openxmlformats.org/officeDocument/2006/relationships/theme" Target="theme/theme1.xml"/><Relationship Id="rId44" Type="http://schemas.openxmlformats.org/officeDocument/2006/relationships/image" Target="media/image3.gif"/><Relationship Id="rId65" Type="http://schemas.openxmlformats.org/officeDocument/2006/relationships/image" Target="media/image8.gif"/><Relationship Id="rId86" Type="http://schemas.openxmlformats.org/officeDocument/2006/relationships/hyperlink" Target="http://www.ecfr.gov/cgi-bin/text-idx?SID=fce2ae0bf3f8a67e60e0085338ee568e&amp;mc=true&amp;node=pt29.8.1926&amp;rgn=div5" TargetMode="External"/><Relationship Id="rId130" Type="http://schemas.openxmlformats.org/officeDocument/2006/relationships/image" Target="media/image35.gif"/><Relationship Id="rId151" Type="http://schemas.openxmlformats.org/officeDocument/2006/relationships/hyperlink" Target="http://www.ecfr.gov/cgi-bin/text-idx?SID=fce2ae0bf3f8a67e60e0085338ee568e&amp;mc=true&amp;node=pt29.8.1926&amp;rgn=div5" TargetMode="External"/><Relationship Id="rId172" Type="http://schemas.openxmlformats.org/officeDocument/2006/relationships/hyperlink" Target="http://www.ecfr.gov/cgi-bin/text-idx?SID=fce2ae0bf3f8a67e60e0085338ee568e&amp;mc=true&amp;node=pt29.8.1926&amp;rgn=div5" TargetMode="External"/><Relationship Id="rId193" Type="http://schemas.openxmlformats.org/officeDocument/2006/relationships/image" Target="media/image50.gif"/><Relationship Id="rId207" Type="http://schemas.openxmlformats.org/officeDocument/2006/relationships/image" Target="media/image57.gif"/><Relationship Id="rId228" Type="http://schemas.openxmlformats.org/officeDocument/2006/relationships/hyperlink" Target="http://www.ecfr.gov/cgi-bin/text-idx?SID=fce2ae0bf3f8a67e60e0085338ee568e&amp;mc=true&amp;node=pt29.8.1926&amp;rgn=div5" TargetMode="External"/><Relationship Id="rId249" Type="http://schemas.openxmlformats.org/officeDocument/2006/relationships/hyperlink" Target="http://www.ecfr.gov/cgi-bin/text-idx?SID=fce2ae0bf3f8a67e60e0085338ee568e&amp;mc=true&amp;node=pt29.8.1926&amp;rgn=div5" TargetMode="External"/><Relationship Id="rId13" Type="http://schemas.openxmlformats.org/officeDocument/2006/relationships/hyperlink" Target="http://www.ecfr.gov/cgi-bin/text-idx?SID=fce2ae0bf3f8a67e60e0085338ee568e&amp;mc=true&amp;node=pt29.8.1926&amp;rgn=div5#_top" TargetMode="External"/><Relationship Id="rId109" Type="http://schemas.openxmlformats.org/officeDocument/2006/relationships/image" Target="media/image26.gif"/><Relationship Id="rId260" Type="http://schemas.openxmlformats.org/officeDocument/2006/relationships/hyperlink" Target="http://www.ecfr.gov/cgi-bin/text-idx?SID=fce2ae0bf3f8a67e60e0085338ee568e&amp;mc=true&amp;node=pt29.8.1926&amp;rgn=div5" TargetMode="External"/><Relationship Id="rId281" Type="http://schemas.openxmlformats.org/officeDocument/2006/relationships/hyperlink" Target="http://www.ecfr.gov/cgi-bin/text-idx?SID=fce2ae0bf3f8a67e60e0085338ee568e&amp;mc=true&amp;node=pt29.8.1926&amp;rgn=div5" TargetMode="External"/><Relationship Id="rId34" Type="http://schemas.openxmlformats.org/officeDocument/2006/relationships/hyperlink" Target="http://www.ecfr.gov/cgi-bin/text-idx?SID=fce2ae0bf3f8a67e60e0085338ee568e&amp;mc=true&amp;node=pt29.8.1926&amp;rgn=div5" TargetMode="External"/><Relationship Id="rId55" Type="http://schemas.openxmlformats.org/officeDocument/2006/relationships/hyperlink" Target="http://www.ecfr.gov/cgi-bin/text-idx?SID=fce2ae0bf3f8a67e60e0085338ee568e&amp;mc=true&amp;node=pt29.8.1926&amp;rgn=div5" TargetMode="External"/><Relationship Id="rId76" Type="http://schemas.openxmlformats.org/officeDocument/2006/relationships/image" Target="media/image13.gif"/><Relationship Id="rId97" Type="http://schemas.openxmlformats.org/officeDocument/2006/relationships/image" Target="media/image20.gif"/><Relationship Id="rId120" Type="http://schemas.openxmlformats.org/officeDocument/2006/relationships/image" Target="media/image30.gif"/><Relationship Id="rId141" Type="http://schemas.openxmlformats.org/officeDocument/2006/relationships/hyperlink" Target="http://www.ecfr.gov/graphics/pdfs/er20jy06.020.pdf" TargetMode="External"/><Relationship Id="rId7" Type="http://schemas.openxmlformats.org/officeDocument/2006/relationships/endnotes" Target="endnotes.xml"/><Relationship Id="rId162" Type="http://schemas.openxmlformats.org/officeDocument/2006/relationships/hyperlink" Target="http://www.ecfr.gov/cgi-bin/text-idx?SID=fce2ae0bf3f8a67e60e0085338ee568e&amp;mc=true&amp;node=pt29.8.1926&amp;rgn=div5" TargetMode="External"/><Relationship Id="rId183" Type="http://schemas.openxmlformats.org/officeDocument/2006/relationships/image" Target="media/image45.gif"/><Relationship Id="rId218" Type="http://schemas.openxmlformats.org/officeDocument/2006/relationships/hyperlink" Target="http://www.ecfr.gov/graphics/pdfs/ec30oc91.075.pdf" TargetMode="External"/><Relationship Id="rId239" Type="http://schemas.openxmlformats.org/officeDocument/2006/relationships/hyperlink" Target="http://www.ecfr.gov/cgi-bin/text-idx?SID=fce2ae0bf3f8a67e60e0085338ee568e&amp;mc=true&amp;node=pt29.8.1926&amp;rgn=div5" TargetMode="External"/><Relationship Id="rId2" Type="http://schemas.openxmlformats.org/officeDocument/2006/relationships/styles" Target="styles.xml"/><Relationship Id="rId29" Type="http://schemas.openxmlformats.org/officeDocument/2006/relationships/hyperlink" Target="http://www.ecfr.gov/cgi-bin/text-idx?SID=fce2ae0bf3f8a67e60e0085338ee568e&amp;mc=true&amp;node=pt29.8.1926&amp;rgn=div5" TargetMode="External"/><Relationship Id="rId250" Type="http://schemas.openxmlformats.org/officeDocument/2006/relationships/hyperlink" Target="http://www.ecfr.gov/cgi-bin/text-idx?SID=fce2ae0bf3f8a67e60e0085338ee568e&amp;mc=true&amp;node=pt29.8.1926&amp;rgn=div5" TargetMode="External"/><Relationship Id="rId255" Type="http://schemas.openxmlformats.org/officeDocument/2006/relationships/hyperlink" Target="http://www.ecfr.gov/cgi-bin/text-idx?SID=fce2ae0bf3f8a67e60e0085338ee568e&amp;mc=true&amp;node=pt29.8.1926&amp;rgn=div5" TargetMode="External"/><Relationship Id="rId271" Type="http://schemas.openxmlformats.org/officeDocument/2006/relationships/hyperlink" Target="http://www.ecfr.gov/cgi-bin/text-idx?SID=fce2ae0bf3f8a67e60e0085338ee568e&amp;mc=true&amp;node=pt29.8.1926&amp;rgn=div5" TargetMode="External"/><Relationship Id="rId276" Type="http://schemas.openxmlformats.org/officeDocument/2006/relationships/hyperlink" Target="http://www.ecfr.gov/cgi-bin/text-idx?SID=fce2ae0bf3f8a67e60e0085338ee568e&amp;mc=true&amp;node=pt29.8.1926&amp;rgn=div5" TargetMode="External"/><Relationship Id="rId292" Type="http://schemas.openxmlformats.org/officeDocument/2006/relationships/hyperlink" Target="http://www.ecfr.gov/cgi-bin/text-idx?SID=fce2ae0bf3f8a67e60e0085338ee568e&amp;mc=true&amp;node=pt29.8.1926&amp;rgn=div5" TargetMode="External"/><Relationship Id="rId297" Type="http://schemas.openxmlformats.org/officeDocument/2006/relationships/hyperlink" Target="http://www.ecfr.gov/graphics/pdfs/er09au10.003.pdf" TargetMode="External"/><Relationship Id="rId24" Type="http://schemas.openxmlformats.org/officeDocument/2006/relationships/hyperlink" Target="http://www.ecfr.gov/cgi-bin/text-idx?SID=fce2ae0bf3f8a67e60e0085338ee568e&amp;mc=true&amp;node=pt29.8.1926&amp;rgn=div5" TargetMode="External"/><Relationship Id="rId40" Type="http://schemas.openxmlformats.org/officeDocument/2006/relationships/hyperlink" Target="http://www.ecfr.gov/cgi-bin/text-idx?SID=fce2ae0bf3f8a67e60e0085338ee568e&amp;mc=true&amp;node=pt29.8.1926&amp;rgn=div5" TargetMode="External"/><Relationship Id="rId45" Type="http://schemas.openxmlformats.org/officeDocument/2006/relationships/hyperlink" Target="http://www.ecfr.gov/graphics/pdfs/er11ap14.034.pdf" TargetMode="External"/><Relationship Id="rId66" Type="http://schemas.openxmlformats.org/officeDocument/2006/relationships/hyperlink" Target="http://www.ecfr.gov/graphics/pdfs/er11ap14.039.pdf" TargetMode="External"/><Relationship Id="rId87" Type="http://schemas.openxmlformats.org/officeDocument/2006/relationships/hyperlink" Target="http://www.ecfr.gov/cgi-bin/text-idx?SID=fce2ae0bf3f8a67e60e0085338ee568e&amp;mc=true&amp;node=pt29.8.1926&amp;rgn=div5" TargetMode="External"/><Relationship Id="rId110" Type="http://schemas.openxmlformats.org/officeDocument/2006/relationships/hyperlink" Target="http://www.ecfr.gov/graphics/pdfs/ec30oc91.060.pdf" TargetMode="External"/><Relationship Id="rId115" Type="http://schemas.openxmlformats.org/officeDocument/2006/relationships/hyperlink" Target="http://www.ecfr.gov/cgi-bin/text-idx?SID=fce2ae0bf3f8a67e60e0085338ee568e&amp;mc=true&amp;node=pt29.8.1926&amp;rgn=div5" TargetMode="External"/><Relationship Id="rId131" Type="http://schemas.openxmlformats.org/officeDocument/2006/relationships/hyperlink" Target="http://www.ecfr.gov/graphics/pdfs/er20jy06.015.pdf" TargetMode="External"/><Relationship Id="rId136" Type="http://schemas.openxmlformats.org/officeDocument/2006/relationships/image" Target="media/image38.gif"/><Relationship Id="rId157" Type="http://schemas.openxmlformats.org/officeDocument/2006/relationships/hyperlink" Target="http://www.ecfr.gov/cgi-bin/text-idx?SID=fce2ae0bf3f8a67e60e0085338ee568e&amp;mc=true&amp;node=pt29.8.1926&amp;rgn=div5" TargetMode="External"/><Relationship Id="rId178" Type="http://schemas.openxmlformats.org/officeDocument/2006/relationships/hyperlink" Target="http://www.ecfr.gov/cgi-bin/text-idx?SID=fce2ae0bf3f8a67e60e0085338ee568e&amp;mc=true&amp;node=pt29.8.1926&amp;rgn=div5" TargetMode="External"/><Relationship Id="rId301" Type="http://schemas.openxmlformats.org/officeDocument/2006/relationships/hyperlink" Target="http://www.ecfr.gov/cgi-bin/text-idx?SID=fce2ae0bf3f8a67e60e0085338ee568e&amp;mc=true&amp;node=pt29.8.1926&amp;rgn=div5" TargetMode="External"/><Relationship Id="rId61" Type="http://schemas.openxmlformats.org/officeDocument/2006/relationships/image" Target="media/image6.gif"/><Relationship Id="rId82" Type="http://schemas.openxmlformats.org/officeDocument/2006/relationships/hyperlink" Target="http://www.ecfr.gov/cgi-bin/text-idx?SID=fce2ae0bf3f8a67e60e0085338ee568e&amp;mc=true&amp;node=pt29.8.1926&amp;rgn=div5" TargetMode="External"/><Relationship Id="rId152" Type="http://schemas.openxmlformats.org/officeDocument/2006/relationships/hyperlink" Target="http://www.ecfr.gov/cgi-bin/text-idx?SID=fce2ae0bf3f8a67e60e0085338ee568e&amp;mc=true&amp;node=pt29.8.1926&amp;rgn=div5" TargetMode="External"/><Relationship Id="rId173" Type="http://schemas.openxmlformats.org/officeDocument/2006/relationships/hyperlink" Target="http://www.ecfr.gov/cgi-bin/text-idx?SID=fce2ae0bf3f8a67e60e0085338ee568e&amp;mc=true&amp;node=pt29.8.1926&amp;rgn=div5" TargetMode="External"/><Relationship Id="rId194" Type="http://schemas.openxmlformats.org/officeDocument/2006/relationships/hyperlink" Target="http://www.ecfr.gov/graphics/pdfs/er10au94.025.pdf" TargetMode="External"/><Relationship Id="rId199" Type="http://schemas.openxmlformats.org/officeDocument/2006/relationships/image" Target="media/image53.gif"/><Relationship Id="rId203" Type="http://schemas.openxmlformats.org/officeDocument/2006/relationships/image" Target="media/image55.gif"/><Relationship Id="rId208" Type="http://schemas.openxmlformats.org/officeDocument/2006/relationships/hyperlink" Target="http://www.ecfr.gov/graphics/pdfs/ec30oc91.070.pdf" TargetMode="External"/><Relationship Id="rId229" Type="http://schemas.openxmlformats.org/officeDocument/2006/relationships/hyperlink" Target="http://www.ecfr.gov/cgi-bin/text-idx?SID=fce2ae0bf3f8a67e60e0085338ee568e&amp;mc=true&amp;node=pt29.8.1926&amp;rgn=div5" TargetMode="External"/><Relationship Id="rId19" Type="http://schemas.openxmlformats.org/officeDocument/2006/relationships/hyperlink" Target="http://www.ecfr.gov/cgi-bin/text-idx?SID=fce2ae0bf3f8a67e60e0085338ee568e&amp;mc=true&amp;node=pt29.8.1926&amp;rgn=div5" TargetMode="External"/><Relationship Id="rId224" Type="http://schemas.openxmlformats.org/officeDocument/2006/relationships/hyperlink" Target="http://www.ecfr.gov/cgi-bin/text-idx?SID=fce2ae0bf3f8a67e60e0085338ee568e&amp;mc=true&amp;node=pt29.8.1926&amp;rgn=div5" TargetMode="External"/><Relationship Id="rId240" Type="http://schemas.openxmlformats.org/officeDocument/2006/relationships/hyperlink" Target="http://www.ecfr.gov/cgi-bin/text-idx?SID=fce2ae0bf3f8a67e60e0085338ee568e&amp;mc=true&amp;node=pt29.8.1926&amp;rgn=div5" TargetMode="External"/><Relationship Id="rId245" Type="http://schemas.openxmlformats.org/officeDocument/2006/relationships/hyperlink" Target="http://www.ecfr.gov/cgi-bin/text-idx?SID=fce2ae0bf3f8a67e60e0085338ee568e&amp;mc=true&amp;node=pt29.8.1926&amp;rgn=div5" TargetMode="External"/><Relationship Id="rId261" Type="http://schemas.openxmlformats.org/officeDocument/2006/relationships/hyperlink" Target="http://www.ecfr.gov/cgi-bin/text-idx?SID=fce2ae0bf3f8a67e60e0085338ee568e&amp;mc=true&amp;node=pt29.8.1926&amp;rgn=div5" TargetMode="External"/><Relationship Id="rId266" Type="http://schemas.openxmlformats.org/officeDocument/2006/relationships/hyperlink" Target="http://www.ecfr.gov/cgi-bin/text-idx?SID=fce2ae0bf3f8a67e60e0085338ee568e&amp;mc=true&amp;node=pt29.8.1926&amp;rgn=div5" TargetMode="External"/><Relationship Id="rId287" Type="http://schemas.openxmlformats.org/officeDocument/2006/relationships/hyperlink" Target="http://www.ecfr.gov/cgi-bin/text-idx?SID=fce2ae0bf3f8a67e60e0085338ee568e&amp;mc=true&amp;node=pt29.8.1926&amp;rgn=div5" TargetMode="External"/><Relationship Id="rId14" Type="http://schemas.openxmlformats.org/officeDocument/2006/relationships/image" Target="media/image1.gif"/><Relationship Id="rId30" Type="http://schemas.openxmlformats.org/officeDocument/2006/relationships/hyperlink" Target="http://www.ecfr.gov/cgi-bin/text-idx?SID=fce2ae0bf3f8a67e60e0085338ee568e&amp;mc=true&amp;node=pt29.8.1926&amp;rgn=div5" TargetMode="External"/><Relationship Id="rId35" Type="http://schemas.openxmlformats.org/officeDocument/2006/relationships/hyperlink" Target="http://www.ecfr.gov/cgi-bin/text-idx?SID=fce2ae0bf3f8a67e60e0085338ee568e&amp;mc=true&amp;node=pt29.8.1926&amp;rgn=div5" TargetMode="External"/><Relationship Id="rId56" Type="http://schemas.openxmlformats.org/officeDocument/2006/relationships/hyperlink" Target="http://www.ecfr.gov/cgi-bin/text-idx?SID=fce2ae0bf3f8a67e60e0085338ee568e&amp;mc=true&amp;node=20150504y1.20" TargetMode="External"/><Relationship Id="rId77" Type="http://schemas.openxmlformats.org/officeDocument/2006/relationships/hyperlink" Target="http://www.ecfr.gov/graphics/pdfs/er11ap14.044.pdf" TargetMode="External"/><Relationship Id="rId100" Type="http://schemas.openxmlformats.org/officeDocument/2006/relationships/hyperlink" Target="http://www.ecfr.gov/graphics/pdfs/ec30oc91.055.pdf" TargetMode="External"/><Relationship Id="rId105" Type="http://schemas.openxmlformats.org/officeDocument/2006/relationships/image" Target="media/image24.gif"/><Relationship Id="rId126" Type="http://schemas.openxmlformats.org/officeDocument/2006/relationships/image" Target="media/image33.gif"/><Relationship Id="rId147" Type="http://schemas.openxmlformats.org/officeDocument/2006/relationships/hyperlink" Target="http://www.ecfr.gov/graphics/pdfs/er20jy06.023.pdf" TargetMode="External"/><Relationship Id="rId168" Type="http://schemas.openxmlformats.org/officeDocument/2006/relationships/hyperlink" Target="http://www.ecfr.gov/cgi-bin/text-idx?SID=fce2ae0bf3f8a67e60e0085338ee568e&amp;mc=true&amp;node=pt29.8.1926&amp;rgn=div5" TargetMode="External"/><Relationship Id="rId282" Type="http://schemas.openxmlformats.org/officeDocument/2006/relationships/hyperlink" Target="http://www.ecfr.gov/cgi-bin/text-idx?SID=fce2ae0bf3f8a67e60e0085338ee568e&amp;mc=true&amp;node=pt29.8.1926&amp;rgn=div5" TargetMode="External"/><Relationship Id="rId8" Type="http://schemas.openxmlformats.org/officeDocument/2006/relationships/hyperlink" Target="http://www.ecfr.gov/cgi-bin/text-idx?gp=&amp;SID=fce2ae0bf3f8a67e60e0085338ee568e&amp;mc=true&amp;tpl=/ecfrbrowse/Title29/29tab_02.tpl" TargetMode="External"/><Relationship Id="rId51" Type="http://schemas.openxmlformats.org/officeDocument/2006/relationships/hyperlink" Target="http://www.ecfr.gov/cgi-bin/text-idx?SID=fce2ae0bf3f8a67e60e0085338ee568e&amp;mc=true&amp;node=pt29.8.1926&amp;rgn=div5" TargetMode="External"/><Relationship Id="rId72" Type="http://schemas.openxmlformats.org/officeDocument/2006/relationships/image" Target="media/image11.gif"/><Relationship Id="rId93" Type="http://schemas.openxmlformats.org/officeDocument/2006/relationships/image" Target="media/image18.gif"/><Relationship Id="rId98" Type="http://schemas.openxmlformats.org/officeDocument/2006/relationships/hyperlink" Target="http://www.ecfr.gov/graphics/pdfs/ec30oc91.054.pdf" TargetMode="External"/><Relationship Id="rId121" Type="http://schemas.openxmlformats.org/officeDocument/2006/relationships/hyperlink" Target="http://www.ecfr.gov/graphics/pdfs/er20jy06.010.pdf" TargetMode="External"/><Relationship Id="rId142" Type="http://schemas.openxmlformats.org/officeDocument/2006/relationships/image" Target="media/image41.gif"/><Relationship Id="rId163" Type="http://schemas.openxmlformats.org/officeDocument/2006/relationships/hyperlink" Target="http://www.ecfr.gov/cgi-bin/text-idx?SID=fce2ae0bf3f8a67e60e0085338ee568e&amp;mc=true&amp;node=pt29.8.1926&amp;rgn=div5" TargetMode="External"/><Relationship Id="rId184" Type="http://schemas.openxmlformats.org/officeDocument/2006/relationships/hyperlink" Target="http://www.ecfr.gov/graphics/pdfs/er10au94.034.pdf" TargetMode="External"/><Relationship Id="rId189" Type="http://schemas.openxmlformats.org/officeDocument/2006/relationships/image" Target="media/image48.gif"/><Relationship Id="rId219" Type="http://schemas.openxmlformats.org/officeDocument/2006/relationships/image" Target="media/image63.gif"/><Relationship Id="rId3" Type="http://schemas.microsoft.com/office/2007/relationships/stylesWithEffects" Target="stylesWithEffects.xml"/><Relationship Id="rId214" Type="http://schemas.openxmlformats.org/officeDocument/2006/relationships/hyperlink" Target="http://www.ecfr.gov/graphics/pdfs/ec30oc91.073.pdf" TargetMode="External"/><Relationship Id="rId230" Type="http://schemas.openxmlformats.org/officeDocument/2006/relationships/hyperlink" Target="http://www.ecfr.gov/cgi-bin/text-idx?SID=fce2ae0bf3f8a67e60e0085338ee568e&amp;mc=true&amp;node=pt29.8.1926&amp;rgn=div5" TargetMode="External"/><Relationship Id="rId235" Type="http://schemas.openxmlformats.org/officeDocument/2006/relationships/hyperlink" Target="http://www.ecfr.gov/cgi-bin/text-idx?SID=fce2ae0bf3f8a67e60e0085338ee568e&amp;mc=true&amp;node=pt29.8.1926&amp;rgn=div5" TargetMode="External"/><Relationship Id="rId251" Type="http://schemas.openxmlformats.org/officeDocument/2006/relationships/hyperlink" Target="http://www.ecfr.gov/cgi-bin/text-idx?SID=fce2ae0bf3f8a67e60e0085338ee568e&amp;mc=true&amp;node=pt29.8.1926&amp;rgn=div5" TargetMode="External"/><Relationship Id="rId256" Type="http://schemas.openxmlformats.org/officeDocument/2006/relationships/hyperlink" Target="http://www.ecfr.gov/cgi-bin/text-idx?SID=fce2ae0bf3f8a67e60e0085338ee568e&amp;mc=true&amp;node=pt29.8.1926&amp;rgn=div5" TargetMode="External"/><Relationship Id="rId277" Type="http://schemas.openxmlformats.org/officeDocument/2006/relationships/hyperlink" Target="http://www.ecfr.gov/cgi-bin/text-idx?SID=fce2ae0bf3f8a67e60e0085338ee568e&amp;mc=true&amp;node=pt29.8.1926&amp;rgn=div5" TargetMode="External"/><Relationship Id="rId298" Type="http://schemas.openxmlformats.org/officeDocument/2006/relationships/image" Target="media/image65.gif"/><Relationship Id="rId25" Type="http://schemas.openxmlformats.org/officeDocument/2006/relationships/hyperlink" Target="http://www.ecfr.gov/cgi-bin/text-idx?SID=fce2ae0bf3f8a67e60e0085338ee568e&amp;mc=true&amp;node=pt29.8.1926&amp;rgn=div5" TargetMode="External"/><Relationship Id="rId46" Type="http://schemas.openxmlformats.org/officeDocument/2006/relationships/image" Target="media/image4.gif"/><Relationship Id="rId67" Type="http://schemas.openxmlformats.org/officeDocument/2006/relationships/image" Target="media/image9.gif"/><Relationship Id="rId116" Type="http://schemas.openxmlformats.org/officeDocument/2006/relationships/hyperlink" Target="http://www.ecfr.gov/cgi-bin/text-idx?SID=fce2ae0bf3f8a67e60e0085338ee568e&amp;mc=true&amp;node=pt29.8.1926&amp;rgn=div5" TargetMode="External"/><Relationship Id="rId137" Type="http://schemas.openxmlformats.org/officeDocument/2006/relationships/hyperlink" Target="http://www.ecfr.gov/graphics/pdfs/er20jy06.018.pdf" TargetMode="External"/><Relationship Id="rId158" Type="http://schemas.openxmlformats.org/officeDocument/2006/relationships/hyperlink" Target="http://www.ecfr.gov/cgi-bin/text-idx?SID=fce2ae0bf3f8a67e60e0085338ee568e&amp;mc=true&amp;node=pt29.8.1926&amp;rgn=div5" TargetMode="External"/><Relationship Id="rId272" Type="http://schemas.openxmlformats.org/officeDocument/2006/relationships/hyperlink" Target="http://www.ecfr.gov/cgi-bin/text-idx?SID=fce2ae0bf3f8a67e60e0085338ee568e&amp;mc=true&amp;node=pt29.8.1926&amp;rgn=div5" TargetMode="External"/><Relationship Id="rId293" Type="http://schemas.openxmlformats.org/officeDocument/2006/relationships/hyperlink" Target="http://www.ecfr.gov/cgi-bin/text-idx?SID=fce2ae0bf3f8a67e60e0085338ee568e&amp;mc=true&amp;node=pt29.8.1926&amp;rgn=div5" TargetMode="External"/><Relationship Id="rId302" Type="http://schemas.openxmlformats.org/officeDocument/2006/relationships/hyperlink" Target="http://www.ecfr.gov/cgi-bin/text-idx?SID=fce2ae0bf3f8a67e60e0085338ee568e&amp;mc=true&amp;node=pt29.8.1926&amp;rgn=div5" TargetMode="External"/><Relationship Id="rId20" Type="http://schemas.openxmlformats.org/officeDocument/2006/relationships/hyperlink" Target="http://www.ecfr.gov/cgi-bin/text-idx?SID=fce2ae0bf3f8a67e60e0085338ee568e&amp;mc=true&amp;node=pt29.8.1926&amp;rgn=div5" TargetMode="External"/><Relationship Id="rId41" Type="http://schemas.openxmlformats.org/officeDocument/2006/relationships/hyperlink" Target="http://www.ecfr.gov/cgi-bin/text-idx?SID=fce2ae0bf3f8a67e60e0085338ee568e&amp;mc=true&amp;node=pt29.8.1926&amp;rgn=div5" TargetMode="External"/><Relationship Id="rId62" Type="http://schemas.openxmlformats.org/officeDocument/2006/relationships/hyperlink" Target="http://www.ecfr.gov/graphics/pdfs/er11ap14.037.pdf" TargetMode="External"/><Relationship Id="rId83" Type="http://schemas.openxmlformats.org/officeDocument/2006/relationships/hyperlink" Target="http://www.ecfr.gov/cgi-bin/text-idx?SID=fce2ae0bf3f8a67e60e0085338ee568e&amp;mc=true&amp;node=pt29.8.1926&amp;rgn=div5" TargetMode="External"/><Relationship Id="rId88" Type="http://schemas.openxmlformats.org/officeDocument/2006/relationships/hyperlink" Target="http://www.ecfr.gov/cgi-bin/text-idx?SID=fce2ae0bf3f8a67e60e0085338ee568e&amp;mc=true&amp;node=pt29.8.1926&amp;rgn=div5" TargetMode="External"/><Relationship Id="rId111" Type="http://schemas.openxmlformats.org/officeDocument/2006/relationships/image" Target="media/image27.gif"/><Relationship Id="rId132" Type="http://schemas.openxmlformats.org/officeDocument/2006/relationships/image" Target="media/image36.gif"/><Relationship Id="rId153" Type="http://schemas.openxmlformats.org/officeDocument/2006/relationships/hyperlink" Target="http://www.ecfr.gov/cgi-bin/text-idx?SID=fce2ae0bf3f8a67e60e0085338ee568e&amp;mc=true&amp;node=pt29.8.1926&amp;rgn=div5" TargetMode="External"/><Relationship Id="rId174" Type="http://schemas.openxmlformats.org/officeDocument/2006/relationships/hyperlink" Target="http://www.ecfr.gov/cgi-bin/text-idx?SID=fce2ae0bf3f8a67e60e0085338ee568e&amp;mc=true&amp;node=pt29.8.1926&amp;rgn=div5" TargetMode="External"/><Relationship Id="rId179" Type="http://schemas.openxmlformats.org/officeDocument/2006/relationships/hyperlink" Target="http://www.ecfr.gov/cgi-bin/text-idx?SID=fce2ae0bf3f8a67e60e0085338ee568e&amp;mc=true&amp;node=pt29.8.1926&amp;rgn=div5" TargetMode="External"/><Relationship Id="rId195" Type="http://schemas.openxmlformats.org/officeDocument/2006/relationships/image" Target="media/image51.gif"/><Relationship Id="rId209" Type="http://schemas.openxmlformats.org/officeDocument/2006/relationships/image" Target="media/image58.gif"/><Relationship Id="rId190" Type="http://schemas.openxmlformats.org/officeDocument/2006/relationships/hyperlink" Target="http://www.ecfr.gov/graphics/pdfs/er10au94.037.pdf" TargetMode="External"/><Relationship Id="rId204" Type="http://schemas.openxmlformats.org/officeDocument/2006/relationships/hyperlink" Target="http://www.ecfr.gov/graphics/pdfs/ec30oc91.068.pdf" TargetMode="External"/><Relationship Id="rId220" Type="http://schemas.openxmlformats.org/officeDocument/2006/relationships/hyperlink" Target="http://www.ecfr.gov/graphics/pdfs/er10au94.026.pdf" TargetMode="External"/><Relationship Id="rId225" Type="http://schemas.openxmlformats.org/officeDocument/2006/relationships/hyperlink" Target="http://www.ecfr.gov/cgi-bin/text-idx?SID=fce2ae0bf3f8a67e60e0085338ee568e&amp;mc=true&amp;node=pt29.8.1926&amp;rgn=div5" TargetMode="External"/><Relationship Id="rId241" Type="http://schemas.openxmlformats.org/officeDocument/2006/relationships/hyperlink" Target="http://www.ecfr.gov/cgi-bin/text-idx?SID=fce2ae0bf3f8a67e60e0085338ee568e&amp;mc=true&amp;node=pt29.8.1926&amp;rgn=div5" TargetMode="External"/><Relationship Id="rId246" Type="http://schemas.openxmlformats.org/officeDocument/2006/relationships/hyperlink" Target="http://www.ecfr.gov/cgi-bin/text-idx?SID=fce2ae0bf3f8a67e60e0085338ee568e&amp;mc=true&amp;node=pt29.8.1926&amp;rgn=div5" TargetMode="External"/><Relationship Id="rId267" Type="http://schemas.openxmlformats.org/officeDocument/2006/relationships/hyperlink" Target="http://www.ecfr.gov/cgi-bin/text-idx?SID=fce2ae0bf3f8a67e60e0085338ee568e&amp;mc=true&amp;node=pt29.8.1926&amp;rgn=div5" TargetMode="External"/><Relationship Id="rId288" Type="http://schemas.openxmlformats.org/officeDocument/2006/relationships/hyperlink" Target="http://www.ecfr.gov/cgi-bin/text-idx?SID=fce2ae0bf3f8a67e60e0085338ee568e&amp;mc=true&amp;node=pt29.8.1926&amp;rgn=div5" TargetMode="External"/><Relationship Id="rId15" Type="http://schemas.openxmlformats.org/officeDocument/2006/relationships/image" Target="media/image2.gif"/><Relationship Id="rId36" Type="http://schemas.openxmlformats.org/officeDocument/2006/relationships/hyperlink" Target="http://www.ecfr.gov/cgi-bin/text-idx?SID=fce2ae0bf3f8a67e60e0085338ee568e&amp;mc=true&amp;node=20150504y1.19" TargetMode="External"/><Relationship Id="rId57" Type="http://schemas.openxmlformats.org/officeDocument/2006/relationships/hyperlink" Target="http://www.ecfr.gov/cgi-bin/text-idx?SID=fce2ae0bf3f8a67e60e0085338ee568e&amp;mc=true&amp;node=pt29.8.1926&amp;rgn=div5" TargetMode="External"/><Relationship Id="rId106" Type="http://schemas.openxmlformats.org/officeDocument/2006/relationships/hyperlink" Target="http://www.ecfr.gov/graphics/pdfs/ec30oc91.058.pdf" TargetMode="External"/><Relationship Id="rId127" Type="http://schemas.openxmlformats.org/officeDocument/2006/relationships/hyperlink" Target="http://www.ecfr.gov/graphics/pdfs/er20jy06.013.pdf" TargetMode="External"/><Relationship Id="rId262" Type="http://schemas.openxmlformats.org/officeDocument/2006/relationships/hyperlink" Target="http://www.ecfr.gov/cgi-bin/text-idx?SID=fce2ae0bf3f8a67e60e0085338ee568e&amp;mc=true&amp;node=pt29.8.1926&amp;rgn=div5" TargetMode="External"/><Relationship Id="rId283" Type="http://schemas.openxmlformats.org/officeDocument/2006/relationships/hyperlink" Target="http://www.ecfr.gov/cgi-bin/text-idx?SID=fce2ae0bf3f8a67e60e0085338ee568e&amp;mc=true&amp;node=pt29.8.1926&amp;rgn=div5" TargetMode="External"/><Relationship Id="rId10" Type="http://schemas.openxmlformats.org/officeDocument/2006/relationships/hyperlink" Target="http://www.ecfr.gov/cgi-bin/text-idx?gp=&amp;SID=fce2ae0bf3f8a67e60e0085338ee568e&amp;mc=true&amp;tpl=/ecfrbrowse/Title29/29subtitleB.tpl" TargetMode="External"/><Relationship Id="rId31" Type="http://schemas.openxmlformats.org/officeDocument/2006/relationships/hyperlink" Target="http://www.ecfr.gov/cgi-bin/text-idx?SID=fce2ae0bf3f8a67e60e0085338ee568e&amp;mc=true&amp;node=pt29.8.1926&amp;rgn=div5" TargetMode="External"/><Relationship Id="rId52" Type="http://schemas.openxmlformats.org/officeDocument/2006/relationships/hyperlink" Target="http://www.ecfr.gov/cgi-bin/text-idx?SID=fce2ae0bf3f8a67e60e0085338ee568e&amp;mc=true&amp;node=pt29.8.1926&amp;rgn=div5" TargetMode="External"/><Relationship Id="rId73" Type="http://schemas.openxmlformats.org/officeDocument/2006/relationships/hyperlink" Target="http://www.ecfr.gov/graphics/pdfs/er11ap14.042.pdf" TargetMode="External"/><Relationship Id="rId78" Type="http://schemas.openxmlformats.org/officeDocument/2006/relationships/image" Target="media/image14.gif"/><Relationship Id="rId94" Type="http://schemas.openxmlformats.org/officeDocument/2006/relationships/hyperlink" Target="http://www.ecfr.gov/graphics/pdfs/ec30oc91.052.pdf" TargetMode="External"/><Relationship Id="rId99" Type="http://schemas.openxmlformats.org/officeDocument/2006/relationships/image" Target="media/image21.gif"/><Relationship Id="rId101" Type="http://schemas.openxmlformats.org/officeDocument/2006/relationships/image" Target="media/image22.gif"/><Relationship Id="rId122" Type="http://schemas.openxmlformats.org/officeDocument/2006/relationships/image" Target="media/image31.gif"/><Relationship Id="rId143" Type="http://schemas.openxmlformats.org/officeDocument/2006/relationships/hyperlink" Target="http://www.ecfr.gov/graphics/pdfs/er20jy06.021.pdf" TargetMode="External"/><Relationship Id="rId148" Type="http://schemas.openxmlformats.org/officeDocument/2006/relationships/hyperlink" Target="http://www.ecfr.gov/cgi-bin/text-idx?SID=fce2ae0bf3f8a67e60e0085338ee568e&amp;mc=true&amp;node=pt29.8.1926&amp;rgn=div5" TargetMode="External"/><Relationship Id="rId164" Type="http://schemas.openxmlformats.org/officeDocument/2006/relationships/hyperlink" Target="http://www.ecfr.gov/cgi-bin/text-idx?SID=fce2ae0bf3f8a67e60e0085338ee568e&amp;mc=true&amp;node=pt29.8.1926&amp;rgn=div5" TargetMode="External"/><Relationship Id="rId169" Type="http://schemas.openxmlformats.org/officeDocument/2006/relationships/hyperlink" Target="http://www.ecfr.gov/cgi-bin/text-idx?SID=fce2ae0bf3f8a67e60e0085338ee568e&amp;mc=true&amp;node=pt29.8.1926&amp;rgn=div5" TargetMode="External"/><Relationship Id="rId185" Type="http://schemas.openxmlformats.org/officeDocument/2006/relationships/image" Target="media/image46.gif"/><Relationship Id="rId4" Type="http://schemas.openxmlformats.org/officeDocument/2006/relationships/settings" Target="settings.xml"/><Relationship Id="rId9" Type="http://schemas.openxmlformats.org/officeDocument/2006/relationships/hyperlink" Target="http://www.gpo.gov/searchwebapp/search/home.action" TargetMode="External"/><Relationship Id="rId180" Type="http://schemas.openxmlformats.org/officeDocument/2006/relationships/hyperlink" Target="http://www.ecfr.gov/cgi-bin/text-idx?SID=fce2ae0bf3f8a67e60e0085338ee568e&amp;mc=true&amp;node=pt29.8.1926&amp;rgn=div5" TargetMode="External"/><Relationship Id="rId210" Type="http://schemas.openxmlformats.org/officeDocument/2006/relationships/hyperlink" Target="http://www.ecfr.gov/graphics/pdfs/ec30oc91.071.pdf" TargetMode="External"/><Relationship Id="rId215" Type="http://schemas.openxmlformats.org/officeDocument/2006/relationships/image" Target="media/image61.gif"/><Relationship Id="rId236" Type="http://schemas.openxmlformats.org/officeDocument/2006/relationships/hyperlink" Target="http://www.ecfr.gov/cgi-bin/text-idx?SID=fce2ae0bf3f8a67e60e0085338ee568e&amp;mc=true&amp;node=pt29.8.1926&amp;rgn=div5" TargetMode="External"/><Relationship Id="rId257" Type="http://schemas.openxmlformats.org/officeDocument/2006/relationships/hyperlink" Target="http://www.ecfr.gov/cgi-bin/text-idx?SID=fce2ae0bf3f8a67e60e0085338ee568e&amp;mc=true&amp;node=pt29.8.1926&amp;rgn=div5" TargetMode="External"/><Relationship Id="rId278" Type="http://schemas.openxmlformats.org/officeDocument/2006/relationships/hyperlink" Target="http://www.ecfr.gov/cgi-bin/text-idx?SID=fce2ae0bf3f8a67e60e0085338ee568e&amp;mc=true&amp;node=pt29.8.1926&amp;rgn=div5" TargetMode="External"/><Relationship Id="rId26" Type="http://schemas.openxmlformats.org/officeDocument/2006/relationships/hyperlink" Target="http://www.ecfr.gov/cgi-bin/text-idx?SID=fce2ae0bf3f8a67e60e0085338ee568e&amp;mc=true&amp;node=pt29.8.1926&amp;rgn=div5" TargetMode="External"/><Relationship Id="rId231" Type="http://schemas.openxmlformats.org/officeDocument/2006/relationships/hyperlink" Target="http://www.ecfr.gov/cgi-bin/text-idx?SID=fce2ae0bf3f8a67e60e0085338ee568e&amp;mc=true&amp;node=pt29.8.1926&amp;rgn=div5" TargetMode="External"/><Relationship Id="rId252" Type="http://schemas.openxmlformats.org/officeDocument/2006/relationships/hyperlink" Target="http://www.ecfr.gov/cgi-bin/text-idx?SID=fce2ae0bf3f8a67e60e0085338ee568e&amp;mc=true&amp;node=pt29.8.1926&amp;rgn=div5" TargetMode="External"/><Relationship Id="rId273" Type="http://schemas.openxmlformats.org/officeDocument/2006/relationships/hyperlink" Target="http://www.ecfr.gov/cgi-bin/text-idx?SID=fce2ae0bf3f8a67e60e0085338ee568e&amp;mc=true&amp;node=pt29.8.1926&amp;rgn=div5" TargetMode="External"/><Relationship Id="rId294" Type="http://schemas.openxmlformats.org/officeDocument/2006/relationships/hyperlink" Target="http://www.ecfr.gov/cgi-bin/text-idx?SID=fce2ae0bf3f8a67e60e0085338ee568e&amp;mc=true&amp;node=pt29.8.1926&amp;rgn=div5" TargetMode="External"/><Relationship Id="rId47" Type="http://schemas.openxmlformats.org/officeDocument/2006/relationships/hyperlink" Target="http://www.ecfr.gov/graphics/pdfs/er11ap14.035.pdf" TargetMode="External"/><Relationship Id="rId68" Type="http://schemas.openxmlformats.org/officeDocument/2006/relationships/hyperlink" Target="http://www.ecfr.gov/graphics/pdfs/er11ap14.040.pdf" TargetMode="External"/><Relationship Id="rId89" Type="http://schemas.openxmlformats.org/officeDocument/2006/relationships/image" Target="media/image16.gif"/><Relationship Id="rId112" Type="http://schemas.openxmlformats.org/officeDocument/2006/relationships/hyperlink" Target="http://www.ecfr.gov/graphics/pdfs/ec30oc91.061.pdf" TargetMode="External"/><Relationship Id="rId133" Type="http://schemas.openxmlformats.org/officeDocument/2006/relationships/hyperlink" Target="http://www.ecfr.gov/graphics/pdfs/er20jy06.016.pdf" TargetMode="External"/><Relationship Id="rId154" Type="http://schemas.openxmlformats.org/officeDocument/2006/relationships/hyperlink" Target="http://www.ecfr.gov/cgi-bin/text-idx?SID=fce2ae0bf3f8a67e60e0085338ee568e&amp;mc=true&amp;node=pt29.8.1926&amp;rgn=div5" TargetMode="External"/><Relationship Id="rId175" Type="http://schemas.openxmlformats.org/officeDocument/2006/relationships/hyperlink" Target="http://www.ecfr.gov/cgi-bin/text-idx?SID=fce2ae0bf3f8a67e60e0085338ee568e&amp;mc=true&amp;node=pt29.8.1926&amp;rgn=div5" TargetMode="External"/><Relationship Id="rId196" Type="http://schemas.openxmlformats.org/officeDocument/2006/relationships/hyperlink" Target="http://www.ecfr.gov/graphics/pdfs/ec30oc91.064.pdf" TargetMode="External"/><Relationship Id="rId200" Type="http://schemas.openxmlformats.org/officeDocument/2006/relationships/hyperlink" Target="http://www.ecfr.gov/graphics/pdfs/ec30oc91.066.pdf" TargetMode="External"/><Relationship Id="rId16" Type="http://schemas.openxmlformats.org/officeDocument/2006/relationships/hyperlink" Target="http://www.ecfr.gov/graphics/pdfs/ec30oc91.049.pdf" TargetMode="External"/><Relationship Id="rId221" Type="http://schemas.openxmlformats.org/officeDocument/2006/relationships/hyperlink" Target="http://www.ecfr.gov/cgi-bin/text-idx?SID=fce2ae0bf3f8a67e60e0085338ee568e&amp;mc=true&amp;node=pt29.8.1926&amp;rgn=div5" TargetMode="External"/><Relationship Id="rId242" Type="http://schemas.openxmlformats.org/officeDocument/2006/relationships/hyperlink" Target="http://www.ecfr.gov/cgi-bin/text-idx?SID=fce2ae0bf3f8a67e60e0085338ee568e&amp;mc=true&amp;node=pt29.8.1926&amp;rgn=div5" TargetMode="External"/><Relationship Id="rId263" Type="http://schemas.openxmlformats.org/officeDocument/2006/relationships/hyperlink" Target="http://www.ecfr.gov/cgi-bin/text-idx?SID=fce2ae0bf3f8a67e60e0085338ee568e&amp;mc=true&amp;node=pt29.8.1926&amp;rgn=div5" TargetMode="External"/><Relationship Id="rId284" Type="http://schemas.openxmlformats.org/officeDocument/2006/relationships/hyperlink" Target="http://www.ecfr.gov/cgi-bin/text-idx?SID=fce2ae0bf3f8a67e60e0085338ee568e&amp;mc=true&amp;node=pt29.8.1926&amp;rgn=div5" TargetMode="External"/><Relationship Id="rId37" Type="http://schemas.openxmlformats.org/officeDocument/2006/relationships/hyperlink" Target="http://www.ecfr.gov/cgi-bin/text-idx?SID=fce2ae0bf3f8a67e60e0085338ee568e&amp;mc=true&amp;node=pt29.8.1926&amp;rgn=div5" TargetMode="External"/><Relationship Id="rId58" Type="http://schemas.openxmlformats.org/officeDocument/2006/relationships/hyperlink" Target="http://www.ecfr.gov/cgi-bin/text-idx?SID=fce2ae0bf3f8a67e60e0085338ee568e&amp;mc=true&amp;node=pt29.8.1926&amp;rgn=div5" TargetMode="External"/><Relationship Id="rId79" Type="http://schemas.openxmlformats.org/officeDocument/2006/relationships/hyperlink" Target="http://www.ecfr.gov/graphics/pdfs/er11ap14.045.pdf" TargetMode="External"/><Relationship Id="rId102" Type="http://schemas.openxmlformats.org/officeDocument/2006/relationships/hyperlink" Target="http://www.ecfr.gov/graphics/pdfs/ec30oc91.056.pdf" TargetMode="External"/><Relationship Id="rId123" Type="http://schemas.openxmlformats.org/officeDocument/2006/relationships/hyperlink" Target="http://www.ecfr.gov/graphics/pdfs/er20jy06.011.pdf" TargetMode="External"/><Relationship Id="rId144" Type="http://schemas.openxmlformats.org/officeDocument/2006/relationships/image" Target="media/image42.gif"/><Relationship Id="rId90" Type="http://schemas.openxmlformats.org/officeDocument/2006/relationships/hyperlink" Target="http://www.ecfr.gov/graphics/pdfs/ec30oc91.050.pdf" TargetMode="External"/><Relationship Id="rId165" Type="http://schemas.openxmlformats.org/officeDocument/2006/relationships/hyperlink" Target="http://www.ecfr.gov/cgi-bin/text-idx?SID=fce2ae0bf3f8a67e60e0085338ee568e&amp;mc=true&amp;node=pt29.8.1926&amp;rgn=div5" TargetMode="External"/><Relationship Id="rId186" Type="http://schemas.openxmlformats.org/officeDocument/2006/relationships/hyperlink" Target="http://www.ecfr.gov/graphics/pdfs/er29jn95.002.pdf" TargetMode="External"/><Relationship Id="rId211" Type="http://schemas.openxmlformats.org/officeDocument/2006/relationships/image" Target="media/image59.gif"/><Relationship Id="rId232" Type="http://schemas.openxmlformats.org/officeDocument/2006/relationships/hyperlink" Target="http://www.ecfr.gov/cgi-bin/text-idx?SID=fce2ae0bf3f8a67e60e0085338ee568e&amp;mc=true&amp;node=pt29.8.1926&amp;rgn=div5" TargetMode="External"/><Relationship Id="rId253" Type="http://schemas.openxmlformats.org/officeDocument/2006/relationships/hyperlink" Target="http://www.ecfr.gov/cgi-bin/text-idx?SID=fce2ae0bf3f8a67e60e0085338ee568e&amp;mc=true&amp;node=pt29.8.1926&amp;rgn=div5" TargetMode="External"/><Relationship Id="rId274" Type="http://schemas.openxmlformats.org/officeDocument/2006/relationships/hyperlink" Target="http://www.ecfr.gov/cgi-bin/text-idx?SID=fce2ae0bf3f8a67e60e0085338ee568e&amp;mc=true&amp;node=pt29.8.1926&amp;rgn=div5" TargetMode="External"/><Relationship Id="rId295" Type="http://schemas.openxmlformats.org/officeDocument/2006/relationships/hyperlink" Target="http://www.ecfr.gov/cgi-bin/text-idx?SID=fce2ae0bf3f8a67e60e0085338ee568e&amp;mc=true&amp;node=pt29.8.1926&amp;rgn=div5" TargetMode="External"/><Relationship Id="rId27" Type="http://schemas.openxmlformats.org/officeDocument/2006/relationships/hyperlink" Target="http://www.ecfr.gov/cgi-bin/text-idx?SID=fce2ae0bf3f8a67e60e0085338ee568e&amp;mc=true&amp;node=pt29.8.1926&amp;rgn=div5" TargetMode="External"/><Relationship Id="rId48" Type="http://schemas.openxmlformats.org/officeDocument/2006/relationships/hyperlink" Target="http://www.ecfr.gov/cgi-bin/text-idx?SID=fce2ae0bf3f8a67e60e0085338ee568e&amp;mc=true&amp;node=pt29.8.1926&amp;rgn=div5" TargetMode="External"/><Relationship Id="rId69" Type="http://schemas.openxmlformats.org/officeDocument/2006/relationships/hyperlink" Target="http://www.ecfr.gov/cgi-bin/text-idx?SID=fce2ae0bf3f8a67e60e0085338ee568e&amp;mc=true&amp;node=pt29.8.1926&amp;rgn=div5" TargetMode="External"/><Relationship Id="rId113" Type="http://schemas.openxmlformats.org/officeDocument/2006/relationships/image" Target="media/image28.gif"/><Relationship Id="rId134" Type="http://schemas.openxmlformats.org/officeDocument/2006/relationships/image" Target="media/image37.gif"/><Relationship Id="rId80" Type="http://schemas.openxmlformats.org/officeDocument/2006/relationships/image" Target="media/image15.gif"/><Relationship Id="rId155" Type="http://schemas.openxmlformats.org/officeDocument/2006/relationships/hyperlink" Target="http://www.ecfr.gov/cgi-bin/text-idx?SID=fce2ae0bf3f8a67e60e0085338ee568e&amp;mc=true&amp;node=pt29.8.1926&amp;rgn=div5" TargetMode="External"/><Relationship Id="rId176" Type="http://schemas.openxmlformats.org/officeDocument/2006/relationships/hyperlink" Target="http://www.ecfr.gov/cgi-bin/text-idx?SID=fce2ae0bf3f8a67e60e0085338ee568e&amp;mc=true&amp;node=pt29.8.1926&amp;rgn=div5" TargetMode="External"/><Relationship Id="rId197" Type="http://schemas.openxmlformats.org/officeDocument/2006/relationships/image" Target="media/image52.gif"/><Relationship Id="rId201" Type="http://schemas.openxmlformats.org/officeDocument/2006/relationships/image" Target="media/image54.gif"/><Relationship Id="rId222" Type="http://schemas.openxmlformats.org/officeDocument/2006/relationships/hyperlink" Target="http://www.ecfr.gov/cgi-bin/text-idx?SID=fce2ae0bf3f8a67e60e0085338ee568e&amp;mc=true&amp;node=pt29.8.1926&amp;rgn=div5" TargetMode="External"/><Relationship Id="rId243" Type="http://schemas.openxmlformats.org/officeDocument/2006/relationships/hyperlink" Target="http://www.ecfr.gov/cgi-bin/text-idx?SID=fce2ae0bf3f8a67e60e0085338ee568e&amp;mc=true&amp;node=pt29.8.1926&amp;rgn=div5" TargetMode="External"/><Relationship Id="rId264" Type="http://schemas.openxmlformats.org/officeDocument/2006/relationships/hyperlink" Target="http://www.ecfr.gov/cgi-bin/text-idx?SID=fce2ae0bf3f8a67e60e0085338ee568e&amp;mc=true&amp;node=pt29.8.1926&amp;rgn=div5" TargetMode="External"/><Relationship Id="rId285" Type="http://schemas.openxmlformats.org/officeDocument/2006/relationships/hyperlink" Target="http://www.ecfr.gov/cgi-bin/text-idx?SID=fce2ae0bf3f8a67e60e0085338ee568e&amp;mc=true&amp;node=pt29.8.1926&amp;rgn=div5" TargetMode="External"/><Relationship Id="rId17" Type="http://schemas.openxmlformats.org/officeDocument/2006/relationships/hyperlink" Target="http://www.ecfr.gov/cgi-bin/text-idx?SID=fce2ae0bf3f8a67e60e0085338ee568e&amp;mc=true&amp;node=pt29.8.1926&amp;rgn=div5" TargetMode="External"/><Relationship Id="rId38" Type="http://schemas.openxmlformats.org/officeDocument/2006/relationships/hyperlink" Target="http://www.ecfr.gov/cgi-bin/text-idx?SID=fce2ae0bf3f8a67e60e0085338ee568e&amp;mc=true&amp;node=pt29.8.1926&amp;rgn=div5" TargetMode="External"/><Relationship Id="rId59" Type="http://schemas.openxmlformats.org/officeDocument/2006/relationships/image" Target="media/image5.gif"/><Relationship Id="rId103" Type="http://schemas.openxmlformats.org/officeDocument/2006/relationships/image" Target="media/image23.gif"/><Relationship Id="rId124" Type="http://schemas.openxmlformats.org/officeDocument/2006/relationships/image" Target="media/image32.gif"/><Relationship Id="rId70" Type="http://schemas.openxmlformats.org/officeDocument/2006/relationships/image" Target="media/image10.gif"/><Relationship Id="rId91" Type="http://schemas.openxmlformats.org/officeDocument/2006/relationships/image" Target="media/image17.gif"/><Relationship Id="rId145" Type="http://schemas.openxmlformats.org/officeDocument/2006/relationships/hyperlink" Target="http://www.ecfr.gov/graphics/pdfs/er20jy06.022.pdf" TargetMode="External"/><Relationship Id="rId166" Type="http://schemas.openxmlformats.org/officeDocument/2006/relationships/hyperlink" Target="http://www.ecfr.gov/cgi-bin/text-idx?SID=fce2ae0bf3f8a67e60e0085338ee568e&amp;mc=true&amp;node=pt29.8.1926&amp;rgn=div5" TargetMode="External"/><Relationship Id="rId187" Type="http://schemas.openxmlformats.org/officeDocument/2006/relationships/image" Target="media/image47.gif"/><Relationship Id="rId1" Type="http://schemas.openxmlformats.org/officeDocument/2006/relationships/numbering" Target="numbering.xml"/><Relationship Id="rId212" Type="http://schemas.openxmlformats.org/officeDocument/2006/relationships/hyperlink" Target="http://www.ecfr.gov/graphics/pdfs/ec30oc91.072.pdf" TargetMode="External"/><Relationship Id="rId233" Type="http://schemas.openxmlformats.org/officeDocument/2006/relationships/hyperlink" Target="http://www.ecfr.gov/cgi-bin/text-idx?SID=fce2ae0bf3f8a67e60e0085338ee568e&amp;mc=true&amp;node=pt29.8.1926&amp;rgn=div5" TargetMode="External"/><Relationship Id="rId254" Type="http://schemas.openxmlformats.org/officeDocument/2006/relationships/hyperlink" Target="http://www.ecfr.gov/cgi-bin/text-idx?SID=fce2ae0bf3f8a67e60e0085338ee568e&amp;mc=true&amp;node=pt29.8.1926&amp;rgn=div5" TargetMode="External"/><Relationship Id="rId28" Type="http://schemas.openxmlformats.org/officeDocument/2006/relationships/hyperlink" Target="http://www.ecfr.gov/cgi-bin/text-idx?SID=fce2ae0bf3f8a67e60e0085338ee568e&amp;mc=true&amp;node=pt29.8.1926&amp;rgn=div5" TargetMode="External"/><Relationship Id="rId49" Type="http://schemas.openxmlformats.org/officeDocument/2006/relationships/hyperlink" Target="http://www.ecfr.gov/cgi-bin/text-idx?SID=fce2ae0bf3f8a67e60e0085338ee568e&amp;mc=true&amp;node=pt29.8.1926&amp;rgn=div5" TargetMode="External"/><Relationship Id="rId114" Type="http://schemas.openxmlformats.org/officeDocument/2006/relationships/hyperlink" Target="http://www.ecfr.gov/graphics/pdfs/ec30oc91.062.pdf" TargetMode="External"/><Relationship Id="rId275" Type="http://schemas.openxmlformats.org/officeDocument/2006/relationships/hyperlink" Target="http://www.ecfr.gov/cgi-bin/text-idx?SID=fce2ae0bf3f8a67e60e0085338ee568e&amp;mc=true&amp;node=pt29.8.1926&amp;rgn=div5" TargetMode="External"/><Relationship Id="rId296" Type="http://schemas.openxmlformats.org/officeDocument/2006/relationships/image" Target="media/image64.gif"/><Relationship Id="rId300" Type="http://schemas.openxmlformats.org/officeDocument/2006/relationships/hyperlink" Target="http://www.ecfr.gov/cgi-bin/text-idx?SID=fce2ae0bf3f8a67e60e0085338ee568e&amp;mc=true&amp;node=pt29.8.1926&amp;rgn=div5" TargetMode="External"/><Relationship Id="rId60" Type="http://schemas.openxmlformats.org/officeDocument/2006/relationships/hyperlink" Target="http://www.ecfr.gov/graphics/pdfs/er11ap14.036.pdf" TargetMode="External"/><Relationship Id="rId81" Type="http://schemas.openxmlformats.org/officeDocument/2006/relationships/hyperlink" Target="http://www.ecfr.gov/graphics/pdfs/er11ap14.046.pdf" TargetMode="External"/><Relationship Id="rId135" Type="http://schemas.openxmlformats.org/officeDocument/2006/relationships/hyperlink" Target="http://www.ecfr.gov/graphics/pdfs/er20jy06.017.pdf" TargetMode="External"/><Relationship Id="rId156" Type="http://schemas.openxmlformats.org/officeDocument/2006/relationships/hyperlink" Target="http://www.ecfr.gov/cgi-bin/text-idx?SID=fce2ae0bf3f8a67e60e0085338ee568e&amp;mc=true&amp;node=pt29.8.1926&amp;rgn=div5" TargetMode="External"/><Relationship Id="rId177" Type="http://schemas.openxmlformats.org/officeDocument/2006/relationships/hyperlink" Target="http://www.ecfr.gov/cgi-bin/text-idx?SID=fce2ae0bf3f8a67e60e0085338ee568e&amp;mc=true&amp;node=pt29.8.1926&amp;rgn=div5" TargetMode="External"/><Relationship Id="rId198" Type="http://schemas.openxmlformats.org/officeDocument/2006/relationships/hyperlink" Target="http://www.ecfr.gov/graphics/pdfs/ec30oc91.065.pdf" TargetMode="External"/><Relationship Id="rId202" Type="http://schemas.openxmlformats.org/officeDocument/2006/relationships/hyperlink" Target="http://www.ecfr.gov/graphics/pdfs/ec30oc91.067.pdf" TargetMode="External"/><Relationship Id="rId223" Type="http://schemas.openxmlformats.org/officeDocument/2006/relationships/hyperlink" Target="http://www.ecfr.gov/cgi-bin/text-idx?SID=fce2ae0bf3f8a67e60e0085338ee568e&amp;mc=true&amp;node=pt29.8.1926&amp;rgn=div5" TargetMode="External"/><Relationship Id="rId244" Type="http://schemas.openxmlformats.org/officeDocument/2006/relationships/hyperlink" Target="http://www.ecfr.gov/cgi-bin/text-idx?SID=fce2ae0bf3f8a67e60e0085338ee568e&amp;mc=true&amp;node=pt29.8.1926&amp;rgn=div5" TargetMode="External"/><Relationship Id="rId18" Type="http://schemas.openxmlformats.org/officeDocument/2006/relationships/hyperlink" Target="http://www.ecfr.gov/cgi-bin/text-idx?SID=fce2ae0bf3f8a67e60e0085338ee568e&amp;mc=true&amp;node=pt29.8.1926&amp;rgn=div5" TargetMode="External"/><Relationship Id="rId39" Type="http://schemas.openxmlformats.org/officeDocument/2006/relationships/hyperlink" Target="http://www.ecfr.gov/cgi-bin/text-idx?SID=fce2ae0bf3f8a67e60e0085338ee568e&amp;mc=true&amp;node=pt29.8.1926&amp;rgn=div5" TargetMode="External"/><Relationship Id="rId265" Type="http://schemas.openxmlformats.org/officeDocument/2006/relationships/hyperlink" Target="http://www.ecfr.gov/cgi-bin/text-idx?SID=fce2ae0bf3f8a67e60e0085338ee568e&amp;mc=true&amp;node=pt29.8.1926&amp;rgn=div5" TargetMode="External"/><Relationship Id="rId286" Type="http://schemas.openxmlformats.org/officeDocument/2006/relationships/hyperlink" Target="http://www.ecfr.gov/cgi-bin/text-idx?SID=fce2ae0bf3f8a67e60e0085338ee568e&amp;mc=true&amp;node=pt29.8.1926&amp;rgn=div5" TargetMode="External"/><Relationship Id="rId50" Type="http://schemas.openxmlformats.org/officeDocument/2006/relationships/hyperlink" Target="http://www.ecfr.gov/cgi-bin/text-idx?SID=fce2ae0bf3f8a67e60e0085338ee568e&amp;mc=true&amp;node=pt29.8.1926&amp;rgn=div5" TargetMode="External"/><Relationship Id="rId104" Type="http://schemas.openxmlformats.org/officeDocument/2006/relationships/hyperlink" Target="http://www.ecfr.gov/graphics/pdfs/ec30oc91.057.pdf" TargetMode="External"/><Relationship Id="rId125" Type="http://schemas.openxmlformats.org/officeDocument/2006/relationships/hyperlink" Target="http://www.ecfr.gov/graphics/pdfs/er20jy06.012.pdf" TargetMode="External"/><Relationship Id="rId146" Type="http://schemas.openxmlformats.org/officeDocument/2006/relationships/image" Target="media/image43.gif"/><Relationship Id="rId167" Type="http://schemas.openxmlformats.org/officeDocument/2006/relationships/hyperlink" Target="http://www.ecfr.gov/cgi-bin/text-idx?SID=fce2ae0bf3f8a67e60e0085338ee568e&amp;mc=true&amp;node=pt29.8.1926&amp;rgn=div5" TargetMode="External"/><Relationship Id="rId188" Type="http://schemas.openxmlformats.org/officeDocument/2006/relationships/hyperlink" Target="http://www.ecfr.gov/graphics/pdfs/er10au94.036.pdf" TargetMode="External"/><Relationship Id="rId71" Type="http://schemas.openxmlformats.org/officeDocument/2006/relationships/hyperlink" Target="http://www.ecfr.gov/graphics/pdfs/er11ap14.041.pdf" TargetMode="External"/><Relationship Id="rId92" Type="http://schemas.openxmlformats.org/officeDocument/2006/relationships/hyperlink" Target="http://www.ecfr.gov/graphics/pdfs/ec30oc91.051.pdf" TargetMode="External"/><Relationship Id="rId213" Type="http://schemas.openxmlformats.org/officeDocument/2006/relationships/image" Target="media/image60.gif"/><Relationship Id="rId234" Type="http://schemas.openxmlformats.org/officeDocument/2006/relationships/hyperlink" Target="http://www.ecfr.gov/cgi-bin/text-idx?SID=fce2ae0bf3f8a67e60e0085338ee568e&amp;mc=true&amp;node=pt29.8.1926&amp;rgn=di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372</Pages>
  <Words>146966</Words>
  <Characters>837709</Characters>
  <Application>Microsoft Office Word</Application>
  <DocSecurity>0</DocSecurity>
  <Lines>6980</Lines>
  <Paragraphs>1965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 Doris - OSHA</dc:creator>
  <cp:lastModifiedBy>Edwards, Doris - OSHA</cp:lastModifiedBy>
  <cp:revision>6</cp:revision>
  <dcterms:created xsi:type="dcterms:W3CDTF">2015-06-09T19:18:00Z</dcterms:created>
  <dcterms:modified xsi:type="dcterms:W3CDTF">2015-06-09T19:18:00Z</dcterms:modified>
</cp:coreProperties>
</file>