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92103" w14:textId="4D7BE9F9" w:rsidR="00285280" w:rsidRPr="00E66B16" w:rsidRDefault="00E66B16" w:rsidP="00C824F7">
      <w:pPr>
        <w:jc w:val="center"/>
      </w:pPr>
      <w:bookmarkStart w:id="0" w:name="_GoBack"/>
      <w:bookmarkEnd w:id="0"/>
      <w:r w:rsidRPr="00E66B16">
        <w:t>151</w:t>
      </w:r>
      <w:r>
        <w:t xml:space="preserve"> FERC ¶ 61,</w:t>
      </w:r>
      <w:r w:rsidR="0095411E">
        <w:t>129</w:t>
      </w:r>
    </w:p>
    <w:p w14:paraId="5C151D99" w14:textId="77777777" w:rsidR="00C824F7" w:rsidRPr="00755E06" w:rsidRDefault="00C824F7" w:rsidP="00C824F7">
      <w:pPr>
        <w:jc w:val="center"/>
      </w:pPr>
      <w:r w:rsidRPr="00755E06">
        <w:t>UNITED STATES OF AMERICA</w:t>
      </w:r>
    </w:p>
    <w:p w14:paraId="311D506C" w14:textId="77777777" w:rsidR="00C824F7" w:rsidRPr="00755E06" w:rsidRDefault="00C824F7" w:rsidP="00C824F7">
      <w:pPr>
        <w:jc w:val="center"/>
      </w:pPr>
      <w:r w:rsidRPr="00755E06">
        <w:t>FEDERAL ENERGY REGULATORY COMMISSION</w:t>
      </w:r>
    </w:p>
    <w:p w14:paraId="4CA310E8" w14:textId="77777777" w:rsidR="00C824F7" w:rsidRPr="00755E06" w:rsidRDefault="00C824F7" w:rsidP="00C824F7">
      <w:pPr>
        <w:jc w:val="center"/>
      </w:pPr>
    </w:p>
    <w:p w14:paraId="26CC6DAC" w14:textId="5F8EC5AE" w:rsidR="00C824F7" w:rsidRPr="00E66B16" w:rsidRDefault="00E66B16" w:rsidP="00E66B16">
      <w:pPr>
        <w:widowControl/>
      </w:pPr>
      <w:r w:rsidRPr="00E66B16">
        <w:t>Before Commissioners:  Norman C. Bay, Chairman;</w:t>
      </w:r>
    </w:p>
    <w:p w14:paraId="03427F67" w14:textId="09BF901E" w:rsidR="00E66B16" w:rsidRPr="00E66B16" w:rsidRDefault="00E66B16" w:rsidP="00E66B16">
      <w:pPr>
        <w:widowControl/>
      </w:pPr>
      <w:r w:rsidRPr="00E66B16">
        <w:t xml:space="preserve">                                        Philip D. Moeller, Cheryl A. LaFleur,</w:t>
      </w:r>
    </w:p>
    <w:p w14:paraId="15089483" w14:textId="05360F41" w:rsidR="00E66B16" w:rsidRPr="00755E06" w:rsidRDefault="00E66B16" w:rsidP="00E66B16">
      <w:pPr>
        <w:widowControl/>
      </w:pPr>
      <w:r w:rsidRPr="00E66B16">
        <w:t xml:space="preserve">                                        Tony Clark, and Colette D. Honorable.</w:t>
      </w:r>
    </w:p>
    <w:p w14:paraId="0B982DB7" w14:textId="77777777" w:rsidR="00C824F7" w:rsidRPr="00755E06" w:rsidRDefault="00C824F7" w:rsidP="00C824F7"/>
    <w:p w14:paraId="681E6ADE" w14:textId="77777777" w:rsidR="00C824F7" w:rsidRPr="00755E06" w:rsidRDefault="00C824F7" w:rsidP="00C824F7"/>
    <w:tbl>
      <w:tblPr>
        <w:tblW w:w="0" w:type="auto"/>
        <w:tblCellMar>
          <w:left w:w="0" w:type="dxa"/>
          <w:right w:w="0" w:type="dxa"/>
        </w:tblCellMar>
        <w:tblLook w:val="01E0" w:firstRow="1" w:lastRow="1" w:firstColumn="1" w:lastColumn="1" w:noHBand="0" w:noVBand="0"/>
      </w:tblPr>
      <w:tblGrid>
        <w:gridCol w:w="5933"/>
        <w:gridCol w:w="1534"/>
        <w:gridCol w:w="1893"/>
      </w:tblGrid>
      <w:tr w:rsidR="00755E06" w:rsidRPr="00755E06" w14:paraId="16E45838" w14:textId="77777777">
        <w:tc>
          <w:tcPr>
            <w:tcW w:w="5933" w:type="dxa"/>
            <w:shd w:val="clear" w:color="auto" w:fill="auto"/>
          </w:tcPr>
          <w:p w14:paraId="71F6B8FC" w14:textId="77777777" w:rsidR="00C824F7" w:rsidRPr="00755E06" w:rsidRDefault="00C824F7" w:rsidP="00C824F7">
            <w:pPr>
              <w:spacing w:before="100" w:beforeAutospacing="1" w:after="100" w:afterAutospacing="1"/>
            </w:pPr>
            <w:r w:rsidRPr="00755E06">
              <w:t>North American Electric Reliability Corporation</w:t>
            </w:r>
          </w:p>
        </w:tc>
        <w:tc>
          <w:tcPr>
            <w:tcW w:w="1534" w:type="dxa"/>
            <w:shd w:val="clear" w:color="auto" w:fill="auto"/>
          </w:tcPr>
          <w:p w14:paraId="2123A2CB" w14:textId="77777777" w:rsidR="00C824F7" w:rsidRPr="00755E06" w:rsidRDefault="00C824F7" w:rsidP="00C824F7">
            <w:pPr>
              <w:tabs>
                <w:tab w:val="left" w:pos="720"/>
                <w:tab w:val="left" w:pos="1440"/>
                <w:tab w:val="left" w:pos="2880"/>
                <w:tab w:val="left" w:pos="4320"/>
                <w:tab w:val="left" w:pos="5040"/>
                <w:tab w:val="left" w:pos="5760"/>
                <w:tab w:val="left" w:pos="6480"/>
                <w:tab w:val="left" w:pos="7200"/>
              </w:tabs>
              <w:spacing w:before="100" w:beforeAutospacing="1" w:after="100" w:afterAutospacing="1"/>
              <w:jc w:val="right"/>
            </w:pPr>
            <w:r w:rsidRPr="00755E06">
              <w:t>Docket No.</w:t>
            </w:r>
          </w:p>
        </w:tc>
        <w:tc>
          <w:tcPr>
            <w:tcW w:w="1893" w:type="dxa"/>
            <w:shd w:val="clear" w:color="auto" w:fill="auto"/>
            <w:tcMar>
              <w:left w:w="144" w:type="dxa"/>
            </w:tcMar>
          </w:tcPr>
          <w:p w14:paraId="6F291A56" w14:textId="77777777" w:rsidR="00C824F7" w:rsidRPr="00755E06" w:rsidRDefault="00C824F7" w:rsidP="00C824F7">
            <w:pPr>
              <w:tabs>
                <w:tab w:val="left" w:pos="720"/>
                <w:tab w:val="left" w:pos="1440"/>
                <w:tab w:val="left" w:pos="2880"/>
                <w:tab w:val="left" w:pos="4320"/>
                <w:tab w:val="left" w:pos="5040"/>
                <w:tab w:val="left" w:pos="5760"/>
                <w:tab w:val="left" w:pos="6480"/>
                <w:tab w:val="left" w:pos="7200"/>
              </w:tabs>
            </w:pPr>
            <w:r w:rsidRPr="00755E06">
              <w:t>RD14-14-000</w:t>
            </w:r>
          </w:p>
        </w:tc>
      </w:tr>
    </w:tbl>
    <w:p w14:paraId="45161260" w14:textId="77777777" w:rsidR="00893E07" w:rsidRDefault="00893E07" w:rsidP="00711A58">
      <w:pPr>
        <w:rPr>
          <w:bCs/>
        </w:rPr>
      </w:pPr>
    </w:p>
    <w:p w14:paraId="78FE1274" w14:textId="77777777" w:rsidR="00893E07" w:rsidRDefault="00893E07" w:rsidP="00711A58">
      <w:pPr>
        <w:rPr>
          <w:bCs/>
        </w:rPr>
      </w:pPr>
    </w:p>
    <w:p w14:paraId="5119234D" w14:textId="77777777" w:rsidR="00C824F7" w:rsidRDefault="00C824F7" w:rsidP="00893E07">
      <w:pPr>
        <w:jc w:val="center"/>
        <w:rPr>
          <w:bCs/>
        </w:rPr>
      </w:pPr>
      <w:r w:rsidRPr="00755E06">
        <w:rPr>
          <w:bCs/>
        </w:rPr>
        <w:t>ORDER APPROVING RELIABILITY STANDARD</w:t>
      </w:r>
    </w:p>
    <w:p w14:paraId="794A166B" w14:textId="77777777" w:rsidR="00893E07" w:rsidRPr="00755E06" w:rsidRDefault="00893E07" w:rsidP="00893E07">
      <w:pPr>
        <w:jc w:val="center"/>
        <w:rPr>
          <w:bCs/>
        </w:rPr>
      </w:pPr>
    </w:p>
    <w:p w14:paraId="5107A334" w14:textId="2D0CEADE" w:rsidR="0095411E" w:rsidRPr="0095411E" w:rsidRDefault="0095411E" w:rsidP="0095411E">
      <w:pPr>
        <w:widowControl/>
        <w:jc w:val="center"/>
        <w:rPr>
          <w:bCs/>
        </w:rPr>
      </w:pPr>
      <w:r w:rsidRPr="0095411E">
        <w:rPr>
          <w:bCs/>
        </w:rPr>
        <w:t>(Issued May 13, 2015)</w:t>
      </w:r>
    </w:p>
    <w:p w14:paraId="6A618E54" w14:textId="75E2D672" w:rsidR="00C824F7" w:rsidRPr="00755E06" w:rsidRDefault="00C824F7" w:rsidP="00C824F7">
      <w:pPr>
        <w:pStyle w:val="FERCparanumber"/>
        <w:spacing w:before="100" w:beforeAutospacing="1"/>
      </w:pPr>
      <w:r w:rsidRPr="00755E06">
        <w:t xml:space="preserve">On September 15, 2014, the North American Electric Reliability Corporation (NERC) submitted a petition seeking approval of a </w:t>
      </w:r>
      <w:r w:rsidR="00AF605E" w:rsidRPr="00755E06">
        <w:t>modified</w:t>
      </w:r>
      <w:r w:rsidRPr="00755E06">
        <w:t xml:space="preserve"> Protection and Control (PRC) Reliability Standard PRC-004-3</w:t>
      </w:r>
      <w:r w:rsidR="00B41F03" w:rsidRPr="00755E06">
        <w:t xml:space="preserve"> </w:t>
      </w:r>
      <w:r w:rsidR="00B57F72" w:rsidRPr="00755E06">
        <w:t>(</w:t>
      </w:r>
      <w:r w:rsidRPr="00755E06">
        <w:t>Protection System Misoperation Identification and Correction</w:t>
      </w:r>
      <w:r w:rsidR="00B57F72" w:rsidRPr="00755E06">
        <w:t>)</w:t>
      </w:r>
      <w:r w:rsidRPr="00755E06">
        <w:t>, pursuant to section 215(d) of the Federal Power Act (FPA)</w:t>
      </w:r>
      <w:r w:rsidR="007D5924" w:rsidRPr="00755E06">
        <w:t>.</w:t>
      </w:r>
      <w:r w:rsidRPr="00755E06">
        <w:rPr>
          <w:rStyle w:val="FootnoteReference"/>
        </w:rPr>
        <w:footnoteReference w:id="2"/>
      </w:r>
      <w:r w:rsidRPr="00755E06">
        <w:t xml:space="preserve">  The </w:t>
      </w:r>
      <w:r w:rsidR="00AF605E" w:rsidRPr="00755E06">
        <w:t>modified</w:t>
      </w:r>
      <w:r w:rsidRPr="00755E06">
        <w:t xml:space="preserve"> Reliability Standard requires transmission owners, generator owners, and distribution providers to identify and correct causes of misoperations</w:t>
      </w:r>
      <w:r w:rsidR="005010F8" w:rsidRPr="00755E06">
        <w:rPr>
          <w:rStyle w:val="FootnoteReference"/>
        </w:rPr>
        <w:footnoteReference w:id="3"/>
      </w:r>
      <w:r w:rsidRPr="00755E06">
        <w:t xml:space="preserve"> of certain protection systems.</w:t>
      </w:r>
      <w:r w:rsidR="00B62CBA" w:rsidRPr="006926A5">
        <w:rPr>
          <w:rStyle w:val="FootnoteReference"/>
        </w:rPr>
        <w:footnoteReference w:id="4"/>
      </w:r>
      <w:r w:rsidRPr="006926A5">
        <w:t xml:space="preserve"> </w:t>
      </w:r>
      <w:r w:rsidRPr="00755E06">
        <w:t xml:space="preserve"> NERC also requests approval of two new </w:t>
      </w:r>
      <w:r w:rsidR="007D5924" w:rsidRPr="00755E06">
        <w:t xml:space="preserve">defined </w:t>
      </w:r>
      <w:r w:rsidRPr="00755E06">
        <w:t>terms</w:t>
      </w:r>
      <w:r w:rsidR="007D5924" w:rsidRPr="00755E06">
        <w:t xml:space="preserve"> </w:t>
      </w:r>
      <w:r w:rsidR="00FF707C" w:rsidRPr="00755E06">
        <w:t>to</w:t>
      </w:r>
      <w:r w:rsidRPr="00755E06">
        <w:t xml:space="preserve"> inclu</w:t>
      </w:r>
      <w:r w:rsidR="00FF707C" w:rsidRPr="00755E06">
        <w:t>de</w:t>
      </w:r>
      <w:r w:rsidRPr="00755E06">
        <w:t xml:space="preserve"> in </w:t>
      </w:r>
      <w:r w:rsidR="007D5924" w:rsidRPr="00755E06">
        <w:t xml:space="preserve">the </w:t>
      </w:r>
      <w:r w:rsidRPr="00755E06">
        <w:t xml:space="preserve">NERC Glossary of Terms Used in NERC Reliability Standards (NERC Glossary).  Finally, NERC requests approval of </w:t>
      </w:r>
      <w:r w:rsidR="00D00FCC" w:rsidRPr="00755E06">
        <w:t>the</w:t>
      </w:r>
      <w:r w:rsidRPr="00755E06">
        <w:t xml:space="preserve"> implementation plan for Reliability Standard PRC-004-3, as well as </w:t>
      </w:r>
      <w:r w:rsidR="00BB261B" w:rsidRPr="00755E06">
        <w:t xml:space="preserve">approval of </w:t>
      </w:r>
      <w:r w:rsidRPr="00755E06">
        <w:t xml:space="preserve">the associated Violation Risk Factors (VRFs) and Violation Severity Levels (VSLs). </w:t>
      </w:r>
    </w:p>
    <w:p w14:paraId="3B9E0F6C" w14:textId="678B465A" w:rsidR="00C824F7" w:rsidRPr="00755E06" w:rsidRDefault="00C824F7">
      <w:pPr>
        <w:pStyle w:val="FERCparanumber"/>
        <w:spacing w:before="100" w:beforeAutospacing="1"/>
      </w:pPr>
      <w:r w:rsidRPr="00755E06">
        <w:t xml:space="preserve">As explained below, </w:t>
      </w:r>
      <w:r w:rsidR="000E3A9B" w:rsidRPr="00755E06">
        <w:t>the Commission</w:t>
      </w:r>
      <w:r w:rsidRPr="00755E06">
        <w:t xml:space="preserve"> find</w:t>
      </w:r>
      <w:r w:rsidR="000E3A9B" w:rsidRPr="00755E06">
        <w:t>s</w:t>
      </w:r>
      <w:r w:rsidRPr="00755E06">
        <w:t xml:space="preserve"> that revised Reliability Standard </w:t>
      </w:r>
      <w:r w:rsidR="002D5BD3">
        <w:t xml:space="preserve">  </w:t>
      </w:r>
      <w:r w:rsidRPr="00755E06">
        <w:t>PRC-004-3</w:t>
      </w:r>
      <w:r w:rsidR="00A73F4B" w:rsidRPr="00755E06">
        <w:t>,</w:t>
      </w:r>
      <w:r w:rsidRPr="00755E06">
        <w:t xml:space="preserve"> including the associated new Glossary terms and implementation plan</w:t>
      </w:r>
      <w:r w:rsidR="00A73F4B" w:rsidRPr="00755E06">
        <w:t>,</w:t>
      </w:r>
      <w:r w:rsidRPr="00755E06">
        <w:t xml:space="preserve"> is just, reasonable, not unduly discriminatory or preferential and in the public interest.  </w:t>
      </w:r>
      <w:r w:rsidR="000E3A9B" w:rsidRPr="00755E06">
        <w:t>Th</w:t>
      </w:r>
      <w:r w:rsidRPr="00755E06">
        <w:t xml:space="preserve">e </w:t>
      </w:r>
      <w:r w:rsidR="000E3A9B" w:rsidRPr="00755E06">
        <w:t>Commission also approves</w:t>
      </w:r>
      <w:r w:rsidRPr="00755E06">
        <w:t xml:space="preserve"> the </w:t>
      </w:r>
      <w:r w:rsidR="00FF707C" w:rsidRPr="00755E06">
        <w:t>VSLs</w:t>
      </w:r>
      <w:r w:rsidRPr="00755E06">
        <w:t xml:space="preserve"> associated with the </w:t>
      </w:r>
      <w:r w:rsidR="000E3A9B" w:rsidRPr="00755E06">
        <w:t>Reliability S</w:t>
      </w:r>
      <w:r w:rsidRPr="00755E06">
        <w:t>tandard</w:t>
      </w:r>
      <w:r w:rsidR="00FF707C" w:rsidRPr="00755E06">
        <w:t>,</w:t>
      </w:r>
      <w:r w:rsidRPr="00755E06">
        <w:t xml:space="preserve"> as </w:t>
      </w:r>
      <w:r w:rsidRPr="00755E06">
        <w:lastRenderedPageBreak/>
        <w:t>proposed by NERC</w:t>
      </w:r>
      <w:r w:rsidR="000E3A9B" w:rsidRPr="00755E06">
        <w:t>.  The Commission</w:t>
      </w:r>
      <w:r w:rsidRPr="00755E06">
        <w:t>, however</w:t>
      </w:r>
      <w:r w:rsidR="00895574" w:rsidRPr="00755E06">
        <w:t>,</w:t>
      </w:r>
      <w:r w:rsidRPr="00755E06">
        <w:t xml:space="preserve"> direct</w:t>
      </w:r>
      <w:r w:rsidR="000E3A9B" w:rsidRPr="00755E06">
        <w:t>s</w:t>
      </w:r>
      <w:r w:rsidRPr="00755E06">
        <w:t xml:space="preserve"> NERC to </w:t>
      </w:r>
      <w:r w:rsidRPr="00755E06">
        <w:rPr>
          <w:szCs w:val="26"/>
        </w:rPr>
        <w:t xml:space="preserve">submit a compliance filing, within 60 days of </w:t>
      </w:r>
      <w:r w:rsidR="009A5FC1" w:rsidRPr="00755E06">
        <w:rPr>
          <w:szCs w:val="26"/>
        </w:rPr>
        <w:t xml:space="preserve">the </w:t>
      </w:r>
      <w:r w:rsidRPr="00755E06">
        <w:rPr>
          <w:szCs w:val="26"/>
        </w:rPr>
        <w:t xml:space="preserve">issuance of this order, to address </w:t>
      </w:r>
      <w:r w:rsidR="000E3A9B" w:rsidRPr="00755E06">
        <w:rPr>
          <w:szCs w:val="26"/>
        </w:rPr>
        <w:t>certain</w:t>
      </w:r>
      <w:r w:rsidRPr="00755E06">
        <w:rPr>
          <w:szCs w:val="26"/>
        </w:rPr>
        <w:t xml:space="preserve"> concerns </w:t>
      </w:r>
      <w:r w:rsidR="000E3A9B" w:rsidRPr="00755E06">
        <w:rPr>
          <w:szCs w:val="26"/>
        </w:rPr>
        <w:t>regarding</w:t>
      </w:r>
      <w:r w:rsidRPr="00755E06">
        <w:rPr>
          <w:szCs w:val="26"/>
        </w:rPr>
        <w:t xml:space="preserve"> the VRF designations for Requirements R1 through R6, as</w:t>
      </w:r>
      <w:r w:rsidRPr="00755E06">
        <w:t xml:space="preserve"> described below.  </w:t>
      </w:r>
    </w:p>
    <w:p w14:paraId="39C27315" w14:textId="77777777" w:rsidR="00C824F7" w:rsidRPr="00755E06" w:rsidRDefault="00C824F7">
      <w:pPr>
        <w:pStyle w:val="Heading1"/>
        <w:spacing w:before="100" w:beforeAutospacing="1" w:after="240"/>
      </w:pPr>
      <w:r w:rsidRPr="00755E06">
        <w:rPr>
          <w:u w:val="none"/>
        </w:rPr>
        <w:t>I.</w:t>
      </w:r>
      <w:r w:rsidRPr="00755E06">
        <w:rPr>
          <w:u w:val="none"/>
        </w:rPr>
        <w:tab/>
      </w:r>
      <w:r w:rsidRPr="00755E06">
        <w:t>Background</w:t>
      </w:r>
    </w:p>
    <w:p w14:paraId="73C5C617" w14:textId="7E713A56" w:rsidR="00B57109" w:rsidRPr="00755E06" w:rsidRDefault="00C824F7" w:rsidP="00D70686">
      <w:pPr>
        <w:pStyle w:val="FERCparanumber"/>
      </w:pPr>
      <w:r w:rsidRPr="00755E06">
        <w:t>The Commission certified NERC as the Electric Reliability Organization (ERO), as defined in section 215 of the FPA, in July 2006.</w:t>
      </w:r>
      <w:r w:rsidRPr="00755E06">
        <w:rPr>
          <w:rStyle w:val="FootnoteReference"/>
        </w:rPr>
        <w:footnoteReference w:id="5"/>
      </w:r>
      <w:r w:rsidRPr="00755E06">
        <w:t xml:space="preserve">  In Order No. 693, the Commission</w:t>
      </w:r>
      <w:r w:rsidR="00015938" w:rsidRPr="00755E06">
        <w:t xml:space="preserve"> </w:t>
      </w:r>
      <w:r w:rsidR="00695528" w:rsidRPr="00755E06">
        <w:t>approv</w:t>
      </w:r>
      <w:r w:rsidR="00015938" w:rsidRPr="00755E06">
        <w:t>ed</w:t>
      </w:r>
      <w:r w:rsidRPr="00755E06">
        <w:t xml:space="preserve"> 83 </w:t>
      </w:r>
      <w:r w:rsidR="006A27A1" w:rsidRPr="00755E06">
        <w:t xml:space="preserve">of 107 proposed </w:t>
      </w:r>
      <w:r w:rsidR="00435BCE" w:rsidRPr="00755E06">
        <w:t>Reliability S</w:t>
      </w:r>
      <w:r w:rsidRPr="00755E06">
        <w:t xml:space="preserve">tandards </w:t>
      </w:r>
      <w:r w:rsidR="00435BCE" w:rsidRPr="00755E06">
        <w:t>submitted by NERC</w:t>
      </w:r>
      <w:r w:rsidR="00015938" w:rsidRPr="00755E06">
        <w:t xml:space="preserve">, including </w:t>
      </w:r>
      <w:r w:rsidR="006A27A1" w:rsidRPr="00755E06">
        <w:t xml:space="preserve">approval of </w:t>
      </w:r>
      <w:r w:rsidR="00015938" w:rsidRPr="00755E06">
        <w:t>PRC-004-1</w:t>
      </w:r>
      <w:r w:rsidR="00B91C35" w:rsidRPr="00755E06">
        <w:t xml:space="preserve"> (Analysis and Mitigation of Transmission and Generation Protection System Misoperations)</w:t>
      </w:r>
      <w:r w:rsidRPr="00755E06">
        <w:t>.</w:t>
      </w:r>
      <w:r w:rsidRPr="00755E06">
        <w:rPr>
          <w:rStyle w:val="FootnoteReference"/>
        </w:rPr>
        <w:footnoteReference w:id="6"/>
      </w:r>
      <w:r w:rsidRPr="00755E06">
        <w:t xml:space="preserve">  In </w:t>
      </w:r>
      <w:r w:rsidR="00435BCE" w:rsidRPr="00755E06">
        <w:t>addition</w:t>
      </w:r>
      <w:r w:rsidRPr="00755E06">
        <w:t xml:space="preserve">, the Commission </w:t>
      </w:r>
      <w:r w:rsidR="00D70686" w:rsidRPr="00755E06">
        <w:rPr>
          <w:szCs w:val="26"/>
        </w:rPr>
        <w:t xml:space="preserve">directed </w:t>
      </w:r>
      <w:r w:rsidR="006A27A1" w:rsidRPr="00755E06">
        <w:rPr>
          <w:szCs w:val="26"/>
        </w:rPr>
        <w:t xml:space="preserve">that </w:t>
      </w:r>
      <w:r w:rsidR="001D3774" w:rsidRPr="00755E06">
        <w:rPr>
          <w:szCs w:val="26"/>
        </w:rPr>
        <w:t>NERC</w:t>
      </w:r>
      <w:r w:rsidR="00D70686" w:rsidRPr="00755E06">
        <w:rPr>
          <w:szCs w:val="26"/>
        </w:rPr>
        <w:t xml:space="preserve"> </w:t>
      </w:r>
      <w:r w:rsidR="00A03D2A">
        <w:rPr>
          <w:szCs w:val="26"/>
        </w:rPr>
        <w:t xml:space="preserve">  </w:t>
      </w:r>
      <w:r w:rsidR="006A27A1" w:rsidRPr="00755E06">
        <w:rPr>
          <w:szCs w:val="26"/>
        </w:rPr>
        <w:t xml:space="preserve">(1) </w:t>
      </w:r>
      <w:r w:rsidR="00D70686" w:rsidRPr="00755E06">
        <w:rPr>
          <w:szCs w:val="26"/>
        </w:rPr>
        <w:t>consider</w:t>
      </w:r>
      <w:r w:rsidR="001D3774" w:rsidRPr="00755E06">
        <w:rPr>
          <w:szCs w:val="26"/>
        </w:rPr>
        <w:t xml:space="preserve"> a commenter’s suggestion regarding</w:t>
      </w:r>
      <w:r w:rsidR="00D70686" w:rsidRPr="00755E06">
        <w:rPr>
          <w:szCs w:val="26"/>
        </w:rPr>
        <w:t xml:space="preserve"> </w:t>
      </w:r>
      <w:r w:rsidR="00895574" w:rsidRPr="00755E06">
        <w:rPr>
          <w:szCs w:val="26"/>
        </w:rPr>
        <w:t>whether</w:t>
      </w:r>
      <w:r w:rsidR="00D70686" w:rsidRPr="00755E06">
        <w:rPr>
          <w:szCs w:val="26"/>
        </w:rPr>
        <w:t xml:space="preserve"> </w:t>
      </w:r>
      <w:r w:rsidR="001D3774" w:rsidRPr="00755E06">
        <w:rPr>
          <w:szCs w:val="26"/>
        </w:rPr>
        <w:t xml:space="preserve">PRC-004-1 should apply to </w:t>
      </w:r>
      <w:r w:rsidR="00D70686" w:rsidRPr="00755E06">
        <w:rPr>
          <w:szCs w:val="26"/>
        </w:rPr>
        <w:t>load serving entities and transmission operators</w:t>
      </w:r>
      <w:r w:rsidR="00A03D2A">
        <w:rPr>
          <w:szCs w:val="26"/>
        </w:rPr>
        <w:t>;</w:t>
      </w:r>
      <w:r w:rsidR="006A27A1" w:rsidRPr="00755E06">
        <w:rPr>
          <w:szCs w:val="26"/>
        </w:rPr>
        <w:t xml:space="preserve"> and (2) clarify what enti</w:t>
      </w:r>
      <w:r w:rsidR="005B5A9D" w:rsidRPr="00755E06">
        <w:rPr>
          <w:szCs w:val="26"/>
        </w:rPr>
        <w:t>t</w:t>
      </w:r>
      <w:r w:rsidR="006A27A1" w:rsidRPr="00755E06">
        <w:rPr>
          <w:szCs w:val="26"/>
        </w:rPr>
        <w:t>y</w:t>
      </w:r>
      <w:r w:rsidR="005B5A9D" w:rsidRPr="00755E06">
        <w:rPr>
          <w:szCs w:val="26"/>
        </w:rPr>
        <w:t xml:space="preserve"> </w:t>
      </w:r>
      <w:r w:rsidR="005B5A9D" w:rsidRPr="00755E06">
        <w:t>should develop the procedures for corrective action plans</w:t>
      </w:r>
      <w:r w:rsidR="00D70686" w:rsidRPr="00755E06">
        <w:rPr>
          <w:szCs w:val="26"/>
        </w:rPr>
        <w:t>.</w:t>
      </w:r>
      <w:r w:rsidR="00D70686" w:rsidRPr="00755E06">
        <w:rPr>
          <w:rStyle w:val="FootnoteReference"/>
        </w:rPr>
        <w:footnoteReference w:id="7"/>
      </w:r>
      <w:r w:rsidR="001D3774" w:rsidRPr="00755E06">
        <w:rPr>
          <w:szCs w:val="26"/>
        </w:rPr>
        <w:t xml:space="preserve">  </w:t>
      </w:r>
    </w:p>
    <w:p w14:paraId="054D5BEB" w14:textId="77777777" w:rsidR="00D70686" w:rsidRPr="00755E06" w:rsidRDefault="00B57109" w:rsidP="00D70686">
      <w:pPr>
        <w:pStyle w:val="FERCparanumber"/>
      </w:pPr>
      <w:r w:rsidRPr="00755E06">
        <w:rPr>
          <w:szCs w:val="26"/>
        </w:rPr>
        <w:t>Subsequently, NERC submitted, and the Commission approved, Reliability Standard PRC-004-2, which included modifications in response to the Commission’s directives in Order No. 693.</w:t>
      </w:r>
      <w:r w:rsidR="005D5535" w:rsidRPr="00755E06">
        <w:rPr>
          <w:rStyle w:val="FootnoteReference"/>
        </w:rPr>
        <w:footnoteReference w:id="8"/>
      </w:r>
      <w:r w:rsidR="00D70686" w:rsidRPr="00755E06">
        <w:rPr>
          <w:szCs w:val="26"/>
        </w:rPr>
        <w:t xml:space="preserve"> </w:t>
      </w:r>
    </w:p>
    <w:p w14:paraId="40852ACD" w14:textId="40198554" w:rsidR="00C824F7" w:rsidRPr="00755E06" w:rsidRDefault="00C824F7" w:rsidP="005A6FF0">
      <w:pPr>
        <w:pStyle w:val="FERCparanumber"/>
      </w:pPr>
      <w:r w:rsidRPr="00755E06">
        <w:lastRenderedPageBreak/>
        <w:t>In Order No. 693</w:t>
      </w:r>
      <w:r w:rsidR="00D52ED0" w:rsidRPr="00755E06">
        <w:t>,</w:t>
      </w:r>
      <w:r w:rsidRPr="00755E06">
        <w:t xml:space="preserve"> the Commission neither accepted nor remanded Reliability Standard PRC-003-1</w:t>
      </w:r>
      <w:r w:rsidR="002824DB" w:rsidRPr="00755E06">
        <w:t xml:space="preserve"> (Regional Procedures for Analysis of Misoperations of Transmission and Generation Protection System)</w:t>
      </w:r>
      <w:r w:rsidR="009634DB">
        <w:t xml:space="preserve">.  The Commission identified the standard </w:t>
      </w:r>
      <w:r w:rsidR="009634DB" w:rsidRPr="00755E06">
        <w:t>as</w:t>
      </w:r>
      <w:r w:rsidRPr="00755E06">
        <w:t xml:space="preserve"> a </w:t>
      </w:r>
      <w:r w:rsidR="00133502" w:rsidRPr="00755E06">
        <w:t>“</w:t>
      </w:r>
      <w:r w:rsidRPr="00755E06">
        <w:t>fill-in-the-blank</w:t>
      </w:r>
      <w:r w:rsidR="00133502" w:rsidRPr="00755E06">
        <w:t>”</w:t>
      </w:r>
      <w:r w:rsidRPr="00755E06">
        <w:t xml:space="preserve"> standard </w:t>
      </w:r>
      <w:r w:rsidR="00735E04">
        <w:t>and noted that</w:t>
      </w:r>
      <w:r w:rsidRPr="00755E06">
        <w:t xml:space="preserve"> the associated </w:t>
      </w:r>
      <w:r w:rsidRPr="00755E06">
        <w:rPr>
          <w:szCs w:val="26"/>
        </w:rPr>
        <w:t>regional procedures</w:t>
      </w:r>
      <w:r w:rsidR="0091106E">
        <w:rPr>
          <w:szCs w:val="26"/>
        </w:rPr>
        <w:t xml:space="preserve"> had not been submitted</w:t>
      </w:r>
      <w:r w:rsidRPr="00755E06">
        <w:rPr>
          <w:szCs w:val="26"/>
        </w:rPr>
        <w:t>.  Concluding that additional information was needed regarding the regional procedures, the Commission directed NERC to consider whether greater consistency can be achieved “on an Interconnection-wide basis” in Reliability Standard PRC-003-1.</w:t>
      </w:r>
      <w:r w:rsidRPr="00755E06">
        <w:rPr>
          <w:rStyle w:val="FootnoteReference"/>
        </w:rPr>
        <w:footnoteReference w:id="9"/>
      </w:r>
    </w:p>
    <w:p w14:paraId="4FC7D3B6" w14:textId="77777777" w:rsidR="00C824F7" w:rsidRPr="00755E06" w:rsidRDefault="00C824F7">
      <w:pPr>
        <w:pStyle w:val="Heading1"/>
        <w:numPr>
          <w:ilvl w:val="0"/>
          <w:numId w:val="16"/>
        </w:numPr>
        <w:tabs>
          <w:tab w:val="clear" w:pos="1080"/>
          <w:tab w:val="num" w:pos="0"/>
        </w:tabs>
        <w:spacing w:before="100" w:beforeAutospacing="1" w:after="100" w:afterAutospacing="1"/>
        <w:ind w:left="0" w:firstLine="0"/>
      </w:pPr>
      <w:r w:rsidRPr="00755E06">
        <w:t>NERC’s Petition</w:t>
      </w:r>
    </w:p>
    <w:p w14:paraId="4011D3C5" w14:textId="6BAD40F4" w:rsidR="00C824F7" w:rsidRPr="00755E06" w:rsidRDefault="00C824F7">
      <w:pPr>
        <w:pStyle w:val="FERCparanumber"/>
        <w:spacing w:before="100" w:beforeAutospacing="1"/>
      </w:pPr>
      <w:r w:rsidRPr="00755E06">
        <w:t>In its Petition, NERC explains that Reliability Standard PRC-004-3 was developed “as a means to address the reliability risks posed by misoperations.”</w:t>
      </w:r>
      <w:r w:rsidRPr="00755E06">
        <w:rPr>
          <w:rStyle w:val="FootnoteReference"/>
        </w:rPr>
        <w:footnoteReference w:id="10"/>
      </w:r>
      <w:r w:rsidRPr="00755E06">
        <w:t xml:space="preserve">  </w:t>
      </w:r>
      <w:r w:rsidR="00E84FE4" w:rsidRPr="00755E06">
        <w:t>According to NERC, t</w:t>
      </w:r>
      <w:r w:rsidRPr="00755E06">
        <w:t xml:space="preserve">he </w:t>
      </w:r>
      <w:r w:rsidR="00052336" w:rsidRPr="00755E06">
        <w:t>modified</w:t>
      </w:r>
      <w:r w:rsidRPr="00755E06">
        <w:t xml:space="preserve"> Reliability Standard, which replaces Reliability Standards PRC-</w:t>
      </w:r>
      <w:r w:rsidR="002D5BD3">
        <w:t xml:space="preserve"> </w:t>
      </w:r>
      <w:r w:rsidRPr="00755E06">
        <w:t xml:space="preserve">004-2.1a and PRC-003-1, requires transmission owners, generator owners, and distribution providers to identify and correct causes of misoperations of certain protection systems.  Noting that nearly all major system failures </w:t>
      </w:r>
      <w:r w:rsidR="001726C2" w:rsidRPr="00755E06">
        <w:t xml:space="preserve">that are not related to severe weather </w:t>
      </w:r>
      <w:r w:rsidRPr="00755E06">
        <w:t xml:space="preserve">include misoperations as a </w:t>
      </w:r>
      <w:r w:rsidR="001726C2" w:rsidRPr="00755E06">
        <w:t xml:space="preserve">contributing </w:t>
      </w:r>
      <w:r w:rsidRPr="00755E06">
        <w:t xml:space="preserve">factor, NERC states that PRC-004-3, in concert with a Section 1600 Misoperations Data Request, provides the means to address protection system misoperations.  Specifically, NERC states </w:t>
      </w:r>
      <w:r w:rsidR="00936C20">
        <w:t>“</w:t>
      </w:r>
      <w:r w:rsidR="00C07BBF" w:rsidRPr="00755E06">
        <w:rPr>
          <w:szCs w:val="26"/>
        </w:rPr>
        <w:t>reducing</w:t>
      </w:r>
      <w:r w:rsidR="00C07BBF" w:rsidRPr="00755E06">
        <w:t xml:space="preserve"> the </w:t>
      </w:r>
      <w:r w:rsidR="00C07BBF" w:rsidRPr="00755E06">
        <w:rPr>
          <w:szCs w:val="26"/>
        </w:rPr>
        <w:t>risk to reliability from Protection System misoperations</w:t>
      </w:r>
      <w:r w:rsidR="00C07BBF" w:rsidRPr="00755E06">
        <w:t xml:space="preserve"> will </w:t>
      </w:r>
      <w:r w:rsidR="00C07BBF" w:rsidRPr="00755E06">
        <w:rPr>
          <w:szCs w:val="26"/>
        </w:rPr>
        <w:t xml:space="preserve">require </w:t>
      </w:r>
      <w:r w:rsidR="00C07BBF" w:rsidRPr="00755E06">
        <w:t xml:space="preserve">consistent collection </w:t>
      </w:r>
      <w:r w:rsidR="00123664">
        <w:t xml:space="preserve">         </w:t>
      </w:r>
      <w:r w:rsidR="00C07BBF" w:rsidRPr="00755E06">
        <w:t xml:space="preserve">of Misoperation information along with </w:t>
      </w:r>
      <w:r w:rsidR="00C07BBF" w:rsidRPr="00755E06">
        <w:rPr>
          <w:szCs w:val="26"/>
        </w:rPr>
        <w:t>systematic</w:t>
      </w:r>
      <w:r w:rsidR="00C07BBF" w:rsidRPr="00755E06">
        <w:t xml:space="preserve"> analysis and correction of the underlying causes of preventable Misoperations</w:t>
      </w:r>
      <w:r w:rsidR="00C07BBF" w:rsidRPr="00755E06">
        <w:rPr>
          <w:szCs w:val="26"/>
        </w:rPr>
        <w:t>.  Proposed PRC-004-3, and the parallel Section 1600 Data Request provide means to accomplish this systematic analysis and correction</w:t>
      </w:r>
      <w:r w:rsidR="00C07BBF" w:rsidRPr="00755E06">
        <w:t>.”</w:t>
      </w:r>
      <w:r w:rsidRPr="00755E06">
        <w:rPr>
          <w:rStyle w:val="FootnoteReference"/>
        </w:rPr>
        <w:footnoteReference w:id="11"/>
      </w:r>
      <w:r w:rsidRPr="00755E06">
        <w:t xml:space="preserve">  </w:t>
      </w:r>
    </w:p>
    <w:p w14:paraId="06F60091" w14:textId="06F8ECB5" w:rsidR="00C824F7" w:rsidRPr="00755E06" w:rsidRDefault="00FC1709">
      <w:pPr>
        <w:pStyle w:val="FERCparanumber"/>
        <w:spacing w:before="100" w:beforeAutospacing="1"/>
      </w:pPr>
      <w:r w:rsidRPr="00755E06">
        <w:t xml:space="preserve">Reliability Standard PRC-004-3, which applies to </w:t>
      </w:r>
      <w:r w:rsidR="0060607F" w:rsidRPr="00755E06">
        <w:t>transmission owners, generator owners, and distribution providers, contains six requirements</w:t>
      </w:r>
      <w:r w:rsidR="00DB2C69" w:rsidRPr="00755E06">
        <w:t xml:space="preserve">.  </w:t>
      </w:r>
      <w:r w:rsidR="00C824F7" w:rsidRPr="00755E06">
        <w:t>Requirement R1</w:t>
      </w:r>
      <w:r w:rsidR="00DB2C69" w:rsidRPr="00755E06">
        <w:t xml:space="preserve"> obligates</w:t>
      </w:r>
      <w:r w:rsidR="00C824F7" w:rsidRPr="00755E06">
        <w:t xml:space="preserve"> </w:t>
      </w:r>
      <w:r w:rsidR="00607715" w:rsidRPr="00755E06">
        <w:t xml:space="preserve">an </w:t>
      </w:r>
      <w:r w:rsidR="0060607F" w:rsidRPr="00755E06">
        <w:t>applicable entit</w:t>
      </w:r>
      <w:r w:rsidR="00607715" w:rsidRPr="00755E06">
        <w:t>y</w:t>
      </w:r>
      <w:r w:rsidR="00C824F7" w:rsidRPr="00755E06">
        <w:t xml:space="preserve"> </w:t>
      </w:r>
      <w:r w:rsidR="00811358" w:rsidRPr="00755E06">
        <w:t>“that owns a BES [bulk electric system] interrupting device that operated under [specified circumstances] shall, within 120 calendar days of the BES interrupting device operation, identify whether its Protection System component(s) caused a Misoperation.”</w:t>
      </w:r>
      <w:r w:rsidR="00C824F7" w:rsidRPr="00755E06">
        <w:rPr>
          <w:rStyle w:val="FootnoteReference"/>
        </w:rPr>
        <w:footnoteReference w:id="12"/>
      </w:r>
      <w:r w:rsidR="00C824F7" w:rsidRPr="00755E06">
        <w:t xml:space="preserve">  </w:t>
      </w:r>
      <w:r w:rsidR="00607715" w:rsidRPr="00755E06">
        <w:t xml:space="preserve">Pursuant to </w:t>
      </w:r>
      <w:r w:rsidR="00C824F7" w:rsidRPr="00755E06">
        <w:t xml:space="preserve">Requirement </w:t>
      </w:r>
      <w:r w:rsidR="00AF1065" w:rsidRPr="00755E06">
        <w:t>R</w:t>
      </w:r>
      <w:r w:rsidR="00C824F7" w:rsidRPr="00755E06">
        <w:t>2</w:t>
      </w:r>
      <w:r w:rsidR="00607715" w:rsidRPr="00755E06">
        <w:t>,</w:t>
      </w:r>
      <w:r w:rsidR="00C824F7" w:rsidRPr="00755E06">
        <w:t xml:space="preserve"> </w:t>
      </w:r>
      <w:r w:rsidR="00607715" w:rsidRPr="00755E06">
        <w:t>an</w:t>
      </w:r>
      <w:r w:rsidR="00C824F7" w:rsidRPr="00755E06">
        <w:t xml:space="preserve"> applicable entit</w:t>
      </w:r>
      <w:r w:rsidR="00607715" w:rsidRPr="00755E06">
        <w:t>y must</w:t>
      </w:r>
      <w:r w:rsidR="00C824F7" w:rsidRPr="00755E06">
        <w:t xml:space="preserve"> notify other protection system owners of a misoper</w:t>
      </w:r>
      <w:r w:rsidR="005927AA" w:rsidRPr="00755E06">
        <w:t>a</w:t>
      </w:r>
      <w:r w:rsidR="00C824F7" w:rsidRPr="00755E06">
        <w:t xml:space="preserve">tion.  Under Requirement R3, an entity that </w:t>
      </w:r>
      <w:r w:rsidR="00C824F7" w:rsidRPr="00755E06">
        <w:lastRenderedPageBreak/>
        <w:t>owns a portion of a composite protection system</w:t>
      </w:r>
      <w:r w:rsidR="00C75CD6" w:rsidRPr="00755E06">
        <w:rPr>
          <w:rStyle w:val="FootnoteReference"/>
        </w:rPr>
        <w:footnoteReference w:id="13"/>
      </w:r>
      <w:r w:rsidR="00C824F7" w:rsidRPr="00755E06">
        <w:t xml:space="preserve"> and receives notice under </w:t>
      </w:r>
      <w:r w:rsidR="00123664">
        <w:t xml:space="preserve"> </w:t>
      </w:r>
      <w:r w:rsidR="00C824F7" w:rsidRPr="00755E06">
        <w:t xml:space="preserve">Requirement R2 has the later of 60 calendar days from receipt of notification or </w:t>
      </w:r>
      <w:r w:rsidR="00123664">
        <w:t xml:space="preserve">          </w:t>
      </w:r>
      <w:r w:rsidR="00C824F7" w:rsidRPr="00755E06">
        <w:t xml:space="preserve">120 calendar days from the BES interrupting device operation to determine whether its protection system components caused a misoperation.  </w:t>
      </w:r>
    </w:p>
    <w:p w14:paraId="26805F8B" w14:textId="77777777" w:rsidR="00C824F7" w:rsidRPr="00755E06" w:rsidRDefault="00C824F7">
      <w:pPr>
        <w:pStyle w:val="FERCparanumber"/>
        <w:spacing w:before="100" w:beforeAutospacing="1"/>
      </w:pPr>
      <w:r w:rsidRPr="00755E06">
        <w:t xml:space="preserve">Requirement R4 requires an entity that owns a </w:t>
      </w:r>
      <w:r w:rsidR="00626E10" w:rsidRPr="00755E06">
        <w:t>“</w:t>
      </w:r>
      <w:r w:rsidRPr="00755E06">
        <w:t>BES interrupting device</w:t>
      </w:r>
      <w:r w:rsidR="00626E10" w:rsidRPr="00755E06">
        <w:t>”</w:t>
      </w:r>
      <w:r w:rsidRPr="00755E06">
        <w:t xml:space="preserve"> to </w:t>
      </w:r>
      <w:r w:rsidR="00626E10" w:rsidRPr="00755E06">
        <w:t>“perform</w:t>
      </w:r>
      <w:r w:rsidRPr="00755E06">
        <w:t xml:space="preserve"> investigative action</w:t>
      </w:r>
      <w:r w:rsidR="00626E10" w:rsidRPr="00755E06">
        <w:t>(s)”</w:t>
      </w:r>
      <w:r w:rsidRPr="00755E06">
        <w:t xml:space="preserve"> to determine the cause or causes of an identified misoperation.  NERC explains that an entity </w:t>
      </w:r>
      <w:r w:rsidR="0002522C" w:rsidRPr="00755E06">
        <w:t>must</w:t>
      </w:r>
      <w:r w:rsidRPr="00755E06">
        <w:t xml:space="preserve"> perform at least one investigative action every two full calendar quarters until the investigation is complete.  </w:t>
      </w:r>
      <w:r w:rsidR="00626E10" w:rsidRPr="00755E06">
        <w:t xml:space="preserve">According to </w:t>
      </w:r>
      <w:r w:rsidRPr="00755E06">
        <w:t>NERC</w:t>
      </w:r>
      <w:r w:rsidR="00626E10" w:rsidRPr="00755E06">
        <w:t xml:space="preserve">, </w:t>
      </w:r>
      <w:r w:rsidRPr="00755E06">
        <w:t xml:space="preserve">an investigation </w:t>
      </w:r>
      <w:r w:rsidR="00626E10" w:rsidRPr="00755E06">
        <w:t>is</w:t>
      </w:r>
      <w:r w:rsidRPr="00755E06">
        <w:t xml:space="preserve"> considered complete when an entity identifies the cause of a misoperation or declares that no cause was determined.</w:t>
      </w:r>
      <w:r w:rsidRPr="00755E06">
        <w:rPr>
          <w:rStyle w:val="FootnoteReference"/>
        </w:rPr>
        <w:footnoteReference w:id="14"/>
      </w:r>
      <w:r w:rsidRPr="00755E06">
        <w:t xml:space="preserve">  Under Requirement R5, an</w:t>
      </w:r>
      <w:r w:rsidR="003E6641" w:rsidRPr="00755E06">
        <w:t xml:space="preserve"> applicable</w:t>
      </w:r>
      <w:r w:rsidRPr="00755E06">
        <w:t xml:space="preserve"> entity </w:t>
      </w:r>
      <w:r w:rsidR="003E6641" w:rsidRPr="00755E06">
        <w:t>must</w:t>
      </w:r>
      <w:r w:rsidRPr="00755E06">
        <w:t xml:space="preserve">, within 60 calendar days of identifying a cause of a misoperation, develop a corrective action plan to address the cause of the misoperation </w:t>
      </w:r>
      <w:r w:rsidR="004D2D3E" w:rsidRPr="00755E06">
        <w:t xml:space="preserve">and to evaluate its applicability to the entity’s </w:t>
      </w:r>
      <w:r w:rsidR="009539E8" w:rsidRPr="00755E06">
        <w:t>p</w:t>
      </w:r>
      <w:r w:rsidR="004D2D3E" w:rsidRPr="00755E06">
        <w:t xml:space="preserve">rotection </w:t>
      </w:r>
      <w:r w:rsidR="009539E8" w:rsidRPr="00755E06">
        <w:t>s</w:t>
      </w:r>
      <w:r w:rsidR="004D2D3E" w:rsidRPr="00755E06">
        <w:t>ystems in</w:t>
      </w:r>
      <w:r w:rsidR="009539E8" w:rsidRPr="00755E06">
        <w:t>stalled in</w:t>
      </w:r>
      <w:r w:rsidR="004D2D3E" w:rsidRPr="00755E06">
        <w:t xml:space="preserve"> other locations</w:t>
      </w:r>
      <w:r w:rsidR="009D1E09" w:rsidRPr="00755E06">
        <w:t>,</w:t>
      </w:r>
      <w:r w:rsidR="004D2D3E" w:rsidRPr="00755E06">
        <w:t xml:space="preserve"> </w:t>
      </w:r>
      <w:r w:rsidRPr="00755E06">
        <w:t>or explain why corrective actions are beyond the entity’s control or would not improve bulk electric system reliability.</w:t>
      </w:r>
      <w:r w:rsidRPr="00755E06">
        <w:rPr>
          <w:rStyle w:val="FootnoteReference"/>
        </w:rPr>
        <w:footnoteReference w:id="15"/>
      </w:r>
      <w:r w:rsidRPr="00755E06">
        <w:t xml:space="preserve">  Finally, Requirement R6 requires entities to </w:t>
      </w:r>
      <w:r w:rsidR="006520B5" w:rsidRPr="00755E06">
        <w:t>“</w:t>
      </w:r>
      <w:r w:rsidRPr="00755E06">
        <w:t>implement</w:t>
      </w:r>
      <w:r w:rsidR="006520B5" w:rsidRPr="00755E06">
        <w:t>”</w:t>
      </w:r>
      <w:r w:rsidRPr="00755E06">
        <w:t xml:space="preserve"> a corrective action plan developed under Requirement R5.</w:t>
      </w:r>
    </w:p>
    <w:p w14:paraId="25DE190F" w14:textId="4362954B" w:rsidR="00C824F7" w:rsidRPr="00755E06" w:rsidRDefault="00C824F7">
      <w:pPr>
        <w:pStyle w:val="FERCparanumber"/>
        <w:spacing w:before="100" w:beforeAutospacing="1"/>
      </w:pPr>
      <w:r w:rsidRPr="00755E06">
        <w:t xml:space="preserve">NERC explains that PRC-004-3 “eliminates the need for regional procedures by providing continent-wide parameters for investigating Protection System operations and identifying Misoperations,” </w:t>
      </w:r>
      <w:r w:rsidR="001726C2" w:rsidRPr="00755E06">
        <w:t xml:space="preserve">thereby </w:t>
      </w:r>
      <w:r w:rsidRPr="00755E06">
        <w:t>addressing the Commission’s concerns with consistency reflected in the Order No. 693 discussion of Reliability Standard PRC-003-1.  In addition, NERC notes that proposed Reliability Standard PRC-004-3 applies to underfrequency load shedding “that is intended to trip one or more Bulk Electric System Elements” in order to close a reliability gap where misoperations of such relays were not previously addressed by a reliability standard.</w:t>
      </w:r>
      <w:r w:rsidRPr="00755E06">
        <w:rPr>
          <w:rStyle w:val="FootnoteReference"/>
        </w:rPr>
        <w:footnoteReference w:id="16"/>
      </w:r>
      <w:r w:rsidRPr="00755E06">
        <w:t xml:space="preserve">  </w:t>
      </w:r>
    </w:p>
    <w:p w14:paraId="54742BD1" w14:textId="1395EAE4" w:rsidR="000D661F" w:rsidRPr="00755E06" w:rsidRDefault="000D661F">
      <w:pPr>
        <w:pStyle w:val="FERCparanumber"/>
        <w:spacing w:before="100" w:beforeAutospacing="1"/>
      </w:pPr>
      <w:r w:rsidRPr="00755E06">
        <w:rPr>
          <w:szCs w:val="26"/>
        </w:rPr>
        <w:t xml:space="preserve">NERC states that the standard drafting team addressed the Commission’s directive to consider whether </w:t>
      </w:r>
      <w:r w:rsidR="00FE7B26" w:rsidRPr="00755E06">
        <w:rPr>
          <w:szCs w:val="26"/>
        </w:rPr>
        <w:t xml:space="preserve">to include </w:t>
      </w:r>
      <w:r w:rsidRPr="00755E06">
        <w:rPr>
          <w:szCs w:val="26"/>
        </w:rPr>
        <w:t xml:space="preserve">load serving entities and transmission operators in the applicability section for Reliability Standard PRC-004-3.  </w:t>
      </w:r>
      <w:r w:rsidR="004D7C8A" w:rsidRPr="00755E06">
        <w:rPr>
          <w:szCs w:val="26"/>
        </w:rPr>
        <w:t xml:space="preserve">According to </w:t>
      </w:r>
      <w:r w:rsidRPr="00755E06">
        <w:rPr>
          <w:szCs w:val="26"/>
        </w:rPr>
        <w:t>NERC</w:t>
      </w:r>
      <w:r w:rsidR="004D7C8A" w:rsidRPr="00755E06">
        <w:rPr>
          <w:szCs w:val="26"/>
        </w:rPr>
        <w:t>,</w:t>
      </w:r>
      <w:r w:rsidRPr="00755E06">
        <w:rPr>
          <w:szCs w:val="26"/>
        </w:rPr>
        <w:t xml:space="preserve"> the standard drafting team concluded that “the proper functional entities to include in the </w:t>
      </w:r>
      <w:r w:rsidRPr="00755E06">
        <w:rPr>
          <w:szCs w:val="26"/>
        </w:rPr>
        <w:lastRenderedPageBreak/>
        <w:t>applicability [for Reliability Standard PRC-004-3] are the Transmission Owner, Generator Owner, and Distribution Provider who own the BES Protection Systems.”</w:t>
      </w:r>
      <w:r w:rsidRPr="00755E06">
        <w:rPr>
          <w:rStyle w:val="FootnoteReference"/>
        </w:rPr>
        <w:footnoteReference w:id="17"/>
      </w:r>
      <w:r w:rsidRPr="00755E06">
        <w:rPr>
          <w:szCs w:val="26"/>
        </w:rPr>
        <w:t xml:space="preserve">  NERC explains that </w:t>
      </w:r>
      <w:r w:rsidR="00AA3672" w:rsidRPr="00755E06">
        <w:rPr>
          <w:szCs w:val="26"/>
        </w:rPr>
        <w:t>owners of protection systems have the personnel with subject matter expertise, design and setting information, and disturbance data necessary to assess protection system misoperations and, therefore, it is appropriate for the owner to have “the responsibility to assure proper operation and implement corrective actions as needed.”</w:t>
      </w:r>
      <w:r w:rsidR="00AA3672" w:rsidRPr="00755E06">
        <w:rPr>
          <w:rStyle w:val="FootnoteReference"/>
        </w:rPr>
        <w:footnoteReference w:id="18"/>
      </w:r>
    </w:p>
    <w:p w14:paraId="07C1C2D3" w14:textId="53D1CE82" w:rsidR="00C824F7" w:rsidRPr="00755E06" w:rsidRDefault="00C824F7">
      <w:pPr>
        <w:pStyle w:val="FERCparanumber"/>
        <w:spacing w:before="100" w:beforeAutospacing="1"/>
      </w:pPr>
      <w:r w:rsidRPr="00755E06">
        <w:t xml:space="preserve">NERC also requests approval of the </w:t>
      </w:r>
      <w:r w:rsidR="00E61C13" w:rsidRPr="00755E06">
        <w:t xml:space="preserve">proposed definitions of the </w:t>
      </w:r>
      <w:r w:rsidRPr="00755E06">
        <w:t>terms “Composite Protection System” and “Misoperation</w:t>
      </w:r>
      <w:r w:rsidR="00A36400" w:rsidRPr="00755E06">
        <w:t>.</w:t>
      </w:r>
      <w:r w:rsidRPr="00755E06">
        <w:t xml:space="preserve">”  Finally, NERC proposes an implementation plan that includes an effective date for the revised Reliability Standard and definitions that is the first day of the first calendar quarter that is twelve months after the date that the </w:t>
      </w:r>
      <w:r w:rsidR="00A36400" w:rsidRPr="00755E06">
        <w:t xml:space="preserve">Commission approves the </w:t>
      </w:r>
      <w:r w:rsidRPr="00755E06">
        <w:t xml:space="preserve">standard.  </w:t>
      </w:r>
      <w:r w:rsidR="00A36400" w:rsidRPr="00755E06">
        <w:t>Concurrent with the effective date</w:t>
      </w:r>
      <w:r w:rsidRPr="00755E06">
        <w:t xml:space="preserve">, the </w:t>
      </w:r>
      <w:r w:rsidR="00A36400" w:rsidRPr="00755E06">
        <w:t xml:space="preserve">implementation </w:t>
      </w:r>
      <w:r w:rsidRPr="00755E06">
        <w:t xml:space="preserve">plan calls for the retirement of </w:t>
      </w:r>
      <w:r w:rsidR="00A36400" w:rsidRPr="00755E06">
        <w:t>currently-effective</w:t>
      </w:r>
      <w:r w:rsidRPr="00755E06">
        <w:t xml:space="preserve"> Reliability Standard PRC-004-2.1a and</w:t>
      </w:r>
      <w:r w:rsidR="00A36400" w:rsidRPr="00755E06">
        <w:t xml:space="preserve"> “pending” standard</w:t>
      </w:r>
      <w:r w:rsidRPr="00755E06">
        <w:t xml:space="preserve"> PRC-003-1.</w:t>
      </w:r>
      <w:r w:rsidRPr="00755E06">
        <w:rPr>
          <w:rStyle w:val="FootnoteReference"/>
        </w:rPr>
        <w:footnoteReference w:id="19"/>
      </w:r>
    </w:p>
    <w:p w14:paraId="2F5BE096" w14:textId="77777777" w:rsidR="00C824F7" w:rsidRPr="00755E06" w:rsidRDefault="00C824F7">
      <w:pPr>
        <w:pStyle w:val="FERCparanumber"/>
        <w:numPr>
          <w:ilvl w:val="0"/>
          <w:numId w:val="0"/>
        </w:numPr>
        <w:spacing w:before="100" w:beforeAutospacing="1" w:after="100" w:afterAutospacing="1"/>
      </w:pPr>
      <w:r w:rsidRPr="00755E06">
        <w:rPr>
          <w:b/>
        </w:rPr>
        <w:t>III.</w:t>
      </w:r>
      <w:r w:rsidRPr="00755E06">
        <w:tab/>
      </w:r>
      <w:r w:rsidRPr="00755E06">
        <w:rPr>
          <w:b/>
          <w:u w:val="single"/>
        </w:rPr>
        <w:t>Notice of Filing and Responsive Pleading</w:t>
      </w:r>
    </w:p>
    <w:p w14:paraId="72C39C5A" w14:textId="77777777" w:rsidR="00C824F7" w:rsidRPr="00755E06" w:rsidRDefault="00C824F7" w:rsidP="00C824F7">
      <w:pPr>
        <w:pStyle w:val="FERCparanumber"/>
        <w:spacing w:before="100" w:beforeAutospacing="1"/>
      </w:pPr>
      <w:r w:rsidRPr="00755E06">
        <w:t xml:space="preserve">Notice of NERC’s Petition was issued on September 18, 2014 and published on September 30, 2014 in the </w:t>
      </w:r>
      <w:r w:rsidRPr="00755E06">
        <w:rPr>
          <w:i/>
        </w:rPr>
        <w:t xml:space="preserve">Federal Register, </w:t>
      </w:r>
      <w:r w:rsidRPr="00755E06">
        <w:t>with comments, protests and motions to intervene due on or before October 20, 2014</w:t>
      </w:r>
      <w:r w:rsidRPr="00755E06">
        <w:rPr>
          <w:szCs w:val="26"/>
        </w:rPr>
        <w:t>.</w:t>
      </w:r>
      <w:r w:rsidRPr="00755E06">
        <w:rPr>
          <w:rStyle w:val="FootnoteReference"/>
        </w:rPr>
        <w:footnoteReference w:id="20"/>
      </w:r>
      <w:r w:rsidRPr="00755E06">
        <w:rPr>
          <w:szCs w:val="26"/>
        </w:rPr>
        <w:t xml:space="preserve">  Dominion Resources Services, Inc. (Dominion) filed a timely motion to intervene.  </w:t>
      </w:r>
    </w:p>
    <w:p w14:paraId="55521BEF" w14:textId="77777777" w:rsidR="00C824F7" w:rsidRPr="00755E06" w:rsidRDefault="00C824F7">
      <w:pPr>
        <w:pStyle w:val="Heading1"/>
        <w:spacing w:before="100" w:beforeAutospacing="1" w:after="100" w:afterAutospacing="1"/>
      </w:pPr>
      <w:r w:rsidRPr="00755E06">
        <w:rPr>
          <w:u w:val="none"/>
        </w:rPr>
        <w:t>IV.</w:t>
      </w:r>
      <w:r w:rsidRPr="00755E06">
        <w:rPr>
          <w:u w:val="none"/>
        </w:rPr>
        <w:tab/>
      </w:r>
      <w:r w:rsidRPr="00755E06">
        <w:t xml:space="preserve">Discussion </w:t>
      </w:r>
    </w:p>
    <w:p w14:paraId="4A0687C0" w14:textId="77777777" w:rsidR="00C824F7" w:rsidRPr="00755E06" w:rsidRDefault="00C824F7">
      <w:pPr>
        <w:pStyle w:val="FERCparanumber"/>
        <w:spacing w:before="100" w:beforeAutospacing="1" w:after="100" w:afterAutospacing="1"/>
      </w:pPr>
      <w:r w:rsidRPr="00755E06">
        <w:rPr>
          <w:szCs w:val="26"/>
        </w:rPr>
        <w:t xml:space="preserve">Pursuant to Rule 214 of the Commission's Rules of Practice and Procedure,         18 C.F.R. § 385.214 (2014), the timely motion to intervene filed by Dominion serves to make it a party to this proceeding.  </w:t>
      </w:r>
    </w:p>
    <w:p w14:paraId="7792A81D" w14:textId="77777777" w:rsidR="00C824F7" w:rsidRPr="00755E06" w:rsidRDefault="00C824F7">
      <w:pPr>
        <w:pStyle w:val="Heading2"/>
        <w:spacing w:before="100" w:beforeAutospacing="1" w:after="100" w:afterAutospacing="1"/>
        <w:ind w:left="1430" w:hanging="710"/>
      </w:pPr>
      <w:r w:rsidRPr="00755E06">
        <w:rPr>
          <w:u w:val="none"/>
        </w:rPr>
        <w:t>A.</w:t>
      </w:r>
      <w:r w:rsidRPr="00755E06">
        <w:rPr>
          <w:u w:val="none"/>
        </w:rPr>
        <w:tab/>
      </w:r>
      <w:r w:rsidRPr="00755E06">
        <w:t>Reliability Standard PRC-004-3</w:t>
      </w:r>
    </w:p>
    <w:p w14:paraId="504858CB" w14:textId="1392AD22" w:rsidR="001F5B19" w:rsidRPr="00755E06" w:rsidRDefault="00C824F7" w:rsidP="001F5B19">
      <w:pPr>
        <w:pStyle w:val="FERCparanumber"/>
        <w:spacing w:before="100" w:beforeAutospacing="1"/>
      </w:pPr>
      <w:r w:rsidRPr="00755E06">
        <w:t xml:space="preserve">We approve Reliability Standard PRC-004-3 and find that the standard is just, reasonable, not unduly discriminatory or preferential, and in the public interest. </w:t>
      </w:r>
      <w:r w:rsidR="001F5B19" w:rsidRPr="00755E06">
        <w:t xml:space="preserve"> </w:t>
      </w:r>
      <w:r w:rsidR="001F5B19" w:rsidRPr="00755E06">
        <w:lastRenderedPageBreak/>
        <w:t xml:space="preserve">Reliability Standard PRC-004-3 requires transmission owners, generator owners, and distribution providers to identify and correct causes of misoperations of certain protection systems.  We agree with NERC that the modified </w:t>
      </w:r>
      <w:r w:rsidR="008E60E6" w:rsidRPr="00755E06">
        <w:t>Reliability S</w:t>
      </w:r>
      <w:r w:rsidR="001F5B19" w:rsidRPr="00755E06">
        <w:t xml:space="preserve">tandard clarifies the process and establishes timeframes that registered entities must follow in analyzing and correcting protection system misoperations.  In addition, the process in the revised </w:t>
      </w:r>
      <w:r w:rsidR="008E60E6" w:rsidRPr="00755E06">
        <w:t>Reliability S</w:t>
      </w:r>
      <w:r w:rsidR="001F5B19" w:rsidRPr="00755E06">
        <w:t xml:space="preserve">tandard allows the entities to declare if the cause of the misoperation could not be identified, and the timeframes allow the entities to investigate and correct the causes of the misoperations within a </w:t>
      </w:r>
      <w:r w:rsidR="008E60E6" w:rsidRPr="00755E06">
        <w:t>reasonable period</w:t>
      </w:r>
      <w:r w:rsidR="001F5B19" w:rsidRPr="00755E06">
        <w:t xml:space="preserve"> of time.  These improvements to the Reliability Standard should benefit reliability by providing clear expectations on how applicable entities should investigate, communicate </w:t>
      </w:r>
      <w:r w:rsidR="001726C2" w:rsidRPr="00755E06">
        <w:t xml:space="preserve">about </w:t>
      </w:r>
      <w:r w:rsidR="001F5B19" w:rsidRPr="00755E06">
        <w:t>and mitigate specified misoperations.</w:t>
      </w:r>
    </w:p>
    <w:p w14:paraId="0283521F" w14:textId="4B5A2CAA" w:rsidR="001F5B19" w:rsidRPr="00755E06" w:rsidRDefault="001F5B19" w:rsidP="000643EB">
      <w:pPr>
        <w:pStyle w:val="FERCparanumber"/>
        <w:spacing w:before="100" w:beforeAutospacing="1"/>
      </w:pPr>
      <w:r w:rsidRPr="00755E06">
        <w:t xml:space="preserve">Further, we agree with NERC that </w:t>
      </w:r>
      <w:r w:rsidR="000F7F5D" w:rsidRPr="00755E06">
        <w:t xml:space="preserve">Reliability Standard </w:t>
      </w:r>
      <w:r w:rsidRPr="00755E06">
        <w:t xml:space="preserve">PRC-004-3 addresses an existing reliability gap by applying the standard to underfrequency load shedding that is intended to trip one or more bulk electric system elements.  This improvement to the scope of the standard requires that the analysis of misoperations that may be associated with underfrequency load shedding facilities is performed.  Finally, we determine that PRC-004-3 adequately addresses the </w:t>
      </w:r>
      <w:r w:rsidR="00320F2E" w:rsidRPr="00755E06">
        <w:t xml:space="preserve">relevant </w:t>
      </w:r>
      <w:r w:rsidRPr="00755E06">
        <w:t>directives in Order No. 693 by providing a consistent, continent-wide approach to addressing misoperations</w:t>
      </w:r>
      <w:r w:rsidR="0021196D" w:rsidRPr="00755E06">
        <w:t xml:space="preserve">.  </w:t>
      </w:r>
      <w:r w:rsidR="00167F12" w:rsidRPr="00755E06">
        <w:t>Likewise</w:t>
      </w:r>
      <w:r w:rsidRPr="00755E06">
        <w:t xml:space="preserve">, </w:t>
      </w:r>
      <w:r w:rsidR="00167F12" w:rsidRPr="00755E06">
        <w:t xml:space="preserve">as directed in Order No. 693, </w:t>
      </w:r>
      <w:r w:rsidR="0021196D" w:rsidRPr="00755E06">
        <w:t>the NERC drafting team</w:t>
      </w:r>
      <w:r w:rsidRPr="00755E06">
        <w:t xml:space="preserve"> consider</w:t>
      </w:r>
      <w:r w:rsidR="0021196D" w:rsidRPr="00755E06">
        <w:t>ed</w:t>
      </w:r>
      <w:r w:rsidRPr="00755E06">
        <w:t xml:space="preserve"> whether to expand the applicability of the standard and provid</w:t>
      </w:r>
      <w:r w:rsidR="0021196D" w:rsidRPr="00755E06">
        <w:t>ed</w:t>
      </w:r>
      <w:r w:rsidRPr="00755E06">
        <w:t xml:space="preserve"> a reasonable explanation for the decision not to expand the applicability.</w:t>
      </w:r>
      <w:r w:rsidR="00D61780" w:rsidRPr="00755E06">
        <w:t xml:space="preserve">  </w:t>
      </w:r>
    </w:p>
    <w:p w14:paraId="2499BD8E" w14:textId="2CCCA48B" w:rsidR="00C824F7" w:rsidRPr="00CE63A0" w:rsidRDefault="00167F12" w:rsidP="00CE63A0">
      <w:pPr>
        <w:pStyle w:val="FERCparanumber"/>
        <w:spacing w:before="100"/>
        <w:rPr>
          <w:szCs w:val="26"/>
        </w:rPr>
      </w:pPr>
      <w:r w:rsidRPr="00755E06">
        <w:t>In addition, w</w:t>
      </w:r>
      <w:r w:rsidR="00C824F7" w:rsidRPr="00755E06">
        <w:t>e approve</w:t>
      </w:r>
      <w:r w:rsidR="00D73EAD">
        <w:t xml:space="preserve">: </w:t>
      </w:r>
      <w:r w:rsidR="00C824F7" w:rsidRPr="00755E06">
        <w:t xml:space="preserve"> </w:t>
      </w:r>
      <w:r w:rsidRPr="00755E06">
        <w:t xml:space="preserve">(1) </w:t>
      </w:r>
      <w:r w:rsidR="00D61780" w:rsidRPr="00755E06">
        <w:t>NERC’s</w:t>
      </w:r>
      <w:r w:rsidR="00C824F7" w:rsidRPr="00755E06">
        <w:t xml:space="preserve"> implementation plan for Reliability Standard PRC-004-3, which</w:t>
      </w:r>
      <w:r w:rsidR="00B244F8" w:rsidRPr="00755E06">
        <w:t xml:space="preserve"> includes </w:t>
      </w:r>
      <w:r w:rsidR="00C824F7" w:rsidRPr="00755E06">
        <w:t>retir</w:t>
      </w:r>
      <w:r w:rsidR="00B244F8" w:rsidRPr="00755E06">
        <w:t>ing</w:t>
      </w:r>
      <w:r w:rsidR="00C824F7" w:rsidRPr="00755E06">
        <w:t xml:space="preserve"> Reliability Standards PRC-004-2.1a and PRC-003-1 when PRC-004-3 becomes effective</w:t>
      </w:r>
      <w:r w:rsidRPr="00755E06">
        <w:t>;</w:t>
      </w:r>
      <w:r w:rsidR="00A42276" w:rsidRPr="00755E06">
        <w:rPr>
          <w:rStyle w:val="FootnoteReference"/>
        </w:rPr>
        <w:footnoteReference w:id="21"/>
      </w:r>
      <w:r w:rsidRPr="00755E06">
        <w:t xml:space="preserve"> (2)</w:t>
      </w:r>
      <w:r w:rsidR="00C824F7" w:rsidRPr="00755E06">
        <w:t xml:space="preserve"> the addition of the terms “Composite Protection System” and “Misoperation” to the NERC Glossary</w:t>
      </w:r>
      <w:r w:rsidRPr="00755E06">
        <w:t xml:space="preserve">; and (3) </w:t>
      </w:r>
      <w:r w:rsidR="00D61780" w:rsidRPr="00755E06">
        <w:rPr>
          <w:szCs w:val="26"/>
        </w:rPr>
        <w:t xml:space="preserve">the proposed VSLs </w:t>
      </w:r>
      <w:r w:rsidRPr="00755E06">
        <w:rPr>
          <w:szCs w:val="26"/>
        </w:rPr>
        <w:t xml:space="preserve">designations </w:t>
      </w:r>
      <w:r w:rsidR="00D61780" w:rsidRPr="00755E06">
        <w:rPr>
          <w:szCs w:val="26"/>
        </w:rPr>
        <w:t>for Reliability Standard PRC-004-3</w:t>
      </w:r>
      <w:r w:rsidRPr="00755E06">
        <w:rPr>
          <w:szCs w:val="26"/>
        </w:rPr>
        <w:t>.</w:t>
      </w:r>
      <w:r w:rsidR="00D61780" w:rsidRPr="00755E06">
        <w:rPr>
          <w:szCs w:val="26"/>
        </w:rPr>
        <w:t xml:space="preserve"> </w:t>
      </w:r>
      <w:r w:rsidRPr="00755E06">
        <w:rPr>
          <w:szCs w:val="26"/>
        </w:rPr>
        <w:t xml:space="preserve"> B</w:t>
      </w:r>
      <w:r w:rsidR="00D61780" w:rsidRPr="00755E06">
        <w:rPr>
          <w:szCs w:val="26"/>
        </w:rPr>
        <w:t>elow</w:t>
      </w:r>
      <w:r w:rsidRPr="00755E06">
        <w:rPr>
          <w:szCs w:val="26"/>
        </w:rPr>
        <w:t>,</w:t>
      </w:r>
      <w:r w:rsidR="00D61780" w:rsidRPr="00755E06">
        <w:rPr>
          <w:szCs w:val="26"/>
        </w:rPr>
        <w:t xml:space="preserve"> we discuss certain concerns with the assigned VRFs for </w:t>
      </w:r>
      <w:r w:rsidRPr="00755E06">
        <w:rPr>
          <w:szCs w:val="26"/>
        </w:rPr>
        <w:t>PRC-004-3</w:t>
      </w:r>
      <w:r w:rsidR="00D61780" w:rsidRPr="00755E06">
        <w:rPr>
          <w:szCs w:val="26"/>
        </w:rPr>
        <w:t>.</w:t>
      </w:r>
    </w:p>
    <w:p w14:paraId="1468B83E" w14:textId="77777777" w:rsidR="00F315C9" w:rsidRDefault="00F315C9">
      <w:pPr>
        <w:widowControl/>
        <w:autoSpaceDE/>
        <w:autoSpaceDN/>
        <w:adjustRightInd/>
        <w:rPr>
          <w:b/>
          <w:bCs/>
          <w:iCs/>
          <w:kern w:val="32"/>
          <w:szCs w:val="28"/>
        </w:rPr>
      </w:pPr>
      <w:r>
        <w:br w:type="page"/>
      </w:r>
    </w:p>
    <w:p w14:paraId="3909C914" w14:textId="69DB12AF" w:rsidR="00C824F7" w:rsidRPr="00755E06" w:rsidRDefault="00C824F7">
      <w:pPr>
        <w:pStyle w:val="Heading2"/>
        <w:rPr>
          <w:u w:val="none"/>
        </w:rPr>
      </w:pPr>
      <w:r w:rsidRPr="00755E06">
        <w:rPr>
          <w:u w:val="none"/>
        </w:rPr>
        <w:lastRenderedPageBreak/>
        <w:t>B.</w:t>
      </w:r>
      <w:r w:rsidRPr="00755E06">
        <w:rPr>
          <w:u w:val="none"/>
        </w:rPr>
        <w:tab/>
      </w:r>
      <w:r w:rsidRPr="00755E06">
        <w:t>Violation Risk Factors</w:t>
      </w:r>
    </w:p>
    <w:p w14:paraId="4773CB99" w14:textId="0CB19F39" w:rsidR="00C824F7" w:rsidRPr="00755E06" w:rsidRDefault="008C13B1">
      <w:pPr>
        <w:pStyle w:val="FERCparanumber"/>
        <w:spacing w:before="100"/>
        <w:rPr>
          <w:szCs w:val="26"/>
        </w:rPr>
      </w:pPr>
      <w:r w:rsidRPr="00755E06">
        <w:rPr>
          <w:szCs w:val="26"/>
        </w:rPr>
        <w:t>O</w:t>
      </w:r>
      <w:r w:rsidR="00F17E54" w:rsidRPr="00755E06">
        <w:rPr>
          <w:szCs w:val="26"/>
        </w:rPr>
        <w:t xml:space="preserve">n </w:t>
      </w:r>
      <w:r w:rsidRPr="00755E06">
        <w:rPr>
          <w:szCs w:val="26"/>
        </w:rPr>
        <w:t>May 18, 2007</w:t>
      </w:r>
      <w:r w:rsidR="00F17E54" w:rsidRPr="00755E06">
        <w:rPr>
          <w:szCs w:val="26"/>
        </w:rPr>
        <w:t>, the Commission established guidelines for determining whether to approve VRFs proposed by NERC.</w:t>
      </w:r>
      <w:r w:rsidR="00DB6D7E" w:rsidRPr="00755E06">
        <w:rPr>
          <w:rStyle w:val="FootnoteReference"/>
        </w:rPr>
        <w:footnoteReference w:id="22"/>
      </w:r>
      <w:r w:rsidR="00F17E54" w:rsidRPr="00755E06">
        <w:rPr>
          <w:szCs w:val="26"/>
        </w:rPr>
        <w:t xml:space="preserve">  W</w:t>
      </w:r>
      <w:r w:rsidR="00C824F7" w:rsidRPr="00755E06">
        <w:rPr>
          <w:szCs w:val="26"/>
        </w:rPr>
        <w:t xml:space="preserve">e </w:t>
      </w:r>
      <w:r w:rsidR="00F17E54" w:rsidRPr="00755E06">
        <w:rPr>
          <w:szCs w:val="26"/>
        </w:rPr>
        <w:t>conclude</w:t>
      </w:r>
      <w:r w:rsidR="00C824F7" w:rsidRPr="00755E06">
        <w:rPr>
          <w:szCs w:val="26"/>
        </w:rPr>
        <w:t xml:space="preserve"> that the </w:t>
      </w:r>
      <w:r w:rsidR="00DB6D7E" w:rsidRPr="00755E06">
        <w:rPr>
          <w:szCs w:val="26"/>
        </w:rPr>
        <w:t xml:space="preserve">“medium” </w:t>
      </w:r>
      <w:r w:rsidR="00C824F7" w:rsidRPr="00755E06">
        <w:rPr>
          <w:szCs w:val="26"/>
        </w:rPr>
        <w:t xml:space="preserve">VRFs assigned to Requirements R1 through R6 </w:t>
      </w:r>
      <w:r w:rsidR="00DB6D7E" w:rsidRPr="00755E06">
        <w:rPr>
          <w:szCs w:val="26"/>
        </w:rPr>
        <w:t xml:space="preserve">of PRC-004-3 </w:t>
      </w:r>
      <w:r w:rsidR="00C824F7" w:rsidRPr="00755E06">
        <w:rPr>
          <w:szCs w:val="26"/>
        </w:rPr>
        <w:t>are not consistent with the Commission’s guidelines</w:t>
      </w:r>
      <w:r w:rsidR="003813F0">
        <w:rPr>
          <w:szCs w:val="26"/>
        </w:rPr>
        <w:t>.  Nor are the VRF assignments in alignment with NERC’s</w:t>
      </w:r>
      <w:r w:rsidR="00C824F7" w:rsidRPr="00755E06">
        <w:rPr>
          <w:szCs w:val="26"/>
        </w:rPr>
        <w:t xml:space="preserve"> definitions</w:t>
      </w:r>
      <w:r w:rsidR="000E331B">
        <w:rPr>
          <w:szCs w:val="26"/>
        </w:rPr>
        <w:t xml:space="preserve"> of high, medium and low VRF levels.</w:t>
      </w:r>
      <w:r w:rsidR="00C824F7" w:rsidRPr="00755E06">
        <w:rPr>
          <w:szCs w:val="26"/>
        </w:rPr>
        <w:t xml:space="preserve">  Specifically, NERC has not adequately justified </w:t>
      </w:r>
      <w:r w:rsidR="00DB6D7E" w:rsidRPr="00755E06">
        <w:rPr>
          <w:szCs w:val="26"/>
        </w:rPr>
        <w:t>the</w:t>
      </w:r>
      <w:r w:rsidR="00C824F7" w:rsidRPr="00755E06">
        <w:rPr>
          <w:szCs w:val="26"/>
        </w:rPr>
        <w:t xml:space="preserve"> proposed “medium” VRF designation</w:t>
      </w:r>
      <w:r w:rsidR="00DB6D7E" w:rsidRPr="00755E06">
        <w:rPr>
          <w:szCs w:val="26"/>
        </w:rPr>
        <w:t>s</w:t>
      </w:r>
      <w:r w:rsidR="00C824F7" w:rsidRPr="00755E06">
        <w:rPr>
          <w:szCs w:val="26"/>
        </w:rPr>
        <w:t xml:space="preserve"> </w:t>
      </w:r>
      <w:r w:rsidR="00DB6D7E" w:rsidRPr="00755E06">
        <w:rPr>
          <w:szCs w:val="26"/>
        </w:rPr>
        <w:t xml:space="preserve">considering </w:t>
      </w:r>
      <w:r w:rsidR="0085281A">
        <w:rPr>
          <w:szCs w:val="26"/>
        </w:rPr>
        <w:t xml:space="preserve">:  </w:t>
      </w:r>
      <w:r w:rsidR="00DB6D7E" w:rsidRPr="00755E06">
        <w:rPr>
          <w:szCs w:val="26"/>
        </w:rPr>
        <w:t>(1) the important reliability objectives of the underlying Reliability Standard</w:t>
      </w:r>
      <w:r w:rsidR="0085281A">
        <w:rPr>
          <w:szCs w:val="26"/>
        </w:rPr>
        <w:t>;</w:t>
      </w:r>
      <w:r w:rsidR="00DB6D7E" w:rsidRPr="00755E06">
        <w:rPr>
          <w:szCs w:val="26"/>
        </w:rPr>
        <w:t xml:space="preserve"> and (2) the</w:t>
      </w:r>
      <w:r w:rsidR="00C824F7" w:rsidRPr="00755E06">
        <w:rPr>
          <w:szCs w:val="26"/>
        </w:rPr>
        <w:t xml:space="preserve"> </w:t>
      </w:r>
      <w:r w:rsidR="00DB6D7E" w:rsidRPr="00755E06">
        <w:rPr>
          <w:szCs w:val="26"/>
        </w:rPr>
        <w:t xml:space="preserve">“high” risk designations for the corresponding Requirements of the </w:t>
      </w:r>
      <w:r w:rsidR="00C824F7" w:rsidRPr="00755E06">
        <w:rPr>
          <w:szCs w:val="26"/>
        </w:rPr>
        <w:t>current</w:t>
      </w:r>
      <w:r w:rsidR="008B5640" w:rsidRPr="00755E06">
        <w:rPr>
          <w:szCs w:val="26"/>
        </w:rPr>
        <w:t xml:space="preserve">ly-effective </w:t>
      </w:r>
      <w:r w:rsidR="00FC5D9D" w:rsidRPr="00755E06">
        <w:rPr>
          <w:szCs w:val="26"/>
        </w:rPr>
        <w:t>standard PRC-004-2.1a</w:t>
      </w:r>
      <w:r w:rsidR="007F6549" w:rsidRPr="00755E06">
        <w:rPr>
          <w:szCs w:val="26"/>
        </w:rPr>
        <w:t>.  Accordingly</w:t>
      </w:r>
      <w:r w:rsidR="00C824F7" w:rsidRPr="00755E06">
        <w:rPr>
          <w:szCs w:val="26"/>
        </w:rPr>
        <w:t xml:space="preserve">, </w:t>
      </w:r>
      <w:r w:rsidR="007F6549" w:rsidRPr="00755E06">
        <w:rPr>
          <w:szCs w:val="26"/>
        </w:rPr>
        <w:t>we</w:t>
      </w:r>
      <w:r w:rsidR="00C824F7" w:rsidRPr="00755E06">
        <w:rPr>
          <w:szCs w:val="26"/>
        </w:rPr>
        <w:t xml:space="preserve"> direct NERC to revise </w:t>
      </w:r>
      <w:r w:rsidR="00746596" w:rsidRPr="00755E06">
        <w:rPr>
          <w:szCs w:val="26"/>
        </w:rPr>
        <w:t xml:space="preserve">the </w:t>
      </w:r>
      <w:r w:rsidR="00C824F7" w:rsidRPr="00755E06">
        <w:rPr>
          <w:szCs w:val="26"/>
        </w:rPr>
        <w:t>VRF designation</w:t>
      </w:r>
      <w:r w:rsidR="007F6549" w:rsidRPr="00755E06">
        <w:rPr>
          <w:szCs w:val="26"/>
        </w:rPr>
        <w:t>s</w:t>
      </w:r>
      <w:r w:rsidR="00C824F7" w:rsidRPr="00755E06">
        <w:rPr>
          <w:szCs w:val="26"/>
        </w:rPr>
        <w:t xml:space="preserve"> </w:t>
      </w:r>
      <w:r w:rsidR="0001240E" w:rsidRPr="00755E06">
        <w:rPr>
          <w:szCs w:val="26"/>
        </w:rPr>
        <w:t>to</w:t>
      </w:r>
      <w:r w:rsidR="00C824F7" w:rsidRPr="00755E06">
        <w:rPr>
          <w:szCs w:val="26"/>
        </w:rPr>
        <w:t xml:space="preserve"> address our concerns</w:t>
      </w:r>
      <w:r w:rsidR="00A46A93" w:rsidRPr="00755E06">
        <w:rPr>
          <w:szCs w:val="26"/>
        </w:rPr>
        <w:t xml:space="preserve"> discussed below</w:t>
      </w:r>
      <w:r w:rsidR="00C824F7" w:rsidRPr="00755E06">
        <w:rPr>
          <w:szCs w:val="26"/>
        </w:rPr>
        <w:t>.</w:t>
      </w:r>
    </w:p>
    <w:p w14:paraId="4056836D" w14:textId="77777777" w:rsidR="005010F8" w:rsidRPr="00755E06" w:rsidRDefault="00C824F7">
      <w:pPr>
        <w:pStyle w:val="FERCparanumber"/>
        <w:spacing w:before="100"/>
        <w:rPr>
          <w:szCs w:val="26"/>
        </w:rPr>
      </w:pPr>
      <w:r w:rsidRPr="00755E06">
        <w:rPr>
          <w:szCs w:val="26"/>
        </w:rPr>
        <w:t>NERC states that the six discrete requirements of proposed Reliability Standard PRC-004-3 “incorporate and enhance the intent of the requirements of PRC-004-2.1a and PRC-003-1.”</w:t>
      </w:r>
      <w:r w:rsidRPr="00755E06">
        <w:rPr>
          <w:rStyle w:val="FootnoteReference"/>
        </w:rPr>
        <w:footnoteReference w:id="23"/>
      </w:r>
      <w:r w:rsidRPr="00755E06">
        <w:rPr>
          <w:szCs w:val="26"/>
        </w:rPr>
        <w:t xml:space="preserve">  NERC states further that</w:t>
      </w:r>
      <w:r w:rsidR="00B824DE" w:rsidRPr="00755E06">
        <w:rPr>
          <w:szCs w:val="26"/>
        </w:rPr>
        <w:t>:</w:t>
      </w:r>
    </w:p>
    <w:p w14:paraId="07F9B39A" w14:textId="4D499E1E" w:rsidR="00C824F7" w:rsidRPr="00CE63A0" w:rsidRDefault="005010F8" w:rsidP="00A03D2A">
      <w:pPr>
        <w:pStyle w:val="FERCparanumber"/>
        <w:numPr>
          <w:ilvl w:val="0"/>
          <w:numId w:val="0"/>
        </w:numPr>
        <w:ind w:left="1440" w:right="1440"/>
      </w:pPr>
      <w:r w:rsidRPr="00755E06">
        <w:t>The requirements of the proposed PRC</w:t>
      </w:r>
      <w:r w:rsidRPr="00755E06">
        <w:rPr>
          <w:rFonts w:ascii="Cambria Math" w:hAnsi="Cambria Math" w:cs="Cambria Math"/>
        </w:rPr>
        <w:t>‐</w:t>
      </w:r>
      <w:r w:rsidRPr="00755E06">
        <w:t>004</w:t>
      </w:r>
      <w:r w:rsidRPr="00755E06">
        <w:rPr>
          <w:rFonts w:ascii="Cambria Math" w:hAnsi="Cambria Math" w:cs="Cambria Math"/>
        </w:rPr>
        <w:t>‐</w:t>
      </w:r>
      <w:r w:rsidRPr="00755E06">
        <w:t>3 do not map, one</w:t>
      </w:r>
      <w:r w:rsidRPr="00755E06">
        <w:rPr>
          <w:rFonts w:ascii="Cambria Math" w:hAnsi="Cambria Math" w:cs="Cambria Math"/>
        </w:rPr>
        <w:t>‐</w:t>
      </w:r>
      <w:r w:rsidRPr="00755E06">
        <w:t>to</w:t>
      </w:r>
      <w:r w:rsidRPr="00755E06">
        <w:rPr>
          <w:rFonts w:ascii="Cambria Math" w:hAnsi="Cambria Math" w:cs="Cambria Math"/>
        </w:rPr>
        <w:t>‐</w:t>
      </w:r>
      <w:r w:rsidRPr="00755E06">
        <w:t>one, with the Requirements of the two legacy standards, PRC</w:t>
      </w:r>
      <w:r w:rsidRPr="00755E06">
        <w:rPr>
          <w:rFonts w:ascii="Cambria Math" w:hAnsi="Cambria Math" w:cs="Cambria Math"/>
        </w:rPr>
        <w:t>‐</w:t>
      </w:r>
      <w:r w:rsidRPr="00755E06">
        <w:t>003</w:t>
      </w:r>
      <w:r w:rsidRPr="00755E06">
        <w:rPr>
          <w:rFonts w:ascii="Cambria Math" w:hAnsi="Cambria Math" w:cs="Cambria Math"/>
        </w:rPr>
        <w:t>‐</w:t>
      </w:r>
      <w:r w:rsidRPr="00755E06">
        <w:t>1 and PRC</w:t>
      </w:r>
      <w:r w:rsidRPr="00755E06">
        <w:rPr>
          <w:rFonts w:ascii="Cambria Math" w:hAnsi="Cambria Math" w:cs="Cambria Math"/>
        </w:rPr>
        <w:t>‐</w:t>
      </w:r>
      <w:r w:rsidRPr="00755E06">
        <w:t>004</w:t>
      </w:r>
      <w:r w:rsidRPr="00755E06">
        <w:rPr>
          <w:rFonts w:ascii="Cambria Math" w:hAnsi="Cambria Math" w:cs="Cambria Math"/>
        </w:rPr>
        <w:t>‐</w:t>
      </w:r>
      <w:r w:rsidRPr="00755E06">
        <w:t xml:space="preserve">2.1a. The new Requirements comingle various reliability attributes of the legacy standards with precise reliability objectives. </w:t>
      </w:r>
      <w:r w:rsidR="00FC5D9D" w:rsidRPr="00755E06">
        <w:t xml:space="preserve"> </w:t>
      </w:r>
      <w:r w:rsidRPr="00755E06">
        <w:t xml:space="preserve">In </w:t>
      </w:r>
      <w:r w:rsidR="00602437" w:rsidRPr="00755E06">
        <w:t>d</w:t>
      </w:r>
      <w:r w:rsidRPr="00755E06">
        <w:t>eveloping the new VRFs for the Requirements of PRC</w:t>
      </w:r>
      <w:r w:rsidRPr="00755E06">
        <w:rPr>
          <w:rFonts w:ascii="Cambria Math" w:hAnsi="Cambria Math" w:cs="Cambria Math"/>
        </w:rPr>
        <w:t>‐</w:t>
      </w:r>
      <w:r w:rsidRPr="00755E06">
        <w:t>004</w:t>
      </w:r>
      <w:r w:rsidRPr="00755E06">
        <w:rPr>
          <w:rFonts w:ascii="Cambria Math" w:hAnsi="Cambria Math" w:cs="Cambria Math"/>
        </w:rPr>
        <w:t>‐</w:t>
      </w:r>
      <w:r w:rsidRPr="00755E06">
        <w:t>3, the Standard Drafting Team carefully considered the NERC criteria for developing VRFs, as well as the FERC VRF guidelines.  The VRFs of the FERC approved PRC</w:t>
      </w:r>
      <w:r w:rsidRPr="00755E06">
        <w:rPr>
          <w:rFonts w:ascii="Cambria Math" w:hAnsi="Cambria Math" w:cs="Cambria Math"/>
        </w:rPr>
        <w:t>‐</w:t>
      </w:r>
      <w:r w:rsidRPr="00755E06">
        <w:t>004</w:t>
      </w:r>
      <w:r w:rsidRPr="00755E06">
        <w:rPr>
          <w:rFonts w:ascii="Cambria Math" w:hAnsi="Cambria Math" w:cs="Cambria Math"/>
        </w:rPr>
        <w:t>‐</w:t>
      </w:r>
      <w:r w:rsidRPr="00755E06">
        <w:t>2.1a – Analysis and Mitigation of Transmission and Generation Protection System Misoperations (R1 &amp; R2 – High VRF), PRC</w:t>
      </w:r>
      <w:r w:rsidRPr="00755E06">
        <w:rPr>
          <w:rFonts w:ascii="Cambria Math" w:hAnsi="Cambria Math" w:cs="Cambria Math"/>
        </w:rPr>
        <w:t>‐</w:t>
      </w:r>
      <w:r w:rsidRPr="00755E06">
        <w:t>004</w:t>
      </w:r>
      <w:r w:rsidRPr="00755E06">
        <w:rPr>
          <w:rFonts w:ascii="Cambria Math" w:hAnsi="Cambria Math" w:cs="Cambria Math"/>
        </w:rPr>
        <w:t>‐</w:t>
      </w:r>
      <w:r w:rsidRPr="00755E06">
        <w:t>WECC</w:t>
      </w:r>
      <w:r w:rsidRPr="00755E06">
        <w:rPr>
          <w:rFonts w:ascii="Cambria Math" w:hAnsi="Cambria Math" w:cs="Cambria Math"/>
        </w:rPr>
        <w:t>‐</w:t>
      </w:r>
      <w:r w:rsidRPr="00755E06">
        <w:t>1 – Protection System and Remedial Action Scheme Misoperation (R1 – Lower VRF), PRC</w:t>
      </w:r>
      <w:r w:rsidRPr="00755E06">
        <w:rPr>
          <w:rFonts w:ascii="Cambria Math" w:hAnsi="Cambria Math" w:cs="Cambria Math"/>
        </w:rPr>
        <w:t>‐</w:t>
      </w:r>
      <w:r w:rsidRPr="00755E06">
        <w:t>016</w:t>
      </w:r>
      <w:r w:rsidRPr="00755E06">
        <w:rPr>
          <w:rFonts w:ascii="Cambria Math" w:hAnsi="Cambria Math" w:cs="Cambria Math"/>
        </w:rPr>
        <w:t>‐</w:t>
      </w:r>
      <w:r w:rsidRPr="00755E06">
        <w:t>0.1 – Special Protection System Misoperation (R2 – Medium VRF), and PRC</w:t>
      </w:r>
      <w:r w:rsidRPr="00755E06">
        <w:rPr>
          <w:rFonts w:ascii="Cambria Math" w:hAnsi="Cambria Math" w:cs="Cambria Math"/>
        </w:rPr>
        <w:t>‐</w:t>
      </w:r>
      <w:r w:rsidRPr="00755E06">
        <w:t>022</w:t>
      </w:r>
      <w:r w:rsidRPr="00755E06">
        <w:rPr>
          <w:rFonts w:ascii="Cambria Math" w:hAnsi="Cambria Math" w:cs="Cambria Math"/>
        </w:rPr>
        <w:t>‐</w:t>
      </w:r>
      <w:r w:rsidRPr="00755E06">
        <w:t>1 – Under</w:t>
      </w:r>
      <w:r w:rsidRPr="00755E06">
        <w:rPr>
          <w:rFonts w:ascii="Cambria Math" w:hAnsi="Cambria Math" w:cs="Cambria Math"/>
        </w:rPr>
        <w:t>‐</w:t>
      </w:r>
      <w:r w:rsidRPr="00755E06">
        <w:t xml:space="preserve">Voltage Load Shedding Program Performance (R1 &amp; R1.5 – Medium </w:t>
      </w:r>
      <w:r w:rsidRPr="00755E06">
        <w:lastRenderedPageBreak/>
        <w:t>VRF), all influenced (citing FERC VRF Guideline 3) the drafting team’s VRF decisions, as such, the VRFs for PRC</w:t>
      </w:r>
      <w:r w:rsidRPr="00755E06">
        <w:rPr>
          <w:rFonts w:ascii="Cambria Math" w:hAnsi="Cambria Math" w:cs="Cambria Math"/>
        </w:rPr>
        <w:t>‐</w:t>
      </w:r>
      <w:r w:rsidRPr="00755E06">
        <w:t>004</w:t>
      </w:r>
      <w:r w:rsidRPr="00755E06">
        <w:rPr>
          <w:rFonts w:ascii="Cambria Math" w:hAnsi="Cambria Math" w:cs="Cambria Math"/>
        </w:rPr>
        <w:t>‐</w:t>
      </w:r>
      <w:r w:rsidRPr="00755E06">
        <w:t>3 Requirements R1 through R6 are assigned a VRF of Medium.</w:t>
      </w:r>
      <w:r w:rsidRPr="00755E06">
        <w:rPr>
          <w:rStyle w:val="FootnoteReference"/>
        </w:rPr>
        <w:footnoteReference w:id="24"/>
      </w:r>
    </w:p>
    <w:p w14:paraId="2AFFB3F5" w14:textId="3AC87088" w:rsidR="00B854D3" w:rsidRPr="00CE63A0" w:rsidRDefault="00B42C0C" w:rsidP="00CE63A0">
      <w:pPr>
        <w:pStyle w:val="FERCparanumber"/>
        <w:spacing w:before="100"/>
        <w:rPr>
          <w:szCs w:val="26"/>
        </w:rPr>
      </w:pPr>
      <w:r w:rsidRPr="00755E06">
        <w:rPr>
          <w:shd w:val="clear" w:color="auto" w:fill="FFFFFF"/>
        </w:rPr>
        <w:t>The Commission is not persuaded by NERC’s explanation.  Reliability Standard PRC-004-2.1a</w:t>
      </w:r>
      <w:r w:rsidR="001C5D1E">
        <w:rPr>
          <w:shd w:val="clear" w:color="auto" w:fill="FFFFFF"/>
        </w:rPr>
        <w:t>,</w:t>
      </w:r>
      <w:r w:rsidRPr="00755E06">
        <w:rPr>
          <w:shd w:val="clear" w:color="auto" w:fill="FFFFFF"/>
        </w:rPr>
        <w:t xml:space="preserve"> Requirements R1 and R2, which apply to Protection Systems, are assigned a High VRF.  In contrast, </w:t>
      </w:r>
      <w:r w:rsidR="006A5AE1">
        <w:rPr>
          <w:shd w:val="clear" w:color="auto" w:fill="FFFFFF"/>
        </w:rPr>
        <w:t>Reliability S</w:t>
      </w:r>
      <w:r w:rsidR="006A5AE1" w:rsidRPr="00755E06">
        <w:rPr>
          <w:shd w:val="clear" w:color="auto" w:fill="FFFFFF"/>
        </w:rPr>
        <w:t xml:space="preserve">tandards </w:t>
      </w:r>
      <w:r w:rsidRPr="00755E06">
        <w:rPr>
          <w:shd w:val="clear" w:color="auto" w:fill="FFFFFF"/>
        </w:rPr>
        <w:t xml:space="preserve">PRC-016-0.1 and PRC-022-1 apply to Remedial Action Schemes and to Under-Voltage Load Shedding Program Performance and not Protection Systems. </w:t>
      </w:r>
      <w:r w:rsidR="001C5D1E">
        <w:rPr>
          <w:shd w:val="clear" w:color="auto" w:fill="FFFFFF"/>
        </w:rPr>
        <w:t xml:space="preserve"> </w:t>
      </w:r>
      <w:r w:rsidRPr="00755E06">
        <w:rPr>
          <w:shd w:val="clear" w:color="auto" w:fill="FFFFFF"/>
        </w:rPr>
        <w:t xml:space="preserve">Regional </w:t>
      </w:r>
      <w:r w:rsidR="006A5AE1">
        <w:rPr>
          <w:shd w:val="clear" w:color="auto" w:fill="FFFFFF"/>
        </w:rPr>
        <w:t>S</w:t>
      </w:r>
      <w:r w:rsidR="006A5AE1" w:rsidRPr="00755E06">
        <w:rPr>
          <w:shd w:val="clear" w:color="auto" w:fill="FFFFFF"/>
        </w:rPr>
        <w:t xml:space="preserve">tandard </w:t>
      </w:r>
      <w:r w:rsidRPr="00755E06">
        <w:rPr>
          <w:shd w:val="clear" w:color="auto" w:fill="FFFFFF"/>
        </w:rPr>
        <w:t>PRC-004-WECC-1</w:t>
      </w:r>
      <w:r w:rsidR="001C5D1E">
        <w:rPr>
          <w:shd w:val="clear" w:color="auto" w:fill="FFFFFF"/>
        </w:rPr>
        <w:t>,</w:t>
      </w:r>
      <w:r w:rsidRPr="00755E06">
        <w:rPr>
          <w:shd w:val="clear" w:color="auto" w:fill="FFFFFF"/>
        </w:rPr>
        <w:t xml:space="preserve"> Requirement R1 applies to the analysis of both </w:t>
      </w:r>
      <w:r w:rsidR="009C23AC" w:rsidRPr="00755E06">
        <w:rPr>
          <w:shd w:val="clear" w:color="auto" w:fill="FFFFFF"/>
        </w:rPr>
        <w:t xml:space="preserve">Remedial Action Schemes </w:t>
      </w:r>
      <w:r w:rsidRPr="00755E06">
        <w:rPr>
          <w:shd w:val="clear" w:color="auto" w:fill="FFFFFF"/>
        </w:rPr>
        <w:t xml:space="preserve">and Protection Systems, while all four provisions of Requirement R2, which require actions to protect the </w:t>
      </w:r>
      <w:r w:rsidR="0020023D">
        <w:rPr>
          <w:shd w:val="clear" w:color="auto" w:fill="FFFFFF"/>
        </w:rPr>
        <w:t>Bulk-Power System</w:t>
      </w:r>
      <w:r w:rsidRPr="00755E06">
        <w:rPr>
          <w:shd w:val="clear" w:color="auto" w:fill="FFFFFF"/>
        </w:rPr>
        <w:t xml:space="preserve"> from a Protection System or </w:t>
      </w:r>
      <w:r w:rsidR="009C23AC" w:rsidRPr="00755E06">
        <w:rPr>
          <w:shd w:val="clear" w:color="auto" w:fill="FFFFFF"/>
        </w:rPr>
        <w:t xml:space="preserve">Remedial Action Schemes </w:t>
      </w:r>
      <w:r w:rsidRPr="00755E06">
        <w:rPr>
          <w:shd w:val="clear" w:color="auto" w:fill="FFFFFF"/>
        </w:rPr>
        <w:t xml:space="preserve">misoperation, are assigned a High VRF.  Thus, while it is true, as NERC claims, that there is not a one-to-one correlation between the currently-effective and proposed </w:t>
      </w:r>
      <w:r w:rsidR="002D5BD3">
        <w:rPr>
          <w:shd w:val="clear" w:color="auto" w:fill="FFFFFF"/>
        </w:rPr>
        <w:t xml:space="preserve">    </w:t>
      </w:r>
      <w:r w:rsidRPr="00755E06">
        <w:rPr>
          <w:shd w:val="clear" w:color="auto" w:fill="FFFFFF"/>
        </w:rPr>
        <w:t xml:space="preserve">PRC-004 </w:t>
      </w:r>
      <w:r w:rsidR="00BB2BB6">
        <w:rPr>
          <w:shd w:val="clear" w:color="auto" w:fill="FFFFFF"/>
        </w:rPr>
        <w:t>requirements</w:t>
      </w:r>
      <w:r w:rsidRPr="00755E06">
        <w:rPr>
          <w:shd w:val="clear" w:color="auto" w:fill="FFFFFF"/>
        </w:rPr>
        <w:t>, it is clear that the provisions of the currently-effective standards that pertain to protection system performance are assigned “high” VRF levels. </w:t>
      </w:r>
    </w:p>
    <w:p w14:paraId="3765C2FB" w14:textId="228B56B4" w:rsidR="00C824F7" w:rsidRPr="00755E06" w:rsidRDefault="009539AC" w:rsidP="00C824F7">
      <w:pPr>
        <w:pStyle w:val="FERCparanumber"/>
        <w:spacing w:before="100"/>
        <w:rPr>
          <w:b/>
          <w:szCs w:val="26"/>
        </w:rPr>
      </w:pPr>
      <w:r>
        <w:rPr>
          <w:szCs w:val="26"/>
        </w:rPr>
        <w:t>Moreover</w:t>
      </w:r>
      <w:r w:rsidR="00C824F7" w:rsidRPr="00755E06">
        <w:rPr>
          <w:szCs w:val="26"/>
        </w:rPr>
        <w:t xml:space="preserve">, Commission VRF Guideline 4 </w:t>
      </w:r>
      <w:r w:rsidR="004D2C04" w:rsidRPr="00755E06">
        <w:rPr>
          <w:szCs w:val="26"/>
        </w:rPr>
        <w:t xml:space="preserve">calls for </w:t>
      </w:r>
      <w:r w:rsidR="00C824F7" w:rsidRPr="00755E06">
        <w:rPr>
          <w:szCs w:val="26"/>
        </w:rPr>
        <w:t xml:space="preserve">consistency </w:t>
      </w:r>
      <w:r w:rsidR="00934B2F">
        <w:rPr>
          <w:szCs w:val="26"/>
        </w:rPr>
        <w:t>between the assignment of a particular VRF and</w:t>
      </w:r>
      <w:r w:rsidR="00934B2F" w:rsidRPr="00755E06">
        <w:rPr>
          <w:szCs w:val="26"/>
        </w:rPr>
        <w:t xml:space="preserve"> </w:t>
      </w:r>
      <w:r w:rsidR="00C824F7" w:rsidRPr="00755E06">
        <w:rPr>
          <w:szCs w:val="26"/>
        </w:rPr>
        <w:t>NERC’s definition of th</w:t>
      </w:r>
      <w:r w:rsidR="00934B2F">
        <w:rPr>
          <w:szCs w:val="26"/>
        </w:rPr>
        <w:t>at</w:t>
      </w:r>
      <w:r w:rsidR="00C824F7" w:rsidRPr="00755E06">
        <w:rPr>
          <w:szCs w:val="26"/>
        </w:rPr>
        <w:t xml:space="preserve"> VRF level.</w:t>
      </w:r>
      <w:r>
        <w:rPr>
          <w:rStyle w:val="FootnoteReference"/>
        </w:rPr>
        <w:footnoteReference w:id="25"/>
      </w:r>
      <w:r w:rsidR="00C824F7" w:rsidRPr="00755E06">
        <w:rPr>
          <w:szCs w:val="26"/>
        </w:rPr>
        <w:t xml:space="preserve">  The Commission-approved NERC VRF definition for “high” </w:t>
      </w:r>
      <w:r w:rsidR="008C13B1" w:rsidRPr="00755E06">
        <w:rPr>
          <w:szCs w:val="26"/>
        </w:rPr>
        <w:t xml:space="preserve">VRF </w:t>
      </w:r>
      <w:r w:rsidR="00C824F7" w:rsidRPr="00755E06">
        <w:rPr>
          <w:szCs w:val="26"/>
        </w:rPr>
        <w:t xml:space="preserve">states, in pertinent part, that a requirement should have a “high” VRF designation if a violation of the requirement “could place the bulk electric system at an unacceptable risk of instability, separation or cascading failures.”  NERC has designated </w:t>
      </w:r>
      <w:r w:rsidR="00D07119" w:rsidRPr="00755E06">
        <w:rPr>
          <w:szCs w:val="26"/>
        </w:rPr>
        <w:t>p</w:t>
      </w:r>
      <w:r w:rsidR="00C824F7" w:rsidRPr="00755E06">
        <w:rPr>
          <w:szCs w:val="26"/>
        </w:rPr>
        <w:t>rotection system misoperations as one of the top priority reliability risks, noting that unnecessary trips resulting from misoperations can lead to cascading failures.</w:t>
      </w:r>
      <w:r w:rsidR="002C3174">
        <w:rPr>
          <w:rStyle w:val="FootnoteReference"/>
        </w:rPr>
        <w:footnoteReference w:id="26"/>
      </w:r>
      <w:r w:rsidR="00C824F7" w:rsidRPr="00755E06">
        <w:rPr>
          <w:szCs w:val="26"/>
        </w:rPr>
        <w:t xml:space="preserve">  In contrast, the Commission-approved NERC VRF definition for “medium” provides that the violation of the underlying requirement could not result in, among other things, a cascading sequence of failures or place the bulk electric system at an unacceptable risk of, among other things, cascading failures.</w:t>
      </w:r>
      <w:r w:rsidR="00D07119" w:rsidRPr="00755E06">
        <w:rPr>
          <w:szCs w:val="26"/>
        </w:rPr>
        <w:t xml:space="preserve">  We are </w:t>
      </w:r>
      <w:r w:rsidR="00853A91">
        <w:rPr>
          <w:szCs w:val="26"/>
        </w:rPr>
        <w:t>not persuaded by</w:t>
      </w:r>
      <w:r w:rsidR="00D07119" w:rsidRPr="00755E06">
        <w:rPr>
          <w:szCs w:val="26"/>
        </w:rPr>
        <w:t xml:space="preserve"> NERC’s technical justification for lowering</w:t>
      </w:r>
      <w:r w:rsidR="00B42C0C" w:rsidRPr="00755E06">
        <w:rPr>
          <w:szCs w:val="26"/>
        </w:rPr>
        <w:t xml:space="preserve"> </w:t>
      </w:r>
      <w:r w:rsidR="00D07119" w:rsidRPr="00755E06">
        <w:rPr>
          <w:szCs w:val="26"/>
        </w:rPr>
        <w:t>the subject VRF assignments to</w:t>
      </w:r>
      <w:r w:rsidR="008C13B1" w:rsidRPr="00755E06">
        <w:rPr>
          <w:szCs w:val="26"/>
        </w:rPr>
        <w:t xml:space="preserve"> </w:t>
      </w:r>
      <w:r w:rsidR="00D07119" w:rsidRPr="00755E06">
        <w:rPr>
          <w:szCs w:val="26"/>
        </w:rPr>
        <w:t>“medium</w:t>
      </w:r>
      <w:r w:rsidR="00853A91">
        <w:rPr>
          <w:szCs w:val="26"/>
        </w:rPr>
        <w:t>,</w:t>
      </w:r>
      <w:r w:rsidR="00D07119" w:rsidRPr="00755E06">
        <w:rPr>
          <w:szCs w:val="26"/>
        </w:rPr>
        <w:t xml:space="preserve">” </w:t>
      </w:r>
      <w:r w:rsidR="00853A91">
        <w:rPr>
          <w:szCs w:val="26"/>
        </w:rPr>
        <w:t xml:space="preserve">particularly in light of NERC’s </w:t>
      </w:r>
      <w:r w:rsidR="00D07119" w:rsidRPr="00755E06">
        <w:rPr>
          <w:szCs w:val="26"/>
        </w:rPr>
        <w:t xml:space="preserve">findings that misoperations </w:t>
      </w:r>
      <w:r w:rsidR="00D07119" w:rsidRPr="00755E06">
        <w:rPr>
          <w:szCs w:val="26"/>
        </w:rPr>
        <w:lastRenderedPageBreak/>
        <w:t>can lead to cascading outages.</w:t>
      </w:r>
      <w:r w:rsidR="00853A91">
        <w:rPr>
          <w:rStyle w:val="FootnoteReference"/>
        </w:rPr>
        <w:footnoteReference w:id="27"/>
      </w:r>
      <w:r w:rsidR="00C22CE1">
        <w:rPr>
          <w:szCs w:val="26"/>
        </w:rPr>
        <w:t xml:space="preserve">  </w:t>
      </w:r>
      <w:r w:rsidR="00C824F7" w:rsidRPr="00755E06">
        <w:rPr>
          <w:szCs w:val="26"/>
        </w:rPr>
        <w:t xml:space="preserve">For the reasons stated above, we direct NERC to submit a compliance filing within 60 days of issuance of this order that </w:t>
      </w:r>
      <w:r w:rsidR="0018166C" w:rsidRPr="00755E06">
        <w:rPr>
          <w:szCs w:val="26"/>
        </w:rPr>
        <w:t>revise</w:t>
      </w:r>
      <w:r w:rsidR="00553914" w:rsidRPr="00755E06">
        <w:rPr>
          <w:szCs w:val="26"/>
        </w:rPr>
        <w:t>s</w:t>
      </w:r>
      <w:r w:rsidR="0018166C" w:rsidRPr="00755E06">
        <w:rPr>
          <w:szCs w:val="26"/>
        </w:rPr>
        <w:t xml:space="preserve"> </w:t>
      </w:r>
      <w:r w:rsidR="00B30F94" w:rsidRPr="00755E06">
        <w:rPr>
          <w:szCs w:val="26"/>
        </w:rPr>
        <w:t>the</w:t>
      </w:r>
      <w:r w:rsidR="003B2826" w:rsidRPr="00755E06">
        <w:rPr>
          <w:szCs w:val="26"/>
        </w:rPr>
        <w:t xml:space="preserve"> proposed “medium” VRF designations to</w:t>
      </w:r>
      <w:r w:rsidR="00C824F7" w:rsidRPr="00755E06">
        <w:rPr>
          <w:szCs w:val="26"/>
        </w:rPr>
        <w:t xml:space="preserve"> “high</w:t>
      </w:r>
      <w:r w:rsidR="005D092C" w:rsidRPr="00755E06">
        <w:rPr>
          <w:szCs w:val="26"/>
        </w:rPr>
        <w:t>.</w:t>
      </w:r>
      <w:r w:rsidR="00C824F7" w:rsidRPr="00755E06">
        <w:rPr>
          <w:szCs w:val="26"/>
        </w:rPr>
        <w:t xml:space="preserve">” </w:t>
      </w:r>
    </w:p>
    <w:p w14:paraId="55F5F7EA" w14:textId="2B4BF681" w:rsidR="00E1762E" w:rsidRPr="00755E06" w:rsidRDefault="00F674DA" w:rsidP="00E1762E">
      <w:pPr>
        <w:pStyle w:val="FERCparanumber"/>
        <w:numPr>
          <w:ilvl w:val="0"/>
          <w:numId w:val="0"/>
        </w:numPr>
        <w:spacing w:before="100"/>
        <w:rPr>
          <w:b/>
          <w:u w:val="single"/>
        </w:rPr>
      </w:pPr>
      <w:r>
        <w:rPr>
          <w:b/>
        </w:rPr>
        <w:t>V</w:t>
      </w:r>
      <w:r w:rsidR="00E1762E" w:rsidRPr="00755E06">
        <w:rPr>
          <w:b/>
        </w:rPr>
        <w:t>.</w:t>
      </w:r>
      <w:r w:rsidR="00E1762E" w:rsidRPr="00755E06">
        <w:rPr>
          <w:b/>
        </w:rPr>
        <w:tab/>
      </w:r>
      <w:r w:rsidR="00E1762E" w:rsidRPr="00755E06">
        <w:rPr>
          <w:b/>
          <w:u w:val="single"/>
        </w:rPr>
        <w:t>Information Collection Statement</w:t>
      </w:r>
    </w:p>
    <w:p w14:paraId="5834B8F4" w14:textId="77777777" w:rsidR="00E1762E" w:rsidRPr="00755E06" w:rsidRDefault="00CB7307" w:rsidP="00E1762E">
      <w:pPr>
        <w:pStyle w:val="FERCparanumber"/>
        <w:spacing w:before="100"/>
        <w:rPr>
          <w:b/>
          <w:szCs w:val="26"/>
        </w:rPr>
      </w:pPr>
      <w:r w:rsidRPr="00755E06">
        <w:t>The information collection requirements contained in this order are subject to review by the Office of Management and Budget (OMB) under section 3507(d) of the Paperwork Reduction Act of 1995.</w:t>
      </w:r>
      <w:r w:rsidRPr="00755E06">
        <w:rPr>
          <w:rStyle w:val="FootnoteReference"/>
        </w:rPr>
        <w:footnoteReference w:id="28"/>
      </w:r>
      <w:r w:rsidRPr="00755E06">
        <w:t xml:space="preserve">  OMB’s regulations require approval of certain information collection requirements imposed by agency rules.</w:t>
      </w:r>
      <w:r w:rsidRPr="00755E06">
        <w:rPr>
          <w:rStyle w:val="FootnoteReference"/>
        </w:rPr>
        <w:footnoteReference w:id="29"/>
      </w:r>
      <w:r w:rsidRPr="00755E06">
        <w:t xml:space="preserve">  Upon approval of a collection of information, OMB will assign an OMB control number and expiration date.  Respondents subject to the reporting requirements of this order will not be penalized for failing to respond to these collections of information unless the collections of information display a valid OMB control number.  Under the Paperwork Reduction Act, the Comm</w:t>
      </w:r>
      <w:r w:rsidR="0086317B" w:rsidRPr="00755E06">
        <w:t>ission solicits comments on the</w:t>
      </w:r>
      <w:r w:rsidRPr="00755E06">
        <w:t xml:space="preserve">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  Comments are due within 60 days from publication in the Federal Register.</w:t>
      </w:r>
    </w:p>
    <w:p w14:paraId="53B08173" w14:textId="17634840" w:rsidR="00CE63A0" w:rsidRDefault="00880ED8" w:rsidP="00936C20">
      <w:pPr>
        <w:pStyle w:val="FERCparanumber"/>
        <w:spacing w:before="100"/>
        <w:rPr>
          <w:b/>
          <w:szCs w:val="26"/>
        </w:rPr>
      </w:pPr>
      <w:r w:rsidRPr="00755E06">
        <w:rPr>
          <w:szCs w:val="26"/>
          <w:u w:val="single"/>
        </w:rPr>
        <w:t>Public Reporting Burden</w:t>
      </w:r>
      <w:r w:rsidRPr="00755E06">
        <w:rPr>
          <w:szCs w:val="26"/>
        </w:rPr>
        <w:t xml:space="preserve">:  </w:t>
      </w:r>
      <w:r w:rsidR="00CB7307" w:rsidRPr="00755E06">
        <w:rPr>
          <w:szCs w:val="26"/>
        </w:rPr>
        <w:t>Reliability Standard PRC-004-3 requires each transmission owner, generator owner, and distribution provider to provide notification of BES interrupting devices that operated in accordance with the Requirement R2.</w:t>
      </w:r>
      <w:r w:rsidR="00CB7307" w:rsidRPr="00755E06">
        <w:rPr>
          <w:b/>
          <w:szCs w:val="26"/>
          <w:vertAlign w:val="superscript"/>
        </w:rPr>
        <w:footnoteReference w:id="30"/>
      </w:r>
      <w:r w:rsidR="00CB7307" w:rsidRPr="00755E06">
        <w:rPr>
          <w:szCs w:val="26"/>
        </w:rPr>
        <w:t xml:space="preserve">  </w:t>
      </w:r>
      <w:r w:rsidR="00CB7307" w:rsidRPr="00755E06">
        <w:t xml:space="preserve">Our estimate below regarding the number of respondents is based on the NERC Compliance Registry as of January 30, 2015.  According to the NERC Compliance Registry, NERC has registered </w:t>
      </w:r>
      <w:r w:rsidR="008C13B1" w:rsidRPr="00755E06">
        <w:t xml:space="preserve">in the United States </w:t>
      </w:r>
      <w:r w:rsidR="00CB7307" w:rsidRPr="00755E06">
        <w:t xml:space="preserve">326 </w:t>
      </w:r>
      <w:r w:rsidR="00CB7307" w:rsidRPr="00755E06">
        <w:rPr>
          <w:szCs w:val="26"/>
        </w:rPr>
        <w:t xml:space="preserve">transmission owners (TO), 914 generator owners (GO), and </w:t>
      </w:r>
      <w:r w:rsidR="00CB7307" w:rsidRPr="00755E06">
        <w:t xml:space="preserve">471 distribution providers (DP).  However, under NERC’s compliance registration program, entities may be registered for multiple functions, so these numbers </w:t>
      </w:r>
      <w:r w:rsidR="00CB7307" w:rsidRPr="00755E06">
        <w:lastRenderedPageBreak/>
        <w:t xml:space="preserve">incorporate some double counting.  The total number of unique entities that may be identified as a notification provider (e.g. applicable entity) in accordance with Reliability Standard PRC-004-3 will be approximately 659 entities registered in the United States as a </w:t>
      </w:r>
      <w:r w:rsidR="00CB7307" w:rsidRPr="00755E06">
        <w:rPr>
          <w:szCs w:val="26"/>
        </w:rPr>
        <w:t>transmission owner, generator owner, and/or distribution provider</w:t>
      </w:r>
      <w:r w:rsidR="00CB7307" w:rsidRPr="00755E06">
        <w:t>.</w:t>
      </w:r>
    </w:p>
    <w:p w14:paraId="56D76D1B" w14:textId="77777777" w:rsidR="00936C20" w:rsidRDefault="00936C20" w:rsidP="00936C20">
      <w:pPr>
        <w:pStyle w:val="FERCparanumber"/>
        <w:numPr>
          <w:ilvl w:val="0"/>
          <w:numId w:val="0"/>
        </w:numPr>
        <w:spacing w:before="100"/>
        <w:rPr>
          <w:b/>
          <w:szCs w:val="26"/>
        </w:rPr>
      </w:pPr>
    </w:p>
    <w:p w14:paraId="798834B7" w14:textId="77777777" w:rsidR="00936C20" w:rsidRDefault="00936C20" w:rsidP="00936C20">
      <w:pPr>
        <w:pStyle w:val="FERCparanumber"/>
        <w:numPr>
          <w:ilvl w:val="0"/>
          <w:numId w:val="0"/>
        </w:numPr>
        <w:spacing w:before="100"/>
        <w:rPr>
          <w:b/>
          <w:szCs w:val="26"/>
        </w:rPr>
      </w:pPr>
    </w:p>
    <w:p w14:paraId="5546598E" w14:textId="77777777" w:rsidR="00A203E6" w:rsidRDefault="00A203E6" w:rsidP="00936C20">
      <w:pPr>
        <w:pStyle w:val="FERCparanumber"/>
        <w:numPr>
          <w:ilvl w:val="0"/>
          <w:numId w:val="0"/>
        </w:numPr>
        <w:spacing w:before="100"/>
        <w:rPr>
          <w:b/>
          <w:szCs w:val="26"/>
        </w:rPr>
      </w:pPr>
    </w:p>
    <w:p w14:paraId="06E67455" w14:textId="77777777" w:rsidR="00A203E6" w:rsidRDefault="00A203E6" w:rsidP="00936C20">
      <w:pPr>
        <w:pStyle w:val="FERCparanumber"/>
        <w:numPr>
          <w:ilvl w:val="0"/>
          <w:numId w:val="0"/>
        </w:numPr>
        <w:spacing w:before="100"/>
        <w:rPr>
          <w:b/>
          <w:szCs w:val="26"/>
        </w:rPr>
      </w:pPr>
    </w:p>
    <w:p w14:paraId="520988E4" w14:textId="77777777" w:rsidR="00A203E6" w:rsidRPr="00936C20" w:rsidRDefault="00A203E6" w:rsidP="00936C20">
      <w:pPr>
        <w:pStyle w:val="FERCparanumber"/>
        <w:numPr>
          <w:ilvl w:val="0"/>
          <w:numId w:val="0"/>
        </w:numPr>
        <w:spacing w:before="100"/>
        <w:rPr>
          <w:b/>
          <w:szCs w:val="26"/>
        </w:rPr>
      </w:pPr>
    </w:p>
    <w:tbl>
      <w:tblPr>
        <w:tblW w:w="49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1"/>
        <w:gridCol w:w="1348"/>
        <w:gridCol w:w="1261"/>
        <w:gridCol w:w="1261"/>
        <w:gridCol w:w="1349"/>
        <w:gridCol w:w="1349"/>
        <w:gridCol w:w="1081"/>
      </w:tblGrid>
      <w:tr w:rsidR="00755E06" w:rsidRPr="00755E06" w14:paraId="6BE08AF3" w14:textId="77777777" w:rsidTr="00AF7624">
        <w:trPr>
          <w:cantSplit/>
        </w:trPr>
        <w:tc>
          <w:tcPr>
            <w:tcW w:w="5000" w:type="pct"/>
            <w:gridSpan w:val="7"/>
            <w:tcBorders>
              <w:bottom w:val="single" w:sz="4" w:space="0" w:color="auto"/>
            </w:tcBorders>
            <w:shd w:val="clear" w:color="auto" w:fill="D9D9D9"/>
          </w:tcPr>
          <w:p w14:paraId="57A4E48B" w14:textId="77777777" w:rsidR="00CB7307" w:rsidRPr="00755E06" w:rsidRDefault="00CB7307" w:rsidP="00AF7624">
            <w:pPr>
              <w:pStyle w:val="FERCparanumber"/>
              <w:numPr>
                <w:ilvl w:val="0"/>
                <w:numId w:val="0"/>
              </w:numPr>
              <w:ind w:left="720" w:hanging="720"/>
              <w:jc w:val="center"/>
              <w:rPr>
                <w:rFonts w:eastAsia="Calibri"/>
                <w:b/>
                <w:vertAlign w:val="superscript"/>
              </w:rPr>
            </w:pPr>
            <w:r w:rsidRPr="00755E06">
              <w:rPr>
                <w:rFonts w:eastAsia="Calibri"/>
                <w:b/>
              </w:rPr>
              <w:t>FERC-725G1</w:t>
            </w:r>
            <w:r w:rsidRPr="00755E06">
              <w:rPr>
                <w:rStyle w:val="FootnoteReference"/>
                <w:rFonts w:eastAsia="Calibri"/>
                <w:b w:val="0"/>
              </w:rPr>
              <w:footnoteReference w:id="31"/>
            </w:r>
          </w:p>
        </w:tc>
      </w:tr>
      <w:tr w:rsidR="00755E06" w:rsidRPr="00755E06" w14:paraId="49AAEBA2" w14:textId="77777777" w:rsidTr="00AF7624">
        <w:trPr>
          <w:cantSplit/>
        </w:trPr>
        <w:tc>
          <w:tcPr>
            <w:tcW w:w="953" w:type="pct"/>
            <w:shd w:val="clear" w:color="auto" w:fill="D9D9D9"/>
          </w:tcPr>
          <w:p w14:paraId="203F800B" w14:textId="77777777" w:rsidR="00CB7307" w:rsidRPr="00755E06" w:rsidRDefault="00CB7307" w:rsidP="00AF7624">
            <w:pPr>
              <w:jc w:val="center"/>
              <w:rPr>
                <w:rFonts w:eastAsia="Calibri"/>
                <w:b/>
                <w:sz w:val="20"/>
                <w:szCs w:val="20"/>
              </w:rPr>
            </w:pPr>
          </w:p>
        </w:tc>
        <w:tc>
          <w:tcPr>
            <w:tcW w:w="713" w:type="pct"/>
            <w:shd w:val="clear" w:color="auto" w:fill="D9D9D9"/>
            <w:vAlign w:val="bottom"/>
          </w:tcPr>
          <w:p w14:paraId="3F1FF1E6" w14:textId="77777777" w:rsidR="00CB7307" w:rsidRPr="00755E06" w:rsidRDefault="00CB7307" w:rsidP="00AF7624">
            <w:pPr>
              <w:jc w:val="center"/>
              <w:rPr>
                <w:rFonts w:eastAsia="Calibri"/>
                <w:b/>
                <w:sz w:val="20"/>
                <w:szCs w:val="20"/>
              </w:rPr>
            </w:pPr>
            <w:r w:rsidRPr="00755E06">
              <w:rPr>
                <w:rFonts w:eastAsia="Calibri"/>
                <w:b/>
                <w:sz w:val="20"/>
                <w:szCs w:val="20"/>
              </w:rPr>
              <w:t>Number of Respondents</w:t>
            </w:r>
            <w:r w:rsidRPr="00755E06">
              <w:rPr>
                <w:rFonts w:eastAsia="Calibri"/>
                <w:b/>
                <w:sz w:val="20"/>
                <w:szCs w:val="20"/>
              </w:rPr>
              <w:br/>
              <w:t>(1)</w:t>
            </w:r>
          </w:p>
        </w:tc>
        <w:tc>
          <w:tcPr>
            <w:tcW w:w="667" w:type="pct"/>
            <w:shd w:val="clear" w:color="auto" w:fill="D9D9D9"/>
            <w:vAlign w:val="bottom"/>
          </w:tcPr>
          <w:p w14:paraId="478FDE78" w14:textId="77777777" w:rsidR="00CB7307" w:rsidRPr="00755E06" w:rsidRDefault="00CB7307" w:rsidP="00AF7624">
            <w:pPr>
              <w:jc w:val="center"/>
              <w:rPr>
                <w:rFonts w:eastAsia="Calibri"/>
                <w:b/>
                <w:sz w:val="20"/>
                <w:szCs w:val="20"/>
              </w:rPr>
            </w:pPr>
            <w:r w:rsidRPr="00755E06">
              <w:rPr>
                <w:rFonts w:eastAsia="Calibri"/>
                <w:b/>
                <w:sz w:val="20"/>
                <w:szCs w:val="20"/>
              </w:rPr>
              <w:t>Annual Number of Responses per Respondent</w:t>
            </w:r>
          </w:p>
          <w:p w14:paraId="75567A3B" w14:textId="77777777" w:rsidR="00CB7307" w:rsidRPr="00755E06" w:rsidRDefault="00CB7307" w:rsidP="00AF7624">
            <w:pPr>
              <w:jc w:val="center"/>
              <w:rPr>
                <w:rFonts w:eastAsia="Calibri"/>
                <w:b/>
                <w:sz w:val="20"/>
                <w:szCs w:val="20"/>
              </w:rPr>
            </w:pPr>
            <w:r w:rsidRPr="00755E06">
              <w:rPr>
                <w:rFonts w:eastAsia="Calibri"/>
                <w:b/>
                <w:sz w:val="20"/>
                <w:szCs w:val="20"/>
              </w:rPr>
              <w:t>(2)</w:t>
            </w:r>
          </w:p>
        </w:tc>
        <w:tc>
          <w:tcPr>
            <w:tcW w:w="667" w:type="pct"/>
            <w:shd w:val="clear" w:color="auto" w:fill="D9D9D9"/>
            <w:vAlign w:val="bottom"/>
          </w:tcPr>
          <w:p w14:paraId="119C2512" w14:textId="77777777" w:rsidR="00CB7307" w:rsidRPr="00755E06" w:rsidRDefault="00CB7307" w:rsidP="00AF7624">
            <w:pPr>
              <w:jc w:val="center"/>
              <w:rPr>
                <w:rFonts w:eastAsia="Calibri"/>
                <w:b/>
                <w:sz w:val="20"/>
                <w:szCs w:val="20"/>
              </w:rPr>
            </w:pPr>
            <w:r w:rsidRPr="00755E06">
              <w:rPr>
                <w:rFonts w:eastAsia="Calibri"/>
                <w:b/>
                <w:sz w:val="20"/>
                <w:szCs w:val="20"/>
              </w:rPr>
              <w:t>Total Number of Responses (1)*(2)=(3)</w:t>
            </w:r>
          </w:p>
        </w:tc>
        <w:tc>
          <w:tcPr>
            <w:tcW w:w="714" w:type="pct"/>
            <w:shd w:val="clear" w:color="auto" w:fill="D9D9D9"/>
            <w:vAlign w:val="bottom"/>
          </w:tcPr>
          <w:p w14:paraId="2E46CBED" w14:textId="77777777" w:rsidR="00CB7307" w:rsidRPr="00755E06" w:rsidRDefault="00CB7307" w:rsidP="00AF7624">
            <w:pPr>
              <w:jc w:val="center"/>
              <w:rPr>
                <w:rFonts w:eastAsia="Calibri"/>
                <w:b/>
                <w:sz w:val="20"/>
                <w:szCs w:val="20"/>
              </w:rPr>
            </w:pPr>
            <w:r w:rsidRPr="00755E06">
              <w:rPr>
                <w:rFonts w:eastAsia="Calibri"/>
                <w:b/>
                <w:sz w:val="20"/>
                <w:szCs w:val="20"/>
              </w:rPr>
              <w:t>Average Burden &amp; Cost Per Response</w:t>
            </w:r>
            <w:r w:rsidRPr="00755E06">
              <w:rPr>
                <w:rFonts w:eastAsia="Calibri"/>
                <w:b/>
                <w:sz w:val="20"/>
                <w:szCs w:val="20"/>
                <w:vertAlign w:val="superscript"/>
              </w:rPr>
              <w:footnoteReference w:id="32"/>
            </w:r>
          </w:p>
          <w:p w14:paraId="6D0A1943" w14:textId="77777777" w:rsidR="00CB7307" w:rsidRPr="00755E06" w:rsidRDefault="00CB7307" w:rsidP="00AF7624">
            <w:pPr>
              <w:jc w:val="center"/>
              <w:rPr>
                <w:rFonts w:eastAsia="Calibri"/>
                <w:b/>
                <w:sz w:val="20"/>
                <w:szCs w:val="20"/>
              </w:rPr>
            </w:pPr>
            <w:r w:rsidRPr="00755E06">
              <w:rPr>
                <w:rFonts w:eastAsia="Calibri"/>
                <w:b/>
                <w:sz w:val="20"/>
                <w:szCs w:val="20"/>
              </w:rPr>
              <w:t>(4)</w:t>
            </w:r>
          </w:p>
        </w:tc>
        <w:tc>
          <w:tcPr>
            <w:tcW w:w="714" w:type="pct"/>
            <w:shd w:val="clear" w:color="auto" w:fill="D9D9D9"/>
            <w:vAlign w:val="bottom"/>
          </w:tcPr>
          <w:p w14:paraId="37781B32" w14:textId="77777777" w:rsidR="00CB7307" w:rsidRPr="00755E06" w:rsidRDefault="00CB7307" w:rsidP="00AF7624">
            <w:pPr>
              <w:jc w:val="center"/>
              <w:rPr>
                <w:rFonts w:eastAsia="Calibri"/>
                <w:b/>
                <w:sz w:val="20"/>
                <w:szCs w:val="20"/>
              </w:rPr>
            </w:pPr>
            <w:r w:rsidRPr="00755E06">
              <w:rPr>
                <w:rFonts w:eastAsia="Calibri"/>
                <w:b/>
                <w:sz w:val="20"/>
                <w:szCs w:val="20"/>
              </w:rPr>
              <w:t>Total Annual Burden Hours &amp; Total Annual Cost</w:t>
            </w:r>
          </w:p>
          <w:p w14:paraId="15B830BF" w14:textId="77777777" w:rsidR="00CB7307" w:rsidRPr="00755E06" w:rsidRDefault="00CB7307" w:rsidP="00AF7624">
            <w:pPr>
              <w:jc w:val="center"/>
              <w:rPr>
                <w:rFonts w:eastAsia="Calibri"/>
                <w:b/>
                <w:sz w:val="20"/>
                <w:szCs w:val="20"/>
              </w:rPr>
            </w:pPr>
            <w:r w:rsidRPr="00755E06">
              <w:rPr>
                <w:rFonts w:eastAsia="Calibri"/>
                <w:b/>
                <w:sz w:val="20"/>
                <w:szCs w:val="20"/>
              </w:rPr>
              <w:t>(3)*(4)=(5)</w:t>
            </w:r>
          </w:p>
        </w:tc>
        <w:tc>
          <w:tcPr>
            <w:tcW w:w="572" w:type="pct"/>
            <w:shd w:val="clear" w:color="auto" w:fill="D9D9D9"/>
            <w:vAlign w:val="bottom"/>
          </w:tcPr>
          <w:p w14:paraId="5632D239" w14:textId="77777777" w:rsidR="00CB7307" w:rsidRPr="00755E06" w:rsidRDefault="00CB7307" w:rsidP="00AF7624">
            <w:pPr>
              <w:jc w:val="center"/>
              <w:rPr>
                <w:rFonts w:eastAsia="Calibri"/>
                <w:b/>
                <w:sz w:val="20"/>
                <w:szCs w:val="20"/>
              </w:rPr>
            </w:pPr>
            <w:r w:rsidRPr="00755E06">
              <w:rPr>
                <w:rFonts w:eastAsia="Calibri"/>
                <w:b/>
                <w:sz w:val="20"/>
                <w:szCs w:val="20"/>
              </w:rPr>
              <w:t>Cost per Respondent</w:t>
            </w:r>
          </w:p>
          <w:p w14:paraId="76B7AF71" w14:textId="77777777" w:rsidR="00CB7307" w:rsidRPr="00755E06" w:rsidRDefault="00CB7307" w:rsidP="00AF7624">
            <w:pPr>
              <w:jc w:val="center"/>
              <w:rPr>
                <w:rFonts w:eastAsia="Calibri"/>
                <w:b/>
                <w:sz w:val="20"/>
                <w:szCs w:val="20"/>
              </w:rPr>
            </w:pPr>
            <w:r w:rsidRPr="00755E06">
              <w:rPr>
                <w:rFonts w:eastAsia="Calibri"/>
                <w:b/>
                <w:sz w:val="20"/>
                <w:szCs w:val="20"/>
              </w:rPr>
              <w:t xml:space="preserve"> ($)</w:t>
            </w:r>
          </w:p>
          <w:p w14:paraId="7FD280FA" w14:textId="77777777" w:rsidR="00CB7307" w:rsidRPr="00755E06" w:rsidRDefault="00CB7307" w:rsidP="00AF7624">
            <w:pPr>
              <w:jc w:val="center"/>
              <w:rPr>
                <w:rFonts w:eastAsia="Calibri"/>
                <w:b/>
                <w:sz w:val="20"/>
                <w:szCs w:val="20"/>
              </w:rPr>
            </w:pPr>
            <w:r w:rsidRPr="00755E06">
              <w:rPr>
                <w:rFonts w:eastAsia="Calibri"/>
                <w:b/>
                <w:sz w:val="20"/>
                <w:szCs w:val="20"/>
              </w:rPr>
              <w:t>(5)÷(1)</w:t>
            </w:r>
          </w:p>
        </w:tc>
      </w:tr>
      <w:tr w:rsidR="00755E06" w:rsidRPr="00755E06" w14:paraId="4D5AFE03" w14:textId="77777777" w:rsidTr="00AF7624">
        <w:trPr>
          <w:cantSplit/>
        </w:trPr>
        <w:tc>
          <w:tcPr>
            <w:tcW w:w="953" w:type="pct"/>
          </w:tcPr>
          <w:p w14:paraId="3D1E8696" w14:textId="32A15A16" w:rsidR="00CB7307" w:rsidRPr="00755E06" w:rsidRDefault="00CB7307" w:rsidP="00BD748B">
            <w:pPr>
              <w:rPr>
                <w:rFonts w:eastAsia="Calibri"/>
                <w:sz w:val="20"/>
                <w:szCs w:val="20"/>
              </w:rPr>
            </w:pPr>
            <w:r w:rsidRPr="00755E06">
              <w:rPr>
                <w:rFonts w:eastAsia="Calibri"/>
                <w:sz w:val="20"/>
                <w:szCs w:val="20"/>
              </w:rPr>
              <w:t xml:space="preserve">Notifications to TO/GO/DP </w:t>
            </w:r>
            <w:r w:rsidR="00BD748B" w:rsidRPr="00755E06">
              <w:rPr>
                <w:rFonts w:eastAsia="Calibri"/>
                <w:sz w:val="20"/>
                <w:szCs w:val="20"/>
              </w:rPr>
              <w:t>per</w:t>
            </w:r>
            <w:r w:rsidRPr="00755E06">
              <w:rPr>
                <w:rFonts w:eastAsia="Calibri"/>
                <w:sz w:val="20"/>
                <w:szCs w:val="20"/>
              </w:rPr>
              <w:t xml:space="preserve"> Requirement R2</w:t>
            </w:r>
          </w:p>
        </w:tc>
        <w:tc>
          <w:tcPr>
            <w:tcW w:w="713" w:type="pct"/>
          </w:tcPr>
          <w:p w14:paraId="571DEF13" w14:textId="77777777" w:rsidR="00CB7307" w:rsidRPr="00755E06" w:rsidRDefault="00CB7307" w:rsidP="00AF7624">
            <w:pPr>
              <w:jc w:val="right"/>
              <w:rPr>
                <w:rFonts w:eastAsia="Calibri"/>
                <w:sz w:val="20"/>
                <w:szCs w:val="20"/>
              </w:rPr>
            </w:pPr>
            <w:r w:rsidRPr="00755E06">
              <w:rPr>
                <w:rFonts w:eastAsia="Calibri"/>
                <w:sz w:val="20"/>
                <w:szCs w:val="20"/>
              </w:rPr>
              <w:t>659</w:t>
            </w:r>
          </w:p>
          <w:p w14:paraId="326989CA" w14:textId="77777777" w:rsidR="00CB7307" w:rsidRPr="00755E06" w:rsidRDefault="00CB7307" w:rsidP="00AF7624">
            <w:pPr>
              <w:jc w:val="right"/>
              <w:rPr>
                <w:rFonts w:eastAsia="Calibri"/>
                <w:sz w:val="20"/>
                <w:szCs w:val="20"/>
              </w:rPr>
            </w:pPr>
          </w:p>
        </w:tc>
        <w:tc>
          <w:tcPr>
            <w:tcW w:w="667" w:type="pct"/>
          </w:tcPr>
          <w:p w14:paraId="15D7D4B7" w14:textId="77777777" w:rsidR="00CB7307" w:rsidRPr="00755E06" w:rsidRDefault="00CB7307" w:rsidP="00AF7624">
            <w:pPr>
              <w:jc w:val="right"/>
              <w:rPr>
                <w:rFonts w:eastAsia="Calibri"/>
                <w:sz w:val="20"/>
                <w:szCs w:val="20"/>
              </w:rPr>
            </w:pPr>
            <w:r w:rsidRPr="00755E06">
              <w:rPr>
                <w:rFonts w:eastAsia="Calibri"/>
                <w:sz w:val="20"/>
                <w:szCs w:val="20"/>
              </w:rPr>
              <w:t>1</w:t>
            </w:r>
          </w:p>
        </w:tc>
        <w:tc>
          <w:tcPr>
            <w:tcW w:w="667" w:type="pct"/>
          </w:tcPr>
          <w:p w14:paraId="14082B27" w14:textId="77777777" w:rsidR="00CB7307" w:rsidRPr="00755E06" w:rsidRDefault="00CB7307" w:rsidP="00AF7624">
            <w:pPr>
              <w:jc w:val="right"/>
              <w:rPr>
                <w:rFonts w:eastAsia="Calibri"/>
                <w:sz w:val="20"/>
                <w:szCs w:val="20"/>
              </w:rPr>
            </w:pPr>
            <w:r w:rsidRPr="00755E06">
              <w:rPr>
                <w:rFonts w:eastAsia="Calibri"/>
                <w:sz w:val="20"/>
                <w:szCs w:val="20"/>
              </w:rPr>
              <w:t>659</w:t>
            </w:r>
          </w:p>
        </w:tc>
        <w:tc>
          <w:tcPr>
            <w:tcW w:w="714" w:type="pct"/>
          </w:tcPr>
          <w:p w14:paraId="186C3343" w14:textId="77777777" w:rsidR="00CB7307" w:rsidRPr="00755E06" w:rsidRDefault="00CB7307" w:rsidP="00AF7624">
            <w:pPr>
              <w:jc w:val="right"/>
              <w:rPr>
                <w:rFonts w:eastAsia="Calibri"/>
                <w:sz w:val="20"/>
                <w:szCs w:val="20"/>
              </w:rPr>
            </w:pPr>
            <w:r w:rsidRPr="00755E06">
              <w:rPr>
                <w:rFonts w:eastAsia="Calibri"/>
                <w:sz w:val="20"/>
                <w:szCs w:val="20"/>
              </w:rPr>
              <w:t>8</w:t>
            </w:r>
          </w:p>
          <w:p w14:paraId="09F75EBF" w14:textId="77777777" w:rsidR="00CB7307" w:rsidRPr="00755E06" w:rsidRDefault="00CB7307" w:rsidP="00AF7624">
            <w:pPr>
              <w:jc w:val="right"/>
              <w:rPr>
                <w:rFonts w:eastAsia="Calibri"/>
                <w:sz w:val="20"/>
                <w:szCs w:val="20"/>
              </w:rPr>
            </w:pPr>
            <w:r w:rsidRPr="00755E06">
              <w:rPr>
                <w:rFonts w:eastAsia="Calibri"/>
                <w:sz w:val="20"/>
                <w:szCs w:val="20"/>
              </w:rPr>
              <w:t>$584</w:t>
            </w:r>
          </w:p>
        </w:tc>
        <w:tc>
          <w:tcPr>
            <w:tcW w:w="714" w:type="pct"/>
          </w:tcPr>
          <w:p w14:paraId="71FA6AD9" w14:textId="77777777" w:rsidR="00CB7307" w:rsidRPr="00755E06" w:rsidRDefault="00CB7307" w:rsidP="00AF7624">
            <w:pPr>
              <w:jc w:val="right"/>
              <w:rPr>
                <w:rFonts w:eastAsia="Calibri"/>
                <w:sz w:val="20"/>
                <w:szCs w:val="20"/>
              </w:rPr>
            </w:pPr>
            <w:r w:rsidRPr="00755E06">
              <w:rPr>
                <w:rFonts w:eastAsia="Calibri"/>
                <w:sz w:val="20"/>
                <w:szCs w:val="20"/>
              </w:rPr>
              <w:t xml:space="preserve"> 5,272</w:t>
            </w:r>
          </w:p>
          <w:p w14:paraId="2EE20024" w14:textId="77777777" w:rsidR="00CB7307" w:rsidRPr="00755E06" w:rsidRDefault="00CB7307" w:rsidP="00AF7624">
            <w:pPr>
              <w:jc w:val="right"/>
              <w:rPr>
                <w:rFonts w:eastAsia="Calibri"/>
                <w:sz w:val="20"/>
                <w:szCs w:val="20"/>
              </w:rPr>
            </w:pPr>
            <w:r w:rsidRPr="00755E06">
              <w:rPr>
                <w:rFonts w:eastAsia="Calibri"/>
                <w:sz w:val="20"/>
                <w:szCs w:val="20"/>
              </w:rPr>
              <w:t xml:space="preserve">$384,856 </w:t>
            </w:r>
          </w:p>
        </w:tc>
        <w:tc>
          <w:tcPr>
            <w:tcW w:w="572" w:type="pct"/>
          </w:tcPr>
          <w:p w14:paraId="2F2C41EA" w14:textId="77777777" w:rsidR="00CB7307" w:rsidRPr="00755E06" w:rsidRDefault="00CB7307" w:rsidP="00AF7624">
            <w:pPr>
              <w:jc w:val="right"/>
              <w:rPr>
                <w:rFonts w:eastAsia="Calibri"/>
                <w:sz w:val="20"/>
                <w:szCs w:val="20"/>
              </w:rPr>
            </w:pPr>
            <w:r w:rsidRPr="00755E06">
              <w:rPr>
                <w:rFonts w:eastAsia="Calibri"/>
                <w:sz w:val="20"/>
                <w:szCs w:val="20"/>
              </w:rPr>
              <w:t xml:space="preserve">$584 </w:t>
            </w:r>
          </w:p>
          <w:p w14:paraId="4FE989DF" w14:textId="77777777" w:rsidR="00CB7307" w:rsidRPr="00755E06" w:rsidRDefault="00CB7307" w:rsidP="00AF7624">
            <w:pPr>
              <w:jc w:val="right"/>
              <w:rPr>
                <w:rFonts w:eastAsia="Calibri"/>
                <w:sz w:val="20"/>
                <w:szCs w:val="20"/>
              </w:rPr>
            </w:pPr>
          </w:p>
        </w:tc>
      </w:tr>
      <w:tr w:rsidR="00755E06" w:rsidRPr="00755E06" w14:paraId="7F135447" w14:textId="77777777" w:rsidTr="00AF7624">
        <w:trPr>
          <w:cantSplit/>
        </w:trPr>
        <w:tc>
          <w:tcPr>
            <w:tcW w:w="953" w:type="pct"/>
          </w:tcPr>
          <w:p w14:paraId="36CF964D" w14:textId="77777777" w:rsidR="00CB7307" w:rsidRPr="00755E06" w:rsidRDefault="00CB7307" w:rsidP="00AF7624">
            <w:pPr>
              <w:rPr>
                <w:rFonts w:eastAsia="Calibri"/>
                <w:sz w:val="20"/>
                <w:szCs w:val="20"/>
              </w:rPr>
            </w:pPr>
            <w:r w:rsidRPr="00755E06">
              <w:rPr>
                <w:rFonts w:eastAsia="Calibri"/>
                <w:sz w:val="20"/>
                <w:szCs w:val="20"/>
              </w:rPr>
              <w:t>One-time review and adjustment of existing program</w:t>
            </w:r>
          </w:p>
        </w:tc>
        <w:tc>
          <w:tcPr>
            <w:tcW w:w="713" w:type="pct"/>
          </w:tcPr>
          <w:p w14:paraId="54C5E050" w14:textId="77777777" w:rsidR="00CB7307" w:rsidRPr="00755E06" w:rsidRDefault="00CB7307" w:rsidP="00AF7624">
            <w:pPr>
              <w:jc w:val="right"/>
              <w:rPr>
                <w:rFonts w:eastAsia="Calibri"/>
                <w:sz w:val="20"/>
                <w:szCs w:val="20"/>
              </w:rPr>
            </w:pPr>
            <w:r w:rsidRPr="00755E06">
              <w:rPr>
                <w:rFonts w:eastAsia="Calibri"/>
                <w:sz w:val="20"/>
                <w:szCs w:val="20"/>
              </w:rPr>
              <w:t>659</w:t>
            </w:r>
          </w:p>
        </w:tc>
        <w:tc>
          <w:tcPr>
            <w:tcW w:w="667" w:type="pct"/>
          </w:tcPr>
          <w:p w14:paraId="463B3CD2" w14:textId="77777777" w:rsidR="00CB7307" w:rsidRPr="00755E06" w:rsidRDefault="00CB7307" w:rsidP="00AF7624">
            <w:pPr>
              <w:jc w:val="right"/>
              <w:rPr>
                <w:rFonts w:eastAsia="Calibri"/>
                <w:sz w:val="20"/>
                <w:szCs w:val="20"/>
              </w:rPr>
            </w:pPr>
            <w:r w:rsidRPr="00755E06">
              <w:rPr>
                <w:rFonts w:eastAsia="Calibri"/>
                <w:sz w:val="20"/>
                <w:szCs w:val="20"/>
              </w:rPr>
              <w:t>1</w:t>
            </w:r>
          </w:p>
        </w:tc>
        <w:tc>
          <w:tcPr>
            <w:tcW w:w="667" w:type="pct"/>
          </w:tcPr>
          <w:p w14:paraId="6999235F" w14:textId="77777777" w:rsidR="00CB7307" w:rsidRPr="00755E06" w:rsidRDefault="00CB7307" w:rsidP="00AF7624">
            <w:pPr>
              <w:jc w:val="right"/>
              <w:rPr>
                <w:rFonts w:eastAsia="Calibri"/>
                <w:sz w:val="20"/>
                <w:szCs w:val="20"/>
              </w:rPr>
            </w:pPr>
            <w:r w:rsidRPr="00755E06">
              <w:rPr>
                <w:rFonts w:eastAsia="Calibri"/>
                <w:sz w:val="20"/>
                <w:szCs w:val="20"/>
              </w:rPr>
              <w:t>659</w:t>
            </w:r>
          </w:p>
        </w:tc>
        <w:tc>
          <w:tcPr>
            <w:tcW w:w="714" w:type="pct"/>
          </w:tcPr>
          <w:p w14:paraId="32EEE09C" w14:textId="77777777" w:rsidR="00CB7307" w:rsidRPr="00755E06" w:rsidRDefault="00CB7307" w:rsidP="00AF7624">
            <w:pPr>
              <w:jc w:val="right"/>
              <w:rPr>
                <w:rFonts w:eastAsia="Calibri"/>
                <w:sz w:val="20"/>
                <w:szCs w:val="20"/>
              </w:rPr>
            </w:pPr>
            <w:r w:rsidRPr="00755E06">
              <w:rPr>
                <w:rFonts w:eastAsia="Calibri"/>
                <w:sz w:val="20"/>
                <w:szCs w:val="20"/>
              </w:rPr>
              <w:t>2</w:t>
            </w:r>
          </w:p>
          <w:p w14:paraId="112B8622" w14:textId="77777777" w:rsidR="00CB7307" w:rsidRPr="00755E06" w:rsidRDefault="00CB7307" w:rsidP="00AF7624">
            <w:pPr>
              <w:jc w:val="right"/>
              <w:rPr>
                <w:rFonts w:eastAsia="Calibri"/>
                <w:sz w:val="20"/>
                <w:szCs w:val="20"/>
              </w:rPr>
            </w:pPr>
            <w:r w:rsidRPr="00755E06">
              <w:rPr>
                <w:rFonts w:eastAsia="Calibri"/>
                <w:sz w:val="20"/>
                <w:szCs w:val="20"/>
              </w:rPr>
              <w:t>$146</w:t>
            </w:r>
          </w:p>
        </w:tc>
        <w:tc>
          <w:tcPr>
            <w:tcW w:w="714" w:type="pct"/>
          </w:tcPr>
          <w:p w14:paraId="4DC58870" w14:textId="77777777" w:rsidR="00CB7307" w:rsidRPr="00755E06" w:rsidRDefault="00CB7307" w:rsidP="00AF7624">
            <w:pPr>
              <w:jc w:val="right"/>
              <w:rPr>
                <w:rFonts w:eastAsia="Calibri"/>
                <w:sz w:val="20"/>
                <w:szCs w:val="20"/>
              </w:rPr>
            </w:pPr>
            <w:r w:rsidRPr="00755E06">
              <w:rPr>
                <w:rFonts w:eastAsia="Calibri"/>
                <w:sz w:val="20"/>
                <w:szCs w:val="20"/>
              </w:rPr>
              <w:t>1,318</w:t>
            </w:r>
          </w:p>
          <w:p w14:paraId="2E101278" w14:textId="77777777" w:rsidR="00CB7307" w:rsidRPr="00755E06" w:rsidRDefault="00CB7307" w:rsidP="00AF7624">
            <w:pPr>
              <w:jc w:val="right"/>
              <w:rPr>
                <w:rFonts w:eastAsia="Calibri"/>
                <w:sz w:val="20"/>
                <w:szCs w:val="20"/>
              </w:rPr>
            </w:pPr>
            <w:r w:rsidRPr="00755E06">
              <w:rPr>
                <w:rFonts w:eastAsia="Calibri"/>
                <w:sz w:val="20"/>
                <w:szCs w:val="20"/>
              </w:rPr>
              <w:t>$96,214</w:t>
            </w:r>
          </w:p>
        </w:tc>
        <w:tc>
          <w:tcPr>
            <w:tcW w:w="572" w:type="pct"/>
          </w:tcPr>
          <w:p w14:paraId="39A16102" w14:textId="77777777" w:rsidR="00CB7307" w:rsidRPr="00755E06" w:rsidRDefault="00CB7307" w:rsidP="00AF7624">
            <w:pPr>
              <w:jc w:val="right"/>
              <w:rPr>
                <w:rFonts w:eastAsia="Calibri"/>
                <w:sz w:val="20"/>
                <w:szCs w:val="20"/>
              </w:rPr>
            </w:pPr>
            <w:r w:rsidRPr="00755E06">
              <w:rPr>
                <w:rFonts w:eastAsia="Calibri"/>
                <w:sz w:val="20"/>
                <w:szCs w:val="20"/>
              </w:rPr>
              <w:t>$146</w:t>
            </w:r>
          </w:p>
        </w:tc>
      </w:tr>
      <w:tr w:rsidR="00755E06" w:rsidRPr="00755E06" w14:paraId="1C00A2A8" w14:textId="77777777" w:rsidTr="00AF7624">
        <w:trPr>
          <w:cantSplit/>
        </w:trPr>
        <w:tc>
          <w:tcPr>
            <w:tcW w:w="953" w:type="pct"/>
          </w:tcPr>
          <w:p w14:paraId="23951DBB" w14:textId="77777777" w:rsidR="00CB7307" w:rsidRPr="00755E06" w:rsidRDefault="00CB7307" w:rsidP="00AF7624">
            <w:pPr>
              <w:rPr>
                <w:rFonts w:eastAsia="Calibri"/>
                <w:sz w:val="20"/>
                <w:szCs w:val="20"/>
              </w:rPr>
            </w:pPr>
            <w:r w:rsidRPr="00755E06">
              <w:rPr>
                <w:rFonts w:eastAsia="Calibri"/>
                <w:sz w:val="20"/>
                <w:szCs w:val="20"/>
              </w:rPr>
              <w:t>Evidence Retention</w:t>
            </w:r>
          </w:p>
        </w:tc>
        <w:tc>
          <w:tcPr>
            <w:tcW w:w="713" w:type="pct"/>
          </w:tcPr>
          <w:p w14:paraId="2AA2652D" w14:textId="77777777" w:rsidR="00CB7307" w:rsidRPr="00755E06" w:rsidRDefault="00CB7307" w:rsidP="00AF7624">
            <w:pPr>
              <w:jc w:val="right"/>
              <w:rPr>
                <w:rFonts w:eastAsia="Calibri"/>
                <w:sz w:val="20"/>
                <w:szCs w:val="20"/>
              </w:rPr>
            </w:pPr>
            <w:r w:rsidRPr="00755E06">
              <w:rPr>
                <w:rFonts w:eastAsia="Calibri"/>
                <w:sz w:val="20"/>
                <w:szCs w:val="20"/>
              </w:rPr>
              <w:t>659</w:t>
            </w:r>
          </w:p>
        </w:tc>
        <w:tc>
          <w:tcPr>
            <w:tcW w:w="667" w:type="pct"/>
          </w:tcPr>
          <w:p w14:paraId="33104BCF" w14:textId="77777777" w:rsidR="00CB7307" w:rsidRPr="00755E06" w:rsidRDefault="00CB7307" w:rsidP="00AF7624">
            <w:pPr>
              <w:jc w:val="right"/>
              <w:rPr>
                <w:rFonts w:eastAsia="Calibri"/>
                <w:sz w:val="20"/>
                <w:szCs w:val="20"/>
              </w:rPr>
            </w:pPr>
            <w:r w:rsidRPr="00755E06">
              <w:rPr>
                <w:rFonts w:eastAsia="Calibri"/>
                <w:sz w:val="20"/>
                <w:szCs w:val="20"/>
              </w:rPr>
              <w:t>1</w:t>
            </w:r>
          </w:p>
        </w:tc>
        <w:tc>
          <w:tcPr>
            <w:tcW w:w="667" w:type="pct"/>
          </w:tcPr>
          <w:p w14:paraId="13392396" w14:textId="77777777" w:rsidR="00CB7307" w:rsidRPr="00755E06" w:rsidRDefault="00CB7307" w:rsidP="00AF7624">
            <w:pPr>
              <w:jc w:val="right"/>
              <w:rPr>
                <w:rFonts w:eastAsia="Calibri"/>
                <w:sz w:val="20"/>
                <w:szCs w:val="20"/>
              </w:rPr>
            </w:pPr>
            <w:r w:rsidRPr="00755E06">
              <w:rPr>
                <w:rFonts w:eastAsia="Calibri"/>
                <w:sz w:val="20"/>
                <w:szCs w:val="20"/>
              </w:rPr>
              <w:t>659</w:t>
            </w:r>
          </w:p>
        </w:tc>
        <w:tc>
          <w:tcPr>
            <w:tcW w:w="714" w:type="pct"/>
          </w:tcPr>
          <w:p w14:paraId="1216EDBD" w14:textId="77777777" w:rsidR="00CB7307" w:rsidRPr="00755E06" w:rsidRDefault="00CB7307" w:rsidP="00AF7624">
            <w:pPr>
              <w:jc w:val="right"/>
              <w:rPr>
                <w:rFonts w:eastAsia="Calibri"/>
                <w:sz w:val="20"/>
                <w:szCs w:val="20"/>
              </w:rPr>
            </w:pPr>
            <w:r w:rsidRPr="00755E06">
              <w:rPr>
                <w:rFonts w:eastAsia="Calibri"/>
                <w:sz w:val="20"/>
                <w:szCs w:val="20"/>
              </w:rPr>
              <w:t>12</w:t>
            </w:r>
          </w:p>
          <w:p w14:paraId="14AB20A3" w14:textId="77777777" w:rsidR="00CB7307" w:rsidRPr="00755E06" w:rsidRDefault="00CB7307" w:rsidP="00AF7624">
            <w:pPr>
              <w:jc w:val="right"/>
              <w:rPr>
                <w:rFonts w:eastAsia="Calibri"/>
                <w:sz w:val="20"/>
                <w:szCs w:val="20"/>
              </w:rPr>
            </w:pPr>
            <w:r w:rsidRPr="00755E06">
              <w:rPr>
                <w:rFonts w:eastAsia="Calibri"/>
                <w:sz w:val="20"/>
                <w:szCs w:val="20"/>
              </w:rPr>
              <w:t>$384</w:t>
            </w:r>
          </w:p>
        </w:tc>
        <w:tc>
          <w:tcPr>
            <w:tcW w:w="714" w:type="pct"/>
          </w:tcPr>
          <w:p w14:paraId="040FD0CE" w14:textId="77777777" w:rsidR="00CB7307" w:rsidRPr="00755E06" w:rsidRDefault="00CB7307" w:rsidP="00AF7624">
            <w:pPr>
              <w:jc w:val="right"/>
              <w:rPr>
                <w:rFonts w:eastAsia="Calibri"/>
                <w:sz w:val="20"/>
                <w:szCs w:val="20"/>
              </w:rPr>
            </w:pPr>
            <w:r w:rsidRPr="00755E06">
              <w:rPr>
                <w:rFonts w:eastAsia="Calibri"/>
                <w:sz w:val="20"/>
                <w:szCs w:val="20"/>
              </w:rPr>
              <w:t>7,908</w:t>
            </w:r>
          </w:p>
          <w:p w14:paraId="6DCA1C2A" w14:textId="77777777" w:rsidR="00CB7307" w:rsidRPr="00755E06" w:rsidRDefault="00CB7307" w:rsidP="00AF7624">
            <w:pPr>
              <w:jc w:val="right"/>
              <w:rPr>
                <w:rFonts w:eastAsia="Calibri"/>
                <w:sz w:val="20"/>
                <w:szCs w:val="20"/>
              </w:rPr>
            </w:pPr>
            <w:r w:rsidRPr="00755E06">
              <w:rPr>
                <w:rFonts w:eastAsia="Calibri"/>
                <w:sz w:val="20"/>
                <w:szCs w:val="20"/>
              </w:rPr>
              <w:t>$253,056</w:t>
            </w:r>
          </w:p>
        </w:tc>
        <w:tc>
          <w:tcPr>
            <w:tcW w:w="572" w:type="pct"/>
          </w:tcPr>
          <w:p w14:paraId="7DA77356" w14:textId="77777777" w:rsidR="00CB7307" w:rsidRPr="00755E06" w:rsidRDefault="00CB7307" w:rsidP="00AF7624">
            <w:pPr>
              <w:jc w:val="right"/>
              <w:rPr>
                <w:rFonts w:eastAsia="Calibri"/>
                <w:sz w:val="20"/>
                <w:szCs w:val="20"/>
              </w:rPr>
            </w:pPr>
            <w:r w:rsidRPr="00755E06">
              <w:rPr>
                <w:rFonts w:eastAsia="Calibri"/>
                <w:sz w:val="20"/>
                <w:szCs w:val="20"/>
              </w:rPr>
              <w:t>$384</w:t>
            </w:r>
          </w:p>
        </w:tc>
      </w:tr>
      <w:tr w:rsidR="00755E06" w:rsidRPr="00755E06" w14:paraId="511D12B2" w14:textId="77777777" w:rsidTr="00AF7624">
        <w:trPr>
          <w:cantSplit/>
          <w:trHeight w:val="485"/>
        </w:trPr>
        <w:tc>
          <w:tcPr>
            <w:tcW w:w="953" w:type="pct"/>
            <w:tcBorders>
              <w:bottom w:val="single" w:sz="4" w:space="0" w:color="auto"/>
            </w:tcBorders>
          </w:tcPr>
          <w:p w14:paraId="5F6CB69C" w14:textId="77777777" w:rsidR="00CB7307" w:rsidRPr="00755E06" w:rsidRDefault="00CB7307" w:rsidP="00AF7624">
            <w:pPr>
              <w:rPr>
                <w:rFonts w:eastAsia="Calibri"/>
                <w:sz w:val="20"/>
                <w:szCs w:val="20"/>
              </w:rPr>
            </w:pPr>
            <w:r w:rsidRPr="00755E06">
              <w:rPr>
                <w:rFonts w:eastAsia="Calibri"/>
                <w:b/>
                <w:sz w:val="20"/>
                <w:szCs w:val="20"/>
              </w:rPr>
              <w:t>TOTAL</w:t>
            </w:r>
          </w:p>
        </w:tc>
        <w:tc>
          <w:tcPr>
            <w:tcW w:w="713" w:type="pct"/>
            <w:tcBorders>
              <w:bottom w:val="single" w:sz="4" w:space="0" w:color="auto"/>
            </w:tcBorders>
            <w:shd w:val="clear" w:color="auto" w:fill="BFBFBF"/>
          </w:tcPr>
          <w:p w14:paraId="68A6659F" w14:textId="77777777" w:rsidR="00CB7307" w:rsidRPr="00755E06" w:rsidRDefault="00CB7307" w:rsidP="00AF7624">
            <w:pPr>
              <w:jc w:val="right"/>
              <w:rPr>
                <w:rFonts w:eastAsia="Calibri"/>
                <w:sz w:val="20"/>
                <w:szCs w:val="20"/>
              </w:rPr>
            </w:pPr>
          </w:p>
        </w:tc>
        <w:tc>
          <w:tcPr>
            <w:tcW w:w="667" w:type="pct"/>
            <w:tcBorders>
              <w:bottom w:val="single" w:sz="4" w:space="0" w:color="auto"/>
            </w:tcBorders>
            <w:shd w:val="clear" w:color="auto" w:fill="BFBFBF"/>
          </w:tcPr>
          <w:p w14:paraId="529574A1" w14:textId="77777777" w:rsidR="00CB7307" w:rsidRPr="00755E06" w:rsidRDefault="00CB7307" w:rsidP="00AF7624">
            <w:pPr>
              <w:jc w:val="right"/>
              <w:rPr>
                <w:rFonts w:eastAsia="Calibri"/>
                <w:sz w:val="20"/>
                <w:szCs w:val="20"/>
              </w:rPr>
            </w:pPr>
          </w:p>
        </w:tc>
        <w:tc>
          <w:tcPr>
            <w:tcW w:w="667" w:type="pct"/>
            <w:tcBorders>
              <w:bottom w:val="single" w:sz="4" w:space="0" w:color="auto"/>
            </w:tcBorders>
            <w:shd w:val="clear" w:color="auto" w:fill="BFBFBF"/>
          </w:tcPr>
          <w:p w14:paraId="4AA82598" w14:textId="77777777" w:rsidR="00CB7307" w:rsidRPr="00755E06" w:rsidRDefault="00CB7307" w:rsidP="00AF7624">
            <w:pPr>
              <w:jc w:val="right"/>
              <w:rPr>
                <w:rFonts w:eastAsia="Calibri"/>
                <w:sz w:val="20"/>
                <w:szCs w:val="20"/>
              </w:rPr>
            </w:pPr>
          </w:p>
        </w:tc>
        <w:tc>
          <w:tcPr>
            <w:tcW w:w="714" w:type="pct"/>
            <w:tcBorders>
              <w:bottom w:val="single" w:sz="4" w:space="0" w:color="auto"/>
            </w:tcBorders>
          </w:tcPr>
          <w:p w14:paraId="2FB721A5" w14:textId="77777777" w:rsidR="00CB7307" w:rsidRPr="00755E06" w:rsidRDefault="00CB7307" w:rsidP="00AF7624">
            <w:pPr>
              <w:jc w:val="right"/>
              <w:rPr>
                <w:rFonts w:eastAsia="Calibri"/>
                <w:sz w:val="20"/>
                <w:szCs w:val="20"/>
              </w:rPr>
            </w:pPr>
          </w:p>
        </w:tc>
        <w:tc>
          <w:tcPr>
            <w:tcW w:w="714" w:type="pct"/>
            <w:tcBorders>
              <w:bottom w:val="single" w:sz="4" w:space="0" w:color="auto"/>
            </w:tcBorders>
            <w:shd w:val="clear" w:color="auto" w:fill="BFBFBF"/>
          </w:tcPr>
          <w:p w14:paraId="1F928039" w14:textId="77777777" w:rsidR="00CB7307" w:rsidRPr="00755E06" w:rsidRDefault="00CB7307" w:rsidP="00AF7624">
            <w:pPr>
              <w:jc w:val="right"/>
              <w:rPr>
                <w:rFonts w:eastAsia="Calibri"/>
                <w:sz w:val="20"/>
                <w:szCs w:val="20"/>
              </w:rPr>
            </w:pPr>
            <w:r w:rsidRPr="00755E06">
              <w:rPr>
                <w:rFonts w:eastAsia="Calibri"/>
                <w:sz w:val="20"/>
                <w:szCs w:val="20"/>
              </w:rPr>
              <w:t>14,498</w:t>
            </w:r>
          </w:p>
          <w:p w14:paraId="524DD6E9" w14:textId="77777777" w:rsidR="00CB7307" w:rsidRPr="00755E06" w:rsidRDefault="00CB7307" w:rsidP="00AF7624">
            <w:pPr>
              <w:jc w:val="right"/>
              <w:rPr>
                <w:rFonts w:eastAsia="Calibri"/>
                <w:sz w:val="20"/>
                <w:szCs w:val="20"/>
              </w:rPr>
            </w:pPr>
            <w:r w:rsidRPr="00755E06">
              <w:rPr>
                <w:rFonts w:eastAsia="Calibri"/>
                <w:sz w:val="20"/>
                <w:szCs w:val="20"/>
              </w:rPr>
              <w:t>$734,126</w:t>
            </w:r>
          </w:p>
        </w:tc>
        <w:tc>
          <w:tcPr>
            <w:tcW w:w="572" w:type="pct"/>
          </w:tcPr>
          <w:p w14:paraId="0F3A7812" w14:textId="77777777" w:rsidR="00CB7307" w:rsidRPr="00755E06" w:rsidRDefault="00CB7307" w:rsidP="00AF7624">
            <w:pPr>
              <w:jc w:val="right"/>
              <w:rPr>
                <w:rFonts w:eastAsia="Calibri"/>
                <w:sz w:val="20"/>
                <w:szCs w:val="20"/>
              </w:rPr>
            </w:pPr>
            <w:r w:rsidRPr="00755E06">
              <w:rPr>
                <w:rFonts w:eastAsia="Calibri"/>
                <w:sz w:val="20"/>
                <w:szCs w:val="20"/>
              </w:rPr>
              <w:t>$1,114</w:t>
            </w:r>
          </w:p>
        </w:tc>
      </w:tr>
    </w:tbl>
    <w:p w14:paraId="6A071BD6" w14:textId="77777777" w:rsidR="00005C22" w:rsidRPr="00755E06" w:rsidRDefault="00005C22" w:rsidP="00005C22">
      <w:pPr>
        <w:rPr>
          <w:szCs w:val="26"/>
        </w:rPr>
      </w:pPr>
      <w:r w:rsidRPr="00755E06">
        <w:lastRenderedPageBreak/>
        <w:t xml:space="preserve">NERC states that </w:t>
      </w:r>
      <w:r w:rsidRPr="00755E06">
        <w:rPr>
          <w:szCs w:val="26"/>
        </w:rPr>
        <w:t>“moving the periodic reporting of Misoperations from the</w:t>
      </w:r>
    </w:p>
    <w:p w14:paraId="2DC3C9A5" w14:textId="77777777" w:rsidR="00CB7307" w:rsidRDefault="00005C22" w:rsidP="00005C22">
      <w:pPr>
        <w:pStyle w:val="FERCparanumber"/>
        <w:numPr>
          <w:ilvl w:val="0"/>
          <w:numId w:val="0"/>
        </w:numPr>
        <w:rPr>
          <w:szCs w:val="26"/>
        </w:rPr>
      </w:pPr>
      <w:r w:rsidRPr="00755E06">
        <w:rPr>
          <w:szCs w:val="26"/>
        </w:rPr>
        <w:t>standard (PRC-004-2.1) and into a separate data request pursuant to Section 1600 of NERC’s Rules of Procedure will permit NERC’s data analysis to continue separately from compliance with the standard and continue reporting, using a standardized template, for all entities subject to the data request.”</w:t>
      </w:r>
      <w:r w:rsidRPr="00755E06">
        <w:rPr>
          <w:rStyle w:val="FootnoteReference"/>
        </w:rPr>
        <w:footnoteReference w:id="33"/>
      </w:r>
      <w:r w:rsidRPr="00755E06">
        <w:rPr>
          <w:szCs w:val="26"/>
        </w:rPr>
        <w:t xml:space="preserve">  Therefore, registered entities will still conduct the collection.  The burden associated with PRC-004-2.1 will be removed from FERC-725A (1902-0244) and added to FERC-725, as reflected in the table below.  </w:t>
      </w:r>
    </w:p>
    <w:p w14:paraId="740D1554" w14:textId="77777777" w:rsidR="00CE63A0" w:rsidRPr="00755E06" w:rsidRDefault="00CE63A0" w:rsidP="00005C22">
      <w:pPr>
        <w:pStyle w:val="FERCparanumber"/>
        <w:numPr>
          <w:ilvl w:val="0"/>
          <w:numId w:val="0"/>
        </w:numPr>
      </w:pPr>
    </w:p>
    <w:tbl>
      <w:tblPr>
        <w:tblW w:w="49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349"/>
        <w:gridCol w:w="1261"/>
        <w:gridCol w:w="1261"/>
        <w:gridCol w:w="1349"/>
        <w:gridCol w:w="1349"/>
        <w:gridCol w:w="1079"/>
      </w:tblGrid>
      <w:tr w:rsidR="00755E06" w:rsidRPr="00755E06" w14:paraId="007E4145" w14:textId="77777777" w:rsidTr="00C43F88">
        <w:trPr>
          <w:cantSplit/>
        </w:trPr>
        <w:tc>
          <w:tcPr>
            <w:tcW w:w="5000" w:type="pct"/>
            <w:gridSpan w:val="7"/>
            <w:shd w:val="clear" w:color="auto" w:fill="BFBFBF"/>
          </w:tcPr>
          <w:p w14:paraId="4B1B7DCE" w14:textId="7309C206" w:rsidR="00005C22" w:rsidRPr="00755E06" w:rsidRDefault="00005C22" w:rsidP="00C43F88">
            <w:pPr>
              <w:jc w:val="center"/>
              <w:rPr>
                <w:rFonts w:eastAsia="Calibri"/>
                <w:b/>
                <w:sz w:val="24"/>
              </w:rPr>
            </w:pPr>
            <w:r w:rsidRPr="00755E06">
              <w:rPr>
                <w:rFonts w:eastAsia="Calibri"/>
                <w:b/>
                <w:sz w:val="24"/>
              </w:rPr>
              <w:t xml:space="preserve">Documentation of Misoperations Analyses and Corrective Action Plans </w:t>
            </w:r>
            <w:r w:rsidR="00BD748B" w:rsidRPr="00755E06">
              <w:rPr>
                <w:rFonts w:eastAsia="Calibri"/>
                <w:b/>
                <w:sz w:val="24"/>
              </w:rPr>
              <w:t>Per</w:t>
            </w:r>
            <w:r w:rsidRPr="00755E06">
              <w:rPr>
                <w:rFonts w:eastAsia="Calibri"/>
                <w:b/>
                <w:sz w:val="24"/>
              </w:rPr>
              <w:t xml:space="preserve"> PRC-004-2.1</w:t>
            </w:r>
          </w:p>
          <w:p w14:paraId="78B630E2" w14:textId="77777777" w:rsidR="00005C22" w:rsidRPr="00755E06" w:rsidRDefault="00005C22" w:rsidP="00C43F88">
            <w:pPr>
              <w:jc w:val="center"/>
              <w:rPr>
                <w:rFonts w:eastAsia="Calibri"/>
                <w:b/>
                <w:szCs w:val="26"/>
              </w:rPr>
            </w:pPr>
          </w:p>
        </w:tc>
      </w:tr>
      <w:tr w:rsidR="00755E06" w:rsidRPr="00755E06" w14:paraId="7389681A" w14:textId="77777777" w:rsidTr="00C43F88">
        <w:trPr>
          <w:cantSplit/>
        </w:trPr>
        <w:tc>
          <w:tcPr>
            <w:tcW w:w="953" w:type="pct"/>
            <w:shd w:val="clear" w:color="auto" w:fill="BFBFBF"/>
          </w:tcPr>
          <w:p w14:paraId="069AAE97" w14:textId="77777777" w:rsidR="00005C22" w:rsidRPr="00755E06" w:rsidRDefault="00005C22" w:rsidP="00C43F88">
            <w:pPr>
              <w:jc w:val="center"/>
              <w:rPr>
                <w:rFonts w:eastAsia="Calibri"/>
                <w:b/>
                <w:sz w:val="20"/>
                <w:szCs w:val="20"/>
              </w:rPr>
            </w:pPr>
          </w:p>
        </w:tc>
        <w:tc>
          <w:tcPr>
            <w:tcW w:w="714" w:type="pct"/>
            <w:shd w:val="clear" w:color="auto" w:fill="BFBFBF"/>
            <w:vAlign w:val="bottom"/>
          </w:tcPr>
          <w:p w14:paraId="77288502" w14:textId="77777777" w:rsidR="00005C22" w:rsidRPr="00755E06" w:rsidRDefault="00005C22" w:rsidP="00C43F88">
            <w:pPr>
              <w:jc w:val="center"/>
              <w:rPr>
                <w:rFonts w:eastAsia="Calibri"/>
                <w:b/>
                <w:sz w:val="20"/>
                <w:szCs w:val="20"/>
              </w:rPr>
            </w:pPr>
            <w:r w:rsidRPr="00755E06">
              <w:rPr>
                <w:rFonts w:eastAsia="Calibri"/>
                <w:b/>
                <w:sz w:val="20"/>
                <w:szCs w:val="20"/>
              </w:rPr>
              <w:t>Number of Respondents</w:t>
            </w:r>
            <w:r w:rsidRPr="00755E06">
              <w:rPr>
                <w:rFonts w:eastAsia="Calibri"/>
                <w:b/>
                <w:sz w:val="20"/>
                <w:szCs w:val="20"/>
              </w:rPr>
              <w:br/>
              <w:t>(1)</w:t>
            </w:r>
          </w:p>
        </w:tc>
        <w:tc>
          <w:tcPr>
            <w:tcW w:w="667" w:type="pct"/>
            <w:shd w:val="clear" w:color="auto" w:fill="BFBFBF"/>
            <w:vAlign w:val="bottom"/>
          </w:tcPr>
          <w:p w14:paraId="6883A53A" w14:textId="77777777" w:rsidR="00005C22" w:rsidRPr="00755E06" w:rsidRDefault="00005C22" w:rsidP="00C43F88">
            <w:pPr>
              <w:jc w:val="center"/>
              <w:rPr>
                <w:rFonts w:eastAsia="Calibri"/>
                <w:b/>
                <w:sz w:val="20"/>
                <w:szCs w:val="20"/>
              </w:rPr>
            </w:pPr>
            <w:r w:rsidRPr="00755E06">
              <w:rPr>
                <w:rFonts w:eastAsia="Calibri"/>
                <w:b/>
                <w:sz w:val="20"/>
                <w:szCs w:val="20"/>
              </w:rPr>
              <w:t>Annual Number of Responses per Respondent</w:t>
            </w:r>
          </w:p>
          <w:p w14:paraId="1D669AA2" w14:textId="77777777" w:rsidR="00005C22" w:rsidRPr="00755E06" w:rsidRDefault="00005C22" w:rsidP="00C43F88">
            <w:pPr>
              <w:jc w:val="center"/>
              <w:rPr>
                <w:rFonts w:eastAsia="Calibri"/>
                <w:b/>
                <w:sz w:val="20"/>
                <w:szCs w:val="20"/>
              </w:rPr>
            </w:pPr>
            <w:r w:rsidRPr="00755E06">
              <w:rPr>
                <w:rFonts w:eastAsia="Calibri"/>
                <w:b/>
                <w:sz w:val="20"/>
                <w:szCs w:val="20"/>
              </w:rPr>
              <w:t>(2)</w:t>
            </w:r>
          </w:p>
        </w:tc>
        <w:tc>
          <w:tcPr>
            <w:tcW w:w="667" w:type="pct"/>
            <w:shd w:val="clear" w:color="auto" w:fill="BFBFBF"/>
            <w:vAlign w:val="bottom"/>
          </w:tcPr>
          <w:p w14:paraId="0446F64C" w14:textId="77777777" w:rsidR="00005C22" w:rsidRPr="00755E06" w:rsidRDefault="00005C22" w:rsidP="00C43F88">
            <w:pPr>
              <w:jc w:val="center"/>
              <w:rPr>
                <w:rFonts w:eastAsia="Calibri"/>
                <w:b/>
                <w:sz w:val="20"/>
                <w:szCs w:val="20"/>
              </w:rPr>
            </w:pPr>
            <w:r w:rsidRPr="00755E06">
              <w:rPr>
                <w:rFonts w:eastAsia="Calibri"/>
                <w:b/>
                <w:sz w:val="20"/>
                <w:szCs w:val="20"/>
              </w:rPr>
              <w:t>Total Number of Responses (1)*(2)=(3)</w:t>
            </w:r>
          </w:p>
        </w:tc>
        <w:tc>
          <w:tcPr>
            <w:tcW w:w="714" w:type="pct"/>
            <w:shd w:val="clear" w:color="auto" w:fill="BFBFBF"/>
            <w:vAlign w:val="bottom"/>
          </w:tcPr>
          <w:p w14:paraId="316372FD" w14:textId="77777777" w:rsidR="00005C22" w:rsidRPr="00755E06" w:rsidRDefault="00005C22" w:rsidP="00C43F88">
            <w:pPr>
              <w:jc w:val="center"/>
              <w:rPr>
                <w:rFonts w:eastAsia="Calibri"/>
                <w:b/>
                <w:sz w:val="20"/>
                <w:szCs w:val="20"/>
              </w:rPr>
            </w:pPr>
            <w:r w:rsidRPr="00755E06">
              <w:rPr>
                <w:rFonts w:eastAsia="Calibri"/>
                <w:b/>
                <w:sz w:val="20"/>
                <w:szCs w:val="20"/>
              </w:rPr>
              <w:t>Average Burden &amp; Cost Per Response</w:t>
            </w:r>
            <w:r w:rsidRPr="00755E06">
              <w:rPr>
                <w:rFonts w:eastAsia="Calibri"/>
                <w:b/>
                <w:sz w:val="20"/>
                <w:szCs w:val="20"/>
                <w:vertAlign w:val="superscript"/>
              </w:rPr>
              <w:footnoteReference w:id="34"/>
            </w:r>
          </w:p>
          <w:p w14:paraId="4F3F2249" w14:textId="77777777" w:rsidR="00005C22" w:rsidRPr="00755E06" w:rsidRDefault="00005C22" w:rsidP="00C43F88">
            <w:pPr>
              <w:jc w:val="center"/>
              <w:rPr>
                <w:rFonts w:eastAsia="Calibri"/>
                <w:b/>
                <w:sz w:val="20"/>
                <w:szCs w:val="20"/>
              </w:rPr>
            </w:pPr>
            <w:r w:rsidRPr="00755E06">
              <w:rPr>
                <w:rFonts w:eastAsia="Calibri"/>
                <w:b/>
                <w:sz w:val="20"/>
                <w:szCs w:val="20"/>
              </w:rPr>
              <w:t>(4)</w:t>
            </w:r>
          </w:p>
        </w:tc>
        <w:tc>
          <w:tcPr>
            <w:tcW w:w="714" w:type="pct"/>
            <w:shd w:val="clear" w:color="auto" w:fill="BFBFBF"/>
            <w:vAlign w:val="bottom"/>
          </w:tcPr>
          <w:p w14:paraId="44132435" w14:textId="77777777" w:rsidR="00005C22" w:rsidRPr="00755E06" w:rsidRDefault="00005C22" w:rsidP="00C43F88">
            <w:pPr>
              <w:jc w:val="center"/>
              <w:rPr>
                <w:rFonts w:eastAsia="Calibri"/>
                <w:b/>
                <w:sz w:val="20"/>
                <w:szCs w:val="20"/>
              </w:rPr>
            </w:pPr>
            <w:r w:rsidRPr="00755E06">
              <w:rPr>
                <w:rFonts w:eastAsia="Calibri"/>
                <w:b/>
                <w:sz w:val="20"/>
                <w:szCs w:val="20"/>
              </w:rPr>
              <w:t>Total Annual Burden Hours &amp; Total Annual Cost</w:t>
            </w:r>
          </w:p>
          <w:p w14:paraId="2D60EF5B" w14:textId="77777777" w:rsidR="00005C22" w:rsidRPr="00755E06" w:rsidRDefault="00005C22" w:rsidP="00C43F88">
            <w:pPr>
              <w:jc w:val="center"/>
              <w:rPr>
                <w:rFonts w:eastAsia="Calibri"/>
                <w:b/>
                <w:sz w:val="20"/>
                <w:szCs w:val="20"/>
              </w:rPr>
            </w:pPr>
            <w:r w:rsidRPr="00755E06">
              <w:rPr>
                <w:rFonts w:eastAsia="Calibri"/>
                <w:b/>
                <w:sz w:val="20"/>
                <w:szCs w:val="20"/>
              </w:rPr>
              <w:t>(3)*(4)=(5)</w:t>
            </w:r>
          </w:p>
        </w:tc>
        <w:tc>
          <w:tcPr>
            <w:tcW w:w="571" w:type="pct"/>
            <w:shd w:val="clear" w:color="auto" w:fill="BFBFBF"/>
            <w:vAlign w:val="bottom"/>
          </w:tcPr>
          <w:p w14:paraId="7ACB3153" w14:textId="77777777" w:rsidR="00005C22" w:rsidRPr="00755E06" w:rsidRDefault="00005C22" w:rsidP="00C43F88">
            <w:pPr>
              <w:jc w:val="center"/>
              <w:rPr>
                <w:rFonts w:eastAsia="Calibri"/>
                <w:b/>
                <w:sz w:val="20"/>
                <w:szCs w:val="20"/>
              </w:rPr>
            </w:pPr>
            <w:r w:rsidRPr="00755E06">
              <w:rPr>
                <w:rFonts w:eastAsia="Calibri"/>
                <w:b/>
                <w:sz w:val="20"/>
                <w:szCs w:val="20"/>
              </w:rPr>
              <w:t>Cost per Respondent</w:t>
            </w:r>
          </w:p>
          <w:p w14:paraId="603030FD" w14:textId="77777777" w:rsidR="00005C22" w:rsidRPr="00755E06" w:rsidRDefault="00005C22" w:rsidP="00C43F88">
            <w:pPr>
              <w:jc w:val="center"/>
              <w:rPr>
                <w:rFonts w:eastAsia="Calibri"/>
                <w:b/>
                <w:sz w:val="20"/>
                <w:szCs w:val="20"/>
              </w:rPr>
            </w:pPr>
            <w:r w:rsidRPr="00755E06">
              <w:rPr>
                <w:rFonts w:eastAsia="Calibri"/>
                <w:b/>
                <w:sz w:val="20"/>
                <w:szCs w:val="20"/>
              </w:rPr>
              <w:t xml:space="preserve"> ($)</w:t>
            </w:r>
          </w:p>
          <w:p w14:paraId="33D45338" w14:textId="77777777" w:rsidR="00005C22" w:rsidRPr="00755E06" w:rsidRDefault="00005C22" w:rsidP="00C43F88">
            <w:pPr>
              <w:jc w:val="center"/>
              <w:rPr>
                <w:rFonts w:eastAsia="Calibri"/>
                <w:b/>
                <w:sz w:val="20"/>
                <w:szCs w:val="20"/>
              </w:rPr>
            </w:pPr>
            <w:r w:rsidRPr="00755E06">
              <w:rPr>
                <w:rFonts w:eastAsia="Calibri"/>
                <w:b/>
                <w:sz w:val="20"/>
                <w:szCs w:val="20"/>
              </w:rPr>
              <w:t>(5)÷(1)</w:t>
            </w:r>
          </w:p>
        </w:tc>
      </w:tr>
      <w:tr w:rsidR="00755E06" w:rsidRPr="00755E06" w14:paraId="34308A13" w14:textId="77777777" w:rsidTr="00C43F88">
        <w:trPr>
          <w:cantSplit/>
        </w:trPr>
        <w:tc>
          <w:tcPr>
            <w:tcW w:w="953" w:type="pct"/>
          </w:tcPr>
          <w:p w14:paraId="796BA8B3" w14:textId="77777777" w:rsidR="00005C22" w:rsidRPr="00755E06" w:rsidRDefault="00005C22" w:rsidP="00C43F88">
            <w:pPr>
              <w:rPr>
                <w:rFonts w:eastAsia="Calibri"/>
                <w:sz w:val="24"/>
              </w:rPr>
            </w:pPr>
            <w:r w:rsidRPr="00755E06">
              <w:rPr>
                <w:rFonts w:eastAsia="Calibri"/>
                <w:sz w:val="24"/>
              </w:rPr>
              <w:t xml:space="preserve">FERC-725 </w:t>
            </w:r>
          </w:p>
        </w:tc>
        <w:tc>
          <w:tcPr>
            <w:tcW w:w="714" w:type="pct"/>
          </w:tcPr>
          <w:p w14:paraId="3233D397" w14:textId="77777777" w:rsidR="00005C22" w:rsidRPr="00755E06" w:rsidRDefault="00005C22" w:rsidP="00C43F88">
            <w:pPr>
              <w:jc w:val="right"/>
              <w:rPr>
                <w:rFonts w:eastAsia="Calibri"/>
                <w:sz w:val="20"/>
                <w:szCs w:val="20"/>
              </w:rPr>
            </w:pPr>
            <w:r w:rsidRPr="00755E06">
              <w:rPr>
                <w:rFonts w:eastAsia="Calibri"/>
                <w:sz w:val="20"/>
                <w:szCs w:val="20"/>
              </w:rPr>
              <w:t>659</w:t>
            </w:r>
          </w:p>
        </w:tc>
        <w:tc>
          <w:tcPr>
            <w:tcW w:w="667" w:type="pct"/>
          </w:tcPr>
          <w:p w14:paraId="09490560" w14:textId="77777777" w:rsidR="00005C22" w:rsidRPr="00755E06" w:rsidRDefault="00005C22" w:rsidP="00C43F88">
            <w:pPr>
              <w:jc w:val="right"/>
              <w:rPr>
                <w:rFonts w:eastAsia="Calibri"/>
                <w:sz w:val="20"/>
                <w:szCs w:val="20"/>
              </w:rPr>
            </w:pPr>
            <w:r w:rsidRPr="00755E06">
              <w:rPr>
                <w:rFonts w:eastAsia="Calibri"/>
                <w:sz w:val="20"/>
                <w:szCs w:val="20"/>
              </w:rPr>
              <w:t>1</w:t>
            </w:r>
          </w:p>
        </w:tc>
        <w:tc>
          <w:tcPr>
            <w:tcW w:w="667" w:type="pct"/>
          </w:tcPr>
          <w:p w14:paraId="515FEC38" w14:textId="77777777" w:rsidR="00005C22" w:rsidRPr="00755E06" w:rsidRDefault="00005C22" w:rsidP="00C43F88">
            <w:pPr>
              <w:jc w:val="right"/>
              <w:rPr>
                <w:rFonts w:eastAsia="Calibri"/>
                <w:sz w:val="20"/>
                <w:szCs w:val="20"/>
              </w:rPr>
            </w:pPr>
            <w:r w:rsidRPr="00755E06">
              <w:rPr>
                <w:rFonts w:eastAsia="Calibri"/>
                <w:sz w:val="20"/>
                <w:szCs w:val="20"/>
              </w:rPr>
              <w:t>659</w:t>
            </w:r>
          </w:p>
        </w:tc>
        <w:tc>
          <w:tcPr>
            <w:tcW w:w="714" w:type="pct"/>
          </w:tcPr>
          <w:p w14:paraId="67F610F5" w14:textId="77777777" w:rsidR="00005C22" w:rsidRPr="00755E06" w:rsidRDefault="00005C22" w:rsidP="00C43F88">
            <w:pPr>
              <w:jc w:val="right"/>
              <w:rPr>
                <w:rFonts w:eastAsia="Calibri"/>
                <w:sz w:val="20"/>
                <w:szCs w:val="20"/>
              </w:rPr>
            </w:pPr>
            <w:r w:rsidRPr="00755E06">
              <w:rPr>
                <w:rFonts w:eastAsia="Calibri"/>
                <w:sz w:val="20"/>
                <w:szCs w:val="20"/>
              </w:rPr>
              <w:t>96</w:t>
            </w:r>
          </w:p>
          <w:p w14:paraId="65F5876E" w14:textId="77777777" w:rsidR="00005C22" w:rsidRPr="00755E06" w:rsidRDefault="00005C22" w:rsidP="00C43F88">
            <w:pPr>
              <w:jc w:val="right"/>
              <w:rPr>
                <w:rFonts w:eastAsia="Calibri"/>
                <w:sz w:val="20"/>
                <w:szCs w:val="20"/>
              </w:rPr>
            </w:pPr>
            <w:r w:rsidRPr="00755E06">
              <w:rPr>
                <w:rFonts w:eastAsia="Calibri"/>
                <w:sz w:val="20"/>
                <w:szCs w:val="20"/>
              </w:rPr>
              <w:t>$7,008</w:t>
            </w:r>
          </w:p>
        </w:tc>
        <w:tc>
          <w:tcPr>
            <w:tcW w:w="714" w:type="pct"/>
          </w:tcPr>
          <w:p w14:paraId="17596D8A" w14:textId="77777777" w:rsidR="00005C22" w:rsidRPr="00755E06" w:rsidRDefault="00005C22" w:rsidP="00C43F88">
            <w:pPr>
              <w:jc w:val="right"/>
              <w:rPr>
                <w:rFonts w:eastAsia="Calibri"/>
                <w:sz w:val="20"/>
                <w:szCs w:val="20"/>
              </w:rPr>
            </w:pPr>
            <w:r w:rsidRPr="00755E06">
              <w:rPr>
                <w:rFonts w:eastAsia="Calibri"/>
                <w:sz w:val="20"/>
                <w:szCs w:val="20"/>
              </w:rPr>
              <w:t>63,264</w:t>
            </w:r>
          </w:p>
          <w:p w14:paraId="5CCC1428" w14:textId="77777777" w:rsidR="00005C22" w:rsidRPr="00755E06" w:rsidRDefault="00005C22" w:rsidP="00C43F88">
            <w:pPr>
              <w:jc w:val="center"/>
              <w:rPr>
                <w:rFonts w:eastAsia="Calibri"/>
                <w:sz w:val="20"/>
                <w:szCs w:val="20"/>
              </w:rPr>
            </w:pPr>
            <w:r w:rsidRPr="00755E06">
              <w:rPr>
                <w:rFonts w:eastAsia="Calibri"/>
                <w:sz w:val="20"/>
                <w:szCs w:val="20"/>
              </w:rPr>
              <w:t xml:space="preserve">    $4,618,272</w:t>
            </w:r>
          </w:p>
        </w:tc>
        <w:tc>
          <w:tcPr>
            <w:tcW w:w="571" w:type="pct"/>
          </w:tcPr>
          <w:p w14:paraId="1C2E383F" w14:textId="77777777" w:rsidR="00005C22" w:rsidRPr="00755E06" w:rsidRDefault="00005C22" w:rsidP="00C43F88">
            <w:pPr>
              <w:jc w:val="right"/>
              <w:rPr>
                <w:rFonts w:eastAsia="Calibri"/>
                <w:sz w:val="20"/>
                <w:szCs w:val="20"/>
              </w:rPr>
            </w:pPr>
            <w:r w:rsidRPr="00755E06">
              <w:rPr>
                <w:rFonts w:eastAsia="Calibri"/>
                <w:sz w:val="20"/>
                <w:szCs w:val="20"/>
              </w:rPr>
              <w:t>$7,008</w:t>
            </w:r>
          </w:p>
        </w:tc>
      </w:tr>
      <w:tr w:rsidR="00755E06" w:rsidRPr="00755E06" w14:paraId="39EC914A" w14:textId="77777777" w:rsidTr="00C43F88">
        <w:trPr>
          <w:cantSplit/>
        </w:trPr>
        <w:tc>
          <w:tcPr>
            <w:tcW w:w="953" w:type="pct"/>
          </w:tcPr>
          <w:p w14:paraId="452DD5CA" w14:textId="77777777" w:rsidR="00005C22" w:rsidRPr="00755E06" w:rsidRDefault="00005C22" w:rsidP="00C43F88">
            <w:pPr>
              <w:rPr>
                <w:rFonts w:eastAsia="Calibri"/>
                <w:sz w:val="24"/>
              </w:rPr>
            </w:pPr>
            <w:r w:rsidRPr="00755E06">
              <w:rPr>
                <w:rFonts w:eastAsia="Calibri"/>
                <w:sz w:val="24"/>
              </w:rPr>
              <w:t>FERC-725A</w:t>
            </w:r>
          </w:p>
        </w:tc>
        <w:tc>
          <w:tcPr>
            <w:tcW w:w="714" w:type="pct"/>
          </w:tcPr>
          <w:p w14:paraId="0A6F8CE3" w14:textId="77777777" w:rsidR="00005C22" w:rsidRPr="00755E06" w:rsidRDefault="00005C22" w:rsidP="00C43F88">
            <w:pPr>
              <w:jc w:val="right"/>
              <w:rPr>
                <w:rFonts w:eastAsia="Calibri"/>
                <w:sz w:val="20"/>
                <w:szCs w:val="20"/>
              </w:rPr>
            </w:pPr>
            <w:r w:rsidRPr="00755E06">
              <w:rPr>
                <w:rFonts w:eastAsia="Calibri"/>
                <w:sz w:val="20"/>
                <w:szCs w:val="20"/>
              </w:rPr>
              <w:t>-659</w:t>
            </w:r>
          </w:p>
        </w:tc>
        <w:tc>
          <w:tcPr>
            <w:tcW w:w="667" w:type="pct"/>
          </w:tcPr>
          <w:p w14:paraId="747CA685" w14:textId="77777777" w:rsidR="00005C22" w:rsidRPr="00755E06" w:rsidRDefault="00005C22" w:rsidP="00C43F88">
            <w:pPr>
              <w:jc w:val="right"/>
              <w:rPr>
                <w:rFonts w:eastAsia="Calibri"/>
                <w:sz w:val="20"/>
                <w:szCs w:val="20"/>
              </w:rPr>
            </w:pPr>
            <w:r w:rsidRPr="00755E06">
              <w:rPr>
                <w:rFonts w:eastAsia="Calibri"/>
                <w:sz w:val="20"/>
                <w:szCs w:val="20"/>
              </w:rPr>
              <w:t>-1</w:t>
            </w:r>
          </w:p>
        </w:tc>
        <w:tc>
          <w:tcPr>
            <w:tcW w:w="667" w:type="pct"/>
          </w:tcPr>
          <w:p w14:paraId="6D0D3626" w14:textId="77777777" w:rsidR="00005C22" w:rsidRPr="00755E06" w:rsidRDefault="00005C22" w:rsidP="00C43F88">
            <w:pPr>
              <w:jc w:val="right"/>
              <w:rPr>
                <w:rFonts w:eastAsia="Calibri"/>
                <w:sz w:val="20"/>
                <w:szCs w:val="20"/>
              </w:rPr>
            </w:pPr>
            <w:r w:rsidRPr="00755E06">
              <w:rPr>
                <w:rFonts w:eastAsia="Calibri"/>
                <w:sz w:val="20"/>
                <w:szCs w:val="20"/>
              </w:rPr>
              <w:t>-659</w:t>
            </w:r>
          </w:p>
        </w:tc>
        <w:tc>
          <w:tcPr>
            <w:tcW w:w="714" w:type="pct"/>
          </w:tcPr>
          <w:p w14:paraId="2EE33722" w14:textId="77777777" w:rsidR="00005C22" w:rsidRPr="00755E06" w:rsidRDefault="00005C22" w:rsidP="00C43F88">
            <w:pPr>
              <w:jc w:val="right"/>
              <w:rPr>
                <w:rFonts w:eastAsia="Calibri"/>
                <w:sz w:val="20"/>
                <w:szCs w:val="20"/>
              </w:rPr>
            </w:pPr>
            <w:r w:rsidRPr="00755E06">
              <w:rPr>
                <w:rFonts w:eastAsia="Calibri"/>
                <w:sz w:val="20"/>
                <w:szCs w:val="20"/>
              </w:rPr>
              <w:t>-96</w:t>
            </w:r>
          </w:p>
          <w:p w14:paraId="5DC6D968" w14:textId="77777777" w:rsidR="00005C22" w:rsidRPr="00755E06" w:rsidRDefault="00005C22" w:rsidP="00C43F88">
            <w:pPr>
              <w:jc w:val="right"/>
              <w:rPr>
                <w:rFonts w:eastAsia="Calibri"/>
                <w:sz w:val="20"/>
                <w:szCs w:val="20"/>
              </w:rPr>
            </w:pPr>
            <w:r w:rsidRPr="00755E06">
              <w:rPr>
                <w:rFonts w:eastAsia="Calibri"/>
                <w:sz w:val="20"/>
                <w:szCs w:val="20"/>
              </w:rPr>
              <w:t>-$7,008</w:t>
            </w:r>
          </w:p>
        </w:tc>
        <w:tc>
          <w:tcPr>
            <w:tcW w:w="714" w:type="pct"/>
          </w:tcPr>
          <w:p w14:paraId="308F649E" w14:textId="77777777" w:rsidR="00005C22" w:rsidRPr="00755E06" w:rsidRDefault="00005C22" w:rsidP="00C43F88">
            <w:pPr>
              <w:jc w:val="right"/>
              <w:rPr>
                <w:rFonts w:eastAsia="Calibri"/>
                <w:sz w:val="20"/>
                <w:szCs w:val="20"/>
              </w:rPr>
            </w:pPr>
            <w:r w:rsidRPr="00755E06">
              <w:rPr>
                <w:rFonts w:eastAsia="Calibri"/>
                <w:sz w:val="20"/>
                <w:szCs w:val="20"/>
              </w:rPr>
              <w:t>-63,264</w:t>
            </w:r>
          </w:p>
          <w:p w14:paraId="0813C237" w14:textId="77777777" w:rsidR="00005C22" w:rsidRPr="00755E06" w:rsidRDefault="00005C22" w:rsidP="00C43F88">
            <w:pPr>
              <w:jc w:val="center"/>
              <w:rPr>
                <w:rFonts w:eastAsia="Calibri"/>
                <w:sz w:val="20"/>
                <w:szCs w:val="20"/>
              </w:rPr>
            </w:pPr>
            <w:r w:rsidRPr="00755E06">
              <w:rPr>
                <w:rFonts w:eastAsia="Calibri"/>
                <w:sz w:val="20"/>
                <w:szCs w:val="20"/>
              </w:rPr>
              <w:t xml:space="preserve">  - $4,618,272</w:t>
            </w:r>
          </w:p>
        </w:tc>
        <w:tc>
          <w:tcPr>
            <w:tcW w:w="571" w:type="pct"/>
          </w:tcPr>
          <w:p w14:paraId="790E7006" w14:textId="77777777" w:rsidR="00005C22" w:rsidRPr="00755E06" w:rsidRDefault="00005C22" w:rsidP="00C43F88">
            <w:pPr>
              <w:jc w:val="right"/>
              <w:rPr>
                <w:rFonts w:eastAsia="Calibri"/>
                <w:sz w:val="20"/>
                <w:szCs w:val="20"/>
              </w:rPr>
            </w:pPr>
            <w:r w:rsidRPr="00755E06">
              <w:rPr>
                <w:rFonts w:eastAsia="Calibri"/>
                <w:sz w:val="20"/>
                <w:szCs w:val="20"/>
              </w:rPr>
              <w:t>-$7,008</w:t>
            </w:r>
          </w:p>
        </w:tc>
      </w:tr>
      <w:tr w:rsidR="00755E06" w:rsidRPr="00755E06" w14:paraId="732CAABA" w14:textId="77777777" w:rsidTr="00C43F88">
        <w:trPr>
          <w:cantSplit/>
        </w:trPr>
        <w:tc>
          <w:tcPr>
            <w:tcW w:w="953" w:type="pct"/>
          </w:tcPr>
          <w:p w14:paraId="438E8825" w14:textId="77777777" w:rsidR="00005C22" w:rsidRPr="00755E06" w:rsidRDefault="00005C22" w:rsidP="00C43F88">
            <w:pPr>
              <w:rPr>
                <w:rFonts w:eastAsia="Calibri"/>
                <w:sz w:val="20"/>
                <w:szCs w:val="20"/>
              </w:rPr>
            </w:pPr>
            <w:r w:rsidRPr="00755E06">
              <w:rPr>
                <w:rFonts w:eastAsia="Calibri"/>
                <w:sz w:val="20"/>
                <w:szCs w:val="20"/>
              </w:rPr>
              <w:t>Total Net Change</w:t>
            </w:r>
          </w:p>
        </w:tc>
        <w:tc>
          <w:tcPr>
            <w:tcW w:w="714" w:type="pct"/>
          </w:tcPr>
          <w:p w14:paraId="4E09B920" w14:textId="77777777" w:rsidR="00005C22" w:rsidRPr="00755E06" w:rsidRDefault="00005C22" w:rsidP="00C43F88">
            <w:pPr>
              <w:jc w:val="right"/>
              <w:rPr>
                <w:rFonts w:eastAsia="Calibri"/>
                <w:sz w:val="20"/>
                <w:szCs w:val="20"/>
              </w:rPr>
            </w:pPr>
            <w:r w:rsidRPr="00755E06">
              <w:rPr>
                <w:rFonts w:eastAsia="Calibri"/>
                <w:sz w:val="20"/>
                <w:szCs w:val="20"/>
              </w:rPr>
              <w:t>0</w:t>
            </w:r>
          </w:p>
        </w:tc>
        <w:tc>
          <w:tcPr>
            <w:tcW w:w="667" w:type="pct"/>
          </w:tcPr>
          <w:p w14:paraId="660FD79D" w14:textId="77777777" w:rsidR="00005C22" w:rsidRPr="00755E06" w:rsidRDefault="00005C22" w:rsidP="00C43F88">
            <w:pPr>
              <w:jc w:val="right"/>
              <w:rPr>
                <w:rFonts w:eastAsia="Calibri"/>
                <w:sz w:val="20"/>
                <w:szCs w:val="20"/>
              </w:rPr>
            </w:pPr>
            <w:r w:rsidRPr="00755E06">
              <w:rPr>
                <w:rFonts w:eastAsia="Calibri"/>
                <w:sz w:val="20"/>
                <w:szCs w:val="20"/>
              </w:rPr>
              <w:t>0</w:t>
            </w:r>
          </w:p>
        </w:tc>
        <w:tc>
          <w:tcPr>
            <w:tcW w:w="667" w:type="pct"/>
          </w:tcPr>
          <w:p w14:paraId="08CF9DD2" w14:textId="77777777" w:rsidR="00005C22" w:rsidRPr="00755E06" w:rsidRDefault="00005C22" w:rsidP="00C43F88">
            <w:pPr>
              <w:jc w:val="right"/>
              <w:rPr>
                <w:rFonts w:eastAsia="Calibri"/>
                <w:sz w:val="20"/>
                <w:szCs w:val="20"/>
              </w:rPr>
            </w:pPr>
            <w:r w:rsidRPr="00755E06">
              <w:rPr>
                <w:rFonts w:eastAsia="Calibri"/>
                <w:sz w:val="20"/>
                <w:szCs w:val="20"/>
              </w:rPr>
              <w:t>0</w:t>
            </w:r>
          </w:p>
        </w:tc>
        <w:tc>
          <w:tcPr>
            <w:tcW w:w="714" w:type="pct"/>
          </w:tcPr>
          <w:p w14:paraId="1FE63777" w14:textId="77777777" w:rsidR="00005C22" w:rsidRPr="00755E06" w:rsidRDefault="00005C22" w:rsidP="00C43F88">
            <w:pPr>
              <w:jc w:val="right"/>
              <w:rPr>
                <w:rFonts w:eastAsia="Calibri"/>
                <w:sz w:val="20"/>
                <w:szCs w:val="20"/>
              </w:rPr>
            </w:pPr>
            <w:r w:rsidRPr="00755E06">
              <w:rPr>
                <w:rFonts w:eastAsia="Calibri"/>
                <w:sz w:val="20"/>
                <w:szCs w:val="20"/>
              </w:rPr>
              <w:t>0</w:t>
            </w:r>
          </w:p>
        </w:tc>
        <w:tc>
          <w:tcPr>
            <w:tcW w:w="714" w:type="pct"/>
          </w:tcPr>
          <w:p w14:paraId="5DEA9038" w14:textId="77777777" w:rsidR="00005C22" w:rsidRPr="00755E06" w:rsidRDefault="00005C22" w:rsidP="00C43F88">
            <w:pPr>
              <w:jc w:val="right"/>
              <w:rPr>
                <w:rFonts w:eastAsia="Calibri"/>
                <w:sz w:val="20"/>
                <w:szCs w:val="20"/>
              </w:rPr>
            </w:pPr>
            <w:r w:rsidRPr="00755E06">
              <w:rPr>
                <w:rFonts w:eastAsia="Calibri"/>
                <w:sz w:val="20"/>
                <w:szCs w:val="20"/>
              </w:rPr>
              <w:t>0</w:t>
            </w:r>
          </w:p>
        </w:tc>
        <w:tc>
          <w:tcPr>
            <w:tcW w:w="571" w:type="pct"/>
          </w:tcPr>
          <w:p w14:paraId="0AAB92D5" w14:textId="77777777" w:rsidR="00005C22" w:rsidRPr="00755E06" w:rsidRDefault="00005C22" w:rsidP="00C43F88">
            <w:pPr>
              <w:jc w:val="right"/>
              <w:rPr>
                <w:rFonts w:eastAsia="Calibri"/>
                <w:sz w:val="20"/>
                <w:szCs w:val="20"/>
              </w:rPr>
            </w:pPr>
            <w:r w:rsidRPr="00755E06">
              <w:rPr>
                <w:rFonts w:eastAsia="Calibri"/>
                <w:sz w:val="20"/>
                <w:szCs w:val="20"/>
              </w:rPr>
              <w:t>0</w:t>
            </w:r>
          </w:p>
        </w:tc>
      </w:tr>
    </w:tbl>
    <w:p w14:paraId="139E8800" w14:textId="77777777" w:rsidR="00005C22" w:rsidRPr="00755E06" w:rsidRDefault="00005C22" w:rsidP="00CB7307">
      <w:pPr>
        <w:pStyle w:val="FERCparanumber"/>
        <w:numPr>
          <w:ilvl w:val="0"/>
          <w:numId w:val="0"/>
        </w:numPr>
        <w:ind w:firstLine="720"/>
      </w:pPr>
    </w:p>
    <w:p w14:paraId="43D4272A" w14:textId="77777777" w:rsidR="00CB7307" w:rsidRPr="00755E06" w:rsidRDefault="00CB7307" w:rsidP="00CB7307">
      <w:pPr>
        <w:rPr>
          <w:szCs w:val="26"/>
        </w:rPr>
      </w:pPr>
      <w:r w:rsidRPr="00755E06">
        <w:rPr>
          <w:szCs w:val="26"/>
          <w:u w:val="single"/>
        </w:rPr>
        <w:t>Title</w:t>
      </w:r>
      <w:r w:rsidRPr="00755E06">
        <w:rPr>
          <w:szCs w:val="26"/>
        </w:rPr>
        <w:t xml:space="preserve">:  </w:t>
      </w:r>
      <w:r w:rsidR="0086317B" w:rsidRPr="00755E06">
        <w:rPr>
          <w:szCs w:val="26"/>
        </w:rPr>
        <w:t>Certification of the</w:t>
      </w:r>
      <w:r w:rsidRPr="00755E06">
        <w:rPr>
          <w:szCs w:val="26"/>
        </w:rPr>
        <w:t xml:space="preserve"> Electric Reliability Organization and Procedures for the Establishment, Approval and Enforcement of Electric Reliability Standards; Mandatory Reliability Standards for the Bulk-Power System: Reliability Standard PRC-004-3</w:t>
      </w:r>
    </w:p>
    <w:p w14:paraId="3CEF54D1" w14:textId="77777777" w:rsidR="00CB7307" w:rsidRPr="00755E06" w:rsidRDefault="00CB7307" w:rsidP="00CB7307">
      <w:pPr>
        <w:rPr>
          <w:szCs w:val="26"/>
          <w:shd w:val="clear" w:color="auto" w:fill="FFFF00"/>
        </w:rPr>
      </w:pPr>
    </w:p>
    <w:p w14:paraId="4495B89B" w14:textId="77777777" w:rsidR="00CB7307" w:rsidRPr="00755E06" w:rsidRDefault="00CB7307" w:rsidP="00CB7307">
      <w:pPr>
        <w:rPr>
          <w:szCs w:val="26"/>
        </w:rPr>
      </w:pPr>
      <w:r w:rsidRPr="00755E06">
        <w:rPr>
          <w:szCs w:val="26"/>
          <w:u w:val="single"/>
        </w:rPr>
        <w:t>Action</w:t>
      </w:r>
      <w:r w:rsidRPr="00755E06">
        <w:rPr>
          <w:szCs w:val="26"/>
        </w:rPr>
        <w:t>:  Proposed revisions FERC-725; proposed new collection FERC-725G1</w:t>
      </w:r>
    </w:p>
    <w:p w14:paraId="7DD010DC" w14:textId="36595BC6" w:rsidR="00CB7307" w:rsidRPr="00755E06" w:rsidRDefault="00CB7307" w:rsidP="00A03D2A">
      <w:pPr>
        <w:rPr>
          <w:szCs w:val="26"/>
        </w:rPr>
      </w:pPr>
      <w:r w:rsidRPr="00755E06">
        <w:rPr>
          <w:szCs w:val="26"/>
          <w:u w:val="single"/>
        </w:rPr>
        <w:t>OMB Control No</w:t>
      </w:r>
      <w:r w:rsidRPr="00755E06">
        <w:rPr>
          <w:szCs w:val="26"/>
        </w:rPr>
        <w:t>:  FERC-725 (1902-0269), FERC-725G1 (OMB Control No to be determined)</w:t>
      </w:r>
    </w:p>
    <w:p w14:paraId="3223C25B" w14:textId="77777777" w:rsidR="00CB7307" w:rsidRPr="00755E06" w:rsidRDefault="00CB7307" w:rsidP="00CB7307">
      <w:pPr>
        <w:rPr>
          <w:szCs w:val="26"/>
        </w:rPr>
      </w:pPr>
    </w:p>
    <w:p w14:paraId="20E3EF68" w14:textId="77777777" w:rsidR="00CB7307" w:rsidRPr="00755E06" w:rsidRDefault="00CB7307" w:rsidP="00CB7307">
      <w:pPr>
        <w:rPr>
          <w:szCs w:val="26"/>
        </w:rPr>
      </w:pPr>
      <w:r w:rsidRPr="00755E06">
        <w:rPr>
          <w:szCs w:val="26"/>
          <w:u w:val="single"/>
        </w:rPr>
        <w:lastRenderedPageBreak/>
        <w:t>Respondents</w:t>
      </w:r>
      <w:r w:rsidRPr="00755E06">
        <w:rPr>
          <w:szCs w:val="26"/>
        </w:rPr>
        <w:t>:  Businesses or other for-profit institutions; not-for-profit institutions.</w:t>
      </w:r>
    </w:p>
    <w:p w14:paraId="63643428" w14:textId="77777777" w:rsidR="00CB7307" w:rsidRPr="00755E06" w:rsidRDefault="00CB7307" w:rsidP="00CB7307">
      <w:pPr>
        <w:rPr>
          <w:szCs w:val="26"/>
        </w:rPr>
      </w:pPr>
    </w:p>
    <w:p w14:paraId="1631D865" w14:textId="77777777" w:rsidR="00CB7307" w:rsidRPr="00755E06" w:rsidRDefault="00CB7307" w:rsidP="00CB7307">
      <w:pPr>
        <w:rPr>
          <w:szCs w:val="26"/>
        </w:rPr>
      </w:pPr>
      <w:r w:rsidRPr="00755E06">
        <w:rPr>
          <w:szCs w:val="26"/>
          <w:u w:val="single"/>
        </w:rPr>
        <w:t>Frequency of Responses</w:t>
      </w:r>
      <w:r w:rsidRPr="00755E06">
        <w:rPr>
          <w:szCs w:val="26"/>
        </w:rPr>
        <w:t>:  Occasional.</w:t>
      </w:r>
    </w:p>
    <w:p w14:paraId="114769D2" w14:textId="77777777" w:rsidR="00CB7307" w:rsidRPr="00755E06" w:rsidRDefault="00CB7307" w:rsidP="00CB7307">
      <w:pPr>
        <w:rPr>
          <w:szCs w:val="26"/>
          <w:u w:val="single"/>
        </w:rPr>
      </w:pPr>
    </w:p>
    <w:p w14:paraId="7BB34992" w14:textId="77777777" w:rsidR="00CB7307" w:rsidRPr="00755E06" w:rsidRDefault="00CB7307" w:rsidP="00CB7307">
      <w:pPr>
        <w:rPr>
          <w:szCs w:val="26"/>
        </w:rPr>
      </w:pPr>
      <w:r w:rsidRPr="00755E06">
        <w:rPr>
          <w:szCs w:val="26"/>
          <w:u w:val="single"/>
        </w:rPr>
        <w:t>Necessity of the Information</w:t>
      </w:r>
      <w:r w:rsidRPr="00755E06">
        <w:rPr>
          <w:szCs w:val="26"/>
        </w:rPr>
        <w:t>:  Reliability Standard PRC-004-3 provides improvements over the currently-effective PRC-004-2.1a, including clearer requirements that establish what is required of the applicable entities and timeframes for the reliability objectives to be completed.</w:t>
      </w:r>
    </w:p>
    <w:p w14:paraId="79013EBA" w14:textId="6F129571" w:rsidR="00195E04" w:rsidRPr="00195E04" w:rsidRDefault="00CB7307" w:rsidP="00195E04">
      <w:pPr>
        <w:pStyle w:val="FERCparanumber"/>
        <w:spacing w:before="100"/>
        <w:rPr>
          <w:b/>
          <w:szCs w:val="26"/>
        </w:rPr>
      </w:pPr>
      <w:r w:rsidRPr="00755E06">
        <w:t>Interested persons may obtain information on the reporting requirements by contacting:  Federal Energy Regulatory Commission, 888 First Street, NE, Washington, DC  20426 [Attention:  Ellen Brown, Office of the Executive Director, e-mail:  DataClearance@ferc.gov, Phone:  (202) 502-8663, fax:  (202) 273-0873].</w:t>
      </w:r>
    </w:p>
    <w:p w14:paraId="36FBF32F" w14:textId="34B82E78" w:rsidR="00195E04" w:rsidRDefault="00195E04">
      <w:pPr>
        <w:pStyle w:val="FERCparanumber"/>
        <w:keepNext/>
        <w:numPr>
          <w:ilvl w:val="0"/>
          <w:numId w:val="0"/>
        </w:numPr>
        <w:spacing w:before="100" w:beforeAutospacing="1" w:after="100" w:afterAutospacing="1"/>
      </w:pPr>
      <w:r w:rsidRPr="00E4418C">
        <w:rPr>
          <w:b/>
        </w:rPr>
        <w:t>VI.</w:t>
      </w:r>
      <w:r w:rsidRPr="00E4418C">
        <w:tab/>
      </w:r>
      <w:r w:rsidRPr="00195E04">
        <w:rPr>
          <w:b/>
          <w:u w:val="single"/>
        </w:rPr>
        <w:t>Effective Date</w:t>
      </w:r>
    </w:p>
    <w:p w14:paraId="26CD9FCC" w14:textId="56121A7E" w:rsidR="00195E04" w:rsidRPr="00195E04" w:rsidRDefault="00195E04" w:rsidP="00195E04">
      <w:pPr>
        <w:pStyle w:val="FERCparanumber"/>
      </w:pPr>
      <w:r>
        <w:t xml:space="preserve">This order will become effective upon issuance.  </w:t>
      </w:r>
    </w:p>
    <w:p w14:paraId="7DF42B11" w14:textId="77777777" w:rsidR="00C824F7" w:rsidRPr="00755E06" w:rsidRDefault="00C824F7">
      <w:pPr>
        <w:pStyle w:val="FERCparanumber"/>
        <w:keepNext/>
        <w:numPr>
          <w:ilvl w:val="0"/>
          <w:numId w:val="0"/>
        </w:numPr>
        <w:spacing w:before="100" w:beforeAutospacing="1" w:after="100" w:afterAutospacing="1"/>
      </w:pPr>
      <w:r w:rsidRPr="00755E06">
        <w:rPr>
          <w:u w:val="single"/>
        </w:rPr>
        <w:t>The Commission orders</w:t>
      </w:r>
      <w:r w:rsidRPr="00755E06">
        <w:t xml:space="preserve">: </w:t>
      </w:r>
    </w:p>
    <w:p w14:paraId="296D438F" w14:textId="576D5605" w:rsidR="00E619C2" w:rsidRPr="00755E06" w:rsidRDefault="00C824F7">
      <w:pPr>
        <w:pStyle w:val="FERCparanumber"/>
        <w:numPr>
          <w:ilvl w:val="0"/>
          <w:numId w:val="0"/>
        </w:numPr>
        <w:spacing w:before="100" w:beforeAutospacing="1" w:after="100" w:afterAutospacing="1"/>
        <w:ind w:firstLine="780"/>
      </w:pPr>
      <w:r w:rsidRPr="00755E06">
        <w:t>(A)</w:t>
      </w:r>
      <w:r w:rsidRPr="00755E06">
        <w:tab/>
        <w:t xml:space="preserve">Reliability Standard PRC-004-3 </w:t>
      </w:r>
      <w:r w:rsidR="007F0C4C">
        <w:t xml:space="preserve">is </w:t>
      </w:r>
      <w:r w:rsidRPr="00755E06">
        <w:t>hereby approved as just, reasonable, not unduly discriminatory, and in the public interest</w:t>
      </w:r>
      <w:r w:rsidR="00853839" w:rsidRPr="00755E06">
        <w:t>, as discussed in the body of this order</w:t>
      </w:r>
      <w:r w:rsidRPr="00755E06">
        <w:t xml:space="preserve">. </w:t>
      </w:r>
      <w:r w:rsidR="00E619C2" w:rsidRPr="00755E06">
        <w:t xml:space="preserve"> </w:t>
      </w:r>
    </w:p>
    <w:p w14:paraId="7316D435" w14:textId="5C320E55" w:rsidR="0039136F" w:rsidRDefault="0039136F" w:rsidP="0039136F">
      <w:pPr>
        <w:pStyle w:val="FERCparanumber"/>
        <w:numPr>
          <w:ilvl w:val="0"/>
          <w:numId w:val="0"/>
        </w:numPr>
        <w:tabs>
          <w:tab w:val="left" w:pos="720"/>
        </w:tabs>
      </w:pPr>
      <w:r>
        <w:tab/>
      </w:r>
      <w:r w:rsidR="00E619C2" w:rsidRPr="00755E06">
        <w:t>(</w:t>
      </w:r>
      <w:r w:rsidR="004D58E4" w:rsidRPr="00755E06">
        <w:t>B</w:t>
      </w:r>
      <w:r w:rsidR="00E619C2" w:rsidRPr="00755E06">
        <w:t>)</w:t>
      </w:r>
      <w:r w:rsidR="00E619C2" w:rsidRPr="00755E06">
        <w:tab/>
      </w:r>
      <w:r>
        <w:t>The revisions to NERC’s Glossary of Terms</w:t>
      </w:r>
      <w:r w:rsidR="006573F3">
        <w:t>,</w:t>
      </w:r>
      <w:r>
        <w:t xml:space="preserve"> </w:t>
      </w:r>
      <w:r w:rsidR="00E14D23">
        <w:t xml:space="preserve">the proposed </w:t>
      </w:r>
      <w:r>
        <w:t xml:space="preserve">implementation plan and the proposed </w:t>
      </w:r>
      <w:r w:rsidR="00735E04">
        <w:t>V</w:t>
      </w:r>
      <w:r>
        <w:t xml:space="preserve">iolation </w:t>
      </w:r>
      <w:r w:rsidR="00735E04">
        <w:t>Severity Level</w:t>
      </w:r>
      <w:r>
        <w:t>s</w:t>
      </w:r>
      <w:r w:rsidR="006573F3" w:rsidRPr="006573F3">
        <w:t xml:space="preserve"> </w:t>
      </w:r>
      <w:r w:rsidR="00AC4C70">
        <w:t xml:space="preserve">for Reliability Standard PRC-004-3 </w:t>
      </w:r>
      <w:r w:rsidR="006573F3">
        <w:t>are hereby approved, as discussed in the body of this order</w:t>
      </w:r>
      <w:r>
        <w:t xml:space="preserve">. </w:t>
      </w:r>
    </w:p>
    <w:p w14:paraId="05F3E3CB" w14:textId="7876988B" w:rsidR="00E66B16" w:rsidRDefault="0039136F" w:rsidP="00E66B16">
      <w:pPr>
        <w:pStyle w:val="FERCparanumber"/>
        <w:numPr>
          <w:ilvl w:val="0"/>
          <w:numId w:val="0"/>
        </w:numPr>
        <w:spacing w:before="100" w:beforeAutospacing="1" w:after="100" w:afterAutospacing="1"/>
        <w:ind w:firstLine="780"/>
      </w:pPr>
      <w:r>
        <w:t>(C)</w:t>
      </w:r>
      <w:r>
        <w:tab/>
      </w:r>
      <w:r w:rsidR="00C824F7" w:rsidRPr="00755E06">
        <w:t xml:space="preserve">NERC is </w:t>
      </w:r>
      <w:r w:rsidR="00E619C2" w:rsidRPr="00755E06">
        <w:t xml:space="preserve">hereby </w:t>
      </w:r>
      <w:r w:rsidR="00C824F7" w:rsidRPr="00755E06">
        <w:t xml:space="preserve">directed to submit a compliance filing within 60 days of this order addressing the </w:t>
      </w:r>
      <w:r w:rsidR="004D58E4" w:rsidRPr="00755E06">
        <w:t>proposed Violation Risk Factors, as discussed in the body of this order</w:t>
      </w:r>
      <w:r w:rsidR="00C824F7" w:rsidRPr="00755E06">
        <w:t xml:space="preserve">.  </w:t>
      </w:r>
    </w:p>
    <w:p w14:paraId="78C6F65E" w14:textId="391648F2" w:rsidR="00E66B16" w:rsidRDefault="00E66B16" w:rsidP="00E66B16">
      <w:pPr>
        <w:pStyle w:val="FERCparanumber"/>
        <w:numPr>
          <w:ilvl w:val="0"/>
          <w:numId w:val="0"/>
        </w:numPr>
        <w:spacing w:before="100" w:beforeAutospacing="1" w:after="100" w:afterAutospacing="1"/>
      </w:pPr>
      <w:r>
        <w:t>By the Commission.</w:t>
      </w:r>
    </w:p>
    <w:p w14:paraId="03E66751" w14:textId="4329B7F8" w:rsidR="00E66B16" w:rsidRDefault="00E66B16" w:rsidP="00E66B16">
      <w:pPr>
        <w:pStyle w:val="FERCparanumber"/>
        <w:numPr>
          <w:ilvl w:val="0"/>
          <w:numId w:val="0"/>
        </w:numPr>
        <w:spacing w:after="0"/>
      </w:pPr>
      <w:r w:rsidRPr="00E66B16">
        <w:t>( S E A L )</w:t>
      </w:r>
    </w:p>
    <w:p w14:paraId="3283702C" w14:textId="777321F8" w:rsidR="00E66B16" w:rsidRDefault="00E66B16" w:rsidP="00E66B16">
      <w:pPr>
        <w:pStyle w:val="FERCparanumber"/>
        <w:numPr>
          <w:ilvl w:val="0"/>
          <w:numId w:val="0"/>
        </w:numPr>
        <w:spacing w:after="0"/>
      </w:pPr>
    </w:p>
    <w:p w14:paraId="16EB2D12" w14:textId="572CB652" w:rsidR="00E66B16" w:rsidRDefault="00E66B16" w:rsidP="00E66B16">
      <w:pPr>
        <w:pStyle w:val="FERCparanumber"/>
        <w:numPr>
          <w:ilvl w:val="0"/>
          <w:numId w:val="0"/>
        </w:numPr>
        <w:spacing w:after="0"/>
      </w:pPr>
    </w:p>
    <w:p w14:paraId="695B5D20" w14:textId="07326B65" w:rsidR="00E66B16" w:rsidRDefault="00E66B16" w:rsidP="0095411E">
      <w:pPr>
        <w:pStyle w:val="FERCparanumber"/>
        <w:numPr>
          <w:ilvl w:val="0"/>
          <w:numId w:val="0"/>
        </w:numPr>
        <w:spacing w:after="0"/>
      </w:pPr>
    </w:p>
    <w:p w14:paraId="344EB6AB" w14:textId="4AC281B5" w:rsidR="0095411E" w:rsidRDefault="0095411E" w:rsidP="0095411E">
      <w:pPr>
        <w:pStyle w:val="FERCparanumber"/>
        <w:numPr>
          <w:ilvl w:val="0"/>
          <w:numId w:val="0"/>
        </w:numPr>
        <w:spacing w:after="0"/>
      </w:pPr>
    </w:p>
    <w:p w14:paraId="46EB572F" w14:textId="4D7C7C04" w:rsidR="0095411E" w:rsidRDefault="0095411E" w:rsidP="0095411E">
      <w:pPr>
        <w:pStyle w:val="FERCparanumber"/>
        <w:numPr>
          <w:ilvl w:val="0"/>
          <w:numId w:val="0"/>
        </w:numPr>
        <w:spacing w:after="0"/>
      </w:pPr>
    </w:p>
    <w:p w14:paraId="3BAE8C68" w14:textId="51449E11" w:rsidR="0095411E" w:rsidRPr="0095411E" w:rsidRDefault="0095411E" w:rsidP="0095411E">
      <w:pPr>
        <w:widowControl/>
        <w:ind w:firstLine="2606"/>
        <w:jc w:val="center"/>
      </w:pPr>
      <w:r w:rsidRPr="0095411E">
        <w:t>Nathaniel J. Davis, Sr.,</w:t>
      </w:r>
    </w:p>
    <w:p w14:paraId="21C548FD" w14:textId="14A0CB7F" w:rsidR="0095411E" w:rsidRPr="0095411E" w:rsidRDefault="0095411E" w:rsidP="0095411E">
      <w:pPr>
        <w:widowControl/>
        <w:ind w:firstLine="2606"/>
        <w:jc w:val="center"/>
        <w:rPr>
          <w:b/>
        </w:rPr>
      </w:pPr>
      <w:r w:rsidRPr="0095411E">
        <w:t>Deputy Secretary.</w:t>
      </w:r>
    </w:p>
    <w:sectPr w:rsidR="0095411E" w:rsidRPr="0095411E">
      <w:headerReference w:type="even" r:id="rId11"/>
      <w:headerReference w:type="default" r:id="rId12"/>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903E1" w14:textId="77777777" w:rsidR="00DE0A62" w:rsidRDefault="00DE0A62">
      <w:r>
        <w:separator/>
      </w:r>
    </w:p>
  </w:endnote>
  <w:endnote w:type="continuationSeparator" w:id="0">
    <w:p w14:paraId="519266EC" w14:textId="77777777" w:rsidR="00DE0A62" w:rsidRDefault="00DE0A62">
      <w:r>
        <w:continuationSeparator/>
      </w:r>
    </w:p>
  </w:endnote>
  <w:endnote w:type="continuationNotice" w:id="1">
    <w:p w14:paraId="5FA3837A" w14:textId="77777777" w:rsidR="00DE0A62" w:rsidRDefault="00DE0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368CA" w14:textId="77777777" w:rsidR="00DE0A62" w:rsidRDefault="00DE0A62">
      <w:r>
        <w:separator/>
      </w:r>
    </w:p>
  </w:footnote>
  <w:footnote w:type="continuationSeparator" w:id="0">
    <w:p w14:paraId="55D489A6" w14:textId="77777777" w:rsidR="00DE0A62" w:rsidRDefault="00DE0A62">
      <w:r>
        <w:continuationSeparator/>
      </w:r>
    </w:p>
  </w:footnote>
  <w:footnote w:type="continuationNotice" w:id="1">
    <w:p w14:paraId="180541FC" w14:textId="77777777" w:rsidR="00DE0A62" w:rsidRDefault="00DE0A62">
      <w:pPr>
        <w:jc w:val="right"/>
      </w:pPr>
    </w:p>
    <w:p w14:paraId="1CC11274" w14:textId="77777777" w:rsidR="00DE0A62" w:rsidRDefault="00DE0A62">
      <w:pPr>
        <w:jc w:val="right"/>
      </w:pPr>
      <w:r>
        <w:t>(continued…)</w:t>
      </w:r>
    </w:p>
  </w:footnote>
  <w:footnote w:id="2">
    <w:p w14:paraId="3B5F9DA9" w14:textId="66CF8FA0" w:rsidR="00485F20" w:rsidRDefault="00485F20">
      <w:pPr>
        <w:pStyle w:val="FootnoteText"/>
      </w:pPr>
      <w:r>
        <w:rPr>
          <w:rStyle w:val="FootnoteReference"/>
        </w:rPr>
        <w:footnoteRef/>
      </w:r>
      <w:r>
        <w:t xml:space="preserve"> 16 U.S.C. § 824o(d) (2012).  </w:t>
      </w:r>
    </w:p>
  </w:footnote>
  <w:footnote w:id="3">
    <w:p w14:paraId="7C103CC8" w14:textId="41B585B6" w:rsidR="00485F20" w:rsidRPr="000B0888" w:rsidRDefault="00485F20">
      <w:pPr>
        <w:pStyle w:val="FootnoteText"/>
      </w:pPr>
      <w:r>
        <w:rPr>
          <w:rStyle w:val="FootnoteReference"/>
        </w:rPr>
        <w:footnoteRef/>
      </w:r>
      <w:r>
        <w:t xml:space="preserve"> </w:t>
      </w:r>
      <w:r w:rsidR="00B963CF">
        <w:t>The</w:t>
      </w:r>
      <w:r w:rsidRPr="000B0888">
        <w:rPr>
          <w:szCs w:val="26"/>
        </w:rPr>
        <w:t xml:space="preserve"> NERC Glossary </w:t>
      </w:r>
      <w:r w:rsidR="00B963CF">
        <w:rPr>
          <w:szCs w:val="26"/>
        </w:rPr>
        <w:t xml:space="preserve">defines </w:t>
      </w:r>
      <w:r w:rsidRPr="000B0888">
        <w:rPr>
          <w:szCs w:val="26"/>
        </w:rPr>
        <w:t xml:space="preserve">“Misoperation” as </w:t>
      </w:r>
      <w:r w:rsidR="00B963CF">
        <w:rPr>
          <w:szCs w:val="26"/>
        </w:rPr>
        <w:t>“[t]</w:t>
      </w:r>
      <w:r w:rsidRPr="000B0888">
        <w:rPr>
          <w:szCs w:val="26"/>
        </w:rPr>
        <w:t>he failure of a Composite Protection System to operate as intended for protection purposes.</w:t>
      </w:r>
      <w:r w:rsidR="00B963CF">
        <w:rPr>
          <w:szCs w:val="26"/>
        </w:rPr>
        <w:t xml:space="preserve"> …”</w:t>
      </w:r>
    </w:p>
  </w:footnote>
  <w:footnote w:id="4">
    <w:p w14:paraId="15F8C9E2" w14:textId="391042D3" w:rsidR="00485F20" w:rsidRDefault="00485F20">
      <w:pPr>
        <w:pStyle w:val="FootnoteText"/>
      </w:pPr>
      <w:r w:rsidRPr="000B0888">
        <w:rPr>
          <w:rStyle w:val="FootnoteReference"/>
        </w:rPr>
        <w:footnoteRef/>
      </w:r>
      <w:r w:rsidRPr="000B0888">
        <w:t xml:space="preserve"> </w:t>
      </w:r>
      <w:r w:rsidR="00B963CF">
        <w:t>The</w:t>
      </w:r>
      <w:r w:rsidRPr="000B0888">
        <w:rPr>
          <w:szCs w:val="26"/>
        </w:rPr>
        <w:t xml:space="preserve"> NERC Glossary </w:t>
      </w:r>
      <w:r w:rsidR="00B963CF">
        <w:rPr>
          <w:szCs w:val="26"/>
        </w:rPr>
        <w:t xml:space="preserve">defines </w:t>
      </w:r>
      <w:r w:rsidRPr="000B0888">
        <w:rPr>
          <w:szCs w:val="26"/>
        </w:rPr>
        <w:t xml:space="preserve">“Protection System” as </w:t>
      </w:r>
      <w:r w:rsidR="00B963CF">
        <w:rPr>
          <w:szCs w:val="26"/>
        </w:rPr>
        <w:t>“[p]</w:t>
      </w:r>
      <w:r w:rsidRPr="000B0888">
        <w:rPr>
          <w:szCs w:val="26"/>
        </w:rPr>
        <w:t xml:space="preserve">rotective relays which respond to electrical quantities, communications systems necessary for correct operation of protective functions. </w:t>
      </w:r>
      <w:r w:rsidR="00B963CF">
        <w:rPr>
          <w:szCs w:val="26"/>
        </w:rPr>
        <w:t>…”</w:t>
      </w:r>
      <w:r w:rsidR="00B963CF" w:rsidRPr="000B0888" w:rsidDel="00B963CF">
        <w:rPr>
          <w:szCs w:val="26"/>
        </w:rPr>
        <w:t xml:space="preserve"> </w:t>
      </w:r>
    </w:p>
  </w:footnote>
  <w:footnote w:id="5">
    <w:p w14:paraId="04659515" w14:textId="33519BBB" w:rsidR="00485F20" w:rsidRDefault="00485F20">
      <w:pPr>
        <w:pStyle w:val="FootnoteText"/>
      </w:pPr>
      <w:r>
        <w:rPr>
          <w:rStyle w:val="FootnoteReference"/>
        </w:rPr>
        <w:footnoteRef/>
      </w:r>
      <w:r>
        <w:t xml:space="preserve"> </w:t>
      </w:r>
      <w:r>
        <w:rPr>
          <w:i/>
        </w:rPr>
        <w:t>North American Electric Reliability Corp</w:t>
      </w:r>
      <w:r>
        <w:t xml:space="preserve">., 116 FERC ¶ 61,062, </w:t>
      </w:r>
      <w:r>
        <w:rPr>
          <w:i/>
        </w:rPr>
        <w:t>order on reh’g and compliance</w:t>
      </w:r>
      <w:r>
        <w:t>, 117 FERC ¶ 61,126 (2006),</w:t>
      </w:r>
      <w:r>
        <w:rPr>
          <w:i/>
        </w:rPr>
        <w:t xml:space="preserve"> order on compliance</w:t>
      </w:r>
      <w:r>
        <w:t xml:space="preserve">, 118 FERC ¶ 61,190, </w:t>
      </w:r>
      <w:r>
        <w:rPr>
          <w:i/>
        </w:rPr>
        <w:t>order on reh’g</w:t>
      </w:r>
      <w:r>
        <w:t xml:space="preserve"> 119 FERC ¶ 61,046 (</w:t>
      </w:r>
      <w:r w:rsidR="00CE63A0">
        <w:t>2007),</w:t>
      </w:r>
      <w:r w:rsidR="00F8367A">
        <w:rPr>
          <w:i/>
        </w:rPr>
        <w:t xml:space="preserve"> </w:t>
      </w:r>
      <w:r w:rsidR="00A835C2">
        <w:rPr>
          <w:i/>
        </w:rPr>
        <w:t xml:space="preserve">aff’d </w:t>
      </w:r>
      <w:r w:rsidR="00CE63A0">
        <w:rPr>
          <w:i/>
        </w:rPr>
        <w:t>sub nom.</w:t>
      </w:r>
      <w:r w:rsidRPr="000B0888">
        <w:rPr>
          <w:i/>
        </w:rPr>
        <w:t xml:space="preserve"> Alcoa</w:t>
      </w:r>
      <w:r w:rsidRPr="000643EB">
        <w:rPr>
          <w:i/>
        </w:rPr>
        <w:t xml:space="preserve"> Inc</w:t>
      </w:r>
      <w:r>
        <w:rPr>
          <w:i/>
        </w:rPr>
        <w:t>. v. FERC</w:t>
      </w:r>
      <w:r>
        <w:t xml:space="preserve">, 564 F.3d 1342 (D.C. Cir. 2009).   </w:t>
      </w:r>
    </w:p>
  </w:footnote>
  <w:footnote w:id="6">
    <w:p w14:paraId="48150006" w14:textId="664ADA57" w:rsidR="00485F20" w:rsidRDefault="00485F20">
      <w:pPr>
        <w:pStyle w:val="FootnoteText"/>
      </w:pPr>
      <w:r>
        <w:rPr>
          <w:rStyle w:val="FootnoteReference"/>
        </w:rPr>
        <w:footnoteRef/>
      </w:r>
      <w:r>
        <w:t xml:space="preserve"> </w:t>
      </w:r>
      <w:r>
        <w:rPr>
          <w:i/>
        </w:rPr>
        <w:t xml:space="preserve">Mandatory Reliability Standards for the Bulk-Power System, </w:t>
      </w:r>
      <w:r>
        <w:t xml:space="preserve">Order No. 693, FERC Stats. &amp; Regs. ¶ 31,242 at P 1467, </w:t>
      </w:r>
      <w:r>
        <w:rPr>
          <w:i/>
        </w:rPr>
        <w:t xml:space="preserve">order on reh’g, </w:t>
      </w:r>
      <w:r>
        <w:t>Order No. 693-A, 120 FERC</w:t>
      </w:r>
      <w:r w:rsidR="0005707E">
        <w:t xml:space="preserve">   </w:t>
      </w:r>
      <w:r>
        <w:t xml:space="preserve"> ¶ 61,053 (2007).  </w:t>
      </w:r>
    </w:p>
  </w:footnote>
  <w:footnote w:id="7">
    <w:p w14:paraId="13D28870" w14:textId="62D99677" w:rsidR="00485F20" w:rsidRDefault="00485F20" w:rsidP="00D70686">
      <w:pPr>
        <w:pStyle w:val="FootnoteText"/>
      </w:pPr>
      <w:r>
        <w:rPr>
          <w:rStyle w:val="FootnoteReference"/>
        </w:rPr>
        <w:footnoteRef/>
      </w:r>
      <w:r>
        <w:t xml:space="preserve"> Order No. 693, FERC Stats. &amp; Regs. ¶ 31,242 at P 1469.</w:t>
      </w:r>
    </w:p>
  </w:footnote>
  <w:footnote w:id="8">
    <w:p w14:paraId="0EC8F626" w14:textId="076CAB61" w:rsidR="00485F20" w:rsidRDefault="00485F20">
      <w:pPr>
        <w:pStyle w:val="FootnoteText"/>
      </w:pPr>
      <w:r>
        <w:rPr>
          <w:rStyle w:val="FootnoteReference"/>
        </w:rPr>
        <w:footnoteRef/>
      </w:r>
      <w:r>
        <w:t xml:space="preserve"> </w:t>
      </w:r>
      <w:r w:rsidRPr="000D0ABD">
        <w:rPr>
          <w:i/>
          <w:iCs/>
        </w:rPr>
        <w:t>N</w:t>
      </w:r>
      <w:r w:rsidR="00F22D2A">
        <w:rPr>
          <w:i/>
          <w:iCs/>
        </w:rPr>
        <w:t>orth</w:t>
      </w:r>
      <w:r w:rsidRPr="000D0ABD">
        <w:rPr>
          <w:i/>
          <w:iCs/>
        </w:rPr>
        <w:t xml:space="preserve"> Am</w:t>
      </w:r>
      <w:r w:rsidR="00F22D2A">
        <w:rPr>
          <w:i/>
          <w:iCs/>
        </w:rPr>
        <w:t>erican</w:t>
      </w:r>
      <w:r w:rsidRPr="000D0ABD">
        <w:rPr>
          <w:i/>
          <w:iCs/>
        </w:rPr>
        <w:t xml:space="preserve"> Elec</w:t>
      </w:r>
      <w:r w:rsidR="00F22D2A">
        <w:rPr>
          <w:i/>
          <w:iCs/>
        </w:rPr>
        <w:t>tric</w:t>
      </w:r>
      <w:r w:rsidRPr="000D0ABD">
        <w:rPr>
          <w:i/>
          <w:iCs/>
        </w:rPr>
        <w:t xml:space="preserve"> Reliability Corp.</w:t>
      </w:r>
      <w:r w:rsidRPr="000D0ABD">
        <w:t>, 134 FERC ¶ 61,015 (2011)</w:t>
      </w:r>
      <w:r>
        <w:t xml:space="preserve">.  The Commission has also approved minor revisions to the standard, as well as an interpretation.  </w:t>
      </w:r>
      <w:r w:rsidRPr="000D0ABD">
        <w:rPr>
          <w:i/>
          <w:iCs/>
        </w:rPr>
        <w:t>See Generator Requirements at the Transmission Interface</w:t>
      </w:r>
      <w:r w:rsidRPr="000D0ABD">
        <w:t>, Order</w:t>
      </w:r>
      <w:r w:rsidR="0005707E">
        <w:t xml:space="preserve">        </w:t>
      </w:r>
      <w:r w:rsidRPr="000D0ABD">
        <w:t xml:space="preserve"> No. 785, 144 FERC ¶ 61,221 (2012) (approving PRC-004-2.1a and clarifying that the requirements in PRC-004 extend not only to protection systems associated with the generating facility or station, but also to protection systems associated with the generator interconnection facilities); </w:t>
      </w:r>
      <w:r w:rsidRPr="000D0ABD">
        <w:rPr>
          <w:i/>
          <w:iCs/>
        </w:rPr>
        <w:t>N</w:t>
      </w:r>
      <w:r w:rsidR="00F22D2A">
        <w:rPr>
          <w:i/>
          <w:iCs/>
        </w:rPr>
        <w:t>orth</w:t>
      </w:r>
      <w:r w:rsidRPr="000D0ABD">
        <w:rPr>
          <w:i/>
          <w:iCs/>
        </w:rPr>
        <w:t xml:space="preserve"> Am</w:t>
      </w:r>
      <w:r w:rsidR="00F22D2A">
        <w:rPr>
          <w:i/>
          <w:iCs/>
        </w:rPr>
        <w:t>erican</w:t>
      </w:r>
      <w:r w:rsidRPr="000D0ABD">
        <w:rPr>
          <w:i/>
          <w:iCs/>
        </w:rPr>
        <w:t xml:space="preserve"> Elec</w:t>
      </w:r>
      <w:r w:rsidR="00F22D2A">
        <w:rPr>
          <w:i/>
          <w:iCs/>
        </w:rPr>
        <w:t>tric</w:t>
      </w:r>
      <w:r w:rsidRPr="000D0ABD">
        <w:rPr>
          <w:i/>
          <w:iCs/>
        </w:rPr>
        <w:t xml:space="preserve"> Reliability Corp.</w:t>
      </w:r>
      <w:r w:rsidRPr="000D0ABD">
        <w:t>, 136 FERC</w:t>
      </w:r>
      <w:r w:rsidR="0005707E">
        <w:t xml:space="preserve">            </w:t>
      </w:r>
      <w:r w:rsidRPr="000D0ABD">
        <w:t xml:space="preserve"> ¶ 61,208 (2011) (approving an interpretation for the term “transmission Protection System” as it appears in Requirements R1 and R3</w:t>
      </w:r>
      <w:r>
        <w:t>).</w:t>
      </w:r>
    </w:p>
  </w:footnote>
  <w:footnote w:id="9">
    <w:p w14:paraId="315BF99C" w14:textId="77777777" w:rsidR="00485F20" w:rsidRDefault="00485F20">
      <w:pPr>
        <w:pStyle w:val="FootnoteText"/>
      </w:pPr>
      <w:r>
        <w:rPr>
          <w:rStyle w:val="FootnoteReference"/>
        </w:rPr>
        <w:footnoteRef/>
      </w:r>
      <w:r>
        <w:t xml:space="preserve"> Order No. 693, FERC Stats. &amp; Regs. ¶ 31,242 at P 1461.</w:t>
      </w:r>
    </w:p>
  </w:footnote>
  <w:footnote w:id="10">
    <w:p w14:paraId="3083B116" w14:textId="1E71D11A" w:rsidR="00485F20" w:rsidRDefault="00485F20">
      <w:pPr>
        <w:pStyle w:val="FootnoteText"/>
      </w:pPr>
      <w:r>
        <w:rPr>
          <w:rStyle w:val="FootnoteReference"/>
        </w:rPr>
        <w:footnoteRef/>
      </w:r>
      <w:r>
        <w:t xml:space="preserve"> NERC Petition at 9.</w:t>
      </w:r>
    </w:p>
  </w:footnote>
  <w:footnote w:id="11">
    <w:p w14:paraId="472D638C" w14:textId="581955F3" w:rsidR="00485F20" w:rsidRPr="00E84FE4" w:rsidRDefault="00485F20">
      <w:pPr>
        <w:pStyle w:val="FootnoteText"/>
      </w:pPr>
      <w:r>
        <w:rPr>
          <w:rStyle w:val="FootnoteReference"/>
        </w:rPr>
        <w:footnoteRef/>
      </w:r>
      <w:r>
        <w:t xml:space="preserve"> </w:t>
      </w:r>
      <w:r w:rsidRPr="00FA06DA">
        <w:rPr>
          <w:i/>
        </w:rPr>
        <w:t>Id.</w:t>
      </w:r>
      <w:r>
        <w:t xml:space="preserve">  </w:t>
      </w:r>
    </w:p>
  </w:footnote>
  <w:footnote w:id="12">
    <w:p w14:paraId="3350C16F" w14:textId="77777777" w:rsidR="00485F20" w:rsidRDefault="00485F20">
      <w:pPr>
        <w:pStyle w:val="FootnoteText"/>
      </w:pPr>
      <w:r>
        <w:rPr>
          <w:rStyle w:val="FootnoteReference"/>
        </w:rPr>
        <w:footnoteRef/>
      </w:r>
      <w:r>
        <w:t xml:space="preserve"> </w:t>
      </w:r>
      <w:r>
        <w:rPr>
          <w:i/>
        </w:rPr>
        <w:t>Id.</w:t>
      </w:r>
      <w:r>
        <w:t xml:space="preserve"> at 15.</w:t>
      </w:r>
    </w:p>
  </w:footnote>
  <w:footnote w:id="13">
    <w:p w14:paraId="3C19956B" w14:textId="77777777" w:rsidR="00485F20" w:rsidRDefault="00485F20">
      <w:pPr>
        <w:pStyle w:val="FootnoteText"/>
      </w:pPr>
      <w:r>
        <w:rPr>
          <w:rStyle w:val="FootnoteReference"/>
        </w:rPr>
        <w:footnoteRef/>
      </w:r>
      <w:r>
        <w:t xml:space="preserve"> NERC proposes to define a composite protection system as “</w:t>
      </w:r>
      <w:r>
        <w:rPr>
          <w:szCs w:val="26"/>
        </w:rPr>
        <w:t>[t]</w:t>
      </w:r>
      <w:r w:rsidRPr="00064CE3">
        <w:rPr>
          <w:szCs w:val="26"/>
        </w:rPr>
        <w:t>he total complement of Protection System(s) that function collectively to protect an Element. Backup protection provided by a different Element’s Protection System(s) is excluded.</w:t>
      </w:r>
      <w:r>
        <w:rPr>
          <w:szCs w:val="26"/>
        </w:rPr>
        <w:t>”</w:t>
      </w:r>
    </w:p>
  </w:footnote>
  <w:footnote w:id="14">
    <w:p w14:paraId="7A972250" w14:textId="46BEC5E5" w:rsidR="00485F20" w:rsidRDefault="00485F20">
      <w:pPr>
        <w:pStyle w:val="FootnoteText"/>
      </w:pPr>
      <w:r>
        <w:rPr>
          <w:rStyle w:val="FootnoteReference"/>
        </w:rPr>
        <w:footnoteRef/>
      </w:r>
      <w:r>
        <w:t xml:space="preserve"> NERC Petition at 20.  </w:t>
      </w:r>
    </w:p>
  </w:footnote>
  <w:footnote w:id="15">
    <w:p w14:paraId="130C5F49" w14:textId="77777777" w:rsidR="00485F20" w:rsidRDefault="00485F20">
      <w:pPr>
        <w:pStyle w:val="FootnoteText"/>
      </w:pPr>
      <w:r>
        <w:rPr>
          <w:rStyle w:val="FootnoteReference"/>
        </w:rPr>
        <w:footnoteRef/>
      </w:r>
      <w:r>
        <w:t xml:space="preserve"> </w:t>
      </w:r>
      <w:r>
        <w:rPr>
          <w:i/>
        </w:rPr>
        <w:t>Id.</w:t>
      </w:r>
      <w:r>
        <w:t xml:space="preserve"> at 21.</w:t>
      </w:r>
    </w:p>
  </w:footnote>
  <w:footnote w:id="16">
    <w:p w14:paraId="5CB02FAF" w14:textId="77777777" w:rsidR="00485F20" w:rsidRDefault="00485F20">
      <w:pPr>
        <w:pStyle w:val="FootnoteText"/>
      </w:pPr>
      <w:r>
        <w:rPr>
          <w:rStyle w:val="FootnoteReference"/>
        </w:rPr>
        <w:footnoteRef/>
      </w:r>
      <w:r>
        <w:t xml:space="preserve"> </w:t>
      </w:r>
      <w:r>
        <w:rPr>
          <w:i/>
        </w:rPr>
        <w:t>Id.</w:t>
      </w:r>
      <w:r>
        <w:t xml:space="preserve"> at 10.</w:t>
      </w:r>
    </w:p>
  </w:footnote>
  <w:footnote w:id="17">
    <w:p w14:paraId="6E22474E" w14:textId="77777777" w:rsidR="00485F20" w:rsidRPr="000D661F" w:rsidRDefault="00485F20">
      <w:pPr>
        <w:pStyle w:val="FootnoteText"/>
      </w:pPr>
      <w:r>
        <w:rPr>
          <w:rStyle w:val="FootnoteReference"/>
        </w:rPr>
        <w:footnoteRef/>
      </w:r>
      <w:r>
        <w:t xml:space="preserve"> </w:t>
      </w:r>
      <w:r>
        <w:rPr>
          <w:i/>
        </w:rPr>
        <w:t>Id.</w:t>
      </w:r>
      <w:r>
        <w:t xml:space="preserve"> at 24.</w:t>
      </w:r>
    </w:p>
  </w:footnote>
  <w:footnote w:id="18">
    <w:p w14:paraId="34166968" w14:textId="77777777" w:rsidR="00485F20" w:rsidRPr="00AA3672" w:rsidRDefault="00485F20">
      <w:pPr>
        <w:pStyle w:val="FootnoteText"/>
        <w:rPr>
          <w:i/>
        </w:rPr>
      </w:pPr>
      <w:r>
        <w:rPr>
          <w:rStyle w:val="FootnoteReference"/>
        </w:rPr>
        <w:footnoteRef/>
      </w:r>
      <w:r>
        <w:t xml:space="preserve"> </w:t>
      </w:r>
      <w:r>
        <w:rPr>
          <w:i/>
        </w:rPr>
        <w:t>Id.</w:t>
      </w:r>
    </w:p>
  </w:footnote>
  <w:footnote w:id="19">
    <w:p w14:paraId="5AD68E2D" w14:textId="77777777" w:rsidR="00485F20" w:rsidRDefault="00485F20">
      <w:pPr>
        <w:pStyle w:val="FootnoteText"/>
      </w:pPr>
      <w:r>
        <w:rPr>
          <w:rStyle w:val="FootnoteReference"/>
        </w:rPr>
        <w:footnoteRef/>
      </w:r>
      <w:r>
        <w:t xml:space="preserve"> </w:t>
      </w:r>
      <w:r>
        <w:rPr>
          <w:i/>
        </w:rPr>
        <w:t>Id.</w:t>
      </w:r>
      <w:r>
        <w:t xml:space="preserve"> at </w:t>
      </w:r>
      <w:r w:rsidRPr="00715716">
        <w:t>Ex. B</w:t>
      </w:r>
      <w:r>
        <w:t>.</w:t>
      </w:r>
    </w:p>
  </w:footnote>
  <w:footnote w:id="20">
    <w:p w14:paraId="7419348D" w14:textId="77777777" w:rsidR="00485F20" w:rsidRDefault="00485F20">
      <w:pPr>
        <w:pStyle w:val="FootnoteText"/>
      </w:pPr>
      <w:r>
        <w:rPr>
          <w:rStyle w:val="FootnoteReference"/>
        </w:rPr>
        <w:footnoteRef/>
      </w:r>
      <w:r>
        <w:t xml:space="preserve"> 79</w:t>
      </w:r>
      <w:r w:rsidRPr="00DA1077">
        <w:t xml:space="preserve"> Fed. Reg. </w:t>
      </w:r>
      <w:r>
        <w:t>58,760</w:t>
      </w:r>
      <w:r w:rsidRPr="00DA1077">
        <w:t xml:space="preserve"> (201</w:t>
      </w:r>
      <w:r>
        <w:t>4</w:t>
      </w:r>
      <w:r w:rsidRPr="00DA1077">
        <w:t>).</w:t>
      </w:r>
      <w:r>
        <w:t xml:space="preserve">  </w:t>
      </w:r>
    </w:p>
  </w:footnote>
  <w:footnote w:id="21">
    <w:p w14:paraId="06020E1F" w14:textId="2857794A" w:rsidR="00485F20" w:rsidRDefault="00485F20">
      <w:pPr>
        <w:pStyle w:val="FootnoteText"/>
      </w:pPr>
      <w:r>
        <w:rPr>
          <w:rStyle w:val="FootnoteReference"/>
        </w:rPr>
        <w:footnoteRef/>
      </w:r>
      <w:r>
        <w:t xml:space="preserve"> </w:t>
      </w:r>
      <w:r w:rsidR="002B17EC">
        <w:t xml:space="preserve">As noted above, the Commission in Order No. 693 did not approve proposed Reliability Standard PRC-003-1 but, rather, pended the standard based on the need for additional information.  With our approval of PRC-004-3, Reliability Standard PRC-003- 1 will be considered “retired” and no longer pending </w:t>
      </w:r>
      <w:r w:rsidR="002A61BF">
        <w:t xml:space="preserve">before the </w:t>
      </w:r>
      <w:r w:rsidR="002B17EC">
        <w:t>Commission.</w:t>
      </w:r>
      <w:r w:rsidR="002B17EC" w:rsidDel="002B17EC">
        <w:t xml:space="preserve">  </w:t>
      </w:r>
    </w:p>
  </w:footnote>
  <w:footnote w:id="22">
    <w:p w14:paraId="5D01EF1A" w14:textId="6EF7611B" w:rsidR="00DB6D7E" w:rsidRDefault="00DB6D7E" w:rsidP="00DB6D7E">
      <w:pPr>
        <w:spacing w:after="240"/>
        <w:ind w:firstLine="720"/>
        <w:rPr>
          <w:szCs w:val="26"/>
        </w:rPr>
      </w:pPr>
      <w:r>
        <w:rPr>
          <w:rStyle w:val="FootnoteReference"/>
        </w:rPr>
        <w:footnoteRef/>
      </w:r>
      <w:r>
        <w:rPr>
          <w:szCs w:val="26"/>
        </w:rPr>
        <w:t xml:space="preserve"> </w:t>
      </w:r>
      <w:r w:rsidRPr="002C2D91">
        <w:rPr>
          <w:i/>
          <w:szCs w:val="26"/>
        </w:rPr>
        <w:t>See North American Electric Reliability Corp.</w:t>
      </w:r>
      <w:r w:rsidRPr="002C2D91">
        <w:rPr>
          <w:szCs w:val="26"/>
        </w:rPr>
        <w:t xml:space="preserve">, 119 FERC ¶ 61,145, </w:t>
      </w:r>
      <w:r w:rsidRPr="002C2D91">
        <w:rPr>
          <w:i/>
          <w:szCs w:val="26"/>
        </w:rPr>
        <w:t>order on reh’g</w:t>
      </w:r>
      <w:r w:rsidRPr="002C2D91">
        <w:rPr>
          <w:szCs w:val="26"/>
        </w:rPr>
        <w:t xml:space="preserve">, 120 FERC ¶ 61,145 (2007); </w:t>
      </w:r>
      <w:r w:rsidRPr="002C2D91">
        <w:rPr>
          <w:i/>
          <w:szCs w:val="26"/>
        </w:rPr>
        <w:t>North American Electric Reliability Corp.</w:t>
      </w:r>
      <w:r w:rsidRPr="002C2D91">
        <w:rPr>
          <w:szCs w:val="26"/>
        </w:rPr>
        <w:t>, 123 FERC ¶ 61,284, at P</w:t>
      </w:r>
      <w:r w:rsidR="00E66B16">
        <w:rPr>
          <w:szCs w:val="26"/>
        </w:rPr>
        <w:t>P</w:t>
      </w:r>
      <w:r w:rsidRPr="002C2D91">
        <w:rPr>
          <w:szCs w:val="26"/>
        </w:rPr>
        <w:t xml:space="preserve"> 20-35, </w:t>
      </w:r>
      <w:r w:rsidRPr="002C2D91">
        <w:rPr>
          <w:i/>
          <w:szCs w:val="26"/>
        </w:rPr>
        <w:t>order on reh’g &amp; compliance,</w:t>
      </w:r>
      <w:r w:rsidRPr="002C2D91">
        <w:rPr>
          <w:szCs w:val="26"/>
        </w:rPr>
        <w:t xml:space="preserve"> 125 FERC ¶ 61,212 (2008);</w:t>
      </w:r>
      <w:r w:rsidR="0005707E">
        <w:rPr>
          <w:szCs w:val="26"/>
        </w:rPr>
        <w:t xml:space="preserve">            </w:t>
      </w:r>
      <w:r w:rsidRPr="002C2D91">
        <w:rPr>
          <w:szCs w:val="26"/>
        </w:rPr>
        <w:t xml:space="preserve"> </w:t>
      </w:r>
      <w:r w:rsidRPr="002C2D91">
        <w:rPr>
          <w:i/>
          <w:szCs w:val="26"/>
        </w:rPr>
        <w:t>North American Electric Reliability Corp.</w:t>
      </w:r>
      <w:r w:rsidRPr="002C2D91">
        <w:rPr>
          <w:szCs w:val="26"/>
        </w:rPr>
        <w:t>, 135 FERC ¶ 61,166 (2011).</w:t>
      </w:r>
      <w:r>
        <w:rPr>
          <w:szCs w:val="26"/>
        </w:rPr>
        <w:t xml:space="preserve">  </w:t>
      </w:r>
    </w:p>
  </w:footnote>
  <w:footnote w:id="23">
    <w:p w14:paraId="30AA23A5" w14:textId="1AB31388" w:rsidR="00485F20" w:rsidRDefault="00485F20">
      <w:pPr>
        <w:pStyle w:val="FootnoteText"/>
      </w:pPr>
      <w:r>
        <w:rPr>
          <w:rStyle w:val="FootnoteReference"/>
        </w:rPr>
        <w:footnoteRef/>
      </w:r>
      <w:r>
        <w:t xml:space="preserve"> NERC Petition, Ex. F (</w:t>
      </w:r>
      <w:r w:rsidR="008C13B1">
        <w:t>Analysis of Violation Risk Factors and Violation Severity Levels</w:t>
      </w:r>
      <w:r>
        <w:t>) at 4.</w:t>
      </w:r>
    </w:p>
  </w:footnote>
  <w:footnote w:id="24">
    <w:p w14:paraId="0A264025" w14:textId="77777777" w:rsidR="00485F20" w:rsidRDefault="00485F20" w:rsidP="005010F8">
      <w:pPr>
        <w:pStyle w:val="FootnoteText"/>
      </w:pPr>
      <w:r>
        <w:rPr>
          <w:rStyle w:val="FootnoteReference"/>
        </w:rPr>
        <w:footnoteRef/>
      </w:r>
      <w:r>
        <w:t xml:space="preserve"> </w:t>
      </w:r>
      <w:r w:rsidRPr="000643EB">
        <w:rPr>
          <w:i/>
        </w:rPr>
        <w:t>Id</w:t>
      </w:r>
      <w:r>
        <w:t>., Ex. F at 5.</w:t>
      </w:r>
    </w:p>
  </w:footnote>
  <w:footnote w:id="25">
    <w:p w14:paraId="454B8AF3" w14:textId="20566628" w:rsidR="009539AC" w:rsidRDefault="009539AC">
      <w:pPr>
        <w:pStyle w:val="FootnoteText"/>
      </w:pPr>
      <w:r>
        <w:rPr>
          <w:rStyle w:val="FootnoteReference"/>
        </w:rPr>
        <w:footnoteRef/>
      </w:r>
      <w:r>
        <w:t xml:space="preserve"> </w:t>
      </w:r>
      <w:r w:rsidR="00EA1C00" w:rsidRPr="00EA1C00">
        <w:rPr>
          <w:i/>
        </w:rPr>
        <w:t>See</w:t>
      </w:r>
      <w:r w:rsidR="00EA1C00" w:rsidRPr="00EA1C00">
        <w:t xml:space="preserve"> </w:t>
      </w:r>
      <w:r w:rsidR="00EA1C00">
        <w:rPr>
          <w:i/>
        </w:rPr>
        <w:t xml:space="preserve">North American Electric Reliability Corp., </w:t>
      </w:r>
      <w:r w:rsidR="00E4418C">
        <w:t>119 FERC ¶ 61,145</w:t>
      </w:r>
      <w:r w:rsidR="00EA1C00">
        <w:t xml:space="preserve"> at PP 28-31.</w:t>
      </w:r>
    </w:p>
  </w:footnote>
  <w:footnote w:id="26">
    <w:p w14:paraId="78A8863B" w14:textId="79E2727F" w:rsidR="002C3174" w:rsidRDefault="002C3174">
      <w:pPr>
        <w:pStyle w:val="FootnoteText"/>
      </w:pPr>
      <w:r>
        <w:rPr>
          <w:rStyle w:val="FootnoteReference"/>
        </w:rPr>
        <w:footnoteRef/>
      </w:r>
      <w:r>
        <w:t xml:space="preserve"> </w:t>
      </w:r>
      <w:r w:rsidR="00636715">
        <w:rPr>
          <w:i/>
          <w:iCs/>
        </w:rPr>
        <w:t>See</w:t>
      </w:r>
      <w:r w:rsidR="00636715">
        <w:t xml:space="preserve"> “ERO Top Priority Reliability Risks 2014-2017,” January 16, 2014, </w:t>
      </w:r>
      <w:hyperlink r:id="rId1" w:history="1">
        <w:r w:rsidR="00636715">
          <w:rPr>
            <w:rStyle w:val="Hyperlink"/>
          </w:rPr>
          <w:t>http://www.nerc.com/comm/RISC/Agenda%20Highlights%20and%20Minutes/ERO%20Top%20Priority%20Reliability%20Risks%202014.pdf</w:t>
        </w:r>
      </w:hyperlink>
      <w:r w:rsidR="00636715">
        <w:t xml:space="preserve"> at 12; </w:t>
      </w:r>
      <w:r w:rsidR="00636715">
        <w:rPr>
          <w:i/>
        </w:rPr>
        <w:t xml:space="preserve">see also </w:t>
      </w:r>
      <w:r>
        <w:t>NERC “State of Reliability Report,” May 2014 at Page 17.</w:t>
      </w:r>
    </w:p>
  </w:footnote>
  <w:footnote w:id="27">
    <w:p w14:paraId="30CCB370" w14:textId="6CB9AFCD" w:rsidR="00853A91" w:rsidRDefault="00853A91">
      <w:pPr>
        <w:pStyle w:val="FootnoteText"/>
      </w:pPr>
      <w:r>
        <w:rPr>
          <w:rStyle w:val="FootnoteReference"/>
        </w:rPr>
        <w:footnoteRef/>
      </w:r>
      <w:r>
        <w:t xml:space="preserve"> </w:t>
      </w:r>
      <w:r w:rsidR="00514D58">
        <w:rPr>
          <w:i/>
        </w:rPr>
        <w:t>Id.</w:t>
      </w:r>
    </w:p>
  </w:footnote>
  <w:footnote w:id="28">
    <w:p w14:paraId="1B9F57D3" w14:textId="77777777" w:rsidR="00485F20" w:rsidRDefault="00485F20" w:rsidP="00CB7307">
      <w:pPr>
        <w:pStyle w:val="FootnoteText"/>
      </w:pPr>
      <w:r>
        <w:rPr>
          <w:rStyle w:val="FootnoteReference"/>
        </w:rPr>
        <w:footnoteRef/>
      </w:r>
      <w:r>
        <w:rPr>
          <w:b/>
        </w:rPr>
        <w:t xml:space="preserve"> </w:t>
      </w:r>
      <w:r>
        <w:t>44 U.S.C. 3507(d) (2012).</w:t>
      </w:r>
    </w:p>
  </w:footnote>
  <w:footnote w:id="29">
    <w:p w14:paraId="4AF8ECFA" w14:textId="77777777" w:rsidR="00485F20" w:rsidRDefault="00485F20" w:rsidP="00CB7307">
      <w:pPr>
        <w:pStyle w:val="FootnoteText"/>
      </w:pPr>
      <w:r>
        <w:rPr>
          <w:rStyle w:val="FootnoteReference"/>
        </w:rPr>
        <w:footnoteRef/>
      </w:r>
      <w:r>
        <w:t xml:space="preserve"> 5 CFR 1320.11 (2014).</w:t>
      </w:r>
    </w:p>
  </w:footnote>
  <w:footnote w:id="30">
    <w:p w14:paraId="4AA81CEB" w14:textId="169D9407" w:rsidR="00485F20" w:rsidRPr="00BB7827" w:rsidRDefault="00485F20" w:rsidP="00CB7307">
      <w:pPr>
        <w:ind w:firstLine="720"/>
        <w:rPr>
          <w:szCs w:val="26"/>
        </w:rPr>
      </w:pPr>
      <w:r w:rsidRPr="00BB7827">
        <w:rPr>
          <w:rStyle w:val="FootnoteReference"/>
        </w:rPr>
        <w:footnoteRef/>
      </w:r>
      <w:r w:rsidR="00A835C2">
        <w:rPr>
          <w:szCs w:val="26"/>
        </w:rPr>
        <w:t xml:space="preserve"> Requirement R2 provides “</w:t>
      </w:r>
      <w:r w:rsidRPr="00BB7827">
        <w:rPr>
          <w:szCs w:val="26"/>
        </w:rPr>
        <w:t xml:space="preserve">Each Transmission Owner, Generator Owner, and Distribution Provider that owns a BES interrupting device that operated shall, within </w:t>
      </w:r>
      <w:r w:rsidR="00123664">
        <w:rPr>
          <w:szCs w:val="26"/>
        </w:rPr>
        <w:t xml:space="preserve">  </w:t>
      </w:r>
      <w:r w:rsidRPr="00BB7827">
        <w:rPr>
          <w:szCs w:val="26"/>
        </w:rPr>
        <w:t>120 calendar days of the BES interrupting device operation, provide notification as described in Parts 2.1 and 2.2.</w:t>
      </w:r>
      <w:r w:rsidR="00A835C2">
        <w:rPr>
          <w:szCs w:val="26"/>
        </w:rPr>
        <w:t>”</w:t>
      </w:r>
    </w:p>
    <w:p w14:paraId="2E6A4501" w14:textId="77777777" w:rsidR="00485F20" w:rsidRPr="0046272B" w:rsidRDefault="00485F20" w:rsidP="00CB7307">
      <w:pPr>
        <w:pStyle w:val="FootnoteText"/>
        <w:rPr>
          <w:sz w:val="20"/>
        </w:rPr>
      </w:pPr>
    </w:p>
  </w:footnote>
  <w:footnote w:id="31">
    <w:p w14:paraId="3DE604D7" w14:textId="26D3A98D" w:rsidR="00485F20" w:rsidRPr="00E5088F" w:rsidRDefault="00485F20" w:rsidP="00CB7307">
      <w:pPr>
        <w:pStyle w:val="FootnoteText"/>
        <w:rPr>
          <w:szCs w:val="26"/>
        </w:rPr>
      </w:pPr>
      <w:r w:rsidRPr="00E5088F">
        <w:rPr>
          <w:rStyle w:val="FootnoteReference"/>
        </w:rPr>
        <w:footnoteRef/>
      </w:r>
      <w:r>
        <w:rPr>
          <w:szCs w:val="26"/>
        </w:rPr>
        <w:t xml:space="preserve"> FERC-725G </w:t>
      </w:r>
      <w:r w:rsidRPr="00E5088F">
        <w:rPr>
          <w:szCs w:val="26"/>
        </w:rPr>
        <w:t xml:space="preserve">is </w:t>
      </w:r>
      <w:r w:rsidR="008C13B1">
        <w:rPr>
          <w:szCs w:val="26"/>
        </w:rPr>
        <w:t xml:space="preserve">a </w:t>
      </w:r>
      <w:r w:rsidRPr="00E5088F">
        <w:rPr>
          <w:szCs w:val="26"/>
        </w:rPr>
        <w:t xml:space="preserve">currently pending request at OMB.  Only </w:t>
      </w:r>
      <w:r w:rsidR="008C13B1">
        <w:rPr>
          <w:szCs w:val="26"/>
        </w:rPr>
        <w:t xml:space="preserve">one </w:t>
      </w:r>
      <w:r w:rsidRPr="00E5088F">
        <w:rPr>
          <w:szCs w:val="26"/>
        </w:rPr>
        <w:t xml:space="preserve">submittal can be pending OMB review under each control number, therefore, FERC-725G1 will be used for timely submittal.  </w:t>
      </w:r>
    </w:p>
  </w:footnote>
  <w:footnote w:id="32">
    <w:p w14:paraId="3C547EE7" w14:textId="54B721C6" w:rsidR="00485F20" w:rsidRPr="00E5088F" w:rsidRDefault="00485F20" w:rsidP="00CB7307">
      <w:pPr>
        <w:pStyle w:val="FootnoteText"/>
        <w:rPr>
          <w:szCs w:val="26"/>
        </w:rPr>
      </w:pPr>
      <w:r w:rsidRPr="00E5088F">
        <w:rPr>
          <w:rStyle w:val="FootnoteReference"/>
        </w:rPr>
        <w:footnoteRef/>
      </w:r>
      <w:r w:rsidRPr="00E5088F">
        <w:rPr>
          <w:b/>
          <w:szCs w:val="26"/>
          <w:vertAlign w:val="superscript"/>
        </w:rPr>
        <w:t xml:space="preserve"> </w:t>
      </w:r>
      <w:r w:rsidRPr="00E5088F">
        <w:rPr>
          <w:szCs w:val="26"/>
        </w:rPr>
        <w:t>The estimates for cost per response are derived using the following formula: Average Burden Hours per Response * $n per Hour = Average Cost per Response. The $73 hourly cost figure is the average of the salary plus benefits for a manager and an engineer (rounded to the nearest dollar); $32/hour is the salary plus benefits for information and record clerks.  The figures are taken from the Bureau of Labor Statistics at http://bls.gov/oes/current/naics3_221000.htm</w:t>
      </w:r>
      <w:r w:rsidR="00E12269">
        <w:rPr>
          <w:szCs w:val="26"/>
        </w:rPr>
        <w:t>.</w:t>
      </w:r>
    </w:p>
  </w:footnote>
  <w:footnote w:id="33">
    <w:p w14:paraId="46C88029" w14:textId="77777777" w:rsidR="00485F20" w:rsidRDefault="00485F20" w:rsidP="00005C22">
      <w:pPr>
        <w:pStyle w:val="FootnoteText"/>
      </w:pPr>
      <w:r>
        <w:rPr>
          <w:rStyle w:val="FootnoteReference"/>
        </w:rPr>
        <w:footnoteRef/>
      </w:r>
      <w:r>
        <w:t xml:space="preserve"> NERC Petition at 23.</w:t>
      </w:r>
    </w:p>
  </w:footnote>
  <w:footnote w:id="34">
    <w:p w14:paraId="14E97645" w14:textId="109788EB" w:rsidR="00485F20" w:rsidRPr="00E5088F" w:rsidRDefault="00485F20" w:rsidP="00005C22">
      <w:pPr>
        <w:pStyle w:val="FootnoteText"/>
        <w:rPr>
          <w:szCs w:val="26"/>
        </w:rPr>
      </w:pPr>
      <w:r w:rsidRPr="00E5088F">
        <w:rPr>
          <w:rStyle w:val="FootnoteReference"/>
        </w:rPr>
        <w:footnoteRef/>
      </w:r>
      <w:r w:rsidRPr="00E5088F">
        <w:rPr>
          <w:b/>
          <w:szCs w:val="26"/>
          <w:vertAlign w:val="superscript"/>
        </w:rPr>
        <w:t xml:space="preserve"> </w:t>
      </w:r>
      <w:r w:rsidRPr="00E5088F">
        <w:rPr>
          <w:szCs w:val="26"/>
        </w:rPr>
        <w:t>The estimates for cost per response are derived using the following formula: Average Burden Hours per Response * $n per Hour = Average Cost per Response. The $73 hourly cost figure is the average of the salary plus benefits for a manager and an engineer (rounded to the nearest dollar); $32/hour is the salary plus benefits for information and record clerks.  The figures are taken from the Bureau of Labor Statistics at http://bls.gov/oes/current/naics3_221000.htm</w:t>
      </w:r>
      <w:r w:rsidR="00E12269">
        <w:rPr>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52CBB" w14:textId="77777777" w:rsidR="00485F20" w:rsidRDefault="00485F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03E6">
      <w:rPr>
        <w:rStyle w:val="PageNumber"/>
        <w:noProof/>
      </w:rPr>
      <w:t>- 12 -</w:t>
    </w:r>
    <w:r>
      <w:rPr>
        <w:rStyle w:val="PageNumber"/>
      </w:rPr>
      <w:fldChar w:fldCharType="end"/>
    </w:r>
  </w:p>
  <w:p w14:paraId="13F1ADD8" w14:textId="77777777" w:rsidR="00485F20" w:rsidRDefault="00485F2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9BA5B" w14:textId="77777777" w:rsidR="00485F20" w:rsidRDefault="00485F20">
    <w:pPr>
      <w:pStyle w:val="Header"/>
      <w:ind w:right="360"/>
    </w:pPr>
    <w:r>
      <w:t xml:space="preserve">Docket No. RD14-14-000 </w:t>
    </w:r>
    <w:r>
      <w:tab/>
    </w:r>
    <w:r>
      <w:fldChar w:fldCharType="begin"/>
    </w:r>
    <w:r>
      <w:instrText xml:space="preserve"> PAGE  \* MERGEFORMAT </w:instrText>
    </w:r>
    <w:r>
      <w:fldChar w:fldCharType="separate"/>
    </w:r>
    <w:r w:rsidR="00FE6189">
      <w:rPr>
        <w:noProof/>
      </w:rPr>
      <w:t>- 2 -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E60C2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329F4071"/>
    <w:multiLevelType w:val="multilevel"/>
    <w:tmpl w:val="A0B255EE"/>
    <w:lvl w:ilvl="0">
      <w:start w:val="1"/>
      <w:numFmt w:val="decimal"/>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3156D43"/>
    <w:multiLevelType w:val="multilevel"/>
    <w:tmpl w:val="8152A0FA"/>
    <w:lvl w:ilvl="0">
      <w:start w:val="1"/>
      <w:numFmt w:val="decimal"/>
      <w:pStyle w:val="FERCparanumberCharCharCharCharCharCharCharCha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3" w15:restartNumberingAfterBreak="0">
    <w:nsid w:val="71BD2835"/>
    <w:multiLevelType w:val="hybridMultilevel"/>
    <w:tmpl w:val="6E1EE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47D28D9"/>
    <w:multiLevelType w:val="hybridMultilevel"/>
    <w:tmpl w:val="D7CC6458"/>
    <w:lvl w:ilvl="0" w:tplc="E4FAF836">
      <w:start w:val="2"/>
      <w:numFmt w:val="upperRoman"/>
      <w:lvlText w:val="%1."/>
      <w:lvlJc w:val="left"/>
      <w:pPr>
        <w:tabs>
          <w:tab w:val="num" w:pos="1080"/>
        </w:tabs>
        <w:ind w:left="1080" w:hanging="720"/>
      </w:pPr>
      <w:rPr>
        <w:rFonts w:hint="default"/>
      </w:rPr>
    </w:lvl>
    <w:lvl w:ilvl="1" w:tplc="04090019">
      <w:start w:val="3"/>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9B5539"/>
    <w:multiLevelType w:val="hybridMultilevel"/>
    <w:tmpl w:val="20CEE4CE"/>
    <w:lvl w:ilvl="0" w:tplc="90580CEE">
      <w:start w:val="4"/>
      <w:numFmt w:val="upperRoman"/>
      <w:lvlText w:val="%1."/>
      <w:lvlJc w:val="left"/>
      <w:pPr>
        <w:tabs>
          <w:tab w:val="num" w:pos="1080"/>
        </w:tabs>
        <w:ind w:left="1080" w:hanging="720"/>
      </w:pPr>
      <w:rPr>
        <w:rFonts w:hint="default"/>
      </w:rPr>
    </w:lvl>
    <w:lvl w:ilvl="1" w:tplc="EA26746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B7389B"/>
    <w:multiLevelType w:val="hybridMultilevel"/>
    <w:tmpl w:val="B8C6F348"/>
    <w:lvl w:ilvl="0" w:tplc="7AA809F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ahom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Tahom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Tahom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4E4DD3"/>
    <w:multiLevelType w:val="hybridMultilevel"/>
    <w:tmpl w:val="20BE8C40"/>
    <w:lvl w:ilvl="0" w:tplc="DF9046B2">
      <w:start w:val="1"/>
      <w:numFmt w:val="decimal"/>
      <w:pStyle w:val="FERCparanumber"/>
      <w:lvlText w:val="%1."/>
      <w:lvlJc w:val="left"/>
      <w:pPr>
        <w:tabs>
          <w:tab w:val="num" w:pos="720"/>
        </w:tabs>
        <w:ind w:left="0" w:firstLine="0"/>
      </w:pPr>
      <w:rPr>
        <w:b w:val="0"/>
      </w:rPr>
    </w:lvl>
    <w:lvl w:ilvl="1" w:tplc="04090003">
      <w:start w:val="1"/>
      <w:numFmt w:val="upperRoman"/>
      <w:lvlText w:val="%2."/>
      <w:lvlJc w:val="left"/>
      <w:pPr>
        <w:tabs>
          <w:tab w:val="num" w:pos="1800"/>
        </w:tabs>
        <w:ind w:left="1800" w:hanging="72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6"/>
  </w:num>
  <w:num w:numId="14">
    <w:abstractNumId w:val="11"/>
  </w:num>
  <w:num w:numId="15">
    <w:abstractNumId w:val="15"/>
  </w:num>
  <w:num w:numId="16">
    <w:abstractNumId w:val="14"/>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2DB"/>
    <w:rsid w:val="0000005A"/>
    <w:rsid w:val="00005C22"/>
    <w:rsid w:val="00005DF0"/>
    <w:rsid w:val="0001240E"/>
    <w:rsid w:val="00015938"/>
    <w:rsid w:val="0002522C"/>
    <w:rsid w:val="0002670F"/>
    <w:rsid w:val="00033E6B"/>
    <w:rsid w:val="00034B28"/>
    <w:rsid w:val="00044CBD"/>
    <w:rsid w:val="00052336"/>
    <w:rsid w:val="000550DE"/>
    <w:rsid w:val="0005707E"/>
    <w:rsid w:val="00061E9F"/>
    <w:rsid w:val="000624DC"/>
    <w:rsid w:val="000643EB"/>
    <w:rsid w:val="000B0888"/>
    <w:rsid w:val="000B0DCD"/>
    <w:rsid w:val="000D661F"/>
    <w:rsid w:val="000E331B"/>
    <w:rsid w:val="000E3A9B"/>
    <w:rsid w:val="000E648E"/>
    <w:rsid w:val="000F6412"/>
    <w:rsid w:val="000F7F5D"/>
    <w:rsid w:val="00103407"/>
    <w:rsid w:val="001050D3"/>
    <w:rsid w:val="00107C1E"/>
    <w:rsid w:val="00123664"/>
    <w:rsid w:val="00133502"/>
    <w:rsid w:val="00167F12"/>
    <w:rsid w:val="001726C2"/>
    <w:rsid w:val="0018166C"/>
    <w:rsid w:val="00194233"/>
    <w:rsid w:val="00195E04"/>
    <w:rsid w:val="001A4BDC"/>
    <w:rsid w:val="001B6182"/>
    <w:rsid w:val="001C1375"/>
    <w:rsid w:val="001C39F1"/>
    <w:rsid w:val="001C48A4"/>
    <w:rsid w:val="001C5D1E"/>
    <w:rsid w:val="001D3774"/>
    <w:rsid w:val="001D5102"/>
    <w:rsid w:val="001F5B19"/>
    <w:rsid w:val="001F6209"/>
    <w:rsid w:val="001F64DC"/>
    <w:rsid w:val="0020023D"/>
    <w:rsid w:val="00206C0F"/>
    <w:rsid w:val="0021196D"/>
    <w:rsid w:val="00217501"/>
    <w:rsid w:val="00236DB3"/>
    <w:rsid w:val="00253A27"/>
    <w:rsid w:val="00254DF4"/>
    <w:rsid w:val="00262794"/>
    <w:rsid w:val="0026480D"/>
    <w:rsid w:val="00265B4B"/>
    <w:rsid w:val="00272E94"/>
    <w:rsid w:val="0027461C"/>
    <w:rsid w:val="002766E3"/>
    <w:rsid w:val="002803F9"/>
    <w:rsid w:val="002824DB"/>
    <w:rsid w:val="00285280"/>
    <w:rsid w:val="002A61BF"/>
    <w:rsid w:val="002B17EC"/>
    <w:rsid w:val="002C197F"/>
    <w:rsid w:val="002C3174"/>
    <w:rsid w:val="002D5BD3"/>
    <w:rsid w:val="002D6233"/>
    <w:rsid w:val="002D7E4F"/>
    <w:rsid w:val="002E4497"/>
    <w:rsid w:val="002F572B"/>
    <w:rsid w:val="00303B8E"/>
    <w:rsid w:val="0030781A"/>
    <w:rsid w:val="00317446"/>
    <w:rsid w:val="00320EA2"/>
    <w:rsid w:val="00320F2E"/>
    <w:rsid w:val="00330155"/>
    <w:rsid w:val="00330A16"/>
    <w:rsid w:val="00343553"/>
    <w:rsid w:val="00345236"/>
    <w:rsid w:val="0034645A"/>
    <w:rsid w:val="00347C6B"/>
    <w:rsid w:val="00366172"/>
    <w:rsid w:val="0037738D"/>
    <w:rsid w:val="003813F0"/>
    <w:rsid w:val="003866AB"/>
    <w:rsid w:val="0039136F"/>
    <w:rsid w:val="003B1A47"/>
    <w:rsid w:val="003B2826"/>
    <w:rsid w:val="003C6AA7"/>
    <w:rsid w:val="003D13CE"/>
    <w:rsid w:val="003D3853"/>
    <w:rsid w:val="003E352D"/>
    <w:rsid w:val="003E6641"/>
    <w:rsid w:val="0040737B"/>
    <w:rsid w:val="00435BCE"/>
    <w:rsid w:val="00436C2F"/>
    <w:rsid w:val="00456C5A"/>
    <w:rsid w:val="00463889"/>
    <w:rsid w:val="004704AA"/>
    <w:rsid w:val="00474CB4"/>
    <w:rsid w:val="00485F20"/>
    <w:rsid w:val="004A3063"/>
    <w:rsid w:val="004A6087"/>
    <w:rsid w:val="004C5CEB"/>
    <w:rsid w:val="004D2C04"/>
    <w:rsid w:val="004D2D3E"/>
    <w:rsid w:val="004D58E4"/>
    <w:rsid w:val="004D7C8A"/>
    <w:rsid w:val="005010F8"/>
    <w:rsid w:val="00511EE3"/>
    <w:rsid w:val="00514D58"/>
    <w:rsid w:val="00525C94"/>
    <w:rsid w:val="00533DB7"/>
    <w:rsid w:val="005418FB"/>
    <w:rsid w:val="00553914"/>
    <w:rsid w:val="005734D0"/>
    <w:rsid w:val="0058549F"/>
    <w:rsid w:val="00586FBD"/>
    <w:rsid w:val="005927AA"/>
    <w:rsid w:val="005A6FF0"/>
    <w:rsid w:val="005B03C7"/>
    <w:rsid w:val="005B2D7D"/>
    <w:rsid w:val="005B5A9D"/>
    <w:rsid w:val="005C205E"/>
    <w:rsid w:val="005D092C"/>
    <w:rsid w:val="005D5535"/>
    <w:rsid w:val="00602437"/>
    <w:rsid w:val="0060607F"/>
    <w:rsid w:val="00607715"/>
    <w:rsid w:val="00626E10"/>
    <w:rsid w:val="00636715"/>
    <w:rsid w:val="00650541"/>
    <w:rsid w:val="006520B5"/>
    <w:rsid w:val="00652487"/>
    <w:rsid w:val="006528D6"/>
    <w:rsid w:val="006573F3"/>
    <w:rsid w:val="0066333E"/>
    <w:rsid w:val="0067740B"/>
    <w:rsid w:val="00680EC1"/>
    <w:rsid w:val="006926A5"/>
    <w:rsid w:val="00695528"/>
    <w:rsid w:val="006A27A1"/>
    <w:rsid w:val="006A5AE1"/>
    <w:rsid w:val="006A7AFE"/>
    <w:rsid w:val="006B0B7C"/>
    <w:rsid w:val="006C718E"/>
    <w:rsid w:val="006C7DCA"/>
    <w:rsid w:val="006D2147"/>
    <w:rsid w:val="006D5F8F"/>
    <w:rsid w:val="006E192C"/>
    <w:rsid w:val="007018C9"/>
    <w:rsid w:val="007019D4"/>
    <w:rsid w:val="0071047A"/>
    <w:rsid w:val="00711A58"/>
    <w:rsid w:val="007121F8"/>
    <w:rsid w:val="00735E04"/>
    <w:rsid w:val="00746596"/>
    <w:rsid w:val="00755E06"/>
    <w:rsid w:val="00796782"/>
    <w:rsid w:val="007A16CB"/>
    <w:rsid w:val="007B13F6"/>
    <w:rsid w:val="007C4B13"/>
    <w:rsid w:val="007C7F33"/>
    <w:rsid w:val="007D15EE"/>
    <w:rsid w:val="007D5924"/>
    <w:rsid w:val="007E05F3"/>
    <w:rsid w:val="007E6305"/>
    <w:rsid w:val="007F0C4C"/>
    <w:rsid w:val="007F6549"/>
    <w:rsid w:val="00802EFC"/>
    <w:rsid w:val="00807D33"/>
    <w:rsid w:val="00811358"/>
    <w:rsid w:val="00824352"/>
    <w:rsid w:val="0085281A"/>
    <w:rsid w:val="00853839"/>
    <w:rsid w:val="00853A91"/>
    <w:rsid w:val="00856AB9"/>
    <w:rsid w:val="0086317B"/>
    <w:rsid w:val="00874EFD"/>
    <w:rsid w:val="0087679B"/>
    <w:rsid w:val="00880ED8"/>
    <w:rsid w:val="00883E82"/>
    <w:rsid w:val="00885688"/>
    <w:rsid w:val="008931CE"/>
    <w:rsid w:val="00893E07"/>
    <w:rsid w:val="00895574"/>
    <w:rsid w:val="008A4D84"/>
    <w:rsid w:val="008B5640"/>
    <w:rsid w:val="008C13B1"/>
    <w:rsid w:val="008C659D"/>
    <w:rsid w:val="008C71FA"/>
    <w:rsid w:val="008D6F50"/>
    <w:rsid w:val="008E60E6"/>
    <w:rsid w:val="008E6989"/>
    <w:rsid w:val="008F5D62"/>
    <w:rsid w:val="00906513"/>
    <w:rsid w:val="00907305"/>
    <w:rsid w:val="00907575"/>
    <w:rsid w:val="0091106E"/>
    <w:rsid w:val="00925B5C"/>
    <w:rsid w:val="00934B2F"/>
    <w:rsid w:val="00936C20"/>
    <w:rsid w:val="00942571"/>
    <w:rsid w:val="00953609"/>
    <w:rsid w:val="009539AC"/>
    <w:rsid w:val="009539E8"/>
    <w:rsid w:val="0095411E"/>
    <w:rsid w:val="009634DB"/>
    <w:rsid w:val="00965187"/>
    <w:rsid w:val="009705B8"/>
    <w:rsid w:val="00976D07"/>
    <w:rsid w:val="00984B84"/>
    <w:rsid w:val="009862DB"/>
    <w:rsid w:val="009A0606"/>
    <w:rsid w:val="009A0745"/>
    <w:rsid w:val="009A5FC1"/>
    <w:rsid w:val="009C1D9D"/>
    <w:rsid w:val="009C23AC"/>
    <w:rsid w:val="009D01BA"/>
    <w:rsid w:val="009D1633"/>
    <w:rsid w:val="009D1E09"/>
    <w:rsid w:val="009D59F2"/>
    <w:rsid w:val="009E4D4F"/>
    <w:rsid w:val="00A03D2A"/>
    <w:rsid w:val="00A203E6"/>
    <w:rsid w:val="00A36400"/>
    <w:rsid w:val="00A370A8"/>
    <w:rsid w:val="00A42276"/>
    <w:rsid w:val="00A46A93"/>
    <w:rsid w:val="00A54A32"/>
    <w:rsid w:val="00A63D47"/>
    <w:rsid w:val="00A708B7"/>
    <w:rsid w:val="00A721F8"/>
    <w:rsid w:val="00A73F4B"/>
    <w:rsid w:val="00A8182C"/>
    <w:rsid w:val="00A835C2"/>
    <w:rsid w:val="00A85960"/>
    <w:rsid w:val="00AA3672"/>
    <w:rsid w:val="00AA4B71"/>
    <w:rsid w:val="00AB65FF"/>
    <w:rsid w:val="00AC4C70"/>
    <w:rsid w:val="00AD3A8A"/>
    <w:rsid w:val="00AE5749"/>
    <w:rsid w:val="00AF1065"/>
    <w:rsid w:val="00AF1C45"/>
    <w:rsid w:val="00AF605E"/>
    <w:rsid w:val="00AF7624"/>
    <w:rsid w:val="00B12E3A"/>
    <w:rsid w:val="00B202E4"/>
    <w:rsid w:val="00B244F8"/>
    <w:rsid w:val="00B256A1"/>
    <w:rsid w:val="00B272DB"/>
    <w:rsid w:val="00B30F94"/>
    <w:rsid w:val="00B41F03"/>
    <w:rsid w:val="00B42C0C"/>
    <w:rsid w:val="00B44778"/>
    <w:rsid w:val="00B521B5"/>
    <w:rsid w:val="00B523B0"/>
    <w:rsid w:val="00B57109"/>
    <w:rsid w:val="00B57F72"/>
    <w:rsid w:val="00B62CBA"/>
    <w:rsid w:val="00B7669F"/>
    <w:rsid w:val="00B824DE"/>
    <w:rsid w:val="00B854D3"/>
    <w:rsid w:val="00B91C35"/>
    <w:rsid w:val="00B963CF"/>
    <w:rsid w:val="00BB261B"/>
    <w:rsid w:val="00BB2BB6"/>
    <w:rsid w:val="00BB2D8E"/>
    <w:rsid w:val="00BB7827"/>
    <w:rsid w:val="00BC476B"/>
    <w:rsid w:val="00BC716C"/>
    <w:rsid w:val="00BD155C"/>
    <w:rsid w:val="00BD748B"/>
    <w:rsid w:val="00BF5F21"/>
    <w:rsid w:val="00C01F99"/>
    <w:rsid w:val="00C0264C"/>
    <w:rsid w:val="00C07906"/>
    <w:rsid w:val="00C07BBF"/>
    <w:rsid w:val="00C102A6"/>
    <w:rsid w:val="00C22CE1"/>
    <w:rsid w:val="00C301D0"/>
    <w:rsid w:val="00C3138D"/>
    <w:rsid w:val="00C33EEE"/>
    <w:rsid w:val="00C43F88"/>
    <w:rsid w:val="00C47FD8"/>
    <w:rsid w:val="00C50024"/>
    <w:rsid w:val="00C75CD6"/>
    <w:rsid w:val="00C824F7"/>
    <w:rsid w:val="00C95976"/>
    <w:rsid w:val="00CB4A9E"/>
    <w:rsid w:val="00CB4CE3"/>
    <w:rsid w:val="00CB7307"/>
    <w:rsid w:val="00CD12F3"/>
    <w:rsid w:val="00CD1784"/>
    <w:rsid w:val="00CE63A0"/>
    <w:rsid w:val="00CF4643"/>
    <w:rsid w:val="00CF5209"/>
    <w:rsid w:val="00D00FCC"/>
    <w:rsid w:val="00D0558A"/>
    <w:rsid w:val="00D07119"/>
    <w:rsid w:val="00D1493E"/>
    <w:rsid w:val="00D203B7"/>
    <w:rsid w:val="00D27808"/>
    <w:rsid w:val="00D31916"/>
    <w:rsid w:val="00D32111"/>
    <w:rsid w:val="00D42EF0"/>
    <w:rsid w:val="00D4311D"/>
    <w:rsid w:val="00D5125A"/>
    <w:rsid w:val="00D52ED0"/>
    <w:rsid w:val="00D61780"/>
    <w:rsid w:val="00D70686"/>
    <w:rsid w:val="00D73EAD"/>
    <w:rsid w:val="00D758A6"/>
    <w:rsid w:val="00D84C45"/>
    <w:rsid w:val="00D85EEA"/>
    <w:rsid w:val="00D86FD4"/>
    <w:rsid w:val="00D97C2A"/>
    <w:rsid w:val="00DB0163"/>
    <w:rsid w:val="00DB2C69"/>
    <w:rsid w:val="00DB42D2"/>
    <w:rsid w:val="00DB6D7E"/>
    <w:rsid w:val="00DB7C79"/>
    <w:rsid w:val="00DD480A"/>
    <w:rsid w:val="00DE0A62"/>
    <w:rsid w:val="00DE1739"/>
    <w:rsid w:val="00DE7B76"/>
    <w:rsid w:val="00DF5666"/>
    <w:rsid w:val="00E019E4"/>
    <w:rsid w:val="00E027EA"/>
    <w:rsid w:val="00E10569"/>
    <w:rsid w:val="00E12269"/>
    <w:rsid w:val="00E14D23"/>
    <w:rsid w:val="00E1762E"/>
    <w:rsid w:val="00E4418C"/>
    <w:rsid w:val="00E57F75"/>
    <w:rsid w:val="00E618E3"/>
    <w:rsid w:val="00E619C2"/>
    <w:rsid w:val="00E61C13"/>
    <w:rsid w:val="00E64123"/>
    <w:rsid w:val="00E66B16"/>
    <w:rsid w:val="00E839D4"/>
    <w:rsid w:val="00E84FE4"/>
    <w:rsid w:val="00E92382"/>
    <w:rsid w:val="00E96428"/>
    <w:rsid w:val="00EA033D"/>
    <w:rsid w:val="00EA0F09"/>
    <w:rsid w:val="00EA1C00"/>
    <w:rsid w:val="00EA4874"/>
    <w:rsid w:val="00EB66AA"/>
    <w:rsid w:val="00EC1954"/>
    <w:rsid w:val="00EC750B"/>
    <w:rsid w:val="00EE15DB"/>
    <w:rsid w:val="00EE45F2"/>
    <w:rsid w:val="00F065B6"/>
    <w:rsid w:val="00F17E54"/>
    <w:rsid w:val="00F22D2A"/>
    <w:rsid w:val="00F26264"/>
    <w:rsid w:val="00F315C9"/>
    <w:rsid w:val="00F33C99"/>
    <w:rsid w:val="00F421E2"/>
    <w:rsid w:val="00F674DA"/>
    <w:rsid w:val="00F71542"/>
    <w:rsid w:val="00F762A9"/>
    <w:rsid w:val="00F8367A"/>
    <w:rsid w:val="00F84743"/>
    <w:rsid w:val="00F92959"/>
    <w:rsid w:val="00FA06DA"/>
    <w:rsid w:val="00FC1709"/>
    <w:rsid w:val="00FC422B"/>
    <w:rsid w:val="00FC5D9D"/>
    <w:rsid w:val="00FD147B"/>
    <w:rsid w:val="00FD49D8"/>
    <w:rsid w:val="00FE5A05"/>
    <w:rsid w:val="00FE6189"/>
    <w:rsid w:val="00FE7B26"/>
    <w:rsid w:val="00FF7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042E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6"/>
      <w:szCs w:val="24"/>
    </w:rPr>
  </w:style>
  <w:style w:type="paragraph" w:styleId="Heading1">
    <w:name w:val="heading 1"/>
    <w:basedOn w:val="Normal"/>
    <w:next w:val="FERCparanumber"/>
    <w:qFormat/>
    <w:pPr>
      <w:keepNext/>
      <w:keepLines/>
      <w:widowControl/>
      <w:spacing w:after="260"/>
      <w:outlineLvl w:val="0"/>
    </w:pPr>
    <w:rPr>
      <w:b/>
      <w:bCs/>
      <w:kern w:val="32"/>
      <w:szCs w:val="32"/>
      <w:u w:val="single"/>
    </w:rPr>
  </w:style>
  <w:style w:type="paragraph" w:styleId="Heading2">
    <w:name w:val="heading 2"/>
    <w:basedOn w:val="Normal"/>
    <w:next w:val="FERCparanumber"/>
    <w:qFormat/>
    <w:pPr>
      <w:keepNext/>
      <w:keepLines/>
      <w:widowControl/>
      <w:spacing w:after="260"/>
      <w:ind w:left="720"/>
      <w:outlineLvl w:val="1"/>
    </w:pPr>
    <w:rPr>
      <w:b/>
      <w:bCs/>
      <w:iCs/>
      <w:kern w:val="32"/>
      <w:szCs w:val="28"/>
      <w:u w:val="single"/>
    </w:rPr>
  </w:style>
  <w:style w:type="paragraph" w:styleId="Heading3">
    <w:name w:val="heading 3"/>
    <w:basedOn w:val="Normal"/>
    <w:next w:val="FERCparanumber"/>
    <w:qFormat/>
    <w:pPr>
      <w:keepNext/>
      <w:keepLines/>
      <w:widowControl/>
      <w:spacing w:after="260"/>
      <w:ind w:left="1440"/>
      <w:outlineLvl w:val="2"/>
    </w:pPr>
    <w:rPr>
      <w:b/>
      <w:bCs/>
      <w:kern w:val="32"/>
      <w:szCs w:val="26"/>
      <w:u w:val="single"/>
    </w:rPr>
  </w:style>
  <w:style w:type="paragraph" w:styleId="Heading4">
    <w:name w:val="heading 4"/>
    <w:basedOn w:val="Normal"/>
    <w:next w:val="FERCparanumber"/>
    <w:qFormat/>
    <w:pPr>
      <w:keepNext/>
      <w:keepLines/>
      <w:widowControl/>
      <w:spacing w:after="260"/>
      <w:ind w:left="2160"/>
      <w:outlineLvl w:val="3"/>
    </w:pPr>
    <w:rPr>
      <w:b/>
      <w:bCs/>
      <w:kern w:val="32"/>
      <w:szCs w:val="28"/>
      <w:u w:val="single"/>
    </w:rPr>
  </w:style>
  <w:style w:type="paragraph" w:styleId="Heading5">
    <w:name w:val="heading 5"/>
    <w:basedOn w:val="Normal"/>
    <w:next w:val="FERCparanumber"/>
    <w:qFormat/>
    <w:pPr>
      <w:keepNext/>
      <w:keepLines/>
      <w:widowControl/>
      <w:spacing w:after="260"/>
      <w:ind w:left="2880"/>
      <w:outlineLvl w:val="4"/>
    </w:pPr>
    <w:rPr>
      <w:b/>
      <w:bCs/>
      <w:iCs/>
      <w:kern w:val="32"/>
      <w:szCs w:val="26"/>
      <w:u w:val="single"/>
    </w:rPr>
  </w:style>
  <w:style w:type="paragraph" w:styleId="Heading6">
    <w:name w:val="heading 6"/>
    <w:basedOn w:val="Normal"/>
    <w:next w:val="FERCparanumber"/>
    <w:qFormat/>
    <w:pPr>
      <w:keepNext/>
      <w:keepLines/>
      <w:widowControl/>
      <w:spacing w:after="260"/>
      <w:ind w:left="3600"/>
      <w:outlineLvl w:val="5"/>
    </w:pPr>
    <w:rPr>
      <w:b/>
      <w:bCs/>
      <w:kern w:val="32"/>
      <w:szCs w:val="22"/>
      <w:u w:val="single"/>
    </w:rPr>
  </w:style>
  <w:style w:type="paragraph" w:styleId="Heading7">
    <w:name w:val="heading 7"/>
    <w:basedOn w:val="Normal"/>
    <w:next w:val="FERCparanumber"/>
    <w:qFormat/>
    <w:pPr>
      <w:spacing w:after="260"/>
      <w:ind w:left="4320"/>
      <w:outlineLvl w:val="6"/>
    </w:pPr>
    <w:rPr>
      <w:b/>
      <w:kern w:val="32"/>
      <w:u w:val="single"/>
    </w:rPr>
  </w:style>
  <w:style w:type="paragraph" w:styleId="Heading8">
    <w:name w:val="heading 8"/>
    <w:basedOn w:val="Normal"/>
    <w:next w:val="FERCparanumber"/>
    <w:qFormat/>
    <w:pPr>
      <w:keepNext/>
      <w:keepLines/>
      <w:widowControl/>
      <w:spacing w:after="260"/>
      <w:ind w:left="5040"/>
      <w:outlineLvl w:val="7"/>
    </w:pPr>
    <w:rPr>
      <w:b/>
      <w:iCs/>
      <w:kern w:val="32"/>
      <w:u w:val="single"/>
    </w:rPr>
  </w:style>
  <w:style w:type="paragraph" w:styleId="Heading9">
    <w:name w:val="heading 9"/>
    <w:basedOn w:val="Normal"/>
    <w:next w:val="FERCparanumber"/>
    <w:qFormat/>
    <w:pPr>
      <w:keepNext/>
      <w:keepLines/>
      <w:widowControl/>
      <w:spacing w:after="260"/>
      <w:ind w:left="57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FootnoteText"/>
    <w:rPr>
      <w:szCs w:val="26"/>
    </w:rPr>
  </w:style>
  <w:style w:type="paragraph" w:styleId="FootnoteText">
    <w:name w:val="footnote text"/>
    <w:aliases w:val="Footnote Text Char,Footnote Text Char2 Char,Footnote Text Char1 Char Char,Footnote Text Char Char Char Char1,Footnote Text Char2 Char Char Char Char,Footnote Text Char Char1 Char Char Char Char,fn Char Char Char1 Char Char,fn Char1,fn Char"/>
    <w:basedOn w:val="Normal"/>
    <w:link w:val="FootnoteTextChar1"/>
    <w:uiPriority w:val="99"/>
    <w:pPr>
      <w:spacing w:after="240"/>
      <w:ind w:firstLine="720"/>
    </w:pPr>
    <w:rPr>
      <w:szCs w:val="20"/>
    </w:rPr>
  </w:style>
  <w:style w:type="paragraph" w:styleId="BalloonText">
    <w:name w:val="Balloon Text"/>
    <w:basedOn w:val="Normal"/>
    <w:semiHidden/>
    <w:rPr>
      <w:rFonts w:ascii="Tahoma" w:hAnsi="Tahoma" w:cs="Tahoma"/>
      <w:sz w:val="16"/>
      <w:szCs w:val="16"/>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Pr>
      <w:rFonts w:ascii="Times New Roman" w:hAnsi="Times New Roman"/>
      <w:b/>
      <w:dstrike w:val="0"/>
      <w:sz w:val="26"/>
      <w:szCs w:val="26"/>
      <w:vertAlign w:val="superscript"/>
    </w:rPr>
  </w:style>
  <w:style w:type="paragraph" w:styleId="ListContinue">
    <w:name w:val="List Continue"/>
    <w:basedOn w:val="Normal"/>
    <w:semiHidden/>
    <w:pPr>
      <w:widowControl/>
      <w:autoSpaceDE/>
      <w:autoSpaceDN/>
      <w:adjustRightInd/>
      <w:spacing w:after="120"/>
      <w:ind w:left="360"/>
    </w:pPr>
  </w:style>
  <w:style w:type="paragraph" w:customStyle="1" w:styleId="FERCparanumberCharCharCharCharCharCharCharChar">
    <w:name w:val="FERC paranumber Char Char Char Char Char Char Char Char"/>
    <w:basedOn w:val="Normal"/>
    <w:link w:val="FERCparanumberCharCharCharCharCharCharCharCharChar"/>
    <w:pPr>
      <w:widowControl/>
      <w:numPr>
        <w:numId w:val="1"/>
      </w:numPr>
      <w:spacing w:after="240"/>
    </w:pPr>
    <w:rPr>
      <w:szCs w:val="26"/>
    </w:rPr>
  </w:style>
  <w:style w:type="paragraph" w:styleId="Footer">
    <w:name w:val="footer"/>
    <w:basedOn w:val="Normal"/>
    <w:pPr>
      <w:tabs>
        <w:tab w:val="center" w:pos="4320"/>
        <w:tab w:val="right" w:pos="8640"/>
      </w:tabs>
    </w:pPr>
  </w:style>
  <w:style w:type="paragraph" w:styleId="Header">
    <w:name w:val="header"/>
    <w:basedOn w:val="Normal"/>
    <w:pPr>
      <w:tabs>
        <w:tab w:val="right" w:pos="8640"/>
      </w:tabs>
      <w:spacing w:after="120"/>
    </w:pPr>
  </w:style>
  <w:style w:type="character" w:styleId="PageNumber">
    <w:name w:val="page number"/>
    <w:basedOn w:val="DefaultParagraphFont"/>
  </w:style>
  <w:style w:type="paragraph" w:customStyle="1" w:styleId="FERCparanumber">
    <w:name w:val="FERC paranumber"/>
    <w:basedOn w:val="Normal"/>
    <w:link w:val="FERCparanumberChar1"/>
    <w:pPr>
      <w:widowControl/>
      <w:numPr>
        <w:numId w:val="2"/>
      </w:numPr>
      <w:spacing w:after="240"/>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semiHidden/>
    <w:pPr>
      <w:ind w:left="260" w:hanging="260"/>
    </w:pPr>
  </w:style>
  <w:style w:type="paragraph" w:styleId="Index2">
    <w:name w:val="index 2"/>
    <w:basedOn w:val="Normal"/>
    <w:next w:val="Normal"/>
    <w:semiHidden/>
    <w:pPr>
      <w:ind w:left="520" w:hanging="260"/>
    </w:pPr>
  </w:style>
  <w:style w:type="paragraph" w:styleId="Index3">
    <w:name w:val="index 3"/>
    <w:basedOn w:val="Normal"/>
    <w:next w:val="Normal"/>
    <w:semiHidden/>
    <w:pPr>
      <w:ind w:left="780" w:hanging="260"/>
    </w:pPr>
  </w:style>
  <w:style w:type="paragraph" w:styleId="Index4">
    <w:name w:val="index 4"/>
    <w:basedOn w:val="Normal"/>
    <w:next w:val="Normal"/>
    <w:semiHidden/>
    <w:pPr>
      <w:ind w:left="1040" w:hanging="260"/>
    </w:pPr>
  </w:style>
  <w:style w:type="paragraph" w:styleId="Index5">
    <w:name w:val="index 5"/>
    <w:basedOn w:val="Normal"/>
    <w:next w:val="Normal"/>
    <w:semiHidden/>
    <w:pPr>
      <w:ind w:left="1300" w:hanging="260"/>
    </w:pPr>
  </w:style>
  <w:style w:type="paragraph" w:styleId="Index6">
    <w:name w:val="index 6"/>
    <w:basedOn w:val="Normal"/>
    <w:next w:val="Normal"/>
    <w:semiHidden/>
    <w:pPr>
      <w:ind w:left="1560" w:hanging="260"/>
    </w:pPr>
  </w:style>
  <w:style w:type="paragraph" w:styleId="Index7">
    <w:name w:val="index 7"/>
    <w:basedOn w:val="Normal"/>
    <w:next w:val="Normal"/>
    <w:semiHidden/>
    <w:pPr>
      <w:ind w:left="1820" w:hanging="260"/>
    </w:pPr>
  </w:style>
  <w:style w:type="paragraph" w:styleId="Index8">
    <w:name w:val="index 8"/>
    <w:basedOn w:val="Normal"/>
    <w:next w:val="Normal"/>
    <w:semiHidden/>
    <w:pPr>
      <w:ind w:left="2080" w:hanging="260"/>
    </w:pPr>
  </w:style>
  <w:style w:type="paragraph" w:styleId="Index9">
    <w:name w:val="index 9"/>
    <w:basedOn w:val="Normal"/>
    <w:next w:val="Normal"/>
    <w:semiHidden/>
    <w:pPr>
      <w:ind w:left="2340" w:hanging="26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3"/>
      </w:numPr>
    </w:pPr>
  </w:style>
  <w:style w:type="paragraph" w:styleId="ListBullet2">
    <w:name w:val="List Bullet 2"/>
    <w:basedOn w:val="Normal"/>
    <w:pPr>
      <w:numPr>
        <w:numId w:val="4"/>
      </w:numPr>
    </w:pPr>
  </w:style>
  <w:style w:type="paragraph" w:styleId="ListBullet3">
    <w:name w:val="List Bullet 3"/>
    <w:basedOn w:val="Normal"/>
    <w:pPr>
      <w:numPr>
        <w:numId w:val="5"/>
      </w:numPr>
    </w:pPr>
  </w:style>
  <w:style w:type="paragraph" w:styleId="ListBullet4">
    <w:name w:val="List Bullet 4"/>
    <w:basedOn w:val="Normal"/>
    <w:pPr>
      <w:numPr>
        <w:numId w:val="6"/>
      </w:numPr>
    </w:pPr>
  </w:style>
  <w:style w:type="paragraph" w:styleId="ListBullet5">
    <w:name w:val="List Bullet 5"/>
    <w:basedOn w:val="Normal"/>
    <w:pPr>
      <w:numPr>
        <w:numId w:val="7"/>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60" w:hanging="260"/>
    </w:pPr>
  </w:style>
  <w:style w:type="paragraph" w:styleId="TableofFigures">
    <w:name w:val="table of figures"/>
    <w:basedOn w:val="Normal"/>
    <w:next w:val="Normal"/>
    <w:semiHidden/>
    <w:pPr>
      <w:ind w:left="520" w:hanging="52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semiHidden/>
  </w:style>
  <w:style w:type="paragraph" w:styleId="TOC2">
    <w:name w:val="toc 2"/>
    <w:basedOn w:val="Normal"/>
    <w:next w:val="Normal"/>
    <w:semiHidden/>
    <w:pPr>
      <w:ind w:left="260"/>
    </w:pPr>
  </w:style>
  <w:style w:type="paragraph" w:styleId="TOC3">
    <w:name w:val="toc 3"/>
    <w:basedOn w:val="Normal"/>
    <w:next w:val="Normal"/>
    <w:semiHidden/>
    <w:pPr>
      <w:ind w:left="520"/>
    </w:pPr>
  </w:style>
  <w:style w:type="paragraph" w:styleId="TOC4">
    <w:name w:val="toc 4"/>
    <w:basedOn w:val="Normal"/>
    <w:next w:val="Normal"/>
    <w:semiHidden/>
    <w:pPr>
      <w:ind w:left="780"/>
    </w:pPr>
  </w:style>
  <w:style w:type="paragraph" w:styleId="TOC5">
    <w:name w:val="toc 5"/>
    <w:basedOn w:val="Normal"/>
    <w:next w:val="Normal"/>
    <w:semiHidden/>
    <w:pPr>
      <w:ind w:left="1040"/>
    </w:pPr>
  </w:style>
  <w:style w:type="paragraph" w:styleId="TOC6">
    <w:name w:val="toc 6"/>
    <w:basedOn w:val="Normal"/>
    <w:next w:val="Normal"/>
    <w:semiHidden/>
    <w:pPr>
      <w:ind w:left="1300"/>
    </w:pPr>
  </w:style>
  <w:style w:type="paragraph" w:styleId="TOC7">
    <w:name w:val="toc 7"/>
    <w:basedOn w:val="Normal"/>
    <w:next w:val="Normal"/>
    <w:semiHidden/>
    <w:pPr>
      <w:ind w:left="1560"/>
    </w:pPr>
  </w:style>
  <w:style w:type="paragraph" w:styleId="TOC8">
    <w:name w:val="toc 8"/>
    <w:basedOn w:val="Normal"/>
    <w:next w:val="Normal"/>
    <w:semiHidden/>
    <w:pPr>
      <w:ind w:left="1820"/>
    </w:pPr>
  </w:style>
  <w:style w:type="paragraph" w:styleId="TOC9">
    <w:name w:val="toc 9"/>
    <w:basedOn w:val="Normal"/>
    <w:next w:val="Normal"/>
    <w:semiHidden/>
    <w:pPr>
      <w:ind w:left="2080"/>
    </w:p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TOCStyle">
    <w:name w:val="Non-TOC Style"/>
    <w:basedOn w:val="Normal"/>
    <w:next w:val="FERCparanumber"/>
    <w:pPr>
      <w:spacing w:after="240"/>
      <w:ind w:left="1440"/>
    </w:pPr>
    <w:rPr>
      <w:b/>
      <w:szCs w:val="26"/>
      <w:u w:val="single"/>
    </w:rPr>
  </w:style>
  <w:style w:type="paragraph" w:customStyle="1" w:styleId="myTOC1">
    <w:name w:val="myTOC 1"/>
    <w:basedOn w:val="Normal"/>
    <w:next w:val="Normal"/>
    <w:pPr>
      <w:tabs>
        <w:tab w:val="right" w:leader="dot" w:pos="9360"/>
      </w:tabs>
      <w:spacing w:before="120"/>
    </w:pPr>
    <w:rPr>
      <w:szCs w:val="26"/>
    </w:rPr>
  </w:style>
  <w:style w:type="paragraph" w:customStyle="1" w:styleId="myTOC2">
    <w:name w:val="myTOC 2"/>
    <w:basedOn w:val="Normal"/>
    <w:next w:val="Normal"/>
    <w:pPr>
      <w:tabs>
        <w:tab w:val="right" w:leader="dot" w:pos="9360"/>
      </w:tabs>
      <w:ind w:left="288"/>
    </w:pPr>
    <w:rPr>
      <w:szCs w:val="26"/>
    </w:rPr>
  </w:style>
  <w:style w:type="paragraph" w:customStyle="1" w:styleId="myTOC3">
    <w:name w:val="myTOC 3"/>
    <w:basedOn w:val="Normal"/>
    <w:next w:val="Normal"/>
    <w:pPr>
      <w:tabs>
        <w:tab w:val="right" w:leader="dot" w:pos="9360"/>
      </w:tabs>
      <w:ind w:left="576"/>
    </w:pPr>
    <w:rPr>
      <w:szCs w:val="26"/>
    </w:rPr>
  </w:style>
  <w:style w:type="paragraph" w:customStyle="1" w:styleId="myTOC4">
    <w:name w:val="myTOC 4"/>
    <w:basedOn w:val="Normal"/>
    <w:next w:val="Normal"/>
    <w:pPr>
      <w:tabs>
        <w:tab w:val="right" w:leader="dot" w:pos="9360"/>
      </w:tabs>
      <w:ind w:left="864"/>
    </w:pPr>
    <w:rPr>
      <w:szCs w:val="26"/>
    </w:rPr>
  </w:style>
  <w:style w:type="paragraph" w:customStyle="1" w:styleId="myTOC5">
    <w:name w:val="myTOC 5"/>
    <w:basedOn w:val="Normal"/>
    <w:next w:val="Normal"/>
    <w:pPr>
      <w:tabs>
        <w:tab w:val="right" w:leader="dot" w:pos="9360"/>
      </w:tabs>
      <w:ind w:left="1152"/>
    </w:pPr>
    <w:rPr>
      <w:szCs w:val="26"/>
    </w:rPr>
  </w:style>
  <w:style w:type="paragraph" w:customStyle="1" w:styleId="BlockIndent">
    <w:name w:val="Block Indent"/>
    <w:basedOn w:val="Normal"/>
    <w:next w:val="FERCparanumber"/>
    <w:pPr>
      <w:spacing w:after="240"/>
      <w:ind w:left="1440" w:right="1440"/>
    </w:pPr>
  </w:style>
  <w:style w:type="paragraph" w:customStyle="1" w:styleId="myTOC6">
    <w:name w:val="myTOC 6"/>
    <w:basedOn w:val="Normal"/>
    <w:next w:val="Normal"/>
    <w:pPr>
      <w:widowControl/>
      <w:tabs>
        <w:tab w:val="right" w:leader="dot" w:pos="9360"/>
      </w:tabs>
      <w:autoSpaceDE/>
      <w:autoSpaceDN/>
      <w:adjustRightInd/>
      <w:ind w:left="1440"/>
    </w:pPr>
    <w:rPr>
      <w:szCs w:val="26"/>
    </w:rPr>
  </w:style>
  <w:style w:type="paragraph" w:customStyle="1" w:styleId="myTOC7">
    <w:name w:val="myTOC 7"/>
    <w:basedOn w:val="Normal"/>
    <w:next w:val="Normal"/>
    <w:pPr>
      <w:widowControl/>
      <w:tabs>
        <w:tab w:val="right" w:leader="dot" w:pos="9360"/>
      </w:tabs>
      <w:autoSpaceDE/>
      <w:autoSpaceDN/>
      <w:adjustRightInd/>
      <w:ind w:left="1728"/>
    </w:pPr>
    <w:rPr>
      <w:szCs w:val="26"/>
    </w:rPr>
  </w:style>
  <w:style w:type="paragraph" w:customStyle="1" w:styleId="myTOC8">
    <w:name w:val="myTOC 8"/>
    <w:basedOn w:val="Normal"/>
    <w:next w:val="Normal"/>
    <w:pPr>
      <w:widowControl/>
      <w:tabs>
        <w:tab w:val="right" w:leader="dot" w:pos="9360"/>
      </w:tabs>
      <w:autoSpaceDE/>
      <w:autoSpaceDN/>
      <w:adjustRightInd/>
      <w:ind w:left="2016"/>
    </w:pPr>
    <w:rPr>
      <w:szCs w:val="26"/>
    </w:rPr>
  </w:style>
  <w:style w:type="paragraph" w:customStyle="1" w:styleId="myTOC9">
    <w:name w:val="myTOC 9"/>
    <w:basedOn w:val="Normal"/>
    <w:next w:val="Normal"/>
    <w:pPr>
      <w:widowControl/>
      <w:tabs>
        <w:tab w:val="right" w:leader="dot" w:pos="9360"/>
      </w:tabs>
      <w:autoSpaceDE/>
      <w:autoSpaceDN/>
      <w:adjustRightInd/>
      <w:ind w:left="2304"/>
    </w:pPr>
    <w:rPr>
      <w:szCs w:val="26"/>
    </w:rPr>
  </w:style>
  <w:style w:type="character" w:customStyle="1" w:styleId="FERCparanumberCharCharCharCharCharCharCharCharChar">
    <w:name w:val="FERC paranumber Char Char Char Char Char Char Char Char Char"/>
    <w:link w:val="FERCparanumberCharCharCharCharCharCharCharChar"/>
    <w:rPr>
      <w:sz w:val="26"/>
      <w:szCs w:val="26"/>
      <w:lang w:val="en-US" w:eastAsia="en-US" w:bidi="ar-SA"/>
    </w:rPr>
  </w:style>
  <w:style w:type="character" w:customStyle="1" w:styleId="FootnoteTextChar1">
    <w:name w:val="Footnote Text Char1"/>
    <w:aliases w:val="Footnote Text Char Char,Footnote Text Char2 Char Char,Footnote Text Char1 Char Char Char1,Footnote Text Char Char Char Char1 Char,Footnote Text Char2 Char Char Char Char Char,Footnote Text Char Char1 Char Char Char Char Char"/>
    <w:link w:val="FootnoteText"/>
    <w:uiPriority w:val="99"/>
    <w:rPr>
      <w:sz w:val="26"/>
      <w:lang w:val="en-US" w:eastAsia="en-US" w:bidi="ar-SA"/>
    </w:rPr>
  </w:style>
  <w:style w:type="paragraph" w:customStyle="1" w:styleId="FERCparanumberChar">
    <w:name w:val="FERC paranumber Char"/>
    <w:basedOn w:val="Normal"/>
    <w:pPr>
      <w:widowControl/>
      <w:tabs>
        <w:tab w:val="num" w:pos="720"/>
      </w:tabs>
      <w:spacing w:after="240"/>
    </w:pPr>
    <w:rPr>
      <w:szCs w:val="26"/>
    </w:rPr>
  </w:style>
  <w:style w:type="paragraph" w:customStyle="1" w:styleId="FERCparanumberCharCharCharChar">
    <w:name w:val="FERC paranumber Char Char Char Char"/>
    <w:basedOn w:val="Normal"/>
    <w:pPr>
      <w:widowControl/>
      <w:tabs>
        <w:tab w:val="num" w:pos="1500"/>
      </w:tabs>
      <w:spacing w:after="240"/>
      <w:ind w:left="780"/>
    </w:pPr>
    <w:rPr>
      <w:szCs w:val="26"/>
    </w:rPr>
  </w:style>
  <w:style w:type="paragraph" w:customStyle="1" w:styleId="FERCparanumberCharCharCharCharCharCharChar">
    <w:name w:val="FERC paranumber Char Char Char Char Char Char Char"/>
    <w:basedOn w:val="Normal"/>
    <w:pPr>
      <w:widowControl/>
      <w:tabs>
        <w:tab w:val="num" w:pos="360"/>
      </w:tabs>
      <w:spacing w:after="240"/>
      <w:ind w:left="360" w:hanging="360"/>
    </w:pPr>
    <w:rPr>
      <w:szCs w:val="26"/>
    </w:rPr>
  </w:style>
  <w:style w:type="character" w:customStyle="1" w:styleId="FootnoteTextChar1Char2">
    <w:name w:val="Footnote Text Char1 Char2"/>
    <w:aliases w:val="Footnote Text Char Char Char1,Footnote Text Char1 Char Char1,Footnote Text Char Char Char Char,Footnote Text MRP Char,Footnote Text Char1 Char Char Char,Footnote Text Char1 Char1 Char,Footnote Text Char3 Char,fn1 Char"/>
    <w:uiPriority w:val="99"/>
    <w:rPr>
      <w:sz w:val="26"/>
      <w:lang w:val="en-US" w:eastAsia="en-US" w:bidi="ar-SA"/>
    </w:rPr>
  </w:style>
  <w:style w:type="character" w:customStyle="1" w:styleId="FERCparanumberChar1">
    <w:name w:val="FERC paranumber Char1"/>
    <w:link w:val="FERCparanumber"/>
    <w:rPr>
      <w:sz w:val="26"/>
      <w:szCs w:val="24"/>
      <w:lang w:val="en-US" w:eastAsia="en-US" w:bidi="ar-SA"/>
    </w:rPr>
  </w:style>
  <w:style w:type="character" w:customStyle="1" w:styleId="EmailStyle116">
    <w:name w:val="EmailStyle116"/>
    <w:semiHidden/>
    <w:rPr>
      <w:rFonts w:ascii="Arial" w:hAnsi="Arial" w:cs="Arial"/>
      <w:color w:val="auto"/>
      <w:sz w:val="20"/>
      <w:szCs w:val="20"/>
    </w:rPr>
  </w:style>
  <w:style w:type="character" w:styleId="CommentReference">
    <w:name w:val="annotation reference"/>
    <w:semiHidden/>
    <w:rPr>
      <w:sz w:val="16"/>
      <w:szCs w:val="16"/>
    </w:rPr>
  </w:style>
  <w:style w:type="paragraph" w:customStyle="1" w:styleId="Default">
    <w:name w:val="Default"/>
    <w:pPr>
      <w:autoSpaceDE w:val="0"/>
      <w:autoSpaceDN w:val="0"/>
      <w:adjustRightInd w:val="0"/>
    </w:pPr>
    <w:rPr>
      <w:color w:val="000000"/>
      <w:sz w:val="24"/>
      <w:szCs w:val="24"/>
    </w:rPr>
  </w:style>
  <w:style w:type="character" w:customStyle="1" w:styleId="term1">
    <w:name w:val="term1"/>
    <w:rPr>
      <w:b/>
      <w:bCs/>
    </w:rPr>
  </w:style>
  <w:style w:type="character" w:styleId="Hyperlink">
    <w:name w:val="Hyperlink"/>
    <w:rPr>
      <w:strike w:val="0"/>
      <w:dstrike w:val="0"/>
      <w:color w:val="004B91"/>
      <w:u w:val="none"/>
      <w:effect w:val="none"/>
    </w:rPr>
  </w:style>
  <w:style w:type="paragraph" w:customStyle="1" w:styleId="LegalFormat">
    <w:name w:val="Legal Format"/>
    <w:basedOn w:val="ListContinue"/>
    <w:pPr>
      <w:tabs>
        <w:tab w:val="num" w:pos="720"/>
      </w:tabs>
      <w:spacing w:after="240"/>
      <w:ind w:left="0"/>
    </w:pPr>
    <w:rPr>
      <w:szCs w:val="26"/>
    </w:rPr>
  </w:style>
  <w:style w:type="character" w:styleId="FollowedHyperlink">
    <w:name w:val="FollowedHyperlink"/>
    <w:rsid w:val="00656A81"/>
    <w:rPr>
      <w:color w:val="800080"/>
      <w:u w:val="single"/>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
    <w:uiPriority w:val="99"/>
    <w:semiHidden/>
    <w:rsid w:val="00880ED8"/>
    <w:rPr>
      <w:sz w:val="20"/>
      <w:szCs w:val="20"/>
    </w:rPr>
  </w:style>
  <w:style w:type="paragraph" w:styleId="Revision">
    <w:name w:val="Revision"/>
    <w:hidden/>
    <w:semiHidden/>
    <w:rsid w:val="009D59F2"/>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352377">
      <w:bodyDiv w:val="1"/>
      <w:marLeft w:val="0"/>
      <w:marRight w:val="0"/>
      <w:marTop w:val="0"/>
      <w:marBottom w:val="0"/>
      <w:divBdr>
        <w:top w:val="none" w:sz="0" w:space="0" w:color="auto"/>
        <w:left w:val="none" w:sz="0" w:space="0" w:color="auto"/>
        <w:bottom w:val="none" w:sz="0" w:space="0" w:color="auto"/>
        <w:right w:val="none" w:sz="0" w:space="0" w:color="auto"/>
      </w:divBdr>
      <w:divsChild>
        <w:div w:id="596139639">
          <w:marLeft w:val="0"/>
          <w:marRight w:val="0"/>
          <w:marTop w:val="0"/>
          <w:marBottom w:val="0"/>
          <w:divBdr>
            <w:top w:val="none" w:sz="0" w:space="0" w:color="auto"/>
            <w:left w:val="none" w:sz="0" w:space="0" w:color="auto"/>
            <w:bottom w:val="none" w:sz="0" w:space="0" w:color="auto"/>
            <w:right w:val="none" w:sz="0" w:space="0" w:color="auto"/>
          </w:divBdr>
          <w:divsChild>
            <w:div w:id="2112316571">
              <w:marLeft w:val="0"/>
              <w:marRight w:val="0"/>
              <w:marTop w:val="0"/>
              <w:marBottom w:val="0"/>
              <w:divBdr>
                <w:top w:val="none" w:sz="0" w:space="0" w:color="auto"/>
                <w:left w:val="none" w:sz="0" w:space="0" w:color="auto"/>
                <w:bottom w:val="none" w:sz="0" w:space="0" w:color="auto"/>
                <w:right w:val="none" w:sz="0" w:space="0" w:color="auto"/>
              </w:divBdr>
              <w:divsChild>
                <w:div w:id="15610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erc.com/comm/RISC/Agenda%20Highlights%20and%20Minutes/ERO%20Top%20Priority%20Reliability%20Risks%20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14550-5813-4EB9-8AC4-3E5B404247C4}">
  <ds:schemaRefs>
    <ds:schemaRef ds:uri="http://schemas.microsoft.com/sharepoint/v3/contenttype/forms"/>
  </ds:schemaRefs>
</ds:datastoreItem>
</file>

<file path=customXml/itemProps2.xml><?xml version="1.0" encoding="utf-8"?>
<ds:datastoreItem xmlns:ds="http://schemas.openxmlformats.org/officeDocument/2006/customXml" ds:itemID="{16CBECFE-29F9-42EE-B05C-79FE497BB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0AE0975-DF7E-4BF7-A16A-8B019C018343}">
  <ds:schemaRefs>
    <ds:schemaRef ds:uri="http://schemas.microsoft.com/office/2006/metadata/properties"/>
  </ds:schemaRefs>
</ds:datastoreItem>
</file>

<file path=customXml/itemProps4.xml><?xml version="1.0" encoding="utf-8"?>
<ds:datastoreItem xmlns:ds="http://schemas.openxmlformats.org/officeDocument/2006/customXml" ds:itemID="{EAF510F3-70F2-4FB8-A100-C9D2A6EE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3163</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21151</CharactersWithSpaces>
  <SharedDoc>false</SharedDoc>
  <HyperlinkBase/>
  <HLinks>
    <vt:vector size="6" baseType="variant">
      <vt:variant>
        <vt:i4>7864342</vt:i4>
      </vt:variant>
      <vt:variant>
        <vt:i4>0</vt:i4>
      </vt:variant>
      <vt:variant>
        <vt:i4>0</vt:i4>
      </vt:variant>
      <vt:variant>
        <vt:i4>5</vt:i4>
      </vt:variant>
      <vt:variant>
        <vt:lpwstr>http://www.nerc.com/comm/RISC/Agenda Highlights and Minutes/ERO Top Priority Reliability Risks 2014.pdf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2011-11-16T20:52:00Z</cp:lastPrinted>
  <dcterms:created xsi:type="dcterms:W3CDTF">2015-08-25T17:40:00Z</dcterms:created>
  <dcterms:modified xsi:type="dcterms:W3CDTF">2015-08-25T17:40:00Z</dcterms:modified>
  <cp:category/>
  <dc:identifier/>
  <cp:contentStatus/>
  <cp:version/>
</cp:coreProperties>
</file>