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86E0C" w14:textId="77777777" w:rsidR="00CD7F37" w:rsidRDefault="00CD7F37" w:rsidP="00CD7F37">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62986E0D" w14:textId="77777777" w:rsidR="00CD7F37" w:rsidRDefault="00CD7F37" w:rsidP="00CD7F37">
      <w:pPr>
        <w:jc w:val="center"/>
      </w:pPr>
      <w:r>
        <w:t>FEDERAL ENERGY REGULATORY COMMISSION</w:t>
      </w:r>
    </w:p>
    <w:p w14:paraId="62986E0E" w14:textId="77777777" w:rsidR="00CD7F37" w:rsidRDefault="00CD7F37" w:rsidP="00CD7F37"/>
    <w:p w14:paraId="62986E0F" w14:textId="77777777" w:rsidR="00CD7F37" w:rsidRPr="00E804A3" w:rsidRDefault="00CD7F37" w:rsidP="00CD7F37">
      <w:pPr>
        <w:jc w:val="center"/>
      </w:pPr>
      <w:r w:rsidRPr="00E804A3">
        <w:t xml:space="preserve">[Docket No. </w:t>
      </w:r>
      <w:r w:rsidR="00FA4C62">
        <w:t>RD14-14</w:t>
      </w:r>
      <w:r w:rsidRPr="00E804A3">
        <w:t>-000]</w:t>
      </w:r>
    </w:p>
    <w:p w14:paraId="62986E10" w14:textId="77777777" w:rsidR="00CD7F37" w:rsidRPr="00E804A3" w:rsidRDefault="00CD7F37" w:rsidP="00CD7F37"/>
    <w:p w14:paraId="62986E11" w14:textId="77777777" w:rsidR="00CD7F37" w:rsidRPr="00E804A3" w:rsidRDefault="00CD7F37" w:rsidP="00CD7F37">
      <w:pPr>
        <w:jc w:val="center"/>
      </w:pPr>
      <w:r w:rsidRPr="00E804A3">
        <w:t xml:space="preserve">COMMISSION INFORMATION COLLECTION ACTIVITIES </w:t>
      </w:r>
    </w:p>
    <w:p w14:paraId="62986E12" w14:textId="77777777" w:rsidR="00CD7F37" w:rsidRDefault="00CD7F37" w:rsidP="00CD7F37">
      <w:pPr>
        <w:jc w:val="center"/>
      </w:pPr>
      <w:r w:rsidRPr="00E804A3">
        <w:t>(FERC-</w:t>
      </w:r>
      <w:r>
        <w:t>725G1</w:t>
      </w:r>
      <w:r w:rsidRPr="00E804A3">
        <w:t>)</w:t>
      </w:r>
    </w:p>
    <w:p w14:paraId="62986E13" w14:textId="77777777" w:rsidR="00CD7F37" w:rsidRDefault="00CD7F37" w:rsidP="00CD7F37">
      <w:pPr>
        <w:jc w:val="center"/>
      </w:pPr>
      <w:r>
        <w:t xml:space="preserve">COMMENT REQUEST  </w:t>
      </w:r>
    </w:p>
    <w:p w14:paraId="62986E14" w14:textId="77777777" w:rsidR="00CD7F37" w:rsidRDefault="00CD7F37" w:rsidP="00CD7F37"/>
    <w:p w14:paraId="62986E16" w14:textId="000F0E0F" w:rsidR="00CD7F37" w:rsidRDefault="008F5F3A" w:rsidP="008F5F3A">
      <w:pPr>
        <w:jc w:val="center"/>
      </w:pPr>
      <w:r w:rsidRPr="008F5F3A">
        <w:t>(August 4, 2015)</w:t>
      </w:r>
    </w:p>
    <w:p w14:paraId="498BB7A5" w14:textId="77777777" w:rsidR="008F5F3A" w:rsidRDefault="008F5F3A" w:rsidP="008F5F3A">
      <w:pPr>
        <w:jc w:val="center"/>
      </w:pPr>
    </w:p>
    <w:p w14:paraId="5C9B0BB2" w14:textId="77777777" w:rsidR="008F5F3A" w:rsidRPr="008F5F3A" w:rsidRDefault="008F5F3A" w:rsidP="008F5F3A"/>
    <w:p w14:paraId="62986E17" w14:textId="77777777" w:rsidR="00CD7F37" w:rsidRDefault="00CD7F37" w:rsidP="00CD7F37">
      <w:pPr>
        <w:spacing w:line="480" w:lineRule="auto"/>
      </w:pPr>
      <w:r w:rsidRPr="00C0217E">
        <w:rPr>
          <w:b/>
        </w:rPr>
        <w:t>AGENCY:</w:t>
      </w:r>
      <w:r>
        <w:t xml:space="preserve">  Federal Energy Regulatory Commission.</w:t>
      </w:r>
    </w:p>
    <w:p w14:paraId="62986E18" w14:textId="77777777" w:rsidR="00CD7F37" w:rsidRDefault="00CD7F37" w:rsidP="00CD7F37">
      <w:pPr>
        <w:spacing w:line="480" w:lineRule="auto"/>
      </w:pPr>
      <w:r w:rsidRPr="00C0217E">
        <w:rPr>
          <w:b/>
        </w:rPr>
        <w:t>ACTION:</w:t>
      </w:r>
      <w:r>
        <w:t xml:space="preserve">  Comment request.</w:t>
      </w:r>
    </w:p>
    <w:p w14:paraId="62986E19" w14:textId="77777777" w:rsidR="00CD7F37" w:rsidRPr="00E804A3" w:rsidRDefault="00CD7F37" w:rsidP="00CD7F37">
      <w:pPr>
        <w:spacing w:line="480" w:lineRule="auto"/>
      </w:pPr>
      <w:r w:rsidRPr="00C0217E">
        <w:rPr>
          <w:b/>
        </w:rPr>
        <w:t>SUMMARY:</w:t>
      </w:r>
      <w:r>
        <w:t xml:space="preserve">  In compliance with the requirements of the Paperwork Reduction Act of 1995,</w:t>
      </w:r>
      <w:r w:rsidRPr="000253DB">
        <w:rPr>
          <w:szCs w:val="26"/>
        </w:rPr>
        <w:t xml:space="preserve"> </w:t>
      </w:r>
      <w:r>
        <w:t>44 U</w:t>
      </w:r>
      <w:r w:rsidRPr="000253DB">
        <w:t>SC 3507</w:t>
      </w:r>
      <w:r>
        <w:t>(a)(1)(D), the Federal Energy Regulatory Commission (Commission or FERC) is submitting its information collections FERC-725G1</w:t>
      </w:r>
      <w:r w:rsidR="00FA4C62">
        <w:t xml:space="preserve"> </w:t>
      </w:r>
      <w:r>
        <w:t xml:space="preserve">to the Office of Management and Budget (OMB) for review of the information collection requirements.  </w:t>
      </w:r>
      <w:r w:rsidRPr="00E804A3">
        <w:t xml:space="preserve">Any interested person may file comments directly with OMB and should address a copy of those comments to the Commission as explained below.  The Commission previously issued a Notice in the Federal Register </w:t>
      </w:r>
      <w:r w:rsidR="00AF43C0">
        <w:t>on 5/13/2015</w:t>
      </w:r>
      <w:r w:rsidRPr="00E804A3">
        <w:t xml:space="preserve"> requesting public comments.  The Commission received no comments on </w:t>
      </w:r>
      <w:r>
        <w:t>FERC-7</w:t>
      </w:r>
      <w:r w:rsidR="00E72E6E">
        <w:t>25G1</w:t>
      </w:r>
      <w:r w:rsidRPr="00E804A3">
        <w:t xml:space="preserve"> and is making this notation in its submittal to OMB.</w:t>
      </w:r>
    </w:p>
    <w:p w14:paraId="62986E1A" w14:textId="431C98FC" w:rsidR="00CD7F37" w:rsidRDefault="00CD7F37" w:rsidP="00CD7F37">
      <w:pPr>
        <w:spacing w:line="480" w:lineRule="auto"/>
      </w:pPr>
      <w:r w:rsidRPr="00E804A3">
        <w:rPr>
          <w:b/>
        </w:rPr>
        <w:t xml:space="preserve">DATES: </w:t>
      </w:r>
      <w:r w:rsidRPr="00E804A3">
        <w:t xml:space="preserve"> Comments on the collection of information are due by [</w:t>
      </w:r>
      <w:r w:rsidR="008F5F3A" w:rsidRPr="008F5F3A">
        <w:rPr>
          <w:b/>
        </w:rPr>
        <w:t>INSERT DATE</w:t>
      </w:r>
      <w:r w:rsidR="008F5F3A">
        <w:t xml:space="preserve"> </w:t>
      </w:r>
      <w:r w:rsidRPr="00E804A3">
        <w:t>30 days after publication of this Notice in the Federal Register].</w:t>
      </w:r>
      <w:r>
        <w:t xml:space="preserve">   </w:t>
      </w:r>
    </w:p>
    <w:p w14:paraId="62986E1B" w14:textId="77777777" w:rsidR="00CD7F37" w:rsidRDefault="00CD7F37" w:rsidP="00CD7F37">
      <w:pPr>
        <w:spacing w:line="480" w:lineRule="auto"/>
      </w:pPr>
      <w:r w:rsidRPr="00431BE4">
        <w:rPr>
          <w:b/>
        </w:rPr>
        <w:t>ADDRESSES:</w:t>
      </w:r>
      <w:r w:rsidRPr="00431BE4">
        <w:t xml:space="preserve">  Comments filed with OMB, identifie</w:t>
      </w:r>
      <w:r w:rsidR="00AF43C0">
        <w:t xml:space="preserve">d by the </w:t>
      </w:r>
      <w:r w:rsidRPr="00431BE4">
        <w:t>FERC-</w:t>
      </w:r>
      <w:r w:rsidR="00FA4C62">
        <w:t>7</w:t>
      </w:r>
      <w:r w:rsidR="00E72E6E">
        <w:t>25G1</w:t>
      </w:r>
      <w:r w:rsidR="00AF43C0">
        <w:t xml:space="preserve"> information</w:t>
      </w:r>
      <w:r w:rsidRPr="00431BE4">
        <w:t xml:space="preserve"> should</w:t>
      </w:r>
      <w:r>
        <w:t xml:space="preserve"> be sent via email to the Office of Information and Regulatory Affairs: </w:t>
      </w:r>
      <w:hyperlink r:id="rId11" w:history="1">
        <w:r w:rsidRPr="00866BB4">
          <w:rPr>
            <w:rStyle w:val="Hyperlink"/>
          </w:rPr>
          <w:t>oira_submission@omb.gov</w:t>
        </w:r>
      </w:hyperlink>
      <w:r>
        <w:t>.  Attention: Federal Energy Regulatory Commission Desk Officer.  The Desk Officer may also be reached via telephone at 202-395-4718.</w:t>
      </w:r>
    </w:p>
    <w:p w14:paraId="62986E1C" w14:textId="77777777" w:rsidR="00CD7F37" w:rsidRDefault="00CD7F37" w:rsidP="00CD7F37">
      <w:pPr>
        <w:spacing w:line="480" w:lineRule="auto"/>
        <w:ind w:firstLine="720"/>
      </w:pPr>
      <w:r>
        <w:t xml:space="preserve">A copy of the comments should also be sent to the Commission, in Docket No. </w:t>
      </w:r>
      <w:r w:rsidR="00AF43C0">
        <w:t>RD14</w:t>
      </w:r>
      <w:r w:rsidRPr="00431BE4">
        <w:t>-1</w:t>
      </w:r>
      <w:r w:rsidR="00AF43C0">
        <w:t>4</w:t>
      </w:r>
      <w:r w:rsidRPr="00431BE4">
        <w:t>-000, by</w:t>
      </w:r>
      <w:r>
        <w:t xml:space="preserve"> either of the following methods:</w:t>
      </w:r>
    </w:p>
    <w:p w14:paraId="62986E1D" w14:textId="77777777" w:rsidR="00CD7F37" w:rsidRDefault="00CD7F37" w:rsidP="00CD7F37">
      <w:pPr>
        <w:numPr>
          <w:ilvl w:val="0"/>
          <w:numId w:val="1"/>
        </w:numPr>
        <w:tabs>
          <w:tab w:val="clear" w:pos="1500"/>
          <w:tab w:val="num" w:pos="1080"/>
        </w:tabs>
        <w:spacing w:line="480" w:lineRule="auto"/>
        <w:ind w:left="720" w:firstLine="0"/>
      </w:pPr>
      <w:r>
        <w:t xml:space="preserve">eFiling at Commission’s Web Site: </w:t>
      </w:r>
      <w:hyperlink r:id="rId12" w:history="1">
        <w:r w:rsidRPr="0057675D">
          <w:rPr>
            <w:rStyle w:val="Hyperlink"/>
          </w:rPr>
          <w:t>http://www.ferc.gov/docs-filing/efiling.asp</w:t>
        </w:r>
      </w:hyperlink>
      <w:r>
        <w:t xml:space="preserve">.  </w:t>
      </w:r>
    </w:p>
    <w:p w14:paraId="62986E1E" w14:textId="77777777" w:rsidR="00CD7F37" w:rsidRDefault="00CD7F37" w:rsidP="00CD7F37">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62986E1F" w14:textId="77777777" w:rsidR="00CD7F37" w:rsidRDefault="00CD7F37" w:rsidP="00CD7F37">
      <w:pPr>
        <w:spacing w:line="480" w:lineRule="auto"/>
      </w:pPr>
      <w:r>
        <w:rPr>
          <w:i/>
        </w:rPr>
        <w:t xml:space="preserve">Instructions: </w:t>
      </w:r>
      <w:r>
        <w:t xml:space="preserve">All submissions must be formatted and filed in accordance with submission guidelines at: </w:t>
      </w:r>
      <w:hyperlink r:id="rId13"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62986E20" w14:textId="77777777" w:rsidR="00CD7F37" w:rsidRDefault="00CD7F37" w:rsidP="00CD7F37">
      <w:pPr>
        <w:spacing w:line="480" w:lineRule="auto"/>
      </w:pPr>
      <w:r>
        <w:rPr>
          <w:i/>
        </w:rPr>
        <w:t>Docket:</w:t>
      </w:r>
      <w:r>
        <w:t xml:space="preserve"> Users interested in receiving automatic notification of activity in this docket or in viewing/downloading comments and issuances in this docket may do so at </w:t>
      </w:r>
      <w:hyperlink r:id="rId14" w:history="1">
        <w:r w:rsidRPr="0057675D">
          <w:rPr>
            <w:rStyle w:val="Hyperlink"/>
          </w:rPr>
          <w:t>http://www.ferc.gov/docs-filing/docs-filing.asp</w:t>
        </w:r>
      </w:hyperlink>
      <w:r>
        <w:t xml:space="preserve">.  </w:t>
      </w:r>
    </w:p>
    <w:p w14:paraId="62986E21" w14:textId="77777777" w:rsidR="00CD7F37" w:rsidRDefault="00CD7F37" w:rsidP="00CD7F37">
      <w:pPr>
        <w:spacing w:line="480" w:lineRule="auto"/>
      </w:pPr>
      <w:r w:rsidRPr="00F04F4C">
        <w:rPr>
          <w:b/>
        </w:rPr>
        <w:t>FOR FURTHER INFORMATION:</w:t>
      </w:r>
      <w:r>
        <w:t xml:space="preserve">   </w:t>
      </w:r>
      <w:smartTag w:uri="urn:schemas-microsoft-com:office:smarttags" w:element="PersonName">
        <w:r w:rsidRPr="00431BE4">
          <w:t>Ellen Brown</w:t>
        </w:r>
      </w:smartTag>
      <w:r w:rsidRPr="00431BE4">
        <w:t xml:space="preserve"> may be reached by e-mail at </w:t>
      </w:r>
      <w:hyperlink r:id="rId15" w:history="1">
        <w:r w:rsidRPr="00431BE4">
          <w:rPr>
            <w:rStyle w:val="Hyperlink"/>
          </w:rPr>
          <w:t>DataClearance@FERC.gov</w:t>
        </w:r>
      </w:hyperlink>
      <w:r w:rsidRPr="00431BE4">
        <w:t>, by telephone at (202) 502-8663, and by fax</w:t>
      </w:r>
      <w:r>
        <w:t xml:space="preserve"> at (202) 273-0873. </w:t>
      </w:r>
    </w:p>
    <w:p w14:paraId="62986E22" w14:textId="77777777" w:rsidR="00CD7F37" w:rsidRDefault="00CD7F37" w:rsidP="00CD7F37">
      <w:pPr>
        <w:spacing w:line="480" w:lineRule="auto"/>
      </w:pPr>
      <w:r w:rsidRPr="001C3703">
        <w:rPr>
          <w:b/>
        </w:rPr>
        <w:t>SUPPLEMENTARY INFORMATION:</w:t>
      </w:r>
      <w:r>
        <w:t xml:space="preserve">  </w:t>
      </w:r>
    </w:p>
    <w:p w14:paraId="62986E23" w14:textId="77777777" w:rsidR="00CD7F37" w:rsidRDefault="00CD7F37" w:rsidP="00CD7F37">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  Please note that each collection is distinct from the next.</w:t>
      </w:r>
    </w:p>
    <w:p w14:paraId="10111CB8" w14:textId="77777777" w:rsidR="008F5F3A" w:rsidRDefault="008F5F3A" w:rsidP="00261030">
      <w:pPr>
        <w:spacing w:line="480" w:lineRule="auto"/>
        <w:rPr>
          <w:b/>
        </w:rPr>
      </w:pPr>
    </w:p>
    <w:p w14:paraId="62986E24" w14:textId="77777777" w:rsidR="00CD7F37" w:rsidRPr="007920A8" w:rsidRDefault="00CD7F37" w:rsidP="00261030">
      <w:pPr>
        <w:spacing w:line="480" w:lineRule="auto"/>
      </w:pPr>
      <w:r w:rsidRPr="00493451">
        <w:rPr>
          <w:b/>
        </w:rPr>
        <w:lastRenderedPageBreak/>
        <w:t>Comments:</w:t>
      </w:r>
      <w:r>
        <w:rPr>
          <w:i/>
        </w:rPr>
        <w:t xml:space="preserve">  </w:t>
      </w:r>
      <w: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62986E25" w14:textId="77777777" w:rsidR="00CD7F37" w:rsidRPr="00261030" w:rsidRDefault="00261030" w:rsidP="00261030">
      <w:pPr>
        <w:spacing w:line="480" w:lineRule="auto"/>
        <w:rPr>
          <w:szCs w:val="26"/>
        </w:rPr>
      </w:pPr>
      <w:r w:rsidRPr="00261030">
        <w:rPr>
          <w:i/>
          <w:szCs w:val="26"/>
        </w:rPr>
        <w:t>Title</w:t>
      </w:r>
      <w:r>
        <w:rPr>
          <w:b/>
          <w:szCs w:val="26"/>
        </w:rPr>
        <w:t xml:space="preserve">:  </w:t>
      </w:r>
      <w:r w:rsidR="00FA4C62" w:rsidRPr="00261030">
        <w:rPr>
          <w:szCs w:val="26"/>
        </w:rPr>
        <w:t>Proposed revisions FERC-725; proposed new collection FERC-725G1</w:t>
      </w:r>
      <w:r w:rsidR="00FA4C62" w:rsidRPr="00261030">
        <w:t xml:space="preserve"> </w:t>
      </w:r>
      <w:r w:rsidR="00CD7F37" w:rsidRPr="00261030">
        <w:t>(</w:t>
      </w:r>
      <w:r w:rsidR="00FA4C62" w:rsidRPr="00261030">
        <w:rPr>
          <w:szCs w:val="26"/>
        </w:rPr>
        <w:t>Certification of the Electric Reliability Organization and Procedures for the Establishment, Approval and Enforcement of Electric Reliability Standards; Mandatory Reliability Standards for the Bulk-Power System: Reliability Standard PRC-004-3)</w:t>
      </w:r>
    </w:p>
    <w:p w14:paraId="62986E26" w14:textId="77777777" w:rsidR="00FA4C62" w:rsidRDefault="00CD7F37" w:rsidP="00261030">
      <w:pPr>
        <w:spacing w:line="480" w:lineRule="auto"/>
      </w:pPr>
      <w:r>
        <w:rPr>
          <w:i/>
        </w:rPr>
        <w:t xml:space="preserve">OMB Control No.: </w:t>
      </w:r>
      <w:r w:rsidR="005A29A8">
        <w:t>1902-0269 (FERC-725); TBD (FERC-725G1)</w:t>
      </w:r>
    </w:p>
    <w:p w14:paraId="62986E27" w14:textId="77777777" w:rsidR="00CD7F37" w:rsidRPr="00431BE4" w:rsidRDefault="00CD7F37" w:rsidP="00261030">
      <w:pPr>
        <w:pStyle w:val="FERCparanumber"/>
        <w:numPr>
          <w:ilvl w:val="0"/>
          <w:numId w:val="0"/>
        </w:numPr>
        <w:spacing w:after="0" w:line="480" w:lineRule="auto"/>
      </w:pPr>
      <w:r w:rsidRPr="00A771BD">
        <w:rPr>
          <w:i/>
        </w:rPr>
        <w:t xml:space="preserve">Abstract: </w:t>
      </w:r>
      <w:r w:rsidR="000E1D3E" w:rsidRPr="00A771BD">
        <w:t>On September 15, 2014, the North American Electric Reliability Corporation (NERC) submitted a petition se</w:t>
      </w:r>
      <w:r w:rsidR="000E1D3E">
        <w:t>eking approval of a revised Protection and Control (PRC) Reliability Standard PRC-004-3 – Protection System Misoperation Identification and Correction, pursuant to section 215(d)(1) of the Federal Power Act (FPA)</w:t>
      </w:r>
      <w:r w:rsidR="000E1D3E">
        <w:rPr>
          <w:rStyle w:val="FootnoteReference"/>
        </w:rPr>
        <w:footnoteReference w:id="1"/>
      </w:r>
      <w:r w:rsidR="000E1D3E">
        <w:t xml:space="preserve"> and section 39.5 of the Commission’s regulations.</w:t>
      </w:r>
      <w:r w:rsidR="000E1D3E">
        <w:rPr>
          <w:rStyle w:val="FootnoteReference"/>
        </w:rPr>
        <w:footnoteReference w:id="2"/>
      </w:r>
      <w:r w:rsidR="000E1D3E">
        <w:t xml:space="preserve">  The revised Reliability Standard, which replaces Reliability Standards PRC-004-2.1a (Analysis and Mitigation of Transmission and Generation Protection System Misoperations) and PRC-003-1 (Regional Procedures for Analysis of Misoperations of Transmission and Generation Protection System), requires transmission owners, generator owners, and distribution providers to identify and correct causes of misoperations of certain protection systems.  NERC also requests approval of two new terms utilized in the proposed Reliability Standard, to be included in NERC’s Glossary of Terms Used in NERC Reliability Standards (NERC Glossary).  Finally, NERC requests approval of its implementation plan for Reliability Standard PRC-004-3, including the retirement of Reliability Standards PRC-004-2.1a and PRC-003-1, as well as approval of the associated Violation Risk Factors (VRFs) and Violation Severity Levels (VSLs).  FERC determined that revised Reliability Standard PRC-004-3, including the associated new Glossary terms and implementation plan, is just, reasonable, not unduly discriminatory or preferential and in the public interest.  We accept the violation severity levels associated with the standard as proposed by NERC, however, we direct NERC to </w:t>
      </w:r>
      <w:r w:rsidR="000E1D3E">
        <w:rPr>
          <w:szCs w:val="26"/>
        </w:rPr>
        <w:t>submit a compliance filing, within 60 days of issuance of this order, to address the Commission’s concerns with the VRF designations for Requirements R1 through R6.</w:t>
      </w:r>
      <w:r w:rsidR="000E1D3E">
        <w:t xml:space="preserve"> </w:t>
      </w:r>
    </w:p>
    <w:p w14:paraId="62986E28" w14:textId="77777777" w:rsidR="00FA4C62" w:rsidRDefault="00CD7F37" w:rsidP="00CD7F37">
      <w:pPr>
        <w:spacing w:line="480" w:lineRule="auto"/>
        <w:rPr>
          <w:szCs w:val="26"/>
        </w:rPr>
      </w:pPr>
      <w:r>
        <w:rPr>
          <w:i/>
        </w:rPr>
        <w:t xml:space="preserve">Type of Respondent: </w:t>
      </w:r>
      <w:r w:rsidR="00FA4C62" w:rsidRPr="00755E06">
        <w:rPr>
          <w:szCs w:val="26"/>
        </w:rPr>
        <w:t>Businesses or other for-profit institutions; not-for-profit institutions.</w:t>
      </w:r>
    </w:p>
    <w:p w14:paraId="62986E29" w14:textId="77777777" w:rsidR="00CD7F37" w:rsidRPr="00FA4C62" w:rsidRDefault="00CD7F37" w:rsidP="00FA4C62">
      <w:pPr>
        <w:pStyle w:val="FERCparanumber"/>
        <w:numPr>
          <w:ilvl w:val="0"/>
          <w:numId w:val="0"/>
        </w:numPr>
        <w:spacing w:before="100" w:line="480" w:lineRule="auto"/>
        <w:rPr>
          <w:b/>
          <w:szCs w:val="26"/>
        </w:rPr>
      </w:pPr>
      <w:r>
        <w:rPr>
          <w:i/>
        </w:rPr>
        <w:t xml:space="preserve">Estimate of Annual Burden: </w:t>
      </w:r>
      <w:r w:rsidR="00FA4C62" w:rsidRPr="00755E06">
        <w:rPr>
          <w:szCs w:val="26"/>
        </w:rPr>
        <w:t>Reliability Standard PRC-004-3 requires each transmission owner, generator owner, and distribution provider to provide notification of BES interrupting devices that operated in accordance with the Requirement R2.</w:t>
      </w:r>
      <w:r w:rsidR="00FA4C62" w:rsidRPr="00755E06">
        <w:rPr>
          <w:b/>
          <w:szCs w:val="26"/>
          <w:vertAlign w:val="superscript"/>
        </w:rPr>
        <w:footnoteReference w:id="3"/>
      </w:r>
      <w:r w:rsidR="00FA4C62" w:rsidRPr="00755E06">
        <w:rPr>
          <w:szCs w:val="26"/>
        </w:rPr>
        <w:t xml:space="preserve">  </w:t>
      </w:r>
      <w:r w:rsidR="00FA4C62" w:rsidRPr="00755E06">
        <w:t xml:space="preserve">Our estimate below regarding the number of respondents is based on the NERC Compliance Registry as of January 30, 2015.  According to the NERC Compliance Registry, NERC has registered in the United States 326 </w:t>
      </w:r>
      <w:r w:rsidR="00FA4C62" w:rsidRPr="00755E06">
        <w:rPr>
          <w:szCs w:val="26"/>
        </w:rPr>
        <w:t xml:space="preserve">transmission owners (TO), 914 generator owners (GO), and </w:t>
      </w:r>
      <w:r w:rsidR="00FA4C62" w:rsidRPr="00755E06">
        <w:t xml:space="preserve">471 distribution providers (DP).  However, under NERC’s compliance registration program, entities may be registered for multiple functions, so these numbers incorporate some double counting.  The total number of unique entities that may be identified as a notification provider (e.g. applicable entity) in accordance with Reliability Standard PRC-004-3 will be approximately 659 entities registered in the United States as a </w:t>
      </w:r>
      <w:r w:rsidR="00FA4C62" w:rsidRPr="00755E06">
        <w:rPr>
          <w:szCs w:val="26"/>
        </w:rPr>
        <w:t>transmission owner, generator owner, and/or distribution provider</w:t>
      </w:r>
      <w:r w:rsidR="00FA4C62" w:rsidRPr="00755E06">
        <w:t>.</w:t>
      </w:r>
    </w:p>
    <w:tbl>
      <w:tblPr>
        <w:tblW w:w="49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348"/>
        <w:gridCol w:w="1261"/>
        <w:gridCol w:w="1261"/>
        <w:gridCol w:w="1349"/>
        <w:gridCol w:w="1349"/>
        <w:gridCol w:w="1081"/>
      </w:tblGrid>
      <w:tr w:rsidR="00FA4C62" w:rsidRPr="00A771BD" w14:paraId="62986E2B" w14:textId="77777777" w:rsidTr="00061D0E">
        <w:trPr>
          <w:cantSplit/>
        </w:trPr>
        <w:tc>
          <w:tcPr>
            <w:tcW w:w="5000" w:type="pct"/>
            <w:gridSpan w:val="7"/>
            <w:tcBorders>
              <w:bottom w:val="single" w:sz="4" w:space="0" w:color="auto"/>
            </w:tcBorders>
            <w:shd w:val="clear" w:color="auto" w:fill="D9D9D9"/>
          </w:tcPr>
          <w:p w14:paraId="62986E2A" w14:textId="77777777" w:rsidR="00FA4C62" w:rsidRPr="00A771BD" w:rsidRDefault="00FA4C62" w:rsidP="00261030">
            <w:pPr>
              <w:pStyle w:val="FERCparanumber"/>
              <w:numPr>
                <w:ilvl w:val="0"/>
                <w:numId w:val="0"/>
              </w:numPr>
              <w:spacing w:after="0"/>
              <w:jc w:val="center"/>
              <w:rPr>
                <w:rFonts w:eastAsia="Calibri"/>
                <w:b/>
                <w:sz w:val="20"/>
                <w:szCs w:val="20"/>
                <w:vertAlign w:val="superscript"/>
              </w:rPr>
            </w:pPr>
            <w:r w:rsidRPr="00A771BD">
              <w:rPr>
                <w:rFonts w:eastAsia="Calibri"/>
                <w:b/>
                <w:sz w:val="20"/>
                <w:szCs w:val="20"/>
              </w:rPr>
              <w:t>FERC-725G1</w:t>
            </w:r>
            <w:r w:rsidRPr="00A771BD">
              <w:rPr>
                <w:rStyle w:val="FootnoteReference"/>
                <w:rFonts w:eastAsia="Calibri"/>
                <w:sz w:val="20"/>
                <w:szCs w:val="20"/>
              </w:rPr>
              <w:footnoteReference w:id="4"/>
            </w:r>
          </w:p>
        </w:tc>
      </w:tr>
      <w:tr w:rsidR="00FA4C62" w:rsidRPr="00A771BD" w14:paraId="62986E38" w14:textId="77777777" w:rsidTr="00061D0E">
        <w:trPr>
          <w:cantSplit/>
        </w:trPr>
        <w:tc>
          <w:tcPr>
            <w:tcW w:w="953" w:type="pct"/>
            <w:shd w:val="clear" w:color="auto" w:fill="D9D9D9"/>
          </w:tcPr>
          <w:p w14:paraId="62986E2C" w14:textId="77777777" w:rsidR="00FA4C62" w:rsidRPr="00A771BD" w:rsidRDefault="00FA4C62" w:rsidP="00061D0E">
            <w:pPr>
              <w:jc w:val="center"/>
              <w:rPr>
                <w:rFonts w:eastAsia="Calibri"/>
                <w:b/>
                <w:sz w:val="20"/>
                <w:szCs w:val="20"/>
              </w:rPr>
            </w:pPr>
          </w:p>
        </w:tc>
        <w:tc>
          <w:tcPr>
            <w:tcW w:w="713" w:type="pct"/>
            <w:shd w:val="clear" w:color="auto" w:fill="D9D9D9"/>
            <w:vAlign w:val="bottom"/>
          </w:tcPr>
          <w:p w14:paraId="62986E2D" w14:textId="77777777" w:rsidR="00FA4C62" w:rsidRPr="00A771BD" w:rsidRDefault="00FA4C62" w:rsidP="00061D0E">
            <w:pPr>
              <w:jc w:val="center"/>
              <w:rPr>
                <w:rFonts w:eastAsia="Calibri"/>
                <w:b/>
                <w:sz w:val="20"/>
                <w:szCs w:val="20"/>
              </w:rPr>
            </w:pPr>
            <w:r w:rsidRPr="00A771BD">
              <w:rPr>
                <w:rFonts w:eastAsia="Calibri"/>
                <w:b/>
                <w:sz w:val="20"/>
                <w:szCs w:val="20"/>
              </w:rPr>
              <w:t>Number of Respondents</w:t>
            </w:r>
            <w:r w:rsidRPr="00A771BD">
              <w:rPr>
                <w:rFonts w:eastAsia="Calibri"/>
                <w:b/>
                <w:sz w:val="20"/>
                <w:szCs w:val="20"/>
              </w:rPr>
              <w:br/>
              <w:t>(1)</w:t>
            </w:r>
          </w:p>
        </w:tc>
        <w:tc>
          <w:tcPr>
            <w:tcW w:w="667" w:type="pct"/>
            <w:shd w:val="clear" w:color="auto" w:fill="D9D9D9"/>
            <w:vAlign w:val="bottom"/>
          </w:tcPr>
          <w:p w14:paraId="62986E2E" w14:textId="77777777" w:rsidR="00FA4C62" w:rsidRPr="00A771BD" w:rsidRDefault="00FA4C62" w:rsidP="00061D0E">
            <w:pPr>
              <w:jc w:val="center"/>
              <w:rPr>
                <w:rFonts w:eastAsia="Calibri"/>
                <w:b/>
                <w:sz w:val="20"/>
                <w:szCs w:val="20"/>
              </w:rPr>
            </w:pPr>
            <w:r w:rsidRPr="00A771BD">
              <w:rPr>
                <w:rFonts w:eastAsia="Calibri"/>
                <w:b/>
                <w:sz w:val="20"/>
                <w:szCs w:val="20"/>
              </w:rPr>
              <w:t>Annual Number of Responses per Respondent</w:t>
            </w:r>
          </w:p>
          <w:p w14:paraId="62986E2F" w14:textId="77777777" w:rsidR="00FA4C62" w:rsidRPr="00A771BD" w:rsidRDefault="00FA4C62" w:rsidP="00061D0E">
            <w:pPr>
              <w:jc w:val="center"/>
              <w:rPr>
                <w:rFonts w:eastAsia="Calibri"/>
                <w:b/>
                <w:sz w:val="20"/>
                <w:szCs w:val="20"/>
              </w:rPr>
            </w:pPr>
            <w:r w:rsidRPr="00A771BD">
              <w:rPr>
                <w:rFonts w:eastAsia="Calibri"/>
                <w:b/>
                <w:sz w:val="20"/>
                <w:szCs w:val="20"/>
              </w:rPr>
              <w:t>(2)</w:t>
            </w:r>
          </w:p>
        </w:tc>
        <w:tc>
          <w:tcPr>
            <w:tcW w:w="667" w:type="pct"/>
            <w:shd w:val="clear" w:color="auto" w:fill="D9D9D9"/>
            <w:vAlign w:val="bottom"/>
          </w:tcPr>
          <w:p w14:paraId="62986E30" w14:textId="77777777" w:rsidR="00FA4C62" w:rsidRPr="00A771BD" w:rsidRDefault="00FA4C62" w:rsidP="00061D0E">
            <w:pPr>
              <w:jc w:val="center"/>
              <w:rPr>
                <w:rFonts w:eastAsia="Calibri"/>
                <w:b/>
                <w:sz w:val="20"/>
                <w:szCs w:val="20"/>
              </w:rPr>
            </w:pPr>
            <w:r w:rsidRPr="00A771BD">
              <w:rPr>
                <w:rFonts w:eastAsia="Calibri"/>
                <w:b/>
                <w:sz w:val="20"/>
                <w:szCs w:val="20"/>
              </w:rPr>
              <w:t>Total Number of Responses (1)*(2)=(3)</w:t>
            </w:r>
          </w:p>
        </w:tc>
        <w:tc>
          <w:tcPr>
            <w:tcW w:w="714" w:type="pct"/>
            <w:shd w:val="clear" w:color="auto" w:fill="D9D9D9"/>
            <w:vAlign w:val="bottom"/>
          </w:tcPr>
          <w:p w14:paraId="62986E31" w14:textId="77777777" w:rsidR="00FA4C62" w:rsidRPr="00A771BD" w:rsidRDefault="00FA4C62" w:rsidP="00061D0E">
            <w:pPr>
              <w:jc w:val="center"/>
              <w:rPr>
                <w:rFonts w:eastAsia="Calibri"/>
                <w:b/>
                <w:sz w:val="20"/>
                <w:szCs w:val="20"/>
              </w:rPr>
            </w:pPr>
            <w:r w:rsidRPr="00A771BD">
              <w:rPr>
                <w:rFonts w:eastAsia="Calibri"/>
                <w:b/>
                <w:sz w:val="20"/>
                <w:szCs w:val="20"/>
              </w:rPr>
              <w:t>Average Burden &amp; Cost Per Response</w:t>
            </w:r>
            <w:r w:rsidRPr="00A771BD">
              <w:rPr>
                <w:rFonts w:eastAsia="Calibri"/>
                <w:b/>
                <w:sz w:val="20"/>
                <w:szCs w:val="20"/>
                <w:vertAlign w:val="superscript"/>
              </w:rPr>
              <w:footnoteReference w:id="5"/>
            </w:r>
          </w:p>
          <w:p w14:paraId="62986E32" w14:textId="77777777" w:rsidR="00FA4C62" w:rsidRPr="00A771BD" w:rsidRDefault="00FA4C62" w:rsidP="00061D0E">
            <w:pPr>
              <w:jc w:val="center"/>
              <w:rPr>
                <w:rFonts w:eastAsia="Calibri"/>
                <w:b/>
                <w:sz w:val="20"/>
                <w:szCs w:val="20"/>
              </w:rPr>
            </w:pPr>
            <w:r w:rsidRPr="00A771BD">
              <w:rPr>
                <w:rFonts w:eastAsia="Calibri"/>
                <w:b/>
                <w:sz w:val="20"/>
                <w:szCs w:val="20"/>
              </w:rPr>
              <w:t>(4)</w:t>
            </w:r>
          </w:p>
        </w:tc>
        <w:tc>
          <w:tcPr>
            <w:tcW w:w="714" w:type="pct"/>
            <w:shd w:val="clear" w:color="auto" w:fill="D9D9D9"/>
            <w:vAlign w:val="bottom"/>
          </w:tcPr>
          <w:p w14:paraId="62986E33" w14:textId="77777777" w:rsidR="00FA4C62" w:rsidRPr="00A771BD" w:rsidRDefault="00FA4C62" w:rsidP="00061D0E">
            <w:pPr>
              <w:jc w:val="center"/>
              <w:rPr>
                <w:rFonts w:eastAsia="Calibri"/>
                <w:b/>
                <w:sz w:val="20"/>
                <w:szCs w:val="20"/>
              </w:rPr>
            </w:pPr>
            <w:r w:rsidRPr="00A771BD">
              <w:rPr>
                <w:rFonts w:eastAsia="Calibri"/>
                <w:b/>
                <w:sz w:val="20"/>
                <w:szCs w:val="20"/>
              </w:rPr>
              <w:t>Total Annual Burden Hours &amp; Total Annual Cost</w:t>
            </w:r>
          </w:p>
          <w:p w14:paraId="62986E34" w14:textId="77777777" w:rsidR="00FA4C62" w:rsidRPr="00A771BD" w:rsidRDefault="00FA4C62" w:rsidP="00061D0E">
            <w:pPr>
              <w:jc w:val="center"/>
              <w:rPr>
                <w:rFonts w:eastAsia="Calibri"/>
                <w:b/>
                <w:sz w:val="20"/>
                <w:szCs w:val="20"/>
              </w:rPr>
            </w:pPr>
            <w:r w:rsidRPr="00A771BD">
              <w:rPr>
                <w:rFonts w:eastAsia="Calibri"/>
                <w:b/>
                <w:sz w:val="20"/>
                <w:szCs w:val="20"/>
              </w:rPr>
              <w:t>(3)*(4)=(5)</w:t>
            </w:r>
          </w:p>
        </w:tc>
        <w:tc>
          <w:tcPr>
            <w:tcW w:w="572" w:type="pct"/>
            <w:shd w:val="clear" w:color="auto" w:fill="D9D9D9"/>
            <w:vAlign w:val="bottom"/>
          </w:tcPr>
          <w:p w14:paraId="62986E35" w14:textId="77777777" w:rsidR="00FA4C62" w:rsidRPr="00A771BD" w:rsidRDefault="00FA4C62" w:rsidP="00061D0E">
            <w:pPr>
              <w:jc w:val="center"/>
              <w:rPr>
                <w:rFonts w:eastAsia="Calibri"/>
                <w:b/>
                <w:sz w:val="20"/>
                <w:szCs w:val="20"/>
              </w:rPr>
            </w:pPr>
            <w:r w:rsidRPr="00A771BD">
              <w:rPr>
                <w:rFonts w:eastAsia="Calibri"/>
                <w:b/>
                <w:sz w:val="20"/>
                <w:szCs w:val="20"/>
              </w:rPr>
              <w:t>Cost per Respondent</w:t>
            </w:r>
          </w:p>
          <w:p w14:paraId="62986E36" w14:textId="77777777" w:rsidR="00FA4C62" w:rsidRPr="00A771BD" w:rsidRDefault="00FA4C62" w:rsidP="00061D0E">
            <w:pPr>
              <w:jc w:val="center"/>
              <w:rPr>
                <w:rFonts w:eastAsia="Calibri"/>
                <w:b/>
                <w:sz w:val="20"/>
                <w:szCs w:val="20"/>
              </w:rPr>
            </w:pPr>
            <w:r w:rsidRPr="00A771BD">
              <w:rPr>
                <w:rFonts w:eastAsia="Calibri"/>
                <w:b/>
                <w:sz w:val="20"/>
                <w:szCs w:val="20"/>
              </w:rPr>
              <w:t xml:space="preserve"> ($)</w:t>
            </w:r>
          </w:p>
          <w:p w14:paraId="62986E37" w14:textId="77777777" w:rsidR="00FA4C62" w:rsidRPr="00A771BD" w:rsidRDefault="00FA4C62" w:rsidP="00061D0E">
            <w:pPr>
              <w:jc w:val="center"/>
              <w:rPr>
                <w:rFonts w:eastAsia="Calibri"/>
                <w:b/>
                <w:sz w:val="20"/>
                <w:szCs w:val="20"/>
              </w:rPr>
            </w:pPr>
            <w:r w:rsidRPr="00A771BD">
              <w:rPr>
                <w:rFonts w:eastAsia="Calibri"/>
                <w:b/>
                <w:sz w:val="20"/>
                <w:szCs w:val="20"/>
              </w:rPr>
              <w:t>(5)÷(1)</w:t>
            </w:r>
          </w:p>
        </w:tc>
      </w:tr>
      <w:tr w:rsidR="00FA4C62" w:rsidRPr="00A771BD" w14:paraId="62986E44" w14:textId="77777777" w:rsidTr="00061D0E">
        <w:trPr>
          <w:cantSplit/>
        </w:trPr>
        <w:tc>
          <w:tcPr>
            <w:tcW w:w="953" w:type="pct"/>
          </w:tcPr>
          <w:p w14:paraId="62986E39" w14:textId="77777777" w:rsidR="00FA4C62" w:rsidRPr="00A771BD" w:rsidRDefault="00FA4C62" w:rsidP="00061D0E">
            <w:pPr>
              <w:rPr>
                <w:rFonts w:eastAsia="Calibri"/>
                <w:sz w:val="20"/>
                <w:szCs w:val="20"/>
              </w:rPr>
            </w:pPr>
            <w:r w:rsidRPr="00A771BD">
              <w:rPr>
                <w:rFonts w:eastAsia="Calibri"/>
                <w:sz w:val="20"/>
                <w:szCs w:val="20"/>
              </w:rPr>
              <w:t>Notifications to TO/GO/DP per Requirement R2</w:t>
            </w:r>
          </w:p>
        </w:tc>
        <w:tc>
          <w:tcPr>
            <w:tcW w:w="713" w:type="pct"/>
          </w:tcPr>
          <w:p w14:paraId="62986E3A" w14:textId="77777777" w:rsidR="00FA4C62" w:rsidRPr="00A771BD" w:rsidRDefault="00FA4C62" w:rsidP="00061D0E">
            <w:pPr>
              <w:jc w:val="right"/>
              <w:rPr>
                <w:rFonts w:eastAsia="Calibri"/>
                <w:sz w:val="20"/>
                <w:szCs w:val="20"/>
              </w:rPr>
            </w:pPr>
            <w:r w:rsidRPr="00A771BD">
              <w:rPr>
                <w:rFonts w:eastAsia="Calibri"/>
                <w:sz w:val="20"/>
                <w:szCs w:val="20"/>
              </w:rPr>
              <w:t>659</w:t>
            </w:r>
          </w:p>
          <w:p w14:paraId="62986E3B" w14:textId="77777777" w:rsidR="00FA4C62" w:rsidRPr="00A771BD" w:rsidRDefault="00FA4C62" w:rsidP="00061D0E">
            <w:pPr>
              <w:jc w:val="right"/>
              <w:rPr>
                <w:rFonts w:eastAsia="Calibri"/>
                <w:sz w:val="20"/>
                <w:szCs w:val="20"/>
              </w:rPr>
            </w:pPr>
          </w:p>
        </w:tc>
        <w:tc>
          <w:tcPr>
            <w:tcW w:w="667" w:type="pct"/>
          </w:tcPr>
          <w:p w14:paraId="62986E3C" w14:textId="77777777" w:rsidR="00FA4C62" w:rsidRPr="00A771BD" w:rsidRDefault="00FA4C62" w:rsidP="00061D0E">
            <w:pPr>
              <w:jc w:val="right"/>
              <w:rPr>
                <w:rFonts w:eastAsia="Calibri"/>
                <w:sz w:val="20"/>
                <w:szCs w:val="20"/>
              </w:rPr>
            </w:pPr>
            <w:r w:rsidRPr="00A771BD">
              <w:rPr>
                <w:rFonts w:eastAsia="Calibri"/>
                <w:sz w:val="20"/>
                <w:szCs w:val="20"/>
              </w:rPr>
              <w:t>1</w:t>
            </w:r>
          </w:p>
        </w:tc>
        <w:tc>
          <w:tcPr>
            <w:tcW w:w="667" w:type="pct"/>
          </w:tcPr>
          <w:p w14:paraId="62986E3D" w14:textId="77777777" w:rsidR="00FA4C62" w:rsidRPr="00A771BD" w:rsidRDefault="00FA4C62" w:rsidP="00061D0E">
            <w:pPr>
              <w:jc w:val="right"/>
              <w:rPr>
                <w:rFonts w:eastAsia="Calibri"/>
                <w:sz w:val="20"/>
                <w:szCs w:val="20"/>
              </w:rPr>
            </w:pPr>
            <w:r w:rsidRPr="00A771BD">
              <w:rPr>
                <w:rFonts w:eastAsia="Calibri"/>
                <w:sz w:val="20"/>
                <w:szCs w:val="20"/>
              </w:rPr>
              <w:t>659</w:t>
            </w:r>
          </w:p>
        </w:tc>
        <w:tc>
          <w:tcPr>
            <w:tcW w:w="714" w:type="pct"/>
          </w:tcPr>
          <w:p w14:paraId="62986E3E" w14:textId="77777777" w:rsidR="00FA4C62" w:rsidRPr="00A771BD" w:rsidRDefault="00FA4C62" w:rsidP="00061D0E">
            <w:pPr>
              <w:jc w:val="right"/>
              <w:rPr>
                <w:rFonts w:eastAsia="Calibri"/>
                <w:sz w:val="20"/>
                <w:szCs w:val="20"/>
              </w:rPr>
            </w:pPr>
            <w:r w:rsidRPr="00A771BD">
              <w:rPr>
                <w:rFonts w:eastAsia="Calibri"/>
                <w:sz w:val="20"/>
                <w:szCs w:val="20"/>
              </w:rPr>
              <w:t>8</w:t>
            </w:r>
          </w:p>
          <w:p w14:paraId="62986E3F" w14:textId="77777777" w:rsidR="00FA4C62" w:rsidRPr="00A771BD" w:rsidRDefault="00FA4C62" w:rsidP="00061D0E">
            <w:pPr>
              <w:jc w:val="right"/>
              <w:rPr>
                <w:rFonts w:eastAsia="Calibri"/>
                <w:sz w:val="20"/>
                <w:szCs w:val="20"/>
              </w:rPr>
            </w:pPr>
            <w:r w:rsidRPr="00A771BD">
              <w:rPr>
                <w:rFonts w:eastAsia="Calibri"/>
                <w:sz w:val="20"/>
                <w:szCs w:val="20"/>
              </w:rPr>
              <w:t>$584</w:t>
            </w:r>
          </w:p>
        </w:tc>
        <w:tc>
          <w:tcPr>
            <w:tcW w:w="714" w:type="pct"/>
          </w:tcPr>
          <w:p w14:paraId="62986E40" w14:textId="77777777" w:rsidR="00FA4C62" w:rsidRPr="00A771BD" w:rsidRDefault="00FA4C62" w:rsidP="00061D0E">
            <w:pPr>
              <w:jc w:val="right"/>
              <w:rPr>
                <w:rFonts w:eastAsia="Calibri"/>
                <w:sz w:val="20"/>
                <w:szCs w:val="20"/>
              </w:rPr>
            </w:pPr>
            <w:r w:rsidRPr="00A771BD">
              <w:rPr>
                <w:rFonts w:eastAsia="Calibri"/>
                <w:sz w:val="20"/>
                <w:szCs w:val="20"/>
              </w:rPr>
              <w:t xml:space="preserve"> 5,272</w:t>
            </w:r>
          </w:p>
          <w:p w14:paraId="62986E41" w14:textId="77777777" w:rsidR="00FA4C62" w:rsidRPr="00A771BD" w:rsidRDefault="00FA4C62" w:rsidP="00061D0E">
            <w:pPr>
              <w:jc w:val="right"/>
              <w:rPr>
                <w:rFonts w:eastAsia="Calibri"/>
                <w:sz w:val="20"/>
                <w:szCs w:val="20"/>
              </w:rPr>
            </w:pPr>
            <w:r w:rsidRPr="00A771BD">
              <w:rPr>
                <w:rFonts w:eastAsia="Calibri"/>
                <w:sz w:val="20"/>
                <w:szCs w:val="20"/>
              </w:rPr>
              <w:t xml:space="preserve">$384,856 </w:t>
            </w:r>
          </w:p>
        </w:tc>
        <w:tc>
          <w:tcPr>
            <w:tcW w:w="572" w:type="pct"/>
          </w:tcPr>
          <w:p w14:paraId="62986E42" w14:textId="77777777" w:rsidR="00FA4C62" w:rsidRPr="00A771BD" w:rsidRDefault="00FA4C62" w:rsidP="00061D0E">
            <w:pPr>
              <w:jc w:val="right"/>
              <w:rPr>
                <w:rFonts w:eastAsia="Calibri"/>
                <w:sz w:val="20"/>
                <w:szCs w:val="20"/>
              </w:rPr>
            </w:pPr>
            <w:r w:rsidRPr="00A771BD">
              <w:rPr>
                <w:rFonts w:eastAsia="Calibri"/>
                <w:sz w:val="20"/>
                <w:szCs w:val="20"/>
              </w:rPr>
              <w:t xml:space="preserve">$584 </w:t>
            </w:r>
          </w:p>
          <w:p w14:paraId="62986E43" w14:textId="77777777" w:rsidR="00FA4C62" w:rsidRPr="00A771BD" w:rsidRDefault="00FA4C62" w:rsidP="00061D0E">
            <w:pPr>
              <w:jc w:val="right"/>
              <w:rPr>
                <w:rFonts w:eastAsia="Calibri"/>
                <w:sz w:val="20"/>
                <w:szCs w:val="20"/>
              </w:rPr>
            </w:pPr>
          </w:p>
        </w:tc>
      </w:tr>
      <w:tr w:rsidR="00FA4C62" w:rsidRPr="00A771BD" w14:paraId="62986E4E" w14:textId="77777777" w:rsidTr="00061D0E">
        <w:trPr>
          <w:cantSplit/>
        </w:trPr>
        <w:tc>
          <w:tcPr>
            <w:tcW w:w="953" w:type="pct"/>
          </w:tcPr>
          <w:p w14:paraId="62986E45" w14:textId="77777777" w:rsidR="00FA4C62" w:rsidRPr="00A771BD" w:rsidRDefault="00FA4C62" w:rsidP="00061D0E">
            <w:pPr>
              <w:rPr>
                <w:rFonts w:eastAsia="Calibri"/>
                <w:sz w:val="20"/>
                <w:szCs w:val="20"/>
              </w:rPr>
            </w:pPr>
            <w:r w:rsidRPr="00A771BD">
              <w:rPr>
                <w:rFonts w:eastAsia="Calibri"/>
                <w:sz w:val="20"/>
                <w:szCs w:val="20"/>
              </w:rPr>
              <w:t>One-time review and adjustment of existing program</w:t>
            </w:r>
          </w:p>
        </w:tc>
        <w:tc>
          <w:tcPr>
            <w:tcW w:w="713" w:type="pct"/>
          </w:tcPr>
          <w:p w14:paraId="62986E46" w14:textId="77777777" w:rsidR="00FA4C62" w:rsidRPr="00A771BD" w:rsidRDefault="00FA4C62" w:rsidP="00061D0E">
            <w:pPr>
              <w:jc w:val="right"/>
              <w:rPr>
                <w:rFonts w:eastAsia="Calibri"/>
                <w:sz w:val="20"/>
                <w:szCs w:val="20"/>
              </w:rPr>
            </w:pPr>
            <w:r w:rsidRPr="00A771BD">
              <w:rPr>
                <w:rFonts w:eastAsia="Calibri"/>
                <w:sz w:val="20"/>
                <w:szCs w:val="20"/>
              </w:rPr>
              <w:t>659</w:t>
            </w:r>
          </w:p>
        </w:tc>
        <w:tc>
          <w:tcPr>
            <w:tcW w:w="667" w:type="pct"/>
          </w:tcPr>
          <w:p w14:paraId="62986E47" w14:textId="77777777" w:rsidR="00FA4C62" w:rsidRPr="00A771BD" w:rsidRDefault="00FA4C62" w:rsidP="00061D0E">
            <w:pPr>
              <w:jc w:val="right"/>
              <w:rPr>
                <w:rFonts w:eastAsia="Calibri"/>
                <w:sz w:val="20"/>
                <w:szCs w:val="20"/>
              </w:rPr>
            </w:pPr>
            <w:r w:rsidRPr="00A771BD">
              <w:rPr>
                <w:rFonts w:eastAsia="Calibri"/>
                <w:sz w:val="20"/>
                <w:szCs w:val="20"/>
              </w:rPr>
              <w:t>1</w:t>
            </w:r>
          </w:p>
        </w:tc>
        <w:tc>
          <w:tcPr>
            <w:tcW w:w="667" w:type="pct"/>
          </w:tcPr>
          <w:p w14:paraId="62986E48" w14:textId="77777777" w:rsidR="00FA4C62" w:rsidRPr="00A771BD" w:rsidRDefault="00FA4C62" w:rsidP="00061D0E">
            <w:pPr>
              <w:jc w:val="right"/>
              <w:rPr>
                <w:rFonts w:eastAsia="Calibri"/>
                <w:sz w:val="20"/>
                <w:szCs w:val="20"/>
              </w:rPr>
            </w:pPr>
            <w:r w:rsidRPr="00A771BD">
              <w:rPr>
                <w:rFonts w:eastAsia="Calibri"/>
                <w:sz w:val="20"/>
                <w:szCs w:val="20"/>
              </w:rPr>
              <w:t>659</w:t>
            </w:r>
          </w:p>
        </w:tc>
        <w:tc>
          <w:tcPr>
            <w:tcW w:w="714" w:type="pct"/>
          </w:tcPr>
          <w:p w14:paraId="62986E49" w14:textId="77777777" w:rsidR="00FA4C62" w:rsidRPr="00A771BD" w:rsidRDefault="00FA4C62" w:rsidP="00061D0E">
            <w:pPr>
              <w:jc w:val="right"/>
              <w:rPr>
                <w:rFonts w:eastAsia="Calibri"/>
                <w:sz w:val="20"/>
                <w:szCs w:val="20"/>
              </w:rPr>
            </w:pPr>
            <w:r w:rsidRPr="00A771BD">
              <w:rPr>
                <w:rFonts w:eastAsia="Calibri"/>
                <w:sz w:val="20"/>
                <w:szCs w:val="20"/>
              </w:rPr>
              <w:t>2</w:t>
            </w:r>
          </w:p>
          <w:p w14:paraId="62986E4A" w14:textId="77777777" w:rsidR="00FA4C62" w:rsidRPr="00A771BD" w:rsidRDefault="00FA4C62" w:rsidP="00061D0E">
            <w:pPr>
              <w:jc w:val="right"/>
              <w:rPr>
                <w:rFonts w:eastAsia="Calibri"/>
                <w:sz w:val="20"/>
                <w:szCs w:val="20"/>
              </w:rPr>
            </w:pPr>
            <w:r w:rsidRPr="00A771BD">
              <w:rPr>
                <w:rFonts w:eastAsia="Calibri"/>
                <w:sz w:val="20"/>
                <w:szCs w:val="20"/>
              </w:rPr>
              <w:t>$146</w:t>
            </w:r>
          </w:p>
        </w:tc>
        <w:tc>
          <w:tcPr>
            <w:tcW w:w="714" w:type="pct"/>
          </w:tcPr>
          <w:p w14:paraId="62986E4B" w14:textId="77777777" w:rsidR="00FA4C62" w:rsidRPr="00A771BD" w:rsidRDefault="00FA4C62" w:rsidP="00061D0E">
            <w:pPr>
              <w:jc w:val="right"/>
              <w:rPr>
                <w:rFonts w:eastAsia="Calibri"/>
                <w:sz w:val="20"/>
                <w:szCs w:val="20"/>
              </w:rPr>
            </w:pPr>
            <w:r w:rsidRPr="00A771BD">
              <w:rPr>
                <w:rFonts w:eastAsia="Calibri"/>
                <w:sz w:val="20"/>
                <w:szCs w:val="20"/>
              </w:rPr>
              <w:t>1,318</w:t>
            </w:r>
          </w:p>
          <w:p w14:paraId="62986E4C" w14:textId="77777777" w:rsidR="00FA4C62" w:rsidRPr="00A771BD" w:rsidRDefault="00FA4C62" w:rsidP="00061D0E">
            <w:pPr>
              <w:jc w:val="right"/>
              <w:rPr>
                <w:rFonts w:eastAsia="Calibri"/>
                <w:sz w:val="20"/>
                <w:szCs w:val="20"/>
              </w:rPr>
            </w:pPr>
            <w:r w:rsidRPr="00A771BD">
              <w:rPr>
                <w:rFonts w:eastAsia="Calibri"/>
                <w:sz w:val="20"/>
                <w:szCs w:val="20"/>
              </w:rPr>
              <w:t>$96,214</w:t>
            </w:r>
          </w:p>
        </w:tc>
        <w:tc>
          <w:tcPr>
            <w:tcW w:w="572" w:type="pct"/>
          </w:tcPr>
          <w:p w14:paraId="62986E4D" w14:textId="77777777" w:rsidR="00FA4C62" w:rsidRPr="00A771BD" w:rsidRDefault="00FA4C62" w:rsidP="00061D0E">
            <w:pPr>
              <w:jc w:val="right"/>
              <w:rPr>
                <w:rFonts w:eastAsia="Calibri"/>
                <w:sz w:val="20"/>
                <w:szCs w:val="20"/>
              </w:rPr>
            </w:pPr>
            <w:r w:rsidRPr="00A771BD">
              <w:rPr>
                <w:rFonts w:eastAsia="Calibri"/>
                <w:sz w:val="20"/>
                <w:szCs w:val="20"/>
              </w:rPr>
              <w:t>$146</w:t>
            </w:r>
          </w:p>
        </w:tc>
      </w:tr>
      <w:tr w:rsidR="00FA4C62" w:rsidRPr="00A771BD" w14:paraId="62986E58" w14:textId="77777777" w:rsidTr="00061D0E">
        <w:trPr>
          <w:cantSplit/>
        </w:trPr>
        <w:tc>
          <w:tcPr>
            <w:tcW w:w="953" w:type="pct"/>
          </w:tcPr>
          <w:p w14:paraId="62986E4F" w14:textId="77777777" w:rsidR="00FA4C62" w:rsidRPr="00A771BD" w:rsidRDefault="00FA4C62" w:rsidP="00061D0E">
            <w:pPr>
              <w:rPr>
                <w:rFonts w:eastAsia="Calibri"/>
                <w:sz w:val="20"/>
                <w:szCs w:val="20"/>
              </w:rPr>
            </w:pPr>
            <w:r w:rsidRPr="00A771BD">
              <w:rPr>
                <w:rFonts w:eastAsia="Calibri"/>
                <w:sz w:val="20"/>
                <w:szCs w:val="20"/>
              </w:rPr>
              <w:t>Evidence Retention</w:t>
            </w:r>
          </w:p>
        </w:tc>
        <w:tc>
          <w:tcPr>
            <w:tcW w:w="713" w:type="pct"/>
          </w:tcPr>
          <w:p w14:paraId="62986E50" w14:textId="77777777" w:rsidR="00FA4C62" w:rsidRPr="00A771BD" w:rsidRDefault="00FA4C62" w:rsidP="00061D0E">
            <w:pPr>
              <w:jc w:val="right"/>
              <w:rPr>
                <w:rFonts w:eastAsia="Calibri"/>
                <w:sz w:val="20"/>
                <w:szCs w:val="20"/>
              </w:rPr>
            </w:pPr>
            <w:r w:rsidRPr="00A771BD">
              <w:rPr>
                <w:rFonts w:eastAsia="Calibri"/>
                <w:sz w:val="20"/>
                <w:szCs w:val="20"/>
              </w:rPr>
              <w:t>659</w:t>
            </w:r>
          </w:p>
        </w:tc>
        <w:tc>
          <w:tcPr>
            <w:tcW w:w="667" w:type="pct"/>
          </w:tcPr>
          <w:p w14:paraId="62986E51" w14:textId="77777777" w:rsidR="00FA4C62" w:rsidRPr="00A771BD" w:rsidRDefault="00FA4C62" w:rsidP="00061D0E">
            <w:pPr>
              <w:jc w:val="right"/>
              <w:rPr>
                <w:rFonts w:eastAsia="Calibri"/>
                <w:sz w:val="20"/>
                <w:szCs w:val="20"/>
              </w:rPr>
            </w:pPr>
            <w:r w:rsidRPr="00A771BD">
              <w:rPr>
                <w:rFonts w:eastAsia="Calibri"/>
                <w:sz w:val="20"/>
                <w:szCs w:val="20"/>
              </w:rPr>
              <w:t>1</w:t>
            </w:r>
          </w:p>
        </w:tc>
        <w:tc>
          <w:tcPr>
            <w:tcW w:w="667" w:type="pct"/>
          </w:tcPr>
          <w:p w14:paraId="62986E52" w14:textId="77777777" w:rsidR="00FA4C62" w:rsidRPr="00A771BD" w:rsidRDefault="00FA4C62" w:rsidP="00061D0E">
            <w:pPr>
              <w:jc w:val="right"/>
              <w:rPr>
                <w:rFonts w:eastAsia="Calibri"/>
                <w:sz w:val="20"/>
                <w:szCs w:val="20"/>
              </w:rPr>
            </w:pPr>
            <w:r w:rsidRPr="00A771BD">
              <w:rPr>
                <w:rFonts w:eastAsia="Calibri"/>
                <w:sz w:val="20"/>
                <w:szCs w:val="20"/>
              </w:rPr>
              <w:t>659</w:t>
            </w:r>
          </w:p>
        </w:tc>
        <w:tc>
          <w:tcPr>
            <w:tcW w:w="714" w:type="pct"/>
          </w:tcPr>
          <w:p w14:paraId="62986E53" w14:textId="77777777" w:rsidR="00FA4C62" w:rsidRPr="00A771BD" w:rsidRDefault="00FA4C62" w:rsidP="00061D0E">
            <w:pPr>
              <w:jc w:val="right"/>
              <w:rPr>
                <w:rFonts w:eastAsia="Calibri"/>
                <w:sz w:val="20"/>
                <w:szCs w:val="20"/>
              </w:rPr>
            </w:pPr>
            <w:r w:rsidRPr="00A771BD">
              <w:rPr>
                <w:rFonts w:eastAsia="Calibri"/>
                <w:sz w:val="20"/>
                <w:szCs w:val="20"/>
              </w:rPr>
              <w:t>12</w:t>
            </w:r>
          </w:p>
          <w:p w14:paraId="62986E54" w14:textId="77777777" w:rsidR="00FA4C62" w:rsidRPr="00A771BD" w:rsidRDefault="00FA4C62" w:rsidP="00061D0E">
            <w:pPr>
              <w:jc w:val="right"/>
              <w:rPr>
                <w:rFonts w:eastAsia="Calibri"/>
                <w:sz w:val="20"/>
                <w:szCs w:val="20"/>
              </w:rPr>
            </w:pPr>
            <w:r w:rsidRPr="00A771BD">
              <w:rPr>
                <w:rFonts w:eastAsia="Calibri"/>
                <w:sz w:val="20"/>
                <w:szCs w:val="20"/>
              </w:rPr>
              <w:t>$384</w:t>
            </w:r>
          </w:p>
        </w:tc>
        <w:tc>
          <w:tcPr>
            <w:tcW w:w="714" w:type="pct"/>
          </w:tcPr>
          <w:p w14:paraId="62986E55" w14:textId="77777777" w:rsidR="00FA4C62" w:rsidRPr="00A771BD" w:rsidRDefault="00FA4C62" w:rsidP="00061D0E">
            <w:pPr>
              <w:jc w:val="right"/>
              <w:rPr>
                <w:rFonts w:eastAsia="Calibri"/>
                <w:sz w:val="20"/>
                <w:szCs w:val="20"/>
              </w:rPr>
            </w:pPr>
            <w:r w:rsidRPr="00A771BD">
              <w:rPr>
                <w:rFonts w:eastAsia="Calibri"/>
                <w:sz w:val="20"/>
                <w:szCs w:val="20"/>
              </w:rPr>
              <w:t>7,908</w:t>
            </w:r>
          </w:p>
          <w:p w14:paraId="62986E56" w14:textId="77777777" w:rsidR="00FA4C62" w:rsidRPr="00A771BD" w:rsidRDefault="00FA4C62" w:rsidP="00061D0E">
            <w:pPr>
              <w:jc w:val="right"/>
              <w:rPr>
                <w:rFonts w:eastAsia="Calibri"/>
                <w:sz w:val="20"/>
                <w:szCs w:val="20"/>
              </w:rPr>
            </w:pPr>
            <w:r w:rsidRPr="00A771BD">
              <w:rPr>
                <w:rFonts w:eastAsia="Calibri"/>
                <w:sz w:val="20"/>
                <w:szCs w:val="20"/>
              </w:rPr>
              <w:t>$253,056</w:t>
            </w:r>
          </w:p>
        </w:tc>
        <w:tc>
          <w:tcPr>
            <w:tcW w:w="572" w:type="pct"/>
          </w:tcPr>
          <w:p w14:paraId="62986E57" w14:textId="77777777" w:rsidR="00FA4C62" w:rsidRPr="00A771BD" w:rsidRDefault="00FA4C62" w:rsidP="00061D0E">
            <w:pPr>
              <w:jc w:val="right"/>
              <w:rPr>
                <w:rFonts w:eastAsia="Calibri"/>
                <w:sz w:val="20"/>
                <w:szCs w:val="20"/>
              </w:rPr>
            </w:pPr>
            <w:r w:rsidRPr="00A771BD">
              <w:rPr>
                <w:rFonts w:eastAsia="Calibri"/>
                <w:sz w:val="20"/>
                <w:szCs w:val="20"/>
              </w:rPr>
              <w:t>$384</w:t>
            </w:r>
          </w:p>
        </w:tc>
      </w:tr>
      <w:tr w:rsidR="00FA4C62" w:rsidRPr="00A771BD" w14:paraId="62986E61" w14:textId="77777777" w:rsidTr="00061D0E">
        <w:trPr>
          <w:cantSplit/>
          <w:trHeight w:val="485"/>
        </w:trPr>
        <w:tc>
          <w:tcPr>
            <w:tcW w:w="953" w:type="pct"/>
            <w:tcBorders>
              <w:bottom w:val="single" w:sz="4" w:space="0" w:color="auto"/>
            </w:tcBorders>
          </w:tcPr>
          <w:p w14:paraId="62986E59" w14:textId="77777777" w:rsidR="00FA4C62" w:rsidRPr="00A771BD" w:rsidRDefault="00FA4C62" w:rsidP="00061D0E">
            <w:pPr>
              <w:rPr>
                <w:rFonts w:eastAsia="Calibri"/>
                <w:sz w:val="20"/>
                <w:szCs w:val="20"/>
              </w:rPr>
            </w:pPr>
            <w:r w:rsidRPr="00A771BD">
              <w:rPr>
                <w:rFonts w:eastAsia="Calibri"/>
                <w:b/>
                <w:sz w:val="20"/>
                <w:szCs w:val="20"/>
              </w:rPr>
              <w:t>TOTAL</w:t>
            </w:r>
          </w:p>
        </w:tc>
        <w:tc>
          <w:tcPr>
            <w:tcW w:w="713" w:type="pct"/>
            <w:tcBorders>
              <w:bottom w:val="single" w:sz="4" w:space="0" w:color="auto"/>
            </w:tcBorders>
            <w:shd w:val="clear" w:color="auto" w:fill="BFBFBF"/>
          </w:tcPr>
          <w:p w14:paraId="62986E5A" w14:textId="77777777" w:rsidR="00FA4C62" w:rsidRPr="00A771BD" w:rsidRDefault="00FA4C62" w:rsidP="00061D0E">
            <w:pPr>
              <w:jc w:val="right"/>
              <w:rPr>
                <w:rFonts w:eastAsia="Calibri"/>
                <w:sz w:val="20"/>
                <w:szCs w:val="20"/>
              </w:rPr>
            </w:pPr>
          </w:p>
        </w:tc>
        <w:tc>
          <w:tcPr>
            <w:tcW w:w="667" w:type="pct"/>
            <w:tcBorders>
              <w:bottom w:val="single" w:sz="4" w:space="0" w:color="auto"/>
            </w:tcBorders>
            <w:shd w:val="clear" w:color="auto" w:fill="BFBFBF"/>
          </w:tcPr>
          <w:p w14:paraId="62986E5B" w14:textId="77777777" w:rsidR="00FA4C62" w:rsidRPr="00A771BD" w:rsidRDefault="00FA4C62" w:rsidP="00061D0E">
            <w:pPr>
              <w:jc w:val="right"/>
              <w:rPr>
                <w:rFonts w:eastAsia="Calibri"/>
                <w:sz w:val="20"/>
                <w:szCs w:val="20"/>
              </w:rPr>
            </w:pPr>
          </w:p>
        </w:tc>
        <w:tc>
          <w:tcPr>
            <w:tcW w:w="667" w:type="pct"/>
            <w:tcBorders>
              <w:bottom w:val="single" w:sz="4" w:space="0" w:color="auto"/>
            </w:tcBorders>
            <w:shd w:val="clear" w:color="auto" w:fill="BFBFBF"/>
          </w:tcPr>
          <w:p w14:paraId="62986E5C" w14:textId="77777777" w:rsidR="00FA4C62" w:rsidRPr="00A771BD" w:rsidRDefault="00FA4C62" w:rsidP="00061D0E">
            <w:pPr>
              <w:jc w:val="right"/>
              <w:rPr>
                <w:rFonts w:eastAsia="Calibri"/>
                <w:sz w:val="20"/>
                <w:szCs w:val="20"/>
              </w:rPr>
            </w:pPr>
          </w:p>
        </w:tc>
        <w:tc>
          <w:tcPr>
            <w:tcW w:w="714" w:type="pct"/>
            <w:tcBorders>
              <w:bottom w:val="single" w:sz="4" w:space="0" w:color="auto"/>
            </w:tcBorders>
          </w:tcPr>
          <w:p w14:paraId="62986E5D" w14:textId="77777777" w:rsidR="00FA4C62" w:rsidRPr="00A771BD" w:rsidRDefault="00FA4C62" w:rsidP="00061D0E">
            <w:pPr>
              <w:jc w:val="right"/>
              <w:rPr>
                <w:rFonts w:eastAsia="Calibri"/>
                <w:sz w:val="20"/>
                <w:szCs w:val="20"/>
              </w:rPr>
            </w:pPr>
          </w:p>
        </w:tc>
        <w:tc>
          <w:tcPr>
            <w:tcW w:w="714" w:type="pct"/>
            <w:tcBorders>
              <w:bottom w:val="single" w:sz="4" w:space="0" w:color="auto"/>
            </w:tcBorders>
            <w:shd w:val="clear" w:color="auto" w:fill="BFBFBF"/>
          </w:tcPr>
          <w:p w14:paraId="62986E5E" w14:textId="77777777" w:rsidR="00FA4C62" w:rsidRPr="00A771BD" w:rsidRDefault="00FA4C62" w:rsidP="00061D0E">
            <w:pPr>
              <w:jc w:val="right"/>
              <w:rPr>
                <w:rFonts w:eastAsia="Calibri"/>
                <w:sz w:val="20"/>
                <w:szCs w:val="20"/>
              </w:rPr>
            </w:pPr>
            <w:r w:rsidRPr="00A771BD">
              <w:rPr>
                <w:rFonts w:eastAsia="Calibri"/>
                <w:sz w:val="20"/>
                <w:szCs w:val="20"/>
              </w:rPr>
              <w:t>14,498</w:t>
            </w:r>
          </w:p>
          <w:p w14:paraId="62986E5F" w14:textId="77777777" w:rsidR="00FA4C62" w:rsidRPr="00A771BD" w:rsidRDefault="00FA4C62" w:rsidP="00061D0E">
            <w:pPr>
              <w:jc w:val="right"/>
              <w:rPr>
                <w:rFonts w:eastAsia="Calibri"/>
                <w:sz w:val="20"/>
                <w:szCs w:val="20"/>
              </w:rPr>
            </w:pPr>
            <w:r w:rsidRPr="00A771BD">
              <w:rPr>
                <w:rFonts w:eastAsia="Calibri"/>
                <w:sz w:val="20"/>
                <w:szCs w:val="20"/>
              </w:rPr>
              <w:t>$734,126</w:t>
            </w:r>
          </w:p>
        </w:tc>
        <w:tc>
          <w:tcPr>
            <w:tcW w:w="572" w:type="pct"/>
          </w:tcPr>
          <w:p w14:paraId="62986E60" w14:textId="77777777" w:rsidR="00FA4C62" w:rsidRPr="00A771BD" w:rsidRDefault="00FA4C62" w:rsidP="00061D0E">
            <w:pPr>
              <w:jc w:val="right"/>
              <w:rPr>
                <w:rFonts w:eastAsia="Calibri"/>
                <w:sz w:val="20"/>
                <w:szCs w:val="20"/>
              </w:rPr>
            </w:pPr>
            <w:r w:rsidRPr="00A771BD">
              <w:rPr>
                <w:rFonts w:eastAsia="Calibri"/>
                <w:sz w:val="20"/>
                <w:szCs w:val="20"/>
              </w:rPr>
              <w:t>$1,114</w:t>
            </w:r>
          </w:p>
        </w:tc>
      </w:tr>
    </w:tbl>
    <w:p w14:paraId="07E09AFB" w14:textId="4EA6379B" w:rsidR="008F5F3A" w:rsidRDefault="008F5F3A" w:rsidP="008F5F3A"/>
    <w:p w14:paraId="049E419C" w14:textId="77777777" w:rsidR="008F5F3A" w:rsidRDefault="008F5F3A" w:rsidP="008F5F3A"/>
    <w:p w14:paraId="4647BF89" w14:textId="77777777" w:rsidR="008F5F3A" w:rsidRDefault="008F5F3A" w:rsidP="008F5F3A"/>
    <w:p w14:paraId="59B02224" w14:textId="56E18FA7" w:rsidR="008F5F3A" w:rsidRPr="008F5F3A" w:rsidRDefault="008F5F3A" w:rsidP="008F5F3A">
      <w:pPr>
        <w:ind w:firstLine="2606"/>
        <w:jc w:val="center"/>
      </w:pPr>
      <w:r w:rsidRPr="008F5F3A">
        <w:t>Nathaniel J. Davis, Sr.,</w:t>
      </w:r>
    </w:p>
    <w:p w14:paraId="7A54CAED" w14:textId="2650CB91" w:rsidR="008F5F3A" w:rsidRPr="008F5F3A" w:rsidRDefault="008F5F3A" w:rsidP="008F5F3A">
      <w:pPr>
        <w:ind w:firstLine="2606"/>
        <w:jc w:val="center"/>
      </w:pPr>
      <w:r w:rsidRPr="008F5F3A">
        <w:t>Deputy Secretary.</w:t>
      </w:r>
    </w:p>
    <w:p w14:paraId="08D462DE" w14:textId="77777777" w:rsidR="008F5F3A" w:rsidRDefault="008F5F3A" w:rsidP="008F5F3A"/>
    <w:sectPr w:rsidR="008F5F3A" w:rsidSect="00190EB5">
      <w:headerReference w:type="even" r:id="rId1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B0EBE" w14:textId="77777777" w:rsidR="00DF1C77" w:rsidRDefault="00DF1C77" w:rsidP="00CD7F37">
      <w:r>
        <w:separator/>
      </w:r>
    </w:p>
  </w:endnote>
  <w:endnote w:type="continuationSeparator" w:id="0">
    <w:p w14:paraId="5CBA24D1" w14:textId="77777777" w:rsidR="00DF1C77" w:rsidRDefault="00DF1C77" w:rsidP="00CD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7E569" w14:textId="77777777" w:rsidR="00DF1C77" w:rsidRDefault="00DF1C77" w:rsidP="00CD7F37">
      <w:r>
        <w:separator/>
      </w:r>
    </w:p>
  </w:footnote>
  <w:footnote w:type="continuationSeparator" w:id="0">
    <w:p w14:paraId="508C78DF" w14:textId="77777777" w:rsidR="00DF1C77" w:rsidRDefault="00DF1C77" w:rsidP="00CD7F37">
      <w:r>
        <w:continuationSeparator/>
      </w:r>
    </w:p>
  </w:footnote>
  <w:footnote w:id="1">
    <w:p w14:paraId="62986E71" w14:textId="77777777" w:rsidR="000E1D3E" w:rsidRPr="008F5F3A" w:rsidRDefault="000E1D3E" w:rsidP="00A771BD">
      <w:pPr>
        <w:pStyle w:val="FootnoteText"/>
        <w:rPr>
          <w:sz w:val="26"/>
          <w:szCs w:val="26"/>
        </w:rPr>
      </w:pPr>
      <w:r w:rsidRPr="008F5F3A">
        <w:rPr>
          <w:rStyle w:val="FootnoteReference"/>
        </w:rPr>
        <w:footnoteRef/>
      </w:r>
      <w:r w:rsidRPr="008F5F3A">
        <w:rPr>
          <w:sz w:val="26"/>
          <w:szCs w:val="26"/>
        </w:rPr>
        <w:t xml:space="preserve"> 16 U.S.C. § 824o(d)(1) (2012).  </w:t>
      </w:r>
    </w:p>
  </w:footnote>
  <w:footnote w:id="2">
    <w:p w14:paraId="62986E72" w14:textId="77777777" w:rsidR="000E1D3E" w:rsidRPr="008F5F3A" w:rsidRDefault="000E1D3E" w:rsidP="00A771BD">
      <w:pPr>
        <w:pStyle w:val="FootnoteText"/>
        <w:rPr>
          <w:sz w:val="26"/>
          <w:szCs w:val="26"/>
        </w:rPr>
      </w:pPr>
      <w:r w:rsidRPr="008F5F3A">
        <w:rPr>
          <w:rStyle w:val="FootnoteReference"/>
        </w:rPr>
        <w:footnoteRef/>
      </w:r>
      <w:r w:rsidRPr="008F5F3A">
        <w:rPr>
          <w:sz w:val="26"/>
          <w:szCs w:val="26"/>
        </w:rPr>
        <w:t xml:space="preserve"> 18 C.F.R. § 39.5 (2014).  </w:t>
      </w:r>
    </w:p>
  </w:footnote>
  <w:footnote w:id="3">
    <w:p w14:paraId="62986E73" w14:textId="77777777" w:rsidR="00FA4C62" w:rsidRPr="008F5F3A" w:rsidRDefault="00FA4C62" w:rsidP="00A771BD">
      <w:pPr>
        <w:rPr>
          <w:szCs w:val="26"/>
        </w:rPr>
      </w:pPr>
      <w:r w:rsidRPr="008F5F3A">
        <w:rPr>
          <w:rStyle w:val="FootnoteReference"/>
        </w:rPr>
        <w:footnoteRef/>
      </w:r>
      <w:r w:rsidRPr="008F5F3A">
        <w:rPr>
          <w:szCs w:val="26"/>
        </w:rPr>
        <w:t xml:space="preserve"> Requirement R2 - Each Transmission Owner, Generator Owner, and Distribution Provider that owns a BES interrupting device that operated shall, within 120 calendar days of the BES interrupting device operation, provide notification as described in Parts 2.1 and 2.2.</w:t>
      </w:r>
    </w:p>
    <w:p w14:paraId="62986E74" w14:textId="77777777" w:rsidR="00FA4C62" w:rsidRPr="00A771BD" w:rsidRDefault="00FA4C62" w:rsidP="00A771BD">
      <w:pPr>
        <w:pStyle w:val="FootnoteText"/>
        <w:rPr>
          <w:sz w:val="20"/>
        </w:rPr>
      </w:pPr>
    </w:p>
  </w:footnote>
  <w:footnote w:id="4">
    <w:p w14:paraId="62986E75" w14:textId="77777777" w:rsidR="00FA4C62" w:rsidRPr="008F5F3A" w:rsidRDefault="00FA4C62" w:rsidP="00A771BD">
      <w:pPr>
        <w:pStyle w:val="FootnoteText"/>
        <w:rPr>
          <w:sz w:val="26"/>
          <w:szCs w:val="26"/>
        </w:rPr>
      </w:pPr>
      <w:r w:rsidRPr="008F5F3A">
        <w:rPr>
          <w:rStyle w:val="FootnoteReference"/>
        </w:rPr>
        <w:footnoteRef/>
      </w:r>
      <w:r w:rsidRPr="008F5F3A">
        <w:rPr>
          <w:sz w:val="26"/>
          <w:szCs w:val="26"/>
        </w:rPr>
        <w:t xml:space="preserve"> FERC-725G is a currently pending request at OMB.  Only one submittal can be pending OMB review under each control number, therefore, FERC-725G1 will be used for timely submittal.  </w:t>
      </w:r>
    </w:p>
  </w:footnote>
  <w:footnote w:id="5">
    <w:p w14:paraId="62986E76" w14:textId="77777777" w:rsidR="00261030" w:rsidRPr="008F5F3A" w:rsidRDefault="00FA4C62" w:rsidP="00A771BD">
      <w:pPr>
        <w:pStyle w:val="FootnoteText"/>
        <w:rPr>
          <w:sz w:val="26"/>
          <w:szCs w:val="26"/>
        </w:rPr>
      </w:pPr>
      <w:r w:rsidRPr="008F5F3A">
        <w:rPr>
          <w:rStyle w:val="FootnoteReference"/>
        </w:rPr>
        <w:footnoteRef/>
      </w:r>
      <w:r w:rsidRPr="008F5F3A">
        <w:rPr>
          <w:b/>
          <w:sz w:val="26"/>
          <w:szCs w:val="26"/>
          <w:vertAlign w:val="superscript"/>
        </w:rPr>
        <w:t xml:space="preserve"> </w:t>
      </w:r>
      <w:r w:rsidRPr="008F5F3A">
        <w:rPr>
          <w:sz w:val="26"/>
          <w:szCs w:val="26"/>
        </w:rPr>
        <w:t xml:space="preserve">The estimates for cost per response are derived using the following formula: Average Burden Hours per Response * $n per Hour = Average Cost per Response. The $73 hourly cost figure is the average of the salary plus benefits for a manager and an engineer (rounded to the nearest dollar); $32/hour is the salary plus benefits for information and record clerks.  The figures are taken from the Bureau of Labor Statistics at </w:t>
      </w:r>
      <w:hyperlink r:id="rId1" w:history="1">
        <w:r w:rsidR="00261030" w:rsidRPr="008F5F3A">
          <w:rPr>
            <w:rStyle w:val="Hyperlink"/>
            <w:sz w:val="26"/>
            <w:szCs w:val="26"/>
          </w:rPr>
          <w:t>http://bls.gov/oes/current/naics3_221000.htm</w:t>
        </w:r>
      </w:hyperlink>
      <w:r w:rsidR="00261030" w:rsidRPr="008F5F3A">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86E6C" w14:textId="77777777" w:rsidR="009A6D11" w:rsidRDefault="005735B7"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86E6D" w14:textId="77777777" w:rsidR="009A6D11" w:rsidRDefault="00DF1C77"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86E6E" w14:textId="77777777" w:rsidR="009A6D11" w:rsidRDefault="005735B7"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48DC">
      <w:rPr>
        <w:rStyle w:val="PageNumber"/>
        <w:noProof/>
      </w:rPr>
      <w:t>2</w:t>
    </w:r>
    <w:r>
      <w:rPr>
        <w:rStyle w:val="PageNumber"/>
      </w:rPr>
      <w:fldChar w:fldCharType="end"/>
    </w:r>
  </w:p>
  <w:p w14:paraId="62986E6F" w14:textId="77777777" w:rsidR="009A6D11" w:rsidRDefault="005735B7" w:rsidP="0096632C">
    <w:pPr>
      <w:pStyle w:val="Header"/>
      <w:ind w:right="360"/>
    </w:pPr>
    <w:r>
      <w:t>Docket No</w:t>
    </w:r>
    <w:r w:rsidR="00AF43C0">
      <w:t>. RD14</w:t>
    </w:r>
    <w:r w:rsidRPr="00E804A3">
      <w:t>-1</w:t>
    </w:r>
    <w:r w:rsidR="00AF43C0">
      <w:t>4</w:t>
    </w:r>
    <w:r w:rsidRPr="00E804A3">
      <w:t>-000</w:t>
    </w:r>
  </w:p>
  <w:p w14:paraId="62986E70" w14:textId="77777777" w:rsidR="00AF43C0" w:rsidRDefault="00AF43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E4E4DD3"/>
    <w:multiLevelType w:val="hybridMultilevel"/>
    <w:tmpl w:val="20BE8C40"/>
    <w:lvl w:ilvl="0" w:tplc="DF9046B2">
      <w:start w:val="1"/>
      <w:numFmt w:val="decimal"/>
      <w:pStyle w:val="FERCparanumber"/>
      <w:lvlText w:val="%1."/>
      <w:lvlJc w:val="left"/>
      <w:pPr>
        <w:tabs>
          <w:tab w:val="num" w:pos="720"/>
        </w:tabs>
        <w:ind w:left="0" w:firstLine="0"/>
      </w:pPr>
      <w:rPr>
        <w:b w:val="0"/>
      </w:rPr>
    </w:lvl>
    <w:lvl w:ilvl="1" w:tplc="04090003">
      <w:start w:val="1"/>
      <w:numFmt w:val="upp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F37"/>
    <w:rsid w:val="000948DC"/>
    <w:rsid w:val="000E1D3E"/>
    <w:rsid w:val="0010764F"/>
    <w:rsid w:val="00261030"/>
    <w:rsid w:val="00452D91"/>
    <w:rsid w:val="005735B7"/>
    <w:rsid w:val="00574689"/>
    <w:rsid w:val="005A29A8"/>
    <w:rsid w:val="00616B63"/>
    <w:rsid w:val="00691DF4"/>
    <w:rsid w:val="007B6669"/>
    <w:rsid w:val="008F5F3A"/>
    <w:rsid w:val="00A771BD"/>
    <w:rsid w:val="00AF43C0"/>
    <w:rsid w:val="00B96DC0"/>
    <w:rsid w:val="00C81028"/>
    <w:rsid w:val="00CD7F37"/>
    <w:rsid w:val="00DF1C77"/>
    <w:rsid w:val="00E3374A"/>
    <w:rsid w:val="00E4381B"/>
    <w:rsid w:val="00E72E6E"/>
    <w:rsid w:val="00FA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298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3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CD7F37"/>
    <w:rPr>
      <w:rFonts w:ascii="Times New Roman" w:hAnsi="Times New Roman"/>
      <w:b/>
      <w:sz w:val="26"/>
      <w:szCs w:val="26"/>
      <w:vertAlign w:val="superscript"/>
    </w:rPr>
  </w:style>
  <w:style w:type="paragraph" w:styleId="FootnoteText">
    <w:name w:val="footnote text"/>
    <w:aliases w:val="Footnote Text Char2 Char,Footnote Text Char1 Char Char,Footnote Text Char Char Char Char1,Footnote Text Char2 Char Char Char Char,Footnote Text Char Char1 Char Char Char Char,fn Char Char Char1 Char Char,fn Char1,fn Char"/>
    <w:basedOn w:val="Normal"/>
    <w:link w:val="FootnoteTextChar"/>
    <w:uiPriority w:val="99"/>
    <w:rsid w:val="00CD7F37"/>
    <w:rPr>
      <w:sz w:val="22"/>
      <w:szCs w:val="20"/>
    </w:rPr>
  </w:style>
  <w:style w:type="character" w:customStyle="1" w:styleId="FootnoteTextChar">
    <w:name w:val="Footnote Text Char"/>
    <w:aliases w:val="Footnote Text Char2 Char Char1,Footnote Text Char1 Char Char Char,Footnote Text Char Char Char Char1 Char1,Footnote Text Char2 Char Char Char Char Char1,Footnote Text Char Char1 Char Char Char Char Char1,fn Char1 Char,fn Char Char"/>
    <w:basedOn w:val="DefaultParagraphFont"/>
    <w:link w:val="FootnoteText"/>
    <w:rsid w:val="00CD7F37"/>
    <w:rPr>
      <w:rFonts w:ascii="Times New Roman" w:eastAsia="Times New Roman" w:hAnsi="Times New Roman" w:cs="Times New Roman"/>
      <w:szCs w:val="20"/>
    </w:rPr>
  </w:style>
  <w:style w:type="paragraph" w:styleId="Header">
    <w:name w:val="header"/>
    <w:basedOn w:val="Normal"/>
    <w:link w:val="HeaderChar"/>
    <w:rsid w:val="00CD7F37"/>
    <w:pPr>
      <w:tabs>
        <w:tab w:val="center" w:pos="4320"/>
        <w:tab w:val="right" w:pos="8640"/>
      </w:tabs>
    </w:pPr>
  </w:style>
  <w:style w:type="character" w:customStyle="1" w:styleId="HeaderChar">
    <w:name w:val="Header Char"/>
    <w:basedOn w:val="DefaultParagraphFont"/>
    <w:link w:val="Header"/>
    <w:rsid w:val="00CD7F37"/>
    <w:rPr>
      <w:rFonts w:ascii="Times New Roman" w:eastAsia="Times New Roman" w:hAnsi="Times New Roman" w:cs="Times New Roman"/>
      <w:sz w:val="26"/>
      <w:szCs w:val="24"/>
    </w:rPr>
  </w:style>
  <w:style w:type="character" w:styleId="PageNumber">
    <w:name w:val="page number"/>
    <w:basedOn w:val="DefaultParagraphFont"/>
    <w:rsid w:val="00CD7F37"/>
  </w:style>
  <w:style w:type="character" w:styleId="Hyperlink">
    <w:name w:val="Hyperlink"/>
    <w:rsid w:val="00CD7F37"/>
    <w:rPr>
      <w:color w:val="0000FF"/>
      <w:u w:val="single"/>
    </w:rPr>
  </w:style>
  <w:style w:type="paragraph" w:customStyle="1" w:styleId="FERCparanumber">
    <w:name w:val="FERC paranumber"/>
    <w:basedOn w:val="Normal"/>
    <w:link w:val="FERCparanumberChar1"/>
    <w:rsid w:val="00FA4C62"/>
    <w:pPr>
      <w:numPr>
        <w:numId w:val="2"/>
      </w:numPr>
      <w:autoSpaceDE w:val="0"/>
      <w:autoSpaceDN w:val="0"/>
      <w:adjustRightInd w:val="0"/>
      <w:spacing w:after="240"/>
    </w:pPr>
  </w:style>
  <w:style w:type="character" w:customStyle="1" w:styleId="FootnoteTextChar1">
    <w:name w:val="Footnote Text Char1"/>
    <w:aliases w:val="Footnote Text Char Char,Footnote Text Char2 Char Char,Footnote Text Char1 Char Char Char1,Footnote Text Char Char Char Char1 Char,Footnote Text Char2 Char Char Char Char Char,Footnote Text Char Char1 Char Char Char Char Char"/>
    <w:uiPriority w:val="99"/>
    <w:rsid w:val="00FA4C62"/>
    <w:rPr>
      <w:sz w:val="26"/>
      <w:lang w:val="en-US" w:eastAsia="en-US" w:bidi="ar-SA"/>
    </w:rPr>
  </w:style>
  <w:style w:type="character" w:customStyle="1" w:styleId="FERCparanumberChar1">
    <w:name w:val="FERC paranumber Char1"/>
    <w:link w:val="FERCparanumber"/>
    <w:rsid w:val="00FA4C6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F43C0"/>
    <w:pPr>
      <w:tabs>
        <w:tab w:val="center" w:pos="4680"/>
        <w:tab w:val="right" w:pos="9360"/>
      </w:tabs>
    </w:pPr>
  </w:style>
  <w:style w:type="character" w:customStyle="1" w:styleId="FooterChar">
    <w:name w:val="Footer Char"/>
    <w:basedOn w:val="DefaultParagraphFont"/>
    <w:link w:val="Footer"/>
    <w:uiPriority w:val="99"/>
    <w:rsid w:val="00AF43C0"/>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3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CD7F37"/>
    <w:rPr>
      <w:rFonts w:ascii="Times New Roman" w:hAnsi="Times New Roman"/>
      <w:b/>
      <w:sz w:val="26"/>
      <w:szCs w:val="26"/>
      <w:vertAlign w:val="superscript"/>
    </w:rPr>
  </w:style>
  <w:style w:type="paragraph" w:styleId="FootnoteText">
    <w:name w:val="footnote text"/>
    <w:aliases w:val="Footnote Text Char2 Char,Footnote Text Char1 Char Char,Footnote Text Char Char Char Char1,Footnote Text Char2 Char Char Char Char,Footnote Text Char Char1 Char Char Char Char,fn Char Char Char1 Char Char,fn Char1,fn Char"/>
    <w:basedOn w:val="Normal"/>
    <w:link w:val="FootnoteTextChar"/>
    <w:uiPriority w:val="99"/>
    <w:rsid w:val="00CD7F37"/>
    <w:rPr>
      <w:sz w:val="22"/>
      <w:szCs w:val="20"/>
    </w:rPr>
  </w:style>
  <w:style w:type="character" w:customStyle="1" w:styleId="FootnoteTextChar">
    <w:name w:val="Footnote Text Char"/>
    <w:aliases w:val="Footnote Text Char2 Char Char1,Footnote Text Char1 Char Char Char,Footnote Text Char Char Char Char1 Char1,Footnote Text Char2 Char Char Char Char Char1,Footnote Text Char Char1 Char Char Char Char Char1,fn Char1 Char,fn Char Char"/>
    <w:basedOn w:val="DefaultParagraphFont"/>
    <w:link w:val="FootnoteText"/>
    <w:rsid w:val="00CD7F37"/>
    <w:rPr>
      <w:rFonts w:ascii="Times New Roman" w:eastAsia="Times New Roman" w:hAnsi="Times New Roman" w:cs="Times New Roman"/>
      <w:szCs w:val="20"/>
    </w:rPr>
  </w:style>
  <w:style w:type="paragraph" w:styleId="Header">
    <w:name w:val="header"/>
    <w:basedOn w:val="Normal"/>
    <w:link w:val="HeaderChar"/>
    <w:rsid w:val="00CD7F37"/>
    <w:pPr>
      <w:tabs>
        <w:tab w:val="center" w:pos="4320"/>
        <w:tab w:val="right" w:pos="8640"/>
      </w:tabs>
    </w:pPr>
  </w:style>
  <w:style w:type="character" w:customStyle="1" w:styleId="HeaderChar">
    <w:name w:val="Header Char"/>
    <w:basedOn w:val="DefaultParagraphFont"/>
    <w:link w:val="Header"/>
    <w:rsid w:val="00CD7F37"/>
    <w:rPr>
      <w:rFonts w:ascii="Times New Roman" w:eastAsia="Times New Roman" w:hAnsi="Times New Roman" w:cs="Times New Roman"/>
      <w:sz w:val="26"/>
      <w:szCs w:val="24"/>
    </w:rPr>
  </w:style>
  <w:style w:type="character" w:styleId="PageNumber">
    <w:name w:val="page number"/>
    <w:basedOn w:val="DefaultParagraphFont"/>
    <w:rsid w:val="00CD7F37"/>
  </w:style>
  <w:style w:type="character" w:styleId="Hyperlink">
    <w:name w:val="Hyperlink"/>
    <w:rsid w:val="00CD7F37"/>
    <w:rPr>
      <w:color w:val="0000FF"/>
      <w:u w:val="single"/>
    </w:rPr>
  </w:style>
  <w:style w:type="paragraph" w:customStyle="1" w:styleId="FERCparanumber">
    <w:name w:val="FERC paranumber"/>
    <w:basedOn w:val="Normal"/>
    <w:link w:val="FERCparanumberChar1"/>
    <w:rsid w:val="00FA4C62"/>
    <w:pPr>
      <w:numPr>
        <w:numId w:val="2"/>
      </w:numPr>
      <w:autoSpaceDE w:val="0"/>
      <w:autoSpaceDN w:val="0"/>
      <w:adjustRightInd w:val="0"/>
      <w:spacing w:after="240"/>
    </w:pPr>
  </w:style>
  <w:style w:type="character" w:customStyle="1" w:styleId="FootnoteTextChar1">
    <w:name w:val="Footnote Text Char1"/>
    <w:aliases w:val="Footnote Text Char Char,Footnote Text Char2 Char Char,Footnote Text Char1 Char Char Char1,Footnote Text Char Char Char Char1 Char,Footnote Text Char2 Char Char Char Char Char,Footnote Text Char Char1 Char Char Char Char Char"/>
    <w:uiPriority w:val="99"/>
    <w:rsid w:val="00FA4C62"/>
    <w:rPr>
      <w:sz w:val="26"/>
      <w:lang w:val="en-US" w:eastAsia="en-US" w:bidi="ar-SA"/>
    </w:rPr>
  </w:style>
  <w:style w:type="character" w:customStyle="1" w:styleId="FERCparanumberChar1">
    <w:name w:val="FERC paranumber Char1"/>
    <w:link w:val="FERCparanumber"/>
    <w:rsid w:val="00FA4C6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F43C0"/>
    <w:pPr>
      <w:tabs>
        <w:tab w:val="center" w:pos="4680"/>
        <w:tab w:val="right" w:pos="9360"/>
      </w:tabs>
    </w:pPr>
  </w:style>
  <w:style w:type="character" w:customStyle="1" w:styleId="FooterChar">
    <w:name w:val="Footer Char"/>
    <w:basedOn w:val="DefaultParagraphFont"/>
    <w:link w:val="Footer"/>
    <w:uiPriority w:val="99"/>
    <w:rsid w:val="00AF43C0"/>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oira_submission@omb.gov" TargetMode="External"/><Relationship Id="rId5" Type="http://schemas.openxmlformats.org/officeDocument/2006/relationships/styles" Target="styles.xml"/><Relationship Id="rId15" Type="http://schemas.openxmlformats.org/officeDocument/2006/relationships/hyperlink" Target="mailto:DataClearance@FERC.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1BF2B8A-4728-4A1A-8646-DB9358B1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FFDEE6F-789D-4D50-A9DF-2B441181F384}">
  <ds:schemaRefs>
    <ds:schemaRef ds:uri="http://schemas.microsoft.com/sharepoint/v3/contenttype/forms"/>
  </ds:schemaRefs>
</ds:datastoreItem>
</file>

<file path=customXml/itemProps3.xml><?xml version="1.0" encoding="utf-8"?>
<ds:datastoreItem xmlns:ds="http://schemas.openxmlformats.org/officeDocument/2006/customXml" ds:itemID="{C2F5B45D-B9B8-497D-8E04-50E9ADF042C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7449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2015-08-26T13:24:00Z</dcterms:created>
  <dcterms:modified xsi:type="dcterms:W3CDTF">2015-08-26T13:24:00Z</dcterms:modified>
  <dc:identifier/>
  <cp:version/>
</cp:coreProperties>
</file>