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5E8F5F" w14:textId="77777777" w:rsidR="00BB13BC" w:rsidRDefault="00D03AA2" w:rsidP="004452AA">
      <w:pPr>
        <w:pStyle w:val="CoverTextRed16pt"/>
        <w:ind w:left="5040"/>
        <w:rPr>
          <w:noProof/>
          <w:color w:val="auto"/>
        </w:rPr>
      </w:pPr>
      <w:r w:rsidRPr="00A253B8">
        <w:rPr>
          <w:noProof/>
          <w:color w:val="auto"/>
        </w:rPr>
        <w:t xml:space="preserve">Affirmatively Furthering Fair Housing (AFFH) </w:t>
      </w:r>
    </w:p>
    <w:p w14:paraId="4AAF108B" w14:textId="77777777" w:rsidR="001E2CF1" w:rsidRPr="00A253B8" w:rsidRDefault="00AF1986" w:rsidP="004452AA">
      <w:pPr>
        <w:pStyle w:val="CoverTextRed16pt"/>
        <w:ind w:left="5040"/>
        <w:rPr>
          <w:noProof/>
          <w:color w:val="auto"/>
        </w:rPr>
      </w:pPr>
      <w:r>
        <w:rPr>
          <w:noProof/>
          <w:color w:val="auto"/>
        </w:rPr>
        <w:t xml:space="preserve">Data </w:t>
      </w:r>
      <w:r w:rsidR="00D03AA2" w:rsidRPr="00A253B8">
        <w:rPr>
          <w:noProof/>
          <w:color w:val="auto"/>
        </w:rPr>
        <w:t xml:space="preserve">Documentation </w:t>
      </w:r>
    </w:p>
    <w:p w14:paraId="391A86F4" w14:textId="77777777" w:rsidR="009565D4" w:rsidRDefault="009565D4" w:rsidP="009565D4">
      <w:pPr>
        <w:pStyle w:val="CoverText-Address"/>
        <w:rPr>
          <w:noProof/>
        </w:rPr>
      </w:pPr>
    </w:p>
    <w:p w14:paraId="49B80C0B" w14:textId="77777777" w:rsidR="009565D4" w:rsidRDefault="009565D4" w:rsidP="009565D4">
      <w:pPr>
        <w:pStyle w:val="CoverText-Address"/>
        <w:rPr>
          <w:noProof/>
        </w:rPr>
      </w:pPr>
    </w:p>
    <w:p w14:paraId="34B2CDD3" w14:textId="77777777" w:rsidR="009565D4" w:rsidRDefault="009565D4" w:rsidP="009565D4">
      <w:pPr>
        <w:pStyle w:val="CoverText-Address"/>
        <w:rPr>
          <w:noProof/>
        </w:rPr>
      </w:pPr>
    </w:p>
    <w:p w14:paraId="4A8EEA99" w14:textId="77777777" w:rsidR="001E2CF1" w:rsidRDefault="001E2CF1" w:rsidP="00744E2C">
      <w:pPr>
        <w:pStyle w:val="CoverText-Address"/>
      </w:pPr>
    </w:p>
    <w:p w14:paraId="67CACC57" w14:textId="77777777" w:rsidR="009565D4" w:rsidRDefault="009565D4" w:rsidP="009565D4">
      <w:pPr>
        <w:pStyle w:val="CoverText-Address"/>
      </w:pPr>
    </w:p>
    <w:p w14:paraId="6A0E20DC" w14:textId="77777777" w:rsidR="009565D4" w:rsidRDefault="009565D4" w:rsidP="009565D4">
      <w:pPr>
        <w:pStyle w:val="CoverText-Address"/>
      </w:pPr>
    </w:p>
    <w:p w14:paraId="79EE0342" w14:textId="77777777" w:rsidR="009565D4" w:rsidRPr="001E2CF1" w:rsidRDefault="009565D4" w:rsidP="00744E2C">
      <w:pPr>
        <w:pStyle w:val="CoverText-Address"/>
      </w:pPr>
    </w:p>
    <w:p w14:paraId="3AFFEF57" w14:textId="77777777"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szCs w:val="24"/>
        </w:rPr>
      </w:pPr>
    </w:p>
    <w:p w14:paraId="078DB9E5" w14:textId="77777777" w:rsidR="009565D4" w:rsidRDefault="009565D4" w:rsidP="009565D4">
      <w:pPr>
        <w:pStyle w:val="CoverText-Address"/>
      </w:pPr>
    </w:p>
    <w:p w14:paraId="63213F23" w14:textId="77777777" w:rsidR="001E2CF1" w:rsidRPr="001E2CF1" w:rsidRDefault="001E2CF1" w:rsidP="00744E2C">
      <w:pPr>
        <w:pStyle w:val="CoverText-Address"/>
      </w:pPr>
    </w:p>
    <w:p w14:paraId="0D7FFD5B" w14:textId="77777777" w:rsidR="001E2CF1" w:rsidRPr="001E2CF1" w:rsidRDefault="00537014" w:rsidP="00354503">
      <w:pPr>
        <w:pStyle w:val="CoverText11pt"/>
      </w:pPr>
      <w:r>
        <w:t>Prepared</w:t>
      </w:r>
      <w:r w:rsidR="001E2CF1" w:rsidRPr="001E2CF1">
        <w:t xml:space="preserve"> by:</w:t>
      </w:r>
    </w:p>
    <w:p w14:paraId="02274528" w14:textId="77777777" w:rsidR="001E2CF1" w:rsidRPr="00A253B8" w:rsidRDefault="007E78C1" w:rsidP="00354503">
      <w:pPr>
        <w:pStyle w:val="CoverText-Address"/>
        <w:rPr>
          <w:b/>
          <w:color w:val="auto"/>
        </w:rPr>
      </w:pPr>
      <w:r w:rsidRPr="00A253B8">
        <w:rPr>
          <w:b/>
          <w:color w:val="auto"/>
        </w:rPr>
        <w:t xml:space="preserve">Abt Associates </w:t>
      </w:r>
    </w:p>
    <w:p w14:paraId="3794D2BE" w14:textId="77777777" w:rsidR="001E2CF1" w:rsidRDefault="001E2CF1" w:rsidP="00354503">
      <w:pPr>
        <w:pStyle w:val="CoverText-Address"/>
      </w:pPr>
      <w:r w:rsidRPr="001E2CF1">
        <w:t>4550 Montgomery Avenue</w:t>
      </w:r>
      <w:r w:rsidRPr="001E2CF1">
        <w:br/>
        <w:t xml:space="preserve">Suite 800 North </w:t>
      </w:r>
      <w:r w:rsidRPr="001E2CF1">
        <w:br/>
        <w:t>Bethesda, MD 20814</w:t>
      </w:r>
    </w:p>
    <w:p w14:paraId="63659A3E" w14:textId="77777777" w:rsidR="00CF3721" w:rsidRDefault="00CF3721" w:rsidP="00CF3721">
      <w:pPr>
        <w:pStyle w:val="CoverText-Address"/>
      </w:pPr>
    </w:p>
    <w:p w14:paraId="4BDB177C" w14:textId="77777777" w:rsidR="00CF3721" w:rsidRPr="00CF3721" w:rsidRDefault="00CF3721" w:rsidP="00CF3721">
      <w:pPr>
        <w:pStyle w:val="CoverText-Address"/>
        <w:rPr>
          <w:b/>
          <w:color w:val="auto"/>
        </w:rPr>
      </w:pPr>
      <w:r w:rsidRPr="00CF3721">
        <w:rPr>
          <w:b/>
          <w:color w:val="auto"/>
        </w:rPr>
        <w:t>Brent Mast, PhD</w:t>
      </w:r>
    </w:p>
    <w:p w14:paraId="2F20DD85" w14:textId="77777777" w:rsidR="00CF3721" w:rsidRDefault="00CF3721" w:rsidP="00CF3721">
      <w:pPr>
        <w:pStyle w:val="CoverText-Address"/>
        <w:tabs>
          <w:tab w:val="left" w:pos="5850"/>
        </w:tabs>
        <w:ind w:left="4500"/>
      </w:pPr>
      <w:r>
        <w:t>HUD Office of Policy Development &amp; Research</w:t>
      </w:r>
    </w:p>
    <w:p w14:paraId="1ADEF942" w14:textId="77777777" w:rsidR="00CF3721" w:rsidRPr="001E2CF1" w:rsidRDefault="00CF3721" w:rsidP="00CF3721">
      <w:pPr>
        <w:pStyle w:val="CoverText-Address"/>
        <w:ind w:left="5310"/>
      </w:pPr>
      <w:r>
        <w:t>Program Monitoring &amp; Research Div.</w:t>
      </w:r>
    </w:p>
    <w:p w14:paraId="770D0674" w14:textId="77777777" w:rsidR="001E2CF1" w:rsidRPr="001E2CF1" w:rsidRDefault="001E2CF1" w:rsidP="00354503">
      <w:pPr>
        <w:pStyle w:val="CoverText-Address"/>
      </w:pPr>
    </w:p>
    <w:p w14:paraId="49BD9A29" w14:textId="77777777" w:rsidR="001E2CF1" w:rsidRPr="001E2CF1" w:rsidRDefault="001E2CF1" w:rsidP="00354503">
      <w:pPr>
        <w:pStyle w:val="CoverText-Address"/>
      </w:pPr>
    </w:p>
    <w:p w14:paraId="09CFE0DA" w14:textId="77777777" w:rsidR="001E2CF1" w:rsidRPr="001E2CF1" w:rsidRDefault="001E2CF1" w:rsidP="00354503">
      <w:pPr>
        <w:pStyle w:val="CoverText-Address"/>
      </w:pPr>
    </w:p>
    <w:p w14:paraId="06F1C964" w14:textId="77777777" w:rsidR="00157E04" w:rsidRDefault="00157E04" w:rsidP="00D979EA">
      <w:pPr>
        <w:sectPr w:rsidR="00157E04" w:rsidSect="007969A4">
          <w:footerReference w:type="default" r:id="rId9"/>
          <w:pgSz w:w="12240" w:h="15840" w:code="1"/>
          <w:pgMar w:top="1440" w:right="1440" w:bottom="1440" w:left="1800" w:header="720" w:footer="720" w:gutter="0"/>
          <w:pgNumType w:fmt="lowerRoman" w:start="1"/>
          <w:cols w:space="720"/>
          <w:docGrid w:linePitch="299"/>
        </w:sectPr>
      </w:pPr>
    </w:p>
    <w:p w14:paraId="04C7ABAB" w14:textId="77777777" w:rsidR="00366EBD" w:rsidRPr="00366EBD" w:rsidRDefault="00366EBD">
      <w:pPr>
        <w:pStyle w:val="TOC1"/>
        <w:rPr>
          <w:sz w:val="28"/>
          <w:szCs w:val="28"/>
        </w:rPr>
      </w:pPr>
      <w:r w:rsidRPr="00366EBD">
        <w:rPr>
          <w:sz w:val="28"/>
          <w:szCs w:val="28"/>
        </w:rPr>
        <w:lastRenderedPageBreak/>
        <w:t>Table of Contents</w:t>
      </w:r>
    </w:p>
    <w:p w14:paraId="7B116448" w14:textId="77777777" w:rsidR="00E07B76" w:rsidRPr="00881313" w:rsidRDefault="00CD2213">
      <w:pPr>
        <w:pStyle w:val="TOC1"/>
        <w:rPr>
          <w:rFonts w:asciiTheme="minorHAnsi" w:eastAsiaTheme="minorEastAsia" w:hAnsiTheme="minorHAnsi" w:cstheme="minorBidi"/>
          <w:b w:val="0"/>
          <w:szCs w:val="22"/>
        </w:rPr>
      </w:pPr>
      <w:r w:rsidRPr="00881313">
        <w:rPr>
          <w:b w:val="0"/>
        </w:rPr>
        <w:fldChar w:fldCharType="begin"/>
      </w:r>
      <w:r w:rsidRPr="00881313">
        <w:rPr>
          <w:b w:val="0"/>
        </w:rPr>
        <w:instrText xml:space="preserve"> TOC \o "1-3" \h \z \u </w:instrText>
      </w:r>
      <w:r w:rsidRPr="00881313">
        <w:rPr>
          <w:b w:val="0"/>
        </w:rPr>
        <w:fldChar w:fldCharType="separate"/>
      </w:r>
      <w:hyperlink w:anchor="_Toc416855885" w:history="1">
        <w:r w:rsidR="00E07B76" w:rsidRPr="00881313">
          <w:rPr>
            <w:rStyle w:val="Hyperlink"/>
            <w:b w:val="0"/>
          </w:rPr>
          <w:t>I.</w:t>
        </w:r>
        <w:r w:rsidR="00E07B76" w:rsidRPr="00881313">
          <w:rPr>
            <w:rFonts w:asciiTheme="minorHAnsi" w:eastAsiaTheme="minorEastAsia" w:hAnsiTheme="minorHAnsi" w:cstheme="minorBidi"/>
            <w:b w:val="0"/>
            <w:szCs w:val="22"/>
          </w:rPr>
          <w:tab/>
        </w:r>
        <w:r w:rsidR="00E07B76" w:rsidRPr="00881313">
          <w:rPr>
            <w:rStyle w:val="Hyperlink"/>
            <w:b w:val="0"/>
          </w:rPr>
          <w:t>Overview</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_Toc416855885 \h </w:instrText>
        </w:r>
        <w:r w:rsidR="00E07B76" w:rsidRPr="00881313">
          <w:rPr>
            <w:b w:val="0"/>
            <w:webHidden/>
          </w:rPr>
        </w:r>
        <w:r w:rsidR="00E07B76" w:rsidRPr="00881313">
          <w:rPr>
            <w:b w:val="0"/>
            <w:webHidden/>
          </w:rPr>
          <w:fldChar w:fldCharType="separate"/>
        </w:r>
        <w:r w:rsidR="00D328CB">
          <w:rPr>
            <w:b w:val="0"/>
            <w:webHidden/>
          </w:rPr>
          <w:t>2</w:t>
        </w:r>
        <w:r w:rsidR="00E07B76" w:rsidRPr="00881313">
          <w:rPr>
            <w:b w:val="0"/>
            <w:webHidden/>
          </w:rPr>
          <w:fldChar w:fldCharType="end"/>
        </w:r>
      </w:hyperlink>
    </w:p>
    <w:p w14:paraId="654121F4" w14:textId="77777777" w:rsidR="00E07B76" w:rsidRPr="00881313" w:rsidRDefault="005A6D8A">
      <w:pPr>
        <w:pStyle w:val="TOC1"/>
        <w:rPr>
          <w:rFonts w:asciiTheme="minorHAnsi" w:eastAsiaTheme="minorEastAsia" w:hAnsiTheme="minorHAnsi" w:cstheme="minorBidi"/>
          <w:b w:val="0"/>
          <w:szCs w:val="22"/>
        </w:rPr>
      </w:pPr>
      <w:hyperlink w:anchor="_Toc416855886" w:history="1">
        <w:r w:rsidR="00E07B76" w:rsidRPr="00881313">
          <w:rPr>
            <w:rStyle w:val="Hyperlink"/>
            <w:b w:val="0"/>
          </w:rPr>
          <w:t>II.</w:t>
        </w:r>
        <w:r w:rsidR="00E07B76" w:rsidRPr="00881313">
          <w:rPr>
            <w:rFonts w:asciiTheme="minorHAnsi" w:eastAsiaTheme="minorEastAsia" w:hAnsiTheme="minorHAnsi" w:cstheme="minorBidi"/>
            <w:b w:val="0"/>
            <w:szCs w:val="22"/>
          </w:rPr>
          <w:tab/>
        </w:r>
        <w:r w:rsidR="00E07B76" w:rsidRPr="00881313">
          <w:rPr>
            <w:rStyle w:val="Hyperlink"/>
            <w:b w:val="0"/>
          </w:rPr>
          <w:t>Data Sources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_Toc416855886 \h </w:instrText>
        </w:r>
        <w:r w:rsidR="00E07B76" w:rsidRPr="00881313">
          <w:rPr>
            <w:b w:val="0"/>
            <w:webHidden/>
          </w:rPr>
        </w:r>
        <w:r w:rsidR="00E07B76" w:rsidRPr="00881313">
          <w:rPr>
            <w:b w:val="0"/>
            <w:webHidden/>
          </w:rPr>
          <w:fldChar w:fldCharType="separate"/>
        </w:r>
        <w:r w:rsidR="00D328CB">
          <w:rPr>
            <w:b w:val="0"/>
            <w:webHidden/>
          </w:rPr>
          <w:t>2</w:t>
        </w:r>
        <w:r w:rsidR="00E07B76" w:rsidRPr="00881313">
          <w:rPr>
            <w:b w:val="0"/>
            <w:webHidden/>
          </w:rPr>
          <w:fldChar w:fldCharType="end"/>
        </w:r>
      </w:hyperlink>
    </w:p>
    <w:p w14:paraId="0EC07AF7" w14:textId="77777777" w:rsidR="00E07B76" w:rsidRPr="00881313" w:rsidRDefault="005A6D8A">
      <w:pPr>
        <w:pStyle w:val="TOC1"/>
        <w:rPr>
          <w:rFonts w:asciiTheme="minorHAnsi" w:eastAsiaTheme="minorEastAsia" w:hAnsiTheme="minorHAnsi" w:cstheme="minorBidi"/>
          <w:b w:val="0"/>
          <w:szCs w:val="22"/>
        </w:rPr>
      </w:pPr>
      <w:hyperlink w:anchor="_Toc416855887" w:history="1">
        <w:r w:rsidR="00E07B76" w:rsidRPr="00881313">
          <w:rPr>
            <w:rStyle w:val="Hyperlink"/>
            <w:b w:val="0"/>
          </w:rPr>
          <w:t>III.</w:t>
        </w:r>
        <w:r w:rsidR="00E07B76" w:rsidRPr="00881313">
          <w:rPr>
            <w:rFonts w:asciiTheme="minorHAnsi" w:eastAsiaTheme="minorEastAsia" w:hAnsiTheme="minorHAnsi" w:cstheme="minorBidi"/>
            <w:b w:val="0"/>
            <w:szCs w:val="22"/>
          </w:rPr>
          <w:tab/>
        </w:r>
        <w:r w:rsidR="00E07B76" w:rsidRPr="00881313">
          <w:rPr>
            <w:rStyle w:val="Hyperlink"/>
            <w:b w:val="0"/>
          </w:rPr>
          <w:t>Geographic Notes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_Toc416855887 \h </w:instrText>
        </w:r>
        <w:r w:rsidR="00E07B76" w:rsidRPr="00881313">
          <w:rPr>
            <w:b w:val="0"/>
            <w:webHidden/>
          </w:rPr>
        </w:r>
        <w:r w:rsidR="00E07B76" w:rsidRPr="00881313">
          <w:rPr>
            <w:b w:val="0"/>
            <w:webHidden/>
          </w:rPr>
          <w:fldChar w:fldCharType="separate"/>
        </w:r>
        <w:r w:rsidR="00D328CB">
          <w:rPr>
            <w:b w:val="0"/>
            <w:webHidden/>
          </w:rPr>
          <w:t>5</w:t>
        </w:r>
        <w:r w:rsidR="00E07B76" w:rsidRPr="00881313">
          <w:rPr>
            <w:b w:val="0"/>
            <w:webHidden/>
          </w:rPr>
          <w:fldChar w:fldCharType="end"/>
        </w:r>
      </w:hyperlink>
    </w:p>
    <w:p w14:paraId="093A09BC" w14:textId="77777777" w:rsidR="00E07B76" w:rsidRPr="00881313" w:rsidRDefault="005A6D8A">
      <w:pPr>
        <w:pStyle w:val="TOC1"/>
        <w:rPr>
          <w:rFonts w:asciiTheme="minorHAnsi" w:eastAsiaTheme="minorEastAsia" w:hAnsiTheme="minorHAnsi" w:cstheme="minorBidi"/>
          <w:b w:val="0"/>
          <w:szCs w:val="22"/>
        </w:rPr>
      </w:pPr>
      <w:hyperlink w:anchor="_Toc416855888" w:history="1">
        <w:r w:rsidR="00E07B76" w:rsidRPr="00881313">
          <w:rPr>
            <w:rStyle w:val="Hyperlink"/>
            <w:b w:val="0"/>
          </w:rPr>
          <w:t>IV.</w:t>
        </w:r>
        <w:r w:rsidR="00E07B76" w:rsidRPr="00881313">
          <w:rPr>
            <w:rFonts w:asciiTheme="minorHAnsi" w:eastAsiaTheme="minorEastAsia" w:hAnsiTheme="minorHAnsi" w:cstheme="minorBidi"/>
            <w:b w:val="0"/>
            <w:szCs w:val="22"/>
          </w:rPr>
          <w:tab/>
        </w:r>
        <w:r w:rsidR="00E07B76" w:rsidRPr="00881313">
          <w:rPr>
            <w:rStyle w:val="Hyperlink"/>
            <w:b w:val="0"/>
          </w:rPr>
          <w:t>Race/Ethnicity</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_Toc416855888 \h </w:instrText>
        </w:r>
        <w:r w:rsidR="00E07B76" w:rsidRPr="00881313">
          <w:rPr>
            <w:b w:val="0"/>
            <w:webHidden/>
          </w:rPr>
        </w:r>
        <w:r w:rsidR="00E07B76" w:rsidRPr="00881313">
          <w:rPr>
            <w:b w:val="0"/>
            <w:webHidden/>
          </w:rPr>
          <w:fldChar w:fldCharType="separate"/>
        </w:r>
        <w:r w:rsidR="00D328CB">
          <w:rPr>
            <w:b w:val="0"/>
            <w:webHidden/>
          </w:rPr>
          <w:t>5</w:t>
        </w:r>
        <w:r w:rsidR="00E07B76" w:rsidRPr="00881313">
          <w:rPr>
            <w:b w:val="0"/>
            <w:webHidden/>
          </w:rPr>
          <w:fldChar w:fldCharType="end"/>
        </w:r>
      </w:hyperlink>
    </w:p>
    <w:p w14:paraId="12942706" w14:textId="77777777" w:rsidR="00E07B76" w:rsidRPr="00881313" w:rsidRDefault="005A6D8A">
      <w:pPr>
        <w:pStyle w:val="TOC1"/>
        <w:rPr>
          <w:rFonts w:asciiTheme="minorHAnsi" w:eastAsiaTheme="minorEastAsia" w:hAnsiTheme="minorHAnsi" w:cstheme="minorBidi"/>
          <w:b w:val="0"/>
          <w:szCs w:val="22"/>
        </w:rPr>
      </w:pPr>
      <w:hyperlink w:anchor="_Toc416855889" w:history="1">
        <w:r w:rsidR="00E07B76" w:rsidRPr="00881313">
          <w:rPr>
            <w:rStyle w:val="Hyperlink"/>
            <w:b w:val="0"/>
          </w:rPr>
          <w:t>V.</w:t>
        </w:r>
        <w:r w:rsidR="00E07B76" w:rsidRPr="00881313">
          <w:rPr>
            <w:rFonts w:asciiTheme="minorHAnsi" w:eastAsiaTheme="minorEastAsia" w:hAnsiTheme="minorHAnsi" w:cstheme="minorBidi"/>
            <w:b w:val="0"/>
            <w:szCs w:val="22"/>
          </w:rPr>
          <w:tab/>
        </w:r>
        <w:r w:rsidR="00E07B76" w:rsidRPr="00881313">
          <w:rPr>
            <w:rStyle w:val="Hyperlink"/>
            <w:b w:val="0"/>
          </w:rPr>
          <w:t>National Origin and Limited English Proficiency (LEP)</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_Toc416855889 \h </w:instrText>
        </w:r>
        <w:r w:rsidR="00E07B76" w:rsidRPr="00881313">
          <w:rPr>
            <w:b w:val="0"/>
            <w:webHidden/>
          </w:rPr>
        </w:r>
        <w:r w:rsidR="00E07B76" w:rsidRPr="00881313">
          <w:rPr>
            <w:b w:val="0"/>
            <w:webHidden/>
          </w:rPr>
          <w:fldChar w:fldCharType="separate"/>
        </w:r>
        <w:r w:rsidR="00D328CB">
          <w:rPr>
            <w:b w:val="0"/>
            <w:webHidden/>
          </w:rPr>
          <w:t>6</w:t>
        </w:r>
        <w:r w:rsidR="00E07B76" w:rsidRPr="00881313">
          <w:rPr>
            <w:b w:val="0"/>
            <w:webHidden/>
          </w:rPr>
          <w:fldChar w:fldCharType="end"/>
        </w:r>
      </w:hyperlink>
    </w:p>
    <w:p w14:paraId="58A9CDB8" w14:textId="77777777" w:rsidR="00E07B76" w:rsidRPr="00881313" w:rsidRDefault="005A6D8A">
      <w:pPr>
        <w:pStyle w:val="TOC1"/>
        <w:rPr>
          <w:rFonts w:asciiTheme="minorHAnsi" w:eastAsiaTheme="minorEastAsia" w:hAnsiTheme="minorHAnsi" w:cstheme="minorBidi"/>
          <w:b w:val="0"/>
          <w:szCs w:val="22"/>
        </w:rPr>
      </w:pPr>
      <w:hyperlink w:anchor="_Toc416855890" w:history="1">
        <w:r w:rsidR="00E07B76" w:rsidRPr="00881313">
          <w:rPr>
            <w:rStyle w:val="Hyperlink"/>
            <w:b w:val="0"/>
          </w:rPr>
          <w:t>VI.</w:t>
        </w:r>
        <w:r w:rsidR="00E07B76" w:rsidRPr="00881313">
          <w:rPr>
            <w:rFonts w:asciiTheme="minorHAnsi" w:eastAsiaTheme="minorEastAsia" w:hAnsiTheme="minorHAnsi" w:cstheme="minorBidi"/>
            <w:b w:val="0"/>
            <w:szCs w:val="22"/>
          </w:rPr>
          <w:tab/>
        </w:r>
        <w:r w:rsidR="00E07B76" w:rsidRPr="00881313">
          <w:rPr>
            <w:rStyle w:val="Hyperlink"/>
            <w:b w:val="0"/>
          </w:rPr>
          <w:t>Disability Type</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_Toc416855890 \h </w:instrText>
        </w:r>
        <w:r w:rsidR="00E07B76" w:rsidRPr="00881313">
          <w:rPr>
            <w:b w:val="0"/>
            <w:webHidden/>
          </w:rPr>
        </w:r>
        <w:r w:rsidR="00E07B76" w:rsidRPr="00881313">
          <w:rPr>
            <w:b w:val="0"/>
            <w:webHidden/>
          </w:rPr>
          <w:fldChar w:fldCharType="separate"/>
        </w:r>
        <w:r w:rsidR="00D328CB">
          <w:rPr>
            <w:b w:val="0"/>
            <w:webHidden/>
          </w:rPr>
          <w:t>6</w:t>
        </w:r>
        <w:r w:rsidR="00E07B76" w:rsidRPr="00881313">
          <w:rPr>
            <w:b w:val="0"/>
            <w:webHidden/>
          </w:rPr>
          <w:fldChar w:fldCharType="end"/>
        </w:r>
      </w:hyperlink>
    </w:p>
    <w:p w14:paraId="0546030F" w14:textId="77777777" w:rsidR="00E07B76" w:rsidRPr="00881313" w:rsidRDefault="005A6D8A">
      <w:pPr>
        <w:pStyle w:val="TOC1"/>
        <w:rPr>
          <w:rFonts w:asciiTheme="minorHAnsi" w:eastAsiaTheme="minorEastAsia" w:hAnsiTheme="minorHAnsi" w:cstheme="minorBidi"/>
          <w:b w:val="0"/>
          <w:szCs w:val="22"/>
        </w:rPr>
      </w:pPr>
      <w:hyperlink w:anchor="_Toc416855891" w:history="1">
        <w:r w:rsidR="00E07B76" w:rsidRPr="00881313">
          <w:rPr>
            <w:rStyle w:val="Hyperlink"/>
            <w:b w:val="0"/>
          </w:rPr>
          <w:t>VII.</w:t>
        </w:r>
        <w:r w:rsidR="00E07B76" w:rsidRPr="00881313">
          <w:rPr>
            <w:rFonts w:asciiTheme="minorHAnsi" w:eastAsiaTheme="minorEastAsia" w:hAnsiTheme="minorHAnsi" w:cstheme="minorBidi"/>
            <w:b w:val="0"/>
            <w:szCs w:val="22"/>
          </w:rPr>
          <w:tab/>
        </w:r>
        <w:r w:rsidR="00E07B76" w:rsidRPr="00881313">
          <w:rPr>
            <w:rStyle w:val="Hyperlink"/>
            <w:b w:val="0"/>
          </w:rPr>
          <w:t>Sex and Age</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_Toc416855891 \h </w:instrText>
        </w:r>
        <w:r w:rsidR="00E07B76" w:rsidRPr="00881313">
          <w:rPr>
            <w:b w:val="0"/>
            <w:webHidden/>
          </w:rPr>
        </w:r>
        <w:r w:rsidR="00E07B76" w:rsidRPr="00881313">
          <w:rPr>
            <w:b w:val="0"/>
            <w:webHidden/>
          </w:rPr>
          <w:fldChar w:fldCharType="separate"/>
        </w:r>
        <w:r w:rsidR="00D328CB">
          <w:rPr>
            <w:b w:val="0"/>
            <w:webHidden/>
          </w:rPr>
          <w:t>7</w:t>
        </w:r>
        <w:r w:rsidR="00E07B76" w:rsidRPr="00881313">
          <w:rPr>
            <w:b w:val="0"/>
            <w:webHidden/>
          </w:rPr>
          <w:fldChar w:fldCharType="end"/>
        </w:r>
      </w:hyperlink>
    </w:p>
    <w:p w14:paraId="69F0098C" w14:textId="77777777" w:rsidR="00E07B76" w:rsidRPr="00881313" w:rsidRDefault="005A6D8A">
      <w:pPr>
        <w:pStyle w:val="TOC1"/>
        <w:rPr>
          <w:rFonts w:asciiTheme="minorHAnsi" w:eastAsiaTheme="minorEastAsia" w:hAnsiTheme="minorHAnsi" w:cstheme="minorBidi"/>
          <w:b w:val="0"/>
          <w:szCs w:val="22"/>
        </w:rPr>
      </w:pPr>
      <w:hyperlink w:anchor="_Toc416855892" w:history="1">
        <w:r w:rsidR="00E07B76" w:rsidRPr="00881313">
          <w:rPr>
            <w:rStyle w:val="Hyperlink"/>
            <w:b w:val="0"/>
          </w:rPr>
          <w:t>VIII.</w:t>
        </w:r>
        <w:r w:rsidR="00E07B76" w:rsidRPr="00881313">
          <w:rPr>
            <w:rFonts w:asciiTheme="minorHAnsi" w:eastAsiaTheme="minorEastAsia" w:hAnsiTheme="minorHAnsi" w:cstheme="minorBidi"/>
            <w:b w:val="0"/>
            <w:szCs w:val="22"/>
          </w:rPr>
          <w:tab/>
        </w:r>
        <w:r w:rsidR="00E07B76" w:rsidRPr="00881313">
          <w:rPr>
            <w:rStyle w:val="Hyperlink"/>
            <w:b w:val="0"/>
          </w:rPr>
          <w:t>Families with Children</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_Toc416855892 \h </w:instrText>
        </w:r>
        <w:r w:rsidR="00E07B76" w:rsidRPr="00881313">
          <w:rPr>
            <w:b w:val="0"/>
            <w:webHidden/>
          </w:rPr>
        </w:r>
        <w:r w:rsidR="00E07B76" w:rsidRPr="00881313">
          <w:rPr>
            <w:b w:val="0"/>
            <w:webHidden/>
          </w:rPr>
          <w:fldChar w:fldCharType="separate"/>
        </w:r>
        <w:r w:rsidR="00D328CB">
          <w:rPr>
            <w:b w:val="0"/>
            <w:webHidden/>
          </w:rPr>
          <w:t>7</w:t>
        </w:r>
        <w:r w:rsidR="00E07B76" w:rsidRPr="00881313">
          <w:rPr>
            <w:b w:val="0"/>
            <w:webHidden/>
          </w:rPr>
          <w:fldChar w:fldCharType="end"/>
        </w:r>
      </w:hyperlink>
    </w:p>
    <w:p w14:paraId="38AB3B6B" w14:textId="77777777" w:rsidR="00E07B76" w:rsidRPr="00881313" w:rsidRDefault="005A6D8A">
      <w:pPr>
        <w:pStyle w:val="TOC1"/>
        <w:rPr>
          <w:rFonts w:asciiTheme="minorHAnsi" w:eastAsiaTheme="minorEastAsia" w:hAnsiTheme="minorHAnsi" w:cstheme="minorBidi"/>
          <w:b w:val="0"/>
          <w:szCs w:val="22"/>
        </w:rPr>
      </w:pPr>
      <w:hyperlink w:anchor="_Toc416855893" w:history="1">
        <w:r w:rsidR="00E07B76" w:rsidRPr="00881313">
          <w:rPr>
            <w:rStyle w:val="Hyperlink"/>
            <w:b w:val="0"/>
          </w:rPr>
          <w:t>IX.</w:t>
        </w:r>
        <w:r w:rsidR="00E07B76" w:rsidRPr="00881313">
          <w:rPr>
            <w:rFonts w:asciiTheme="minorHAnsi" w:eastAsiaTheme="minorEastAsia" w:hAnsiTheme="minorHAnsi" w:cstheme="minorBidi"/>
            <w:b w:val="0"/>
            <w:szCs w:val="22"/>
          </w:rPr>
          <w:tab/>
        </w:r>
        <w:r w:rsidR="00E07B76" w:rsidRPr="00881313">
          <w:rPr>
            <w:rStyle w:val="Hyperlink"/>
            <w:b w:val="0"/>
          </w:rPr>
          <w:t>Housing Types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_Toc416855893 \h </w:instrText>
        </w:r>
        <w:r w:rsidR="00E07B76" w:rsidRPr="00881313">
          <w:rPr>
            <w:b w:val="0"/>
            <w:webHidden/>
          </w:rPr>
        </w:r>
        <w:r w:rsidR="00E07B76" w:rsidRPr="00881313">
          <w:rPr>
            <w:b w:val="0"/>
            <w:webHidden/>
          </w:rPr>
          <w:fldChar w:fldCharType="separate"/>
        </w:r>
        <w:r w:rsidR="00D328CB">
          <w:rPr>
            <w:b w:val="0"/>
            <w:webHidden/>
          </w:rPr>
          <w:t>7</w:t>
        </w:r>
        <w:r w:rsidR="00E07B76" w:rsidRPr="00881313">
          <w:rPr>
            <w:b w:val="0"/>
            <w:webHidden/>
          </w:rPr>
          <w:fldChar w:fldCharType="end"/>
        </w:r>
      </w:hyperlink>
    </w:p>
    <w:p w14:paraId="1C133F81" w14:textId="77777777" w:rsidR="00E07B76" w:rsidRPr="00881313" w:rsidRDefault="005A6D8A">
      <w:pPr>
        <w:pStyle w:val="TOC1"/>
        <w:rPr>
          <w:rFonts w:asciiTheme="minorHAnsi" w:eastAsiaTheme="minorEastAsia" w:hAnsiTheme="minorHAnsi" w:cstheme="minorBidi"/>
          <w:b w:val="0"/>
          <w:szCs w:val="22"/>
        </w:rPr>
      </w:pPr>
      <w:hyperlink w:anchor="_Toc416855894" w:history="1">
        <w:r w:rsidR="00E07B76" w:rsidRPr="00881313">
          <w:rPr>
            <w:rStyle w:val="Hyperlink"/>
            <w:b w:val="0"/>
          </w:rPr>
          <w:t>X.</w:t>
        </w:r>
        <w:r w:rsidR="00E07B76" w:rsidRPr="00881313">
          <w:rPr>
            <w:rFonts w:asciiTheme="minorHAnsi" w:eastAsiaTheme="minorEastAsia" w:hAnsiTheme="minorHAnsi" w:cstheme="minorBidi"/>
            <w:b w:val="0"/>
            <w:szCs w:val="22"/>
          </w:rPr>
          <w:tab/>
        </w:r>
        <w:r w:rsidR="00E07B76" w:rsidRPr="00881313">
          <w:rPr>
            <w:rStyle w:val="Hyperlink"/>
            <w:b w:val="0"/>
          </w:rPr>
          <w:t>R/ECAP</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_Toc416855894 \h </w:instrText>
        </w:r>
        <w:r w:rsidR="00E07B76" w:rsidRPr="00881313">
          <w:rPr>
            <w:b w:val="0"/>
            <w:webHidden/>
          </w:rPr>
        </w:r>
        <w:r w:rsidR="00E07B76" w:rsidRPr="00881313">
          <w:rPr>
            <w:b w:val="0"/>
            <w:webHidden/>
          </w:rPr>
          <w:fldChar w:fldCharType="separate"/>
        </w:r>
        <w:r w:rsidR="00D328CB">
          <w:rPr>
            <w:b w:val="0"/>
            <w:webHidden/>
          </w:rPr>
          <w:t>9</w:t>
        </w:r>
        <w:r w:rsidR="00E07B76" w:rsidRPr="00881313">
          <w:rPr>
            <w:b w:val="0"/>
            <w:webHidden/>
          </w:rPr>
          <w:fldChar w:fldCharType="end"/>
        </w:r>
      </w:hyperlink>
    </w:p>
    <w:p w14:paraId="29780438" w14:textId="77777777" w:rsidR="00E07B76" w:rsidRPr="00881313" w:rsidRDefault="005A6D8A">
      <w:pPr>
        <w:pStyle w:val="TOC1"/>
        <w:rPr>
          <w:rFonts w:asciiTheme="minorHAnsi" w:eastAsiaTheme="minorEastAsia" w:hAnsiTheme="minorHAnsi" w:cstheme="minorBidi"/>
          <w:b w:val="0"/>
          <w:szCs w:val="22"/>
        </w:rPr>
      </w:pPr>
      <w:hyperlink w:anchor="_Toc416855895" w:history="1">
        <w:r w:rsidR="00E07B76" w:rsidRPr="00881313">
          <w:rPr>
            <w:rStyle w:val="Hyperlink"/>
            <w:b w:val="0"/>
          </w:rPr>
          <w:t>XI.</w:t>
        </w:r>
        <w:r w:rsidR="00E07B76" w:rsidRPr="00881313">
          <w:rPr>
            <w:rFonts w:asciiTheme="minorHAnsi" w:eastAsiaTheme="minorEastAsia" w:hAnsiTheme="minorHAnsi" w:cstheme="minorBidi"/>
            <w:b w:val="0"/>
            <w:szCs w:val="22"/>
          </w:rPr>
          <w:tab/>
        </w:r>
        <w:r w:rsidR="00E07B76" w:rsidRPr="00881313">
          <w:rPr>
            <w:rStyle w:val="Hyperlink"/>
            <w:b w:val="0"/>
          </w:rPr>
          <w:t>Housing Problems and Disproportionate Housing Need</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_Toc416855895 \h </w:instrText>
        </w:r>
        <w:r w:rsidR="00E07B76" w:rsidRPr="00881313">
          <w:rPr>
            <w:b w:val="0"/>
            <w:webHidden/>
          </w:rPr>
        </w:r>
        <w:r w:rsidR="00E07B76" w:rsidRPr="00881313">
          <w:rPr>
            <w:b w:val="0"/>
            <w:webHidden/>
          </w:rPr>
          <w:fldChar w:fldCharType="separate"/>
        </w:r>
        <w:r w:rsidR="00D328CB">
          <w:rPr>
            <w:b w:val="0"/>
            <w:webHidden/>
          </w:rPr>
          <w:t>9</w:t>
        </w:r>
        <w:r w:rsidR="00E07B76" w:rsidRPr="00881313">
          <w:rPr>
            <w:b w:val="0"/>
            <w:webHidden/>
          </w:rPr>
          <w:fldChar w:fldCharType="end"/>
        </w:r>
      </w:hyperlink>
    </w:p>
    <w:p w14:paraId="7C468F56" w14:textId="77777777" w:rsidR="00E07B76" w:rsidRPr="00881313" w:rsidRDefault="005A6D8A">
      <w:pPr>
        <w:pStyle w:val="TOC1"/>
        <w:rPr>
          <w:rFonts w:asciiTheme="minorHAnsi" w:eastAsiaTheme="minorEastAsia" w:hAnsiTheme="minorHAnsi" w:cstheme="minorBidi"/>
          <w:b w:val="0"/>
          <w:szCs w:val="22"/>
        </w:rPr>
      </w:pPr>
      <w:hyperlink w:anchor="_Toc416855896" w:history="1">
        <w:r w:rsidR="00E07B76" w:rsidRPr="00881313">
          <w:rPr>
            <w:rStyle w:val="Hyperlink"/>
            <w:b w:val="0"/>
          </w:rPr>
          <w:t>XII.</w:t>
        </w:r>
        <w:r w:rsidR="00E07B76" w:rsidRPr="00881313">
          <w:rPr>
            <w:rFonts w:asciiTheme="minorHAnsi" w:eastAsiaTheme="minorEastAsia" w:hAnsiTheme="minorHAnsi" w:cstheme="minorBidi"/>
            <w:b w:val="0"/>
            <w:szCs w:val="22"/>
          </w:rPr>
          <w:tab/>
        </w:r>
        <w:r w:rsidR="00E07B76" w:rsidRPr="00881313">
          <w:rPr>
            <w:rStyle w:val="Hyperlink"/>
            <w:b w:val="0"/>
          </w:rPr>
          <w:t>Indices</w:t>
        </w:r>
        <w:r w:rsidR="00E07B76" w:rsidRPr="00881313">
          <w:rPr>
            <w:b w:val="0"/>
            <w:webHidden/>
          </w:rPr>
          <w:tab/>
        </w:r>
        <w:r w:rsidR="00E07B76" w:rsidRPr="00881313">
          <w:rPr>
            <w:b w:val="0"/>
            <w:webHidden/>
          </w:rPr>
          <w:fldChar w:fldCharType="begin"/>
        </w:r>
        <w:r w:rsidR="00E07B76" w:rsidRPr="00881313">
          <w:rPr>
            <w:b w:val="0"/>
            <w:webHidden/>
          </w:rPr>
          <w:instrText xml:space="preserve"> PAGEREF _Toc416855896 \h </w:instrText>
        </w:r>
        <w:r w:rsidR="00E07B76" w:rsidRPr="00881313">
          <w:rPr>
            <w:b w:val="0"/>
            <w:webHidden/>
          </w:rPr>
        </w:r>
        <w:r w:rsidR="00E07B76" w:rsidRPr="00881313">
          <w:rPr>
            <w:b w:val="0"/>
            <w:webHidden/>
          </w:rPr>
          <w:fldChar w:fldCharType="separate"/>
        </w:r>
        <w:r w:rsidR="00D328CB">
          <w:rPr>
            <w:b w:val="0"/>
            <w:webHidden/>
          </w:rPr>
          <w:t>10</w:t>
        </w:r>
        <w:r w:rsidR="00E07B76" w:rsidRPr="00881313">
          <w:rPr>
            <w:b w:val="0"/>
            <w:webHidden/>
          </w:rPr>
          <w:fldChar w:fldCharType="end"/>
        </w:r>
      </w:hyperlink>
    </w:p>
    <w:p w14:paraId="39F5E2E2" w14:textId="77777777" w:rsidR="002D5525" w:rsidRDefault="00CD2213" w:rsidP="00D979EA">
      <w:pPr>
        <w:pStyle w:val="BodyText"/>
        <w:rPr>
          <w:b/>
          <w:noProof/>
        </w:rPr>
      </w:pPr>
      <w:r w:rsidRPr="00881313">
        <w:rPr>
          <w:noProof/>
        </w:rPr>
        <w:fldChar w:fldCharType="end"/>
      </w:r>
      <w:r w:rsidR="00366EBD">
        <w:rPr>
          <w:b/>
          <w:noProof/>
        </w:rPr>
        <w:br/>
      </w:r>
    </w:p>
    <w:p w14:paraId="290DCFB2" w14:textId="77777777" w:rsidR="00366EBD" w:rsidRPr="00366EBD" w:rsidRDefault="00366EBD" w:rsidP="00D979EA">
      <w:pPr>
        <w:pStyle w:val="BodyText"/>
        <w:rPr>
          <w:b/>
          <w:noProof/>
          <w:sz w:val="28"/>
          <w:szCs w:val="28"/>
        </w:rPr>
      </w:pPr>
      <w:r w:rsidRPr="00366EBD">
        <w:rPr>
          <w:b/>
          <w:noProof/>
          <w:sz w:val="28"/>
          <w:szCs w:val="28"/>
        </w:rPr>
        <w:t>List of Tables</w:t>
      </w:r>
    </w:p>
    <w:p w14:paraId="11E5A01B" w14:textId="77777777" w:rsidR="00366EBD" w:rsidRDefault="00366EBD">
      <w:pPr>
        <w:pStyle w:val="TableofFigures"/>
        <w:tabs>
          <w:tab w:val="right" w:leader="dot" w:pos="8990"/>
        </w:tabs>
        <w:rPr>
          <w:noProof/>
        </w:rPr>
      </w:pPr>
      <w:r>
        <w:rPr>
          <w:b/>
          <w:noProof/>
        </w:rPr>
        <w:fldChar w:fldCharType="begin"/>
      </w:r>
      <w:r>
        <w:rPr>
          <w:b/>
          <w:noProof/>
        </w:rPr>
        <w:instrText xml:space="preserve"> TOC \h \z \c "Table" </w:instrText>
      </w:r>
      <w:r>
        <w:rPr>
          <w:b/>
          <w:noProof/>
        </w:rPr>
        <w:fldChar w:fldCharType="separate"/>
      </w:r>
      <w:hyperlink w:anchor="_Toc416855977" w:history="1">
        <w:r w:rsidRPr="00400F2D">
          <w:rPr>
            <w:rStyle w:val="Hyperlink"/>
            <w:noProof/>
          </w:rPr>
          <w:t>Table 1: Data Sources Table</w:t>
        </w:r>
        <w:r>
          <w:rPr>
            <w:noProof/>
            <w:webHidden/>
          </w:rPr>
          <w:tab/>
        </w:r>
        <w:r>
          <w:rPr>
            <w:noProof/>
            <w:webHidden/>
          </w:rPr>
          <w:fldChar w:fldCharType="begin"/>
        </w:r>
        <w:r>
          <w:rPr>
            <w:noProof/>
            <w:webHidden/>
          </w:rPr>
          <w:instrText xml:space="preserve"> PAGEREF _Toc416855977 \h </w:instrText>
        </w:r>
        <w:r>
          <w:rPr>
            <w:noProof/>
            <w:webHidden/>
          </w:rPr>
        </w:r>
        <w:r>
          <w:rPr>
            <w:noProof/>
            <w:webHidden/>
          </w:rPr>
          <w:fldChar w:fldCharType="separate"/>
        </w:r>
        <w:r w:rsidR="00D328CB">
          <w:rPr>
            <w:noProof/>
            <w:webHidden/>
          </w:rPr>
          <w:t>3</w:t>
        </w:r>
        <w:r>
          <w:rPr>
            <w:noProof/>
            <w:webHidden/>
          </w:rPr>
          <w:fldChar w:fldCharType="end"/>
        </w:r>
      </w:hyperlink>
    </w:p>
    <w:p w14:paraId="313BE761" w14:textId="77777777" w:rsidR="00366EBD" w:rsidRDefault="00366EBD" w:rsidP="00D979EA">
      <w:pPr>
        <w:pStyle w:val="BodyText"/>
        <w:rPr>
          <w:b/>
          <w:noProof/>
        </w:rPr>
      </w:pPr>
      <w:r>
        <w:rPr>
          <w:b/>
          <w:noProof/>
        </w:rPr>
        <w:fldChar w:fldCharType="end"/>
      </w:r>
    </w:p>
    <w:p w14:paraId="62283739" w14:textId="77777777" w:rsidR="00366EBD" w:rsidRDefault="00366EBD" w:rsidP="00D979EA">
      <w:pPr>
        <w:pStyle w:val="BodyText"/>
        <w:rPr>
          <w:b/>
          <w:noProof/>
        </w:rPr>
      </w:pPr>
    </w:p>
    <w:p w14:paraId="3BDB6E62" w14:textId="77777777" w:rsidR="00366EBD" w:rsidRDefault="00366EBD" w:rsidP="00D979EA">
      <w:pPr>
        <w:pStyle w:val="BodyText"/>
        <w:rPr>
          <w:b/>
          <w:noProof/>
        </w:rPr>
      </w:pPr>
    </w:p>
    <w:p w14:paraId="6C2675EC" w14:textId="77777777" w:rsidR="00366EBD" w:rsidRDefault="00366EBD" w:rsidP="00D979EA">
      <w:pPr>
        <w:pStyle w:val="BodyText"/>
        <w:rPr>
          <w:b/>
          <w:noProof/>
        </w:rPr>
      </w:pPr>
    </w:p>
    <w:p w14:paraId="1A86D426" w14:textId="77777777" w:rsidR="00366EBD" w:rsidRDefault="00366EBD" w:rsidP="00D979EA">
      <w:pPr>
        <w:pStyle w:val="BodyText"/>
        <w:rPr>
          <w:b/>
          <w:noProof/>
        </w:rPr>
      </w:pPr>
    </w:p>
    <w:p w14:paraId="4185818F" w14:textId="77777777" w:rsidR="00366EBD" w:rsidRDefault="00366EBD" w:rsidP="00D979EA">
      <w:pPr>
        <w:pStyle w:val="BodyText"/>
        <w:sectPr w:rsidR="00366EBD" w:rsidSect="006B1DA6">
          <w:headerReference w:type="default" r:id="rId10"/>
          <w:footerReference w:type="default" r:id="rId11"/>
          <w:pgSz w:w="12240" w:h="15840" w:code="1"/>
          <w:pgMar w:top="1440" w:right="1440" w:bottom="1440" w:left="1800" w:header="1080" w:footer="720" w:gutter="0"/>
          <w:pgNumType w:fmt="lowerRoman" w:start="1"/>
          <w:cols w:space="720"/>
          <w:docGrid w:linePitch="299"/>
        </w:sectPr>
      </w:pPr>
    </w:p>
    <w:p w14:paraId="39C816ED" w14:textId="77777777" w:rsidR="00A324EA" w:rsidRDefault="00E07B76" w:rsidP="00A253B8">
      <w:pPr>
        <w:pStyle w:val="Caption"/>
      </w:pPr>
      <w:bookmarkStart w:id="0" w:name="_Toc416855885"/>
      <w:r>
        <w:lastRenderedPageBreak/>
        <w:t>I.</w:t>
      </w:r>
      <w:r>
        <w:tab/>
      </w:r>
      <w:r w:rsidR="00D03AA2">
        <w:t>Overview</w:t>
      </w:r>
      <w:bookmarkEnd w:id="0"/>
    </w:p>
    <w:p w14:paraId="4C2462FB" w14:textId="0C62899A" w:rsidR="00D03AA2" w:rsidRPr="00D03AA2" w:rsidRDefault="00D03AA2" w:rsidP="00D03AA2">
      <w:pPr>
        <w:pStyle w:val="BodyText"/>
      </w:pPr>
      <w:r w:rsidRPr="00D03AA2">
        <w:t xml:space="preserve">HUD has asked its program participants to take a more serious look at their fair housing context. The agency is taking a more active role as a dynamic partner by providing data and analytical tools to help </w:t>
      </w:r>
      <w:r w:rsidR="00AF1986">
        <w:t xml:space="preserve">grantees </w:t>
      </w:r>
      <w:r w:rsidRPr="00D03AA2">
        <w:t xml:space="preserve">quantify and interpret particular fair housing dynamics. HUD provides a dynamic online mapping and data-generating tool for communities to aid in their completion of the </w:t>
      </w:r>
      <w:r w:rsidR="00420DA3">
        <w:t xml:space="preserve">Assessment of </w:t>
      </w:r>
      <w:r w:rsidR="00AF1986">
        <w:t>Fair Housing</w:t>
      </w:r>
      <w:r w:rsidR="00420DA3">
        <w:t xml:space="preserve"> using the Assessment Tool</w:t>
      </w:r>
      <w:r w:rsidRPr="00D03AA2">
        <w:t xml:space="preserve">. HUD accompanies this tool with guidance tailored to accommodate </w:t>
      </w:r>
      <w:r w:rsidR="00420DA3">
        <w:t xml:space="preserve">program particpiants </w:t>
      </w:r>
      <w:r w:rsidRPr="00D03AA2">
        <w:t xml:space="preserve">of all capacity levels. </w:t>
      </w:r>
    </w:p>
    <w:p w14:paraId="2AF60BB4" w14:textId="28CD08BB" w:rsidR="00D03AA2" w:rsidRPr="00D03AA2" w:rsidRDefault="00D03AA2" w:rsidP="00D03AA2">
      <w:pPr>
        <w:pStyle w:val="BodyText"/>
      </w:pPr>
      <w:r w:rsidRPr="00D03AA2">
        <w:t xml:space="preserve">This document outlines the data, methods, and sources behind the tool that HUD provides. It describes demographic, socioeconomic, and housing characteristics, as well as access to </w:t>
      </w:r>
      <w:r w:rsidR="003D0FE4">
        <w:t>opportunity</w:t>
      </w:r>
      <w:r w:rsidRPr="00D03AA2">
        <w:t xml:space="preserve"> </w:t>
      </w:r>
      <w:r w:rsidR="00550881">
        <w:t>assets</w:t>
      </w:r>
      <w:r w:rsidRPr="00D03AA2">
        <w:t xml:space="preserve"> through a series of </w:t>
      </w:r>
      <w:r w:rsidR="003D0FE4">
        <w:t>O</w:t>
      </w:r>
      <w:r w:rsidRPr="00D03AA2">
        <w:t xml:space="preserve">pportunity </w:t>
      </w:r>
      <w:r w:rsidR="003D0FE4">
        <w:t>I</w:t>
      </w:r>
      <w:r w:rsidRPr="00D03AA2">
        <w:t xml:space="preserve">ndices. </w:t>
      </w:r>
    </w:p>
    <w:p w14:paraId="3C2BCE09" w14:textId="77777777" w:rsidR="00D03AA2" w:rsidRDefault="00D03AA2" w:rsidP="00D03AA2">
      <w:pPr>
        <w:pStyle w:val="BodyText"/>
      </w:pPr>
      <w:r w:rsidRPr="00D03AA2">
        <w:t xml:space="preserve">This data package is not exhaustive and should not supplant local data or knowledge that is more robust. It represents a baseline effort to assemble consistent, nationally available data from a variety of sources </w:t>
      </w:r>
      <w:r w:rsidR="00AF1986">
        <w:t xml:space="preserve">compiled </w:t>
      </w:r>
      <w:r w:rsidRPr="00D03AA2">
        <w:t xml:space="preserve">into one location. </w:t>
      </w:r>
    </w:p>
    <w:p w14:paraId="778BFA58" w14:textId="77777777" w:rsidR="00870DFB" w:rsidRPr="00D03AA2" w:rsidRDefault="00870DFB" w:rsidP="00D03AA2">
      <w:pPr>
        <w:pStyle w:val="BodyText"/>
      </w:pPr>
    </w:p>
    <w:p w14:paraId="50100252" w14:textId="77777777" w:rsidR="007B1904" w:rsidRPr="007057ED" w:rsidRDefault="00E07B76" w:rsidP="00A253B8">
      <w:pPr>
        <w:pStyle w:val="Caption"/>
      </w:pPr>
      <w:bookmarkStart w:id="1" w:name="_Toc416855886"/>
      <w:r>
        <w:t>II.</w:t>
      </w:r>
      <w:r>
        <w:tab/>
      </w:r>
      <w:r>
        <w:tab/>
      </w:r>
      <w:r w:rsidR="00D03AA2" w:rsidRPr="00D03AA2">
        <w:t>Data Sources</w:t>
      </w:r>
      <w:bookmarkEnd w:id="1"/>
    </w:p>
    <w:p w14:paraId="1135E37A" w14:textId="77777777" w:rsidR="00822C08" w:rsidRDefault="00822C08" w:rsidP="00D979EA">
      <w:pPr>
        <w:pStyle w:val="BodyText"/>
        <w:sectPr w:rsidR="00822C08" w:rsidSect="00453FE3">
          <w:headerReference w:type="default" r:id="rId12"/>
          <w:pgSz w:w="12240" w:h="15840" w:code="1"/>
          <w:pgMar w:top="1440" w:right="1440" w:bottom="1440" w:left="1800" w:header="1080" w:footer="720" w:gutter="0"/>
          <w:cols w:space="720"/>
          <w:docGrid w:linePitch="299"/>
        </w:sectPr>
      </w:pPr>
      <w:r>
        <w:t>Table</w:t>
      </w:r>
      <w:r w:rsidR="00D03AA2" w:rsidRPr="00D03AA2">
        <w:t xml:space="preserve"> 1</w:t>
      </w:r>
      <w:r w:rsidR="00CD0AC9">
        <w:t xml:space="preserve"> lists data sources, </w:t>
      </w:r>
      <w:r w:rsidR="00D03AA2" w:rsidRPr="00D03AA2">
        <w:t>years</w:t>
      </w:r>
      <w:r w:rsidR="00CD0AC9">
        <w:t>, and the spatial scale used to populate the t</w:t>
      </w:r>
      <w:r w:rsidR="00D03AA2" w:rsidRPr="00D03AA2">
        <w:t>ables and maps</w:t>
      </w:r>
      <w:r w:rsidR="00CD0AC9">
        <w:t xml:space="preserve"> in the AFFH Tool</w:t>
      </w:r>
      <w:r w:rsidR="00D03AA2" w:rsidRPr="00D03AA2">
        <w:t>.</w:t>
      </w:r>
    </w:p>
    <w:p w14:paraId="5B647112" w14:textId="77777777" w:rsidR="00822C08" w:rsidRDefault="00822C08" w:rsidP="00822C08">
      <w:pPr>
        <w:pStyle w:val="Caption"/>
      </w:pPr>
      <w:bookmarkStart w:id="2" w:name="_Toc416855977"/>
      <w:r>
        <w:lastRenderedPageBreak/>
        <w:t xml:space="preserve">Table </w:t>
      </w:r>
      <w:r w:rsidR="005952D3">
        <w:fldChar w:fldCharType="begin"/>
      </w:r>
      <w:r w:rsidR="005952D3">
        <w:instrText xml:space="preserve"> SEQ Table \* ARABIC </w:instrText>
      </w:r>
      <w:r w:rsidR="005952D3">
        <w:fldChar w:fldCharType="separate"/>
      </w:r>
      <w:r w:rsidR="00D328CB">
        <w:rPr>
          <w:noProof/>
        </w:rPr>
        <w:t>1</w:t>
      </w:r>
      <w:r w:rsidR="005952D3">
        <w:rPr>
          <w:noProof/>
        </w:rPr>
        <w:fldChar w:fldCharType="end"/>
      </w:r>
      <w:r>
        <w:t xml:space="preserve">: Data Sources </w:t>
      </w:r>
      <w:bookmarkEnd w:id="2"/>
    </w:p>
    <w:tbl>
      <w:tblPr>
        <w:tblStyle w:val="TableGrid"/>
        <w:tblW w:w="5000" w:type="pct"/>
        <w:tblLook w:val="04A0" w:firstRow="1" w:lastRow="0" w:firstColumn="1" w:lastColumn="0" w:noHBand="0" w:noVBand="1"/>
      </w:tblPr>
      <w:tblGrid>
        <w:gridCol w:w="1819"/>
        <w:gridCol w:w="3059"/>
        <w:gridCol w:w="2340"/>
        <w:gridCol w:w="1080"/>
        <w:gridCol w:w="1170"/>
        <w:gridCol w:w="3708"/>
      </w:tblGrid>
      <w:tr w:rsidR="00822C08" w:rsidRPr="00822C08" w14:paraId="1DC79CE0" w14:textId="77777777" w:rsidTr="00822C08">
        <w:trPr>
          <w:trHeight w:val="494"/>
          <w:tblHeader/>
        </w:trPr>
        <w:tc>
          <w:tcPr>
            <w:tcW w:w="690" w:type="pct"/>
            <w:shd w:val="clear" w:color="auto" w:fill="C3C6A8" w:themeFill="accent4"/>
            <w:noWrap/>
            <w:hideMark/>
          </w:tcPr>
          <w:p w14:paraId="3752B0C2" w14:textId="77777777" w:rsidR="00822C08" w:rsidRPr="00822C08" w:rsidRDefault="00822C08" w:rsidP="00822C08">
            <w:pPr>
              <w:spacing w:after="0" w:line="240" w:lineRule="auto"/>
              <w:rPr>
                <w:b/>
                <w:bCs/>
                <w:sz w:val="20"/>
              </w:rPr>
            </w:pPr>
            <w:bookmarkStart w:id="3" w:name="RANGE!A1:F17"/>
            <w:r w:rsidRPr="00822C08">
              <w:rPr>
                <w:b/>
                <w:bCs/>
                <w:sz w:val="20"/>
              </w:rPr>
              <w:t>Data Category</w:t>
            </w:r>
            <w:bookmarkEnd w:id="3"/>
          </w:p>
        </w:tc>
        <w:tc>
          <w:tcPr>
            <w:tcW w:w="1161" w:type="pct"/>
            <w:shd w:val="clear" w:color="auto" w:fill="C3C6A8" w:themeFill="accent4"/>
            <w:hideMark/>
          </w:tcPr>
          <w:p w14:paraId="7A53C78F" w14:textId="77777777" w:rsidR="00822C08" w:rsidRPr="00822C08" w:rsidRDefault="00822C08" w:rsidP="00822C08">
            <w:pPr>
              <w:spacing w:after="0" w:line="240" w:lineRule="auto"/>
              <w:rPr>
                <w:b/>
                <w:bCs/>
                <w:sz w:val="20"/>
              </w:rPr>
            </w:pPr>
            <w:r w:rsidRPr="00822C08">
              <w:rPr>
                <w:b/>
                <w:bCs/>
                <w:sz w:val="20"/>
              </w:rPr>
              <w:t>Variables</w:t>
            </w:r>
          </w:p>
        </w:tc>
        <w:tc>
          <w:tcPr>
            <w:tcW w:w="888" w:type="pct"/>
            <w:shd w:val="clear" w:color="auto" w:fill="C3C6A8" w:themeFill="accent4"/>
            <w:hideMark/>
          </w:tcPr>
          <w:p w14:paraId="7B1BA4EB" w14:textId="77777777" w:rsidR="00822C08" w:rsidRPr="00822C08" w:rsidRDefault="00822C08" w:rsidP="00822C08">
            <w:pPr>
              <w:spacing w:after="0" w:line="240" w:lineRule="auto"/>
              <w:rPr>
                <w:b/>
                <w:bCs/>
                <w:sz w:val="20"/>
              </w:rPr>
            </w:pPr>
            <w:r w:rsidRPr="00822C08">
              <w:rPr>
                <w:b/>
                <w:bCs/>
                <w:sz w:val="20"/>
              </w:rPr>
              <w:t>Geographic level or Primary Sampling Unit</w:t>
            </w:r>
          </w:p>
        </w:tc>
        <w:tc>
          <w:tcPr>
            <w:tcW w:w="410" w:type="pct"/>
            <w:shd w:val="clear" w:color="auto" w:fill="C3C6A8" w:themeFill="accent4"/>
            <w:hideMark/>
          </w:tcPr>
          <w:p w14:paraId="6E92C1D5" w14:textId="77777777" w:rsidR="00822C08" w:rsidRPr="00822C08" w:rsidRDefault="00822C08" w:rsidP="00822C08">
            <w:pPr>
              <w:spacing w:after="0" w:line="240" w:lineRule="auto"/>
              <w:rPr>
                <w:b/>
                <w:bCs/>
                <w:sz w:val="20"/>
              </w:rPr>
            </w:pPr>
            <w:r w:rsidRPr="00822C08">
              <w:rPr>
                <w:b/>
                <w:bCs/>
                <w:sz w:val="20"/>
              </w:rPr>
              <w:t>Tables</w:t>
            </w:r>
          </w:p>
        </w:tc>
        <w:tc>
          <w:tcPr>
            <w:tcW w:w="444" w:type="pct"/>
            <w:shd w:val="clear" w:color="auto" w:fill="C3C6A8" w:themeFill="accent4"/>
            <w:hideMark/>
          </w:tcPr>
          <w:p w14:paraId="0F22E8F7" w14:textId="77777777" w:rsidR="00822C08" w:rsidRPr="00822C08" w:rsidRDefault="00822C08" w:rsidP="00822C08">
            <w:pPr>
              <w:spacing w:after="0" w:line="240" w:lineRule="auto"/>
              <w:rPr>
                <w:b/>
                <w:bCs/>
                <w:sz w:val="20"/>
              </w:rPr>
            </w:pPr>
            <w:r w:rsidRPr="00822C08">
              <w:rPr>
                <w:b/>
                <w:bCs/>
                <w:sz w:val="20"/>
              </w:rPr>
              <w:t>Maps</w:t>
            </w:r>
          </w:p>
        </w:tc>
        <w:tc>
          <w:tcPr>
            <w:tcW w:w="1407" w:type="pct"/>
            <w:shd w:val="clear" w:color="auto" w:fill="C3C6A8" w:themeFill="accent4"/>
            <w:hideMark/>
          </w:tcPr>
          <w:p w14:paraId="49500473" w14:textId="77777777" w:rsidR="00822C08" w:rsidRPr="00822C08" w:rsidRDefault="00822C08" w:rsidP="00822C08">
            <w:pPr>
              <w:spacing w:after="0" w:line="240" w:lineRule="auto"/>
              <w:rPr>
                <w:b/>
                <w:bCs/>
                <w:sz w:val="20"/>
              </w:rPr>
            </w:pPr>
            <w:r w:rsidRPr="00822C08">
              <w:rPr>
                <w:b/>
                <w:bCs/>
                <w:sz w:val="20"/>
              </w:rPr>
              <w:t>Sources and years</w:t>
            </w:r>
          </w:p>
        </w:tc>
      </w:tr>
      <w:tr w:rsidR="00822C08" w:rsidRPr="00822C08" w14:paraId="48158CB3" w14:textId="77777777" w:rsidTr="00822C08">
        <w:trPr>
          <w:trHeight w:val="260"/>
        </w:trPr>
        <w:tc>
          <w:tcPr>
            <w:tcW w:w="690" w:type="pct"/>
            <w:hideMark/>
          </w:tcPr>
          <w:p w14:paraId="0DDA02D6" w14:textId="77777777" w:rsidR="00822C08" w:rsidRPr="00822C08" w:rsidRDefault="00822C08" w:rsidP="00822C08">
            <w:pPr>
              <w:spacing w:after="0" w:line="240" w:lineRule="auto"/>
              <w:rPr>
                <w:b/>
                <w:bCs/>
                <w:sz w:val="20"/>
              </w:rPr>
            </w:pPr>
            <w:r w:rsidRPr="00822C08">
              <w:rPr>
                <w:b/>
                <w:bCs/>
                <w:sz w:val="20"/>
              </w:rPr>
              <w:t>Demographics</w:t>
            </w:r>
          </w:p>
        </w:tc>
        <w:tc>
          <w:tcPr>
            <w:tcW w:w="1161" w:type="pct"/>
            <w:hideMark/>
          </w:tcPr>
          <w:p w14:paraId="7FAB8DD3" w14:textId="77777777" w:rsidR="00822C08" w:rsidRPr="00822C08" w:rsidRDefault="00822C08" w:rsidP="00822C08">
            <w:pPr>
              <w:spacing w:after="0" w:line="240" w:lineRule="auto"/>
              <w:rPr>
                <w:sz w:val="20"/>
              </w:rPr>
            </w:pPr>
            <w:r w:rsidRPr="00822C08">
              <w:rPr>
                <w:sz w:val="20"/>
              </w:rPr>
              <w:t>Race/Ethnicity population in 2010</w:t>
            </w:r>
          </w:p>
        </w:tc>
        <w:tc>
          <w:tcPr>
            <w:tcW w:w="888" w:type="pct"/>
            <w:hideMark/>
          </w:tcPr>
          <w:p w14:paraId="736CDFCB" w14:textId="77777777" w:rsidR="00822C08" w:rsidRPr="00822C08" w:rsidRDefault="00822C08" w:rsidP="00822C08">
            <w:pPr>
              <w:spacing w:after="0" w:line="240" w:lineRule="auto"/>
              <w:rPr>
                <w:sz w:val="20"/>
              </w:rPr>
            </w:pPr>
            <w:r w:rsidRPr="00822C08">
              <w:rPr>
                <w:sz w:val="20"/>
              </w:rPr>
              <w:t>Block-group</w:t>
            </w:r>
          </w:p>
        </w:tc>
        <w:tc>
          <w:tcPr>
            <w:tcW w:w="410" w:type="pct"/>
            <w:hideMark/>
          </w:tcPr>
          <w:p w14:paraId="32D27099" w14:textId="77777777" w:rsidR="00822C08" w:rsidRPr="00822C08" w:rsidRDefault="00822C08" w:rsidP="00822C08">
            <w:pPr>
              <w:spacing w:after="0" w:line="240" w:lineRule="auto"/>
              <w:rPr>
                <w:sz w:val="20"/>
              </w:rPr>
            </w:pPr>
            <w:r w:rsidRPr="00822C08">
              <w:rPr>
                <w:sz w:val="20"/>
              </w:rPr>
              <w:t xml:space="preserve">1, 2, </w:t>
            </w:r>
            <w:r w:rsidR="00066344">
              <w:rPr>
                <w:sz w:val="20"/>
              </w:rPr>
              <w:t>4</w:t>
            </w:r>
          </w:p>
        </w:tc>
        <w:tc>
          <w:tcPr>
            <w:tcW w:w="444" w:type="pct"/>
            <w:hideMark/>
          </w:tcPr>
          <w:p w14:paraId="4E366F2E" w14:textId="77777777" w:rsidR="00822C08" w:rsidRPr="00822C08" w:rsidRDefault="00822C08" w:rsidP="00822C08">
            <w:pPr>
              <w:spacing w:after="0" w:line="240" w:lineRule="auto"/>
              <w:rPr>
                <w:sz w:val="20"/>
              </w:rPr>
            </w:pPr>
            <w:r w:rsidRPr="00822C08">
              <w:rPr>
                <w:sz w:val="20"/>
              </w:rPr>
              <w:t>1, 5-7, 9-14</w:t>
            </w:r>
          </w:p>
        </w:tc>
        <w:tc>
          <w:tcPr>
            <w:tcW w:w="1407" w:type="pct"/>
            <w:hideMark/>
          </w:tcPr>
          <w:p w14:paraId="19540A22" w14:textId="77777777" w:rsidR="00822C08" w:rsidRPr="00822C08" w:rsidRDefault="00822C08" w:rsidP="00822C08">
            <w:pPr>
              <w:spacing w:after="0" w:line="240" w:lineRule="auto"/>
              <w:rPr>
                <w:sz w:val="20"/>
              </w:rPr>
            </w:pPr>
            <w:r w:rsidRPr="00822C08">
              <w:rPr>
                <w:sz w:val="20"/>
              </w:rPr>
              <w:t>Decennial Census, 2010</w:t>
            </w:r>
          </w:p>
        </w:tc>
      </w:tr>
      <w:tr w:rsidR="00822C08" w:rsidRPr="00822C08" w14:paraId="1271BF7D" w14:textId="77777777" w:rsidTr="00822C08">
        <w:trPr>
          <w:trHeight w:val="528"/>
        </w:trPr>
        <w:tc>
          <w:tcPr>
            <w:tcW w:w="690" w:type="pct"/>
            <w:shd w:val="clear" w:color="auto" w:fill="E7E8E8" w:themeFill="accent2" w:themeFillTint="33"/>
            <w:hideMark/>
          </w:tcPr>
          <w:p w14:paraId="7DC37A67" w14:textId="77777777" w:rsidR="00822C08" w:rsidRPr="00822C08" w:rsidRDefault="00822C08" w:rsidP="00822C08">
            <w:pPr>
              <w:spacing w:after="0" w:line="240" w:lineRule="auto"/>
              <w:rPr>
                <w:b/>
                <w:bCs/>
                <w:sz w:val="20"/>
              </w:rPr>
            </w:pPr>
            <w:r w:rsidRPr="00822C08">
              <w:rPr>
                <w:b/>
                <w:bCs/>
                <w:sz w:val="20"/>
              </w:rPr>
              <w:t>Demographics</w:t>
            </w:r>
          </w:p>
        </w:tc>
        <w:tc>
          <w:tcPr>
            <w:tcW w:w="1161" w:type="pct"/>
            <w:shd w:val="clear" w:color="auto" w:fill="E7E8E8" w:themeFill="accent2" w:themeFillTint="33"/>
            <w:hideMark/>
          </w:tcPr>
          <w:p w14:paraId="4F3BB748" w14:textId="77777777" w:rsidR="00822C08" w:rsidRPr="00822C08" w:rsidRDefault="00822C08" w:rsidP="00822C08">
            <w:pPr>
              <w:spacing w:after="0" w:line="240" w:lineRule="auto"/>
              <w:rPr>
                <w:sz w:val="20"/>
              </w:rPr>
            </w:pPr>
            <w:r w:rsidRPr="00822C08">
              <w:rPr>
                <w:sz w:val="20"/>
              </w:rPr>
              <w:t>Race/Ethnicity population in 2000 &amp; 1990</w:t>
            </w:r>
          </w:p>
        </w:tc>
        <w:tc>
          <w:tcPr>
            <w:tcW w:w="888" w:type="pct"/>
            <w:shd w:val="clear" w:color="auto" w:fill="E7E8E8" w:themeFill="accent2" w:themeFillTint="33"/>
            <w:hideMark/>
          </w:tcPr>
          <w:p w14:paraId="40F3145B"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4860C0AC" w14:textId="77777777" w:rsidR="00822C08" w:rsidRPr="00822C08" w:rsidRDefault="00822C08" w:rsidP="00822C08">
            <w:pPr>
              <w:spacing w:after="0" w:line="240" w:lineRule="auto"/>
              <w:rPr>
                <w:sz w:val="20"/>
              </w:rPr>
            </w:pPr>
            <w:r w:rsidRPr="00822C08">
              <w:rPr>
                <w:sz w:val="20"/>
              </w:rPr>
              <w:t>2</w:t>
            </w:r>
          </w:p>
        </w:tc>
        <w:tc>
          <w:tcPr>
            <w:tcW w:w="444" w:type="pct"/>
            <w:shd w:val="clear" w:color="auto" w:fill="E7E8E8" w:themeFill="accent2" w:themeFillTint="33"/>
            <w:hideMark/>
          </w:tcPr>
          <w:p w14:paraId="42CC699D" w14:textId="77777777" w:rsidR="00822C08" w:rsidRPr="00822C08" w:rsidRDefault="00822C08" w:rsidP="00822C08">
            <w:pPr>
              <w:spacing w:after="0" w:line="240" w:lineRule="auto"/>
              <w:rPr>
                <w:sz w:val="20"/>
              </w:rPr>
            </w:pPr>
            <w:r w:rsidRPr="00822C08">
              <w:rPr>
                <w:sz w:val="20"/>
              </w:rPr>
              <w:t>2</w:t>
            </w:r>
          </w:p>
        </w:tc>
        <w:tc>
          <w:tcPr>
            <w:tcW w:w="1407" w:type="pct"/>
            <w:shd w:val="clear" w:color="auto" w:fill="E7E8E8" w:themeFill="accent2" w:themeFillTint="33"/>
            <w:hideMark/>
          </w:tcPr>
          <w:p w14:paraId="36FC91CA" w14:textId="77777777" w:rsidR="00822C08" w:rsidRPr="00822C08" w:rsidRDefault="00F60AD6" w:rsidP="00822C08">
            <w:pPr>
              <w:spacing w:after="0" w:line="240" w:lineRule="auto"/>
              <w:rPr>
                <w:sz w:val="20"/>
              </w:rPr>
            </w:pPr>
            <w:r w:rsidRPr="00822C08">
              <w:rPr>
                <w:sz w:val="20"/>
              </w:rPr>
              <w:t>Brown Longitudinal Tract Database (LTDB) based on decennial census data, 2000 &amp; 1990</w:t>
            </w:r>
          </w:p>
        </w:tc>
      </w:tr>
      <w:tr w:rsidR="00822C08" w:rsidRPr="00822C08" w14:paraId="6062B027" w14:textId="77777777" w:rsidTr="00822C08">
        <w:trPr>
          <w:trHeight w:val="528"/>
        </w:trPr>
        <w:tc>
          <w:tcPr>
            <w:tcW w:w="690" w:type="pct"/>
            <w:hideMark/>
          </w:tcPr>
          <w:p w14:paraId="30CBCE5E" w14:textId="77777777" w:rsidR="00822C08" w:rsidRPr="00822C08" w:rsidRDefault="00822C08" w:rsidP="00822C08">
            <w:pPr>
              <w:spacing w:after="0" w:line="240" w:lineRule="auto"/>
              <w:rPr>
                <w:b/>
                <w:bCs/>
                <w:sz w:val="20"/>
              </w:rPr>
            </w:pPr>
            <w:r w:rsidRPr="00822C08">
              <w:rPr>
                <w:b/>
                <w:bCs/>
                <w:sz w:val="20"/>
              </w:rPr>
              <w:t>Demographics</w:t>
            </w:r>
          </w:p>
        </w:tc>
        <w:tc>
          <w:tcPr>
            <w:tcW w:w="1161" w:type="pct"/>
            <w:hideMark/>
          </w:tcPr>
          <w:p w14:paraId="15B8A938" w14:textId="77777777" w:rsidR="00822C08" w:rsidRPr="00822C08" w:rsidRDefault="00822C08" w:rsidP="00822C08">
            <w:pPr>
              <w:spacing w:after="0" w:line="240" w:lineRule="auto"/>
              <w:rPr>
                <w:sz w:val="20"/>
              </w:rPr>
            </w:pPr>
            <w:r w:rsidRPr="00822C08">
              <w:rPr>
                <w:sz w:val="20"/>
              </w:rPr>
              <w:t xml:space="preserve">Percent of race/ethnicity census tract </w:t>
            </w:r>
          </w:p>
        </w:tc>
        <w:tc>
          <w:tcPr>
            <w:tcW w:w="888" w:type="pct"/>
            <w:hideMark/>
          </w:tcPr>
          <w:p w14:paraId="68407E3E" w14:textId="77777777" w:rsidR="00822C08" w:rsidRPr="00822C08" w:rsidRDefault="00822C08" w:rsidP="00822C08">
            <w:pPr>
              <w:spacing w:after="0" w:line="240" w:lineRule="auto"/>
              <w:rPr>
                <w:sz w:val="20"/>
              </w:rPr>
            </w:pPr>
            <w:r w:rsidRPr="00822C08">
              <w:rPr>
                <w:sz w:val="20"/>
              </w:rPr>
              <w:t>Tract</w:t>
            </w:r>
          </w:p>
        </w:tc>
        <w:tc>
          <w:tcPr>
            <w:tcW w:w="410" w:type="pct"/>
            <w:hideMark/>
          </w:tcPr>
          <w:p w14:paraId="0D37F382" w14:textId="77777777" w:rsidR="00822C08" w:rsidRPr="00822C08" w:rsidRDefault="00066344" w:rsidP="00822C08">
            <w:pPr>
              <w:spacing w:after="0" w:line="240" w:lineRule="auto"/>
              <w:rPr>
                <w:sz w:val="20"/>
              </w:rPr>
            </w:pPr>
            <w:r>
              <w:rPr>
                <w:sz w:val="20"/>
              </w:rPr>
              <w:t>8</w:t>
            </w:r>
          </w:p>
        </w:tc>
        <w:tc>
          <w:tcPr>
            <w:tcW w:w="444" w:type="pct"/>
            <w:hideMark/>
          </w:tcPr>
          <w:p w14:paraId="368573AE" w14:textId="77777777" w:rsidR="00822C08" w:rsidRPr="00822C08" w:rsidRDefault="00822C08" w:rsidP="00822C08">
            <w:pPr>
              <w:spacing w:after="0" w:line="240" w:lineRule="auto"/>
              <w:rPr>
                <w:sz w:val="20"/>
              </w:rPr>
            </w:pPr>
            <w:r w:rsidRPr="00822C08">
              <w:rPr>
                <w:sz w:val="20"/>
              </w:rPr>
              <w:t>na</w:t>
            </w:r>
          </w:p>
        </w:tc>
        <w:tc>
          <w:tcPr>
            <w:tcW w:w="1407" w:type="pct"/>
            <w:hideMark/>
          </w:tcPr>
          <w:p w14:paraId="38B3AF8E" w14:textId="77777777" w:rsidR="00822C08" w:rsidRPr="00822C08" w:rsidRDefault="00822C08" w:rsidP="00822C08">
            <w:pPr>
              <w:spacing w:after="0" w:line="240" w:lineRule="auto"/>
              <w:rPr>
                <w:sz w:val="20"/>
              </w:rPr>
            </w:pPr>
            <w:r w:rsidRPr="00822C08">
              <w:rPr>
                <w:sz w:val="20"/>
              </w:rPr>
              <w:t>Decennial Census, 2010</w:t>
            </w:r>
          </w:p>
        </w:tc>
      </w:tr>
      <w:tr w:rsidR="00822C08" w:rsidRPr="00822C08" w14:paraId="0945F084" w14:textId="77777777" w:rsidTr="00822C08">
        <w:trPr>
          <w:trHeight w:val="1232"/>
        </w:trPr>
        <w:tc>
          <w:tcPr>
            <w:tcW w:w="690" w:type="pct"/>
            <w:shd w:val="clear" w:color="auto" w:fill="E7E8E8" w:themeFill="accent2" w:themeFillTint="33"/>
            <w:hideMark/>
          </w:tcPr>
          <w:p w14:paraId="450CB2A4" w14:textId="77777777" w:rsidR="00822C08" w:rsidRPr="00822C08" w:rsidRDefault="00822C08" w:rsidP="00822C08">
            <w:pPr>
              <w:spacing w:after="0" w:line="240" w:lineRule="auto"/>
              <w:rPr>
                <w:b/>
                <w:bCs/>
                <w:sz w:val="20"/>
              </w:rPr>
            </w:pPr>
            <w:r w:rsidRPr="00822C08">
              <w:rPr>
                <w:b/>
                <w:bCs/>
                <w:sz w:val="20"/>
              </w:rPr>
              <w:t>Demographics</w:t>
            </w:r>
          </w:p>
        </w:tc>
        <w:tc>
          <w:tcPr>
            <w:tcW w:w="1161" w:type="pct"/>
            <w:shd w:val="clear" w:color="auto" w:fill="E7E8E8" w:themeFill="accent2" w:themeFillTint="33"/>
            <w:hideMark/>
          </w:tcPr>
          <w:p w14:paraId="132E1BB1" w14:textId="77777777" w:rsidR="00822C08" w:rsidRPr="00822C08" w:rsidRDefault="00822C08" w:rsidP="00822C08">
            <w:pPr>
              <w:spacing w:after="0" w:line="240" w:lineRule="auto"/>
              <w:rPr>
                <w:sz w:val="20"/>
              </w:rPr>
            </w:pPr>
            <w:r w:rsidRPr="00822C08">
              <w:rPr>
                <w:sz w:val="20"/>
              </w:rPr>
              <w:t xml:space="preserve">Limited English Proficiency (LEP) population; LEP languages; Foreign-born population; Foreign-born population place of birth (national origin) </w:t>
            </w:r>
          </w:p>
        </w:tc>
        <w:tc>
          <w:tcPr>
            <w:tcW w:w="888" w:type="pct"/>
            <w:shd w:val="clear" w:color="auto" w:fill="E7E8E8" w:themeFill="accent2" w:themeFillTint="33"/>
            <w:hideMark/>
          </w:tcPr>
          <w:p w14:paraId="6AE90E2B"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09D182A8" w14:textId="77777777" w:rsidR="00822C08" w:rsidRPr="00822C08" w:rsidRDefault="00822C08" w:rsidP="00822C08">
            <w:pPr>
              <w:spacing w:after="0" w:line="240" w:lineRule="auto"/>
              <w:rPr>
                <w:sz w:val="20"/>
              </w:rPr>
            </w:pPr>
            <w:r w:rsidRPr="00822C08">
              <w:rPr>
                <w:sz w:val="20"/>
              </w:rPr>
              <w:t xml:space="preserve">1, 2, </w:t>
            </w:r>
            <w:r w:rsidR="00066344">
              <w:rPr>
                <w:sz w:val="20"/>
              </w:rPr>
              <w:t>4</w:t>
            </w:r>
          </w:p>
        </w:tc>
        <w:tc>
          <w:tcPr>
            <w:tcW w:w="444" w:type="pct"/>
            <w:shd w:val="clear" w:color="auto" w:fill="E7E8E8" w:themeFill="accent2" w:themeFillTint="33"/>
            <w:hideMark/>
          </w:tcPr>
          <w:p w14:paraId="458E2466" w14:textId="77777777" w:rsidR="00822C08" w:rsidRPr="00822C08" w:rsidRDefault="00822C08" w:rsidP="00822C08">
            <w:pPr>
              <w:spacing w:after="0" w:line="240" w:lineRule="auto"/>
              <w:rPr>
                <w:sz w:val="20"/>
              </w:rPr>
            </w:pPr>
            <w:r w:rsidRPr="00822C08">
              <w:rPr>
                <w:sz w:val="20"/>
              </w:rPr>
              <w:t>3, 4, 8, 9-14</w:t>
            </w:r>
          </w:p>
        </w:tc>
        <w:tc>
          <w:tcPr>
            <w:tcW w:w="1407" w:type="pct"/>
            <w:shd w:val="clear" w:color="auto" w:fill="E7E8E8" w:themeFill="accent2" w:themeFillTint="33"/>
            <w:hideMark/>
          </w:tcPr>
          <w:p w14:paraId="79172DD3" w14:textId="77777777" w:rsidR="00822C08" w:rsidRPr="00822C08" w:rsidRDefault="00822C08" w:rsidP="00822C08">
            <w:pPr>
              <w:spacing w:after="0" w:line="240" w:lineRule="auto"/>
              <w:rPr>
                <w:sz w:val="20"/>
              </w:rPr>
            </w:pPr>
            <w:r w:rsidRPr="00822C08">
              <w:rPr>
                <w:sz w:val="20"/>
              </w:rPr>
              <w:t xml:space="preserve">American Community Survey (ACS), 2006-2010; Brown Longitudinal Tract Database (LTDB) based on decennial census data, 2000 &amp; 1990 </w:t>
            </w:r>
          </w:p>
        </w:tc>
      </w:tr>
      <w:tr w:rsidR="00822C08" w:rsidRPr="00822C08" w14:paraId="73BEA50F" w14:textId="77777777" w:rsidTr="00822C08">
        <w:trPr>
          <w:trHeight w:val="528"/>
        </w:trPr>
        <w:tc>
          <w:tcPr>
            <w:tcW w:w="690" w:type="pct"/>
            <w:hideMark/>
          </w:tcPr>
          <w:p w14:paraId="5B28AAFA" w14:textId="77777777" w:rsidR="00822C08" w:rsidRPr="00822C08" w:rsidRDefault="00822C08" w:rsidP="00822C08">
            <w:pPr>
              <w:spacing w:after="0" w:line="240" w:lineRule="auto"/>
              <w:rPr>
                <w:b/>
                <w:bCs/>
                <w:sz w:val="20"/>
              </w:rPr>
            </w:pPr>
            <w:r w:rsidRPr="00822C08">
              <w:rPr>
                <w:b/>
                <w:bCs/>
                <w:sz w:val="20"/>
              </w:rPr>
              <w:t>Demographics</w:t>
            </w:r>
          </w:p>
        </w:tc>
        <w:tc>
          <w:tcPr>
            <w:tcW w:w="1161" w:type="pct"/>
            <w:hideMark/>
          </w:tcPr>
          <w:p w14:paraId="42342D69" w14:textId="77777777" w:rsidR="00822C08" w:rsidRPr="00822C08" w:rsidRDefault="00822C08" w:rsidP="00822C08">
            <w:pPr>
              <w:spacing w:after="0" w:line="240" w:lineRule="auto"/>
              <w:rPr>
                <w:sz w:val="20"/>
              </w:rPr>
            </w:pPr>
            <w:r w:rsidRPr="00822C08">
              <w:rPr>
                <w:sz w:val="20"/>
              </w:rPr>
              <w:t>Disability Type population; Disabled population by Age</w:t>
            </w:r>
          </w:p>
        </w:tc>
        <w:tc>
          <w:tcPr>
            <w:tcW w:w="888" w:type="pct"/>
            <w:hideMark/>
          </w:tcPr>
          <w:p w14:paraId="66BEE0E5" w14:textId="77777777" w:rsidR="00822C08" w:rsidRPr="00822C08" w:rsidRDefault="00822C08" w:rsidP="00822C08">
            <w:pPr>
              <w:spacing w:after="0" w:line="240" w:lineRule="auto"/>
              <w:rPr>
                <w:sz w:val="20"/>
              </w:rPr>
            </w:pPr>
            <w:r w:rsidRPr="00822C08">
              <w:rPr>
                <w:sz w:val="20"/>
              </w:rPr>
              <w:t>Tract</w:t>
            </w:r>
          </w:p>
        </w:tc>
        <w:tc>
          <w:tcPr>
            <w:tcW w:w="410" w:type="pct"/>
            <w:hideMark/>
          </w:tcPr>
          <w:p w14:paraId="43C6A388" w14:textId="77777777" w:rsidR="00822C08" w:rsidRPr="00822C08" w:rsidRDefault="00822C08" w:rsidP="00822C08">
            <w:pPr>
              <w:spacing w:after="0" w:line="240" w:lineRule="auto"/>
              <w:rPr>
                <w:sz w:val="20"/>
              </w:rPr>
            </w:pPr>
            <w:r w:rsidRPr="00822C08">
              <w:rPr>
                <w:sz w:val="20"/>
              </w:rPr>
              <w:t xml:space="preserve">1, </w:t>
            </w:r>
            <w:r w:rsidR="00066344">
              <w:rPr>
                <w:sz w:val="20"/>
              </w:rPr>
              <w:t>13</w:t>
            </w:r>
            <w:r w:rsidRPr="00822C08">
              <w:rPr>
                <w:sz w:val="20"/>
              </w:rPr>
              <w:t xml:space="preserve">, </w:t>
            </w:r>
            <w:r w:rsidR="00066344">
              <w:rPr>
                <w:sz w:val="20"/>
              </w:rPr>
              <w:t>14</w:t>
            </w:r>
          </w:p>
        </w:tc>
        <w:tc>
          <w:tcPr>
            <w:tcW w:w="444" w:type="pct"/>
            <w:hideMark/>
          </w:tcPr>
          <w:p w14:paraId="367C794A" w14:textId="77777777" w:rsidR="00822C08" w:rsidRPr="00822C08" w:rsidRDefault="00822C08" w:rsidP="00822C08">
            <w:pPr>
              <w:spacing w:after="0" w:line="240" w:lineRule="auto"/>
              <w:rPr>
                <w:sz w:val="20"/>
              </w:rPr>
            </w:pPr>
            <w:r w:rsidRPr="00822C08">
              <w:rPr>
                <w:sz w:val="20"/>
              </w:rPr>
              <w:t>15, 16</w:t>
            </w:r>
          </w:p>
        </w:tc>
        <w:tc>
          <w:tcPr>
            <w:tcW w:w="1407" w:type="pct"/>
            <w:hideMark/>
          </w:tcPr>
          <w:p w14:paraId="6045E066" w14:textId="77777777" w:rsidR="00822C08" w:rsidRPr="00822C08" w:rsidRDefault="00822C08" w:rsidP="00822C08">
            <w:pPr>
              <w:spacing w:after="0" w:line="240" w:lineRule="auto"/>
              <w:rPr>
                <w:sz w:val="20"/>
              </w:rPr>
            </w:pPr>
            <w:r w:rsidRPr="00822C08">
              <w:rPr>
                <w:sz w:val="20"/>
              </w:rPr>
              <w:t>American Community Survey (ACS), 2008-2012</w:t>
            </w:r>
          </w:p>
        </w:tc>
      </w:tr>
      <w:tr w:rsidR="00822C08" w:rsidRPr="00822C08" w14:paraId="7F61B18C" w14:textId="77777777" w:rsidTr="00822C08">
        <w:trPr>
          <w:trHeight w:val="58"/>
        </w:trPr>
        <w:tc>
          <w:tcPr>
            <w:tcW w:w="690" w:type="pct"/>
            <w:shd w:val="clear" w:color="auto" w:fill="E7E8E8" w:themeFill="accent2" w:themeFillTint="33"/>
            <w:hideMark/>
          </w:tcPr>
          <w:p w14:paraId="73CF21E3" w14:textId="77777777" w:rsidR="00822C08" w:rsidRPr="00822C08" w:rsidRDefault="00822C08" w:rsidP="00822C08">
            <w:pPr>
              <w:spacing w:after="0" w:line="240" w:lineRule="auto"/>
              <w:rPr>
                <w:b/>
                <w:bCs/>
                <w:sz w:val="20"/>
              </w:rPr>
            </w:pPr>
            <w:r w:rsidRPr="00822C08">
              <w:rPr>
                <w:b/>
                <w:bCs/>
                <w:sz w:val="20"/>
              </w:rPr>
              <w:t>Demographics</w:t>
            </w:r>
          </w:p>
        </w:tc>
        <w:tc>
          <w:tcPr>
            <w:tcW w:w="1161" w:type="pct"/>
            <w:shd w:val="clear" w:color="auto" w:fill="E7E8E8" w:themeFill="accent2" w:themeFillTint="33"/>
            <w:hideMark/>
          </w:tcPr>
          <w:p w14:paraId="6C5401F7" w14:textId="77777777" w:rsidR="00822C08" w:rsidRPr="00822C08" w:rsidRDefault="00822C08" w:rsidP="00822C08">
            <w:pPr>
              <w:spacing w:after="0" w:line="240" w:lineRule="auto"/>
              <w:rPr>
                <w:sz w:val="20"/>
              </w:rPr>
            </w:pPr>
            <w:r w:rsidRPr="00822C08">
              <w:rPr>
                <w:sz w:val="20"/>
              </w:rPr>
              <w:t>Population by Age, Sex, Family Type</w:t>
            </w:r>
          </w:p>
        </w:tc>
        <w:tc>
          <w:tcPr>
            <w:tcW w:w="888" w:type="pct"/>
            <w:shd w:val="clear" w:color="auto" w:fill="E7E8E8" w:themeFill="accent2" w:themeFillTint="33"/>
            <w:hideMark/>
          </w:tcPr>
          <w:p w14:paraId="6DDC4E59"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37B6A2A5" w14:textId="77777777" w:rsidR="00822C08" w:rsidRPr="00822C08" w:rsidRDefault="00822C08" w:rsidP="00822C08">
            <w:pPr>
              <w:spacing w:after="0" w:line="240" w:lineRule="auto"/>
              <w:rPr>
                <w:sz w:val="20"/>
              </w:rPr>
            </w:pPr>
            <w:r w:rsidRPr="00822C08">
              <w:rPr>
                <w:sz w:val="20"/>
              </w:rPr>
              <w:t xml:space="preserve">1, 2, </w:t>
            </w:r>
            <w:r w:rsidR="00066344">
              <w:rPr>
                <w:sz w:val="20"/>
              </w:rPr>
              <w:t>4</w:t>
            </w:r>
          </w:p>
        </w:tc>
        <w:tc>
          <w:tcPr>
            <w:tcW w:w="444" w:type="pct"/>
            <w:shd w:val="clear" w:color="auto" w:fill="E7E8E8" w:themeFill="accent2" w:themeFillTint="33"/>
            <w:hideMark/>
          </w:tcPr>
          <w:p w14:paraId="748A6696" w14:textId="77777777" w:rsidR="00822C08" w:rsidRPr="00822C08" w:rsidRDefault="00822C08" w:rsidP="00822C08">
            <w:pPr>
              <w:spacing w:after="0" w:line="240" w:lineRule="auto"/>
              <w:rPr>
                <w:sz w:val="20"/>
              </w:rPr>
            </w:pPr>
            <w:r w:rsidRPr="00822C08">
              <w:rPr>
                <w:sz w:val="20"/>
              </w:rPr>
              <w:t>9-14</w:t>
            </w:r>
          </w:p>
        </w:tc>
        <w:tc>
          <w:tcPr>
            <w:tcW w:w="1407" w:type="pct"/>
            <w:shd w:val="clear" w:color="auto" w:fill="E7E8E8" w:themeFill="accent2" w:themeFillTint="33"/>
            <w:hideMark/>
          </w:tcPr>
          <w:p w14:paraId="7C8E6FBD" w14:textId="77777777" w:rsidR="00822C08" w:rsidRPr="00822C08" w:rsidRDefault="00822C08" w:rsidP="00F60AD6">
            <w:pPr>
              <w:spacing w:after="0" w:line="240" w:lineRule="auto"/>
              <w:rPr>
                <w:sz w:val="20"/>
              </w:rPr>
            </w:pPr>
            <w:r w:rsidRPr="00822C08">
              <w:rPr>
                <w:sz w:val="20"/>
              </w:rPr>
              <w:t>Decennial Census, 2010</w:t>
            </w:r>
            <w:r w:rsidR="00F60AD6">
              <w:rPr>
                <w:sz w:val="20"/>
              </w:rPr>
              <w:t>;</w:t>
            </w:r>
            <w:r w:rsidR="00F60AD6" w:rsidRPr="00822C08">
              <w:rPr>
                <w:sz w:val="20"/>
              </w:rPr>
              <w:t xml:space="preserve"> Brown Longitudinal Tract Database (LTDB) based on decennial census data, 2000 &amp; 1990 </w:t>
            </w:r>
          </w:p>
        </w:tc>
      </w:tr>
      <w:tr w:rsidR="00822C08" w:rsidRPr="00822C08" w14:paraId="43AA5E9A" w14:textId="77777777" w:rsidTr="00822C08">
        <w:trPr>
          <w:trHeight w:val="629"/>
        </w:trPr>
        <w:tc>
          <w:tcPr>
            <w:tcW w:w="690" w:type="pct"/>
            <w:hideMark/>
          </w:tcPr>
          <w:p w14:paraId="61E54CDB" w14:textId="77777777" w:rsidR="00822C08" w:rsidRPr="00822C08" w:rsidRDefault="00822C08" w:rsidP="00822C08">
            <w:pPr>
              <w:spacing w:after="0" w:line="240" w:lineRule="auto"/>
              <w:rPr>
                <w:b/>
                <w:bCs/>
                <w:sz w:val="20"/>
              </w:rPr>
            </w:pPr>
            <w:r w:rsidRPr="00822C08">
              <w:rPr>
                <w:b/>
                <w:bCs/>
                <w:sz w:val="20"/>
              </w:rPr>
              <w:t>Socioeconomic</w:t>
            </w:r>
          </w:p>
        </w:tc>
        <w:tc>
          <w:tcPr>
            <w:tcW w:w="1161" w:type="pct"/>
            <w:hideMark/>
          </w:tcPr>
          <w:p w14:paraId="34C25749" w14:textId="77777777" w:rsidR="00822C08" w:rsidRPr="00822C08" w:rsidRDefault="00822C08" w:rsidP="00822C08">
            <w:pPr>
              <w:spacing w:after="0" w:line="240" w:lineRule="auto"/>
              <w:rPr>
                <w:sz w:val="20"/>
              </w:rPr>
            </w:pPr>
            <w:r w:rsidRPr="00822C08">
              <w:rPr>
                <w:sz w:val="20"/>
              </w:rPr>
              <w:t>Racially/Ethnically-Concentrated Areas of Poverty (R/ECAP)</w:t>
            </w:r>
          </w:p>
        </w:tc>
        <w:tc>
          <w:tcPr>
            <w:tcW w:w="888" w:type="pct"/>
            <w:hideMark/>
          </w:tcPr>
          <w:p w14:paraId="1E9B4A50" w14:textId="77777777" w:rsidR="00822C08" w:rsidRPr="00822C08" w:rsidRDefault="00822C08" w:rsidP="00822C08">
            <w:pPr>
              <w:spacing w:after="0" w:line="240" w:lineRule="auto"/>
              <w:rPr>
                <w:sz w:val="20"/>
              </w:rPr>
            </w:pPr>
            <w:r w:rsidRPr="00822C08">
              <w:rPr>
                <w:sz w:val="20"/>
              </w:rPr>
              <w:t>Tract</w:t>
            </w:r>
          </w:p>
        </w:tc>
        <w:tc>
          <w:tcPr>
            <w:tcW w:w="410" w:type="pct"/>
            <w:hideMark/>
          </w:tcPr>
          <w:p w14:paraId="467E9AC8" w14:textId="77777777" w:rsidR="00822C08" w:rsidRPr="00822C08" w:rsidRDefault="00066344" w:rsidP="00822C08">
            <w:pPr>
              <w:spacing w:after="0" w:line="240" w:lineRule="auto"/>
              <w:rPr>
                <w:sz w:val="20"/>
              </w:rPr>
            </w:pPr>
            <w:r>
              <w:rPr>
                <w:sz w:val="20"/>
              </w:rPr>
              <w:t>4</w:t>
            </w:r>
            <w:r w:rsidR="00822C08" w:rsidRPr="00822C08">
              <w:rPr>
                <w:sz w:val="20"/>
              </w:rPr>
              <w:t xml:space="preserve">, </w:t>
            </w:r>
            <w:r>
              <w:rPr>
                <w:sz w:val="20"/>
              </w:rPr>
              <w:t>7</w:t>
            </w:r>
          </w:p>
        </w:tc>
        <w:tc>
          <w:tcPr>
            <w:tcW w:w="444" w:type="pct"/>
            <w:hideMark/>
          </w:tcPr>
          <w:p w14:paraId="0204BB95" w14:textId="77777777" w:rsidR="00822C08" w:rsidRPr="00822C08" w:rsidRDefault="00822C08" w:rsidP="00822C08">
            <w:pPr>
              <w:spacing w:after="0" w:line="240" w:lineRule="auto"/>
              <w:rPr>
                <w:sz w:val="20"/>
              </w:rPr>
            </w:pPr>
            <w:r w:rsidRPr="00822C08">
              <w:rPr>
                <w:sz w:val="20"/>
              </w:rPr>
              <w:t>1-16</w:t>
            </w:r>
          </w:p>
        </w:tc>
        <w:tc>
          <w:tcPr>
            <w:tcW w:w="1407" w:type="pct"/>
            <w:hideMark/>
          </w:tcPr>
          <w:p w14:paraId="0A9CFD34" w14:textId="77777777" w:rsidR="00822C08" w:rsidRPr="00822C08" w:rsidRDefault="00822C08" w:rsidP="00240B48">
            <w:pPr>
              <w:spacing w:after="0" w:line="240" w:lineRule="auto"/>
              <w:rPr>
                <w:sz w:val="20"/>
              </w:rPr>
            </w:pPr>
            <w:r w:rsidRPr="00822C08">
              <w:rPr>
                <w:sz w:val="20"/>
              </w:rPr>
              <w:t xml:space="preserve">Decennial census (2010); American Community Survey (ACS), 2006-2010 </w:t>
            </w:r>
          </w:p>
        </w:tc>
      </w:tr>
      <w:tr w:rsidR="00822C08" w:rsidRPr="00822C08" w14:paraId="41A0F7CB" w14:textId="77777777" w:rsidTr="00822C08">
        <w:trPr>
          <w:trHeight w:val="611"/>
        </w:trPr>
        <w:tc>
          <w:tcPr>
            <w:tcW w:w="690" w:type="pct"/>
            <w:shd w:val="clear" w:color="auto" w:fill="E7E8E8" w:themeFill="accent2" w:themeFillTint="33"/>
            <w:hideMark/>
          </w:tcPr>
          <w:p w14:paraId="79FC18F1" w14:textId="77777777" w:rsidR="00822C08" w:rsidRPr="00822C08" w:rsidRDefault="00822C08" w:rsidP="00822C08">
            <w:pPr>
              <w:spacing w:after="0" w:line="240" w:lineRule="auto"/>
              <w:rPr>
                <w:b/>
                <w:bCs/>
                <w:sz w:val="20"/>
              </w:rPr>
            </w:pPr>
            <w:r w:rsidRPr="00822C08">
              <w:rPr>
                <w:b/>
                <w:bCs/>
                <w:sz w:val="20"/>
              </w:rPr>
              <w:t>Housing</w:t>
            </w:r>
          </w:p>
        </w:tc>
        <w:tc>
          <w:tcPr>
            <w:tcW w:w="1161" w:type="pct"/>
            <w:shd w:val="clear" w:color="auto" w:fill="E7E8E8" w:themeFill="accent2" w:themeFillTint="33"/>
            <w:hideMark/>
          </w:tcPr>
          <w:p w14:paraId="5755D2C1" w14:textId="77777777" w:rsidR="00822C08" w:rsidRPr="00822C08" w:rsidRDefault="00822C08" w:rsidP="00822C08">
            <w:pPr>
              <w:spacing w:after="0" w:line="240" w:lineRule="auto"/>
              <w:rPr>
                <w:sz w:val="20"/>
              </w:rPr>
            </w:pPr>
            <w:r w:rsidRPr="00822C08">
              <w:rPr>
                <w:sz w:val="20"/>
              </w:rPr>
              <w:t>Population, housing units, occupied housing units,  race/ethnicity, age, disability status, household type, and household size by Housing Type</w:t>
            </w:r>
          </w:p>
        </w:tc>
        <w:tc>
          <w:tcPr>
            <w:tcW w:w="888" w:type="pct"/>
            <w:shd w:val="clear" w:color="auto" w:fill="E7E8E8" w:themeFill="accent2" w:themeFillTint="33"/>
            <w:hideMark/>
          </w:tcPr>
          <w:p w14:paraId="12832409" w14:textId="77777777" w:rsidR="00822C08" w:rsidRPr="00822C08" w:rsidRDefault="00822C08" w:rsidP="00822C08">
            <w:pPr>
              <w:spacing w:after="0" w:line="240" w:lineRule="auto"/>
              <w:rPr>
                <w:sz w:val="20"/>
              </w:rPr>
            </w:pPr>
            <w:r w:rsidRPr="00822C08">
              <w:rPr>
                <w:sz w:val="20"/>
              </w:rPr>
              <w:t xml:space="preserve">Development; </w:t>
            </w:r>
            <w:r w:rsidRPr="00822C08">
              <w:rPr>
                <w:sz w:val="20"/>
              </w:rPr>
              <w:br/>
              <w:t>Tract</w:t>
            </w:r>
          </w:p>
        </w:tc>
        <w:tc>
          <w:tcPr>
            <w:tcW w:w="410" w:type="pct"/>
            <w:shd w:val="clear" w:color="auto" w:fill="E7E8E8" w:themeFill="accent2" w:themeFillTint="33"/>
            <w:hideMark/>
          </w:tcPr>
          <w:p w14:paraId="4C0A32A7" w14:textId="77777777" w:rsidR="00822C08" w:rsidRPr="00822C08" w:rsidRDefault="00066344" w:rsidP="00822C08">
            <w:pPr>
              <w:spacing w:after="0" w:line="240" w:lineRule="auto"/>
              <w:rPr>
                <w:sz w:val="20"/>
              </w:rPr>
            </w:pPr>
            <w:r>
              <w:rPr>
                <w:sz w:val="20"/>
              </w:rPr>
              <w:t>5-7</w:t>
            </w:r>
            <w:r w:rsidR="00822C08" w:rsidRPr="00822C08">
              <w:rPr>
                <w:sz w:val="20"/>
              </w:rPr>
              <w:t xml:space="preserve">, </w:t>
            </w:r>
            <w:r>
              <w:rPr>
                <w:sz w:val="20"/>
              </w:rPr>
              <w:t>11</w:t>
            </w:r>
            <w:r w:rsidR="00822C08" w:rsidRPr="00822C08">
              <w:rPr>
                <w:sz w:val="20"/>
              </w:rPr>
              <w:t xml:space="preserve">, </w:t>
            </w:r>
            <w:r>
              <w:rPr>
                <w:sz w:val="20"/>
              </w:rPr>
              <w:t>15</w:t>
            </w:r>
          </w:p>
        </w:tc>
        <w:tc>
          <w:tcPr>
            <w:tcW w:w="444" w:type="pct"/>
            <w:shd w:val="clear" w:color="auto" w:fill="E7E8E8" w:themeFill="accent2" w:themeFillTint="33"/>
            <w:hideMark/>
          </w:tcPr>
          <w:p w14:paraId="3E461226" w14:textId="77777777" w:rsidR="00822C08" w:rsidRPr="00822C08" w:rsidRDefault="00822C08" w:rsidP="00822C08">
            <w:pPr>
              <w:spacing w:after="0" w:line="240" w:lineRule="auto"/>
              <w:rPr>
                <w:sz w:val="20"/>
              </w:rPr>
            </w:pPr>
            <w:r w:rsidRPr="00822C08">
              <w:rPr>
                <w:sz w:val="20"/>
              </w:rPr>
              <w:t>na</w:t>
            </w:r>
          </w:p>
        </w:tc>
        <w:tc>
          <w:tcPr>
            <w:tcW w:w="1407" w:type="pct"/>
            <w:shd w:val="clear" w:color="auto" w:fill="E7E8E8" w:themeFill="accent2" w:themeFillTint="33"/>
            <w:hideMark/>
          </w:tcPr>
          <w:p w14:paraId="213321B6" w14:textId="77777777" w:rsidR="00822C08" w:rsidRPr="00822C08" w:rsidRDefault="00822C08" w:rsidP="00822C08">
            <w:pPr>
              <w:spacing w:after="0" w:line="240" w:lineRule="auto"/>
              <w:rPr>
                <w:sz w:val="20"/>
              </w:rPr>
            </w:pPr>
            <w:r w:rsidRPr="00822C08">
              <w:rPr>
                <w:sz w:val="20"/>
              </w:rPr>
              <w:t>Inventory Management System (IMS)/ PIH Information Center (PIC), 2013; Tenant Rental Assistance Certification System (TRACS), 2013</w:t>
            </w:r>
          </w:p>
        </w:tc>
      </w:tr>
      <w:tr w:rsidR="00822C08" w:rsidRPr="00822C08" w14:paraId="2B7E8889" w14:textId="77777777" w:rsidTr="00822C08">
        <w:trPr>
          <w:trHeight w:val="528"/>
        </w:trPr>
        <w:tc>
          <w:tcPr>
            <w:tcW w:w="690" w:type="pct"/>
            <w:hideMark/>
          </w:tcPr>
          <w:p w14:paraId="574EF4D2" w14:textId="77777777" w:rsidR="00822C08" w:rsidRPr="00822C08" w:rsidRDefault="00822C08" w:rsidP="00822C08">
            <w:pPr>
              <w:spacing w:after="0" w:line="240" w:lineRule="auto"/>
              <w:rPr>
                <w:b/>
                <w:bCs/>
                <w:sz w:val="20"/>
              </w:rPr>
            </w:pPr>
            <w:r w:rsidRPr="00822C08">
              <w:rPr>
                <w:b/>
                <w:bCs/>
                <w:sz w:val="20"/>
              </w:rPr>
              <w:t>Housing</w:t>
            </w:r>
          </w:p>
        </w:tc>
        <w:tc>
          <w:tcPr>
            <w:tcW w:w="1161" w:type="pct"/>
            <w:hideMark/>
          </w:tcPr>
          <w:p w14:paraId="0B130079" w14:textId="77777777" w:rsidR="00822C08" w:rsidRPr="00822C08" w:rsidRDefault="00822C08" w:rsidP="00822C08">
            <w:pPr>
              <w:spacing w:after="0" w:line="240" w:lineRule="auto"/>
              <w:rPr>
                <w:sz w:val="20"/>
              </w:rPr>
            </w:pPr>
            <w:r w:rsidRPr="00822C08">
              <w:rPr>
                <w:sz w:val="20"/>
              </w:rPr>
              <w:t>Low-Income Housing Tax Credit developments</w:t>
            </w:r>
          </w:p>
        </w:tc>
        <w:tc>
          <w:tcPr>
            <w:tcW w:w="888" w:type="pct"/>
            <w:hideMark/>
          </w:tcPr>
          <w:p w14:paraId="7305CFCF" w14:textId="77777777" w:rsidR="00822C08" w:rsidRPr="00822C08" w:rsidRDefault="00822C08" w:rsidP="00822C08">
            <w:pPr>
              <w:spacing w:after="0" w:line="240" w:lineRule="auto"/>
              <w:rPr>
                <w:sz w:val="20"/>
              </w:rPr>
            </w:pPr>
            <w:r w:rsidRPr="00822C08">
              <w:rPr>
                <w:sz w:val="20"/>
              </w:rPr>
              <w:t>Development</w:t>
            </w:r>
          </w:p>
        </w:tc>
        <w:tc>
          <w:tcPr>
            <w:tcW w:w="410" w:type="pct"/>
            <w:hideMark/>
          </w:tcPr>
          <w:p w14:paraId="41023EB2" w14:textId="77777777" w:rsidR="00822C08" w:rsidRPr="00822C08" w:rsidRDefault="00066344" w:rsidP="00822C08">
            <w:pPr>
              <w:spacing w:after="0" w:line="240" w:lineRule="auto"/>
              <w:rPr>
                <w:sz w:val="20"/>
              </w:rPr>
            </w:pPr>
            <w:r>
              <w:rPr>
                <w:sz w:val="20"/>
              </w:rPr>
              <w:t>8</w:t>
            </w:r>
          </w:p>
        </w:tc>
        <w:tc>
          <w:tcPr>
            <w:tcW w:w="444" w:type="pct"/>
            <w:hideMark/>
          </w:tcPr>
          <w:p w14:paraId="0E2C0E4E" w14:textId="77777777" w:rsidR="00822C08" w:rsidRPr="00822C08" w:rsidRDefault="00822C08" w:rsidP="00822C08">
            <w:pPr>
              <w:spacing w:after="0" w:line="240" w:lineRule="auto"/>
              <w:rPr>
                <w:sz w:val="20"/>
              </w:rPr>
            </w:pPr>
            <w:r w:rsidRPr="00822C08">
              <w:rPr>
                <w:sz w:val="20"/>
              </w:rPr>
              <w:t>na</w:t>
            </w:r>
          </w:p>
        </w:tc>
        <w:tc>
          <w:tcPr>
            <w:tcW w:w="1407" w:type="pct"/>
            <w:hideMark/>
          </w:tcPr>
          <w:p w14:paraId="4B2D7F6E" w14:textId="77777777" w:rsidR="00822C08" w:rsidRPr="00822C08" w:rsidRDefault="00822C08" w:rsidP="00822C08">
            <w:pPr>
              <w:spacing w:after="0" w:line="240" w:lineRule="auto"/>
              <w:rPr>
                <w:sz w:val="20"/>
              </w:rPr>
            </w:pPr>
            <w:r w:rsidRPr="00822C08">
              <w:rPr>
                <w:sz w:val="20"/>
              </w:rPr>
              <w:t>National Low-Income Housing Tax Credit (LIHTC) Database, 2013</w:t>
            </w:r>
          </w:p>
        </w:tc>
      </w:tr>
      <w:tr w:rsidR="00822C08" w:rsidRPr="00822C08" w14:paraId="478BD37B" w14:textId="77777777" w:rsidTr="00822C08">
        <w:trPr>
          <w:trHeight w:val="1700"/>
        </w:trPr>
        <w:tc>
          <w:tcPr>
            <w:tcW w:w="690" w:type="pct"/>
            <w:shd w:val="clear" w:color="auto" w:fill="E7E8E8" w:themeFill="accent2" w:themeFillTint="33"/>
            <w:hideMark/>
          </w:tcPr>
          <w:p w14:paraId="3048C6FD" w14:textId="77777777" w:rsidR="00822C08" w:rsidRPr="00822C08" w:rsidRDefault="00822C08" w:rsidP="00822C08">
            <w:pPr>
              <w:spacing w:after="0" w:line="240" w:lineRule="auto"/>
              <w:rPr>
                <w:b/>
                <w:bCs/>
                <w:sz w:val="20"/>
              </w:rPr>
            </w:pPr>
            <w:r w:rsidRPr="00822C08">
              <w:rPr>
                <w:b/>
                <w:bCs/>
                <w:sz w:val="20"/>
              </w:rPr>
              <w:lastRenderedPageBreak/>
              <w:t>Housing</w:t>
            </w:r>
          </w:p>
        </w:tc>
        <w:tc>
          <w:tcPr>
            <w:tcW w:w="1161" w:type="pct"/>
            <w:shd w:val="clear" w:color="auto" w:fill="E7E8E8" w:themeFill="accent2" w:themeFillTint="33"/>
            <w:hideMark/>
          </w:tcPr>
          <w:p w14:paraId="73069BDE" w14:textId="77777777" w:rsidR="00822C08" w:rsidRPr="00822C08" w:rsidRDefault="00822C08" w:rsidP="00822C08">
            <w:pPr>
              <w:spacing w:after="0" w:line="240" w:lineRule="auto"/>
              <w:rPr>
                <w:sz w:val="20"/>
              </w:rPr>
            </w:pPr>
            <w:r w:rsidRPr="00822C08">
              <w:rPr>
                <w:sz w:val="20"/>
              </w:rPr>
              <w:t xml:space="preserve">Households with Housing Problems; Households with Severe Housing Problems; Households with Income Less than 31% of Area Median Income (AMI); </w:t>
            </w:r>
            <w:r w:rsidR="00066344">
              <w:rPr>
                <w:sz w:val="20"/>
              </w:rPr>
              <w:t xml:space="preserve">Households with Severe Housing Cost Burden; </w:t>
            </w:r>
            <w:r w:rsidRPr="00822C08">
              <w:rPr>
                <w:sz w:val="20"/>
              </w:rPr>
              <w:t>Households with Housing Problems by Race, Household Type, Household Size</w:t>
            </w:r>
          </w:p>
        </w:tc>
        <w:tc>
          <w:tcPr>
            <w:tcW w:w="888" w:type="pct"/>
            <w:shd w:val="clear" w:color="auto" w:fill="E7E8E8" w:themeFill="accent2" w:themeFillTint="33"/>
            <w:hideMark/>
          </w:tcPr>
          <w:p w14:paraId="5F968A2F"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2D4014B4" w14:textId="77777777" w:rsidR="00822C08" w:rsidRPr="00822C08" w:rsidRDefault="00066344" w:rsidP="00822C08">
            <w:pPr>
              <w:spacing w:after="0" w:line="240" w:lineRule="auto"/>
              <w:rPr>
                <w:sz w:val="20"/>
              </w:rPr>
            </w:pPr>
            <w:r>
              <w:rPr>
                <w:sz w:val="20"/>
              </w:rPr>
              <w:t>9, 10</w:t>
            </w:r>
          </w:p>
        </w:tc>
        <w:tc>
          <w:tcPr>
            <w:tcW w:w="444" w:type="pct"/>
            <w:shd w:val="clear" w:color="auto" w:fill="E7E8E8" w:themeFill="accent2" w:themeFillTint="33"/>
            <w:hideMark/>
          </w:tcPr>
          <w:p w14:paraId="0E66F8E3" w14:textId="77777777" w:rsidR="00822C08" w:rsidRPr="00822C08" w:rsidRDefault="00822C08" w:rsidP="00822C08">
            <w:pPr>
              <w:spacing w:after="0" w:line="240" w:lineRule="auto"/>
              <w:rPr>
                <w:sz w:val="20"/>
              </w:rPr>
            </w:pPr>
            <w:r w:rsidRPr="00822C08">
              <w:rPr>
                <w:sz w:val="20"/>
              </w:rPr>
              <w:t>7, 8</w:t>
            </w:r>
          </w:p>
        </w:tc>
        <w:tc>
          <w:tcPr>
            <w:tcW w:w="1407" w:type="pct"/>
            <w:shd w:val="clear" w:color="auto" w:fill="E7E8E8" w:themeFill="accent2" w:themeFillTint="33"/>
            <w:hideMark/>
          </w:tcPr>
          <w:p w14:paraId="1F66D87C" w14:textId="77777777" w:rsidR="00822C08" w:rsidRPr="00822C08" w:rsidRDefault="00822C08" w:rsidP="00822C08">
            <w:pPr>
              <w:spacing w:after="0" w:line="240" w:lineRule="auto"/>
              <w:rPr>
                <w:sz w:val="20"/>
              </w:rPr>
            </w:pPr>
            <w:r w:rsidRPr="00822C08">
              <w:rPr>
                <w:sz w:val="20"/>
              </w:rPr>
              <w:t>Comprehensive Housing Affordability Strategy (CHAS), 2007-2011</w:t>
            </w:r>
          </w:p>
        </w:tc>
      </w:tr>
      <w:tr w:rsidR="00822C08" w:rsidRPr="00822C08" w14:paraId="439A8825" w14:textId="77777777" w:rsidTr="00822C08">
        <w:trPr>
          <w:trHeight w:val="58"/>
        </w:trPr>
        <w:tc>
          <w:tcPr>
            <w:tcW w:w="690" w:type="pct"/>
            <w:hideMark/>
          </w:tcPr>
          <w:p w14:paraId="5A3CE5A1"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hideMark/>
          </w:tcPr>
          <w:p w14:paraId="6D424A6C" w14:textId="77777777" w:rsidR="00822C08" w:rsidRPr="00822C08" w:rsidRDefault="00822C08" w:rsidP="00822C08">
            <w:pPr>
              <w:spacing w:after="0" w:line="240" w:lineRule="auto"/>
              <w:rPr>
                <w:sz w:val="20"/>
              </w:rPr>
            </w:pPr>
            <w:r w:rsidRPr="00822C08">
              <w:rPr>
                <w:sz w:val="20"/>
              </w:rPr>
              <w:t>Dissimilarity Index</w:t>
            </w:r>
          </w:p>
        </w:tc>
        <w:tc>
          <w:tcPr>
            <w:tcW w:w="888" w:type="pct"/>
            <w:hideMark/>
          </w:tcPr>
          <w:p w14:paraId="232DF185" w14:textId="77777777" w:rsidR="00822C08" w:rsidRPr="00822C08" w:rsidRDefault="00EF0C35" w:rsidP="00822C08">
            <w:pPr>
              <w:spacing w:after="0" w:line="240" w:lineRule="auto"/>
              <w:rPr>
                <w:sz w:val="20"/>
              </w:rPr>
            </w:pPr>
            <w:r>
              <w:rPr>
                <w:sz w:val="20"/>
              </w:rPr>
              <w:t>Community Development Block Grant (</w:t>
            </w:r>
            <w:r w:rsidR="00822C08" w:rsidRPr="00822C08">
              <w:rPr>
                <w:sz w:val="20"/>
              </w:rPr>
              <w:t>CDBG</w:t>
            </w:r>
            <w:r>
              <w:rPr>
                <w:sz w:val="20"/>
              </w:rPr>
              <w:t>)</w:t>
            </w:r>
            <w:r w:rsidR="00F60AD6">
              <w:rPr>
                <w:sz w:val="20"/>
              </w:rPr>
              <w:t>; Core Based Statistical Area (CBSA)</w:t>
            </w:r>
          </w:p>
        </w:tc>
        <w:tc>
          <w:tcPr>
            <w:tcW w:w="410" w:type="pct"/>
            <w:hideMark/>
          </w:tcPr>
          <w:p w14:paraId="34973E87" w14:textId="77777777" w:rsidR="00822C08" w:rsidRPr="00822C08" w:rsidRDefault="00E82A03" w:rsidP="00822C08">
            <w:pPr>
              <w:spacing w:after="0" w:line="240" w:lineRule="auto"/>
              <w:rPr>
                <w:sz w:val="20"/>
              </w:rPr>
            </w:pPr>
            <w:r>
              <w:rPr>
                <w:sz w:val="20"/>
              </w:rPr>
              <w:t>3</w:t>
            </w:r>
          </w:p>
        </w:tc>
        <w:tc>
          <w:tcPr>
            <w:tcW w:w="444" w:type="pct"/>
            <w:hideMark/>
          </w:tcPr>
          <w:p w14:paraId="29469843" w14:textId="77777777" w:rsidR="00822C08" w:rsidRPr="00822C08" w:rsidRDefault="00822C08" w:rsidP="00822C08">
            <w:pPr>
              <w:spacing w:after="0" w:line="240" w:lineRule="auto"/>
              <w:rPr>
                <w:sz w:val="20"/>
              </w:rPr>
            </w:pPr>
            <w:r w:rsidRPr="00822C08">
              <w:rPr>
                <w:sz w:val="20"/>
              </w:rPr>
              <w:t>na</w:t>
            </w:r>
          </w:p>
        </w:tc>
        <w:tc>
          <w:tcPr>
            <w:tcW w:w="1407" w:type="pct"/>
            <w:hideMark/>
          </w:tcPr>
          <w:p w14:paraId="144C064E" w14:textId="77777777" w:rsidR="00822C08" w:rsidRPr="00822C08" w:rsidRDefault="00822C08" w:rsidP="00822C08">
            <w:pPr>
              <w:spacing w:after="0" w:line="240" w:lineRule="auto"/>
              <w:rPr>
                <w:sz w:val="20"/>
              </w:rPr>
            </w:pPr>
            <w:r w:rsidRPr="00822C08">
              <w:rPr>
                <w:sz w:val="20"/>
              </w:rPr>
              <w:t>Decennial Census, 2010; Brown Longitudinal Tract Database (LTDB) based on decennial census data, 2000 &amp; 1990</w:t>
            </w:r>
          </w:p>
        </w:tc>
      </w:tr>
      <w:tr w:rsidR="00822C08" w:rsidRPr="00822C08" w14:paraId="7DB73062" w14:textId="77777777" w:rsidTr="00822C08">
        <w:trPr>
          <w:trHeight w:val="58"/>
        </w:trPr>
        <w:tc>
          <w:tcPr>
            <w:tcW w:w="690" w:type="pct"/>
            <w:shd w:val="clear" w:color="auto" w:fill="E7E8E8" w:themeFill="accent2" w:themeFillTint="33"/>
            <w:hideMark/>
          </w:tcPr>
          <w:p w14:paraId="1A65DAEC"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shd w:val="clear" w:color="auto" w:fill="E7E8E8" w:themeFill="accent2" w:themeFillTint="33"/>
            <w:hideMark/>
          </w:tcPr>
          <w:p w14:paraId="508C3D4A" w14:textId="77777777" w:rsidR="00822C08" w:rsidRPr="00822C08" w:rsidRDefault="001D3264" w:rsidP="001D3264">
            <w:pPr>
              <w:spacing w:after="0" w:line="240" w:lineRule="auto"/>
              <w:rPr>
                <w:sz w:val="20"/>
              </w:rPr>
            </w:pPr>
            <w:r>
              <w:rPr>
                <w:sz w:val="20"/>
              </w:rPr>
              <w:t xml:space="preserve">Low Poverty Index, Labor </w:t>
            </w:r>
            <w:r w:rsidR="00822C08" w:rsidRPr="00822C08">
              <w:rPr>
                <w:sz w:val="20"/>
              </w:rPr>
              <w:t>Market</w:t>
            </w:r>
            <w:r w:rsidR="000F2A21">
              <w:rPr>
                <w:sz w:val="20"/>
              </w:rPr>
              <w:t xml:space="preserve"> Engagement</w:t>
            </w:r>
            <w:r w:rsidR="00822C08" w:rsidRPr="00822C08">
              <w:rPr>
                <w:sz w:val="20"/>
              </w:rPr>
              <w:t xml:space="preserve"> Index </w:t>
            </w:r>
          </w:p>
        </w:tc>
        <w:tc>
          <w:tcPr>
            <w:tcW w:w="888" w:type="pct"/>
            <w:shd w:val="clear" w:color="auto" w:fill="E7E8E8" w:themeFill="accent2" w:themeFillTint="33"/>
            <w:hideMark/>
          </w:tcPr>
          <w:p w14:paraId="2F182A82"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4D2382E9" w14:textId="77777777" w:rsidR="00822C08" w:rsidRPr="00822C08" w:rsidRDefault="00066344" w:rsidP="00822C08">
            <w:pPr>
              <w:spacing w:after="0" w:line="240" w:lineRule="auto"/>
              <w:rPr>
                <w:sz w:val="20"/>
              </w:rPr>
            </w:pPr>
            <w:r>
              <w:rPr>
                <w:sz w:val="20"/>
              </w:rPr>
              <w:t>12</w:t>
            </w:r>
          </w:p>
        </w:tc>
        <w:tc>
          <w:tcPr>
            <w:tcW w:w="444" w:type="pct"/>
            <w:shd w:val="clear" w:color="auto" w:fill="E7E8E8" w:themeFill="accent2" w:themeFillTint="33"/>
            <w:hideMark/>
          </w:tcPr>
          <w:p w14:paraId="6661FBA2" w14:textId="77777777" w:rsidR="00822C08" w:rsidRPr="00822C08" w:rsidRDefault="00822C08" w:rsidP="00822C08">
            <w:pPr>
              <w:spacing w:after="0" w:line="240" w:lineRule="auto"/>
              <w:rPr>
                <w:sz w:val="20"/>
              </w:rPr>
            </w:pPr>
            <w:r w:rsidRPr="00822C08">
              <w:rPr>
                <w:sz w:val="20"/>
              </w:rPr>
              <w:t>11, 13</w:t>
            </w:r>
          </w:p>
        </w:tc>
        <w:tc>
          <w:tcPr>
            <w:tcW w:w="1407" w:type="pct"/>
            <w:shd w:val="clear" w:color="auto" w:fill="E7E8E8" w:themeFill="accent2" w:themeFillTint="33"/>
            <w:hideMark/>
          </w:tcPr>
          <w:p w14:paraId="57FF71A2" w14:textId="77777777" w:rsidR="00822C08" w:rsidRPr="00822C08" w:rsidRDefault="00822C08" w:rsidP="00822C08">
            <w:pPr>
              <w:spacing w:after="0" w:line="240" w:lineRule="auto"/>
              <w:rPr>
                <w:sz w:val="20"/>
              </w:rPr>
            </w:pPr>
            <w:r w:rsidRPr="00822C08">
              <w:rPr>
                <w:sz w:val="20"/>
              </w:rPr>
              <w:t xml:space="preserve">American Community Survey (ACS), 2006-2010 </w:t>
            </w:r>
          </w:p>
        </w:tc>
      </w:tr>
      <w:tr w:rsidR="00822C08" w:rsidRPr="00822C08" w14:paraId="08323A58" w14:textId="77777777" w:rsidTr="00822C08">
        <w:trPr>
          <w:trHeight w:val="58"/>
        </w:trPr>
        <w:tc>
          <w:tcPr>
            <w:tcW w:w="690" w:type="pct"/>
            <w:hideMark/>
          </w:tcPr>
          <w:p w14:paraId="77C82C50"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hideMark/>
          </w:tcPr>
          <w:p w14:paraId="5558FE0F" w14:textId="77777777" w:rsidR="00822C08" w:rsidRPr="00822C08" w:rsidRDefault="00822C08" w:rsidP="00822C08">
            <w:pPr>
              <w:spacing w:after="0" w:line="240" w:lineRule="auto"/>
              <w:rPr>
                <w:sz w:val="20"/>
              </w:rPr>
            </w:pPr>
            <w:r w:rsidRPr="00822C08">
              <w:rPr>
                <w:sz w:val="20"/>
              </w:rPr>
              <w:t>School Proficiency Index</w:t>
            </w:r>
          </w:p>
        </w:tc>
        <w:tc>
          <w:tcPr>
            <w:tcW w:w="888" w:type="pct"/>
            <w:hideMark/>
          </w:tcPr>
          <w:p w14:paraId="52176F2C" w14:textId="77777777" w:rsidR="00822C08" w:rsidRPr="00822C08" w:rsidRDefault="00822C08" w:rsidP="00822C08">
            <w:pPr>
              <w:spacing w:after="0" w:line="240" w:lineRule="auto"/>
              <w:rPr>
                <w:sz w:val="20"/>
              </w:rPr>
            </w:pPr>
            <w:r w:rsidRPr="00822C08">
              <w:rPr>
                <w:sz w:val="20"/>
              </w:rPr>
              <w:t>Block-group</w:t>
            </w:r>
          </w:p>
        </w:tc>
        <w:tc>
          <w:tcPr>
            <w:tcW w:w="410" w:type="pct"/>
            <w:hideMark/>
          </w:tcPr>
          <w:p w14:paraId="6810D023" w14:textId="77777777" w:rsidR="00822C08" w:rsidRPr="00822C08" w:rsidRDefault="00066344" w:rsidP="00822C08">
            <w:pPr>
              <w:spacing w:after="0" w:line="240" w:lineRule="auto"/>
              <w:rPr>
                <w:sz w:val="20"/>
              </w:rPr>
            </w:pPr>
            <w:r>
              <w:rPr>
                <w:sz w:val="20"/>
              </w:rPr>
              <w:t>12</w:t>
            </w:r>
          </w:p>
        </w:tc>
        <w:tc>
          <w:tcPr>
            <w:tcW w:w="444" w:type="pct"/>
            <w:hideMark/>
          </w:tcPr>
          <w:p w14:paraId="680DB0CB" w14:textId="77777777" w:rsidR="00822C08" w:rsidRPr="00822C08" w:rsidRDefault="00822C08" w:rsidP="00822C08">
            <w:pPr>
              <w:spacing w:after="0" w:line="240" w:lineRule="auto"/>
              <w:rPr>
                <w:sz w:val="20"/>
              </w:rPr>
            </w:pPr>
            <w:r w:rsidRPr="00822C08">
              <w:rPr>
                <w:sz w:val="20"/>
              </w:rPr>
              <w:t>9</w:t>
            </w:r>
          </w:p>
        </w:tc>
        <w:tc>
          <w:tcPr>
            <w:tcW w:w="1407" w:type="pct"/>
            <w:hideMark/>
          </w:tcPr>
          <w:p w14:paraId="70445308" w14:textId="77777777" w:rsidR="00822C08" w:rsidRPr="00822C08" w:rsidRDefault="00822C08" w:rsidP="00822C08">
            <w:pPr>
              <w:spacing w:after="0" w:line="240" w:lineRule="auto"/>
              <w:rPr>
                <w:sz w:val="20"/>
              </w:rPr>
            </w:pPr>
            <w:r w:rsidRPr="00822C08">
              <w:rPr>
                <w:sz w:val="20"/>
              </w:rPr>
              <w:t>Great Schools, 2012; Common Core of Data (4th grade enrollment and school addresses), 2012; School Attendance Boundary Information System (SABINS), 2012</w:t>
            </w:r>
          </w:p>
        </w:tc>
      </w:tr>
      <w:tr w:rsidR="00822C08" w:rsidRPr="00822C08" w14:paraId="42FE8E76" w14:textId="77777777" w:rsidTr="00822C08">
        <w:trPr>
          <w:trHeight w:val="58"/>
        </w:trPr>
        <w:tc>
          <w:tcPr>
            <w:tcW w:w="690" w:type="pct"/>
            <w:shd w:val="clear" w:color="auto" w:fill="E7E8E8" w:themeFill="accent2" w:themeFillTint="33"/>
            <w:hideMark/>
          </w:tcPr>
          <w:p w14:paraId="09F4ECC2"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shd w:val="clear" w:color="auto" w:fill="E7E8E8" w:themeFill="accent2" w:themeFillTint="33"/>
            <w:hideMark/>
          </w:tcPr>
          <w:p w14:paraId="142B7717" w14:textId="77777777" w:rsidR="00822C08" w:rsidRPr="00822C08" w:rsidRDefault="001D3264" w:rsidP="00822C08">
            <w:pPr>
              <w:spacing w:after="0" w:line="240" w:lineRule="auto"/>
              <w:rPr>
                <w:sz w:val="20"/>
              </w:rPr>
            </w:pPr>
            <w:r>
              <w:rPr>
                <w:sz w:val="20"/>
              </w:rPr>
              <w:t xml:space="preserve">Low </w:t>
            </w:r>
            <w:r w:rsidR="00822C08" w:rsidRPr="00822C08">
              <w:rPr>
                <w:sz w:val="20"/>
              </w:rPr>
              <w:t>Transportation Cost Index; Transit Trips Index</w:t>
            </w:r>
          </w:p>
        </w:tc>
        <w:tc>
          <w:tcPr>
            <w:tcW w:w="888" w:type="pct"/>
            <w:shd w:val="clear" w:color="auto" w:fill="E7E8E8" w:themeFill="accent2" w:themeFillTint="33"/>
            <w:hideMark/>
          </w:tcPr>
          <w:p w14:paraId="62847210"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0E18BF4F" w14:textId="77777777" w:rsidR="00822C08" w:rsidRPr="00822C08" w:rsidRDefault="00066344" w:rsidP="00822C08">
            <w:pPr>
              <w:spacing w:after="0" w:line="240" w:lineRule="auto"/>
              <w:rPr>
                <w:sz w:val="20"/>
              </w:rPr>
            </w:pPr>
            <w:r>
              <w:rPr>
                <w:sz w:val="20"/>
              </w:rPr>
              <w:t>12</w:t>
            </w:r>
          </w:p>
        </w:tc>
        <w:tc>
          <w:tcPr>
            <w:tcW w:w="444" w:type="pct"/>
            <w:shd w:val="clear" w:color="auto" w:fill="E7E8E8" w:themeFill="accent2" w:themeFillTint="33"/>
            <w:hideMark/>
          </w:tcPr>
          <w:p w14:paraId="666FF7F6" w14:textId="77777777" w:rsidR="00822C08" w:rsidRPr="00822C08" w:rsidRDefault="00822C08" w:rsidP="00822C08">
            <w:pPr>
              <w:spacing w:after="0" w:line="240" w:lineRule="auto"/>
              <w:rPr>
                <w:sz w:val="20"/>
              </w:rPr>
            </w:pPr>
            <w:r w:rsidRPr="00822C08">
              <w:rPr>
                <w:sz w:val="20"/>
              </w:rPr>
              <w:t>12</w:t>
            </w:r>
            <w:r w:rsidR="00503323">
              <w:rPr>
                <w:sz w:val="20"/>
              </w:rPr>
              <w:t>,17</w:t>
            </w:r>
          </w:p>
        </w:tc>
        <w:tc>
          <w:tcPr>
            <w:tcW w:w="1407" w:type="pct"/>
            <w:shd w:val="clear" w:color="auto" w:fill="E7E8E8" w:themeFill="accent2" w:themeFillTint="33"/>
            <w:hideMark/>
          </w:tcPr>
          <w:p w14:paraId="70889665" w14:textId="77777777" w:rsidR="00822C08" w:rsidRPr="00822C08" w:rsidRDefault="00822C08" w:rsidP="00456C73">
            <w:pPr>
              <w:spacing w:after="0" w:line="240" w:lineRule="auto"/>
              <w:rPr>
                <w:sz w:val="20"/>
              </w:rPr>
            </w:pPr>
            <w:r w:rsidRPr="00822C08">
              <w:rPr>
                <w:sz w:val="20"/>
              </w:rPr>
              <w:t xml:space="preserve">Location Affordability Index (LAI) data, </w:t>
            </w:r>
            <w:r w:rsidR="00456C73">
              <w:rPr>
                <w:sz w:val="20"/>
              </w:rPr>
              <w:t>2008-2012</w:t>
            </w:r>
          </w:p>
        </w:tc>
      </w:tr>
      <w:tr w:rsidR="00822C08" w:rsidRPr="00822C08" w14:paraId="6950B034" w14:textId="77777777" w:rsidTr="00822C08">
        <w:trPr>
          <w:trHeight w:val="58"/>
        </w:trPr>
        <w:tc>
          <w:tcPr>
            <w:tcW w:w="690" w:type="pct"/>
            <w:hideMark/>
          </w:tcPr>
          <w:p w14:paraId="3AAC22C1"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hideMark/>
          </w:tcPr>
          <w:p w14:paraId="78BE1070" w14:textId="77777777" w:rsidR="00822C08" w:rsidRPr="00822C08" w:rsidRDefault="00822C08" w:rsidP="00822C08">
            <w:pPr>
              <w:spacing w:after="0" w:line="240" w:lineRule="auto"/>
              <w:rPr>
                <w:sz w:val="20"/>
              </w:rPr>
            </w:pPr>
            <w:r w:rsidRPr="00822C08">
              <w:rPr>
                <w:sz w:val="20"/>
              </w:rPr>
              <w:t>Jobs Proximity Index</w:t>
            </w:r>
          </w:p>
        </w:tc>
        <w:tc>
          <w:tcPr>
            <w:tcW w:w="888" w:type="pct"/>
            <w:hideMark/>
          </w:tcPr>
          <w:p w14:paraId="2E89A016" w14:textId="77777777" w:rsidR="00822C08" w:rsidRPr="00822C08" w:rsidRDefault="00822C08" w:rsidP="00822C08">
            <w:pPr>
              <w:spacing w:after="0" w:line="240" w:lineRule="auto"/>
              <w:rPr>
                <w:sz w:val="20"/>
              </w:rPr>
            </w:pPr>
            <w:r w:rsidRPr="00822C08">
              <w:rPr>
                <w:sz w:val="20"/>
              </w:rPr>
              <w:t>Block-group</w:t>
            </w:r>
          </w:p>
        </w:tc>
        <w:tc>
          <w:tcPr>
            <w:tcW w:w="410" w:type="pct"/>
            <w:hideMark/>
          </w:tcPr>
          <w:p w14:paraId="70CF2828" w14:textId="77777777" w:rsidR="00822C08" w:rsidRPr="00822C08" w:rsidRDefault="00066344" w:rsidP="00822C08">
            <w:pPr>
              <w:spacing w:after="0" w:line="240" w:lineRule="auto"/>
              <w:rPr>
                <w:sz w:val="20"/>
              </w:rPr>
            </w:pPr>
            <w:r>
              <w:rPr>
                <w:sz w:val="20"/>
              </w:rPr>
              <w:t>12</w:t>
            </w:r>
          </w:p>
        </w:tc>
        <w:tc>
          <w:tcPr>
            <w:tcW w:w="444" w:type="pct"/>
            <w:hideMark/>
          </w:tcPr>
          <w:p w14:paraId="56448143" w14:textId="77777777" w:rsidR="00822C08" w:rsidRPr="00822C08" w:rsidRDefault="00822C08" w:rsidP="00822C08">
            <w:pPr>
              <w:spacing w:after="0" w:line="240" w:lineRule="auto"/>
              <w:rPr>
                <w:sz w:val="20"/>
              </w:rPr>
            </w:pPr>
            <w:r w:rsidRPr="00822C08">
              <w:rPr>
                <w:sz w:val="20"/>
              </w:rPr>
              <w:t>10</w:t>
            </w:r>
          </w:p>
        </w:tc>
        <w:tc>
          <w:tcPr>
            <w:tcW w:w="1407" w:type="pct"/>
            <w:hideMark/>
          </w:tcPr>
          <w:p w14:paraId="1D1FD590" w14:textId="77777777" w:rsidR="00822C08" w:rsidRPr="00822C08" w:rsidRDefault="00822C08" w:rsidP="00822C08">
            <w:pPr>
              <w:spacing w:after="0" w:line="240" w:lineRule="auto"/>
              <w:rPr>
                <w:sz w:val="20"/>
              </w:rPr>
            </w:pPr>
            <w:r w:rsidRPr="00822C08">
              <w:rPr>
                <w:sz w:val="20"/>
              </w:rPr>
              <w:t>Longitudinal Employer-Household Dynamics (LEHD), 2010</w:t>
            </w:r>
          </w:p>
        </w:tc>
      </w:tr>
      <w:tr w:rsidR="00822C08" w:rsidRPr="00822C08" w14:paraId="27B43B5D" w14:textId="77777777" w:rsidTr="00822C08">
        <w:trPr>
          <w:trHeight w:val="58"/>
        </w:trPr>
        <w:tc>
          <w:tcPr>
            <w:tcW w:w="690" w:type="pct"/>
            <w:shd w:val="clear" w:color="auto" w:fill="E7E8E8" w:themeFill="accent2" w:themeFillTint="33"/>
            <w:hideMark/>
          </w:tcPr>
          <w:p w14:paraId="5784B240" w14:textId="77777777" w:rsidR="00822C08" w:rsidRPr="00822C08" w:rsidRDefault="00822C08" w:rsidP="00822C08">
            <w:pPr>
              <w:spacing w:after="0" w:line="240" w:lineRule="auto"/>
              <w:rPr>
                <w:b/>
                <w:bCs/>
                <w:sz w:val="20"/>
              </w:rPr>
            </w:pPr>
            <w:r w:rsidRPr="00822C08">
              <w:rPr>
                <w:b/>
                <w:bCs/>
                <w:sz w:val="20"/>
              </w:rPr>
              <w:t xml:space="preserve">Opportunity </w:t>
            </w:r>
            <w:r w:rsidRPr="00822C08">
              <w:rPr>
                <w:b/>
                <w:bCs/>
                <w:sz w:val="20"/>
              </w:rPr>
              <w:br/>
              <w:t>Indices</w:t>
            </w:r>
          </w:p>
        </w:tc>
        <w:tc>
          <w:tcPr>
            <w:tcW w:w="1161" w:type="pct"/>
            <w:shd w:val="clear" w:color="auto" w:fill="E7E8E8" w:themeFill="accent2" w:themeFillTint="33"/>
            <w:hideMark/>
          </w:tcPr>
          <w:p w14:paraId="18B728A7" w14:textId="77777777" w:rsidR="00822C08" w:rsidRPr="00822C08" w:rsidRDefault="00822C08" w:rsidP="001D3264">
            <w:pPr>
              <w:spacing w:after="0" w:line="240" w:lineRule="auto"/>
              <w:rPr>
                <w:sz w:val="20"/>
              </w:rPr>
            </w:pPr>
            <w:r w:rsidRPr="00822C08">
              <w:rPr>
                <w:sz w:val="20"/>
              </w:rPr>
              <w:t>Environmental Health Index</w:t>
            </w:r>
          </w:p>
        </w:tc>
        <w:tc>
          <w:tcPr>
            <w:tcW w:w="888" w:type="pct"/>
            <w:shd w:val="clear" w:color="auto" w:fill="E7E8E8" w:themeFill="accent2" w:themeFillTint="33"/>
            <w:hideMark/>
          </w:tcPr>
          <w:p w14:paraId="459F5B9F" w14:textId="77777777" w:rsidR="00822C08" w:rsidRPr="00822C08" w:rsidRDefault="00822C08" w:rsidP="00822C08">
            <w:pPr>
              <w:spacing w:after="0" w:line="240" w:lineRule="auto"/>
              <w:rPr>
                <w:sz w:val="20"/>
              </w:rPr>
            </w:pPr>
            <w:r w:rsidRPr="00822C08">
              <w:rPr>
                <w:sz w:val="20"/>
              </w:rPr>
              <w:t>Tract</w:t>
            </w:r>
          </w:p>
        </w:tc>
        <w:tc>
          <w:tcPr>
            <w:tcW w:w="410" w:type="pct"/>
            <w:shd w:val="clear" w:color="auto" w:fill="E7E8E8" w:themeFill="accent2" w:themeFillTint="33"/>
            <w:hideMark/>
          </w:tcPr>
          <w:p w14:paraId="0D8AAB25" w14:textId="77777777" w:rsidR="00822C08" w:rsidRPr="00822C08" w:rsidRDefault="00066344" w:rsidP="00822C08">
            <w:pPr>
              <w:spacing w:after="0" w:line="240" w:lineRule="auto"/>
              <w:rPr>
                <w:sz w:val="20"/>
              </w:rPr>
            </w:pPr>
            <w:r>
              <w:rPr>
                <w:sz w:val="20"/>
              </w:rPr>
              <w:t>12</w:t>
            </w:r>
          </w:p>
        </w:tc>
        <w:tc>
          <w:tcPr>
            <w:tcW w:w="444" w:type="pct"/>
            <w:shd w:val="clear" w:color="auto" w:fill="E7E8E8" w:themeFill="accent2" w:themeFillTint="33"/>
            <w:hideMark/>
          </w:tcPr>
          <w:p w14:paraId="1BD46FC1" w14:textId="77777777" w:rsidR="00822C08" w:rsidRPr="00822C08" w:rsidRDefault="00822C08" w:rsidP="00822C08">
            <w:pPr>
              <w:spacing w:after="0" w:line="240" w:lineRule="auto"/>
              <w:rPr>
                <w:sz w:val="20"/>
              </w:rPr>
            </w:pPr>
            <w:r w:rsidRPr="00822C08">
              <w:rPr>
                <w:sz w:val="20"/>
              </w:rPr>
              <w:t>14</w:t>
            </w:r>
          </w:p>
        </w:tc>
        <w:tc>
          <w:tcPr>
            <w:tcW w:w="1407" w:type="pct"/>
            <w:shd w:val="clear" w:color="auto" w:fill="E7E8E8" w:themeFill="accent2" w:themeFillTint="33"/>
            <w:hideMark/>
          </w:tcPr>
          <w:p w14:paraId="3FCFF344" w14:textId="77777777" w:rsidR="00822C08" w:rsidRPr="00822C08" w:rsidRDefault="00822C08" w:rsidP="00822C08">
            <w:pPr>
              <w:spacing w:after="0" w:line="240" w:lineRule="auto"/>
              <w:rPr>
                <w:sz w:val="20"/>
              </w:rPr>
            </w:pPr>
            <w:r w:rsidRPr="00822C08">
              <w:rPr>
                <w:sz w:val="20"/>
              </w:rPr>
              <w:t>National Air Toxics Assessment (NATA) data, 2005</w:t>
            </w:r>
          </w:p>
        </w:tc>
      </w:tr>
    </w:tbl>
    <w:p w14:paraId="48563973" w14:textId="77777777" w:rsidR="00822C08" w:rsidRDefault="00822C08" w:rsidP="00822C08">
      <w:pPr>
        <w:sectPr w:rsidR="00822C08" w:rsidSect="00822C08">
          <w:headerReference w:type="default" r:id="rId13"/>
          <w:footerReference w:type="default" r:id="rId14"/>
          <w:pgSz w:w="15840" w:h="12240" w:orient="landscape" w:code="1"/>
          <w:pgMar w:top="1800" w:right="1440" w:bottom="1440" w:left="1440" w:header="1080" w:footer="720" w:gutter="0"/>
          <w:cols w:space="720"/>
          <w:docGrid w:linePitch="299"/>
        </w:sectPr>
      </w:pPr>
    </w:p>
    <w:p w14:paraId="2EE6C260" w14:textId="77777777" w:rsidR="00453FE3" w:rsidRDefault="00E07B76" w:rsidP="00A253B8">
      <w:pPr>
        <w:pStyle w:val="Caption"/>
      </w:pPr>
      <w:bookmarkStart w:id="4" w:name="_Toc416855887"/>
      <w:r>
        <w:lastRenderedPageBreak/>
        <w:t>III.</w:t>
      </w:r>
      <w:r>
        <w:tab/>
      </w:r>
      <w:r w:rsidR="00AF1986">
        <w:t>Levels of Geography and Weights</w:t>
      </w:r>
      <w:bookmarkEnd w:id="4"/>
    </w:p>
    <w:p w14:paraId="65BBAF4B" w14:textId="77777777" w:rsidR="00D03AA2" w:rsidRDefault="00CD0AC9" w:rsidP="00D03AA2">
      <w:pPr>
        <w:pStyle w:val="BodyText"/>
      </w:pPr>
      <w:r>
        <w:t xml:space="preserve">The AFFH Tool includes data for all U.S. states, the District of Columbia, and Puerto Rico. </w:t>
      </w:r>
      <w:r w:rsidR="00AF1986">
        <w:t xml:space="preserve">Users may access data through the </w:t>
      </w:r>
      <w:r w:rsidR="00D03AA2">
        <w:t xml:space="preserve">AFFH </w:t>
      </w:r>
      <w:r w:rsidR="00AF1986">
        <w:t xml:space="preserve">Tool </w:t>
      </w:r>
      <w:r w:rsidR="00D03AA2">
        <w:t xml:space="preserve">at various </w:t>
      </w:r>
      <w:r>
        <w:t>spatial scales, including geo-boundaries of</w:t>
      </w:r>
      <w:r w:rsidR="008E27B0">
        <w:t xml:space="preserve"> Census tracts,</w:t>
      </w:r>
      <w:r>
        <w:t xml:space="preserve"> the Community Development Block Grant (CDBG) and the Cor</w:t>
      </w:r>
      <w:r w:rsidR="008E27B0">
        <w:t>e-based Statistical Area (CBSA)</w:t>
      </w:r>
      <w:r>
        <w:t>.</w:t>
      </w:r>
      <w:r w:rsidR="00D03AA2">
        <w:t xml:space="preserve"> As </w:t>
      </w:r>
      <w:r w:rsidR="008E27B0">
        <w:t>shown</w:t>
      </w:r>
      <w:r w:rsidR="00D03AA2">
        <w:t xml:space="preserve"> in </w:t>
      </w:r>
      <w:r w:rsidR="00A253B8">
        <w:t>Table</w:t>
      </w:r>
      <w:r w:rsidR="00D03AA2">
        <w:t xml:space="preserve"> 1, </w:t>
      </w:r>
      <w:r w:rsidR="00980CAB">
        <w:t xml:space="preserve">most data in the AFFH Tool are at the </w:t>
      </w:r>
      <w:r w:rsidR="008E27B0">
        <w:t>C</w:t>
      </w:r>
      <w:r w:rsidR="00D03AA2">
        <w:t xml:space="preserve">ensus tract or block-group levels. The </w:t>
      </w:r>
      <w:r w:rsidR="0063768B">
        <w:t>selection of a spatial scale</w:t>
      </w:r>
      <w:r w:rsidR="00D03AA2">
        <w:t xml:space="preserve"> </w:t>
      </w:r>
      <w:r w:rsidR="00980CAB">
        <w:t xml:space="preserve">to use as the </w:t>
      </w:r>
      <w:r w:rsidR="008E27B0">
        <w:t xml:space="preserve">initial </w:t>
      </w:r>
      <w:r w:rsidR="00980CAB">
        <w:t xml:space="preserve">basis for each data element </w:t>
      </w:r>
      <w:r w:rsidR="00D03AA2">
        <w:t xml:space="preserve">is </w:t>
      </w:r>
      <w:r w:rsidR="0063768B">
        <w:t xml:space="preserve">primarily </w:t>
      </w:r>
      <w:r w:rsidR="00D03AA2">
        <w:t>based on the</w:t>
      </w:r>
      <w:r>
        <w:t xml:space="preserve"> lowest</w:t>
      </w:r>
      <w:r w:rsidR="00D03AA2">
        <w:t xml:space="preserve"> level </w:t>
      </w:r>
      <w:r w:rsidR="00980CAB">
        <w:t xml:space="preserve">in </w:t>
      </w:r>
      <w:r w:rsidR="00D03AA2">
        <w:t xml:space="preserve">which HUD has faith in its accuracy. For example, </w:t>
      </w:r>
      <w:r w:rsidR="008E27B0">
        <w:t xml:space="preserve">data elements constructed from </w:t>
      </w:r>
      <w:r w:rsidR="00D03AA2">
        <w:t xml:space="preserve">the American Community Survey (ACS) data </w:t>
      </w:r>
      <w:r w:rsidR="008E27B0">
        <w:t>are based on</w:t>
      </w:r>
      <w:r w:rsidR="0063768B">
        <w:t xml:space="preserve"> C</w:t>
      </w:r>
      <w:r w:rsidR="00D03AA2">
        <w:t xml:space="preserve">ensus tract </w:t>
      </w:r>
      <w:r w:rsidR="008E27B0">
        <w:t>estimates rather than block-group estimates due to</w:t>
      </w:r>
      <w:r w:rsidR="00D03AA2">
        <w:t xml:space="preserve"> concerns </w:t>
      </w:r>
      <w:r w:rsidR="008E27B0">
        <w:t>about</w:t>
      </w:r>
      <w:r w:rsidR="00D03AA2">
        <w:t xml:space="preserve"> sampling error</w:t>
      </w:r>
      <w:r w:rsidR="0063768B">
        <w:t>s</w:t>
      </w:r>
      <w:r w:rsidR="00D03AA2">
        <w:t xml:space="preserve">. </w:t>
      </w:r>
    </w:p>
    <w:p w14:paraId="6C40C8F4" w14:textId="77777777" w:rsidR="00D03AA2" w:rsidRDefault="0063768B" w:rsidP="00D03AA2">
      <w:pPr>
        <w:pStyle w:val="BodyText"/>
      </w:pPr>
      <w:r>
        <w:t>Data displayed in the</w:t>
      </w:r>
      <w:r w:rsidR="008E27B0">
        <w:t xml:space="preserve"> AFFH</w:t>
      </w:r>
      <w:r>
        <w:t xml:space="preserve"> Tool map views</w:t>
      </w:r>
      <w:r w:rsidR="00D03AA2">
        <w:t xml:space="preserve"> are at the</w:t>
      </w:r>
      <w:r>
        <w:t xml:space="preserve"> Census</w:t>
      </w:r>
      <w:r w:rsidR="00D03AA2">
        <w:t xml:space="preserve"> tract level. Data displayed in the </w:t>
      </w:r>
      <w:r>
        <w:t xml:space="preserve">report </w:t>
      </w:r>
      <w:r w:rsidR="00D03AA2">
        <w:t>tables are aggregated from smaller geographic units</w:t>
      </w:r>
      <w:r>
        <w:t xml:space="preserve"> (i.e. either the Census tract or block-group level)</w:t>
      </w:r>
      <w:r w:rsidR="00D03AA2">
        <w:t xml:space="preserve"> to the </w:t>
      </w:r>
      <w:r>
        <w:t>CDBG</w:t>
      </w:r>
      <w:r w:rsidR="00A23838">
        <w:rPr>
          <w:rStyle w:val="FootnoteReference"/>
        </w:rPr>
        <w:footnoteReference w:id="1"/>
      </w:r>
      <w:r w:rsidR="00D03AA2">
        <w:t xml:space="preserve"> and </w:t>
      </w:r>
      <w:r>
        <w:t>CBSA</w:t>
      </w:r>
      <w:r w:rsidR="00822D7F">
        <w:t xml:space="preserve"> levels</w:t>
      </w:r>
      <w:r w:rsidR="00D03AA2">
        <w:t xml:space="preserve">. </w:t>
      </w:r>
      <w:r w:rsidR="008E27B0">
        <w:t>As shown in Table 1, the AFF</w:t>
      </w:r>
      <w:r w:rsidR="00785D63">
        <w:t>H</w:t>
      </w:r>
      <w:r w:rsidR="008E27B0">
        <w:t xml:space="preserve"> data are from multiple</w:t>
      </w:r>
      <w:r w:rsidR="00D03AA2">
        <w:t xml:space="preserve"> sources </w:t>
      </w:r>
      <w:r w:rsidR="008E27B0">
        <w:t xml:space="preserve">in </w:t>
      </w:r>
      <w:r>
        <w:t>various</w:t>
      </w:r>
      <w:r w:rsidR="00D03AA2">
        <w:t xml:space="preserve"> years</w:t>
      </w:r>
      <w:r w:rsidR="008E27B0">
        <w:t>.</w:t>
      </w:r>
      <w:r w:rsidR="00D03AA2">
        <w:t xml:space="preserve"> </w:t>
      </w:r>
      <w:r w:rsidR="008E27B0">
        <w:t>I</w:t>
      </w:r>
      <w:r w:rsidR="00D03AA2">
        <w:t xml:space="preserve">n order to compile them into </w:t>
      </w:r>
      <w:r>
        <w:t>one</w:t>
      </w:r>
      <w:r w:rsidR="00D03AA2">
        <w:t xml:space="preserve"> mapping tool</w:t>
      </w:r>
      <w:r>
        <w:t xml:space="preserve"> database</w:t>
      </w:r>
      <w:r w:rsidR="00D03AA2">
        <w:t xml:space="preserve">, data </w:t>
      </w:r>
      <w:r>
        <w:t xml:space="preserve">issued or released at different years </w:t>
      </w:r>
      <w:r w:rsidR="00D03AA2">
        <w:t xml:space="preserve">need to be adjusted to the same year. </w:t>
      </w:r>
      <w:r>
        <w:t>The C</w:t>
      </w:r>
      <w:r w:rsidR="00D03AA2">
        <w:t>ensus tra</w:t>
      </w:r>
      <w:r w:rsidR="00656414">
        <w:t>ct</w:t>
      </w:r>
      <w:r w:rsidR="00822D7F">
        <w:t xml:space="preserve"> and block-group boundaries</w:t>
      </w:r>
      <w:r w:rsidR="00014353">
        <w:t xml:space="preserve"> </w:t>
      </w:r>
      <w:r w:rsidR="001D67C4">
        <w:t xml:space="preserve">in the AFFH Tool are based on those </w:t>
      </w:r>
      <w:r w:rsidR="00AA7201">
        <w:t xml:space="preserve">released </w:t>
      </w:r>
      <w:r w:rsidR="001D67C4">
        <w:t xml:space="preserve">by Census </w:t>
      </w:r>
      <w:r w:rsidR="00AA7201">
        <w:t>in 2010</w:t>
      </w:r>
      <w:r w:rsidR="001D67C4">
        <w:t>. The Tool</w:t>
      </w:r>
      <w:r w:rsidR="00F56BB3">
        <w:t xml:space="preserve"> </w:t>
      </w:r>
      <w:r w:rsidR="00F56BB3" w:rsidRPr="001D67C4">
        <w:t>incorporat</w:t>
      </w:r>
      <w:r w:rsidR="001D67C4">
        <w:t>es</w:t>
      </w:r>
      <w:r w:rsidR="00F56BB3" w:rsidRPr="001D67C4">
        <w:t xml:space="preserve"> minor changes indicated in </w:t>
      </w:r>
      <w:r w:rsidR="00656414">
        <w:t xml:space="preserve">the </w:t>
      </w:r>
      <w:r w:rsidR="003F76F8">
        <w:t>ACS</w:t>
      </w:r>
      <w:r w:rsidR="001D67C4" w:rsidRPr="001D67C4">
        <w:t xml:space="preserve"> “</w:t>
      </w:r>
      <w:r w:rsidR="003F76F8">
        <w:t>Geography Release Notes</w:t>
      </w:r>
      <w:r w:rsidR="001D67C4">
        <w:t>”</w:t>
      </w:r>
      <w:r w:rsidR="00F56BB3" w:rsidRPr="001D67C4">
        <w:t xml:space="preserve"> for 2011 and 2</w:t>
      </w:r>
      <w:r w:rsidR="008E27B0" w:rsidRPr="001D67C4">
        <w:t>012</w:t>
      </w:r>
      <w:r w:rsidR="003F76F8">
        <w:t xml:space="preserve"> on the Census Bureau website</w:t>
      </w:r>
      <w:r w:rsidR="003F76F8">
        <w:rPr>
          <w:rStyle w:val="FootnoteReference"/>
        </w:rPr>
        <w:footnoteReference w:id="2"/>
      </w:r>
      <w:r w:rsidR="001D67C4">
        <w:t xml:space="preserve">, resulting in </w:t>
      </w:r>
      <w:r w:rsidR="00656414">
        <w:t xml:space="preserve">boundaries and corresponding data </w:t>
      </w:r>
      <w:r w:rsidR="001D67C4" w:rsidRPr="001D67C4">
        <w:t xml:space="preserve">adjusted to </w:t>
      </w:r>
      <w:r w:rsidR="00AA7201">
        <w:t xml:space="preserve">calendar year 2012. </w:t>
      </w:r>
      <w:r w:rsidR="00822D7F">
        <w:t xml:space="preserve">The CDBG boundaries are based on </w:t>
      </w:r>
      <w:r w:rsidR="007133DD">
        <w:t xml:space="preserve">political jurisdiction boundaries for calendar </w:t>
      </w:r>
      <w:r w:rsidR="00822D7F">
        <w:t>year 2011</w:t>
      </w:r>
      <w:r w:rsidR="00656414">
        <w:t>. T</w:t>
      </w:r>
      <w:r w:rsidR="00980CAB">
        <w:t xml:space="preserve">he </w:t>
      </w:r>
      <w:r w:rsidR="00822D7F">
        <w:t xml:space="preserve">CBSA boundaries are based on </w:t>
      </w:r>
      <w:r w:rsidR="007133DD">
        <w:t xml:space="preserve">OMB 2013 definitions. </w:t>
      </w:r>
    </w:p>
    <w:p w14:paraId="0C6A2A63" w14:textId="77777777" w:rsidR="00453FE3" w:rsidRDefault="00980CAB" w:rsidP="00D03AA2">
      <w:pPr>
        <w:pStyle w:val="BodyText"/>
      </w:pPr>
      <w:r>
        <w:t xml:space="preserve">The </w:t>
      </w:r>
      <w:r w:rsidR="00D03AA2">
        <w:t>CDBG</w:t>
      </w:r>
      <w:r w:rsidR="007B2E94">
        <w:t xml:space="preserve"> level</w:t>
      </w:r>
      <w:r>
        <w:t xml:space="preserve"> reflect</w:t>
      </w:r>
      <w:r w:rsidR="007B2E94">
        <w:t>s</w:t>
      </w:r>
      <w:r>
        <w:t xml:space="preserve"> the geographical boundaries for grantees that receive direct allocations of CDBG funds from HUD. </w:t>
      </w:r>
      <w:r w:rsidR="007B2E94">
        <w:t>CDBGs</w:t>
      </w:r>
      <w:r>
        <w:t xml:space="preserve"> are not </w:t>
      </w:r>
      <w:r w:rsidR="00881313">
        <w:t>census-designated areas</w:t>
      </w:r>
      <w:r w:rsidR="007B2E94">
        <w:t xml:space="preserve">, </w:t>
      </w:r>
      <w:r w:rsidR="00656414">
        <w:t>which means that</w:t>
      </w:r>
      <w:r w:rsidR="00D03AA2">
        <w:t xml:space="preserve"> </w:t>
      </w:r>
      <w:r w:rsidR="00881313">
        <w:t>CDBG</w:t>
      </w:r>
      <w:r w:rsidR="00D03AA2">
        <w:t xml:space="preserve"> jurisdictional boundaries do not fall consistently along </w:t>
      </w:r>
      <w:r w:rsidR="00656414">
        <w:t>C</w:t>
      </w:r>
      <w:r w:rsidR="00D03AA2">
        <w:t xml:space="preserve">ensus tracts or block-groups. A series of </w:t>
      </w:r>
      <w:r>
        <w:t xml:space="preserve">technical </w:t>
      </w:r>
      <w:r w:rsidR="00D03AA2">
        <w:t>procedures were necessary to construct a crosswalk between census-designated areas and CDBGs</w:t>
      </w:r>
      <w:r>
        <w:t xml:space="preserve">. </w:t>
      </w:r>
      <w:r w:rsidR="001F3566">
        <w:t xml:space="preserve">Census </w:t>
      </w:r>
      <w:r w:rsidR="00656414">
        <w:t xml:space="preserve">geographic identifiers </w:t>
      </w:r>
      <w:r w:rsidR="00961038">
        <w:t>at the summary level 070 (state-county-county subdivision-place/remainder) and summary level 080 (state-county-county subdivision-place/remainder-census tract)</w:t>
      </w:r>
      <w:r w:rsidR="00656414">
        <w:t xml:space="preserve"> were matched to HUD CDGB geographic identifiers.</w:t>
      </w:r>
    </w:p>
    <w:p w14:paraId="5FE8C140" w14:textId="77777777" w:rsidR="009177FB" w:rsidRPr="009177FB" w:rsidRDefault="009177FB" w:rsidP="00D03AA2">
      <w:pPr>
        <w:pStyle w:val="BodyText"/>
        <w:rPr>
          <w:i/>
        </w:rPr>
      </w:pPr>
      <w:r w:rsidRPr="009177FB">
        <w:rPr>
          <w:i/>
        </w:rPr>
        <w:t>Weights</w:t>
      </w:r>
    </w:p>
    <w:p w14:paraId="7F4A914F" w14:textId="77777777" w:rsidR="00FA16C5" w:rsidRPr="00124268" w:rsidRDefault="00961038" w:rsidP="00D03AA2">
      <w:pPr>
        <w:pStyle w:val="BodyText"/>
      </w:pPr>
      <w:r>
        <w:t xml:space="preserve">At the boundaries of CDBG jurisdictions, some Census tracts </w:t>
      </w:r>
      <w:r w:rsidR="009177FB">
        <w:t>fell partially within the jurisdiction and partially outside of the jurisdiction</w:t>
      </w:r>
      <w:r>
        <w:t xml:space="preserve">. </w:t>
      </w:r>
      <w:r w:rsidR="009177FB">
        <w:t xml:space="preserve">Data from these tracts were weighted by the share of the population within the CDBG boundary to approximate including only the portion of those tracts within the CDBG in aggregate figures reported at the CDBG level.  </w:t>
      </w:r>
      <w:r w:rsidR="000A4C96">
        <w:t xml:space="preserve">In contrast, block groups were simply assigned to the CDBG that contained its centroid. </w:t>
      </w:r>
    </w:p>
    <w:p w14:paraId="6AB57477" w14:textId="77777777" w:rsidR="00D03AA2" w:rsidRPr="00D03AA2" w:rsidRDefault="00E07B76" w:rsidP="00A253B8">
      <w:pPr>
        <w:pStyle w:val="Caption"/>
      </w:pPr>
      <w:bookmarkStart w:id="5" w:name="_Toc416855888"/>
      <w:r>
        <w:t>IV.</w:t>
      </w:r>
      <w:r>
        <w:tab/>
      </w:r>
      <w:r>
        <w:tab/>
      </w:r>
      <w:r w:rsidR="00D03AA2" w:rsidRPr="00D03AA2">
        <w:t>Race/Ethnicity</w:t>
      </w:r>
      <w:bookmarkEnd w:id="5"/>
    </w:p>
    <w:p w14:paraId="4E41E14E" w14:textId="7CAE2B7C" w:rsidR="00BB13BC" w:rsidRDefault="00B5155A" w:rsidP="00D03AA2">
      <w:pPr>
        <w:pStyle w:val="BodyText"/>
        <w:rPr>
          <w:szCs w:val="22"/>
        </w:rPr>
      </w:pPr>
      <w:r>
        <w:rPr>
          <w:szCs w:val="22"/>
        </w:rPr>
        <w:t>Among other factors, t</w:t>
      </w:r>
      <w:r w:rsidR="00D03AA2" w:rsidRPr="00D03AA2">
        <w:rPr>
          <w:szCs w:val="22"/>
        </w:rPr>
        <w:t>he Fair Housing Act prohibits housing discrimination based on race. HUD offers information on both r</w:t>
      </w:r>
      <w:r w:rsidR="00AA7201">
        <w:rPr>
          <w:szCs w:val="22"/>
        </w:rPr>
        <w:t xml:space="preserve">ace and ethnicity. </w:t>
      </w:r>
      <w:r w:rsidR="00D03AA2" w:rsidRPr="00D03AA2">
        <w:rPr>
          <w:szCs w:val="22"/>
        </w:rPr>
        <w:t xml:space="preserve">HUD </w:t>
      </w:r>
      <w:r w:rsidR="00FE113E">
        <w:rPr>
          <w:szCs w:val="22"/>
        </w:rPr>
        <w:t xml:space="preserve">provides data </w:t>
      </w:r>
      <w:r>
        <w:rPr>
          <w:szCs w:val="22"/>
        </w:rPr>
        <w:t xml:space="preserve">for </w:t>
      </w:r>
      <w:r w:rsidR="00D03AA2" w:rsidRPr="00D03AA2">
        <w:rPr>
          <w:szCs w:val="22"/>
        </w:rPr>
        <w:t>non-Hispanic white</w:t>
      </w:r>
      <w:r w:rsidR="00FE113E">
        <w:rPr>
          <w:szCs w:val="22"/>
        </w:rPr>
        <w:t>s</w:t>
      </w:r>
      <w:r w:rsidR="00D03AA2" w:rsidRPr="00D03AA2">
        <w:rPr>
          <w:szCs w:val="22"/>
        </w:rPr>
        <w:t xml:space="preserve">, </w:t>
      </w:r>
      <w:r w:rsidR="00D03AA2" w:rsidRPr="00D03AA2">
        <w:rPr>
          <w:szCs w:val="22"/>
        </w:rPr>
        <w:lastRenderedPageBreak/>
        <w:t xml:space="preserve">considering Hispanics of any race as a separate race/ethnic category that can experience housing discrimination differently than other groups. </w:t>
      </w:r>
      <w:r>
        <w:rPr>
          <w:szCs w:val="22"/>
        </w:rPr>
        <w:t xml:space="preserve">Similarly, the data provided for the </w:t>
      </w:r>
      <w:r w:rsidR="00D03AA2" w:rsidRPr="00D03AA2">
        <w:rPr>
          <w:szCs w:val="22"/>
        </w:rPr>
        <w:t xml:space="preserve">other race groups </w:t>
      </w:r>
      <w:r w:rsidR="00EF0C35">
        <w:rPr>
          <w:szCs w:val="22"/>
        </w:rPr>
        <w:t xml:space="preserve">– </w:t>
      </w:r>
      <w:r w:rsidR="00D03AA2" w:rsidRPr="00D03AA2">
        <w:rPr>
          <w:szCs w:val="22"/>
        </w:rPr>
        <w:t>black, Asian and Pacific Islander, Native American, and other</w:t>
      </w:r>
      <w:r>
        <w:rPr>
          <w:szCs w:val="22"/>
        </w:rPr>
        <w:t xml:space="preserve"> – also exclude information for people who </w:t>
      </w:r>
      <w:r w:rsidRPr="00D03AA2">
        <w:rPr>
          <w:szCs w:val="22"/>
        </w:rPr>
        <w:t>identify as having Hispanic ethnicity</w:t>
      </w:r>
      <w:r w:rsidR="00BB13BC">
        <w:rPr>
          <w:szCs w:val="22"/>
        </w:rPr>
        <w:t>.</w:t>
      </w:r>
      <w:r w:rsidR="005B1EE0">
        <w:rPr>
          <w:szCs w:val="22"/>
        </w:rPr>
        <w:t xml:space="preserve"> Other race/ethnicity data are discussed in </w:t>
      </w:r>
      <w:r w:rsidR="002879E1">
        <w:rPr>
          <w:szCs w:val="22"/>
        </w:rPr>
        <w:t xml:space="preserve">sections IX and XI. </w:t>
      </w:r>
    </w:p>
    <w:p w14:paraId="506D52A3" w14:textId="77777777" w:rsidR="00D03AA2" w:rsidRPr="00D03AA2" w:rsidRDefault="00D03AA2" w:rsidP="00054B4D">
      <w:pPr>
        <w:pStyle w:val="BodyText"/>
        <w:spacing w:after="0"/>
        <w:rPr>
          <w:szCs w:val="22"/>
        </w:rPr>
      </w:pPr>
      <w:r w:rsidRPr="00D03AA2">
        <w:rPr>
          <w:szCs w:val="22"/>
          <w:u w:val="single"/>
        </w:rPr>
        <w:t>Data Source</w:t>
      </w:r>
      <w:r w:rsidRPr="00D03AA2">
        <w:rPr>
          <w:szCs w:val="22"/>
        </w:rPr>
        <w:t>: American Community Survey (ACS) 2006-2010; Decennial Census, 2010</w:t>
      </w:r>
      <w:r w:rsidR="00465235">
        <w:rPr>
          <w:szCs w:val="22"/>
        </w:rPr>
        <w:t>;</w:t>
      </w:r>
      <w:r w:rsidR="00465235" w:rsidRPr="00465235">
        <w:rPr>
          <w:sz w:val="20"/>
        </w:rPr>
        <w:t xml:space="preserve"> </w:t>
      </w:r>
      <w:r w:rsidR="00465235" w:rsidRPr="00951237">
        <w:rPr>
          <w:szCs w:val="22"/>
        </w:rPr>
        <w:t>Brown Longitudinal Tract Database (LTDB) based on decennial census data, 2000 &amp; 1990</w:t>
      </w:r>
    </w:p>
    <w:p w14:paraId="0D08273C" w14:textId="77777777" w:rsidR="00D03AA2" w:rsidRDefault="00D03AA2" w:rsidP="00D03AA2">
      <w:pPr>
        <w:pStyle w:val="BodyText"/>
        <w:rPr>
          <w:szCs w:val="22"/>
        </w:rPr>
      </w:pPr>
      <w:r w:rsidRPr="00D03AA2">
        <w:rPr>
          <w:szCs w:val="22"/>
          <w:u w:val="single"/>
        </w:rPr>
        <w:t>Related Template Tables/Maps</w:t>
      </w:r>
      <w:r w:rsidRPr="00D03AA2">
        <w:rPr>
          <w:szCs w:val="22"/>
        </w:rPr>
        <w:t xml:space="preserve">: Table 1, 2, </w:t>
      </w:r>
      <w:r w:rsidR="00893538">
        <w:rPr>
          <w:szCs w:val="22"/>
        </w:rPr>
        <w:t>4</w:t>
      </w:r>
      <w:r w:rsidRPr="00D03AA2">
        <w:rPr>
          <w:szCs w:val="22"/>
        </w:rPr>
        <w:t>; Map 1, 2, 5-7, 9-14</w:t>
      </w:r>
    </w:p>
    <w:p w14:paraId="0CD5F17B" w14:textId="77777777" w:rsidR="00AF0900" w:rsidRPr="00D03AA2" w:rsidRDefault="00AF0900" w:rsidP="00D03AA2">
      <w:pPr>
        <w:pStyle w:val="BodyText"/>
        <w:rPr>
          <w:szCs w:val="22"/>
        </w:rPr>
      </w:pPr>
    </w:p>
    <w:p w14:paraId="069DB682" w14:textId="77777777" w:rsidR="00D03AA2" w:rsidRDefault="00E07B76" w:rsidP="00A253B8">
      <w:pPr>
        <w:pStyle w:val="Caption"/>
      </w:pPr>
      <w:bookmarkStart w:id="6" w:name="_Toc416855889"/>
      <w:r>
        <w:t>V.</w:t>
      </w:r>
      <w:r>
        <w:tab/>
      </w:r>
      <w:r>
        <w:tab/>
      </w:r>
      <w:r w:rsidR="00D03AA2" w:rsidRPr="00D03AA2">
        <w:t>National Origin and Limited English Proficiency (LEP)</w:t>
      </w:r>
      <w:bookmarkEnd w:id="6"/>
    </w:p>
    <w:p w14:paraId="6B6F3CE4" w14:textId="519BA959" w:rsidR="00D03AA2" w:rsidRPr="00D03AA2" w:rsidRDefault="00D03AA2" w:rsidP="00D03AA2">
      <w:pPr>
        <w:pStyle w:val="BodyText"/>
      </w:pPr>
      <w:r w:rsidRPr="00D03AA2">
        <w:t xml:space="preserve">The Fair Housing Act </w:t>
      </w:r>
      <w:r w:rsidR="00B5155A">
        <w:t xml:space="preserve">also </w:t>
      </w:r>
      <w:r w:rsidRPr="00D03AA2">
        <w:t xml:space="preserve">prohibits housing discrimination based on national origin. </w:t>
      </w:r>
      <w:r w:rsidR="00B5155A">
        <w:t xml:space="preserve">The AFFH </w:t>
      </w:r>
      <w:r w:rsidR="00BB13BC">
        <w:t>T</w:t>
      </w:r>
      <w:r w:rsidR="00B5155A">
        <w:t xml:space="preserve">ool provides data for </w:t>
      </w:r>
      <w:r w:rsidRPr="00D03AA2">
        <w:t xml:space="preserve">four indicators of national origin. The first two are the </w:t>
      </w:r>
      <w:r w:rsidR="00795059">
        <w:t xml:space="preserve">10 </w:t>
      </w:r>
      <w:r w:rsidR="00D84C96">
        <w:t>most common</w:t>
      </w:r>
      <w:r w:rsidRPr="00D03AA2">
        <w:t xml:space="preserve"> places of birth of the foreign-born population by jurisdiction and region and the number and percentage of the population that is foreign-born.  </w:t>
      </w:r>
      <w:r w:rsidR="00BB13BC">
        <w:t xml:space="preserve">The second two indicators are </w:t>
      </w:r>
      <w:r w:rsidRPr="00D03AA2">
        <w:t>the ten</w:t>
      </w:r>
      <w:r w:rsidR="00D84C96">
        <w:t xml:space="preserve"> most common</w:t>
      </w:r>
      <w:r w:rsidRPr="00D03AA2">
        <w:t xml:space="preserve"> languages spoken at home (for the population age 5 years and over) for those who speak English “less than ‘very well,’” and the number and percentage of the population who speak English “less than very well.”</w:t>
      </w:r>
    </w:p>
    <w:p w14:paraId="257FE25A" w14:textId="77777777" w:rsidR="00D03AA2" w:rsidRPr="00D03AA2" w:rsidRDefault="00D03AA2" w:rsidP="00D03AA2">
      <w:pPr>
        <w:pStyle w:val="BodyText"/>
      </w:pPr>
      <w:r w:rsidRPr="00D03AA2">
        <w:t>Data on national origin and LEP originate from the 2006-2010 American Community Survey</w:t>
      </w:r>
      <w:r w:rsidR="00465235">
        <w:t xml:space="preserve"> and </w:t>
      </w:r>
      <w:r w:rsidR="00465235" w:rsidRPr="00B20761">
        <w:t xml:space="preserve">Brown Longitudinal Tract Database (LTDB) based </w:t>
      </w:r>
      <w:r w:rsidR="00B20761" w:rsidRPr="00B20761">
        <w:t>on decennial census data, 2000 and</w:t>
      </w:r>
      <w:r w:rsidR="00465235" w:rsidRPr="00B20761">
        <w:t xml:space="preserve"> 1990</w:t>
      </w:r>
      <w:r w:rsidRPr="00D03AA2">
        <w:t>. Counts of each place of birth by tract were aggregated to the jurisdiction and regional level separately. Within these geographies, the counts for places of birth were ranked and the ten most populous groups were determined and are presented.</w:t>
      </w:r>
    </w:p>
    <w:p w14:paraId="361B6359" w14:textId="34FB5CC8" w:rsidR="00D03AA2" w:rsidRPr="00D03AA2" w:rsidRDefault="00D03AA2" w:rsidP="00D03AA2">
      <w:pPr>
        <w:pStyle w:val="BodyText"/>
      </w:pPr>
      <w:r w:rsidRPr="00D03AA2">
        <w:t xml:space="preserve">The </w:t>
      </w:r>
      <w:r w:rsidR="00795059">
        <w:t xml:space="preserve">10 </w:t>
      </w:r>
      <w:r w:rsidR="00910A7B">
        <w:t>most common p</w:t>
      </w:r>
      <w:r w:rsidRPr="00D03AA2">
        <w:t>laces of birth and LEP languages are displayed in the Template Tables, while the five</w:t>
      </w:r>
      <w:r w:rsidR="00910A7B">
        <w:t xml:space="preserve"> most common</w:t>
      </w:r>
      <w:r w:rsidRPr="00D03AA2">
        <w:t xml:space="preserve"> are displayed in the Template Maps. HUD limits the number of categories for the maps in order to better visualize the most significant groups. </w:t>
      </w:r>
      <w:r w:rsidR="00370FCF">
        <w:t xml:space="preserve">National origin and LEP data were missing for Puerto Rico. </w:t>
      </w:r>
    </w:p>
    <w:p w14:paraId="53BF2034" w14:textId="77777777" w:rsidR="00D03AA2" w:rsidRPr="00D03AA2" w:rsidRDefault="00D03AA2" w:rsidP="00054B4D">
      <w:pPr>
        <w:pStyle w:val="BodyText"/>
        <w:spacing w:after="0"/>
      </w:pPr>
      <w:r w:rsidRPr="00D03AA2">
        <w:rPr>
          <w:u w:val="single"/>
        </w:rPr>
        <w:t>Data Source</w:t>
      </w:r>
      <w:r w:rsidRPr="00D03AA2">
        <w:t xml:space="preserve">: American Community Survey (ACS) 2006-2010; </w:t>
      </w:r>
      <w:r w:rsidR="00465235" w:rsidRPr="00951237">
        <w:rPr>
          <w:szCs w:val="22"/>
        </w:rPr>
        <w:t>Brown Longitudinal Tract Database (LTDB) based on decennial census data, 2000 &amp; 1990.</w:t>
      </w:r>
    </w:p>
    <w:p w14:paraId="664340AE" w14:textId="77777777" w:rsidR="00D03AA2" w:rsidRDefault="00D03AA2" w:rsidP="00D03AA2">
      <w:pPr>
        <w:pStyle w:val="BodyText"/>
      </w:pPr>
      <w:r w:rsidRPr="00D03AA2">
        <w:rPr>
          <w:u w:val="single"/>
        </w:rPr>
        <w:t>Related Template Tables/Maps</w:t>
      </w:r>
      <w:r w:rsidRPr="00D03AA2">
        <w:t xml:space="preserve">: Table 1, 2,  </w:t>
      </w:r>
      <w:r w:rsidR="001E2F3B">
        <w:t>4</w:t>
      </w:r>
      <w:r w:rsidRPr="00D03AA2">
        <w:t>; Map 3, 4, 8, 9-14</w:t>
      </w:r>
    </w:p>
    <w:p w14:paraId="3D155297" w14:textId="77777777" w:rsidR="00AF0900" w:rsidRPr="00D03AA2" w:rsidRDefault="00AF0900" w:rsidP="00D03AA2">
      <w:pPr>
        <w:pStyle w:val="BodyText"/>
      </w:pPr>
    </w:p>
    <w:p w14:paraId="760E3C99" w14:textId="77777777" w:rsidR="00D03AA2" w:rsidRDefault="00E07B76" w:rsidP="00A253B8">
      <w:pPr>
        <w:pStyle w:val="Caption"/>
      </w:pPr>
      <w:bookmarkStart w:id="7" w:name="_Toc416855890"/>
      <w:r>
        <w:t>VI.</w:t>
      </w:r>
      <w:r>
        <w:tab/>
      </w:r>
      <w:r>
        <w:tab/>
      </w:r>
      <w:r w:rsidR="00D03AA2" w:rsidRPr="00D03AA2">
        <w:t xml:space="preserve">Disability </w:t>
      </w:r>
      <w:r w:rsidR="001A1B4B">
        <w:t xml:space="preserve">Status and </w:t>
      </w:r>
      <w:r w:rsidR="00D03AA2" w:rsidRPr="00D03AA2">
        <w:t>Type</w:t>
      </w:r>
      <w:bookmarkEnd w:id="7"/>
    </w:p>
    <w:p w14:paraId="1B37C04E" w14:textId="2A233881" w:rsidR="00EF78F8" w:rsidRDefault="00D03AA2" w:rsidP="00E07B76">
      <w:pPr>
        <w:pStyle w:val="BodyText"/>
      </w:pPr>
      <w:r w:rsidRPr="00E07B76">
        <w:t xml:space="preserve">The Fair Housing Act prohibits housing discrimination of any person based on </w:t>
      </w:r>
      <w:r w:rsidR="00910A7B">
        <w:t>disability</w:t>
      </w:r>
      <w:r w:rsidRPr="00E07B76">
        <w:t xml:space="preserve">. </w:t>
      </w:r>
      <w:r w:rsidR="00B5155A">
        <w:t xml:space="preserve">The AFFH Tool provides </w:t>
      </w:r>
      <w:r w:rsidR="005B1EE0">
        <w:t xml:space="preserve">information on disability type, </w:t>
      </w:r>
      <w:r w:rsidR="00B5155A">
        <w:t xml:space="preserve">disability status by age group, </w:t>
      </w:r>
      <w:r w:rsidRPr="00E07B76">
        <w:t xml:space="preserve">and </w:t>
      </w:r>
      <w:r w:rsidR="00EF78F8">
        <w:t>disability status</w:t>
      </w:r>
      <w:r w:rsidRPr="00E07B76">
        <w:t xml:space="preserve"> by housing type. </w:t>
      </w:r>
      <w:r w:rsidR="00EF78F8">
        <w:t>The disability type and disability status by age group</w:t>
      </w:r>
      <w:r w:rsidR="00163FA4">
        <w:t xml:space="preserve"> measures</w:t>
      </w:r>
      <w:r w:rsidR="00EF78F8">
        <w:t xml:space="preserve"> </w:t>
      </w:r>
      <w:r w:rsidR="00163FA4">
        <w:t>are</w:t>
      </w:r>
      <w:r w:rsidR="00EF78F8">
        <w:t xml:space="preserve"> from the ACS, while the measure of people with disabilities by housing type is from the PIC/TRACS data</w:t>
      </w:r>
      <w:r w:rsidR="005B1EE0">
        <w:t xml:space="preserve"> (see section IX)</w:t>
      </w:r>
      <w:r w:rsidR="00EF78F8">
        <w:t xml:space="preserve">. The definition of “disability” used by the Census Bureau may not be comparable to reporting requirements under HUD programs. </w:t>
      </w:r>
    </w:p>
    <w:p w14:paraId="44D93A97" w14:textId="77777777" w:rsidR="00D03AA2" w:rsidRPr="00A253B8" w:rsidRDefault="00D03AA2" w:rsidP="00B04889">
      <w:pPr>
        <w:pStyle w:val="BodyText"/>
      </w:pPr>
      <w:r w:rsidRPr="00E07B76">
        <w:t xml:space="preserve">The disability </w:t>
      </w:r>
      <w:r w:rsidR="00BB13BC">
        <w:t xml:space="preserve">type </w:t>
      </w:r>
      <w:r w:rsidRPr="00E07B76">
        <w:t xml:space="preserve">categories are: hearing difficulty, vision difficulty, cognitive difficulty, ambulatory difficulty, self-care difficulty, and independent living difficulty. These </w:t>
      </w:r>
      <w:r w:rsidR="00B04889">
        <w:t xml:space="preserve">categories </w:t>
      </w:r>
      <w:r w:rsidRPr="00E07B76">
        <w:t xml:space="preserve">are based on a </w:t>
      </w:r>
      <w:r w:rsidR="00791C58">
        <w:t>new</w:t>
      </w:r>
      <w:r w:rsidRPr="00E07B76">
        <w:t xml:space="preserve"> set of disability questions introduced into the ACS in 2008</w:t>
      </w:r>
      <w:r w:rsidR="00B04889">
        <w:t xml:space="preserve"> and are not comparable to disability type</w:t>
      </w:r>
      <w:r w:rsidR="00B913F0">
        <w:t xml:space="preserve"> figures in prior years</w:t>
      </w:r>
      <w:r w:rsidRPr="00E07B76">
        <w:t xml:space="preserve">. </w:t>
      </w:r>
    </w:p>
    <w:p w14:paraId="5CA98CEB" w14:textId="77777777" w:rsidR="00054B4D" w:rsidRDefault="00054B4D" w:rsidP="00054B4D">
      <w:pPr>
        <w:spacing w:after="0"/>
      </w:pPr>
      <w:r w:rsidRPr="00DB10D2">
        <w:rPr>
          <w:u w:val="single"/>
        </w:rPr>
        <w:lastRenderedPageBreak/>
        <w:t>Data Source</w:t>
      </w:r>
      <w:r>
        <w:t xml:space="preserve">: </w:t>
      </w:r>
      <w:r w:rsidR="00EF78F8">
        <w:t>American Com</w:t>
      </w:r>
      <w:r w:rsidR="005B1EE0">
        <w:t>munity Survey (ACS), 2008-2012</w:t>
      </w:r>
      <w:r w:rsidR="006448B1">
        <w:t>;</w:t>
      </w:r>
      <w:r w:rsidR="006448B1" w:rsidRPr="006448B1">
        <w:rPr>
          <w:sz w:val="20"/>
        </w:rPr>
        <w:t xml:space="preserve"> </w:t>
      </w:r>
      <w:r w:rsidR="006448B1" w:rsidRPr="00951237">
        <w:rPr>
          <w:szCs w:val="22"/>
        </w:rPr>
        <w:t>Inventory Management System (IMS)/ PIH Information Center (PIC), 2013; Tenant Rental Assistance Certification System (TRACS), 2013</w:t>
      </w:r>
    </w:p>
    <w:p w14:paraId="6F8FF9F2" w14:textId="77777777" w:rsidR="00054B4D" w:rsidRDefault="00054B4D" w:rsidP="00054B4D">
      <w:r w:rsidRPr="00DB10D2">
        <w:rPr>
          <w:u w:val="single"/>
        </w:rPr>
        <w:t>Related Template Tables/Maps</w:t>
      </w:r>
      <w:r w:rsidR="005B1EE0">
        <w:t xml:space="preserve">: Table 1, </w:t>
      </w:r>
      <w:r w:rsidR="001E2F3B">
        <w:t>13</w:t>
      </w:r>
      <w:r w:rsidR="005B1EE0">
        <w:t xml:space="preserve">, </w:t>
      </w:r>
      <w:r w:rsidR="001E2F3B">
        <w:t>14</w:t>
      </w:r>
      <w:r>
        <w:t xml:space="preserve">; Map </w:t>
      </w:r>
      <w:r w:rsidR="001A1B4B">
        <w:t>15, 16</w:t>
      </w:r>
    </w:p>
    <w:p w14:paraId="0174AC4F" w14:textId="77777777" w:rsidR="00D03AA2" w:rsidRPr="00D03AA2" w:rsidRDefault="00E07B76" w:rsidP="00A253B8">
      <w:pPr>
        <w:pStyle w:val="Caption"/>
      </w:pPr>
      <w:bookmarkStart w:id="8" w:name="_Toc416855891"/>
      <w:r>
        <w:t>VII.</w:t>
      </w:r>
      <w:r>
        <w:tab/>
      </w:r>
      <w:r w:rsidR="00054B4D" w:rsidRPr="00054B4D">
        <w:t xml:space="preserve">Sex </w:t>
      </w:r>
      <w:bookmarkEnd w:id="8"/>
    </w:p>
    <w:p w14:paraId="7402FBAF" w14:textId="77777777" w:rsidR="00054B4D" w:rsidRPr="00E07B76" w:rsidRDefault="00054B4D" w:rsidP="00E07B76">
      <w:pPr>
        <w:pStyle w:val="BodyText"/>
      </w:pPr>
      <w:r w:rsidRPr="00E07B76">
        <w:t xml:space="preserve">The Fair Housing Act prohibits housing discrimination of any person based on sex. </w:t>
      </w:r>
      <w:r w:rsidR="00045B75">
        <w:t xml:space="preserve">The AFFH Tool </w:t>
      </w:r>
      <w:r w:rsidRPr="00E07B76">
        <w:t>provides i</w:t>
      </w:r>
      <w:r w:rsidR="008D1149">
        <w:t>n</w:t>
      </w:r>
      <w:r w:rsidR="003E0185">
        <w:t xml:space="preserve">formation on male/female status. </w:t>
      </w:r>
    </w:p>
    <w:p w14:paraId="317E5021" w14:textId="77777777" w:rsidR="00054B4D" w:rsidRPr="00054B4D" w:rsidRDefault="00054B4D" w:rsidP="00054B4D">
      <w:pPr>
        <w:pStyle w:val="BodyText"/>
        <w:spacing w:after="0"/>
      </w:pPr>
      <w:r w:rsidRPr="00054B4D">
        <w:rPr>
          <w:u w:val="single"/>
        </w:rPr>
        <w:t>Data Source</w:t>
      </w:r>
      <w:r w:rsidRPr="00054B4D">
        <w:t>: Decennial Census, 2010</w:t>
      </w:r>
      <w:r w:rsidR="00A2778A">
        <w:t>;</w:t>
      </w:r>
      <w:r w:rsidR="00A2778A" w:rsidRPr="00A2778A">
        <w:rPr>
          <w:szCs w:val="22"/>
        </w:rPr>
        <w:t xml:space="preserve"> </w:t>
      </w:r>
      <w:r w:rsidR="00A2778A" w:rsidRPr="00393B44">
        <w:rPr>
          <w:szCs w:val="22"/>
        </w:rPr>
        <w:t>Brown Longitudinal Tract Database (LTDB) based on decennial census data, 2000 &amp; 1990</w:t>
      </w:r>
    </w:p>
    <w:p w14:paraId="55D4C20D" w14:textId="77777777" w:rsidR="00054B4D" w:rsidRDefault="00054B4D" w:rsidP="00054B4D">
      <w:pPr>
        <w:pStyle w:val="BodyText"/>
      </w:pPr>
      <w:r w:rsidRPr="00054B4D">
        <w:rPr>
          <w:u w:val="single"/>
        </w:rPr>
        <w:t>Related Template Tables/Maps</w:t>
      </w:r>
      <w:r w:rsidR="005B1EE0">
        <w:t>: Table 1, 2</w:t>
      </w:r>
    </w:p>
    <w:p w14:paraId="5E25522D" w14:textId="77777777" w:rsidR="00AF0900" w:rsidRPr="00054B4D" w:rsidRDefault="00AF0900" w:rsidP="00054B4D">
      <w:pPr>
        <w:pStyle w:val="BodyText"/>
      </w:pPr>
    </w:p>
    <w:p w14:paraId="58CE5FF0" w14:textId="77777777" w:rsidR="00054B4D" w:rsidRDefault="00E07B76" w:rsidP="00A253B8">
      <w:pPr>
        <w:pStyle w:val="Caption"/>
      </w:pPr>
      <w:bookmarkStart w:id="9" w:name="_Toc416855892"/>
      <w:r>
        <w:t>VIII.</w:t>
      </w:r>
      <w:r>
        <w:tab/>
      </w:r>
      <w:r w:rsidR="00054B4D" w:rsidRPr="00054B4D">
        <w:t>Families with Children</w:t>
      </w:r>
      <w:bookmarkEnd w:id="9"/>
      <w:r w:rsidR="002601F0">
        <w:t xml:space="preserve"> and Age</w:t>
      </w:r>
    </w:p>
    <w:p w14:paraId="004360FE" w14:textId="77777777" w:rsidR="00054B4D" w:rsidRPr="00054B4D" w:rsidRDefault="00054B4D" w:rsidP="00054B4D">
      <w:pPr>
        <w:pStyle w:val="BodyText"/>
      </w:pPr>
      <w:r w:rsidRPr="00054B4D">
        <w:t xml:space="preserve">The Fair Housing Act prohibits housing discrimination of any person based on familial status. </w:t>
      </w:r>
      <w:r w:rsidR="00045B75">
        <w:t xml:space="preserve">The AFFH Tool </w:t>
      </w:r>
      <w:r w:rsidR="00356197">
        <w:t xml:space="preserve">provides information on </w:t>
      </w:r>
      <w:r w:rsidRPr="00054B4D">
        <w:t xml:space="preserve">families with children. Specifically, familial status is measured as the number and percentage of all families (with two or more related people in the household) that are families with children under age 18. </w:t>
      </w:r>
      <w:r w:rsidR="002601F0">
        <w:t xml:space="preserve">The Tool also provides data on </w:t>
      </w:r>
      <w:r w:rsidR="002601F0" w:rsidRPr="00E07B76">
        <w:t>age group (under 18, 18-64, and 65+).</w:t>
      </w:r>
    </w:p>
    <w:p w14:paraId="33ECABD8" w14:textId="77777777" w:rsidR="00054B4D" w:rsidRPr="00054B4D" w:rsidRDefault="00054B4D" w:rsidP="00054B4D">
      <w:pPr>
        <w:pStyle w:val="BodyText"/>
        <w:spacing w:after="0"/>
      </w:pPr>
      <w:r w:rsidRPr="00054B4D">
        <w:rPr>
          <w:u w:val="single"/>
        </w:rPr>
        <w:t>Data Source</w:t>
      </w:r>
      <w:r w:rsidRPr="00054B4D">
        <w:t>: Decennial Census, 2010</w:t>
      </w:r>
      <w:r w:rsidR="00A2778A">
        <w:t>;</w:t>
      </w:r>
      <w:r w:rsidR="00A2778A" w:rsidRPr="00A2778A">
        <w:rPr>
          <w:szCs w:val="22"/>
        </w:rPr>
        <w:t xml:space="preserve"> </w:t>
      </w:r>
      <w:r w:rsidR="00A2778A" w:rsidRPr="00393B44">
        <w:rPr>
          <w:szCs w:val="22"/>
        </w:rPr>
        <w:t>Brown Longitudinal Tract Database (LTDB) based on decennial census data, 2000 &amp; 1990</w:t>
      </w:r>
    </w:p>
    <w:p w14:paraId="19894075" w14:textId="77777777" w:rsidR="00054B4D" w:rsidRDefault="00054B4D" w:rsidP="00054B4D">
      <w:pPr>
        <w:pStyle w:val="BodyText"/>
      </w:pPr>
      <w:r w:rsidRPr="00054B4D">
        <w:rPr>
          <w:u w:val="single"/>
        </w:rPr>
        <w:t>Related Template Tables/Maps</w:t>
      </w:r>
      <w:r w:rsidRPr="00054B4D">
        <w:t xml:space="preserve">: Table 1, 2, </w:t>
      </w:r>
      <w:r w:rsidR="001E2F3B">
        <w:t>4</w:t>
      </w:r>
      <w:r w:rsidRPr="00054B4D">
        <w:t>; Map 9-14</w:t>
      </w:r>
    </w:p>
    <w:p w14:paraId="417A9934" w14:textId="77777777" w:rsidR="00AF0900" w:rsidRPr="00054B4D" w:rsidRDefault="00AF0900" w:rsidP="00054B4D">
      <w:pPr>
        <w:pStyle w:val="BodyText"/>
      </w:pPr>
    </w:p>
    <w:p w14:paraId="17542B6C" w14:textId="243B6A28" w:rsidR="00054B4D" w:rsidRPr="00054B4D" w:rsidRDefault="00E07B76" w:rsidP="00A253B8">
      <w:pPr>
        <w:pStyle w:val="Caption"/>
      </w:pPr>
      <w:bookmarkStart w:id="10" w:name="_Toc416855893"/>
      <w:r>
        <w:t>IX.</w:t>
      </w:r>
      <w:r>
        <w:tab/>
      </w:r>
      <w:r>
        <w:tab/>
      </w:r>
      <w:r w:rsidR="00E34766">
        <w:t xml:space="preserve">Households in </w:t>
      </w:r>
      <w:r w:rsidR="00910A7B">
        <w:t xml:space="preserve">Publicly Supported </w:t>
      </w:r>
      <w:r w:rsidR="00E34766">
        <w:t xml:space="preserve">Housing </w:t>
      </w:r>
      <w:bookmarkEnd w:id="10"/>
    </w:p>
    <w:p w14:paraId="1312854F" w14:textId="5C5D401F" w:rsidR="00126913" w:rsidRDefault="0048113B" w:rsidP="00054B4D">
      <w:pPr>
        <w:pStyle w:val="BodyText"/>
      </w:pPr>
      <w:r>
        <w:t>The AFFH Tool</w:t>
      </w:r>
      <w:r w:rsidR="00054B4D" w:rsidRPr="00054B4D">
        <w:t xml:space="preserve"> </w:t>
      </w:r>
      <w:r w:rsidR="00356197">
        <w:t>provides</w:t>
      </w:r>
      <w:r w:rsidR="00054B4D" w:rsidRPr="00054B4D">
        <w:t xml:space="preserve"> data on </w:t>
      </w:r>
      <w:r w:rsidR="00E34766">
        <w:t>households within the</w:t>
      </w:r>
      <w:r w:rsidR="00054B4D" w:rsidRPr="00054B4D">
        <w:t xml:space="preserve"> following housing </w:t>
      </w:r>
      <w:r w:rsidR="00E34766">
        <w:t>categories</w:t>
      </w:r>
      <w:r w:rsidR="00054B4D" w:rsidRPr="00054B4D">
        <w:t xml:space="preserve">: Public Housing, </w:t>
      </w:r>
      <w:r w:rsidR="00D94099">
        <w:t xml:space="preserve">Section 8 </w:t>
      </w:r>
      <w:r w:rsidR="00054B4D" w:rsidRPr="00054B4D">
        <w:t xml:space="preserve">Project-based </w:t>
      </w:r>
      <w:r w:rsidR="00D94099">
        <w:t>Rental Assistance (PBRA)</w:t>
      </w:r>
      <w:r w:rsidR="00126913">
        <w:t>, o</w:t>
      </w:r>
      <w:r w:rsidR="00054B4D" w:rsidRPr="00054B4D">
        <w:t xml:space="preserve">ther </w:t>
      </w:r>
      <w:r w:rsidR="00126913">
        <w:t>assisted h</w:t>
      </w:r>
      <w:r w:rsidR="008A7355">
        <w:t xml:space="preserve">ousing </w:t>
      </w:r>
      <w:r w:rsidR="00126913">
        <w:t>m</w:t>
      </w:r>
      <w:r w:rsidR="00054B4D" w:rsidRPr="00054B4D">
        <w:t>ultifamily</w:t>
      </w:r>
      <w:r w:rsidR="00126913">
        <w:t xml:space="preserve"> p</w:t>
      </w:r>
      <w:r w:rsidR="008A7355">
        <w:t>roperties</w:t>
      </w:r>
      <w:r w:rsidR="00054B4D" w:rsidRPr="00054B4D">
        <w:t xml:space="preserve">, </w:t>
      </w:r>
      <w:r w:rsidR="006C4210">
        <w:t xml:space="preserve">Section 8 </w:t>
      </w:r>
      <w:r w:rsidR="00054B4D" w:rsidRPr="00054B4D">
        <w:t xml:space="preserve">Housing Choice Voucher (HCV) Program, and Low-Income Housing Tax Credit (LIHTC). </w:t>
      </w:r>
      <w:r w:rsidR="00356197">
        <w:t>The “</w:t>
      </w:r>
      <w:r w:rsidR="003D0FE4">
        <w:t>O</w:t>
      </w:r>
      <w:r w:rsidR="00356197" w:rsidRPr="00054B4D">
        <w:t xml:space="preserve">ther </w:t>
      </w:r>
      <w:r w:rsidR="00910A7B">
        <w:t>HUD</w:t>
      </w:r>
      <w:r w:rsidR="00356197">
        <w:t xml:space="preserve"> </w:t>
      </w:r>
      <w:r w:rsidR="003D0FE4">
        <w:t>M</w:t>
      </w:r>
      <w:r w:rsidR="00356197" w:rsidRPr="00054B4D">
        <w:t>ultifamily</w:t>
      </w:r>
      <w:r w:rsidR="00356197">
        <w:t>” properties include properties funded through the Supportive Housing for the Elderly (Section 202), Supportive Housing for Persons with Disabilities (Section 811), Rental Housing Assistance (Section 236), Rent Supplement (Rent Supp), Rental Assistance Payment (RAP), and Below Market Interest Rates (BMIR) programs.</w:t>
      </w:r>
    </w:p>
    <w:p w14:paraId="4890EE95" w14:textId="77777777" w:rsidR="006B0873" w:rsidRDefault="00986F92" w:rsidP="00054B4D">
      <w:pPr>
        <w:pStyle w:val="BodyText"/>
      </w:pPr>
      <w:r>
        <w:t>The sources for d</w:t>
      </w:r>
      <w:r w:rsidR="006B0873">
        <w:t xml:space="preserve">ata on </w:t>
      </w:r>
      <w:r>
        <w:t xml:space="preserve">households in these </w:t>
      </w:r>
      <w:r w:rsidR="006B0873">
        <w:t xml:space="preserve">housing types </w:t>
      </w:r>
      <w:r>
        <w:t>are</w:t>
      </w:r>
      <w:r w:rsidR="006B0873">
        <w:t>:</w:t>
      </w:r>
    </w:p>
    <w:p w14:paraId="7B1D9D85" w14:textId="77777777" w:rsidR="006B0873" w:rsidRDefault="006B0873" w:rsidP="00126913">
      <w:pPr>
        <w:pStyle w:val="BodyText"/>
        <w:numPr>
          <w:ilvl w:val="0"/>
          <w:numId w:val="12"/>
        </w:numPr>
      </w:pPr>
      <w:r>
        <w:t>HCV: census tract</w:t>
      </w:r>
      <w:r w:rsidR="006C4210">
        <w:t>-</w:t>
      </w:r>
      <w:r>
        <w:t>level data extract from the Family Report Form HUD-50058 (PIC)</w:t>
      </w:r>
    </w:p>
    <w:p w14:paraId="3A30FDE3" w14:textId="77777777" w:rsidR="006B0873" w:rsidRDefault="00D94099" w:rsidP="00126913">
      <w:pPr>
        <w:pStyle w:val="BodyText"/>
        <w:numPr>
          <w:ilvl w:val="0"/>
          <w:numId w:val="12"/>
        </w:numPr>
      </w:pPr>
      <w:r>
        <w:t xml:space="preserve">Public Housing: </w:t>
      </w:r>
      <w:r w:rsidR="00986F92">
        <w:t>development</w:t>
      </w:r>
      <w:r w:rsidR="006C4210">
        <w:t>-</w:t>
      </w:r>
      <w:r>
        <w:t>level data extract from the Family Report Form HUD-50058 (PIC)</w:t>
      </w:r>
    </w:p>
    <w:p w14:paraId="0488D000" w14:textId="77777777" w:rsidR="00D94099" w:rsidRDefault="00414507" w:rsidP="00126913">
      <w:pPr>
        <w:pStyle w:val="BodyText"/>
        <w:numPr>
          <w:ilvl w:val="0"/>
          <w:numId w:val="12"/>
        </w:numPr>
      </w:pPr>
      <w:r>
        <w:t>PBRA and other m</w:t>
      </w:r>
      <w:r w:rsidR="00126913">
        <w:t xml:space="preserve">ultifamily properties: </w:t>
      </w:r>
      <w:r w:rsidR="00986F92">
        <w:t>development</w:t>
      </w:r>
      <w:r w:rsidR="006C4210">
        <w:t>-</w:t>
      </w:r>
      <w:r w:rsidR="00126913">
        <w:t>level data extract from HUD-50059 (TRACS)</w:t>
      </w:r>
    </w:p>
    <w:p w14:paraId="0FA03E02" w14:textId="77777777" w:rsidR="00414507" w:rsidRDefault="00414507" w:rsidP="00126913">
      <w:pPr>
        <w:pStyle w:val="BodyText"/>
        <w:numPr>
          <w:ilvl w:val="0"/>
          <w:numId w:val="12"/>
        </w:numPr>
      </w:pPr>
      <w:r>
        <w:t xml:space="preserve">LIHTC: </w:t>
      </w:r>
      <w:r w:rsidRPr="00054B4D">
        <w:t>National Low-Income Housing Tax Credit (LIHTC) Database</w:t>
      </w:r>
    </w:p>
    <w:p w14:paraId="11779A70" w14:textId="77777777" w:rsidR="00054B4D" w:rsidRDefault="008A7355" w:rsidP="00054B4D">
      <w:pPr>
        <w:pStyle w:val="BodyText"/>
      </w:pPr>
      <w:r>
        <w:t xml:space="preserve">The Tool reports </w:t>
      </w:r>
      <w:r w:rsidR="002F6A91">
        <w:t xml:space="preserve">data </w:t>
      </w:r>
      <w:r w:rsidR="00986F92">
        <w:t>by</w:t>
      </w:r>
      <w:r w:rsidR="002F6A91">
        <w:t xml:space="preserve"> housing type</w:t>
      </w:r>
      <w:r>
        <w:t xml:space="preserve"> differently depending on the </w:t>
      </w:r>
      <w:r w:rsidR="00986F92">
        <w:t xml:space="preserve">report </w:t>
      </w:r>
      <w:r>
        <w:t>table</w:t>
      </w:r>
      <w:r w:rsidR="002F6A91">
        <w:t>. These details are outlined below:</w:t>
      </w:r>
      <w:r w:rsidR="006B0873">
        <w:t xml:space="preserve"> </w:t>
      </w:r>
    </w:p>
    <w:p w14:paraId="346C67A5" w14:textId="20849BDD" w:rsidR="000F6F96" w:rsidRDefault="000F6F96" w:rsidP="000F6F96">
      <w:r>
        <w:lastRenderedPageBreak/>
        <w:t xml:space="preserve">Tables </w:t>
      </w:r>
      <w:r w:rsidR="001E2F3B">
        <w:t>5</w:t>
      </w:r>
      <w:r w:rsidR="00B1427A">
        <w:t xml:space="preserve">, </w:t>
      </w:r>
      <w:r w:rsidR="001E2F3B">
        <w:t>6</w:t>
      </w:r>
      <w:r>
        <w:t xml:space="preserve">, </w:t>
      </w:r>
      <w:r w:rsidR="001E2F3B">
        <w:t>11</w:t>
      </w:r>
      <w:r>
        <w:t xml:space="preserve">, and </w:t>
      </w:r>
      <w:r w:rsidR="001E2F3B">
        <w:t>15</w:t>
      </w:r>
      <w:r>
        <w:t xml:space="preserve"> </w:t>
      </w:r>
      <w:r w:rsidR="00405AF1">
        <w:t>present</w:t>
      </w:r>
      <w:r>
        <w:t xml:space="preserve"> data on</w:t>
      </w:r>
      <w:r w:rsidR="00B1427A">
        <w:t xml:space="preserve"> households in</w:t>
      </w:r>
      <w:r>
        <w:t xml:space="preserve"> Public Housing, </w:t>
      </w:r>
      <w:r w:rsidR="006C4210">
        <w:t>PBRA,</w:t>
      </w:r>
      <w:r>
        <w:t xml:space="preserve"> </w:t>
      </w:r>
      <w:r w:rsidR="006C4210">
        <w:t xml:space="preserve">other </w:t>
      </w:r>
      <w:r w:rsidR="00910A7B">
        <w:t>publicly supported</w:t>
      </w:r>
      <w:r w:rsidR="006C4210">
        <w:t xml:space="preserve"> housing m</w:t>
      </w:r>
      <w:r>
        <w:t xml:space="preserve">ultifamily </w:t>
      </w:r>
      <w:r w:rsidR="006C4210">
        <w:t>p</w:t>
      </w:r>
      <w:r>
        <w:t>roperties</w:t>
      </w:r>
      <w:r w:rsidR="006C4210">
        <w:t>, and HCV</w:t>
      </w:r>
      <w:r>
        <w:t xml:space="preserve">. Data on </w:t>
      </w:r>
      <w:r w:rsidR="00B1427A">
        <w:t>developments</w:t>
      </w:r>
      <w:r>
        <w:t xml:space="preserve"> with fewer than 11 households reported or with fewer than 50 percent </w:t>
      </w:r>
      <w:r w:rsidR="00540918">
        <w:t>of occupied units</w:t>
      </w:r>
      <w:r>
        <w:t xml:space="preserve"> reported at the</w:t>
      </w:r>
      <w:r w:rsidR="000A2BA2">
        <w:t xml:space="preserve"> CDBG</w:t>
      </w:r>
      <w:r>
        <w:t xml:space="preserve"> and</w:t>
      </w:r>
      <w:r w:rsidR="00021596">
        <w:t xml:space="preserve"> CBSA</w:t>
      </w:r>
      <w:r>
        <w:t xml:space="preserve"> aggregations were </w:t>
      </w:r>
      <w:r w:rsidR="00540918">
        <w:t>omitted</w:t>
      </w:r>
      <w:r>
        <w:t xml:space="preserve"> to </w:t>
      </w:r>
      <w:r w:rsidR="008A7355">
        <w:t>ensure</w:t>
      </w:r>
      <w:r>
        <w:t xml:space="preserve"> confidentiality.</w:t>
      </w:r>
    </w:p>
    <w:p w14:paraId="3DD0FE2E" w14:textId="1A5C1FDD" w:rsidR="00B1427A" w:rsidRDefault="00B1427A" w:rsidP="00B1427A">
      <w:r>
        <w:t xml:space="preserve">Table </w:t>
      </w:r>
      <w:r w:rsidR="001E2F3B">
        <w:t>5</w:t>
      </w:r>
      <w:r>
        <w:t xml:space="preserve"> presents the total </w:t>
      </w:r>
      <w:r w:rsidR="001D0755">
        <w:t xml:space="preserve">number of </w:t>
      </w:r>
      <w:r>
        <w:t xml:space="preserve">units in housing </w:t>
      </w:r>
      <w:r w:rsidR="00910A7B">
        <w:t>publicly supported</w:t>
      </w:r>
      <w:r>
        <w:t xml:space="preserve"> programs and their share of the total number of housing units within CDBG</w:t>
      </w:r>
      <w:r w:rsidR="001D0755">
        <w:t xml:space="preserve"> jurisdictions</w:t>
      </w:r>
      <w:r>
        <w:t xml:space="preserve">. The denominator used in Table </w:t>
      </w:r>
      <w:r w:rsidR="001E2F3B">
        <w:t>5</w:t>
      </w:r>
      <w:r>
        <w:t xml:space="preserve"> is the total number of housing units in the 2010 census block-group aggregated at the CDBG level. </w:t>
      </w:r>
    </w:p>
    <w:p w14:paraId="15B4115E" w14:textId="218A464B" w:rsidR="00B1427A" w:rsidRDefault="00B1427A" w:rsidP="00B1427A">
      <w:r>
        <w:t xml:space="preserve">Table </w:t>
      </w:r>
      <w:r w:rsidR="001E2F3B">
        <w:t>6</w:t>
      </w:r>
      <w:r>
        <w:t xml:space="preserve"> presents data on the race and ethnicity of households in housing </w:t>
      </w:r>
      <w:r w:rsidR="00910A7B">
        <w:t>publicly supported</w:t>
      </w:r>
      <w:r>
        <w:t xml:space="preserve"> programs.</w:t>
      </w:r>
      <w:r w:rsidR="005B1EE0">
        <w:t xml:space="preserve"> The race/ethnicity categories are non-Hispanic white, non-Hispanic black, Hispanic, and non-Hispanic Asian or Pacific Islander. Information on the </w:t>
      </w:r>
      <w:r w:rsidR="001D0755">
        <w:t xml:space="preserve">race and ethnicity of </w:t>
      </w:r>
      <w:r w:rsidR="005B1EE0">
        <w:t xml:space="preserve">households </w:t>
      </w:r>
      <w:r w:rsidR="001D0755">
        <w:t>with incomes at or below</w:t>
      </w:r>
      <w:r w:rsidR="005B1EE0">
        <w:t xml:space="preserve"> 30 percent of the area median income (AMI) </w:t>
      </w:r>
      <w:r w:rsidR="00922021">
        <w:t>is</w:t>
      </w:r>
      <w:r w:rsidR="005B1EE0">
        <w:t xml:space="preserve"> from the </w:t>
      </w:r>
      <w:r w:rsidR="005B1EE0" w:rsidRPr="005B1EE0">
        <w:t>Comprehensive Housin</w:t>
      </w:r>
      <w:r w:rsidR="005B1EE0">
        <w:t xml:space="preserve">g Affordability Strategy (CHAS) database. </w:t>
      </w:r>
    </w:p>
    <w:p w14:paraId="380AF0C8" w14:textId="50B774FA" w:rsidR="001D0755" w:rsidRDefault="001D0755" w:rsidP="001D0755">
      <w:r>
        <w:t xml:space="preserve">Table </w:t>
      </w:r>
      <w:r w:rsidR="001E2F3B">
        <w:t>7</w:t>
      </w:r>
      <w:r>
        <w:t xml:space="preserve"> reports the following data on households in housing </w:t>
      </w:r>
      <w:r w:rsidR="00910A7B">
        <w:t>publicly supported</w:t>
      </w:r>
      <w:r>
        <w:t xml:space="preserve"> programs within the CDBG jurisdiction: race/ethnicity (percent white, black, Hispanic, and Asian or Pacific Islander), percent of households with at least one member with a disability, and percent of </w:t>
      </w:r>
      <w:r w:rsidR="009E7C08">
        <w:t>households</w:t>
      </w:r>
      <w:r>
        <w:t xml:space="preserve"> where the head or spouse is age 62 or older. The data in this table are presented separately for properties/households located within and outside of racially/ethnically-concentrated areas of poverty (detailed below in section X) within the CDBG jurisdiction. </w:t>
      </w:r>
    </w:p>
    <w:p w14:paraId="16C3F3E3" w14:textId="290F6A79" w:rsidR="00B1427A" w:rsidRDefault="00AE61E8" w:rsidP="000A2BA2">
      <w:r>
        <w:t xml:space="preserve">Table </w:t>
      </w:r>
      <w:r w:rsidR="001E2F3B">
        <w:t>8</w:t>
      </w:r>
      <w:r>
        <w:t xml:space="preserve"> presents data on the composition of households assisted through </w:t>
      </w:r>
      <w:r w:rsidR="000A2BA2">
        <w:t xml:space="preserve">Public Housing, PBRA, and other </w:t>
      </w:r>
      <w:r w:rsidR="00910A7B">
        <w:t xml:space="preserve">HUD </w:t>
      </w:r>
      <w:r w:rsidR="000A2BA2">
        <w:t xml:space="preserve">multifamily properties. </w:t>
      </w:r>
      <w:r w:rsidR="00A77405">
        <w:t>Population c</w:t>
      </w:r>
      <w:r w:rsidR="002E7604">
        <w:t xml:space="preserve">haracteristics – race/ethnicity (white, black, Hispanic, Asian), households with children, and poverty rate – of the census tracts that contain assisted housing are also presented. </w:t>
      </w:r>
      <w:r w:rsidR="000A2BA2">
        <w:t xml:space="preserve">Although information on </w:t>
      </w:r>
      <w:r w:rsidR="00B1427A">
        <w:t>households in</w:t>
      </w:r>
      <w:r w:rsidR="000A2BA2">
        <w:t xml:space="preserve"> LIHTC properties </w:t>
      </w:r>
      <w:r w:rsidR="00B1427A">
        <w:t>is</w:t>
      </w:r>
      <w:r w:rsidR="000A2BA2">
        <w:t xml:space="preserve"> not displayed in Table </w:t>
      </w:r>
      <w:r w:rsidR="001E2F3B">
        <w:t>8</w:t>
      </w:r>
      <w:r w:rsidR="000A2BA2">
        <w:t xml:space="preserve">, the </w:t>
      </w:r>
      <w:r w:rsidR="00806D1D">
        <w:t>data on geograph</w:t>
      </w:r>
      <w:r w:rsidR="00B1427A">
        <w:t xml:space="preserve">ical coordinates for properties </w:t>
      </w:r>
      <w:r w:rsidR="000A2BA2">
        <w:t xml:space="preserve">were used to identify the list of census tracts presented. </w:t>
      </w:r>
      <w:r w:rsidR="00E477AA">
        <w:t xml:space="preserve">Data on properties with fewer than 11 households reported or with fewer than 50 percent </w:t>
      </w:r>
      <w:r>
        <w:t xml:space="preserve">of occupied units reported </w:t>
      </w:r>
      <w:r w:rsidR="00E477AA">
        <w:t xml:space="preserve">at the development and at the </w:t>
      </w:r>
      <w:r>
        <w:t>C</w:t>
      </w:r>
      <w:r w:rsidR="00E477AA">
        <w:t xml:space="preserve">ensus tract aggregation were </w:t>
      </w:r>
      <w:r>
        <w:t>omitted</w:t>
      </w:r>
      <w:r w:rsidR="00E477AA">
        <w:t xml:space="preserve"> to ensure confidentiality.</w:t>
      </w:r>
    </w:p>
    <w:p w14:paraId="76700D06" w14:textId="77777777" w:rsidR="00D20F7C" w:rsidRDefault="00B1427A" w:rsidP="000A2BA2">
      <w:r>
        <w:t xml:space="preserve">Tables </w:t>
      </w:r>
      <w:r w:rsidR="001E2F3B">
        <w:t>7</w:t>
      </w:r>
      <w:r>
        <w:t xml:space="preserve"> and</w:t>
      </w:r>
      <w:r w:rsidR="00E477AA">
        <w:t xml:space="preserve"> </w:t>
      </w:r>
      <w:r w:rsidR="001E2F3B">
        <w:t>8</w:t>
      </w:r>
      <w:r w:rsidR="00E477AA">
        <w:t xml:space="preserve"> </w:t>
      </w:r>
      <w:r w:rsidR="00D20F7C">
        <w:t xml:space="preserve">include only developments with </w:t>
      </w:r>
      <w:r w:rsidR="00E477AA">
        <w:t xml:space="preserve">precise spatial information, such as a </w:t>
      </w:r>
      <w:r w:rsidR="00A7028D">
        <w:t>rooftop location or</w:t>
      </w:r>
      <w:r w:rsidR="00D20F7C">
        <w:t xml:space="preserve"> the</w:t>
      </w:r>
      <w:r w:rsidR="00A7028D">
        <w:t xml:space="preserve"> ZIP+4</w:t>
      </w:r>
      <w:r w:rsidR="00D20F7C">
        <w:t xml:space="preserve"> centroid associated with the address. Developments with less precise spatial information are omitted because they cannot reliably be located to the correct street block or the correct side of the street block. </w:t>
      </w:r>
    </w:p>
    <w:p w14:paraId="43B09CE9" w14:textId="4F745AA7" w:rsidR="00E477AA" w:rsidRDefault="00D20F7C" w:rsidP="000A2BA2">
      <w:r>
        <w:t xml:space="preserve">In conjunction with Tables </w:t>
      </w:r>
      <w:r w:rsidR="001E2F3B">
        <w:t>7</w:t>
      </w:r>
      <w:r>
        <w:t xml:space="preserve"> and </w:t>
      </w:r>
      <w:r w:rsidR="001E2F3B">
        <w:t>8</w:t>
      </w:r>
      <w:r>
        <w:t>, Maps 5 and 6 also include only developments with precise spatial information.</w:t>
      </w:r>
      <w:r w:rsidR="00E477AA" w:rsidRPr="00E477AA">
        <w:t xml:space="preserve"> </w:t>
      </w:r>
      <w:r w:rsidR="00E477AA">
        <w:t xml:space="preserve">Over 96 percent of Public Housing, PBRA, and other </w:t>
      </w:r>
      <w:r w:rsidR="00910A7B">
        <w:t>HUD</w:t>
      </w:r>
      <w:r w:rsidR="00E477AA">
        <w:t xml:space="preserve"> multifamily properties and 84 percent of LIHTC properties have sufficient geographical information to be included in the</w:t>
      </w:r>
      <w:r>
        <w:t xml:space="preserve"> tables and</w:t>
      </w:r>
      <w:r w:rsidR="00E477AA">
        <w:t xml:space="preserve"> maps.</w:t>
      </w:r>
    </w:p>
    <w:p w14:paraId="698068B0" w14:textId="77777777" w:rsidR="00ED1CAB" w:rsidRDefault="00E477AA" w:rsidP="000A2BA2">
      <w:r>
        <w:t xml:space="preserve">Tables </w:t>
      </w:r>
      <w:r w:rsidR="001E2F3B">
        <w:t>11</w:t>
      </w:r>
      <w:r>
        <w:t xml:space="preserve"> and </w:t>
      </w:r>
      <w:r w:rsidR="001E2F3B">
        <w:t>15</w:t>
      </w:r>
      <w:r>
        <w:t xml:space="preserve"> present data on unit size (</w:t>
      </w:r>
      <w:r w:rsidR="005A1628">
        <w:t xml:space="preserve">households in </w:t>
      </w:r>
      <w:r>
        <w:t>0-1 bedroom unit</w:t>
      </w:r>
      <w:r w:rsidR="005A1628">
        <w:t>s</w:t>
      </w:r>
      <w:r>
        <w:t>, 2 bedroom units, and 3 or more bedroom units)</w:t>
      </w:r>
      <w:r w:rsidR="005A1628">
        <w:t xml:space="preserve">, households with children, and households where at least one member has a disability. </w:t>
      </w:r>
    </w:p>
    <w:p w14:paraId="7E3D242A" w14:textId="77777777" w:rsidR="00054B4D" w:rsidRPr="00054B4D" w:rsidRDefault="00054B4D" w:rsidP="00054B4D">
      <w:pPr>
        <w:pStyle w:val="BodyText"/>
        <w:spacing w:after="0"/>
      </w:pPr>
      <w:r w:rsidRPr="00054B4D">
        <w:rPr>
          <w:u w:val="single"/>
        </w:rPr>
        <w:t>Data Source</w:t>
      </w:r>
      <w:r w:rsidRPr="00054B4D">
        <w:t xml:space="preserve">: Inventory Management System (IMS)/PIH Information Center (PIC), 2013; Tenant Rental Assistance Certification System (TRACS), 2013; National Low-Income Housing Tax Credit </w:t>
      </w:r>
      <w:r w:rsidRPr="00054B4D">
        <w:lastRenderedPageBreak/>
        <w:t>(LIHTC) Database, 2013</w:t>
      </w:r>
      <w:r w:rsidR="006B0873">
        <w:t>; Decennial Census, 2010</w:t>
      </w:r>
      <w:r w:rsidR="005B1EE0">
        <w:t xml:space="preserve">; </w:t>
      </w:r>
      <w:r w:rsidR="005B1EE0" w:rsidRPr="005B1EE0">
        <w:t>Comprehensive Housing Affordability Strategy (CHAS), 2007-2011</w:t>
      </w:r>
    </w:p>
    <w:p w14:paraId="0AA1659C" w14:textId="77777777" w:rsidR="00054B4D" w:rsidRDefault="00054B4D" w:rsidP="00054B4D">
      <w:pPr>
        <w:pStyle w:val="BodyText"/>
      </w:pPr>
      <w:r w:rsidRPr="00054B4D">
        <w:rPr>
          <w:u w:val="single"/>
        </w:rPr>
        <w:t>Related Template Tables/Maps</w:t>
      </w:r>
      <w:r w:rsidR="003634DB">
        <w:t xml:space="preserve">: Table </w:t>
      </w:r>
      <w:r w:rsidR="001E2F3B">
        <w:t>5</w:t>
      </w:r>
      <w:r w:rsidR="003634DB">
        <w:t>-</w:t>
      </w:r>
      <w:r w:rsidR="001E2F3B">
        <w:t>8</w:t>
      </w:r>
      <w:r w:rsidRPr="00054B4D">
        <w:t xml:space="preserve">, </w:t>
      </w:r>
      <w:r w:rsidR="001E2F3B">
        <w:t>11</w:t>
      </w:r>
      <w:r w:rsidRPr="00054B4D">
        <w:t xml:space="preserve">, </w:t>
      </w:r>
      <w:r w:rsidR="001E2F3B">
        <w:t>15</w:t>
      </w:r>
      <w:r w:rsidR="002F6A91">
        <w:t>; Map 5, 6</w:t>
      </w:r>
    </w:p>
    <w:p w14:paraId="6CC3B902" w14:textId="77777777" w:rsidR="00AF0900" w:rsidRPr="00054B4D" w:rsidRDefault="00AF0900" w:rsidP="00054B4D">
      <w:pPr>
        <w:pStyle w:val="BodyText"/>
      </w:pPr>
    </w:p>
    <w:p w14:paraId="2B9D696E" w14:textId="77777777" w:rsidR="00054B4D" w:rsidRPr="00054B4D" w:rsidRDefault="00E07B76" w:rsidP="00A253B8">
      <w:pPr>
        <w:pStyle w:val="Caption"/>
      </w:pPr>
      <w:bookmarkStart w:id="11" w:name="_Toc416855894"/>
      <w:r>
        <w:t>X.</w:t>
      </w:r>
      <w:r>
        <w:tab/>
      </w:r>
      <w:r>
        <w:tab/>
      </w:r>
      <w:r w:rsidR="00054B4D" w:rsidRPr="00054B4D">
        <w:t>R/ECAP</w:t>
      </w:r>
      <w:bookmarkEnd w:id="11"/>
    </w:p>
    <w:p w14:paraId="50E2636C" w14:textId="3DC6A96F" w:rsidR="00054B4D" w:rsidRPr="00054B4D" w:rsidRDefault="00054B4D" w:rsidP="00054B4D">
      <w:pPr>
        <w:pStyle w:val="BodyText"/>
      </w:pPr>
      <w:r w:rsidRPr="00054B4D">
        <w:t>To assist communities in identifying racially</w:t>
      </w:r>
      <w:r w:rsidR="00910A7B">
        <w:t xml:space="preserve"> or </w:t>
      </w:r>
      <w:r w:rsidRPr="00054B4D">
        <w:t>ethnically-concentrated areas of poverty (R/ECAPs),</w:t>
      </w:r>
      <w:r w:rsidR="00E07B76">
        <w:t xml:space="preserve"> </w:t>
      </w:r>
      <w:r w:rsidRPr="00054B4D">
        <w:t xml:space="preserve">HUD </w:t>
      </w:r>
      <w:r w:rsidR="00045B75">
        <w:t xml:space="preserve">has </w:t>
      </w:r>
      <w:r w:rsidRPr="00054B4D">
        <w:t>developed a census</w:t>
      </w:r>
      <w:r w:rsidR="00045B75">
        <w:t xml:space="preserve"> </w:t>
      </w:r>
      <w:r w:rsidRPr="00054B4D">
        <w:t>tract</w:t>
      </w:r>
      <w:r w:rsidR="00045B75">
        <w:t>-</w:t>
      </w:r>
      <w:r w:rsidRPr="00054B4D">
        <w:t xml:space="preserve">based definition </w:t>
      </w:r>
      <w:r w:rsidR="00045B75">
        <w:t xml:space="preserve">of </w:t>
      </w:r>
      <w:r w:rsidRPr="00054B4D">
        <w:t xml:space="preserve">R/ECAPs. The definition involves a racial/ethnic concentration threshold and a poverty test. The racial/ethnic concentration threshold is straightforward: R/ECAPs must have a non-white population of 50 percent or more. Regarding the poverty threshold, Wilson (1980) defines neighborhoods of “extreme poverty” as census tracts with 40 percent or more of individuals living at or below the poverty line. Because overall poverty levels are substantially lower in many parts of the country, HUD supplements this with an alternate criterion. Thus, a neighborhood can be a R/ECAP if it has a poverty rate that exceeds 40% or is three </w:t>
      </w:r>
      <w:r w:rsidR="00045B75">
        <w:t xml:space="preserve">or more </w:t>
      </w:r>
      <w:r w:rsidRPr="00054B4D">
        <w:t>times the average tract poverty rate for the metropolitan</w:t>
      </w:r>
      <w:r w:rsidR="001F36FB">
        <w:t>/micropolitan</w:t>
      </w:r>
      <w:r w:rsidRPr="00054B4D">
        <w:t xml:space="preserve"> area, whichever threshold is lower. Census tracts with this extreme poverty that satisfy</w:t>
      </w:r>
      <w:r>
        <w:t xml:space="preserve"> </w:t>
      </w:r>
      <w:r w:rsidRPr="00054B4D">
        <w:t>the racial/ethnic concentration threshold are deemed R/ECAPs. This translates into the following equation:</w:t>
      </w:r>
    </w:p>
    <w:p w14:paraId="180D047F" w14:textId="77777777" w:rsidR="00054B4D" w:rsidRDefault="005A6D8A" w:rsidP="00054B4D">
      <w:pPr>
        <w:pStyle w:val="BodyText"/>
      </w:pPr>
      <m:oMathPara>
        <m:oMath>
          <m:sSub>
            <m:sSubPr>
              <m:ctrlPr>
                <w:rPr>
                  <w:rFonts w:ascii="Cambria Math" w:eastAsia="Calibri" w:hAnsi="Cambria Math"/>
                  <w:i/>
                  <w:szCs w:val="22"/>
                </w:rPr>
              </m:ctrlPr>
            </m:sSubPr>
            <m:e>
              <m:r>
                <w:rPr>
                  <w:rFonts w:ascii="Cambria Math" w:eastAsia="Calibri" w:hAnsi="Cambria Math"/>
                  <w:szCs w:val="22"/>
                </w:rPr>
                <m:t>R/ECAP</m:t>
              </m:r>
            </m:e>
            <m:sub>
              <m:r>
                <w:rPr>
                  <w:rFonts w:ascii="Cambria Math" w:eastAsia="Calibri" w:hAnsi="Cambria Math"/>
                  <w:szCs w:val="22"/>
                </w:rPr>
                <m:t>i</m:t>
              </m:r>
            </m:sub>
          </m:sSub>
          <m:r>
            <w:rPr>
              <w:rFonts w:ascii="Cambria Math" w:eastAsia="Calibri" w:hAnsi="Cambria Math"/>
              <w:szCs w:val="22"/>
            </w:rPr>
            <m:t xml:space="preserve">=yes . . . if . . . </m:t>
          </m:r>
          <m:d>
            <m:dPr>
              <m:begChr m:val="{"/>
              <m:endChr m:val=""/>
              <m:ctrlPr>
                <w:rPr>
                  <w:rFonts w:ascii="Cambria Math" w:eastAsia="Calibri" w:hAnsi="Cambria Math"/>
                  <w:i/>
                  <w:szCs w:val="22"/>
                </w:rPr>
              </m:ctrlPr>
            </m:dPr>
            <m:e>
              <m:m>
                <m:mPr>
                  <m:mcs>
                    <m:mc>
                      <m:mcPr>
                        <m:count m:val="1"/>
                        <m:mcJc m:val="center"/>
                      </m:mcPr>
                    </m:mc>
                  </m:mcs>
                  <m:ctrlPr>
                    <w:rPr>
                      <w:rFonts w:ascii="Cambria Math" w:eastAsia="Calibri" w:hAnsi="Cambria Math"/>
                      <w:i/>
                      <w:szCs w:val="22"/>
                    </w:rPr>
                  </m:ctrlPr>
                </m:mPr>
                <m:mr>
                  <m:e>
                    <m:sSub>
                      <m:sSubPr>
                        <m:ctrlPr>
                          <w:rPr>
                            <w:rFonts w:ascii="Cambria Math" w:eastAsia="Calibri" w:hAnsi="Cambria Math"/>
                            <w:i/>
                            <w:szCs w:val="22"/>
                          </w:rPr>
                        </m:ctrlPr>
                      </m:sSubPr>
                      <m:e>
                        <m:r>
                          <w:rPr>
                            <w:rFonts w:ascii="Cambria Math" w:eastAsia="Calibri" w:hAnsi="Cambria Math"/>
                            <w:szCs w:val="22"/>
                          </w:rPr>
                          <m:t>PovRate</m:t>
                        </m:r>
                      </m:e>
                      <m:sub>
                        <m:r>
                          <w:rPr>
                            <w:rFonts w:ascii="Cambria Math" w:eastAsia="Calibri" w:hAnsi="Cambria Math"/>
                            <w:szCs w:val="22"/>
                          </w:rPr>
                          <m:t>i</m:t>
                        </m:r>
                      </m:sub>
                    </m:sSub>
                    <m:r>
                      <w:rPr>
                        <w:rFonts w:ascii="Cambria Math" w:eastAsia="Calibri" w:hAnsi="Cambria Math"/>
                        <w:szCs w:val="22"/>
                      </w:rPr>
                      <m:t xml:space="preserve"> &gt;=[3* </m:t>
                    </m:r>
                    <m:sSubSup>
                      <m:sSubSupPr>
                        <m:ctrlPr>
                          <w:rPr>
                            <w:rFonts w:ascii="Cambria Math" w:eastAsia="Calibri" w:hAnsi="Cambria Math"/>
                            <w:i/>
                            <w:szCs w:val="22"/>
                          </w:rPr>
                        </m:ctrlPr>
                      </m:sSubSupPr>
                      <m:e>
                        <m:r>
                          <w:rPr>
                            <w:rFonts w:ascii="Cambria Math" w:eastAsia="Calibri" w:hAnsi="Cambria Math"/>
                            <w:szCs w:val="22"/>
                          </w:rPr>
                          <m:t>μ</m:t>
                        </m:r>
                      </m:e>
                      <m:sub>
                        <m:r>
                          <w:rPr>
                            <w:rFonts w:ascii="Cambria Math" w:eastAsia="Calibri" w:hAnsi="Cambria Math"/>
                            <w:szCs w:val="22"/>
                          </w:rPr>
                          <m:t>PovRate</m:t>
                        </m:r>
                      </m:sub>
                      <m:sup>
                        <m:r>
                          <w:rPr>
                            <w:rFonts w:ascii="Cambria Math" w:eastAsia="Calibri" w:hAnsi="Cambria Math"/>
                            <w:szCs w:val="22"/>
                          </w:rPr>
                          <m:t>cbsa</m:t>
                        </m:r>
                      </m:sup>
                    </m:sSubSup>
                    <m:r>
                      <w:rPr>
                        <w:rFonts w:ascii="Cambria Math" w:eastAsia="Calibri" w:hAnsi="Cambria Math"/>
                        <w:szCs w:val="22"/>
                      </w:rPr>
                      <m:t>]</m:t>
                    </m:r>
                  </m:e>
                </m:mr>
                <m:mr>
                  <m:e>
                    <m:r>
                      <w:rPr>
                        <w:rFonts w:ascii="Cambria Math" w:eastAsia="Calibri" w:hAnsi="Cambria Math"/>
                        <w:szCs w:val="22"/>
                      </w:rPr>
                      <m:t>or</m:t>
                    </m:r>
                  </m:e>
                </m:mr>
                <m:mr>
                  <m:e>
                    <m:sSub>
                      <m:sSubPr>
                        <m:ctrlPr>
                          <w:rPr>
                            <w:rFonts w:ascii="Cambria Math" w:eastAsia="Calibri" w:hAnsi="Cambria Math"/>
                            <w:i/>
                            <w:szCs w:val="22"/>
                          </w:rPr>
                        </m:ctrlPr>
                      </m:sSubPr>
                      <m:e>
                        <m:r>
                          <w:rPr>
                            <w:rFonts w:ascii="Cambria Math" w:eastAsia="Calibri" w:hAnsi="Cambria Math"/>
                            <w:szCs w:val="22"/>
                          </w:rPr>
                          <m:t>PovRate</m:t>
                        </m:r>
                      </m:e>
                      <m:sub>
                        <m:r>
                          <w:rPr>
                            <w:rFonts w:ascii="Cambria Math" w:eastAsia="Calibri" w:hAnsi="Cambria Math"/>
                            <w:szCs w:val="22"/>
                          </w:rPr>
                          <m:t>i</m:t>
                        </m:r>
                      </m:sub>
                    </m:sSub>
                    <m:r>
                      <w:rPr>
                        <w:rFonts w:ascii="Cambria Math" w:eastAsia="Calibri" w:hAnsi="Cambria Math"/>
                        <w:szCs w:val="22"/>
                      </w:rPr>
                      <m:t xml:space="preserve"> &gt;=0.4</m:t>
                    </m:r>
                  </m:e>
                </m:mr>
              </m:m>
              <m:r>
                <w:rPr>
                  <w:rFonts w:ascii="Cambria Math" w:eastAsia="Calibri" w:hAnsi="Cambria Math"/>
                  <w:szCs w:val="22"/>
                </w:rPr>
                <m:t xml:space="preserve">  </m:t>
              </m:r>
              <m:nary>
                <m:naryPr>
                  <m:chr m:val="⋃"/>
                  <m:limLoc m:val="undOvr"/>
                  <m:subHide m:val="1"/>
                  <m:supHide m:val="1"/>
                  <m:ctrlPr>
                    <w:rPr>
                      <w:rFonts w:ascii="Cambria Math" w:eastAsia="Calibri" w:hAnsi="Cambria Math"/>
                      <w:i/>
                      <w:szCs w:val="22"/>
                    </w:rPr>
                  </m:ctrlPr>
                </m:naryPr>
                <m:sub/>
                <m:sup/>
                <m:e>
                  <m:d>
                    <m:dPr>
                      <m:begChr m:val="["/>
                      <m:endChr m:val="]"/>
                      <m:ctrlPr>
                        <w:rPr>
                          <w:rFonts w:ascii="Cambria Math" w:eastAsia="Calibri" w:hAnsi="Cambria Math"/>
                          <w:i/>
                          <w:szCs w:val="22"/>
                        </w:rPr>
                      </m:ctrlPr>
                    </m:dPr>
                    <m:e>
                      <m:f>
                        <m:fPr>
                          <m:ctrlPr>
                            <w:rPr>
                              <w:rFonts w:ascii="Cambria Math" w:eastAsia="Calibri" w:hAnsi="Cambria Math"/>
                              <w:i/>
                              <w:szCs w:val="22"/>
                            </w:rPr>
                          </m:ctrlPr>
                        </m:fPr>
                        <m:num>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Pop</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NHW</m:t>
                              </m:r>
                            </m:e>
                            <m:sub>
                              <m:r>
                                <w:rPr>
                                  <w:rFonts w:ascii="Cambria Math" w:eastAsia="Calibri" w:hAnsi="Cambria Math"/>
                                  <w:szCs w:val="22"/>
                                </w:rPr>
                                <m:t>i</m:t>
                              </m:r>
                            </m:sub>
                          </m:sSub>
                          <m:r>
                            <w:rPr>
                              <w:rFonts w:ascii="Cambria Math" w:eastAsia="Calibri" w:hAnsi="Cambria Math"/>
                              <w:szCs w:val="22"/>
                            </w:rPr>
                            <m:t>)</m:t>
                          </m:r>
                        </m:num>
                        <m:den>
                          <m:sSub>
                            <m:sSubPr>
                              <m:ctrlPr>
                                <w:rPr>
                                  <w:rFonts w:ascii="Cambria Math" w:eastAsia="Calibri" w:hAnsi="Cambria Math"/>
                                  <w:i/>
                                  <w:szCs w:val="22"/>
                                </w:rPr>
                              </m:ctrlPr>
                            </m:sSubPr>
                            <m:e>
                              <m:r>
                                <w:rPr>
                                  <w:rFonts w:ascii="Cambria Math" w:eastAsia="Calibri" w:hAnsi="Cambria Math"/>
                                  <w:szCs w:val="22"/>
                                </w:rPr>
                                <m:t>Pop</m:t>
                              </m:r>
                            </m:e>
                            <m:sub>
                              <m:r>
                                <w:rPr>
                                  <w:rFonts w:ascii="Cambria Math" w:eastAsia="Calibri" w:hAnsi="Cambria Math"/>
                                  <w:szCs w:val="22"/>
                                </w:rPr>
                                <m:t>i</m:t>
                              </m:r>
                            </m:sub>
                          </m:sSub>
                        </m:den>
                      </m:f>
                    </m:e>
                  </m:d>
                </m:e>
              </m:nary>
            </m:e>
          </m:d>
          <m:r>
            <w:rPr>
              <w:rFonts w:ascii="Cambria Math" w:eastAsia="Calibri" w:hAnsi="Cambria Math"/>
              <w:szCs w:val="22"/>
            </w:rPr>
            <m:t xml:space="preserve"> &gt;= 0.50</m:t>
          </m:r>
        </m:oMath>
      </m:oMathPara>
    </w:p>
    <w:p w14:paraId="467242F2" w14:textId="77777777" w:rsidR="00054B4D" w:rsidRPr="00054B4D" w:rsidRDefault="00054B4D" w:rsidP="00054B4D">
      <w:pPr>
        <w:pStyle w:val="BodyText"/>
        <w:spacing w:before="240"/>
      </w:pPr>
      <w:r w:rsidRPr="00054B4D">
        <w:t xml:space="preserve">Where </w:t>
      </w:r>
      <w:r w:rsidRPr="00054B4D">
        <w:rPr>
          <w:i/>
        </w:rPr>
        <w:t>i</w:t>
      </w:r>
      <w:r w:rsidRPr="00054B4D">
        <w:t xml:space="preserve"> represents census tracts, (</w:t>
      </w:r>
      <m:oMath>
        <m:sSubSup>
          <m:sSubSupPr>
            <m:ctrlPr>
              <w:rPr>
                <w:rFonts w:ascii="Cambria Math" w:hAnsi="Cambria Math"/>
                <w:i/>
              </w:rPr>
            </m:ctrlPr>
          </m:sSubSupPr>
          <m:e>
            <m:r>
              <w:rPr>
                <w:rFonts w:ascii="Cambria Math" w:hAnsi="Cambria Math"/>
              </w:rPr>
              <m:t>μ</m:t>
            </m:r>
          </m:e>
          <m:sub>
            <m:r>
              <w:rPr>
                <w:rFonts w:ascii="Cambria Math" w:hAnsi="Cambria Math"/>
              </w:rPr>
              <m:t>PovRate</m:t>
            </m:r>
          </m:sub>
          <m:sup>
            <m:r>
              <w:rPr>
                <w:rFonts w:ascii="Cambria Math" w:hAnsi="Cambria Math"/>
              </w:rPr>
              <m:t>cbsa</m:t>
            </m:r>
          </m:sup>
        </m:sSubSup>
      </m:oMath>
      <w:r w:rsidRPr="00054B4D">
        <w:t>) is the metro</w:t>
      </w:r>
      <w:r w:rsidR="003634DB">
        <w:t>politan</w:t>
      </w:r>
      <w:r w:rsidR="001F36FB">
        <w:t>/micro</w:t>
      </w:r>
      <w:r w:rsidR="003634DB">
        <w:t>politan</w:t>
      </w:r>
      <w:r w:rsidRPr="00054B4D">
        <w:t xml:space="preserve"> (CBSA) mean tract poverty rate, PovRate is the </w:t>
      </w:r>
      <w:r w:rsidRPr="00054B4D">
        <w:rPr>
          <w:i/>
        </w:rPr>
        <w:t>i</w:t>
      </w:r>
      <w:r w:rsidRPr="00054B4D">
        <w:t>th tract poverty rate, (</w:t>
      </w:r>
      <m:oMath>
        <m:sSub>
          <m:sSubPr>
            <m:ctrlPr>
              <w:rPr>
                <w:rFonts w:ascii="Cambria Math" w:hAnsi="Cambria Math"/>
                <w:i/>
              </w:rPr>
            </m:ctrlPr>
          </m:sSubPr>
          <m:e>
            <m:r>
              <w:rPr>
                <w:rFonts w:ascii="Cambria Math" w:hAnsi="Cambria Math"/>
              </w:rPr>
              <m:t>NHW</m:t>
            </m:r>
          </m:e>
          <m:sub>
            <m:r>
              <w:rPr>
                <w:rFonts w:ascii="Cambria Math" w:hAnsi="Cambria Math"/>
              </w:rPr>
              <m:t>i</m:t>
            </m:r>
          </m:sub>
        </m:sSub>
      </m:oMath>
      <w:r w:rsidRPr="00054B4D">
        <w:t xml:space="preserve">) is the non-Hispanic white population in tract </w:t>
      </w:r>
      <w:r w:rsidRPr="00054B4D">
        <w:rPr>
          <w:i/>
        </w:rPr>
        <w:t>i</w:t>
      </w:r>
      <w:r w:rsidRPr="00054B4D">
        <w:t xml:space="preserve">, and Pop is the population in tract </w:t>
      </w:r>
      <w:r w:rsidRPr="00054B4D">
        <w:rPr>
          <w:i/>
        </w:rPr>
        <w:t>i</w:t>
      </w:r>
      <w:r w:rsidRPr="00054B4D">
        <w:t>.</w:t>
      </w:r>
    </w:p>
    <w:p w14:paraId="287F0A58" w14:textId="77777777" w:rsidR="00054B4D" w:rsidRPr="00054B4D" w:rsidRDefault="00054B4D" w:rsidP="00054B4D">
      <w:pPr>
        <w:pStyle w:val="BodyText"/>
        <w:spacing w:before="120"/>
      </w:pPr>
      <w:r w:rsidRPr="00054B4D">
        <w:t xml:space="preserve">While this definition of R/ECAP works well for tracts in </w:t>
      </w:r>
      <w:r w:rsidR="003634DB">
        <w:t>CBSAs</w:t>
      </w:r>
      <w:r w:rsidRPr="00054B4D">
        <w:t xml:space="preserve">, place outside of these geographies are unlikely to have racial or ethnic concentrations as high as 50 percent. In these areas, the racial/ethnic concentration threshold is set at 20 percent. </w:t>
      </w:r>
    </w:p>
    <w:p w14:paraId="2CBC8FF0" w14:textId="77777777" w:rsidR="00054B4D" w:rsidRPr="00054B4D" w:rsidRDefault="00054B4D" w:rsidP="00054B4D">
      <w:pPr>
        <w:pStyle w:val="BodyText"/>
        <w:spacing w:before="120" w:after="0"/>
      </w:pPr>
      <w:r w:rsidRPr="00054B4D">
        <w:rPr>
          <w:u w:val="single"/>
        </w:rPr>
        <w:t>Data Source</w:t>
      </w:r>
      <w:r w:rsidRPr="00054B4D">
        <w:t>: Decennial census (2010); American Community Survey (ACS), 2006-2010; Brown Longitudinal Tract Database (LTDB) based on decennial census data, 2000 &amp; 1990</w:t>
      </w:r>
    </w:p>
    <w:p w14:paraId="58EAA5FB" w14:textId="77777777" w:rsidR="00054B4D" w:rsidRPr="00054B4D" w:rsidRDefault="00054B4D" w:rsidP="00054B4D">
      <w:pPr>
        <w:pStyle w:val="BodyText"/>
        <w:spacing w:after="0"/>
      </w:pPr>
      <w:r w:rsidRPr="00054B4D">
        <w:rPr>
          <w:u w:val="single"/>
        </w:rPr>
        <w:t>Related Template Tables/Maps</w:t>
      </w:r>
      <w:r w:rsidRPr="00054B4D">
        <w:t xml:space="preserve">: Table </w:t>
      </w:r>
      <w:r w:rsidR="001E2F3B">
        <w:t>4</w:t>
      </w:r>
      <w:r w:rsidRPr="00054B4D">
        <w:t xml:space="preserve">, </w:t>
      </w:r>
      <w:r w:rsidR="001E2F3B">
        <w:t>7</w:t>
      </w:r>
      <w:r w:rsidRPr="00054B4D">
        <w:t>; Map 1-16</w:t>
      </w:r>
    </w:p>
    <w:p w14:paraId="3CEE6613" w14:textId="77777777" w:rsidR="00054B4D" w:rsidRPr="00054B4D" w:rsidRDefault="00054B4D" w:rsidP="00054B4D">
      <w:pPr>
        <w:pStyle w:val="BodyText"/>
        <w:spacing w:after="0"/>
      </w:pPr>
      <w:r w:rsidRPr="00054B4D">
        <w:rPr>
          <w:u w:val="single"/>
        </w:rPr>
        <w:t>References</w:t>
      </w:r>
      <w:r w:rsidRPr="00054B4D">
        <w:t>:</w:t>
      </w:r>
    </w:p>
    <w:p w14:paraId="20CEC337" w14:textId="77777777" w:rsidR="00054B4D" w:rsidRDefault="00054B4D" w:rsidP="00054B4D">
      <w:pPr>
        <w:pStyle w:val="BodyText"/>
      </w:pPr>
      <w:r w:rsidRPr="00054B4D">
        <w:t xml:space="preserve">Wilson, William J. (1980). The Declining Significance of Race: Blacks and Changing American Institutions. Chicago: University of Chicago Press. </w:t>
      </w:r>
    </w:p>
    <w:p w14:paraId="3723E66E" w14:textId="77777777" w:rsidR="00AF0900" w:rsidRPr="00054B4D" w:rsidRDefault="00AF0900" w:rsidP="00054B4D">
      <w:pPr>
        <w:pStyle w:val="BodyText"/>
      </w:pPr>
    </w:p>
    <w:p w14:paraId="774BCE71" w14:textId="77777777" w:rsidR="00054B4D" w:rsidRPr="00054B4D" w:rsidRDefault="00E07B76" w:rsidP="00A253B8">
      <w:pPr>
        <w:pStyle w:val="Caption"/>
      </w:pPr>
      <w:bookmarkStart w:id="12" w:name="_Toc416855895"/>
      <w:r>
        <w:t>XI.</w:t>
      </w:r>
      <w:r>
        <w:tab/>
      </w:r>
      <w:r>
        <w:tab/>
      </w:r>
      <w:r w:rsidR="00054B4D" w:rsidRPr="00054B4D">
        <w:t>Housing Problems and Disproportionate Housing Need</w:t>
      </w:r>
      <w:bookmarkEnd w:id="12"/>
    </w:p>
    <w:p w14:paraId="323BC601" w14:textId="77777777" w:rsidR="00054B4D" w:rsidRPr="00E07B76" w:rsidRDefault="00054B4D" w:rsidP="00E07B76">
      <w:pPr>
        <w:pStyle w:val="BodyText"/>
      </w:pPr>
      <w:r w:rsidRPr="00E07B76">
        <w:t xml:space="preserve">To assist communities in describing disproportionate housing need in their geography, </w:t>
      </w:r>
      <w:r w:rsidR="00045B75">
        <w:t xml:space="preserve">the AFFH Tool provides </w:t>
      </w:r>
      <w:r w:rsidRPr="00E07B76">
        <w:t xml:space="preserve">data identifying instances where housing problems or severe housing problems exist. </w:t>
      </w:r>
      <w:r w:rsidR="00FE1A6F">
        <w:t xml:space="preserve">The Tool presents housing problems overall, as well as variations by race/ethnicity, household type and household size. </w:t>
      </w:r>
      <w:r w:rsidR="00707AF8">
        <w:t xml:space="preserve">The race/ethnicity categories presented are non-Hispanic white, non-Hispanic black, Hispanic, non-Hispanic Asian or Pacific Islander, non-Hispanic Native American, and non-Hispanic other. The household type and size categories presented are family households of less than five people, family households of five or more people, and non-family households of any size. </w:t>
      </w:r>
    </w:p>
    <w:p w14:paraId="3A27DF11" w14:textId="77777777" w:rsidR="00054B4D" w:rsidRPr="00E07B76" w:rsidRDefault="00054B4D" w:rsidP="00E07B76">
      <w:pPr>
        <w:pStyle w:val="BodyText"/>
      </w:pPr>
      <w:r w:rsidRPr="00E07B76">
        <w:lastRenderedPageBreak/>
        <w:t xml:space="preserve">Information on housing problems is drawn from CHAS, which demonstrate the extent of housing problems and housing needs, particularly for low-income households. The CHAS data are produced via custom tabulations of ACS data by the U.S. Census Bureau. </w:t>
      </w:r>
    </w:p>
    <w:p w14:paraId="26A56CB0" w14:textId="77777777" w:rsidR="00054B4D" w:rsidRPr="00054B4D" w:rsidRDefault="00D47DBB" w:rsidP="00054B4D">
      <w:pPr>
        <w:pStyle w:val="BodyText"/>
        <w:spacing w:before="120"/>
      </w:pPr>
      <w:r>
        <w:t>The Tool provides data on the number and share of households with one of the following f</w:t>
      </w:r>
      <w:r w:rsidR="00054B4D" w:rsidRPr="00054B4D">
        <w:t xml:space="preserve">our housing problems: </w:t>
      </w:r>
    </w:p>
    <w:p w14:paraId="334769CA" w14:textId="77777777" w:rsidR="00054B4D" w:rsidRPr="00054B4D" w:rsidRDefault="00054B4D" w:rsidP="00822C08">
      <w:pPr>
        <w:pStyle w:val="BodyText"/>
        <w:numPr>
          <w:ilvl w:val="0"/>
          <w:numId w:val="6"/>
        </w:numPr>
        <w:spacing w:before="120"/>
      </w:pPr>
      <w:r w:rsidRPr="00054B4D">
        <w:t>Lacks complete kitchen facilities</w:t>
      </w:r>
    </w:p>
    <w:p w14:paraId="55B239A8" w14:textId="77777777" w:rsidR="00054B4D" w:rsidRPr="00054B4D" w:rsidRDefault="00054B4D" w:rsidP="00822C08">
      <w:pPr>
        <w:pStyle w:val="BodyText"/>
        <w:numPr>
          <w:ilvl w:val="0"/>
          <w:numId w:val="6"/>
        </w:numPr>
        <w:spacing w:before="120"/>
      </w:pPr>
      <w:r w:rsidRPr="00054B4D">
        <w:t>Lacks complete plumbing facilities</w:t>
      </w:r>
    </w:p>
    <w:p w14:paraId="315AC29D" w14:textId="77777777" w:rsidR="00054B4D" w:rsidRPr="00054B4D" w:rsidRDefault="00054B4D" w:rsidP="00822C08">
      <w:pPr>
        <w:pStyle w:val="BodyText"/>
        <w:numPr>
          <w:ilvl w:val="0"/>
          <w:numId w:val="6"/>
        </w:numPr>
        <w:spacing w:before="120"/>
      </w:pPr>
      <w:r w:rsidRPr="00054B4D">
        <w:t>More than one person per room</w:t>
      </w:r>
    </w:p>
    <w:p w14:paraId="01E8E00C" w14:textId="77777777" w:rsidR="00054B4D" w:rsidRPr="00054B4D" w:rsidRDefault="00054B4D" w:rsidP="00822C08">
      <w:pPr>
        <w:pStyle w:val="BodyText"/>
        <w:numPr>
          <w:ilvl w:val="0"/>
          <w:numId w:val="6"/>
        </w:numPr>
        <w:spacing w:before="120"/>
      </w:pPr>
      <w:r w:rsidRPr="00054B4D">
        <w:t>Cost Burden - monthly housing costs (including utilities) exceed 30% of monthly income</w:t>
      </w:r>
    </w:p>
    <w:p w14:paraId="5DE7EC1F" w14:textId="77777777" w:rsidR="00054B4D" w:rsidRPr="00054B4D" w:rsidRDefault="00054B4D" w:rsidP="00054B4D">
      <w:pPr>
        <w:pStyle w:val="BodyText"/>
        <w:spacing w:before="120"/>
      </w:pPr>
      <w:r w:rsidRPr="00054B4D">
        <w:t xml:space="preserve">Additionally, </w:t>
      </w:r>
      <w:r w:rsidR="00D47DBB">
        <w:t xml:space="preserve">the Tool provides data on the number and share of households with one or more of the following </w:t>
      </w:r>
      <w:r w:rsidRPr="00054B4D">
        <w:t xml:space="preserve">“severe” housing problems, defined as: </w:t>
      </w:r>
    </w:p>
    <w:p w14:paraId="255A5135" w14:textId="77777777" w:rsidR="00054B4D" w:rsidRPr="00054B4D" w:rsidRDefault="00054B4D" w:rsidP="00822C08">
      <w:pPr>
        <w:pStyle w:val="BodyText"/>
        <w:numPr>
          <w:ilvl w:val="0"/>
          <w:numId w:val="7"/>
        </w:numPr>
        <w:spacing w:before="120"/>
      </w:pPr>
      <w:r w:rsidRPr="00054B4D">
        <w:t>Lacks complete kitchen facilities</w:t>
      </w:r>
    </w:p>
    <w:p w14:paraId="14EA36F9" w14:textId="77777777" w:rsidR="00054B4D" w:rsidRPr="00054B4D" w:rsidRDefault="00054B4D" w:rsidP="00822C08">
      <w:pPr>
        <w:pStyle w:val="BodyText"/>
        <w:numPr>
          <w:ilvl w:val="0"/>
          <w:numId w:val="7"/>
        </w:numPr>
        <w:spacing w:before="120"/>
      </w:pPr>
      <w:r w:rsidRPr="00054B4D">
        <w:t>Lacks complete plumbing facilities</w:t>
      </w:r>
    </w:p>
    <w:p w14:paraId="784BA454" w14:textId="77777777" w:rsidR="00054B4D" w:rsidRPr="00054B4D" w:rsidRDefault="00054B4D" w:rsidP="00822C08">
      <w:pPr>
        <w:pStyle w:val="BodyText"/>
        <w:numPr>
          <w:ilvl w:val="0"/>
          <w:numId w:val="7"/>
        </w:numPr>
        <w:spacing w:before="120"/>
      </w:pPr>
      <w:r w:rsidRPr="00054B4D">
        <w:t>More than one person per room</w:t>
      </w:r>
    </w:p>
    <w:p w14:paraId="08EC1B5D" w14:textId="77777777" w:rsidR="00054B4D" w:rsidRPr="00054B4D" w:rsidRDefault="00054B4D" w:rsidP="00822C08">
      <w:pPr>
        <w:pStyle w:val="BodyText"/>
        <w:numPr>
          <w:ilvl w:val="0"/>
          <w:numId w:val="7"/>
        </w:numPr>
        <w:spacing w:before="120"/>
      </w:pPr>
      <w:r w:rsidRPr="00054B4D">
        <w:t>Severe Cost Burden - monthly housing costs (including utilities) exceed 50% of monthly income</w:t>
      </w:r>
    </w:p>
    <w:p w14:paraId="64E2612D" w14:textId="095EEF54" w:rsidR="00054B4D" w:rsidRDefault="00AD7D5A" w:rsidP="00E07B76">
      <w:pPr>
        <w:pStyle w:val="BodyText"/>
      </w:pPr>
      <w:r>
        <w:t>Program particpants</w:t>
      </w:r>
      <w:r w:rsidR="00D47DBB">
        <w:t xml:space="preserve"> should review these data to determine where </w:t>
      </w:r>
      <w:r w:rsidR="00054B4D" w:rsidRPr="00E07B76">
        <w:t>disproportionate housing need</w:t>
      </w:r>
      <w:r w:rsidR="00D47DBB">
        <w:t xml:space="preserve"> may be found</w:t>
      </w:r>
      <w:r w:rsidR="00054B4D" w:rsidRPr="00E07B76">
        <w:t xml:space="preserve">. </w:t>
      </w:r>
      <w:r w:rsidR="002601F0">
        <w:t xml:space="preserve">For example, a sub-group, </w:t>
      </w:r>
      <w:r w:rsidR="00054B4D" w:rsidRPr="00E07B76">
        <w:t xml:space="preserve">such as households of a particular racial/ethnic group or household size, </w:t>
      </w:r>
      <w:r w:rsidR="002601F0">
        <w:t xml:space="preserve">may </w:t>
      </w:r>
      <w:r w:rsidR="00054B4D" w:rsidRPr="00E07B76">
        <w:t xml:space="preserve">experience housing problems </w:t>
      </w:r>
      <w:r w:rsidR="0048113B">
        <w:t>more frequently</w:t>
      </w:r>
      <w:r w:rsidR="00054B4D" w:rsidRPr="00E07B76">
        <w:t xml:space="preserve"> than the overall population.</w:t>
      </w:r>
    </w:p>
    <w:p w14:paraId="5BB6E37F" w14:textId="77777777" w:rsidR="0048113B" w:rsidRPr="00054B4D" w:rsidRDefault="0048113B" w:rsidP="0048113B">
      <w:pPr>
        <w:pStyle w:val="BodyText"/>
        <w:spacing w:before="120" w:after="0"/>
      </w:pPr>
      <w:r w:rsidRPr="00054B4D">
        <w:rPr>
          <w:u w:val="single"/>
        </w:rPr>
        <w:t>Data Source</w:t>
      </w:r>
      <w:r w:rsidRPr="00054B4D">
        <w:t xml:space="preserve">: </w:t>
      </w:r>
      <w:r w:rsidRPr="0048113B">
        <w:t>Comprehensive Housing Affordability Strategy (CHAS), 2007-2011</w:t>
      </w:r>
    </w:p>
    <w:p w14:paraId="12426B69" w14:textId="77777777" w:rsidR="0048113B" w:rsidRDefault="0048113B" w:rsidP="0048113B">
      <w:pPr>
        <w:pStyle w:val="BodyText"/>
        <w:spacing w:after="0"/>
      </w:pPr>
      <w:r w:rsidRPr="00054B4D">
        <w:rPr>
          <w:u w:val="single"/>
        </w:rPr>
        <w:t>Related Template Tables/Maps</w:t>
      </w:r>
      <w:r w:rsidRPr="00054B4D">
        <w:t xml:space="preserve">: </w:t>
      </w:r>
      <w:r>
        <w:t xml:space="preserve">Table </w:t>
      </w:r>
      <w:r w:rsidR="001E2F3B">
        <w:t>9</w:t>
      </w:r>
      <w:r>
        <w:t xml:space="preserve">, </w:t>
      </w:r>
      <w:r w:rsidR="008E16D9">
        <w:t>10</w:t>
      </w:r>
      <w:r>
        <w:t>; Map 7, 8</w:t>
      </w:r>
    </w:p>
    <w:p w14:paraId="191F60AE" w14:textId="77777777" w:rsidR="0048113B" w:rsidRPr="00054B4D" w:rsidRDefault="0048113B" w:rsidP="0048113B">
      <w:pPr>
        <w:pStyle w:val="BodyText"/>
        <w:spacing w:after="0"/>
      </w:pPr>
    </w:p>
    <w:p w14:paraId="63CCBC44" w14:textId="77777777" w:rsidR="00054B4D" w:rsidRPr="00054B4D" w:rsidRDefault="00E07B76" w:rsidP="00A253B8">
      <w:pPr>
        <w:pStyle w:val="Caption"/>
      </w:pPr>
      <w:bookmarkStart w:id="13" w:name="_Toc416855896"/>
      <w:r>
        <w:t>XII.</w:t>
      </w:r>
      <w:r>
        <w:tab/>
      </w:r>
      <w:r w:rsidR="00054B4D" w:rsidRPr="00054B4D">
        <w:t>Indices</w:t>
      </w:r>
      <w:bookmarkEnd w:id="13"/>
    </w:p>
    <w:p w14:paraId="405F5A5D" w14:textId="0071C37D" w:rsidR="00054B4D" w:rsidRPr="00054B4D" w:rsidRDefault="00054B4D" w:rsidP="00054B4D">
      <w:pPr>
        <w:pStyle w:val="BodyText"/>
        <w:spacing w:before="120"/>
      </w:pPr>
      <w:r w:rsidRPr="00054B4D">
        <w:t>HUD has developed a series of indices to help inform communities about segregation in their jurisdiction</w:t>
      </w:r>
      <w:r w:rsidR="0010703E">
        <w:t xml:space="preserve"> and region</w:t>
      </w:r>
      <w:r w:rsidR="0010703E" w:rsidRPr="00054B4D">
        <w:t>, as well as about disparat</w:t>
      </w:r>
      <w:r w:rsidR="00AD7D5A">
        <w:t>ites in</w:t>
      </w:r>
      <w:r w:rsidR="0010703E" w:rsidRPr="00054B4D">
        <w:t xml:space="preserve"> access to </w:t>
      </w:r>
      <w:r w:rsidR="003D0FE4">
        <w:t>opportunity</w:t>
      </w:r>
      <w:r w:rsidR="0010703E" w:rsidRPr="00054B4D">
        <w:t xml:space="preserve">. </w:t>
      </w:r>
      <w:r w:rsidR="0010703E">
        <w:t xml:space="preserve">A description of the methodology for each of </w:t>
      </w:r>
      <w:r w:rsidR="0010703E" w:rsidRPr="00054B4D">
        <w:t>the following indices</w:t>
      </w:r>
      <w:r w:rsidR="0010703E">
        <w:t xml:space="preserve"> may be found below</w:t>
      </w:r>
      <w:r w:rsidR="0010703E" w:rsidRPr="00054B4D">
        <w:t>:</w:t>
      </w:r>
    </w:p>
    <w:p w14:paraId="251A7D93" w14:textId="77777777" w:rsidR="00054B4D" w:rsidRPr="00054B4D" w:rsidRDefault="00054B4D" w:rsidP="00822C08">
      <w:pPr>
        <w:pStyle w:val="BodyText"/>
        <w:numPr>
          <w:ilvl w:val="0"/>
          <w:numId w:val="8"/>
        </w:numPr>
        <w:spacing w:before="120"/>
      </w:pPr>
      <w:r w:rsidRPr="00054B4D">
        <w:t>Dissimilarity Index</w:t>
      </w:r>
    </w:p>
    <w:p w14:paraId="04503770" w14:textId="77777777" w:rsidR="00054B4D" w:rsidRPr="00054B4D" w:rsidRDefault="001D3264" w:rsidP="00822C08">
      <w:pPr>
        <w:pStyle w:val="BodyText"/>
        <w:numPr>
          <w:ilvl w:val="0"/>
          <w:numId w:val="8"/>
        </w:numPr>
        <w:spacing w:before="120"/>
      </w:pPr>
      <w:r>
        <w:t xml:space="preserve">Low </w:t>
      </w:r>
      <w:r w:rsidR="00054B4D" w:rsidRPr="00054B4D">
        <w:t>Poverty Index</w:t>
      </w:r>
    </w:p>
    <w:p w14:paraId="146B7EA9" w14:textId="77777777" w:rsidR="00054B4D" w:rsidRDefault="00054B4D" w:rsidP="00822C08">
      <w:pPr>
        <w:pStyle w:val="BodyText"/>
        <w:numPr>
          <w:ilvl w:val="0"/>
          <w:numId w:val="8"/>
        </w:numPr>
        <w:spacing w:before="120"/>
      </w:pPr>
      <w:r w:rsidRPr="00054B4D">
        <w:t>School Proficiency Index</w:t>
      </w:r>
    </w:p>
    <w:p w14:paraId="7AE6CAFE" w14:textId="77777777" w:rsidR="00A9086F" w:rsidRPr="00054B4D" w:rsidRDefault="00A9086F" w:rsidP="00A9086F">
      <w:pPr>
        <w:pStyle w:val="BodyText"/>
        <w:numPr>
          <w:ilvl w:val="0"/>
          <w:numId w:val="8"/>
        </w:numPr>
        <w:spacing w:before="120"/>
      </w:pPr>
      <w:r w:rsidRPr="00054B4D">
        <w:t xml:space="preserve">Jobs Proximity Index </w:t>
      </w:r>
    </w:p>
    <w:p w14:paraId="03067BEC" w14:textId="77777777" w:rsidR="00A9086F" w:rsidRPr="00054B4D" w:rsidRDefault="00A9086F" w:rsidP="000F2A21">
      <w:pPr>
        <w:pStyle w:val="BodyText"/>
        <w:spacing w:before="120"/>
        <w:ind w:left="720"/>
      </w:pPr>
    </w:p>
    <w:p w14:paraId="2ACCB3C6" w14:textId="031FD5D4" w:rsidR="00054B4D" w:rsidRPr="00054B4D" w:rsidRDefault="001D3264" w:rsidP="00822C08">
      <w:pPr>
        <w:pStyle w:val="BodyText"/>
        <w:numPr>
          <w:ilvl w:val="0"/>
          <w:numId w:val="8"/>
        </w:numPr>
        <w:spacing w:before="120"/>
      </w:pPr>
      <w:r>
        <w:t xml:space="preserve">Labor </w:t>
      </w:r>
      <w:r w:rsidR="00054B4D" w:rsidRPr="00054B4D">
        <w:t xml:space="preserve">Market </w:t>
      </w:r>
      <w:r w:rsidR="005A6D8A">
        <w:t xml:space="preserve">Engagement </w:t>
      </w:r>
      <w:r w:rsidR="00054B4D" w:rsidRPr="00054B4D">
        <w:t xml:space="preserve">Index </w:t>
      </w:r>
    </w:p>
    <w:p w14:paraId="0A197EC3" w14:textId="77777777" w:rsidR="00054B4D" w:rsidRPr="00054B4D" w:rsidRDefault="001D3264" w:rsidP="00822C08">
      <w:pPr>
        <w:pStyle w:val="BodyText"/>
        <w:numPr>
          <w:ilvl w:val="0"/>
          <w:numId w:val="8"/>
        </w:numPr>
        <w:spacing w:before="120"/>
      </w:pPr>
      <w:r>
        <w:t>Low Transportation Cost</w:t>
      </w:r>
      <w:r w:rsidR="00054B4D" w:rsidRPr="00054B4D">
        <w:t xml:space="preserve"> Index </w:t>
      </w:r>
    </w:p>
    <w:p w14:paraId="0F20C26E" w14:textId="77777777" w:rsidR="00054B4D" w:rsidRPr="00054B4D" w:rsidRDefault="00054B4D" w:rsidP="00822C08">
      <w:pPr>
        <w:pStyle w:val="BodyText"/>
        <w:numPr>
          <w:ilvl w:val="0"/>
          <w:numId w:val="8"/>
        </w:numPr>
        <w:spacing w:before="120"/>
      </w:pPr>
      <w:r w:rsidRPr="00054B4D">
        <w:t xml:space="preserve">Transit Trips Index </w:t>
      </w:r>
    </w:p>
    <w:p w14:paraId="76CFA34A" w14:textId="77777777" w:rsidR="00054B4D" w:rsidRPr="00054B4D" w:rsidRDefault="00054B4D" w:rsidP="00822C08">
      <w:pPr>
        <w:pStyle w:val="BodyText"/>
        <w:numPr>
          <w:ilvl w:val="0"/>
          <w:numId w:val="8"/>
        </w:numPr>
        <w:spacing w:before="120"/>
      </w:pPr>
      <w:r w:rsidRPr="00054B4D">
        <w:t xml:space="preserve">Environmental Health Index </w:t>
      </w:r>
    </w:p>
    <w:p w14:paraId="16B849F8" w14:textId="77777777" w:rsidR="00054B4D" w:rsidRPr="00054B4D" w:rsidRDefault="00054B4D" w:rsidP="00054B4D">
      <w:pPr>
        <w:pStyle w:val="BodyText"/>
        <w:spacing w:before="120"/>
      </w:pPr>
      <w:r w:rsidRPr="00054B4D">
        <w:lastRenderedPageBreak/>
        <w:t>Table</w:t>
      </w:r>
      <w:r w:rsidR="001E2F3B">
        <w:t>3</w:t>
      </w:r>
      <w:r w:rsidRPr="00054B4D">
        <w:t xml:space="preserve"> </w:t>
      </w:r>
      <w:r w:rsidR="00AF0900">
        <w:t>of the AFFH data tables provide</w:t>
      </w:r>
      <w:r w:rsidR="001E2F3B">
        <w:t>s</w:t>
      </w:r>
      <w:r w:rsidRPr="00054B4D">
        <w:t xml:space="preserve"> values for the dissimilarity index. Table </w:t>
      </w:r>
      <w:r w:rsidR="001E2F3B">
        <w:t>12</w:t>
      </w:r>
      <w:r w:rsidRPr="00054B4D">
        <w:t xml:space="preserve"> of the AFFH data tables provides values for all the remaining indices. </w:t>
      </w:r>
    </w:p>
    <w:p w14:paraId="36FA5AC7" w14:textId="77E1862F" w:rsidR="00054B4D" w:rsidRPr="00054B4D" w:rsidRDefault="00054B4D" w:rsidP="00054B4D">
      <w:pPr>
        <w:pStyle w:val="BodyText"/>
        <w:spacing w:before="120"/>
      </w:pPr>
      <w:r w:rsidRPr="00054B4D">
        <w:t>To generate Table</w:t>
      </w:r>
      <w:r w:rsidR="001E2F3B">
        <w:t>12</w:t>
      </w:r>
      <w:r w:rsidRPr="00054B4D">
        <w:t xml:space="preserve">, index values were calculated for each census tract.  These tract values were averaged and then weighted based on the distribution of people of different races and ethnicities within the CDBG jurisdiction or CBSA to generate composite index values for each race and ethnicity.  A similar process was applied to weight the data based on the distribution of people of different races and ethnicities who are living </w:t>
      </w:r>
      <w:r w:rsidR="00AD7D5A">
        <w:t>below the federal</w:t>
      </w:r>
      <w:r w:rsidRPr="00054B4D">
        <w:t xml:space="preserve"> poverty</w:t>
      </w:r>
      <w:r w:rsidR="00AD7D5A">
        <w:t xml:space="preserve"> line</w:t>
      </w:r>
      <w:r w:rsidRPr="00054B4D">
        <w:t xml:space="preserve"> within the CDBG jurisdiction and CBSA. The population estimates are based on the 2010 Decennial Census at the census tract or block-group level, depending on the geographic level at which the index was originally calculated. </w:t>
      </w:r>
    </w:p>
    <w:p w14:paraId="3D795A29" w14:textId="77777777" w:rsidR="00E07B76" w:rsidRDefault="00054B4D" w:rsidP="00054B4D">
      <w:pPr>
        <w:pStyle w:val="BodyText"/>
        <w:spacing w:before="120"/>
      </w:pPr>
      <w:r w:rsidRPr="00054B4D">
        <w:t xml:space="preserve">The indices from Table </w:t>
      </w:r>
      <w:r w:rsidR="001E2F3B">
        <w:t>12</w:t>
      </w:r>
      <w:r w:rsidRPr="00054B4D">
        <w:t xml:space="preserve"> are also used to populate maps generated by the AFFH data and mapping tool, showing the overall index values of census tracts juxtaposed against data on race/ethnicity, national origin, and family type.</w:t>
      </w:r>
    </w:p>
    <w:p w14:paraId="7384B6E0" w14:textId="77777777" w:rsidR="00054B4D" w:rsidRPr="00054B4D" w:rsidRDefault="00054B4D" w:rsidP="00054B4D">
      <w:pPr>
        <w:pStyle w:val="BodyText"/>
        <w:spacing w:before="120"/>
      </w:pPr>
      <w:r w:rsidRPr="00054B4D">
        <w:t xml:space="preserve">The following details each of the eight indices used in the AFFH Template. </w:t>
      </w:r>
    </w:p>
    <w:p w14:paraId="4568A35D" w14:textId="77777777" w:rsidR="00054B4D" w:rsidRPr="00054B4D" w:rsidRDefault="00054B4D" w:rsidP="00822C08">
      <w:pPr>
        <w:pStyle w:val="BodyText"/>
        <w:numPr>
          <w:ilvl w:val="0"/>
          <w:numId w:val="10"/>
        </w:numPr>
        <w:spacing w:before="120"/>
        <w:rPr>
          <w:b/>
        </w:rPr>
      </w:pPr>
      <w:r w:rsidRPr="00054B4D">
        <w:rPr>
          <w:b/>
        </w:rPr>
        <w:t>Analyzing Segregation</w:t>
      </w:r>
    </w:p>
    <w:p w14:paraId="5A500784" w14:textId="77777777" w:rsidR="00054B4D" w:rsidRPr="00054B4D" w:rsidRDefault="00054B4D" w:rsidP="00822C08">
      <w:pPr>
        <w:pStyle w:val="BodyText"/>
        <w:numPr>
          <w:ilvl w:val="0"/>
          <w:numId w:val="9"/>
        </w:numPr>
        <w:spacing w:before="120"/>
        <w:rPr>
          <w:b/>
        </w:rPr>
      </w:pPr>
      <w:r w:rsidRPr="00054B4D">
        <w:rPr>
          <w:b/>
        </w:rPr>
        <w:t>Dissimilarity Index</w:t>
      </w:r>
    </w:p>
    <w:p w14:paraId="4B3D3FE6" w14:textId="77777777" w:rsidR="00AF0900" w:rsidRPr="00AF0900" w:rsidRDefault="00054B4D" w:rsidP="00AF0900">
      <w:pPr>
        <w:pStyle w:val="BodyText"/>
        <w:spacing w:before="120"/>
        <w:rPr>
          <w:i/>
        </w:rPr>
      </w:pPr>
      <w:r w:rsidRPr="00AF0900">
        <w:rPr>
          <w:i/>
        </w:rPr>
        <w:t xml:space="preserve">Summary </w:t>
      </w:r>
    </w:p>
    <w:p w14:paraId="07C93872" w14:textId="77777777" w:rsidR="00054B4D" w:rsidRPr="00054B4D" w:rsidRDefault="00054B4D" w:rsidP="00054B4D">
      <w:pPr>
        <w:pStyle w:val="BodyText"/>
        <w:spacing w:before="120"/>
      </w:pPr>
      <w:r w:rsidRPr="00054B4D">
        <w:t>The dissimilarity index (or the index of dissimilarity) is a commonly used measure of community-level segregation. The dissimilarity index represents the extent to which the distribution of any two groups (frequently racial or ethnic groups) differs across census tracts or block-groups. It is calculated as:</w:t>
      </w:r>
    </w:p>
    <w:p w14:paraId="4D871161" w14:textId="77777777" w:rsidR="00054B4D" w:rsidRPr="00054B4D" w:rsidRDefault="005A6D8A" w:rsidP="00054B4D">
      <w:pPr>
        <w:pStyle w:val="BodyText"/>
        <w:spacing w:before="120"/>
      </w:pPr>
      <m:oMathPara>
        <m:oMath>
          <m:sSubSup>
            <m:sSubSupPr>
              <m:ctrlPr>
                <w:rPr>
                  <w:rFonts w:ascii="Cambria Math" w:eastAsia="Calibri" w:hAnsi="Cambria Math"/>
                  <w:szCs w:val="22"/>
                </w:rPr>
              </m:ctrlPr>
            </m:sSubSupPr>
            <m:e>
              <m:r>
                <m:rPr>
                  <m:sty m:val="p"/>
                </m:rPr>
                <w:rPr>
                  <w:rFonts w:ascii="Cambria Math" w:eastAsia="Calibri" w:hAnsi="Cambria Math"/>
                  <w:szCs w:val="22"/>
                </w:rPr>
                <m:t>D</m:t>
              </m:r>
            </m:e>
            <m:sub>
              <m:r>
                <w:rPr>
                  <w:rFonts w:ascii="Cambria Math" w:eastAsia="Calibri" w:hAnsi="Cambria Math"/>
                  <w:szCs w:val="22"/>
                </w:rPr>
                <m:t>j</m:t>
              </m:r>
            </m:sub>
            <m:sup>
              <m:r>
                <w:rPr>
                  <w:rFonts w:ascii="Cambria Math" w:eastAsia="Calibri" w:hAnsi="Cambria Math"/>
                  <w:szCs w:val="22"/>
                </w:rPr>
                <m:t>WB</m:t>
              </m:r>
            </m:sup>
          </m:sSubSup>
          <m:r>
            <w:rPr>
              <w:rFonts w:ascii="Cambria Math" w:eastAsia="Cambria Math" w:hAnsi="Cambria Math" w:cs="Cambria Math"/>
              <w:szCs w:val="22"/>
            </w:rPr>
            <m:t xml:space="preserve">=100* </m:t>
          </m:r>
          <m:f>
            <m:fPr>
              <m:ctrlPr>
                <w:rPr>
                  <w:rFonts w:ascii="Cambria Math" w:eastAsia="Cambria Math" w:hAnsi="Cambria Math" w:cs="Cambria Math"/>
                  <w:i/>
                  <w:szCs w:val="22"/>
                </w:rPr>
              </m:ctrlPr>
            </m:fPr>
            <m:num>
              <m:r>
                <w:rPr>
                  <w:rFonts w:ascii="Cambria Math" w:eastAsia="Cambria Math" w:hAnsi="Cambria Math" w:cs="Cambria Math"/>
                  <w:szCs w:val="22"/>
                </w:rPr>
                <m:t>1</m:t>
              </m:r>
            </m:num>
            <m:den>
              <m:r>
                <w:rPr>
                  <w:rFonts w:ascii="Cambria Math" w:eastAsia="Cambria Math" w:hAnsi="Cambria Math" w:cs="Cambria Math"/>
                  <w:szCs w:val="22"/>
                </w:rPr>
                <m:t>2</m:t>
              </m:r>
            </m:den>
          </m:f>
          <m:nary>
            <m:naryPr>
              <m:chr m:val="∑"/>
              <m:grow m:val="1"/>
              <m:ctrlPr>
                <w:rPr>
                  <w:rFonts w:ascii="Cambria Math" w:eastAsia="Calibri" w:hAnsi="Cambria Math"/>
                  <w:szCs w:val="22"/>
                </w:rPr>
              </m:ctrlPr>
            </m:naryPr>
            <m:sub>
              <m:r>
                <w:rPr>
                  <w:rFonts w:ascii="Cambria Math" w:eastAsia="Cambria Math" w:hAnsi="Cambria Math" w:cs="Cambria Math"/>
                  <w:szCs w:val="22"/>
                </w:rPr>
                <m:t>i=1</m:t>
              </m:r>
            </m:sub>
            <m:sup>
              <m:r>
                <w:rPr>
                  <w:rFonts w:ascii="Cambria Math" w:eastAsia="Cambria Math" w:hAnsi="Cambria Math" w:cs="Cambria Math"/>
                  <w:szCs w:val="22"/>
                </w:rPr>
                <m:t>N</m:t>
              </m:r>
            </m:sup>
            <m:e>
              <m:d>
                <m:dPr>
                  <m:begChr m:val="|"/>
                  <m:endChr m:val="|"/>
                  <m:ctrlPr>
                    <w:rPr>
                      <w:rFonts w:ascii="Cambria Math" w:eastAsia="Calibri" w:hAnsi="Cambria Math"/>
                      <w:szCs w:val="22"/>
                    </w:rPr>
                  </m:ctrlPr>
                </m:dPr>
                <m:e>
                  <m:f>
                    <m:fPr>
                      <m:ctrlPr>
                        <w:rPr>
                          <w:rFonts w:ascii="Cambria Math" w:eastAsia="Calibri" w:hAnsi="Cambria Math"/>
                          <w:szCs w:val="22"/>
                        </w:rPr>
                      </m:ctrlPr>
                    </m:fPr>
                    <m:num>
                      <m:sSub>
                        <m:sSubPr>
                          <m:ctrlPr>
                            <w:rPr>
                              <w:rFonts w:ascii="Cambria Math" w:eastAsia="Calibri" w:hAnsi="Cambria Math"/>
                              <w:i/>
                              <w:szCs w:val="22"/>
                            </w:rPr>
                          </m:ctrlPr>
                        </m:sSubPr>
                        <m:e>
                          <m:r>
                            <w:rPr>
                              <w:rFonts w:ascii="Cambria Math" w:eastAsia="Calibri" w:hAnsi="Cambria Math"/>
                              <w:szCs w:val="22"/>
                            </w:rPr>
                            <m:t>W</m:t>
                          </m:r>
                        </m:e>
                        <m:sub>
                          <m:r>
                            <w:rPr>
                              <w:rFonts w:ascii="Cambria Math" w:eastAsia="Calibri" w:hAnsi="Cambria Math"/>
                              <w:szCs w:val="22"/>
                            </w:rPr>
                            <m:t>i</m:t>
                          </m:r>
                        </m:sub>
                      </m:sSub>
                    </m:num>
                    <m:den>
                      <m:sSub>
                        <m:sSubPr>
                          <m:ctrlPr>
                            <w:rPr>
                              <w:rFonts w:ascii="Cambria Math" w:eastAsia="Calibri" w:hAnsi="Cambria Math"/>
                              <w:i/>
                              <w:szCs w:val="22"/>
                            </w:rPr>
                          </m:ctrlPr>
                        </m:sSubPr>
                        <m:e>
                          <m:r>
                            <w:rPr>
                              <w:rFonts w:ascii="Cambria Math" w:eastAsia="Calibri" w:hAnsi="Cambria Math"/>
                              <w:szCs w:val="22"/>
                            </w:rPr>
                            <m:t>W</m:t>
                          </m:r>
                        </m:e>
                        <m:sub>
                          <m:r>
                            <w:rPr>
                              <w:rFonts w:ascii="Cambria Math" w:eastAsia="Calibri" w:hAnsi="Cambria Math"/>
                              <w:szCs w:val="22"/>
                            </w:rPr>
                            <m:t>j</m:t>
                          </m:r>
                        </m:sub>
                      </m:sSub>
                    </m:den>
                  </m:f>
                  <m:r>
                    <w:rPr>
                      <w:rFonts w:ascii="Cambria Math" w:eastAsia="Calibri" w:hAnsi="Cambria Math"/>
                      <w:szCs w:val="22"/>
                    </w:rPr>
                    <m:t>-</m:t>
                  </m:r>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B</m:t>
                          </m:r>
                        </m:e>
                        <m:sub>
                          <m:r>
                            <w:rPr>
                              <w:rFonts w:ascii="Cambria Math" w:eastAsia="Calibri" w:hAnsi="Cambria Math"/>
                              <w:szCs w:val="22"/>
                            </w:rPr>
                            <m:t>i</m:t>
                          </m:r>
                        </m:sub>
                      </m:sSub>
                    </m:num>
                    <m:den>
                      <m:sSub>
                        <m:sSubPr>
                          <m:ctrlPr>
                            <w:rPr>
                              <w:rFonts w:ascii="Cambria Math" w:eastAsia="Calibri" w:hAnsi="Cambria Math"/>
                              <w:i/>
                              <w:szCs w:val="22"/>
                            </w:rPr>
                          </m:ctrlPr>
                        </m:sSubPr>
                        <m:e>
                          <m:r>
                            <w:rPr>
                              <w:rFonts w:ascii="Cambria Math" w:eastAsia="Calibri" w:hAnsi="Cambria Math"/>
                              <w:szCs w:val="22"/>
                            </w:rPr>
                            <m:t>B</m:t>
                          </m:r>
                        </m:e>
                        <m:sub>
                          <m:r>
                            <w:rPr>
                              <w:rFonts w:ascii="Cambria Math" w:eastAsia="Calibri" w:hAnsi="Cambria Math"/>
                              <w:szCs w:val="22"/>
                            </w:rPr>
                            <m:t>j</m:t>
                          </m:r>
                        </m:sub>
                      </m:sSub>
                    </m:den>
                  </m:f>
                </m:e>
              </m:d>
              <m:r>
                <w:rPr>
                  <w:rFonts w:ascii="Cambria Math" w:eastAsia="Calibri" w:hAnsi="Cambria Math"/>
                  <w:szCs w:val="22"/>
                </w:rPr>
                <m:t xml:space="preserve"> </m:t>
              </m:r>
            </m:e>
          </m:nary>
        </m:oMath>
      </m:oMathPara>
    </w:p>
    <w:p w14:paraId="51B29745" w14:textId="77777777" w:rsidR="00054B4D" w:rsidRPr="00054B4D" w:rsidRDefault="00054B4D" w:rsidP="00054B4D">
      <w:pPr>
        <w:pStyle w:val="BodyText"/>
        <w:spacing w:before="240"/>
      </w:pPr>
      <w:r w:rsidRPr="00054B4D">
        <w:t xml:space="preserve">Where </w:t>
      </w:r>
      <w:r w:rsidRPr="00054B4D">
        <w:rPr>
          <w:i/>
        </w:rPr>
        <w:t>i</w:t>
      </w:r>
      <w:r w:rsidRPr="00054B4D">
        <w:t xml:space="preserve"> indexes census block-groups or tracts, </w:t>
      </w:r>
      <w:r w:rsidRPr="00054B4D">
        <w:rPr>
          <w:i/>
        </w:rPr>
        <w:t>j</w:t>
      </w:r>
      <w:r w:rsidRPr="00054B4D">
        <w:t xml:space="preserve"> is the jth jurisdiction, </w:t>
      </w:r>
      <w:r w:rsidRPr="00054B4D">
        <w:rPr>
          <w:i/>
        </w:rPr>
        <w:t>W</w:t>
      </w:r>
      <w:r w:rsidRPr="00054B4D">
        <w:t xml:space="preserve"> is group one and </w:t>
      </w:r>
      <w:r w:rsidRPr="00054B4D">
        <w:rPr>
          <w:i/>
        </w:rPr>
        <w:t>B</w:t>
      </w:r>
      <w:r w:rsidRPr="00054B4D">
        <w:t xml:space="preserve"> is group two, and </w:t>
      </w:r>
      <w:r w:rsidRPr="00054B4D">
        <w:rPr>
          <w:i/>
        </w:rPr>
        <w:t>N</w:t>
      </w:r>
      <w:r w:rsidRPr="00054B4D">
        <w:t xml:space="preserve"> is the number of block-groups or tracts</w:t>
      </w:r>
      <w:r w:rsidRPr="00054B4D">
        <w:rPr>
          <w:i/>
        </w:rPr>
        <w:t xml:space="preserve"> i</w:t>
      </w:r>
      <w:r w:rsidRPr="00054B4D">
        <w:t xml:space="preserve"> in jurisdiction j. </w:t>
      </w:r>
    </w:p>
    <w:p w14:paraId="4B621486" w14:textId="77777777" w:rsidR="00AF0900" w:rsidRPr="00AF0900" w:rsidRDefault="00054B4D" w:rsidP="00E07B76">
      <w:pPr>
        <w:pStyle w:val="BodyText"/>
        <w:rPr>
          <w:i/>
        </w:rPr>
      </w:pPr>
      <w:r w:rsidRPr="00AF0900">
        <w:rPr>
          <w:i/>
        </w:rPr>
        <w:t xml:space="preserve">Interpretation </w:t>
      </w:r>
    </w:p>
    <w:p w14:paraId="0CBA2616" w14:textId="77777777" w:rsidR="00054B4D" w:rsidRPr="00054B4D" w:rsidRDefault="00054B4D" w:rsidP="00E07B76">
      <w:pPr>
        <w:pStyle w:val="BodyText"/>
      </w:pPr>
      <w:r w:rsidRPr="00054B4D">
        <w:t>The values of the dissimilarity index range from 0 to 100, with a value of zero representing perfect integration between the racial groups in question, and a value of 100 representing perfect segregation between the racial groups. The following is one way to understand these values:</w:t>
      </w:r>
    </w:p>
    <w:tbl>
      <w:tblPr>
        <w:tblStyle w:val="TableGrid1"/>
        <w:tblW w:w="5000" w:type="pct"/>
        <w:tblLook w:val="04A0" w:firstRow="1" w:lastRow="0" w:firstColumn="1" w:lastColumn="0" w:noHBand="0" w:noVBand="1"/>
      </w:tblPr>
      <w:tblGrid>
        <w:gridCol w:w="4346"/>
        <w:gridCol w:w="1683"/>
        <w:gridCol w:w="3187"/>
      </w:tblGrid>
      <w:tr w:rsidR="00054B4D" w:rsidRPr="00054B4D" w14:paraId="2D7F6907" w14:textId="77777777" w:rsidTr="00054B4D">
        <w:tc>
          <w:tcPr>
            <w:tcW w:w="2358" w:type="pct"/>
            <w:tcBorders>
              <w:bottom w:val="single" w:sz="4" w:space="0" w:color="auto"/>
            </w:tcBorders>
            <w:shd w:val="clear" w:color="auto" w:fill="C3C6A8" w:themeFill="accent4"/>
          </w:tcPr>
          <w:p w14:paraId="5C53BF74" w14:textId="77777777" w:rsidR="00054B4D" w:rsidRPr="00054B4D" w:rsidRDefault="00054B4D" w:rsidP="00054B4D">
            <w:pPr>
              <w:spacing w:after="0" w:line="240" w:lineRule="auto"/>
              <w:rPr>
                <w:rFonts w:ascii="Times New Roman" w:hAnsi="Times New Roman"/>
                <w:b/>
              </w:rPr>
            </w:pPr>
            <w:r w:rsidRPr="00054B4D">
              <w:rPr>
                <w:rFonts w:ascii="Times New Roman" w:hAnsi="Times New Roman"/>
                <w:b/>
              </w:rPr>
              <w:t>Measure</w:t>
            </w:r>
          </w:p>
        </w:tc>
        <w:tc>
          <w:tcPr>
            <w:tcW w:w="913" w:type="pct"/>
            <w:tcBorders>
              <w:bottom w:val="single" w:sz="4" w:space="0" w:color="auto"/>
            </w:tcBorders>
            <w:shd w:val="clear" w:color="auto" w:fill="C3C6A8" w:themeFill="accent4"/>
          </w:tcPr>
          <w:p w14:paraId="13E4BE74" w14:textId="77777777" w:rsidR="00054B4D" w:rsidRPr="00054B4D" w:rsidRDefault="00054B4D" w:rsidP="00054B4D">
            <w:pPr>
              <w:spacing w:after="0" w:line="240" w:lineRule="auto"/>
              <w:rPr>
                <w:rFonts w:ascii="Times New Roman" w:hAnsi="Times New Roman"/>
                <w:b/>
              </w:rPr>
            </w:pPr>
            <w:r w:rsidRPr="00054B4D">
              <w:rPr>
                <w:rFonts w:ascii="Times New Roman" w:hAnsi="Times New Roman"/>
                <w:b/>
              </w:rPr>
              <w:t>Values</w:t>
            </w:r>
          </w:p>
        </w:tc>
        <w:tc>
          <w:tcPr>
            <w:tcW w:w="1729" w:type="pct"/>
            <w:tcBorders>
              <w:bottom w:val="single" w:sz="4" w:space="0" w:color="auto"/>
            </w:tcBorders>
            <w:shd w:val="clear" w:color="auto" w:fill="C3C6A8" w:themeFill="accent4"/>
          </w:tcPr>
          <w:p w14:paraId="496B1E8A" w14:textId="77777777" w:rsidR="00054B4D" w:rsidRPr="00054B4D" w:rsidRDefault="00054B4D" w:rsidP="00054B4D">
            <w:pPr>
              <w:spacing w:after="0" w:line="240" w:lineRule="auto"/>
              <w:rPr>
                <w:rFonts w:ascii="Times New Roman" w:hAnsi="Times New Roman"/>
                <w:b/>
              </w:rPr>
            </w:pPr>
            <w:r w:rsidRPr="00054B4D">
              <w:rPr>
                <w:rFonts w:ascii="Times New Roman" w:hAnsi="Times New Roman"/>
                <w:b/>
              </w:rPr>
              <w:t>Description</w:t>
            </w:r>
          </w:p>
        </w:tc>
      </w:tr>
      <w:tr w:rsidR="00054B4D" w:rsidRPr="00054B4D" w14:paraId="68C4BFA1" w14:textId="77777777" w:rsidTr="00054B4D">
        <w:tc>
          <w:tcPr>
            <w:tcW w:w="2358" w:type="pct"/>
            <w:tcBorders>
              <w:top w:val="single" w:sz="4" w:space="0" w:color="auto"/>
              <w:left w:val="single" w:sz="4" w:space="0" w:color="auto"/>
              <w:bottom w:val="nil"/>
              <w:right w:val="nil"/>
            </w:tcBorders>
            <w:shd w:val="clear" w:color="auto" w:fill="auto"/>
          </w:tcPr>
          <w:p w14:paraId="0BED03AB"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Dissimilarity Index</w:t>
            </w:r>
          </w:p>
        </w:tc>
        <w:tc>
          <w:tcPr>
            <w:tcW w:w="913" w:type="pct"/>
            <w:tcBorders>
              <w:top w:val="single" w:sz="4" w:space="0" w:color="auto"/>
              <w:left w:val="nil"/>
              <w:bottom w:val="nil"/>
              <w:right w:val="nil"/>
            </w:tcBorders>
            <w:shd w:val="clear" w:color="auto" w:fill="auto"/>
          </w:tcPr>
          <w:p w14:paraId="1EB26D99"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&lt;40</w:t>
            </w:r>
          </w:p>
        </w:tc>
        <w:tc>
          <w:tcPr>
            <w:tcW w:w="1729" w:type="pct"/>
            <w:tcBorders>
              <w:top w:val="single" w:sz="4" w:space="0" w:color="auto"/>
              <w:left w:val="nil"/>
              <w:bottom w:val="nil"/>
              <w:right w:val="single" w:sz="4" w:space="0" w:color="auto"/>
            </w:tcBorders>
            <w:shd w:val="clear" w:color="auto" w:fill="auto"/>
          </w:tcPr>
          <w:p w14:paraId="3E233C15"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Low Segregation</w:t>
            </w:r>
          </w:p>
        </w:tc>
      </w:tr>
      <w:tr w:rsidR="00054B4D" w:rsidRPr="00054B4D" w14:paraId="2A96C784" w14:textId="77777777" w:rsidTr="00054B4D">
        <w:tc>
          <w:tcPr>
            <w:tcW w:w="2358" w:type="pct"/>
            <w:tcBorders>
              <w:top w:val="nil"/>
              <w:left w:val="single" w:sz="4" w:space="0" w:color="auto"/>
              <w:bottom w:val="nil"/>
              <w:right w:val="nil"/>
            </w:tcBorders>
            <w:shd w:val="clear" w:color="auto" w:fill="auto"/>
          </w:tcPr>
          <w:p w14:paraId="5EF860B3"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[range 0-100]</w:t>
            </w:r>
          </w:p>
        </w:tc>
        <w:tc>
          <w:tcPr>
            <w:tcW w:w="913" w:type="pct"/>
            <w:tcBorders>
              <w:top w:val="nil"/>
              <w:left w:val="nil"/>
              <w:bottom w:val="nil"/>
              <w:right w:val="nil"/>
            </w:tcBorders>
            <w:shd w:val="clear" w:color="auto" w:fill="auto"/>
          </w:tcPr>
          <w:p w14:paraId="79A28B5D"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40-54</w:t>
            </w:r>
          </w:p>
        </w:tc>
        <w:tc>
          <w:tcPr>
            <w:tcW w:w="1729" w:type="pct"/>
            <w:tcBorders>
              <w:top w:val="nil"/>
              <w:left w:val="nil"/>
              <w:bottom w:val="nil"/>
              <w:right w:val="single" w:sz="4" w:space="0" w:color="auto"/>
            </w:tcBorders>
            <w:shd w:val="clear" w:color="auto" w:fill="auto"/>
          </w:tcPr>
          <w:p w14:paraId="6BC974E8"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Moderate Segregation</w:t>
            </w:r>
          </w:p>
        </w:tc>
      </w:tr>
      <w:tr w:rsidR="00054B4D" w:rsidRPr="00054B4D" w14:paraId="2971E585" w14:textId="77777777" w:rsidTr="00054B4D">
        <w:tc>
          <w:tcPr>
            <w:tcW w:w="2358" w:type="pct"/>
            <w:tcBorders>
              <w:top w:val="nil"/>
              <w:left w:val="single" w:sz="4" w:space="0" w:color="auto"/>
              <w:bottom w:val="single" w:sz="4" w:space="0" w:color="auto"/>
              <w:right w:val="nil"/>
            </w:tcBorders>
          </w:tcPr>
          <w:p w14:paraId="7570E7B2" w14:textId="77777777" w:rsidR="00054B4D" w:rsidRPr="00054B4D" w:rsidRDefault="00054B4D" w:rsidP="00054B4D">
            <w:pPr>
              <w:spacing w:after="0" w:line="240" w:lineRule="auto"/>
              <w:rPr>
                <w:rFonts w:ascii="Times New Roman" w:hAnsi="Times New Roman"/>
              </w:rPr>
            </w:pPr>
          </w:p>
        </w:tc>
        <w:tc>
          <w:tcPr>
            <w:tcW w:w="913" w:type="pct"/>
            <w:tcBorders>
              <w:top w:val="nil"/>
              <w:left w:val="nil"/>
              <w:bottom w:val="single" w:sz="4" w:space="0" w:color="auto"/>
              <w:right w:val="nil"/>
            </w:tcBorders>
          </w:tcPr>
          <w:p w14:paraId="07758237"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&gt;55</w:t>
            </w:r>
          </w:p>
        </w:tc>
        <w:tc>
          <w:tcPr>
            <w:tcW w:w="1729" w:type="pct"/>
            <w:tcBorders>
              <w:top w:val="nil"/>
              <w:left w:val="nil"/>
              <w:bottom w:val="single" w:sz="4" w:space="0" w:color="auto"/>
              <w:right w:val="single" w:sz="4" w:space="0" w:color="auto"/>
            </w:tcBorders>
          </w:tcPr>
          <w:p w14:paraId="421136D8" w14:textId="77777777" w:rsidR="00054B4D" w:rsidRPr="00054B4D" w:rsidRDefault="00054B4D" w:rsidP="00054B4D">
            <w:pPr>
              <w:spacing w:after="0" w:line="240" w:lineRule="auto"/>
              <w:rPr>
                <w:rFonts w:ascii="Times New Roman" w:hAnsi="Times New Roman"/>
              </w:rPr>
            </w:pPr>
            <w:r w:rsidRPr="00054B4D">
              <w:rPr>
                <w:rFonts w:ascii="Times New Roman" w:hAnsi="Times New Roman"/>
              </w:rPr>
              <w:t>High Segregation</w:t>
            </w:r>
          </w:p>
        </w:tc>
      </w:tr>
    </w:tbl>
    <w:p w14:paraId="117EEC1F" w14:textId="77777777" w:rsidR="00AF0900" w:rsidRDefault="00AF0900" w:rsidP="00AF0900">
      <w:pPr>
        <w:pStyle w:val="BodyText"/>
        <w:spacing w:before="120" w:after="0"/>
        <w:rPr>
          <w:u w:val="single"/>
        </w:rPr>
      </w:pPr>
    </w:p>
    <w:p w14:paraId="4D351BB5" w14:textId="77777777" w:rsidR="00054B4D" w:rsidRDefault="00054B4D" w:rsidP="00AF0900">
      <w:pPr>
        <w:pStyle w:val="BodyText"/>
        <w:spacing w:before="120" w:after="0"/>
      </w:pPr>
      <w:r w:rsidRPr="00E07B76">
        <w:rPr>
          <w:u w:val="single"/>
        </w:rPr>
        <w:t>Data Source:</w:t>
      </w:r>
      <w:r>
        <w:t xml:space="preserve"> Decennial Census, 2010, 2000, 1990. Block-group level data were used for 2010, and census tracts were used for 2000 and 1990. </w:t>
      </w:r>
    </w:p>
    <w:p w14:paraId="0974BC4F" w14:textId="77777777" w:rsidR="00054B4D" w:rsidRDefault="00054B4D" w:rsidP="00054B4D">
      <w:pPr>
        <w:pStyle w:val="BodyText"/>
        <w:spacing w:after="0"/>
      </w:pPr>
      <w:r w:rsidRPr="00E07B76">
        <w:rPr>
          <w:u w:val="single"/>
        </w:rPr>
        <w:t>Related Template Tables/Maps:</w:t>
      </w:r>
      <w:r>
        <w:t xml:space="preserve"> Table </w:t>
      </w:r>
      <w:r w:rsidR="001E2F3B">
        <w:t>3</w:t>
      </w:r>
    </w:p>
    <w:p w14:paraId="5E68D619" w14:textId="77777777" w:rsidR="00054B4D" w:rsidRPr="00E07B76" w:rsidRDefault="00054B4D" w:rsidP="00054B4D">
      <w:pPr>
        <w:pStyle w:val="BodyText"/>
        <w:spacing w:after="0"/>
        <w:rPr>
          <w:u w:val="single"/>
        </w:rPr>
      </w:pPr>
      <w:r w:rsidRPr="00E07B76">
        <w:rPr>
          <w:u w:val="single"/>
        </w:rPr>
        <w:t xml:space="preserve">References: </w:t>
      </w:r>
    </w:p>
    <w:p w14:paraId="76EA6E25" w14:textId="77777777" w:rsidR="00054B4D" w:rsidRPr="00054B4D" w:rsidRDefault="00054B4D" w:rsidP="00054B4D">
      <w:pPr>
        <w:pStyle w:val="BodyText"/>
      </w:pPr>
      <w:r>
        <w:lastRenderedPageBreak/>
        <w:t>Massey, Douglas S. and Nancy A. Denton. 1988. The Dimensions of Residential Segregation. Social Forces, 67(2): 281-315.</w:t>
      </w:r>
    </w:p>
    <w:p w14:paraId="1A908551" w14:textId="77777777" w:rsidR="006844C5" w:rsidRDefault="006844C5">
      <w:pPr>
        <w:spacing w:after="0" w:line="240" w:lineRule="auto"/>
        <w:rPr>
          <w:b/>
        </w:rPr>
      </w:pPr>
      <w:r>
        <w:rPr>
          <w:b/>
        </w:rPr>
        <w:br w:type="page"/>
      </w:r>
    </w:p>
    <w:p w14:paraId="35574247" w14:textId="73F4C491" w:rsidR="00054B4D" w:rsidRPr="00054B4D" w:rsidRDefault="00054B4D" w:rsidP="006844C5">
      <w:pPr>
        <w:pStyle w:val="BodyText"/>
        <w:numPr>
          <w:ilvl w:val="0"/>
          <w:numId w:val="10"/>
        </w:numPr>
        <w:spacing w:before="120"/>
        <w:rPr>
          <w:b/>
        </w:rPr>
      </w:pPr>
      <w:r w:rsidRPr="00054B4D">
        <w:rPr>
          <w:b/>
        </w:rPr>
        <w:lastRenderedPageBreak/>
        <w:t xml:space="preserve">Analyzing </w:t>
      </w:r>
      <w:r w:rsidR="003D0FE4">
        <w:rPr>
          <w:b/>
        </w:rPr>
        <w:t>Disparities in Access to Opportunity</w:t>
      </w:r>
    </w:p>
    <w:p w14:paraId="6F966D11" w14:textId="372B2B19" w:rsidR="00054B4D" w:rsidRPr="00054B4D" w:rsidRDefault="00054B4D" w:rsidP="00054B4D">
      <w:pPr>
        <w:pStyle w:val="BodyText"/>
        <w:spacing w:before="120"/>
      </w:pPr>
      <w:r w:rsidRPr="00054B4D">
        <w:t>HUD has developed a two-stage process for analyzing disparities in access to</w:t>
      </w:r>
      <w:r w:rsidR="00AD7D5A">
        <w:t xml:space="preserve"> </w:t>
      </w:r>
      <w:r w:rsidR="003D0FE4">
        <w:t>opportunity</w:t>
      </w:r>
      <w:r w:rsidRPr="00054B4D">
        <w:t xml:space="preserve">. The first stage involves quantifying the degree to which a neighborhood offers features commonly viewed as important </w:t>
      </w:r>
      <w:r w:rsidR="003D0FE4">
        <w:t>opportunity indicators</w:t>
      </w:r>
      <w:r w:rsidRPr="00054B4D">
        <w:t xml:space="preserve"> such as education, employment, and transportation, among others. This stage uses metrics that rank each neighborhood along a set of key dimensions. In the second stage, HUD compares these rankings across people in particular racial and economic subgroups to characterize disparities in access to </w:t>
      </w:r>
      <w:r w:rsidR="003D0FE4">
        <w:t>opportunity</w:t>
      </w:r>
      <w:r w:rsidRPr="00054B4D">
        <w:t xml:space="preserve">. HUD considers </w:t>
      </w:r>
      <w:r w:rsidR="003D0FE4">
        <w:t>opportunity indicators</w:t>
      </w:r>
      <w:r w:rsidRPr="00054B4D">
        <w:t xml:space="preserve"> a multi-dimensional notion. To focus the analysis, HUD developed methods to quantify a se</w:t>
      </w:r>
      <w:r w:rsidR="004F2AA1">
        <w:t>lected number of the important</w:t>
      </w:r>
      <w:r w:rsidRPr="00054B4D">
        <w:t xml:space="preserve"> </w:t>
      </w:r>
      <w:r w:rsidR="003D0FE4">
        <w:t xml:space="preserve">opportunity indicators </w:t>
      </w:r>
      <w:r w:rsidRPr="00054B4D">
        <w:t>in every neighborhood. These dimensions were selected because existing research suggests they have a bearing on a range of individual outcomes. HUD has selected five dimensions upon which to focus: poverty, education, employment, transportation, and health.</w:t>
      </w:r>
    </w:p>
    <w:p w14:paraId="78E305C1" w14:textId="0E214077" w:rsidR="00054B4D" w:rsidRPr="00054B4D" w:rsidRDefault="00054B4D" w:rsidP="00054B4D">
      <w:pPr>
        <w:pStyle w:val="BodyText"/>
        <w:spacing w:before="120"/>
      </w:pPr>
      <w:r w:rsidRPr="00054B4D">
        <w:t xml:space="preserve">Invariably, these dimensions do not capture everything that is important to the well-being of individuals and families. In quantifying indicators of access to </w:t>
      </w:r>
      <w:r w:rsidR="003D0FE4">
        <w:t>opportunity</w:t>
      </w:r>
      <w:r w:rsidRPr="00054B4D">
        <w:t xml:space="preserve">, HUD is not making a definitive assessment of one’s life chances based on geography. HUD is quantifying features of neighborhoods for the purpose of assessing whether significant disparities exist in the spatial access or exposure of particular groups to these quality of life factors. While these important dimensions capture a number of key concepts identified by research as important to quality of life, the measures are not without limitations. </w:t>
      </w:r>
      <w:r w:rsidR="00021596">
        <w:t>HUD</w:t>
      </w:r>
      <w:r w:rsidRPr="00054B4D">
        <w:t xml:space="preserve"> constrained the scope of HUD-provided items to those that are closely linked to neighborhood geographies and could be measured consistently at small area levels across the country. For example, HUD's measure of school performance only reflects elementary school proficiency. It does not capture academic achievement for higher grades of schooling, which are important to a community's well-being, but likely less geographically tied to individual neighborhoods than elementary schools. Similarly, the health hazard measure only captures outdoor toxins, missing indoor exposures. The national-availability restriction is a necessity given that all HUD program participants must complete an Assessment of Fair Housing. HUD realizes that there are other assets that are relevant, such as neighborhood crime or housing unit lead and radon levels. However, these lack consistent neighborhood-level data across all program participant geographies. As a consequence, HUD encourages program participants to supplement the data it provides with robust locally-available data on these other assets so that the analysis is as all-encompassing as possible. The five dimensions are operationalized by seven indices, described below.</w:t>
      </w:r>
    </w:p>
    <w:p w14:paraId="3860C290" w14:textId="77777777" w:rsidR="00054B4D" w:rsidRPr="00054B4D" w:rsidRDefault="001D3264" w:rsidP="00822C08">
      <w:pPr>
        <w:pStyle w:val="BodyText"/>
        <w:numPr>
          <w:ilvl w:val="0"/>
          <w:numId w:val="9"/>
        </w:numPr>
        <w:spacing w:before="120"/>
        <w:rPr>
          <w:b/>
        </w:rPr>
      </w:pPr>
      <w:r>
        <w:rPr>
          <w:b/>
        </w:rPr>
        <w:t xml:space="preserve">Low </w:t>
      </w:r>
      <w:r w:rsidR="00054B4D" w:rsidRPr="00054B4D">
        <w:rPr>
          <w:b/>
        </w:rPr>
        <w:t>Poverty Index</w:t>
      </w:r>
    </w:p>
    <w:p w14:paraId="7314D51E" w14:textId="77777777" w:rsidR="00054B4D" w:rsidRPr="00AF0900" w:rsidRDefault="00AF0900" w:rsidP="00AF0900">
      <w:pPr>
        <w:pStyle w:val="BodyText"/>
        <w:spacing w:before="120" w:after="0"/>
        <w:rPr>
          <w:i/>
        </w:rPr>
      </w:pPr>
      <w:r w:rsidRPr="00AF0900">
        <w:rPr>
          <w:i/>
        </w:rPr>
        <w:t xml:space="preserve">Summary </w:t>
      </w:r>
    </w:p>
    <w:p w14:paraId="0140D2B1" w14:textId="77777777" w:rsidR="00054B4D" w:rsidRPr="00054B4D" w:rsidRDefault="00021596" w:rsidP="00AF0900">
      <w:pPr>
        <w:pStyle w:val="BodyText"/>
        <w:spacing w:before="120" w:after="0"/>
      </w:pPr>
      <w:r>
        <w:t>The</w:t>
      </w:r>
      <w:r w:rsidR="00054B4D" w:rsidRPr="00054B4D">
        <w:t xml:space="preserve"> </w:t>
      </w:r>
      <w:r w:rsidR="009B090B">
        <w:t xml:space="preserve">low </w:t>
      </w:r>
      <w:r w:rsidR="00054B4D" w:rsidRPr="00054B4D">
        <w:t xml:space="preserve">poverty index captures poverty in a given neighborhood. The index is </w:t>
      </w:r>
      <w:r w:rsidR="00F31FBD">
        <w:t xml:space="preserve">based on </w:t>
      </w:r>
      <w:r w:rsidR="00054B4D" w:rsidRPr="00054B4D">
        <w:t>the poverty rate (</w:t>
      </w:r>
      <w:r w:rsidR="00054B4D" w:rsidRPr="00054B4D">
        <w:rPr>
          <w:i/>
        </w:rPr>
        <w:t>pv</w:t>
      </w:r>
      <w:r w:rsidR="00054B4D" w:rsidRPr="00054B4D">
        <w:t xml:space="preserve">). </w:t>
      </w:r>
    </w:p>
    <w:p w14:paraId="2EDF8E45" w14:textId="77777777" w:rsidR="00054B4D" w:rsidRDefault="005A6D8A" w:rsidP="00054B4D">
      <w:pPr>
        <w:pStyle w:val="BodyText"/>
        <w:spacing w:before="120"/>
      </w:pPr>
      <m:oMathPara>
        <m:oMath>
          <m:sSub>
            <m:sSubPr>
              <m:ctrlPr>
                <w:rPr>
                  <w:rFonts w:ascii="Cambria Math" w:eastAsia="Calibri" w:hAnsi="Cambria Math"/>
                  <w:szCs w:val="22"/>
                </w:rPr>
              </m:ctrlPr>
            </m:sSubPr>
            <m:e>
              <m:r>
                <w:rPr>
                  <w:rFonts w:ascii="Cambria Math" w:eastAsia="Calibri" w:hAnsi="Cambria Math"/>
                  <w:szCs w:val="22"/>
                </w:rPr>
                <m:t>Pov</m:t>
              </m:r>
            </m:e>
            <m:sub>
              <m:r>
                <w:rPr>
                  <w:rFonts w:ascii="Cambria Math" w:eastAsia="Calibri" w:hAnsi="Cambria Math"/>
                  <w:szCs w:val="22"/>
                </w:rPr>
                <m:t>i</m:t>
              </m:r>
            </m:sub>
          </m:sSub>
          <m:r>
            <w:rPr>
              <w:rFonts w:ascii="Cambria Math" w:eastAsia="Calibri" w:hAnsi="Cambria Math"/>
              <w:szCs w:val="22"/>
            </w:rPr>
            <m:t>=</m:t>
          </m:r>
          <m:d>
            <m:dPr>
              <m:begChr m:val="["/>
              <m:endChr m:val="]"/>
              <m:ctrlPr>
                <w:rPr>
                  <w:rFonts w:ascii="Cambria Math" w:eastAsia="Calibri" w:hAnsi="Cambria Math"/>
                  <w:i/>
                  <w:szCs w:val="22"/>
                </w:rPr>
              </m:ctrlPr>
            </m:dPr>
            <m:e>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pv</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pv</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pv</m:t>
                          </m:r>
                        </m:sub>
                      </m:sSub>
                    </m:den>
                  </m:f>
                </m:e>
              </m:d>
              <m:r>
                <w:rPr>
                  <w:rFonts w:ascii="Cambria Math" w:eastAsia="Calibri" w:hAnsi="Cambria Math"/>
                  <w:szCs w:val="22"/>
                </w:rPr>
                <m:t>*-1</m:t>
              </m:r>
            </m:e>
          </m:d>
        </m:oMath>
      </m:oMathPara>
    </w:p>
    <w:p w14:paraId="5161A8DC" w14:textId="77777777" w:rsidR="00054B4D" w:rsidRPr="00054B4D" w:rsidRDefault="00054B4D" w:rsidP="00054B4D">
      <w:pPr>
        <w:pStyle w:val="BodyText"/>
        <w:spacing w:before="240"/>
      </w:pPr>
      <w:r w:rsidRPr="00054B4D">
        <w:t xml:space="preserve">Where </w:t>
      </w:r>
      <w:r w:rsidR="00F31FBD">
        <w:t xml:space="preserve">the </w:t>
      </w:r>
      <w:r w:rsidRPr="00054B4D">
        <w:t>mean (</w:t>
      </w:r>
      <m:oMath>
        <m:sSub>
          <m:sSubPr>
            <m:ctrlPr>
              <w:rPr>
                <w:rFonts w:ascii="Cambria Math" w:hAnsi="Cambria Math"/>
                <w:i/>
              </w:rPr>
            </m:ctrlPr>
          </m:sSubPr>
          <m:e>
            <m:r>
              <w:rPr>
                <w:rFonts w:ascii="Cambria Math" w:hAnsi="Cambria Math"/>
              </w:rPr>
              <m:t>μ</m:t>
            </m:r>
          </m:e>
          <m:sub>
            <m:r>
              <w:rPr>
                <w:rFonts w:ascii="Cambria Math" w:hAnsi="Cambria Math"/>
              </w:rPr>
              <m:t>pv</m:t>
            </m:r>
          </m:sub>
        </m:sSub>
      </m:oMath>
      <w:r w:rsidRPr="00054B4D">
        <w:t>) and standard error (</w:t>
      </w:r>
      <m:oMath>
        <m:sSub>
          <m:sSubPr>
            <m:ctrlPr>
              <w:rPr>
                <w:rFonts w:ascii="Cambria Math" w:hAnsi="Cambria Math"/>
                <w:i/>
              </w:rPr>
            </m:ctrlPr>
          </m:sSubPr>
          <m:e>
            <m:r>
              <w:rPr>
                <w:rFonts w:ascii="Cambria Math" w:hAnsi="Cambria Math"/>
              </w:rPr>
              <m:t>σ</m:t>
            </m:r>
          </m:e>
          <m:sub>
            <m:r>
              <w:rPr>
                <w:rFonts w:ascii="Cambria Math" w:hAnsi="Cambria Math"/>
              </w:rPr>
              <m:t>pv</m:t>
            </m:r>
          </m:sub>
        </m:sSub>
      </m:oMath>
      <w:r w:rsidRPr="00054B4D">
        <w:t xml:space="preserve">) are estimated over the national distribution. </w:t>
      </w:r>
    </w:p>
    <w:p w14:paraId="2A97E351" w14:textId="77777777" w:rsidR="00054B4D" w:rsidRPr="00054B4D" w:rsidRDefault="00054B4D" w:rsidP="00054B4D">
      <w:pPr>
        <w:pStyle w:val="BodyText"/>
        <w:spacing w:before="240"/>
      </w:pPr>
      <w:r w:rsidRPr="00054B4D">
        <w:t xml:space="preserve">The poverty rate </w:t>
      </w:r>
      <w:r w:rsidR="00F038CC">
        <w:t xml:space="preserve">is </w:t>
      </w:r>
      <w:r w:rsidRPr="00054B4D">
        <w:t xml:space="preserve">determined at the census tract level. </w:t>
      </w:r>
    </w:p>
    <w:p w14:paraId="1FF85F10" w14:textId="77777777" w:rsidR="00AF0900" w:rsidRPr="00AF0900" w:rsidRDefault="00AF0900" w:rsidP="00AF0900">
      <w:pPr>
        <w:pStyle w:val="BodyText"/>
        <w:spacing w:before="120" w:after="0"/>
        <w:rPr>
          <w:i/>
        </w:rPr>
      </w:pPr>
      <w:r w:rsidRPr="00AF0900">
        <w:rPr>
          <w:i/>
        </w:rPr>
        <w:t xml:space="preserve">Interpretation </w:t>
      </w:r>
    </w:p>
    <w:p w14:paraId="1663AAFA" w14:textId="77777777" w:rsidR="00054B4D" w:rsidRPr="00054B4D" w:rsidRDefault="00054B4D" w:rsidP="00AF0900">
      <w:pPr>
        <w:pStyle w:val="BodyText"/>
        <w:spacing w:before="120" w:after="0"/>
      </w:pPr>
      <w:r w:rsidRPr="00054B4D">
        <w:lastRenderedPageBreak/>
        <w:t>Values are inverted and percentile ranked nationally. The resulting values range from 0 to 100. The higher the score, the less exposure to poverty in a neighborhood.</w:t>
      </w:r>
    </w:p>
    <w:p w14:paraId="08A2FB36" w14:textId="77777777" w:rsidR="00AF0900" w:rsidRDefault="00AF0900" w:rsidP="00F244C7">
      <w:pPr>
        <w:pStyle w:val="BodyText"/>
        <w:spacing w:after="0"/>
        <w:rPr>
          <w:u w:val="single"/>
        </w:rPr>
      </w:pPr>
    </w:p>
    <w:p w14:paraId="6F8BF78B" w14:textId="77777777" w:rsidR="00054B4D" w:rsidRPr="00054B4D" w:rsidRDefault="00054B4D" w:rsidP="00F244C7">
      <w:pPr>
        <w:pStyle w:val="BodyText"/>
        <w:spacing w:after="0"/>
      </w:pPr>
      <w:r w:rsidRPr="00054B4D">
        <w:rPr>
          <w:u w:val="single"/>
        </w:rPr>
        <w:t>Data Source</w:t>
      </w:r>
      <w:r w:rsidRPr="00054B4D">
        <w:t>: American Community Survey, 2006-2010</w:t>
      </w:r>
    </w:p>
    <w:p w14:paraId="67A480C9" w14:textId="77777777" w:rsidR="00054B4D" w:rsidRPr="00054B4D" w:rsidRDefault="00054B4D" w:rsidP="00F244C7">
      <w:pPr>
        <w:pStyle w:val="BodyText"/>
      </w:pPr>
      <w:r w:rsidRPr="00054B4D">
        <w:rPr>
          <w:u w:val="single"/>
        </w:rPr>
        <w:t>Related Template Tables/Maps</w:t>
      </w:r>
      <w:r w:rsidRPr="00054B4D">
        <w:t xml:space="preserve">: Table </w:t>
      </w:r>
      <w:r w:rsidR="001E2F3B">
        <w:t>12</w:t>
      </w:r>
      <w:r w:rsidRPr="00054B4D">
        <w:t>; Map 13</w:t>
      </w:r>
    </w:p>
    <w:p w14:paraId="2CED9170" w14:textId="77777777" w:rsidR="00F244C7" w:rsidRPr="00F244C7" w:rsidRDefault="00F244C7" w:rsidP="00822C08">
      <w:pPr>
        <w:pStyle w:val="BodyText"/>
        <w:numPr>
          <w:ilvl w:val="0"/>
          <w:numId w:val="9"/>
        </w:numPr>
        <w:spacing w:before="240"/>
        <w:rPr>
          <w:b/>
        </w:rPr>
      </w:pPr>
      <w:r w:rsidRPr="00F244C7">
        <w:rPr>
          <w:b/>
        </w:rPr>
        <w:t>School Proficiency Index</w:t>
      </w:r>
    </w:p>
    <w:p w14:paraId="30F1372D" w14:textId="77777777" w:rsidR="00AF0900" w:rsidRPr="00AF0900" w:rsidRDefault="00AF0900" w:rsidP="00AF0900">
      <w:pPr>
        <w:pStyle w:val="BodyText"/>
        <w:spacing w:before="120" w:after="0"/>
        <w:rPr>
          <w:i/>
        </w:rPr>
      </w:pPr>
      <w:r w:rsidRPr="00AF0900">
        <w:rPr>
          <w:i/>
        </w:rPr>
        <w:t xml:space="preserve">Summary </w:t>
      </w:r>
    </w:p>
    <w:p w14:paraId="30DE89BF" w14:textId="77777777" w:rsidR="00F244C7" w:rsidRDefault="00F244C7" w:rsidP="00AF0900">
      <w:pPr>
        <w:pStyle w:val="BodyText"/>
        <w:spacing w:before="120" w:after="0"/>
      </w:pPr>
      <w:r w:rsidRPr="00F244C7">
        <w:t>The school proficiency index uses school-level data on the performance of 4</w:t>
      </w:r>
      <w:r w:rsidRPr="00F244C7">
        <w:rPr>
          <w:vertAlign w:val="superscript"/>
        </w:rPr>
        <w:t>th</w:t>
      </w:r>
      <w:r w:rsidRPr="00F244C7">
        <w:t xml:space="preserve"> grade students on state exams to describe which neighborhoods have high-performing elementary schools </w:t>
      </w:r>
      <w:r w:rsidR="00882459">
        <w:t>nearby and which are near lower performing elementary schools</w:t>
      </w:r>
      <w:r w:rsidRPr="00F244C7">
        <w:t>. The school proficiency index is a function of the percent of 4</w:t>
      </w:r>
      <w:r w:rsidRPr="00F244C7">
        <w:rPr>
          <w:vertAlign w:val="superscript"/>
        </w:rPr>
        <w:t>th</w:t>
      </w:r>
      <w:r w:rsidRPr="00F244C7">
        <w:t xml:space="preserve"> grade students proficient in reading (</w:t>
      </w:r>
      <w:r w:rsidRPr="00F244C7">
        <w:rPr>
          <w:i/>
        </w:rPr>
        <w:t>r</w:t>
      </w:r>
      <w:r w:rsidRPr="00F244C7">
        <w:t>) and math (</w:t>
      </w:r>
      <w:r w:rsidRPr="00F244C7">
        <w:rPr>
          <w:i/>
        </w:rPr>
        <w:t>m</w:t>
      </w:r>
      <w:r w:rsidRPr="00F244C7">
        <w:t xml:space="preserve">) on state test scores for up to three schools (i=1,2,3) within 1.5 miles of the block-group centroid. </w:t>
      </w:r>
      <w:r w:rsidRPr="00F244C7">
        <w:rPr>
          <w:i/>
        </w:rPr>
        <w:t>S</w:t>
      </w:r>
      <w:r w:rsidRPr="00F244C7">
        <w:t xml:space="preserve"> denotes 4</w:t>
      </w:r>
      <w:r w:rsidRPr="00F244C7">
        <w:rPr>
          <w:vertAlign w:val="superscript"/>
        </w:rPr>
        <w:t>th</w:t>
      </w:r>
      <w:r w:rsidRPr="00F244C7">
        <w:t xml:space="preserve"> grade school enrollment:</w:t>
      </w:r>
    </w:p>
    <w:p w14:paraId="64573A67" w14:textId="77777777" w:rsidR="00054B4D" w:rsidRDefault="005A6D8A" w:rsidP="00054B4D">
      <w:pPr>
        <w:pStyle w:val="BodyText"/>
        <w:spacing w:before="240"/>
      </w:pPr>
      <m:oMathPara>
        <m:oMath>
          <m:sSub>
            <m:sSubPr>
              <m:ctrlPr>
                <w:rPr>
                  <w:rFonts w:ascii="Cambria Math" w:eastAsia="Calibri" w:hAnsi="Cambria Math"/>
                  <w:i/>
                  <w:szCs w:val="22"/>
                </w:rPr>
              </m:ctrlPr>
            </m:sSubPr>
            <m:e>
              <m:r>
                <w:rPr>
                  <w:rFonts w:ascii="Cambria Math" w:eastAsia="Calibri" w:hAnsi="Cambria Math"/>
                  <w:szCs w:val="22"/>
                </w:rPr>
                <m:t>School</m:t>
              </m:r>
            </m:e>
            <m:sub>
              <m:r>
                <w:rPr>
                  <w:rFonts w:ascii="Cambria Math" w:eastAsia="Calibri" w:hAnsi="Cambria Math"/>
                  <w:szCs w:val="22"/>
                </w:rPr>
                <m:t>i</m:t>
              </m:r>
            </m:sub>
          </m:sSub>
          <m:r>
            <w:rPr>
              <w:rFonts w:ascii="Cambria Math" w:eastAsia="Calibri" w:hAnsi="Cambria Math"/>
              <w:szCs w:val="22"/>
            </w:rPr>
            <m:t>=</m:t>
          </m:r>
          <m:nary>
            <m:naryPr>
              <m:chr m:val="∑"/>
              <m:grow m:val="1"/>
              <m:ctrlPr>
                <w:rPr>
                  <w:rFonts w:ascii="Cambria Math" w:eastAsia="Calibri" w:hAnsi="Cambria Math"/>
                  <w:szCs w:val="22"/>
                </w:rPr>
              </m:ctrlPr>
            </m:naryPr>
            <m:sub>
              <m:r>
                <w:rPr>
                  <w:rFonts w:ascii="Cambria Math" w:eastAsia="Calibri" w:hAnsi="Cambria Math"/>
                  <w:szCs w:val="22"/>
                </w:rPr>
                <m:t>n=i</m:t>
              </m:r>
            </m:sub>
            <m:sup>
              <m:r>
                <w:rPr>
                  <w:rFonts w:ascii="Cambria Math" w:eastAsia="Calibri" w:hAnsi="Cambria Math"/>
                  <w:szCs w:val="22"/>
                </w:rPr>
                <m:t>3</m:t>
              </m:r>
            </m:sup>
            <m:e>
              <m:d>
                <m:dPr>
                  <m:ctrlPr>
                    <w:rPr>
                      <w:rFonts w:ascii="Cambria Math" w:eastAsia="Calibri" w:hAnsi="Cambria Math"/>
                      <w:szCs w:val="22"/>
                    </w:rPr>
                  </m:ctrlPr>
                </m:dPr>
                <m:e>
                  <m:f>
                    <m:fPr>
                      <m:ctrlPr>
                        <w:rPr>
                          <w:rFonts w:ascii="Cambria Math" w:eastAsia="Cambria Math" w:hAnsi="Cambria Math" w:cs="Cambria Math"/>
                          <w:i/>
                          <w:szCs w:val="22"/>
                        </w:rPr>
                      </m:ctrlPr>
                    </m:fPr>
                    <m:num>
                      <m:sSub>
                        <m:sSubPr>
                          <m:ctrlPr>
                            <w:rPr>
                              <w:rFonts w:ascii="Cambria Math" w:eastAsia="Cambria Math" w:hAnsi="Cambria Math" w:cs="Cambria Math"/>
                              <w:i/>
                              <w:szCs w:val="22"/>
                            </w:rPr>
                          </m:ctrlPr>
                        </m:sSubPr>
                        <m:e>
                          <m:r>
                            <w:rPr>
                              <w:rFonts w:ascii="Cambria Math" w:eastAsia="Cambria Math" w:hAnsi="Cambria Math" w:cs="Cambria Math"/>
                              <w:szCs w:val="22"/>
                            </w:rPr>
                            <m:t>s</m:t>
                          </m:r>
                        </m:e>
                        <m:sub>
                          <m:r>
                            <w:rPr>
                              <w:rFonts w:ascii="Cambria Math" w:eastAsia="Cambria Math" w:hAnsi="Cambria Math" w:cs="Cambria Math"/>
                              <w:szCs w:val="22"/>
                            </w:rPr>
                            <m:t>i</m:t>
                          </m:r>
                        </m:sub>
                      </m:sSub>
                    </m:num>
                    <m:den>
                      <m:sSup>
                        <m:sSupPr>
                          <m:ctrlPr>
                            <w:rPr>
                              <w:rFonts w:ascii="Cambria Math" w:eastAsia="Cambria Math" w:hAnsi="Cambria Math" w:cs="Cambria Math"/>
                              <w:i/>
                              <w:szCs w:val="22"/>
                            </w:rPr>
                          </m:ctrlPr>
                        </m:sSupPr>
                        <m:e>
                          <m:r>
                            <w:rPr>
                              <w:rFonts w:ascii="Cambria Math" w:eastAsia="Cambria Math" w:hAnsi="Cambria Math" w:cs="Cambria Math"/>
                              <w:szCs w:val="22"/>
                            </w:rPr>
                            <m:t>∑</m:t>
                          </m:r>
                        </m:e>
                        <m:sup>
                          <m:r>
                            <w:rPr>
                              <w:rFonts w:ascii="Cambria Math" w:eastAsia="Cambria Math" w:hAnsi="Cambria Math" w:cs="Cambria Math"/>
                              <w:szCs w:val="22"/>
                            </w:rPr>
                            <m:t>n</m:t>
                          </m:r>
                        </m:sup>
                      </m:sSup>
                      <m:sSub>
                        <m:sSubPr>
                          <m:ctrlPr>
                            <w:rPr>
                              <w:rFonts w:ascii="Cambria Math" w:eastAsia="Cambria Math" w:hAnsi="Cambria Math" w:cs="Cambria Math"/>
                              <w:i/>
                              <w:szCs w:val="22"/>
                            </w:rPr>
                          </m:ctrlPr>
                        </m:sSubPr>
                        <m:e>
                          <m:r>
                            <w:rPr>
                              <w:rFonts w:ascii="Cambria Math" w:eastAsia="Cambria Math" w:hAnsi="Cambria Math" w:cs="Cambria Math"/>
                              <w:szCs w:val="22"/>
                            </w:rPr>
                            <m:t>s</m:t>
                          </m:r>
                        </m:e>
                        <m:sub>
                          <m:r>
                            <w:rPr>
                              <w:rFonts w:ascii="Cambria Math" w:eastAsia="Cambria Math" w:hAnsi="Cambria Math" w:cs="Cambria Math"/>
                              <w:szCs w:val="22"/>
                            </w:rPr>
                            <m:t>i</m:t>
                          </m:r>
                        </m:sub>
                      </m:sSub>
                    </m:den>
                  </m:f>
                </m:e>
              </m:d>
            </m:e>
          </m:nary>
          <m:r>
            <w:rPr>
              <w:rFonts w:ascii="Cambria Math" w:eastAsia="Calibri" w:hAnsi="Cambria Math"/>
              <w:szCs w:val="22"/>
            </w:rPr>
            <m:t xml:space="preserve">* </m:t>
          </m:r>
          <m:d>
            <m:dPr>
              <m:begChr m:val="["/>
              <m:endChr m:val="]"/>
              <m:ctrlPr>
                <w:rPr>
                  <w:rFonts w:ascii="Cambria Math" w:eastAsia="Calibri" w:hAnsi="Cambria Math"/>
                  <w:i/>
                  <w:szCs w:val="22"/>
                </w:rPr>
              </m:ctrlPr>
            </m:dPr>
            <m:e>
              <m:f>
                <m:fPr>
                  <m:ctrlPr>
                    <w:rPr>
                      <w:rFonts w:ascii="Cambria Math" w:eastAsia="Calibri" w:hAnsi="Cambria Math"/>
                      <w:i/>
                      <w:szCs w:val="22"/>
                    </w:rPr>
                  </m:ctrlPr>
                </m:fPr>
                <m:num>
                  <m:r>
                    <w:rPr>
                      <w:rFonts w:ascii="Cambria Math" w:eastAsia="Calibri" w:hAnsi="Cambria Math"/>
                      <w:szCs w:val="22"/>
                    </w:rPr>
                    <m:t>1</m:t>
                  </m:r>
                </m:num>
                <m:den>
                  <m:r>
                    <w:rPr>
                      <w:rFonts w:ascii="Cambria Math" w:eastAsia="Calibri" w:hAnsi="Cambria Math"/>
                      <w:szCs w:val="22"/>
                    </w:rPr>
                    <m:t>2</m:t>
                  </m:r>
                </m:den>
              </m:f>
              <m:r>
                <w:rPr>
                  <w:rFonts w:ascii="Cambria Math" w:eastAsia="Calibri" w:hAnsi="Cambria Math"/>
                  <w:szCs w:val="22"/>
                </w:rPr>
                <m:t xml:space="preserve">* </m:t>
              </m:r>
              <m:sSub>
                <m:sSubPr>
                  <m:ctrlPr>
                    <w:rPr>
                      <w:rFonts w:ascii="Cambria Math" w:eastAsia="Calibri" w:hAnsi="Cambria Math"/>
                      <w:i/>
                      <w:szCs w:val="22"/>
                    </w:rPr>
                  </m:ctrlPr>
                </m:sSubPr>
                <m:e>
                  <m:r>
                    <w:rPr>
                      <w:rFonts w:ascii="Cambria Math" w:eastAsia="Calibri" w:hAnsi="Cambria Math"/>
                      <w:szCs w:val="22"/>
                    </w:rPr>
                    <m:t>r</m:t>
                  </m:r>
                </m:e>
                <m:sub>
                  <m:r>
                    <w:rPr>
                      <w:rFonts w:ascii="Cambria Math" w:eastAsia="Calibri" w:hAnsi="Cambria Math"/>
                      <w:szCs w:val="22"/>
                    </w:rPr>
                    <m:t>i</m:t>
                  </m:r>
                </m:sub>
              </m:sSub>
              <m:r>
                <w:rPr>
                  <w:rFonts w:ascii="Cambria Math" w:eastAsia="Calibri" w:hAnsi="Cambria Math"/>
                  <w:szCs w:val="22"/>
                </w:rPr>
                <m:t xml:space="preserve">+ </m:t>
              </m:r>
              <m:f>
                <m:fPr>
                  <m:ctrlPr>
                    <w:rPr>
                      <w:rFonts w:ascii="Cambria Math" w:eastAsia="Calibri" w:hAnsi="Cambria Math"/>
                      <w:i/>
                      <w:szCs w:val="22"/>
                    </w:rPr>
                  </m:ctrlPr>
                </m:fPr>
                <m:num>
                  <m:r>
                    <w:rPr>
                      <w:rFonts w:ascii="Cambria Math" w:eastAsia="Calibri" w:hAnsi="Cambria Math"/>
                      <w:szCs w:val="22"/>
                    </w:rPr>
                    <m:t>1</m:t>
                  </m:r>
                </m:num>
                <m:den>
                  <m:r>
                    <w:rPr>
                      <w:rFonts w:ascii="Cambria Math" w:eastAsia="Calibri" w:hAnsi="Cambria Math"/>
                      <w:szCs w:val="22"/>
                    </w:rPr>
                    <m:t>2</m:t>
                  </m:r>
                </m:den>
              </m:f>
              <m:r>
                <w:rPr>
                  <w:rFonts w:ascii="Cambria Math" w:eastAsia="Calibri" w:hAnsi="Cambria Math"/>
                  <w:szCs w:val="22"/>
                </w:rPr>
                <m:t xml:space="preserve">* </m:t>
              </m:r>
              <m:sSub>
                <m:sSubPr>
                  <m:ctrlPr>
                    <w:rPr>
                      <w:rFonts w:ascii="Cambria Math" w:eastAsia="Calibri" w:hAnsi="Cambria Math"/>
                      <w:i/>
                      <w:szCs w:val="22"/>
                    </w:rPr>
                  </m:ctrlPr>
                </m:sSubPr>
                <m:e>
                  <m:r>
                    <w:rPr>
                      <w:rFonts w:ascii="Cambria Math" w:eastAsia="Calibri" w:hAnsi="Cambria Math"/>
                      <w:szCs w:val="22"/>
                    </w:rPr>
                    <m:t>m</m:t>
                  </m:r>
                </m:e>
                <m:sub>
                  <m:r>
                    <w:rPr>
                      <w:rFonts w:ascii="Cambria Math" w:eastAsia="Calibri" w:hAnsi="Cambria Math"/>
                      <w:szCs w:val="22"/>
                    </w:rPr>
                    <m:t>i</m:t>
                  </m:r>
                </m:sub>
              </m:sSub>
            </m:e>
          </m:d>
        </m:oMath>
      </m:oMathPara>
    </w:p>
    <w:p w14:paraId="01686F58" w14:textId="77777777" w:rsidR="00F244C7" w:rsidRPr="00F244C7" w:rsidRDefault="00F244C7" w:rsidP="00F244C7">
      <w:pPr>
        <w:pStyle w:val="BodyText"/>
        <w:spacing w:before="240"/>
      </w:pPr>
      <w:r w:rsidRPr="00F244C7">
        <w:t xml:space="preserve">Elementary schools are linked with block-groups based on a geographic mapping of attendance area zones from School Attendance Boundary Information System (SABINS), where available, or within-district proximity matches of up to the three-closest schools within 1.5 miles. In cases with multiple school matches, an enrollment-weighted score is calculated following the equation above. </w:t>
      </w:r>
    </w:p>
    <w:p w14:paraId="1E8421FE" w14:textId="77777777" w:rsidR="00AF0900" w:rsidRDefault="00AF0900" w:rsidP="00AF0900">
      <w:pPr>
        <w:pStyle w:val="BodyText"/>
        <w:spacing w:before="120" w:after="0"/>
      </w:pPr>
      <w:r w:rsidRPr="00AF0900">
        <w:rPr>
          <w:i/>
        </w:rPr>
        <w:t>Interpretation</w:t>
      </w:r>
      <w:r w:rsidR="00F244C7" w:rsidRPr="00F244C7">
        <w:t xml:space="preserve"> </w:t>
      </w:r>
    </w:p>
    <w:p w14:paraId="4E18C864" w14:textId="77777777" w:rsidR="00F244C7" w:rsidRPr="00F244C7" w:rsidRDefault="00F244C7" w:rsidP="00AF0900">
      <w:pPr>
        <w:pStyle w:val="BodyText"/>
        <w:spacing w:before="120" w:after="0"/>
      </w:pPr>
      <w:r w:rsidRPr="00F244C7">
        <w:t xml:space="preserve">Values are percentile ranked and range from 0 to 100. The higher the score, the higher the school system quality is in a neighborhood. </w:t>
      </w:r>
    </w:p>
    <w:p w14:paraId="27CC95BC" w14:textId="77777777" w:rsidR="00AF0900" w:rsidRDefault="00AF0900" w:rsidP="00F244C7">
      <w:pPr>
        <w:pStyle w:val="BodyText"/>
        <w:spacing w:after="0"/>
        <w:rPr>
          <w:u w:val="single"/>
        </w:rPr>
      </w:pPr>
    </w:p>
    <w:p w14:paraId="6E991094" w14:textId="77777777" w:rsidR="00F244C7" w:rsidRPr="00F244C7" w:rsidRDefault="00F244C7" w:rsidP="00F244C7">
      <w:pPr>
        <w:pStyle w:val="BodyText"/>
        <w:spacing w:after="0"/>
      </w:pPr>
      <w:r w:rsidRPr="00F244C7">
        <w:rPr>
          <w:u w:val="single"/>
        </w:rPr>
        <w:t>Data Source</w:t>
      </w:r>
      <w:r w:rsidRPr="00F244C7">
        <w:t>: Great Schools (proficiency data, 2011-12 or more recent); Common Core of Data (school addresses and enrollment, 2011-12); SABINS (attendance boundaries, 2011-12).</w:t>
      </w:r>
    </w:p>
    <w:p w14:paraId="011E0251" w14:textId="77777777" w:rsidR="00F244C7" w:rsidRDefault="00F244C7" w:rsidP="00F244C7">
      <w:pPr>
        <w:pStyle w:val="BodyText"/>
      </w:pPr>
      <w:r w:rsidRPr="00F244C7">
        <w:rPr>
          <w:u w:val="single"/>
        </w:rPr>
        <w:t>Related Template Tables/Maps</w:t>
      </w:r>
      <w:r w:rsidRPr="00F244C7">
        <w:t xml:space="preserve">: Table </w:t>
      </w:r>
      <w:r w:rsidR="001E2F3B">
        <w:t>12</w:t>
      </w:r>
      <w:r w:rsidRPr="00F244C7">
        <w:t>; Map 9</w:t>
      </w:r>
    </w:p>
    <w:p w14:paraId="774B9D56" w14:textId="77777777" w:rsidR="008C1FF7" w:rsidRPr="00F244C7" w:rsidRDefault="008C1FF7" w:rsidP="000F2A21">
      <w:pPr>
        <w:pStyle w:val="BodyText"/>
        <w:numPr>
          <w:ilvl w:val="0"/>
          <w:numId w:val="9"/>
        </w:numPr>
        <w:rPr>
          <w:b/>
        </w:rPr>
      </w:pPr>
      <w:r w:rsidRPr="00F244C7">
        <w:rPr>
          <w:b/>
        </w:rPr>
        <w:t xml:space="preserve">Jobs Proximity Index </w:t>
      </w:r>
    </w:p>
    <w:p w14:paraId="2ADFEA20" w14:textId="77777777" w:rsidR="00F955B7" w:rsidRDefault="008C1FF7" w:rsidP="008C1FF7">
      <w:pPr>
        <w:pStyle w:val="BodyText"/>
        <w:spacing w:before="120" w:after="0"/>
        <w:rPr>
          <w:i/>
        </w:rPr>
      </w:pPr>
      <w:r w:rsidRPr="00AF0900">
        <w:rPr>
          <w:i/>
        </w:rPr>
        <w:t xml:space="preserve">Summary </w:t>
      </w:r>
    </w:p>
    <w:p w14:paraId="6B2592A2" w14:textId="77777777" w:rsidR="00F955B7" w:rsidRPr="00F244C7" w:rsidRDefault="00F955B7" w:rsidP="00F955B7">
      <w:pPr>
        <w:pStyle w:val="BodyText"/>
        <w:spacing w:before="120" w:after="0"/>
      </w:pPr>
      <w:r w:rsidRPr="00F244C7">
        <w:t>The jobs proximity index quantifies the accessibility of a given residential neighborhood as a function of its distance to all job locations within a CBSA, with larger employment centers weighted more heavily. Specifically, a gravity model is used, where the accessibility (</w:t>
      </w:r>
      <w:r w:rsidRPr="00F244C7">
        <w:rPr>
          <w:i/>
        </w:rPr>
        <w:t>Ai</w:t>
      </w:r>
      <w:r w:rsidRPr="00F244C7">
        <w:t>) of a given residential block-group is a summary description of the distance to all job locations, with the distance from any single job location positively weighted by the size of employment (job opportunities) at that location and inversely weighted by the labor supply (competition) to that location. More formally, the model has the following specification:</w:t>
      </w:r>
    </w:p>
    <w:p w14:paraId="1B7735DC" w14:textId="77777777" w:rsidR="00F955B7" w:rsidRPr="00E64FB7" w:rsidRDefault="005A6D8A" w:rsidP="00F955B7">
      <w:pPr>
        <w:pStyle w:val="BodyText"/>
        <w:rPr>
          <w:szCs w:val="22"/>
        </w:rPr>
      </w:pPr>
      <m:oMathPara>
        <m:oMath>
          <m:sSub>
            <m:sSubPr>
              <m:ctrlPr>
                <w:rPr>
                  <w:rFonts w:ascii="Cambria Math" w:hAnsi="Cambria Math"/>
                  <w:i/>
                  <w:szCs w:val="22"/>
                </w:rPr>
              </m:ctrlPr>
            </m:sSubPr>
            <m:e>
              <m:r>
                <w:rPr>
                  <w:rFonts w:ascii="Cambria Math" w:hAnsi="Cambria Math"/>
                  <w:szCs w:val="22"/>
                </w:rPr>
                <m:t>A</m:t>
              </m:r>
            </m:e>
            <m:sub>
              <m:r>
                <w:rPr>
                  <w:rFonts w:ascii="Cambria Math" w:hAnsi="Cambria Math"/>
                  <w:szCs w:val="22"/>
                </w:rPr>
                <m:t>i</m:t>
              </m:r>
            </m:sub>
          </m:sSub>
          <m:r>
            <w:rPr>
              <w:rFonts w:ascii="Cambria Math" w:hAnsi="Cambria Math"/>
              <w:szCs w:val="22"/>
            </w:rPr>
            <m:t xml:space="preserve">= </m:t>
          </m:r>
          <m:f>
            <m:fPr>
              <m:ctrlPr>
                <w:rPr>
                  <w:rFonts w:ascii="Cambria Math" w:hAnsi="Cambria Math"/>
                  <w:i/>
                  <w:szCs w:val="22"/>
                </w:rPr>
              </m:ctrlPr>
            </m:fPr>
            <m:num>
              <m:nary>
                <m:naryPr>
                  <m:chr m:val="∑"/>
                  <m:grow m:val="1"/>
                  <m:ctrlPr>
                    <w:rPr>
                      <w:rFonts w:ascii="Cambria Math" w:eastAsia="Calibri" w:hAnsi="Cambria Math"/>
                      <w:szCs w:val="22"/>
                    </w:rPr>
                  </m:ctrlPr>
                </m:naryPr>
                <m:sub>
                  <m:r>
                    <w:rPr>
                      <w:rFonts w:ascii="Cambria Math" w:eastAsia="Calibri" w:hAnsi="Cambria Math"/>
                      <w:szCs w:val="22"/>
                    </w:rPr>
                    <m:t>j=1</m:t>
                  </m:r>
                </m:sub>
                <m:sup>
                  <m:r>
                    <w:rPr>
                      <w:rFonts w:ascii="Cambria Math" w:eastAsia="Calibri" w:hAnsi="Cambria Math"/>
                      <w:szCs w:val="22"/>
                    </w:rPr>
                    <m:t>n</m:t>
                  </m:r>
                </m:sup>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E</m:t>
                          </m:r>
                        </m:e>
                        <m:sub>
                          <m:r>
                            <w:rPr>
                              <w:rFonts w:ascii="Cambria Math" w:eastAsia="Calibri" w:hAnsi="Cambria Math"/>
                              <w:szCs w:val="22"/>
                            </w:rPr>
                            <m:t xml:space="preserve">j </m:t>
                          </m:r>
                        </m:sub>
                      </m:sSub>
                    </m:num>
                    <m:den>
                      <m:sSup>
                        <m:sSupPr>
                          <m:ctrlPr>
                            <w:rPr>
                              <w:rFonts w:ascii="Cambria Math" w:eastAsia="Calibri" w:hAnsi="Cambria Math"/>
                              <w:i/>
                              <w:szCs w:val="22"/>
                            </w:rPr>
                          </m:ctrlPr>
                        </m:sSupPr>
                        <m:e>
                          <m:sSub>
                            <m:sSubPr>
                              <m:ctrlPr>
                                <w:rPr>
                                  <w:rFonts w:ascii="Cambria Math" w:eastAsia="Calibri" w:hAnsi="Cambria Math"/>
                                  <w:i/>
                                  <w:szCs w:val="22"/>
                                </w:rPr>
                              </m:ctrlPr>
                            </m:sSubPr>
                            <m:e>
                              <m:r>
                                <w:rPr>
                                  <w:rFonts w:ascii="Cambria Math" w:eastAsia="Calibri" w:hAnsi="Cambria Math"/>
                                  <w:szCs w:val="22"/>
                                </w:rPr>
                                <m:t>d</m:t>
                              </m:r>
                            </m:e>
                            <m:sub>
                              <m:r>
                                <w:rPr>
                                  <w:rFonts w:ascii="Cambria Math" w:eastAsia="Calibri" w:hAnsi="Cambria Math"/>
                                  <w:szCs w:val="22"/>
                                </w:rPr>
                                <m:t>i,j</m:t>
                              </m:r>
                            </m:sub>
                          </m:sSub>
                        </m:e>
                        <m:sup>
                          <m:r>
                            <w:rPr>
                              <w:rFonts w:ascii="Cambria Math" w:eastAsia="Calibri" w:hAnsi="Cambria Math"/>
                            </w:rPr>
                            <m:t>2</m:t>
                          </m:r>
                        </m:sup>
                      </m:sSup>
                    </m:den>
                  </m:f>
                </m:e>
              </m:nary>
            </m:num>
            <m:den>
              <m:nary>
                <m:naryPr>
                  <m:chr m:val="∑"/>
                  <m:grow m:val="1"/>
                  <m:ctrlPr>
                    <w:rPr>
                      <w:rFonts w:ascii="Cambria Math" w:eastAsia="Calibri" w:hAnsi="Cambria Math"/>
                      <w:szCs w:val="22"/>
                    </w:rPr>
                  </m:ctrlPr>
                </m:naryPr>
                <m:sub>
                  <m:r>
                    <w:rPr>
                      <w:rFonts w:ascii="Cambria Math" w:eastAsia="Calibri" w:hAnsi="Cambria Math"/>
                      <w:szCs w:val="22"/>
                    </w:rPr>
                    <m:t>j=1</m:t>
                  </m:r>
                </m:sub>
                <m:sup>
                  <m:r>
                    <w:rPr>
                      <w:rFonts w:ascii="Cambria Math" w:eastAsia="Calibri" w:hAnsi="Cambria Math"/>
                      <w:szCs w:val="22"/>
                    </w:rPr>
                    <m:t>n</m:t>
                  </m:r>
                </m:sup>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L</m:t>
                          </m:r>
                        </m:e>
                        <m:sub>
                          <m:r>
                            <w:rPr>
                              <w:rFonts w:ascii="Cambria Math" w:eastAsia="Calibri" w:hAnsi="Cambria Math"/>
                              <w:szCs w:val="22"/>
                            </w:rPr>
                            <m:t xml:space="preserve">j </m:t>
                          </m:r>
                        </m:sub>
                      </m:sSub>
                    </m:num>
                    <m:den>
                      <m:sSup>
                        <m:sSupPr>
                          <m:ctrlPr>
                            <w:rPr>
                              <w:rFonts w:ascii="Cambria Math" w:eastAsia="Calibri" w:hAnsi="Cambria Math"/>
                              <w:i/>
                              <w:szCs w:val="22"/>
                            </w:rPr>
                          </m:ctrlPr>
                        </m:sSupPr>
                        <m:e>
                          <m:sSub>
                            <m:sSubPr>
                              <m:ctrlPr>
                                <w:rPr>
                                  <w:rFonts w:ascii="Cambria Math" w:eastAsia="Calibri" w:hAnsi="Cambria Math"/>
                                  <w:i/>
                                  <w:szCs w:val="22"/>
                                </w:rPr>
                              </m:ctrlPr>
                            </m:sSubPr>
                            <m:e>
                              <m:r>
                                <w:rPr>
                                  <w:rFonts w:ascii="Cambria Math" w:eastAsia="Calibri" w:hAnsi="Cambria Math"/>
                                  <w:szCs w:val="22"/>
                                </w:rPr>
                                <m:t>d</m:t>
                              </m:r>
                            </m:e>
                            <m:sub>
                              <m:r>
                                <w:rPr>
                                  <w:rFonts w:ascii="Cambria Math" w:eastAsia="Calibri" w:hAnsi="Cambria Math"/>
                                  <w:szCs w:val="22"/>
                                </w:rPr>
                                <m:t>i,j</m:t>
                              </m:r>
                            </m:sub>
                          </m:sSub>
                        </m:e>
                        <m:sup>
                          <m:r>
                            <w:rPr>
                              <w:rFonts w:ascii="Cambria Math" w:eastAsia="Calibri" w:hAnsi="Cambria Math"/>
                            </w:rPr>
                            <m:t>2</m:t>
                          </m:r>
                        </m:sup>
                      </m:sSup>
                    </m:den>
                  </m:f>
                </m:e>
              </m:nary>
            </m:den>
          </m:f>
        </m:oMath>
      </m:oMathPara>
    </w:p>
    <w:p w14:paraId="4759E6B4" w14:textId="77777777" w:rsidR="00F955B7" w:rsidRDefault="00F955B7" w:rsidP="00F955B7">
      <w:pPr>
        <w:pStyle w:val="BodyText"/>
        <w:spacing w:before="240"/>
      </w:pPr>
      <w:r w:rsidRPr="00F244C7">
        <w:t>Where</w:t>
      </w:r>
      <w:r w:rsidRPr="00F244C7">
        <w:rPr>
          <w:i/>
        </w:rPr>
        <w:t xml:space="preserve"> i </w:t>
      </w:r>
      <w:r>
        <w:t>indexes</w:t>
      </w:r>
      <w:r w:rsidRPr="00F244C7">
        <w:t xml:space="preserve"> </w:t>
      </w:r>
      <w:r>
        <w:t xml:space="preserve">a given residential block-group, and  </w:t>
      </w:r>
      <w:r w:rsidRPr="00F244C7">
        <w:rPr>
          <w:i/>
        </w:rPr>
        <w:t>j</w:t>
      </w:r>
      <w:r w:rsidRPr="00F244C7">
        <w:t xml:space="preserve"> indexes </w:t>
      </w:r>
      <w:r>
        <w:t>all</w:t>
      </w:r>
      <w:r w:rsidRPr="00990905">
        <w:rPr>
          <w:i/>
        </w:rPr>
        <w:t xml:space="preserve"> n</w:t>
      </w:r>
      <w:r w:rsidRPr="00F244C7">
        <w:t xml:space="preserve"> </w:t>
      </w:r>
      <w:r>
        <w:t>block groups within a CBSA. D</w:t>
      </w:r>
      <w:r w:rsidRPr="00F244C7">
        <w:t xml:space="preserve">istance, </w:t>
      </w:r>
      <w:r w:rsidRPr="00F244C7">
        <w:rPr>
          <w:i/>
        </w:rPr>
        <w:t>d</w:t>
      </w:r>
      <w:r w:rsidRPr="00F244C7">
        <w:t xml:space="preserve">, is measured as “as the crow flies” between block-groups </w:t>
      </w:r>
      <w:r w:rsidRPr="00F244C7">
        <w:rPr>
          <w:i/>
        </w:rPr>
        <w:t>i</w:t>
      </w:r>
      <w:r w:rsidRPr="00F244C7">
        <w:t xml:space="preserve"> and </w:t>
      </w:r>
      <w:r w:rsidRPr="00F244C7">
        <w:rPr>
          <w:i/>
        </w:rPr>
        <w:t>j</w:t>
      </w:r>
      <w:r>
        <w:rPr>
          <w:i/>
        </w:rPr>
        <w:t>,</w:t>
      </w:r>
      <w:r>
        <w:t xml:space="preserve"> with distances less than 1 mile set equal to 1. </w:t>
      </w:r>
      <w:r w:rsidRPr="00F244C7">
        <w:rPr>
          <w:i/>
        </w:rPr>
        <w:t>E</w:t>
      </w:r>
      <w:r w:rsidRPr="00F244C7">
        <w:t xml:space="preserve"> represents the number of jobs in </w:t>
      </w:r>
      <w:r>
        <w:t xml:space="preserve">block-group </w:t>
      </w:r>
      <w:r w:rsidRPr="00F244C7">
        <w:rPr>
          <w:i/>
        </w:rPr>
        <w:t>j</w:t>
      </w:r>
      <w:r>
        <w:rPr>
          <w:i/>
        </w:rPr>
        <w:t>,</w:t>
      </w:r>
      <w:r w:rsidRPr="00F244C7">
        <w:t xml:space="preserve"> and </w:t>
      </w:r>
      <w:r w:rsidRPr="00F244C7">
        <w:rPr>
          <w:i/>
        </w:rPr>
        <w:t>L</w:t>
      </w:r>
      <w:r w:rsidRPr="00F244C7">
        <w:t xml:space="preserve"> is the number of workers</w:t>
      </w:r>
      <w:r>
        <w:t xml:space="preserve"> in block-group </w:t>
      </w:r>
      <w:r w:rsidRPr="00F244C7">
        <w:rPr>
          <w:i/>
        </w:rPr>
        <w:t>j</w:t>
      </w:r>
      <w:r w:rsidRPr="00F244C7">
        <w:t>.</w:t>
      </w:r>
    </w:p>
    <w:p w14:paraId="5EF4608E" w14:textId="77777777" w:rsidR="008C1FF7" w:rsidRPr="00F244C7" w:rsidRDefault="008C1FF7" w:rsidP="008C1FF7">
      <w:pPr>
        <w:pStyle w:val="BodyText"/>
        <w:spacing w:before="240"/>
      </w:pPr>
      <w:r>
        <w:t xml:space="preserve">The </w:t>
      </w:r>
      <w:r w:rsidRPr="00F244C7">
        <w:t xml:space="preserve">Longitudinal Employer-Household Dynamics (LEHD) </w:t>
      </w:r>
      <w:r>
        <w:t xml:space="preserve">has missing jobs data in all of Puerto Rico and a concentration of missing records in Massachusetts.  </w:t>
      </w:r>
    </w:p>
    <w:p w14:paraId="60290745" w14:textId="77777777" w:rsidR="008C1FF7" w:rsidRDefault="008C1FF7" w:rsidP="008C1FF7">
      <w:pPr>
        <w:pStyle w:val="BodyText"/>
        <w:spacing w:before="120" w:after="0"/>
      </w:pPr>
      <w:r w:rsidRPr="00AF0900">
        <w:rPr>
          <w:i/>
        </w:rPr>
        <w:t>Interpretation</w:t>
      </w:r>
      <w:r w:rsidRPr="00F244C7">
        <w:t xml:space="preserve"> </w:t>
      </w:r>
    </w:p>
    <w:p w14:paraId="2108BA2F" w14:textId="77777777" w:rsidR="008C1FF7" w:rsidRPr="00F244C7" w:rsidRDefault="008C1FF7" w:rsidP="008C1FF7">
      <w:pPr>
        <w:pStyle w:val="BodyText"/>
        <w:spacing w:before="120" w:after="0"/>
      </w:pPr>
      <w:r w:rsidRPr="00F244C7">
        <w:t xml:space="preserve">Values are percentile ranked with values ranging from 0 to 100. The higher the index value, the better the access to employment opportunities for residents in a neighborhood. </w:t>
      </w:r>
    </w:p>
    <w:p w14:paraId="66DB67ED" w14:textId="77777777" w:rsidR="008C1FF7" w:rsidRPr="00F244C7" w:rsidRDefault="008C1FF7" w:rsidP="008C1FF7">
      <w:pPr>
        <w:pStyle w:val="BodyText"/>
        <w:spacing w:before="240" w:after="0"/>
      </w:pPr>
      <w:r w:rsidRPr="00F244C7">
        <w:rPr>
          <w:u w:val="single"/>
        </w:rPr>
        <w:t>Data Source</w:t>
      </w:r>
      <w:r w:rsidRPr="00F244C7">
        <w:t>:  Longitudinal Employer-Household Dynamics (LEHD) data, 2010</w:t>
      </w:r>
    </w:p>
    <w:p w14:paraId="0A2EDA8C" w14:textId="77777777" w:rsidR="008C1FF7" w:rsidRPr="00F244C7" w:rsidRDefault="008C1FF7" w:rsidP="008C1FF7">
      <w:pPr>
        <w:pStyle w:val="BodyText"/>
      </w:pPr>
      <w:r w:rsidRPr="00F244C7">
        <w:rPr>
          <w:u w:val="single"/>
        </w:rPr>
        <w:t>Related Template Tables/Maps</w:t>
      </w:r>
      <w:r w:rsidRPr="00F244C7">
        <w:t xml:space="preserve">: Table </w:t>
      </w:r>
      <w:r>
        <w:t>12</w:t>
      </w:r>
      <w:r w:rsidRPr="00F244C7">
        <w:t>; Map 10</w:t>
      </w:r>
    </w:p>
    <w:p w14:paraId="4282F278" w14:textId="77777777" w:rsidR="008C1FF7" w:rsidRDefault="008C1FF7" w:rsidP="00F244C7">
      <w:pPr>
        <w:pStyle w:val="BodyText"/>
      </w:pPr>
    </w:p>
    <w:p w14:paraId="349CB59E" w14:textId="77777777" w:rsidR="00F244C7" w:rsidRPr="00F244C7" w:rsidRDefault="008C1FF7" w:rsidP="000F2A21">
      <w:pPr>
        <w:pStyle w:val="BodyText"/>
        <w:spacing w:before="240"/>
        <w:ind w:left="360"/>
        <w:rPr>
          <w:b/>
        </w:rPr>
      </w:pPr>
      <w:r>
        <w:rPr>
          <w:b/>
        </w:rPr>
        <w:t xml:space="preserve">5. </w:t>
      </w:r>
      <w:r w:rsidR="00F244C7" w:rsidRPr="00F244C7">
        <w:rPr>
          <w:b/>
        </w:rPr>
        <w:t>Labo</w:t>
      </w:r>
      <w:r w:rsidR="001D3264">
        <w:rPr>
          <w:b/>
        </w:rPr>
        <w:t xml:space="preserve">r </w:t>
      </w:r>
      <w:r w:rsidR="00F244C7" w:rsidRPr="00F244C7">
        <w:rPr>
          <w:b/>
        </w:rPr>
        <w:t xml:space="preserve">Market </w:t>
      </w:r>
      <w:r w:rsidR="000F2A21">
        <w:rPr>
          <w:b/>
        </w:rPr>
        <w:t xml:space="preserve">Engagement </w:t>
      </w:r>
      <w:r w:rsidR="00F244C7" w:rsidRPr="00F244C7">
        <w:rPr>
          <w:b/>
        </w:rPr>
        <w:t xml:space="preserve">Index </w:t>
      </w:r>
    </w:p>
    <w:p w14:paraId="7AF047EF" w14:textId="77777777" w:rsidR="00AF0900" w:rsidRPr="00AF0900" w:rsidRDefault="00AF0900" w:rsidP="00AF0900">
      <w:pPr>
        <w:pStyle w:val="BodyText"/>
        <w:spacing w:before="120"/>
        <w:rPr>
          <w:i/>
        </w:rPr>
      </w:pPr>
      <w:r w:rsidRPr="00AF0900">
        <w:rPr>
          <w:i/>
        </w:rPr>
        <w:t xml:space="preserve">Summary </w:t>
      </w:r>
    </w:p>
    <w:p w14:paraId="6F049E59" w14:textId="77777777" w:rsidR="00F244C7" w:rsidRPr="00F244C7" w:rsidRDefault="001D3264" w:rsidP="00F244C7">
      <w:pPr>
        <w:pStyle w:val="BodyText"/>
      </w:pPr>
      <w:r>
        <w:t xml:space="preserve">The labor </w:t>
      </w:r>
      <w:r w:rsidR="00F244C7" w:rsidRPr="00F244C7">
        <w:t>market</w:t>
      </w:r>
      <w:r w:rsidR="00B414B5">
        <w:t xml:space="preserve"> engagement</w:t>
      </w:r>
      <w:r w:rsidR="00F244C7" w:rsidRPr="00F244C7">
        <w:t xml:space="preserve"> index provides a summary description of the relative intensity of labor market engagement and human capital in a neighborhood. This is based upon the level of employment, labor force participation, and educational attainment in a census tract</w:t>
      </w:r>
      <w:r w:rsidR="00354155">
        <w:t xml:space="preserve"> (</w:t>
      </w:r>
      <w:r w:rsidR="00354155" w:rsidRPr="00354155">
        <w:rPr>
          <w:i/>
        </w:rPr>
        <w:t>i</w:t>
      </w:r>
      <w:r w:rsidR="00354155">
        <w:t>)</w:t>
      </w:r>
      <w:r>
        <w:t xml:space="preserve">. Formally, the labor </w:t>
      </w:r>
      <w:r w:rsidR="00F244C7" w:rsidRPr="00F244C7">
        <w:t>market index is a linear combination of three standardized vectors: unemployment rate (</w:t>
      </w:r>
      <w:r w:rsidR="00F244C7" w:rsidRPr="00354155">
        <w:rPr>
          <w:i/>
        </w:rPr>
        <w:t>u</w:t>
      </w:r>
      <w:r w:rsidR="00F244C7" w:rsidRPr="00F244C7">
        <w:t>), labor-force participation rate (</w:t>
      </w:r>
      <w:r w:rsidR="00F244C7" w:rsidRPr="00354155">
        <w:rPr>
          <w:i/>
        </w:rPr>
        <w:t>l</w:t>
      </w:r>
      <w:r w:rsidR="00F244C7" w:rsidRPr="00F244C7">
        <w:t>), and percent with a bachelor’s degree or higher (</w:t>
      </w:r>
      <w:r w:rsidR="00F244C7" w:rsidRPr="00354155">
        <w:rPr>
          <w:i/>
        </w:rPr>
        <w:t>b</w:t>
      </w:r>
      <w:r w:rsidR="00F244C7" w:rsidRPr="00F244C7">
        <w:t>), using the following formula:</w:t>
      </w:r>
    </w:p>
    <w:p w14:paraId="1F3BA65C" w14:textId="77777777" w:rsidR="00054B4D" w:rsidRDefault="005A6D8A" w:rsidP="00F244C7">
      <w:pPr>
        <w:pStyle w:val="BodyText"/>
        <w:spacing w:before="240"/>
      </w:pPr>
      <m:oMathPara>
        <m:oMath>
          <m:sSub>
            <m:sSubPr>
              <m:ctrlPr>
                <w:rPr>
                  <w:rFonts w:ascii="Cambria Math" w:eastAsia="Calibri" w:hAnsi="Cambria Math"/>
                  <w:szCs w:val="22"/>
                </w:rPr>
              </m:ctrlPr>
            </m:sSubPr>
            <m:e>
              <m:r>
                <w:rPr>
                  <w:rFonts w:ascii="Cambria Math" w:eastAsia="Calibri" w:hAnsi="Cambria Math"/>
                  <w:szCs w:val="22"/>
                </w:rPr>
                <m:t>LBM</m:t>
              </m:r>
            </m:e>
            <m:sub>
              <m:r>
                <w:rPr>
                  <w:rFonts w:ascii="Cambria Math" w:eastAsia="Calibri" w:hAnsi="Cambria Math"/>
                  <w:szCs w:val="22"/>
                </w:rPr>
                <m:t>i</m:t>
              </m:r>
            </m:sub>
          </m:sSub>
          <m:r>
            <w:rPr>
              <w:rFonts w:ascii="Cambria Math" w:eastAsia="Calibri" w:hAnsi="Cambria Math"/>
              <w:szCs w:val="22"/>
            </w:rPr>
            <m:t>=</m:t>
          </m:r>
          <m:d>
            <m:dPr>
              <m:begChr m:val="["/>
              <m:endChr m:val="]"/>
              <m:ctrlPr>
                <w:rPr>
                  <w:rFonts w:ascii="Cambria Math" w:eastAsia="Calibri" w:hAnsi="Cambria Math"/>
                  <w:i/>
                  <w:szCs w:val="22"/>
                </w:rPr>
              </m:ctrlPr>
            </m:dPr>
            <m:e>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u</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u</m:t>
                          </m:r>
                        </m:sub>
                      </m:sSub>
                    </m:den>
                  </m:f>
                </m:e>
              </m:d>
              <m:r>
                <w:rPr>
                  <w:rFonts w:ascii="Cambria Math" w:eastAsia="Calibri" w:hAnsi="Cambria Math"/>
                  <w:szCs w:val="22"/>
                </w:rPr>
                <m:t>*-1</m:t>
              </m:r>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l</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i</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l</m:t>
                      </m:r>
                    </m:sub>
                  </m:sSub>
                </m:den>
              </m:f>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b</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b</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b</m:t>
                      </m:r>
                    </m:sub>
                  </m:sSub>
                </m:den>
              </m:f>
            </m:e>
          </m:d>
        </m:oMath>
      </m:oMathPara>
    </w:p>
    <w:p w14:paraId="4E69CBCC" w14:textId="77777777" w:rsidR="00F244C7" w:rsidRPr="00F244C7" w:rsidRDefault="00F244C7" w:rsidP="00F244C7">
      <w:pPr>
        <w:pStyle w:val="BodyText"/>
      </w:pPr>
      <w:r w:rsidRPr="00F244C7">
        <w:t>Where the means (</w:t>
      </w:r>
      <m:oMath>
        <m:sSub>
          <m:sSubPr>
            <m:ctrlPr>
              <w:rPr>
                <w:rFonts w:ascii="Cambria Math" w:hAnsi="Cambria Math"/>
              </w:rPr>
            </m:ctrlPr>
          </m:sSubPr>
          <m:e>
            <m:r>
              <w:rPr>
                <w:rFonts w:ascii="Cambria Math" w:hAnsi="Cambria Math"/>
              </w:rPr>
              <m:t>μ</m:t>
            </m:r>
          </m:e>
          <m:sub>
            <m:r>
              <w:rPr>
                <w:rFonts w:ascii="Cambria Math" w:hAnsi="Cambria Math"/>
              </w:rPr>
              <m:t>u</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μ</m:t>
            </m:r>
          </m:e>
          <m:sub>
            <m:r>
              <w:rPr>
                <w:rFonts w:ascii="Cambria Math" w:hAnsi="Cambria Math"/>
              </w:rPr>
              <m:t>l</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μ</m:t>
            </m:r>
          </m:e>
          <m:sub>
            <m:r>
              <w:rPr>
                <w:rFonts w:ascii="Cambria Math" w:hAnsi="Cambria Math"/>
              </w:rPr>
              <m:t>b</m:t>
            </m:r>
          </m:sub>
        </m:sSub>
      </m:oMath>
      <w:r w:rsidRPr="00F244C7">
        <w:rPr>
          <w:rFonts w:eastAsiaTheme="minorEastAsia"/>
        </w:rPr>
        <w:t>) and standard errors (</w:t>
      </w:r>
      <m:oMath>
        <m:sSub>
          <m:sSubPr>
            <m:ctrlPr>
              <w:rPr>
                <w:rFonts w:ascii="Cambria Math" w:hAnsi="Cambria Math"/>
              </w:rPr>
            </m:ctrlPr>
          </m:sSubPr>
          <m:e>
            <m:r>
              <w:rPr>
                <w:rFonts w:ascii="Cambria Math" w:hAnsi="Cambria Math"/>
              </w:rPr>
              <m:t>σ</m:t>
            </m:r>
          </m:e>
          <m:sub>
            <m:r>
              <w:rPr>
                <w:rFonts w:ascii="Cambria Math" w:hAnsi="Cambria Math"/>
              </w:rPr>
              <m:t>u</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σ</m:t>
            </m:r>
          </m:e>
          <m:sub>
            <m:r>
              <w:rPr>
                <w:rFonts w:ascii="Cambria Math" w:hAnsi="Cambria Math"/>
              </w:rPr>
              <m:t>l</m:t>
            </m:r>
          </m:sub>
        </m:sSub>
      </m:oMath>
      <w:r w:rsidRPr="00F244C7">
        <w:rPr>
          <w:rFonts w:eastAsiaTheme="minorEastAsia"/>
        </w:rPr>
        <w:t xml:space="preserve">, </w:t>
      </w:r>
      <m:oMath>
        <m:sSub>
          <m:sSubPr>
            <m:ctrlPr>
              <w:rPr>
                <w:rFonts w:ascii="Cambria Math" w:hAnsi="Cambria Math"/>
              </w:rPr>
            </m:ctrlPr>
          </m:sSubPr>
          <m:e>
            <m:r>
              <w:rPr>
                <w:rFonts w:ascii="Cambria Math" w:hAnsi="Cambria Math"/>
              </w:rPr>
              <m:t>σ</m:t>
            </m:r>
          </m:e>
          <m:sub>
            <m:r>
              <w:rPr>
                <w:rFonts w:ascii="Cambria Math" w:hAnsi="Cambria Math"/>
              </w:rPr>
              <m:t>b</m:t>
            </m:r>
          </m:sub>
        </m:sSub>
      </m:oMath>
      <w:r w:rsidRPr="00F244C7">
        <w:rPr>
          <w:rFonts w:eastAsiaTheme="minorEastAsia"/>
        </w:rPr>
        <w:t>) are estimated over the national distribution. Also, the value for unemployment rate is inverted.</w:t>
      </w:r>
    </w:p>
    <w:p w14:paraId="4BBC29AD" w14:textId="77777777" w:rsidR="00AF0900" w:rsidRDefault="00AF0900" w:rsidP="00F244C7">
      <w:pPr>
        <w:pStyle w:val="BodyText"/>
      </w:pPr>
      <w:r w:rsidRPr="00AF0900">
        <w:rPr>
          <w:i/>
        </w:rPr>
        <w:t>Interpretation</w:t>
      </w:r>
      <w:r w:rsidR="00F244C7" w:rsidRPr="00F244C7">
        <w:t xml:space="preserve"> </w:t>
      </w:r>
    </w:p>
    <w:p w14:paraId="0C97A027" w14:textId="77777777" w:rsidR="00F244C7" w:rsidRPr="00F244C7" w:rsidRDefault="00F244C7" w:rsidP="00F244C7">
      <w:pPr>
        <w:pStyle w:val="BodyText"/>
      </w:pPr>
      <w:r w:rsidRPr="00F244C7">
        <w:t xml:space="preserve">Values are percentile ranked nationally and range from 0 to 100. The higher the score, the higher the </w:t>
      </w:r>
      <w:bookmarkStart w:id="14" w:name="_GoBack"/>
      <w:r w:rsidRPr="00F244C7">
        <w:t>labor</w:t>
      </w:r>
      <w:bookmarkEnd w:id="14"/>
      <w:r w:rsidRPr="00F244C7">
        <w:t xml:space="preserve"> force participation and human capital in a neighborhood.</w:t>
      </w:r>
    </w:p>
    <w:p w14:paraId="2FE7A487" w14:textId="77777777" w:rsidR="00F244C7" w:rsidRPr="00F244C7" w:rsidRDefault="00F244C7" w:rsidP="00F244C7">
      <w:pPr>
        <w:pStyle w:val="BodyText"/>
        <w:spacing w:before="240" w:after="0"/>
      </w:pPr>
      <w:r w:rsidRPr="00F244C7">
        <w:rPr>
          <w:u w:val="single"/>
        </w:rPr>
        <w:t>Data Source</w:t>
      </w:r>
      <w:r w:rsidRPr="00F244C7">
        <w:t>: American Community Survey, 2006-2010</w:t>
      </w:r>
    </w:p>
    <w:p w14:paraId="649F96E6" w14:textId="77777777" w:rsidR="00E07B76" w:rsidRDefault="00F244C7" w:rsidP="00F244C7">
      <w:pPr>
        <w:pStyle w:val="BodyText"/>
      </w:pPr>
      <w:r w:rsidRPr="00F244C7">
        <w:rPr>
          <w:u w:val="single"/>
        </w:rPr>
        <w:t>Related Template Tables/Maps</w:t>
      </w:r>
      <w:r w:rsidRPr="00F244C7">
        <w:t xml:space="preserve">: Table </w:t>
      </w:r>
      <w:r w:rsidR="001E2F3B">
        <w:t>12</w:t>
      </w:r>
      <w:r w:rsidRPr="00F244C7">
        <w:t>; Map 11</w:t>
      </w:r>
    </w:p>
    <w:p w14:paraId="596CD6CF" w14:textId="77777777" w:rsidR="00F244C7" w:rsidRPr="00F244C7" w:rsidRDefault="00A9086F" w:rsidP="000F2A21">
      <w:pPr>
        <w:pStyle w:val="BodyText"/>
        <w:spacing w:before="240"/>
        <w:ind w:left="720"/>
        <w:rPr>
          <w:b/>
        </w:rPr>
      </w:pPr>
      <w:r>
        <w:rPr>
          <w:b/>
        </w:rPr>
        <w:t xml:space="preserve">6. </w:t>
      </w:r>
      <w:r w:rsidR="001D3264">
        <w:rPr>
          <w:b/>
        </w:rPr>
        <w:t>Low Transportation Cost</w:t>
      </w:r>
      <w:r w:rsidR="00F244C7" w:rsidRPr="00F244C7">
        <w:rPr>
          <w:b/>
        </w:rPr>
        <w:t xml:space="preserve"> Index </w:t>
      </w:r>
    </w:p>
    <w:p w14:paraId="3F79BA8F" w14:textId="77777777" w:rsidR="00F244C7" w:rsidRPr="00AF0900" w:rsidRDefault="00AF0900" w:rsidP="00AF0900">
      <w:pPr>
        <w:pStyle w:val="BodyText"/>
        <w:spacing w:before="120"/>
        <w:rPr>
          <w:i/>
        </w:rPr>
      </w:pPr>
      <w:r w:rsidRPr="00AF0900">
        <w:rPr>
          <w:i/>
        </w:rPr>
        <w:lastRenderedPageBreak/>
        <w:t xml:space="preserve">Summary </w:t>
      </w:r>
      <w:r w:rsidR="00F244C7" w:rsidRPr="00F244C7">
        <w:rPr>
          <w:b/>
        </w:rPr>
        <w:t xml:space="preserve"> </w:t>
      </w:r>
    </w:p>
    <w:p w14:paraId="3BF6E75A" w14:textId="77777777" w:rsidR="00F244C7" w:rsidRPr="00F244C7" w:rsidRDefault="00F244C7" w:rsidP="00E07B76">
      <w:pPr>
        <w:pStyle w:val="BodyText"/>
      </w:pPr>
      <w:r w:rsidRPr="00F244C7">
        <w:t xml:space="preserve">This index is based on estimates of transportation costs for a family that meets the following description: a 3-person single-parent family with income at 50% of the median income for renters for the region (i.e. </w:t>
      </w:r>
      <w:r w:rsidR="00021596">
        <w:t>CBSA).</w:t>
      </w:r>
      <w:r w:rsidRPr="00F244C7">
        <w:t xml:space="preserve"> The estimates come from the Location Affordability Index (L</w:t>
      </w:r>
      <w:r w:rsidR="00A772B8">
        <w:t>AI). The data used in the AFFH T</w:t>
      </w:r>
      <w:r w:rsidRPr="00F244C7">
        <w:t xml:space="preserve">ool correspond to those for household type 6 (hh_type6_) as noted in the LAI data dictionary. More specifically, among this household type, we model transportation costs as a percent of income for renters (t_rent). Neighborhoods are defined as census tracts. </w:t>
      </w:r>
      <w:r w:rsidR="00A772B8">
        <w:t xml:space="preserve">The LAI data do not contain transportation cost information for Puerto Rico. </w:t>
      </w:r>
    </w:p>
    <w:p w14:paraId="0A1634A6" w14:textId="77777777" w:rsidR="00AF0900" w:rsidRDefault="00AF0900" w:rsidP="00E07B76">
      <w:pPr>
        <w:pStyle w:val="BodyText"/>
      </w:pPr>
      <w:r w:rsidRPr="00AF0900">
        <w:rPr>
          <w:i/>
        </w:rPr>
        <w:t>Interpretation</w:t>
      </w:r>
      <w:r w:rsidR="00F244C7" w:rsidRPr="00F244C7">
        <w:t xml:space="preserve"> </w:t>
      </w:r>
    </w:p>
    <w:p w14:paraId="10EE8CB0" w14:textId="77777777" w:rsidR="00F244C7" w:rsidRPr="00F244C7" w:rsidRDefault="00F244C7" w:rsidP="00E07B76">
      <w:pPr>
        <w:pStyle w:val="BodyText"/>
      </w:pPr>
      <w:r w:rsidRPr="00F244C7">
        <w:t xml:space="preserve">Values are inverted and percentile ranked nationally, with values ranging from 0 to 100. The higher the index, the lower the cost of transportation in that neighborhood. Transportation costs may be low for a range of reasons, including greater access to public transportation and the density of homes, services, and jobs in the neighborhood and surrounding community. </w:t>
      </w:r>
    </w:p>
    <w:p w14:paraId="2A98013F" w14:textId="77777777" w:rsidR="00F244C7" w:rsidRPr="00F244C7" w:rsidRDefault="00F244C7" w:rsidP="00E07B76">
      <w:pPr>
        <w:pStyle w:val="BodyText"/>
        <w:spacing w:after="0"/>
      </w:pPr>
      <w:r w:rsidRPr="00F244C7">
        <w:rPr>
          <w:u w:val="single"/>
        </w:rPr>
        <w:t>Data Source</w:t>
      </w:r>
      <w:r w:rsidRPr="00F244C7">
        <w:t xml:space="preserve">: Location Affordability Index (LAI) data, </w:t>
      </w:r>
      <w:r w:rsidR="00456C73">
        <w:t>2008-2012</w:t>
      </w:r>
    </w:p>
    <w:p w14:paraId="2474A867" w14:textId="77777777" w:rsidR="00F244C7" w:rsidRPr="00F244C7" w:rsidRDefault="00F244C7" w:rsidP="00E07B76">
      <w:pPr>
        <w:pStyle w:val="BodyText"/>
        <w:spacing w:after="0"/>
      </w:pPr>
      <w:r w:rsidRPr="00F244C7">
        <w:rPr>
          <w:u w:val="single"/>
        </w:rPr>
        <w:t>Related Template Tables/Maps</w:t>
      </w:r>
      <w:r w:rsidRPr="00F244C7">
        <w:t xml:space="preserve">: Table </w:t>
      </w:r>
      <w:r w:rsidR="001E2F3B">
        <w:t>12</w:t>
      </w:r>
      <w:r w:rsidRPr="00F244C7">
        <w:t xml:space="preserve">; Map </w:t>
      </w:r>
      <w:r w:rsidR="00503323">
        <w:t>17</w:t>
      </w:r>
    </w:p>
    <w:p w14:paraId="2A6D3B14" w14:textId="77777777" w:rsidR="00F244C7" w:rsidRPr="00F244C7" w:rsidRDefault="00F244C7" w:rsidP="00E07B76">
      <w:pPr>
        <w:pStyle w:val="BodyText"/>
        <w:spacing w:after="0"/>
      </w:pPr>
      <w:r w:rsidRPr="00F244C7">
        <w:rPr>
          <w:u w:val="single"/>
        </w:rPr>
        <w:t>References</w:t>
      </w:r>
      <w:r w:rsidRPr="00F244C7">
        <w:t xml:space="preserve">: </w:t>
      </w:r>
    </w:p>
    <w:p w14:paraId="3B8048EE" w14:textId="77777777" w:rsidR="00F244C7" w:rsidRPr="00F244C7" w:rsidRDefault="00F244C7" w:rsidP="00F244C7">
      <w:pPr>
        <w:pStyle w:val="BodyText"/>
        <w:spacing w:after="0"/>
      </w:pPr>
      <w:r w:rsidRPr="00F244C7">
        <w:t>www.locationaffordability.info</w:t>
      </w:r>
    </w:p>
    <w:p w14:paraId="437AA40F" w14:textId="77777777" w:rsidR="00F244C7" w:rsidRDefault="00F244C7" w:rsidP="00F244C7">
      <w:pPr>
        <w:pStyle w:val="BodyText"/>
      </w:pPr>
      <w:r w:rsidRPr="009B090B">
        <w:t>http://lai.locationaffordability.info//lai_data_dictionary.pdf</w:t>
      </w:r>
    </w:p>
    <w:p w14:paraId="52F4A5DF" w14:textId="77777777" w:rsidR="00F244C7" w:rsidRPr="00F244C7" w:rsidRDefault="00A9086F" w:rsidP="000F2A21">
      <w:pPr>
        <w:pStyle w:val="BodyText"/>
        <w:spacing w:before="240"/>
        <w:ind w:left="720"/>
        <w:rPr>
          <w:b/>
        </w:rPr>
      </w:pPr>
      <w:r>
        <w:rPr>
          <w:b/>
        </w:rPr>
        <w:t xml:space="preserve">7. </w:t>
      </w:r>
      <w:r w:rsidR="00F244C7" w:rsidRPr="00F244C7">
        <w:rPr>
          <w:b/>
        </w:rPr>
        <w:t xml:space="preserve">Transit Trips Index </w:t>
      </w:r>
    </w:p>
    <w:p w14:paraId="0E8C2E5C" w14:textId="77777777" w:rsidR="00F244C7" w:rsidRPr="00AF0900" w:rsidRDefault="00AF0900" w:rsidP="00AF0900">
      <w:pPr>
        <w:pStyle w:val="BodyText"/>
        <w:spacing w:before="120"/>
        <w:rPr>
          <w:i/>
        </w:rPr>
      </w:pPr>
      <w:r w:rsidRPr="00AF0900">
        <w:rPr>
          <w:i/>
        </w:rPr>
        <w:t xml:space="preserve">Summary </w:t>
      </w:r>
    </w:p>
    <w:p w14:paraId="32DB4ACD" w14:textId="77777777" w:rsidR="00F244C7" w:rsidRDefault="00F244C7" w:rsidP="00F244C7">
      <w:pPr>
        <w:pStyle w:val="BodyText"/>
        <w:spacing w:before="240"/>
      </w:pPr>
      <w:r w:rsidRPr="00F244C7">
        <w:t xml:space="preserve">This index is based on estimates of transit trips taken by a family that meets the following description: a 3-person single-parent family with income at 50% of the median income for renters for the region (i.e. the Core-Based Statistical Area (CBSA)). The estimates come from the Location Affordability Index (LAI). The data used in the AFFH tool correspond to those for household type 6 (hh_type6_) as noted in the LAI data dictionary. More specifically, among this household type, we model annual transit trips for renters (transit_trips_rent). Neighborhoods are defined as census tracts. </w:t>
      </w:r>
      <w:r w:rsidR="00A772B8">
        <w:t xml:space="preserve">The LAI </w:t>
      </w:r>
      <w:r w:rsidR="009E488C">
        <w:t>has missing</w:t>
      </w:r>
      <w:r w:rsidR="00A772B8">
        <w:t xml:space="preserve"> transit trip information for Puerto Rico.</w:t>
      </w:r>
    </w:p>
    <w:p w14:paraId="21D169F9" w14:textId="77777777" w:rsidR="006844C5" w:rsidRDefault="006844C5">
      <w:pPr>
        <w:spacing w:after="0" w:line="240" w:lineRule="auto"/>
        <w:rPr>
          <w:i/>
        </w:rPr>
      </w:pPr>
      <w:r>
        <w:rPr>
          <w:i/>
        </w:rPr>
        <w:br w:type="page"/>
      </w:r>
    </w:p>
    <w:p w14:paraId="79DB4494" w14:textId="77777777" w:rsidR="00AF0900" w:rsidRDefault="00961038" w:rsidP="00AF0900">
      <w:pPr>
        <w:pStyle w:val="BodyText"/>
        <w:spacing w:before="120" w:after="0"/>
      </w:pPr>
      <w:r>
        <w:rPr>
          <w:i/>
        </w:rPr>
        <w:lastRenderedPageBreak/>
        <w:t>I</w:t>
      </w:r>
      <w:r w:rsidR="00AF0900" w:rsidRPr="00AF0900">
        <w:rPr>
          <w:i/>
        </w:rPr>
        <w:t>nterpretation</w:t>
      </w:r>
    </w:p>
    <w:p w14:paraId="6BE2DAC6" w14:textId="77777777" w:rsidR="00F244C7" w:rsidRPr="00F244C7" w:rsidRDefault="00F244C7" w:rsidP="00AF0900">
      <w:pPr>
        <w:pStyle w:val="BodyText"/>
        <w:spacing w:before="120" w:after="0"/>
      </w:pPr>
      <w:r w:rsidRPr="00F244C7">
        <w:t>Values are percentile ranked nationally, with values ranging from 0 to 100. The higher the transit trips index, the more likely residents in that neighborhood utiliz</w:t>
      </w:r>
      <w:r w:rsidR="00021596">
        <w:t>e public transit. The index controls for income such that</w:t>
      </w:r>
      <w:r w:rsidRPr="00F244C7">
        <w:t xml:space="preserve"> a higher index value will often reflect better access to public transit. </w:t>
      </w:r>
    </w:p>
    <w:p w14:paraId="78EFC541" w14:textId="77777777" w:rsidR="00AF0900" w:rsidRDefault="00AF0900" w:rsidP="00AF0900">
      <w:pPr>
        <w:pStyle w:val="BodyText"/>
        <w:spacing w:after="0" w:line="240" w:lineRule="auto"/>
        <w:rPr>
          <w:u w:val="single"/>
        </w:rPr>
      </w:pPr>
    </w:p>
    <w:p w14:paraId="216F3B09" w14:textId="77777777" w:rsidR="00F244C7" w:rsidRPr="00F244C7" w:rsidRDefault="00F244C7" w:rsidP="00AF0900">
      <w:pPr>
        <w:pStyle w:val="BodyText"/>
        <w:spacing w:after="0" w:line="240" w:lineRule="auto"/>
      </w:pPr>
      <w:r w:rsidRPr="00F244C7">
        <w:rPr>
          <w:u w:val="single"/>
        </w:rPr>
        <w:t>Data Source</w:t>
      </w:r>
      <w:r w:rsidRPr="00F244C7">
        <w:t xml:space="preserve">: Location Affordability Index (LAI) data, </w:t>
      </w:r>
      <w:r w:rsidR="00456C73">
        <w:t>2008-2012</w:t>
      </w:r>
    </w:p>
    <w:p w14:paraId="43389BD1" w14:textId="77777777" w:rsidR="00F244C7" w:rsidRPr="00F244C7" w:rsidRDefault="00F244C7" w:rsidP="00AF0900">
      <w:pPr>
        <w:pStyle w:val="BodyText"/>
        <w:spacing w:after="0" w:line="240" w:lineRule="auto"/>
      </w:pPr>
      <w:r w:rsidRPr="00F244C7">
        <w:rPr>
          <w:u w:val="single"/>
        </w:rPr>
        <w:t>Related Template Tables/Maps</w:t>
      </w:r>
      <w:r w:rsidRPr="00F244C7">
        <w:t xml:space="preserve">: Table </w:t>
      </w:r>
      <w:r w:rsidR="001E2F3B">
        <w:t>12</w:t>
      </w:r>
      <w:r w:rsidRPr="00F244C7">
        <w:t>; Map 12</w:t>
      </w:r>
    </w:p>
    <w:p w14:paraId="6DBE68B4" w14:textId="77777777" w:rsidR="00F244C7" w:rsidRPr="00F244C7" w:rsidRDefault="00F244C7" w:rsidP="00AF0900">
      <w:pPr>
        <w:pStyle w:val="BodyText"/>
        <w:spacing w:after="0" w:line="240" w:lineRule="auto"/>
      </w:pPr>
      <w:r w:rsidRPr="00F244C7">
        <w:rPr>
          <w:u w:val="single"/>
        </w:rPr>
        <w:t>References</w:t>
      </w:r>
      <w:r w:rsidRPr="00F244C7">
        <w:t xml:space="preserve">: </w:t>
      </w:r>
    </w:p>
    <w:p w14:paraId="3CC3C20B" w14:textId="77777777" w:rsidR="00F244C7" w:rsidRPr="00F244C7" w:rsidRDefault="00F244C7" w:rsidP="00F244C7">
      <w:pPr>
        <w:pStyle w:val="BodyText"/>
        <w:spacing w:after="0"/>
      </w:pPr>
      <w:r w:rsidRPr="00F244C7">
        <w:t>www.locationaffordability.info</w:t>
      </w:r>
    </w:p>
    <w:p w14:paraId="3CF7F531" w14:textId="77777777" w:rsidR="00F244C7" w:rsidRPr="00F244C7" w:rsidRDefault="00F244C7" w:rsidP="00F244C7">
      <w:pPr>
        <w:pStyle w:val="BodyText"/>
      </w:pPr>
      <w:r w:rsidRPr="00F244C7">
        <w:t>http://lai.locationaffordability.info//lai_data_dictionary.pdf</w:t>
      </w:r>
    </w:p>
    <w:p w14:paraId="0F86206F" w14:textId="77777777" w:rsidR="00F244C7" w:rsidRPr="00F244C7" w:rsidRDefault="00A9086F" w:rsidP="000F2A21">
      <w:pPr>
        <w:pStyle w:val="BodyText"/>
        <w:spacing w:before="240"/>
        <w:ind w:left="360"/>
        <w:rPr>
          <w:b/>
        </w:rPr>
      </w:pPr>
      <w:r>
        <w:rPr>
          <w:b/>
        </w:rPr>
        <w:t xml:space="preserve">8. </w:t>
      </w:r>
      <w:r w:rsidR="00F244C7" w:rsidRPr="00F244C7">
        <w:rPr>
          <w:b/>
        </w:rPr>
        <w:t xml:space="preserve">Environmental Health Index </w:t>
      </w:r>
    </w:p>
    <w:p w14:paraId="27970EAE" w14:textId="77777777" w:rsidR="00F244C7" w:rsidRPr="00AF0900" w:rsidRDefault="00AF0900" w:rsidP="00AF0900">
      <w:pPr>
        <w:pStyle w:val="BodyText"/>
        <w:spacing w:before="120" w:after="0"/>
        <w:rPr>
          <w:i/>
        </w:rPr>
      </w:pPr>
      <w:r w:rsidRPr="00AF0900">
        <w:rPr>
          <w:i/>
        </w:rPr>
        <w:t xml:space="preserve">Summary </w:t>
      </w:r>
    </w:p>
    <w:p w14:paraId="691AE035" w14:textId="77777777" w:rsidR="00F244C7" w:rsidRPr="00F244C7" w:rsidRDefault="00F244C7" w:rsidP="00AF0900">
      <w:pPr>
        <w:pStyle w:val="BodyText"/>
        <w:spacing w:before="120" w:after="0"/>
      </w:pPr>
      <w:r w:rsidRPr="00F244C7">
        <w:t xml:space="preserve">The environmental health index summarizes potential exposure to harmful toxins at a neighborhood level. </w:t>
      </w:r>
      <w:r w:rsidR="009B090B">
        <w:t xml:space="preserve">The index </w:t>
      </w:r>
      <w:r w:rsidRPr="00F244C7">
        <w:t>is a linear combination of standardized EPA estimates of air quality carcinogenic (</w:t>
      </w:r>
      <w:r w:rsidRPr="00F244C7">
        <w:rPr>
          <w:i/>
        </w:rPr>
        <w:t>c</w:t>
      </w:r>
      <w:r w:rsidRPr="00F244C7">
        <w:t>), respiratory (</w:t>
      </w:r>
      <w:r w:rsidRPr="00F244C7">
        <w:rPr>
          <w:i/>
        </w:rPr>
        <w:t>r</w:t>
      </w:r>
      <w:r w:rsidRPr="00F244C7">
        <w:t>) and neurological (</w:t>
      </w:r>
      <w:r w:rsidRPr="00F244C7">
        <w:rPr>
          <w:i/>
        </w:rPr>
        <w:t>n</w:t>
      </w:r>
      <w:r w:rsidRPr="00F244C7">
        <w:t xml:space="preserve">) </w:t>
      </w:r>
      <w:r w:rsidR="000F1990">
        <w:t xml:space="preserve">hazards </w:t>
      </w:r>
      <w:r w:rsidRPr="00F244C7">
        <w:t xml:space="preserve">with </w:t>
      </w:r>
      <w:r w:rsidRPr="00F244C7">
        <w:rPr>
          <w:i/>
        </w:rPr>
        <w:t>i</w:t>
      </w:r>
      <w:r w:rsidRPr="00F244C7">
        <w:t xml:space="preserve"> indexing census tracts.</w:t>
      </w:r>
    </w:p>
    <w:p w14:paraId="47183788" w14:textId="77777777" w:rsidR="00F244C7" w:rsidRPr="00F244C7" w:rsidRDefault="005A6D8A" w:rsidP="00F244C7">
      <w:pPr>
        <w:pStyle w:val="BodyText"/>
        <w:spacing w:before="240"/>
      </w:pPr>
      <m:oMathPara>
        <m:oMath>
          <m:sSub>
            <m:sSubPr>
              <m:ctrlPr>
                <w:rPr>
                  <w:rFonts w:ascii="Cambria Math" w:eastAsia="Calibri" w:hAnsi="Cambria Math"/>
                  <w:szCs w:val="22"/>
                </w:rPr>
              </m:ctrlPr>
            </m:sSubPr>
            <m:e>
              <m:r>
                <w:rPr>
                  <w:rFonts w:ascii="Cambria Math" w:eastAsia="Calibri" w:hAnsi="Cambria Math"/>
                  <w:szCs w:val="22"/>
                </w:rPr>
                <m:t>EnvHealth</m:t>
              </m:r>
            </m:e>
            <m:sub>
              <m:r>
                <w:rPr>
                  <w:rFonts w:ascii="Cambria Math" w:eastAsia="Calibri" w:hAnsi="Cambria Math"/>
                  <w:szCs w:val="22"/>
                </w:rPr>
                <m:t>i</m:t>
              </m:r>
            </m:sub>
          </m:sSub>
          <m:r>
            <w:rPr>
              <w:rFonts w:ascii="Cambria Math" w:eastAsia="Calibri" w:hAnsi="Cambria Math"/>
              <w:szCs w:val="22"/>
            </w:rPr>
            <m:t>=</m:t>
          </m:r>
          <m:d>
            <m:dPr>
              <m:begChr m:val="["/>
              <m:endChr m:val="]"/>
              <m:ctrlPr>
                <w:rPr>
                  <w:rFonts w:ascii="Cambria Math" w:eastAsia="Calibri" w:hAnsi="Cambria Math"/>
                  <w:i/>
                  <w:szCs w:val="22"/>
                </w:rPr>
              </m:ctrlPr>
            </m:dPr>
            <m:e>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c</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c</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c</m:t>
                          </m:r>
                        </m:sub>
                      </m:sSub>
                    </m:den>
                  </m:f>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r</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r</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r</m:t>
                          </m:r>
                        </m:sub>
                      </m:sSub>
                    </m:den>
                  </m:f>
                </m:e>
              </m:d>
              <m:r>
                <w:rPr>
                  <w:rFonts w:ascii="Cambria Math" w:eastAsia="Calibri" w:hAnsi="Cambria Math"/>
                  <w:szCs w:val="22"/>
                </w:rPr>
                <m:t>+</m:t>
              </m:r>
              <m:d>
                <m:dPr>
                  <m:ctrlPr>
                    <w:rPr>
                      <w:rFonts w:ascii="Cambria Math" w:eastAsia="Calibri" w:hAnsi="Cambria Math"/>
                      <w:i/>
                      <w:szCs w:val="22"/>
                    </w:rPr>
                  </m:ctrlPr>
                </m:dPr>
                <m:e>
                  <m:f>
                    <m:fPr>
                      <m:ctrlPr>
                        <w:rPr>
                          <w:rFonts w:ascii="Cambria Math" w:eastAsia="Calibri" w:hAnsi="Cambria Math"/>
                          <w:i/>
                          <w:szCs w:val="22"/>
                        </w:rPr>
                      </m:ctrlPr>
                    </m:fPr>
                    <m:num>
                      <m:sSub>
                        <m:sSubPr>
                          <m:ctrlPr>
                            <w:rPr>
                              <w:rFonts w:ascii="Cambria Math" w:eastAsia="Calibri" w:hAnsi="Cambria Math"/>
                              <w:i/>
                              <w:szCs w:val="22"/>
                            </w:rPr>
                          </m:ctrlPr>
                        </m:sSubPr>
                        <m:e>
                          <m:r>
                            <w:rPr>
                              <w:rFonts w:ascii="Cambria Math" w:eastAsia="Calibri" w:hAnsi="Cambria Math"/>
                              <w:szCs w:val="22"/>
                            </w:rPr>
                            <m:t>n</m:t>
                          </m:r>
                        </m:e>
                        <m:sub>
                          <m:r>
                            <w:rPr>
                              <w:rFonts w:ascii="Cambria Math" w:eastAsia="Calibri" w:hAnsi="Cambria Math"/>
                              <w:szCs w:val="22"/>
                            </w:rPr>
                            <m:t>i</m:t>
                          </m:r>
                        </m:sub>
                      </m:sSub>
                      <m:r>
                        <w:rPr>
                          <w:rFonts w:ascii="Cambria Math" w:eastAsia="Calibri" w:hAnsi="Cambria Math"/>
                          <w:szCs w:val="22"/>
                        </w:rPr>
                        <m:t>-</m:t>
                      </m:r>
                      <m:sSub>
                        <m:sSubPr>
                          <m:ctrlPr>
                            <w:rPr>
                              <w:rFonts w:ascii="Cambria Math" w:eastAsia="Calibri" w:hAnsi="Cambria Math"/>
                              <w:i/>
                              <w:szCs w:val="22"/>
                            </w:rPr>
                          </m:ctrlPr>
                        </m:sSubPr>
                        <m:e>
                          <m:r>
                            <w:rPr>
                              <w:rFonts w:ascii="Cambria Math" w:eastAsia="Calibri" w:hAnsi="Cambria Math"/>
                              <w:szCs w:val="22"/>
                            </w:rPr>
                            <m:t>μ</m:t>
                          </m:r>
                        </m:e>
                        <m:sub>
                          <m:r>
                            <w:rPr>
                              <w:rFonts w:ascii="Cambria Math" w:eastAsia="Calibri" w:hAnsi="Cambria Math"/>
                              <w:szCs w:val="22"/>
                            </w:rPr>
                            <m:t>n</m:t>
                          </m:r>
                        </m:sub>
                      </m:sSub>
                    </m:num>
                    <m:den>
                      <m:sSub>
                        <m:sSubPr>
                          <m:ctrlPr>
                            <w:rPr>
                              <w:rFonts w:ascii="Cambria Math" w:eastAsia="Calibri" w:hAnsi="Cambria Math"/>
                              <w:i/>
                              <w:szCs w:val="22"/>
                            </w:rPr>
                          </m:ctrlPr>
                        </m:sSubPr>
                        <m:e>
                          <m:r>
                            <w:rPr>
                              <w:rFonts w:ascii="Cambria Math" w:eastAsia="Calibri" w:hAnsi="Cambria Math"/>
                              <w:szCs w:val="22"/>
                            </w:rPr>
                            <m:t>σ</m:t>
                          </m:r>
                        </m:e>
                        <m:sub>
                          <m:r>
                            <w:rPr>
                              <w:rFonts w:ascii="Cambria Math" w:eastAsia="Calibri" w:hAnsi="Cambria Math"/>
                              <w:szCs w:val="22"/>
                            </w:rPr>
                            <m:t>n</m:t>
                          </m:r>
                        </m:sub>
                      </m:sSub>
                    </m:den>
                  </m:f>
                </m:e>
              </m:d>
            </m:e>
          </m:d>
          <m:r>
            <w:rPr>
              <w:rFonts w:ascii="Cambria Math" w:eastAsia="Calibri" w:hAnsi="Cambria Math"/>
              <w:szCs w:val="22"/>
            </w:rPr>
            <m:t>* -1</m:t>
          </m:r>
        </m:oMath>
      </m:oMathPara>
    </w:p>
    <w:p w14:paraId="071733ED" w14:textId="77777777" w:rsidR="00F244C7" w:rsidRPr="00F244C7" w:rsidRDefault="00F244C7" w:rsidP="00F244C7">
      <w:pPr>
        <w:pStyle w:val="BodyText"/>
        <w:spacing w:before="240"/>
      </w:pPr>
      <w:r w:rsidRPr="00F244C7">
        <w:t>Where means (</w:t>
      </w:r>
      <m:oMath>
        <m:sSub>
          <m:sSubPr>
            <m:ctrlPr>
              <w:rPr>
                <w:rFonts w:ascii="Cambria Math" w:hAnsi="Cambria Math"/>
                <w:i/>
              </w:rPr>
            </m:ctrlPr>
          </m:sSubPr>
          <m:e>
            <m:r>
              <w:rPr>
                <w:rFonts w:ascii="Cambria Math" w:hAnsi="Cambria Math"/>
              </w:rPr>
              <m:t>μ</m:t>
            </m:r>
          </m:e>
          <m:sub>
            <m:r>
              <w:rPr>
                <w:rFonts w:ascii="Cambria Math" w:hAnsi="Cambria Math"/>
              </w:rPr>
              <m:t>c</m:t>
            </m:r>
          </m:sub>
        </m:sSub>
      </m:oMath>
      <w:r w:rsidRPr="00F244C7">
        <w:t xml:space="preserve">, </w:t>
      </w:r>
      <m:oMath>
        <m:sSub>
          <m:sSubPr>
            <m:ctrlPr>
              <w:rPr>
                <w:rFonts w:ascii="Cambria Math" w:hAnsi="Cambria Math"/>
                <w:i/>
              </w:rPr>
            </m:ctrlPr>
          </m:sSubPr>
          <m:e>
            <m:r>
              <w:rPr>
                <w:rFonts w:ascii="Cambria Math" w:hAnsi="Cambria Math"/>
              </w:rPr>
              <m:t>μ</m:t>
            </m:r>
          </m:e>
          <m:sub>
            <m:r>
              <w:rPr>
                <w:rFonts w:ascii="Cambria Math" w:hAnsi="Cambria Math"/>
              </w:rPr>
              <m:t>r</m:t>
            </m:r>
          </m:sub>
        </m:sSub>
      </m:oMath>
      <w:r w:rsidRPr="00F244C7">
        <w:t xml:space="preserve">, </w:t>
      </w:r>
      <m:oMath>
        <m:sSub>
          <m:sSubPr>
            <m:ctrlPr>
              <w:rPr>
                <w:rFonts w:ascii="Cambria Math" w:hAnsi="Cambria Math"/>
                <w:i/>
              </w:rPr>
            </m:ctrlPr>
          </m:sSubPr>
          <m:e>
            <m:r>
              <w:rPr>
                <w:rFonts w:ascii="Cambria Math" w:hAnsi="Cambria Math"/>
              </w:rPr>
              <m:t>μ</m:t>
            </m:r>
          </m:e>
          <m:sub>
            <m:r>
              <w:rPr>
                <w:rFonts w:ascii="Cambria Math" w:hAnsi="Cambria Math"/>
              </w:rPr>
              <m:t>n</m:t>
            </m:r>
          </m:sub>
        </m:sSub>
      </m:oMath>
      <w:r w:rsidRPr="00F244C7">
        <w:t>) and standard errors (</w:t>
      </w:r>
      <m:oMath>
        <m:sSub>
          <m:sSubPr>
            <m:ctrlPr>
              <w:rPr>
                <w:rFonts w:ascii="Cambria Math" w:hAnsi="Cambria Math"/>
                <w:i/>
              </w:rPr>
            </m:ctrlPr>
          </m:sSubPr>
          <m:e>
            <m:r>
              <w:rPr>
                <w:rFonts w:ascii="Cambria Math" w:hAnsi="Cambria Math"/>
              </w:rPr>
              <m:t>σ</m:t>
            </m:r>
          </m:e>
          <m:sub>
            <m:r>
              <w:rPr>
                <w:rFonts w:ascii="Cambria Math" w:hAnsi="Cambria Math"/>
              </w:rPr>
              <m:t>c</m:t>
            </m:r>
          </m:sub>
        </m:sSub>
      </m:oMath>
      <w:r w:rsidRPr="00F244C7">
        <w:t xml:space="preserve">, </w:t>
      </w:r>
      <m:oMath>
        <m:sSub>
          <m:sSubPr>
            <m:ctrlPr>
              <w:rPr>
                <w:rFonts w:ascii="Cambria Math" w:hAnsi="Cambria Math"/>
                <w:i/>
              </w:rPr>
            </m:ctrlPr>
          </m:sSubPr>
          <m:e>
            <m:r>
              <w:rPr>
                <w:rFonts w:ascii="Cambria Math" w:hAnsi="Cambria Math"/>
              </w:rPr>
              <m:t>σ</m:t>
            </m:r>
          </m:e>
          <m:sub>
            <m:r>
              <w:rPr>
                <w:rFonts w:ascii="Cambria Math" w:hAnsi="Cambria Math"/>
              </w:rPr>
              <m:t>r</m:t>
            </m:r>
          </m:sub>
        </m:sSub>
      </m:oMath>
      <w:r w:rsidRPr="00F244C7">
        <w:t xml:space="preserve">, </w:t>
      </w:r>
      <m:oMath>
        <m:sSub>
          <m:sSubPr>
            <m:ctrlPr>
              <w:rPr>
                <w:rFonts w:ascii="Cambria Math" w:hAnsi="Cambria Math"/>
                <w:i/>
              </w:rPr>
            </m:ctrlPr>
          </m:sSubPr>
          <m:e>
            <m:r>
              <w:rPr>
                <w:rFonts w:ascii="Cambria Math" w:hAnsi="Cambria Math"/>
              </w:rPr>
              <m:t>σ</m:t>
            </m:r>
          </m:e>
          <m:sub>
            <m:r>
              <w:rPr>
                <w:rFonts w:ascii="Cambria Math" w:hAnsi="Cambria Math"/>
              </w:rPr>
              <m:t>n</m:t>
            </m:r>
          </m:sub>
        </m:sSub>
      </m:oMath>
      <w:r w:rsidRPr="00F244C7">
        <w:t xml:space="preserve">) are estimated over the national distribution. </w:t>
      </w:r>
    </w:p>
    <w:p w14:paraId="202FC492" w14:textId="77777777" w:rsidR="00AF0900" w:rsidRDefault="00AF0900" w:rsidP="00AF0900">
      <w:pPr>
        <w:pStyle w:val="BodyText"/>
        <w:spacing w:before="120" w:after="0"/>
      </w:pPr>
      <w:r w:rsidRPr="00AF0900">
        <w:rPr>
          <w:i/>
        </w:rPr>
        <w:t>Interpretation</w:t>
      </w:r>
      <w:r w:rsidR="00F244C7" w:rsidRPr="00F244C7">
        <w:t xml:space="preserve"> </w:t>
      </w:r>
    </w:p>
    <w:p w14:paraId="6394D4BA" w14:textId="77777777" w:rsidR="00F244C7" w:rsidRPr="00F244C7" w:rsidRDefault="00F244C7" w:rsidP="00AF0900">
      <w:pPr>
        <w:pStyle w:val="BodyText"/>
        <w:spacing w:before="120" w:after="0"/>
      </w:pPr>
      <w:r w:rsidRPr="00F244C7">
        <w:t xml:space="preserve">Values </w:t>
      </w:r>
      <w:r w:rsidR="00691DD5">
        <w:t xml:space="preserve">are </w:t>
      </w:r>
      <w:r w:rsidRPr="00F244C7">
        <w:t>inverted and then percentile ranked nationall</w:t>
      </w:r>
      <w:r w:rsidR="00691DD5">
        <w:t>y. Values range</w:t>
      </w:r>
      <w:r w:rsidRPr="00F244C7">
        <w:t xml:space="preserve"> from 0 to 100. The higher the index value, the less exposure to toxins harmful to human health. Therefore, the higher the value, the better the environmental quality of a neighborhood, where a neighborhood is a census block-group. </w:t>
      </w:r>
    </w:p>
    <w:p w14:paraId="5FB1CC8B" w14:textId="77777777" w:rsidR="00F244C7" w:rsidRPr="00F244C7" w:rsidRDefault="00F244C7" w:rsidP="00F244C7">
      <w:pPr>
        <w:pStyle w:val="BodyText"/>
        <w:spacing w:before="240" w:after="0"/>
      </w:pPr>
      <w:r w:rsidRPr="00F244C7">
        <w:rPr>
          <w:u w:val="single"/>
        </w:rPr>
        <w:t>Data Source</w:t>
      </w:r>
      <w:r w:rsidRPr="00F244C7">
        <w:t>: National Air Toxics Assessment (NATA) data, 2005</w:t>
      </w:r>
    </w:p>
    <w:p w14:paraId="4300DCB1" w14:textId="77777777" w:rsidR="00F244C7" w:rsidRPr="00F244C7" w:rsidRDefault="00F244C7" w:rsidP="00F244C7">
      <w:pPr>
        <w:pStyle w:val="BodyText"/>
        <w:spacing w:after="0"/>
      </w:pPr>
      <w:r w:rsidRPr="00F244C7">
        <w:rPr>
          <w:u w:val="single"/>
        </w:rPr>
        <w:t>Related Template Tables/Maps:</w:t>
      </w:r>
      <w:r w:rsidRPr="00F244C7">
        <w:t xml:space="preserve"> Table </w:t>
      </w:r>
      <w:r w:rsidR="001E2F3B">
        <w:t>12</w:t>
      </w:r>
      <w:r w:rsidRPr="00F244C7">
        <w:t>; Map 14</w:t>
      </w:r>
    </w:p>
    <w:p w14:paraId="131F573B" w14:textId="77777777" w:rsidR="00F244C7" w:rsidRPr="00F244C7" w:rsidRDefault="00F244C7" w:rsidP="00F244C7">
      <w:pPr>
        <w:pStyle w:val="BodyText"/>
        <w:spacing w:after="0"/>
      </w:pPr>
      <w:r w:rsidRPr="00F244C7">
        <w:rPr>
          <w:u w:val="single"/>
        </w:rPr>
        <w:t>References</w:t>
      </w:r>
      <w:r w:rsidRPr="00F244C7">
        <w:t>:</w:t>
      </w:r>
    </w:p>
    <w:p w14:paraId="34623F9C" w14:textId="77777777" w:rsidR="00F244C7" w:rsidRDefault="00F244C7" w:rsidP="00F244C7">
      <w:pPr>
        <w:pStyle w:val="BodyText"/>
      </w:pPr>
      <w:r w:rsidRPr="00F244C7">
        <w:t>http://www.epa.gov/ttn/atw/natamain/</w:t>
      </w:r>
    </w:p>
    <w:p w14:paraId="382F20F5" w14:textId="77777777" w:rsidR="00F244C7" w:rsidRDefault="00F244C7" w:rsidP="00F244C7">
      <w:pPr>
        <w:pStyle w:val="BodyText"/>
      </w:pPr>
    </w:p>
    <w:p w14:paraId="03103651" w14:textId="77777777" w:rsidR="00426C3B" w:rsidRPr="00426C3B" w:rsidRDefault="004F2AA1" w:rsidP="00426C3B">
      <w:pPr>
        <w:pStyle w:val="BodyText"/>
        <w:numPr>
          <w:ilvl w:val="0"/>
          <w:numId w:val="10"/>
        </w:numPr>
        <w:rPr>
          <w:b/>
        </w:rPr>
      </w:pPr>
      <w:r>
        <w:rPr>
          <w:b/>
        </w:rPr>
        <w:t>Computing Indices by Protected Class</w:t>
      </w:r>
      <w:r w:rsidR="00426C3B" w:rsidRPr="00426C3B">
        <w:rPr>
          <w:b/>
        </w:rPr>
        <w:t xml:space="preserve"> </w:t>
      </w:r>
    </w:p>
    <w:p w14:paraId="200076B4" w14:textId="2CB2DBAA" w:rsidR="00426C3B" w:rsidRDefault="00B641BD" w:rsidP="00426C3B">
      <w:r>
        <w:t xml:space="preserve">The AFFH </w:t>
      </w:r>
      <w:r w:rsidR="00E32F2E">
        <w:t>T</w:t>
      </w:r>
      <w:r>
        <w:t xml:space="preserve">ool provides </w:t>
      </w:r>
      <w:r w:rsidR="00CF298A">
        <w:t>index values</w:t>
      </w:r>
      <w:r w:rsidR="00426C3B">
        <w:t xml:space="preserve"> </w:t>
      </w:r>
      <w:r>
        <w:t xml:space="preserve">documenting the extent to which members of different racial or ethnic groups have access to particular </w:t>
      </w:r>
      <w:r w:rsidR="003D0FE4">
        <w:t>opportunity indicators</w:t>
      </w:r>
      <w:r>
        <w:t>. T</w:t>
      </w:r>
      <w:r w:rsidR="00426C3B">
        <w:t xml:space="preserve">he </w:t>
      </w:r>
      <w:r w:rsidR="00E32F2E">
        <w:t>T</w:t>
      </w:r>
      <w:r>
        <w:t xml:space="preserve">ool provides </w:t>
      </w:r>
      <w:r w:rsidR="00426C3B">
        <w:t>a weighted average for a given c</w:t>
      </w:r>
      <w:r w:rsidR="00E962B2">
        <w:t xml:space="preserve">haracteristic. </w:t>
      </w:r>
      <w:r w:rsidR="00426C3B">
        <w:t xml:space="preserve">The generic access </w:t>
      </w:r>
      <w:r w:rsidR="00E962B2">
        <w:t xml:space="preserve">for subgroup </w:t>
      </w:r>
      <w:r w:rsidR="00E962B2" w:rsidRPr="00F05C26">
        <w:rPr>
          <w:i/>
        </w:rPr>
        <w:t>M</w:t>
      </w:r>
      <w:r w:rsidR="00E962B2">
        <w:t xml:space="preserve"> </w:t>
      </w:r>
      <w:r w:rsidR="00426C3B">
        <w:t xml:space="preserve">to </w:t>
      </w:r>
      <w:r w:rsidR="00E962B2">
        <w:t xml:space="preserve">asset dimension </w:t>
      </w:r>
      <w:r w:rsidR="00E962B2" w:rsidRPr="00F05C26">
        <w:rPr>
          <w:i/>
        </w:rPr>
        <w:t>R</w:t>
      </w:r>
      <w:r w:rsidR="00E962B2">
        <w:t xml:space="preserve"> in jurisdiction </w:t>
      </w:r>
      <w:r w:rsidR="00E962B2" w:rsidRPr="00E962B2">
        <w:rPr>
          <w:i/>
        </w:rPr>
        <w:t>j</w:t>
      </w:r>
      <w:r w:rsidR="00E962B2">
        <w:t xml:space="preserve"> </w:t>
      </w:r>
      <w:r w:rsidR="00426C3B">
        <w:t>is calculated as:</w:t>
      </w:r>
    </w:p>
    <w:p w14:paraId="4CD6907D" w14:textId="77777777" w:rsidR="00426C3B" w:rsidRDefault="005A6D8A" w:rsidP="00F05C26">
      <w:pPr>
        <w:ind w:left="360"/>
      </w:pPr>
      <m:oMathPara>
        <m:oMath>
          <m:sSubSup>
            <m:sSubSupPr>
              <m:ctrlPr>
                <w:rPr>
                  <w:rFonts w:ascii="Cambria Math" w:eastAsiaTheme="minorHAnsi" w:hAnsi="Cambria Math" w:cstheme="minorBidi"/>
                  <w:i/>
                </w:rPr>
              </m:ctrlPr>
            </m:sSubSupPr>
            <m:e>
              <m:r>
                <w:rPr>
                  <w:rFonts w:ascii="Cambria Math" w:hAnsi="Cambria Math"/>
                </w:rPr>
                <m:t>Index</m:t>
              </m:r>
            </m:e>
            <m:sub>
              <m:r>
                <w:rPr>
                  <w:rFonts w:ascii="Cambria Math" w:hAnsi="Cambria Math"/>
                </w:rPr>
                <m:t>M</m:t>
              </m:r>
            </m:sub>
            <m:sup>
              <m:r>
                <w:rPr>
                  <w:rFonts w:ascii="Cambria Math" w:hAnsi="Cambria Math"/>
                </w:rPr>
                <m:t>R</m:t>
              </m:r>
            </m:sup>
          </m:sSubSup>
          <m:r>
            <w:rPr>
              <w:rFonts w:ascii="Cambria Math" w:hAnsi="Cambria Math"/>
            </w:rPr>
            <m:t>=</m:t>
          </m:r>
          <m:nary>
            <m:naryPr>
              <m:chr m:val="∑"/>
              <m:limLoc m:val="undOvr"/>
              <m:ctrlPr>
                <w:rPr>
                  <w:rFonts w:ascii="Cambria Math" w:eastAsiaTheme="minorHAnsi" w:hAnsi="Cambria Math" w:cstheme="minorBidi"/>
                  <w:i/>
                </w:rPr>
              </m:ctrlPr>
            </m:naryPr>
            <m:sub>
              <m:r>
                <w:rPr>
                  <w:rFonts w:ascii="Cambria Math" w:hAnsi="Cambria Math"/>
                </w:rPr>
                <m:t>i</m:t>
              </m:r>
            </m:sub>
            <m:sup>
              <m:r>
                <w:rPr>
                  <w:rFonts w:ascii="Cambria Math" w:hAnsi="Cambria Math"/>
                </w:rPr>
                <m:t>N</m:t>
              </m:r>
            </m:sup>
            <m:e>
              <m:f>
                <m:fPr>
                  <m:ctrlPr>
                    <w:rPr>
                      <w:rFonts w:ascii="Cambria Math" w:hAnsi="Cambria Math"/>
                      <w:i/>
                    </w:rPr>
                  </m:ctrlPr>
                </m:fPr>
                <m:num>
                  <m:sSub>
                    <m:sSubPr>
                      <m:ctrlPr>
                        <w:rPr>
                          <w:rFonts w:ascii="Cambria Math" w:hAnsi="Cambria Math"/>
                          <w:i/>
                        </w:rPr>
                      </m:ctrlPr>
                    </m:sSubPr>
                    <m:e>
                      <m:r>
                        <w:rPr>
                          <w:rFonts w:ascii="Cambria Math" w:hAnsi="Cambria Math"/>
                        </w:rPr>
                        <m:t>M</m:t>
                      </m:r>
                    </m:e>
                    <m:sub>
                      <m:r>
                        <w:rPr>
                          <w:rFonts w:ascii="Cambria Math" w:hAnsi="Cambria Math"/>
                        </w:rPr>
                        <m:t>i</m:t>
                      </m:r>
                    </m:sub>
                  </m:sSub>
                </m:num>
                <m:den>
                  <m:sSub>
                    <m:sSubPr>
                      <m:ctrlPr>
                        <w:rPr>
                          <w:rFonts w:ascii="Cambria Math" w:hAnsi="Cambria Math"/>
                          <w:i/>
                        </w:rPr>
                      </m:ctrlPr>
                    </m:sSubPr>
                    <m:e>
                      <m:r>
                        <w:rPr>
                          <w:rFonts w:ascii="Cambria Math" w:hAnsi="Cambria Math"/>
                        </w:rPr>
                        <m:t>M</m:t>
                      </m:r>
                    </m:e>
                    <m:sub>
                      <m:r>
                        <w:rPr>
                          <w:rFonts w:ascii="Cambria Math" w:hAnsi="Cambria Math"/>
                        </w:rPr>
                        <m:t>j</m:t>
                      </m:r>
                    </m:sub>
                  </m:sSub>
                </m:den>
              </m:f>
            </m:e>
          </m:nary>
          <m:r>
            <w:rPr>
              <w:rFonts w:ascii="Cambria Math" w:hAnsi="Cambria Math"/>
            </w:rPr>
            <m:t xml:space="preserve"> *</m:t>
          </m:r>
          <m:sSub>
            <m:sSubPr>
              <m:ctrlPr>
                <w:rPr>
                  <w:rFonts w:ascii="Cambria Math" w:hAnsi="Cambria Math"/>
                  <w:i/>
                </w:rPr>
              </m:ctrlPr>
            </m:sSubPr>
            <m:e>
              <m:r>
                <w:rPr>
                  <w:rFonts w:ascii="Cambria Math" w:hAnsi="Cambria Math"/>
                </w:rPr>
                <m:t>R</m:t>
              </m:r>
            </m:e>
            <m:sub>
              <m:r>
                <w:rPr>
                  <w:rFonts w:ascii="Cambria Math" w:hAnsi="Cambria Math"/>
                </w:rPr>
                <m:t>i</m:t>
              </m:r>
            </m:sub>
          </m:sSub>
        </m:oMath>
      </m:oMathPara>
    </w:p>
    <w:p w14:paraId="5E71E59F" w14:textId="77777777" w:rsidR="00426C3B" w:rsidRPr="00F05C26" w:rsidRDefault="00F05C26" w:rsidP="00F05C26">
      <w:pPr>
        <w:rPr>
          <w:rFonts w:eastAsiaTheme="minorEastAsia"/>
        </w:rPr>
      </w:pPr>
      <w:r>
        <w:t xml:space="preserve">Where </w:t>
      </w:r>
      <m:oMath>
        <m:r>
          <w:rPr>
            <w:rFonts w:ascii="Cambria Math" w:hAnsi="Cambria Math"/>
          </w:rPr>
          <m:t>i</m:t>
        </m:r>
      </m:oMath>
      <w:r>
        <w:t xml:space="preserve"> </w:t>
      </w:r>
      <w:r w:rsidR="00CF298A">
        <w:t>indicates</w:t>
      </w:r>
      <w:r>
        <w:t xml:space="preserve"> Census tracts in jurisdiction </w:t>
      </w:r>
      <w:r w:rsidRPr="00F05C26">
        <w:rPr>
          <w:i/>
        </w:rPr>
        <w:t>j</w:t>
      </w:r>
      <w:r>
        <w:t xml:space="preserve"> for subgroup </w:t>
      </w:r>
      <w:r w:rsidRPr="00F05C26">
        <w:rPr>
          <w:i/>
        </w:rPr>
        <w:t>M</w:t>
      </w:r>
      <w:r>
        <w:t xml:space="preserve"> to dimension </w:t>
      </w:r>
      <w:r w:rsidRPr="00F05C26">
        <w:rPr>
          <w:i/>
        </w:rPr>
        <w:t>R</w:t>
      </w:r>
      <w:r>
        <w:t xml:space="preserve">. </w:t>
      </w:r>
      <w:r w:rsidRPr="00CF298A">
        <w:rPr>
          <w:i/>
        </w:rPr>
        <w:t>N</w:t>
      </w:r>
      <w:r>
        <w:t xml:space="preserve"> is the total number of Census tracts in jurisdiction j. </w:t>
      </w:r>
    </w:p>
    <w:p w14:paraId="5282F946" w14:textId="77777777" w:rsidR="006844C5" w:rsidRDefault="00426C3B" w:rsidP="00426C3B">
      <w:r>
        <w:lastRenderedPageBreak/>
        <w:t xml:space="preserve">It is useful to provide an example of this in practice (Table </w:t>
      </w:r>
      <w:r w:rsidR="00E962B2">
        <w:t>2</w:t>
      </w:r>
      <w:r w:rsidR="00F05C26">
        <w:t>).  Consider J</w:t>
      </w:r>
      <w:r>
        <w:t xml:space="preserve">urisdiction </w:t>
      </w:r>
      <w:r w:rsidR="00F05C26">
        <w:t xml:space="preserve">X </w:t>
      </w:r>
      <w:r w:rsidRPr="00402A73">
        <w:t>with</w:t>
      </w:r>
      <w:r w:rsidR="00BA38B9" w:rsidRPr="00402A73">
        <w:t xml:space="preserve"> a total of </w:t>
      </w:r>
      <w:r w:rsidR="00402A73">
        <w:t>three</w:t>
      </w:r>
      <w:r w:rsidR="00BA38B9" w:rsidRPr="00402A73">
        <w:t xml:space="preserve"> neighborhoods</w:t>
      </w:r>
      <w:r w:rsidR="00402A73">
        <w:t xml:space="preserve"> (A, B, and C)</w:t>
      </w:r>
      <w:r w:rsidR="00BA38B9" w:rsidRPr="00402A73">
        <w:t>. Each neighborhood has an index score</w:t>
      </w:r>
      <w:r w:rsidR="00402A73">
        <w:t xml:space="preserve"> </w:t>
      </w:r>
      <w:r w:rsidR="00B641BD">
        <w:t xml:space="preserve">representing the prevalence of poverty within that neighborhood </w:t>
      </w:r>
      <w:r w:rsidR="00402A73">
        <w:t>(Column (1)</w:t>
      </w:r>
      <w:r w:rsidR="00B641BD">
        <w:t>, with higher values representing lower levels of poverty</w:t>
      </w:r>
      <w:r w:rsidR="00BA38B9" w:rsidRPr="00402A73">
        <w:t xml:space="preserve">. </w:t>
      </w:r>
      <w:r w:rsidR="00B641BD">
        <w:t xml:space="preserve">To compute the index value for a particular subpopulation, such as white or black individuals, the values are weighted based on the distribution of that subpopulation across the three neighborhoods. </w:t>
      </w:r>
      <w:r w:rsidR="00FF28A8">
        <w:t>For example,</w:t>
      </w:r>
      <w:r w:rsidR="00BA38B9" w:rsidRPr="00402A73">
        <w:t xml:space="preserve"> </w:t>
      </w:r>
      <w:r w:rsidR="00B641BD">
        <w:t>40</w:t>
      </w:r>
      <w:r w:rsidR="00E32F2E">
        <w:t xml:space="preserve">% </w:t>
      </w:r>
      <w:r w:rsidR="00B641BD">
        <w:t xml:space="preserve">of the jurisdiction’s white population lives in </w:t>
      </w:r>
      <w:r w:rsidR="00BA38B9" w:rsidRPr="00402A73">
        <w:t>neighborhood A</w:t>
      </w:r>
      <w:r w:rsidR="00B641BD">
        <w:t>, so the index value for neighborhood A represents 40</w:t>
      </w:r>
      <w:r w:rsidR="00E32F2E">
        <w:t xml:space="preserve">% </w:t>
      </w:r>
      <w:r w:rsidR="00B641BD">
        <w:t xml:space="preserve">of the composite index value for the white population in the jurisdiction. </w:t>
      </w:r>
      <w:r w:rsidR="00361F3D">
        <w:t>The values for neighborhood</w:t>
      </w:r>
      <w:r w:rsidR="00E32F2E">
        <w:t>s</w:t>
      </w:r>
      <w:r w:rsidR="00361F3D">
        <w:t xml:space="preserve"> B and C are weighted at 40% and 20% respectively, based on the share of white individuals living in those neighborhoods, leading to a final weighted low poverty index for whites in the jurisdiction of 56</w:t>
      </w:r>
      <w:r w:rsidR="006844C5">
        <w:t>.</w:t>
      </w:r>
    </w:p>
    <w:p w14:paraId="05A1DD95" w14:textId="77777777" w:rsidR="006844C5" w:rsidRDefault="006844C5">
      <w:pPr>
        <w:spacing w:after="0" w:line="240" w:lineRule="auto"/>
      </w:pPr>
      <w:r>
        <w:br w:type="page"/>
      </w:r>
    </w:p>
    <w:p w14:paraId="2DBE46DE" w14:textId="77777777" w:rsidR="00402A73" w:rsidRDefault="00402A73" w:rsidP="001763BA">
      <w:pPr>
        <w:spacing w:after="0"/>
        <w:rPr>
          <w:highlight w:val="yellow"/>
        </w:rPr>
      </w:pPr>
      <w:r>
        <w:lastRenderedPageBreak/>
        <w:t xml:space="preserve">Table 2. </w:t>
      </w:r>
      <w:r w:rsidR="00361F3D">
        <w:t>Example of Weighting of Low Poverty Index by Race in a Hypothetical Jurisdiction</w:t>
      </w:r>
    </w:p>
    <w:tbl>
      <w:tblPr>
        <w:tblW w:w="8740" w:type="dxa"/>
        <w:tblInd w:w="93" w:type="dxa"/>
        <w:tblLook w:val="04A0" w:firstRow="1" w:lastRow="0" w:firstColumn="1" w:lastColumn="0" w:noHBand="0" w:noVBand="1"/>
      </w:tblPr>
      <w:tblGrid>
        <w:gridCol w:w="1536"/>
        <w:gridCol w:w="1195"/>
        <w:gridCol w:w="1093"/>
        <w:gridCol w:w="1046"/>
        <w:gridCol w:w="1061"/>
        <w:gridCol w:w="980"/>
        <w:gridCol w:w="1020"/>
        <w:gridCol w:w="980"/>
      </w:tblGrid>
      <w:tr w:rsidR="00CF298A" w:rsidRPr="00CF298A" w14:paraId="4873B880" w14:textId="77777777" w:rsidTr="00CF298A">
        <w:trPr>
          <w:trHeight w:val="288"/>
        </w:trPr>
        <w:tc>
          <w:tcPr>
            <w:tcW w:w="1460" w:type="dxa"/>
            <w:tcBorders>
              <w:top w:val="single" w:sz="4" w:space="0" w:color="auto"/>
              <w:left w:val="single" w:sz="4" w:space="0" w:color="auto"/>
              <w:bottom w:val="single" w:sz="4" w:space="0" w:color="auto"/>
              <w:right w:val="nil"/>
            </w:tcBorders>
            <w:shd w:val="clear" w:color="000000" w:fill="BFBFBF"/>
            <w:noWrap/>
            <w:vAlign w:val="bottom"/>
            <w:hideMark/>
          </w:tcPr>
          <w:p w14:paraId="77B16CCA"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 </w:t>
            </w:r>
          </w:p>
        </w:tc>
        <w:tc>
          <w:tcPr>
            <w:tcW w:w="1100" w:type="dxa"/>
            <w:tcBorders>
              <w:top w:val="single" w:sz="4" w:space="0" w:color="auto"/>
              <w:left w:val="nil"/>
              <w:bottom w:val="single" w:sz="4" w:space="0" w:color="auto"/>
              <w:right w:val="single" w:sz="4" w:space="0" w:color="auto"/>
            </w:tcBorders>
            <w:shd w:val="clear" w:color="000000" w:fill="BFBFBF"/>
            <w:noWrap/>
            <w:vAlign w:val="bottom"/>
            <w:hideMark/>
          </w:tcPr>
          <w:p w14:paraId="6CA77FC9"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Dimension</w:t>
            </w:r>
          </w:p>
        </w:tc>
        <w:tc>
          <w:tcPr>
            <w:tcW w:w="3200"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70DE2C57" w14:textId="77777777" w:rsidR="00CF298A" w:rsidRPr="00CF298A" w:rsidRDefault="00CF298A" w:rsidP="00CF298A">
            <w:pPr>
              <w:spacing w:after="0" w:line="240" w:lineRule="auto"/>
              <w:jc w:val="center"/>
              <w:rPr>
                <w:rFonts w:ascii="Calibri" w:hAnsi="Calibri" w:cs="Calibri"/>
                <w:b/>
                <w:bCs/>
                <w:color w:val="000000"/>
                <w:szCs w:val="22"/>
              </w:rPr>
            </w:pPr>
            <w:r w:rsidRPr="00CF298A">
              <w:rPr>
                <w:rFonts w:ascii="Calibri" w:hAnsi="Calibri" w:cs="Calibri"/>
                <w:b/>
                <w:bCs/>
                <w:color w:val="000000"/>
                <w:szCs w:val="22"/>
              </w:rPr>
              <w:t>White</w:t>
            </w:r>
          </w:p>
        </w:tc>
        <w:tc>
          <w:tcPr>
            <w:tcW w:w="2980" w:type="dxa"/>
            <w:gridSpan w:val="3"/>
            <w:tcBorders>
              <w:top w:val="single" w:sz="4" w:space="0" w:color="auto"/>
              <w:left w:val="nil"/>
              <w:bottom w:val="single" w:sz="4" w:space="0" w:color="auto"/>
              <w:right w:val="single" w:sz="4" w:space="0" w:color="auto"/>
            </w:tcBorders>
            <w:shd w:val="clear" w:color="000000" w:fill="BFBFBF"/>
            <w:noWrap/>
            <w:vAlign w:val="bottom"/>
            <w:hideMark/>
          </w:tcPr>
          <w:p w14:paraId="1657FC38" w14:textId="77777777" w:rsidR="00CF298A" w:rsidRPr="00CF298A" w:rsidRDefault="00CF298A" w:rsidP="00CF298A">
            <w:pPr>
              <w:spacing w:after="0" w:line="240" w:lineRule="auto"/>
              <w:jc w:val="center"/>
              <w:rPr>
                <w:rFonts w:ascii="Calibri" w:hAnsi="Calibri" w:cs="Calibri"/>
                <w:b/>
                <w:bCs/>
                <w:color w:val="000000"/>
                <w:szCs w:val="22"/>
              </w:rPr>
            </w:pPr>
            <w:r w:rsidRPr="00CF298A">
              <w:rPr>
                <w:rFonts w:ascii="Calibri" w:hAnsi="Calibri" w:cs="Calibri"/>
                <w:b/>
                <w:bCs/>
                <w:color w:val="000000"/>
                <w:szCs w:val="22"/>
              </w:rPr>
              <w:t>Black</w:t>
            </w:r>
          </w:p>
        </w:tc>
      </w:tr>
      <w:tr w:rsidR="00CF298A" w:rsidRPr="00CF298A" w14:paraId="0A587582" w14:textId="77777777" w:rsidTr="00CF298A">
        <w:trPr>
          <w:trHeight w:val="864"/>
        </w:trPr>
        <w:tc>
          <w:tcPr>
            <w:tcW w:w="1460" w:type="dxa"/>
            <w:tcBorders>
              <w:top w:val="nil"/>
              <w:left w:val="nil"/>
              <w:bottom w:val="single" w:sz="4" w:space="0" w:color="auto"/>
              <w:right w:val="nil"/>
            </w:tcBorders>
            <w:shd w:val="clear" w:color="000000" w:fill="F2F2F2"/>
            <w:noWrap/>
            <w:vAlign w:val="bottom"/>
            <w:hideMark/>
          </w:tcPr>
          <w:p w14:paraId="1A79DD45" w14:textId="77777777" w:rsidR="00CF298A" w:rsidRPr="00CF298A" w:rsidRDefault="00BA38B9" w:rsidP="00CF298A">
            <w:pPr>
              <w:spacing w:after="0" w:line="240" w:lineRule="auto"/>
              <w:rPr>
                <w:rFonts w:ascii="Calibri" w:hAnsi="Calibri" w:cs="Calibri"/>
                <w:b/>
                <w:bCs/>
                <w:color w:val="000000"/>
                <w:szCs w:val="22"/>
              </w:rPr>
            </w:pPr>
            <w:r>
              <w:rPr>
                <w:rFonts w:ascii="Calibri" w:hAnsi="Calibri" w:cs="Calibri"/>
                <w:b/>
                <w:bCs/>
                <w:color w:val="000000"/>
                <w:szCs w:val="22"/>
              </w:rPr>
              <w:t>Neighborhood</w:t>
            </w:r>
          </w:p>
        </w:tc>
        <w:tc>
          <w:tcPr>
            <w:tcW w:w="1100" w:type="dxa"/>
            <w:tcBorders>
              <w:top w:val="nil"/>
              <w:left w:val="nil"/>
              <w:bottom w:val="single" w:sz="4" w:space="0" w:color="auto"/>
              <w:right w:val="nil"/>
            </w:tcBorders>
            <w:shd w:val="clear" w:color="000000" w:fill="F2F2F2"/>
            <w:vAlign w:val="bottom"/>
            <w:hideMark/>
          </w:tcPr>
          <w:p w14:paraId="502A6094"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Low Poverty Index</w:t>
            </w:r>
          </w:p>
        </w:tc>
        <w:tc>
          <w:tcPr>
            <w:tcW w:w="1093" w:type="dxa"/>
            <w:tcBorders>
              <w:top w:val="nil"/>
              <w:left w:val="single" w:sz="4" w:space="0" w:color="auto"/>
              <w:bottom w:val="single" w:sz="4" w:space="0" w:color="auto"/>
              <w:right w:val="nil"/>
            </w:tcBorders>
            <w:shd w:val="clear" w:color="000000" w:fill="F2F2F2"/>
            <w:noWrap/>
            <w:vAlign w:val="bottom"/>
            <w:hideMark/>
          </w:tcPr>
          <w:p w14:paraId="04C7F6AB"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white pop</w:t>
            </w:r>
          </w:p>
        </w:tc>
        <w:tc>
          <w:tcPr>
            <w:tcW w:w="1046" w:type="dxa"/>
            <w:tcBorders>
              <w:top w:val="nil"/>
              <w:left w:val="nil"/>
              <w:bottom w:val="single" w:sz="4" w:space="0" w:color="auto"/>
              <w:right w:val="nil"/>
            </w:tcBorders>
            <w:shd w:val="clear" w:color="000000" w:fill="F2F2F2"/>
            <w:vAlign w:val="bottom"/>
            <w:hideMark/>
          </w:tcPr>
          <w:p w14:paraId="064EBCFD"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%white of total pop</w:t>
            </w:r>
          </w:p>
        </w:tc>
        <w:tc>
          <w:tcPr>
            <w:tcW w:w="1061" w:type="dxa"/>
            <w:tcBorders>
              <w:top w:val="nil"/>
              <w:left w:val="nil"/>
              <w:bottom w:val="single" w:sz="4" w:space="0" w:color="auto"/>
              <w:right w:val="nil"/>
            </w:tcBorders>
            <w:shd w:val="clear" w:color="000000" w:fill="F2F2F2"/>
            <w:vAlign w:val="bottom"/>
            <w:hideMark/>
          </w:tcPr>
          <w:p w14:paraId="15B4F899"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Index for whites</w:t>
            </w:r>
            <w:r w:rsidRPr="00CF298A">
              <w:rPr>
                <w:rFonts w:ascii="Calibri" w:hAnsi="Calibri" w:cs="Calibri"/>
                <w:b/>
                <w:bCs/>
                <w:color w:val="000000"/>
                <w:szCs w:val="22"/>
              </w:rPr>
              <w:br/>
              <w:t>[(1)*(3)]</w:t>
            </w:r>
          </w:p>
        </w:tc>
        <w:tc>
          <w:tcPr>
            <w:tcW w:w="980" w:type="dxa"/>
            <w:tcBorders>
              <w:top w:val="nil"/>
              <w:left w:val="single" w:sz="4" w:space="0" w:color="auto"/>
              <w:bottom w:val="single" w:sz="4" w:space="0" w:color="auto"/>
              <w:right w:val="nil"/>
            </w:tcBorders>
            <w:shd w:val="clear" w:color="000000" w:fill="F2F2F2"/>
            <w:vAlign w:val="bottom"/>
            <w:hideMark/>
          </w:tcPr>
          <w:p w14:paraId="5AB1D262"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black pop</w:t>
            </w:r>
          </w:p>
        </w:tc>
        <w:tc>
          <w:tcPr>
            <w:tcW w:w="1020" w:type="dxa"/>
            <w:tcBorders>
              <w:top w:val="nil"/>
              <w:left w:val="nil"/>
              <w:bottom w:val="single" w:sz="4" w:space="0" w:color="auto"/>
              <w:right w:val="nil"/>
            </w:tcBorders>
            <w:shd w:val="clear" w:color="000000" w:fill="F2F2F2"/>
            <w:vAlign w:val="bottom"/>
            <w:hideMark/>
          </w:tcPr>
          <w:p w14:paraId="72E0DA68"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%black of total pop</w:t>
            </w:r>
          </w:p>
        </w:tc>
        <w:tc>
          <w:tcPr>
            <w:tcW w:w="980" w:type="dxa"/>
            <w:tcBorders>
              <w:top w:val="nil"/>
              <w:left w:val="nil"/>
              <w:bottom w:val="single" w:sz="4" w:space="0" w:color="auto"/>
              <w:right w:val="nil"/>
            </w:tcBorders>
            <w:shd w:val="clear" w:color="000000" w:fill="F2F2F2"/>
            <w:vAlign w:val="bottom"/>
            <w:hideMark/>
          </w:tcPr>
          <w:p w14:paraId="3727BBB2" w14:textId="77777777" w:rsidR="00CF298A" w:rsidRPr="00CF298A" w:rsidRDefault="00CF298A" w:rsidP="00CF298A">
            <w:pPr>
              <w:spacing w:after="0" w:line="240" w:lineRule="auto"/>
              <w:rPr>
                <w:rFonts w:ascii="Calibri" w:hAnsi="Calibri" w:cs="Calibri"/>
                <w:b/>
                <w:bCs/>
                <w:color w:val="000000"/>
                <w:szCs w:val="22"/>
              </w:rPr>
            </w:pPr>
            <w:r w:rsidRPr="00CF298A">
              <w:rPr>
                <w:rFonts w:ascii="Calibri" w:hAnsi="Calibri" w:cs="Calibri"/>
                <w:b/>
                <w:bCs/>
                <w:color w:val="000000"/>
                <w:szCs w:val="22"/>
              </w:rPr>
              <w:t>Index for blacks</w:t>
            </w:r>
            <w:r w:rsidRPr="00CF298A">
              <w:rPr>
                <w:rFonts w:ascii="Calibri" w:hAnsi="Calibri" w:cs="Calibri"/>
                <w:b/>
                <w:bCs/>
                <w:color w:val="000000"/>
                <w:szCs w:val="22"/>
              </w:rPr>
              <w:br/>
              <w:t>[(1)*(6)]</w:t>
            </w:r>
          </w:p>
        </w:tc>
      </w:tr>
      <w:tr w:rsidR="00CF298A" w:rsidRPr="00CF298A" w14:paraId="5920B9C4" w14:textId="77777777" w:rsidTr="00CF298A">
        <w:trPr>
          <w:trHeight w:val="288"/>
        </w:trPr>
        <w:tc>
          <w:tcPr>
            <w:tcW w:w="1460" w:type="dxa"/>
            <w:tcBorders>
              <w:top w:val="nil"/>
              <w:left w:val="nil"/>
              <w:bottom w:val="nil"/>
              <w:right w:val="nil"/>
            </w:tcBorders>
            <w:shd w:val="clear" w:color="auto" w:fill="auto"/>
            <w:noWrap/>
            <w:vAlign w:val="bottom"/>
            <w:hideMark/>
          </w:tcPr>
          <w:p w14:paraId="7EA0A788" w14:textId="77777777" w:rsidR="00CF298A" w:rsidRPr="00CF298A" w:rsidRDefault="00CF298A" w:rsidP="00CF298A">
            <w:pPr>
              <w:spacing w:after="0" w:line="240" w:lineRule="auto"/>
              <w:rPr>
                <w:rFonts w:ascii="Calibri" w:hAnsi="Calibri" w:cs="Calibri"/>
                <w:color w:val="000000"/>
                <w:szCs w:val="22"/>
              </w:rPr>
            </w:pPr>
          </w:p>
        </w:tc>
        <w:tc>
          <w:tcPr>
            <w:tcW w:w="1100" w:type="dxa"/>
            <w:tcBorders>
              <w:top w:val="nil"/>
              <w:left w:val="nil"/>
              <w:bottom w:val="single" w:sz="4" w:space="0" w:color="auto"/>
              <w:right w:val="nil"/>
            </w:tcBorders>
            <w:shd w:val="clear" w:color="auto" w:fill="auto"/>
            <w:noWrap/>
            <w:vAlign w:val="bottom"/>
            <w:hideMark/>
          </w:tcPr>
          <w:p w14:paraId="74480C28"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(1)</w:t>
            </w:r>
          </w:p>
        </w:tc>
        <w:tc>
          <w:tcPr>
            <w:tcW w:w="1093" w:type="dxa"/>
            <w:tcBorders>
              <w:top w:val="nil"/>
              <w:left w:val="single" w:sz="4" w:space="0" w:color="auto"/>
              <w:bottom w:val="single" w:sz="4" w:space="0" w:color="auto"/>
              <w:right w:val="nil"/>
            </w:tcBorders>
            <w:shd w:val="clear" w:color="auto" w:fill="auto"/>
            <w:noWrap/>
            <w:vAlign w:val="bottom"/>
            <w:hideMark/>
          </w:tcPr>
          <w:p w14:paraId="0B074F33"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(2)</w:t>
            </w:r>
          </w:p>
        </w:tc>
        <w:tc>
          <w:tcPr>
            <w:tcW w:w="1046" w:type="dxa"/>
            <w:tcBorders>
              <w:top w:val="nil"/>
              <w:left w:val="nil"/>
              <w:bottom w:val="single" w:sz="4" w:space="0" w:color="auto"/>
              <w:right w:val="nil"/>
            </w:tcBorders>
            <w:shd w:val="clear" w:color="auto" w:fill="auto"/>
            <w:noWrap/>
            <w:vAlign w:val="bottom"/>
            <w:hideMark/>
          </w:tcPr>
          <w:p w14:paraId="327603F6"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(3)</w:t>
            </w:r>
          </w:p>
        </w:tc>
        <w:tc>
          <w:tcPr>
            <w:tcW w:w="1061" w:type="dxa"/>
            <w:tcBorders>
              <w:top w:val="nil"/>
              <w:left w:val="nil"/>
              <w:bottom w:val="single" w:sz="4" w:space="0" w:color="auto"/>
              <w:right w:val="nil"/>
            </w:tcBorders>
            <w:shd w:val="clear" w:color="auto" w:fill="auto"/>
            <w:noWrap/>
            <w:vAlign w:val="bottom"/>
            <w:hideMark/>
          </w:tcPr>
          <w:p w14:paraId="7482C330"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(4)</w:t>
            </w:r>
          </w:p>
        </w:tc>
        <w:tc>
          <w:tcPr>
            <w:tcW w:w="980" w:type="dxa"/>
            <w:tcBorders>
              <w:top w:val="nil"/>
              <w:left w:val="single" w:sz="4" w:space="0" w:color="auto"/>
              <w:bottom w:val="single" w:sz="4" w:space="0" w:color="auto"/>
              <w:right w:val="nil"/>
            </w:tcBorders>
            <w:shd w:val="clear" w:color="auto" w:fill="auto"/>
            <w:noWrap/>
            <w:vAlign w:val="bottom"/>
            <w:hideMark/>
          </w:tcPr>
          <w:p w14:paraId="57870BEF"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(5)</w:t>
            </w:r>
          </w:p>
        </w:tc>
        <w:tc>
          <w:tcPr>
            <w:tcW w:w="1020" w:type="dxa"/>
            <w:tcBorders>
              <w:top w:val="nil"/>
              <w:left w:val="nil"/>
              <w:bottom w:val="single" w:sz="4" w:space="0" w:color="auto"/>
              <w:right w:val="nil"/>
            </w:tcBorders>
            <w:shd w:val="clear" w:color="auto" w:fill="auto"/>
            <w:noWrap/>
            <w:vAlign w:val="bottom"/>
            <w:hideMark/>
          </w:tcPr>
          <w:p w14:paraId="72E1C7A2"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(6)</w:t>
            </w:r>
          </w:p>
        </w:tc>
        <w:tc>
          <w:tcPr>
            <w:tcW w:w="980" w:type="dxa"/>
            <w:tcBorders>
              <w:top w:val="nil"/>
              <w:left w:val="nil"/>
              <w:bottom w:val="single" w:sz="4" w:space="0" w:color="auto"/>
              <w:right w:val="nil"/>
            </w:tcBorders>
            <w:shd w:val="clear" w:color="auto" w:fill="auto"/>
            <w:noWrap/>
            <w:vAlign w:val="bottom"/>
            <w:hideMark/>
          </w:tcPr>
          <w:p w14:paraId="5AB47CB3"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(7)</w:t>
            </w:r>
          </w:p>
        </w:tc>
      </w:tr>
      <w:tr w:rsidR="00CF298A" w:rsidRPr="00CF298A" w14:paraId="5533FEC7" w14:textId="77777777" w:rsidTr="00CF298A">
        <w:trPr>
          <w:trHeight w:val="288"/>
        </w:trPr>
        <w:tc>
          <w:tcPr>
            <w:tcW w:w="1460" w:type="dxa"/>
            <w:tcBorders>
              <w:top w:val="nil"/>
              <w:left w:val="nil"/>
              <w:bottom w:val="nil"/>
              <w:right w:val="nil"/>
            </w:tcBorders>
            <w:shd w:val="clear" w:color="auto" w:fill="auto"/>
            <w:noWrap/>
            <w:vAlign w:val="bottom"/>
            <w:hideMark/>
          </w:tcPr>
          <w:p w14:paraId="57836CC4"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A</w:t>
            </w:r>
          </w:p>
        </w:tc>
        <w:tc>
          <w:tcPr>
            <w:tcW w:w="1100" w:type="dxa"/>
            <w:tcBorders>
              <w:top w:val="nil"/>
              <w:left w:val="nil"/>
              <w:bottom w:val="nil"/>
              <w:right w:val="nil"/>
            </w:tcBorders>
            <w:shd w:val="clear" w:color="auto" w:fill="auto"/>
            <w:noWrap/>
            <w:vAlign w:val="bottom"/>
            <w:hideMark/>
          </w:tcPr>
          <w:p w14:paraId="67F08FDD"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80</w:t>
            </w:r>
          </w:p>
        </w:tc>
        <w:tc>
          <w:tcPr>
            <w:tcW w:w="1093" w:type="dxa"/>
            <w:tcBorders>
              <w:top w:val="nil"/>
              <w:left w:val="single" w:sz="4" w:space="0" w:color="auto"/>
              <w:bottom w:val="nil"/>
              <w:right w:val="nil"/>
            </w:tcBorders>
            <w:shd w:val="clear" w:color="auto" w:fill="auto"/>
            <w:noWrap/>
            <w:vAlign w:val="bottom"/>
            <w:hideMark/>
          </w:tcPr>
          <w:p w14:paraId="12CC0A5F"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400</w:t>
            </w:r>
          </w:p>
        </w:tc>
        <w:tc>
          <w:tcPr>
            <w:tcW w:w="1046" w:type="dxa"/>
            <w:tcBorders>
              <w:top w:val="nil"/>
              <w:left w:val="nil"/>
              <w:bottom w:val="nil"/>
              <w:right w:val="nil"/>
            </w:tcBorders>
            <w:shd w:val="clear" w:color="auto" w:fill="auto"/>
            <w:noWrap/>
            <w:vAlign w:val="bottom"/>
            <w:hideMark/>
          </w:tcPr>
          <w:p w14:paraId="38B6A65E" w14:textId="77777777" w:rsidR="00CF298A" w:rsidRPr="00CF298A" w:rsidRDefault="00B641BD" w:rsidP="00CF298A">
            <w:pPr>
              <w:spacing w:after="0" w:line="240" w:lineRule="auto"/>
              <w:jc w:val="right"/>
              <w:rPr>
                <w:rFonts w:ascii="Calibri" w:hAnsi="Calibri" w:cs="Calibri"/>
                <w:color w:val="000000"/>
                <w:szCs w:val="22"/>
              </w:rPr>
            </w:pPr>
            <w:r>
              <w:rPr>
                <w:rFonts w:ascii="Calibri" w:hAnsi="Calibri" w:cs="Calibri"/>
                <w:color w:val="000000"/>
                <w:szCs w:val="22"/>
              </w:rPr>
              <w:t>40%</w:t>
            </w:r>
          </w:p>
        </w:tc>
        <w:tc>
          <w:tcPr>
            <w:tcW w:w="1061" w:type="dxa"/>
            <w:tcBorders>
              <w:top w:val="nil"/>
              <w:left w:val="nil"/>
              <w:bottom w:val="nil"/>
              <w:right w:val="nil"/>
            </w:tcBorders>
            <w:shd w:val="clear" w:color="auto" w:fill="auto"/>
            <w:noWrap/>
            <w:vAlign w:val="bottom"/>
            <w:hideMark/>
          </w:tcPr>
          <w:p w14:paraId="5219456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32</w:t>
            </w:r>
          </w:p>
        </w:tc>
        <w:tc>
          <w:tcPr>
            <w:tcW w:w="980" w:type="dxa"/>
            <w:tcBorders>
              <w:top w:val="nil"/>
              <w:left w:val="single" w:sz="4" w:space="0" w:color="auto"/>
              <w:bottom w:val="nil"/>
              <w:right w:val="nil"/>
            </w:tcBorders>
            <w:shd w:val="clear" w:color="auto" w:fill="auto"/>
            <w:noWrap/>
            <w:vAlign w:val="bottom"/>
            <w:hideMark/>
          </w:tcPr>
          <w:p w14:paraId="2E8877C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100</w:t>
            </w:r>
          </w:p>
        </w:tc>
        <w:tc>
          <w:tcPr>
            <w:tcW w:w="1020" w:type="dxa"/>
            <w:tcBorders>
              <w:top w:val="nil"/>
              <w:left w:val="nil"/>
              <w:bottom w:val="nil"/>
              <w:right w:val="nil"/>
            </w:tcBorders>
            <w:shd w:val="clear" w:color="auto" w:fill="auto"/>
            <w:noWrap/>
            <w:vAlign w:val="bottom"/>
            <w:hideMark/>
          </w:tcPr>
          <w:p w14:paraId="4467F4B2" w14:textId="77777777" w:rsidR="00CF298A" w:rsidRPr="00CF298A" w:rsidRDefault="00CF298A" w:rsidP="00B641BD">
            <w:pPr>
              <w:spacing w:after="0" w:line="240" w:lineRule="auto"/>
              <w:jc w:val="right"/>
              <w:rPr>
                <w:rFonts w:ascii="Calibri" w:hAnsi="Calibri" w:cs="Calibri"/>
                <w:color w:val="000000"/>
                <w:szCs w:val="22"/>
              </w:rPr>
            </w:pPr>
            <w:r w:rsidRPr="00CF298A">
              <w:rPr>
                <w:rFonts w:ascii="Calibri" w:hAnsi="Calibri" w:cs="Calibri"/>
                <w:color w:val="000000"/>
                <w:szCs w:val="22"/>
              </w:rPr>
              <w:t>2</w:t>
            </w:r>
            <w:r w:rsidR="00B641BD">
              <w:rPr>
                <w:rFonts w:ascii="Calibri" w:hAnsi="Calibri" w:cs="Calibri"/>
                <w:color w:val="000000"/>
                <w:szCs w:val="22"/>
              </w:rPr>
              <w:t>0%</w:t>
            </w:r>
          </w:p>
        </w:tc>
        <w:tc>
          <w:tcPr>
            <w:tcW w:w="980" w:type="dxa"/>
            <w:tcBorders>
              <w:top w:val="nil"/>
              <w:left w:val="nil"/>
              <w:bottom w:val="nil"/>
              <w:right w:val="nil"/>
            </w:tcBorders>
            <w:shd w:val="clear" w:color="auto" w:fill="auto"/>
            <w:noWrap/>
            <w:vAlign w:val="bottom"/>
            <w:hideMark/>
          </w:tcPr>
          <w:p w14:paraId="63231D9D"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16</w:t>
            </w:r>
          </w:p>
        </w:tc>
      </w:tr>
      <w:tr w:rsidR="00CF298A" w:rsidRPr="00CF298A" w14:paraId="07CCAFF9" w14:textId="77777777" w:rsidTr="00CF298A">
        <w:trPr>
          <w:trHeight w:val="288"/>
        </w:trPr>
        <w:tc>
          <w:tcPr>
            <w:tcW w:w="1460" w:type="dxa"/>
            <w:tcBorders>
              <w:top w:val="nil"/>
              <w:left w:val="nil"/>
              <w:bottom w:val="nil"/>
              <w:right w:val="nil"/>
            </w:tcBorders>
            <w:shd w:val="clear" w:color="auto" w:fill="auto"/>
            <w:noWrap/>
            <w:vAlign w:val="bottom"/>
            <w:hideMark/>
          </w:tcPr>
          <w:p w14:paraId="46C203F7"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B</w:t>
            </w:r>
          </w:p>
        </w:tc>
        <w:tc>
          <w:tcPr>
            <w:tcW w:w="1100" w:type="dxa"/>
            <w:tcBorders>
              <w:top w:val="nil"/>
              <w:left w:val="nil"/>
              <w:bottom w:val="nil"/>
              <w:right w:val="nil"/>
            </w:tcBorders>
            <w:shd w:val="clear" w:color="auto" w:fill="auto"/>
            <w:noWrap/>
            <w:vAlign w:val="bottom"/>
            <w:hideMark/>
          </w:tcPr>
          <w:p w14:paraId="1C1EF53F"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50</w:t>
            </w:r>
          </w:p>
        </w:tc>
        <w:tc>
          <w:tcPr>
            <w:tcW w:w="1093" w:type="dxa"/>
            <w:tcBorders>
              <w:top w:val="nil"/>
              <w:left w:val="single" w:sz="4" w:space="0" w:color="auto"/>
              <w:bottom w:val="nil"/>
              <w:right w:val="nil"/>
            </w:tcBorders>
            <w:shd w:val="clear" w:color="auto" w:fill="auto"/>
            <w:noWrap/>
            <w:vAlign w:val="bottom"/>
            <w:hideMark/>
          </w:tcPr>
          <w:p w14:paraId="6AB3358B"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400</w:t>
            </w:r>
          </w:p>
        </w:tc>
        <w:tc>
          <w:tcPr>
            <w:tcW w:w="1046" w:type="dxa"/>
            <w:tcBorders>
              <w:top w:val="nil"/>
              <w:left w:val="nil"/>
              <w:bottom w:val="nil"/>
              <w:right w:val="nil"/>
            </w:tcBorders>
            <w:shd w:val="clear" w:color="auto" w:fill="auto"/>
            <w:noWrap/>
            <w:vAlign w:val="bottom"/>
            <w:hideMark/>
          </w:tcPr>
          <w:p w14:paraId="781A1685" w14:textId="77777777" w:rsidR="00CF298A" w:rsidRPr="00CF298A" w:rsidRDefault="00B641BD" w:rsidP="00B641BD">
            <w:pPr>
              <w:spacing w:after="0" w:line="240" w:lineRule="auto"/>
              <w:jc w:val="right"/>
              <w:rPr>
                <w:rFonts w:ascii="Calibri" w:hAnsi="Calibri" w:cs="Calibri"/>
                <w:color w:val="000000"/>
                <w:szCs w:val="22"/>
              </w:rPr>
            </w:pPr>
            <w:r>
              <w:rPr>
                <w:rFonts w:ascii="Calibri" w:hAnsi="Calibri" w:cs="Calibri"/>
                <w:color w:val="000000"/>
                <w:szCs w:val="22"/>
              </w:rPr>
              <w:t>40%</w:t>
            </w:r>
          </w:p>
        </w:tc>
        <w:tc>
          <w:tcPr>
            <w:tcW w:w="1061" w:type="dxa"/>
            <w:tcBorders>
              <w:top w:val="nil"/>
              <w:left w:val="nil"/>
              <w:bottom w:val="nil"/>
              <w:right w:val="nil"/>
            </w:tcBorders>
            <w:shd w:val="clear" w:color="auto" w:fill="auto"/>
            <w:noWrap/>
            <w:vAlign w:val="bottom"/>
            <w:hideMark/>
          </w:tcPr>
          <w:p w14:paraId="1BDEE447"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20</w:t>
            </w:r>
          </w:p>
        </w:tc>
        <w:tc>
          <w:tcPr>
            <w:tcW w:w="980" w:type="dxa"/>
            <w:tcBorders>
              <w:top w:val="nil"/>
              <w:left w:val="single" w:sz="4" w:space="0" w:color="auto"/>
              <w:bottom w:val="nil"/>
              <w:right w:val="nil"/>
            </w:tcBorders>
            <w:shd w:val="clear" w:color="auto" w:fill="auto"/>
            <w:noWrap/>
            <w:vAlign w:val="bottom"/>
            <w:hideMark/>
          </w:tcPr>
          <w:p w14:paraId="50E84A4A"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150</w:t>
            </w:r>
          </w:p>
        </w:tc>
        <w:tc>
          <w:tcPr>
            <w:tcW w:w="1020" w:type="dxa"/>
            <w:tcBorders>
              <w:top w:val="nil"/>
              <w:left w:val="nil"/>
              <w:bottom w:val="nil"/>
              <w:right w:val="nil"/>
            </w:tcBorders>
            <w:shd w:val="clear" w:color="auto" w:fill="auto"/>
            <w:noWrap/>
            <w:vAlign w:val="bottom"/>
            <w:hideMark/>
          </w:tcPr>
          <w:p w14:paraId="7A76D232" w14:textId="77777777" w:rsidR="00CF298A" w:rsidRPr="00CF298A" w:rsidRDefault="00CF298A" w:rsidP="00B641BD">
            <w:pPr>
              <w:spacing w:after="0" w:line="240" w:lineRule="auto"/>
              <w:jc w:val="right"/>
              <w:rPr>
                <w:rFonts w:ascii="Calibri" w:hAnsi="Calibri" w:cs="Calibri"/>
                <w:color w:val="000000"/>
                <w:szCs w:val="22"/>
              </w:rPr>
            </w:pPr>
            <w:r w:rsidRPr="00CF298A">
              <w:rPr>
                <w:rFonts w:ascii="Calibri" w:hAnsi="Calibri" w:cs="Calibri"/>
                <w:color w:val="000000"/>
                <w:szCs w:val="22"/>
              </w:rPr>
              <w:t>3</w:t>
            </w:r>
            <w:r w:rsidR="00B641BD">
              <w:rPr>
                <w:rFonts w:ascii="Calibri" w:hAnsi="Calibri" w:cs="Calibri"/>
                <w:color w:val="000000"/>
                <w:szCs w:val="22"/>
              </w:rPr>
              <w:t>0%</w:t>
            </w:r>
          </w:p>
        </w:tc>
        <w:tc>
          <w:tcPr>
            <w:tcW w:w="980" w:type="dxa"/>
            <w:tcBorders>
              <w:top w:val="nil"/>
              <w:left w:val="nil"/>
              <w:bottom w:val="nil"/>
              <w:right w:val="nil"/>
            </w:tcBorders>
            <w:shd w:val="clear" w:color="auto" w:fill="auto"/>
            <w:noWrap/>
            <w:vAlign w:val="bottom"/>
            <w:hideMark/>
          </w:tcPr>
          <w:p w14:paraId="3B6AB5C9"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15</w:t>
            </w:r>
          </w:p>
        </w:tc>
      </w:tr>
      <w:tr w:rsidR="00CF298A" w:rsidRPr="00CF298A" w14:paraId="6B8E4657" w14:textId="77777777" w:rsidTr="00CF298A">
        <w:trPr>
          <w:trHeight w:val="300"/>
        </w:trPr>
        <w:tc>
          <w:tcPr>
            <w:tcW w:w="1460" w:type="dxa"/>
            <w:tcBorders>
              <w:top w:val="nil"/>
              <w:left w:val="nil"/>
              <w:bottom w:val="nil"/>
              <w:right w:val="nil"/>
            </w:tcBorders>
            <w:shd w:val="clear" w:color="auto" w:fill="auto"/>
            <w:noWrap/>
            <w:vAlign w:val="bottom"/>
            <w:hideMark/>
          </w:tcPr>
          <w:p w14:paraId="52878FAA" w14:textId="77777777" w:rsidR="00CF298A" w:rsidRPr="00CF298A" w:rsidRDefault="00CF298A" w:rsidP="00CF298A">
            <w:pPr>
              <w:spacing w:after="0" w:line="240" w:lineRule="auto"/>
              <w:jc w:val="center"/>
              <w:rPr>
                <w:rFonts w:ascii="Calibri" w:hAnsi="Calibri" w:cs="Calibri"/>
                <w:color w:val="000000"/>
                <w:szCs w:val="22"/>
              </w:rPr>
            </w:pPr>
            <w:r w:rsidRPr="00CF298A">
              <w:rPr>
                <w:rFonts w:ascii="Calibri" w:hAnsi="Calibri" w:cs="Calibri"/>
                <w:color w:val="000000"/>
                <w:szCs w:val="22"/>
              </w:rPr>
              <w:t>C</w:t>
            </w:r>
          </w:p>
        </w:tc>
        <w:tc>
          <w:tcPr>
            <w:tcW w:w="1100" w:type="dxa"/>
            <w:tcBorders>
              <w:top w:val="nil"/>
              <w:left w:val="nil"/>
              <w:bottom w:val="single" w:sz="4" w:space="0" w:color="auto"/>
              <w:right w:val="nil"/>
            </w:tcBorders>
            <w:shd w:val="clear" w:color="auto" w:fill="auto"/>
            <w:noWrap/>
            <w:vAlign w:val="bottom"/>
            <w:hideMark/>
          </w:tcPr>
          <w:p w14:paraId="359F4D0B"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20</w:t>
            </w:r>
          </w:p>
        </w:tc>
        <w:tc>
          <w:tcPr>
            <w:tcW w:w="1093" w:type="dxa"/>
            <w:tcBorders>
              <w:top w:val="nil"/>
              <w:left w:val="single" w:sz="4" w:space="0" w:color="auto"/>
              <w:bottom w:val="single" w:sz="4" w:space="0" w:color="auto"/>
              <w:right w:val="nil"/>
            </w:tcBorders>
            <w:shd w:val="clear" w:color="auto" w:fill="auto"/>
            <w:noWrap/>
            <w:vAlign w:val="bottom"/>
            <w:hideMark/>
          </w:tcPr>
          <w:p w14:paraId="3B5B6222"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200</w:t>
            </w:r>
          </w:p>
        </w:tc>
        <w:tc>
          <w:tcPr>
            <w:tcW w:w="1046" w:type="dxa"/>
            <w:tcBorders>
              <w:top w:val="nil"/>
              <w:left w:val="nil"/>
              <w:bottom w:val="single" w:sz="4" w:space="0" w:color="auto"/>
              <w:right w:val="nil"/>
            </w:tcBorders>
            <w:shd w:val="clear" w:color="auto" w:fill="auto"/>
            <w:noWrap/>
            <w:vAlign w:val="bottom"/>
            <w:hideMark/>
          </w:tcPr>
          <w:p w14:paraId="3BD0829A" w14:textId="77777777" w:rsidR="00CF298A" w:rsidRPr="00CF298A" w:rsidRDefault="00CF298A" w:rsidP="00B641BD">
            <w:pPr>
              <w:spacing w:after="0" w:line="240" w:lineRule="auto"/>
              <w:jc w:val="right"/>
              <w:rPr>
                <w:rFonts w:ascii="Calibri" w:hAnsi="Calibri" w:cs="Calibri"/>
                <w:color w:val="000000"/>
                <w:szCs w:val="22"/>
              </w:rPr>
            </w:pPr>
            <w:r w:rsidRPr="00CF298A">
              <w:rPr>
                <w:rFonts w:ascii="Calibri" w:hAnsi="Calibri" w:cs="Calibri"/>
                <w:color w:val="000000"/>
                <w:szCs w:val="22"/>
              </w:rPr>
              <w:t>2</w:t>
            </w:r>
            <w:r w:rsidR="00B641BD">
              <w:rPr>
                <w:rFonts w:ascii="Calibri" w:hAnsi="Calibri" w:cs="Calibri"/>
                <w:color w:val="000000"/>
                <w:szCs w:val="22"/>
              </w:rPr>
              <w:t>0%</w:t>
            </w:r>
          </w:p>
        </w:tc>
        <w:tc>
          <w:tcPr>
            <w:tcW w:w="1061" w:type="dxa"/>
            <w:tcBorders>
              <w:top w:val="nil"/>
              <w:left w:val="nil"/>
              <w:bottom w:val="nil"/>
              <w:right w:val="nil"/>
            </w:tcBorders>
            <w:shd w:val="clear" w:color="auto" w:fill="auto"/>
            <w:noWrap/>
            <w:vAlign w:val="bottom"/>
            <w:hideMark/>
          </w:tcPr>
          <w:p w14:paraId="492F1607"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4</w:t>
            </w:r>
          </w:p>
        </w:tc>
        <w:tc>
          <w:tcPr>
            <w:tcW w:w="980" w:type="dxa"/>
            <w:tcBorders>
              <w:top w:val="nil"/>
              <w:left w:val="single" w:sz="4" w:space="0" w:color="auto"/>
              <w:bottom w:val="single" w:sz="4" w:space="0" w:color="auto"/>
              <w:right w:val="nil"/>
            </w:tcBorders>
            <w:shd w:val="clear" w:color="auto" w:fill="auto"/>
            <w:noWrap/>
            <w:vAlign w:val="bottom"/>
            <w:hideMark/>
          </w:tcPr>
          <w:p w14:paraId="2E6CDA5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250</w:t>
            </w:r>
          </w:p>
        </w:tc>
        <w:tc>
          <w:tcPr>
            <w:tcW w:w="1020" w:type="dxa"/>
            <w:tcBorders>
              <w:top w:val="nil"/>
              <w:left w:val="nil"/>
              <w:bottom w:val="single" w:sz="4" w:space="0" w:color="auto"/>
              <w:right w:val="nil"/>
            </w:tcBorders>
            <w:shd w:val="clear" w:color="auto" w:fill="auto"/>
            <w:noWrap/>
            <w:vAlign w:val="bottom"/>
            <w:hideMark/>
          </w:tcPr>
          <w:p w14:paraId="2101269B"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5</w:t>
            </w:r>
            <w:r w:rsidR="00B641BD">
              <w:rPr>
                <w:rFonts w:ascii="Calibri" w:hAnsi="Calibri" w:cs="Calibri"/>
                <w:color w:val="000000"/>
                <w:szCs w:val="22"/>
              </w:rPr>
              <w:t>0%</w:t>
            </w:r>
          </w:p>
        </w:tc>
        <w:tc>
          <w:tcPr>
            <w:tcW w:w="980" w:type="dxa"/>
            <w:tcBorders>
              <w:top w:val="nil"/>
              <w:left w:val="nil"/>
              <w:bottom w:val="nil"/>
              <w:right w:val="nil"/>
            </w:tcBorders>
            <w:shd w:val="clear" w:color="auto" w:fill="auto"/>
            <w:noWrap/>
            <w:vAlign w:val="bottom"/>
            <w:hideMark/>
          </w:tcPr>
          <w:p w14:paraId="4432CA78"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10</w:t>
            </w:r>
          </w:p>
        </w:tc>
      </w:tr>
      <w:tr w:rsidR="00CF298A" w:rsidRPr="00CF298A" w14:paraId="52AAF24F" w14:textId="77777777" w:rsidTr="00CF298A">
        <w:trPr>
          <w:trHeight w:val="300"/>
        </w:trPr>
        <w:tc>
          <w:tcPr>
            <w:tcW w:w="1460" w:type="dxa"/>
            <w:tcBorders>
              <w:top w:val="nil"/>
              <w:left w:val="nil"/>
              <w:bottom w:val="single" w:sz="4" w:space="0" w:color="auto"/>
              <w:right w:val="nil"/>
            </w:tcBorders>
            <w:shd w:val="clear" w:color="auto" w:fill="auto"/>
            <w:noWrap/>
            <w:vAlign w:val="bottom"/>
            <w:hideMark/>
          </w:tcPr>
          <w:p w14:paraId="4C2D7543"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Total</w:t>
            </w:r>
          </w:p>
        </w:tc>
        <w:tc>
          <w:tcPr>
            <w:tcW w:w="1100" w:type="dxa"/>
            <w:tcBorders>
              <w:top w:val="nil"/>
              <w:left w:val="nil"/>
              <w:bottom w:val="single" w:sz="4" w:space="0" w:color="auto"/>
              <w:right w:val="nil"/>
            </w:tcBorders>
            <w:shd w:val="clear" w:color="auto" w:fill="auto"/>
            <w:noWrap/>
            <w:vAlign w:val="bottom"/>
            <w:hideMark/>
          </w:tcPr>
          <w:p w14:paraId="06F85659" w14:textId="77777777" w:rsidR="00CF298A" w:rsidRPr="00CF298A" w:rsidRDefault="00CF298A" w:rsidP="00CF298A">
            <w:pPr>
              <w:spacing w:after="0" w:line="240" w:lineRule="auto"/>
              <w:rPr>
                <w:rFonts w:ascii="Calibri" w:hAnsi="Calibri" w:cs="Calibri"/>
                <w:color w:val="000000"/>
                <w:szCs w:val="22"/>
              </w:rPr>
            </w:pPr>
            <w:r w:rsidRPr="00CF298A">
              <w:rPr>
                <w:rFonts w:ascii="Calibri" w:hAnsi="Calibri" w:cs="Calibri"/>
                <w:color w:val="000000"/>
                <w:szCs w:val="22"/>
              </w:rPr>
              <w:t> </w:t>
            </w:r>
          </w:p>
        </w:tc>
        <w:tc>
          <w:tcPr>
            <w:tcW w:w="1093" w:type="dxa"/>
            <w:tcBorders>
              <w:top w:val="nil"/>
              <w:left w:val="nil"/>
              <w:bottom w:val="single" w:sz="4" w:space="0" w:color="auto"/>
              <w:right w:val="nil"/>
            </w:tcBorders>
            <w:shd w:val="clear" w:color="auto" w:fill="auto"/>
            <w:noWrap/>
            <w:vAlign w:val="bottom"/>
            <w:hideMark/>
          </w:tcPr>
          <w:p w14:paraId="001540FE"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1000</w:t>
            </w:r>
          </w:p>
        </w:tc>
        <w:tc>
          <w:tcPr>
            <w:tcW w:w="1046" w:type="dxa"/>
            <w:tcBorders>
              <w:top w:val="nil"/>
              <w:left w:val="nil"/>
              <w:bottom w:val="single" w:sz="4" w:space="0" w:color="auto"/>
              <w:right w:val="nil"/>
            </w:tcBorders>
            <w:shd w:val="clear" w:color="auto" w:fill="auto"/>
            <w:noWrap/>
            <w:vAlign w:val="bottom"/>
            <w:hideMark/>
          </w:tcPr>
          <w:p w14:paraId="4A6B0DA4"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w:t>
            </w:r>
            <w:r w:rsidR="00E32F2E">
              <w:rPr>
                <w:rFonts w:ascii="Calibri" w:hAnsi="Calibri" w:cs="Calibri"/>
                <w:color w:val="000000"/>
                <w:szCs w:val="22"/>
              </w:rPr>
              <w:t>00%</w:t>
            </w:r>
          </w:p>
        </w:tc>
        <w:tc>
          <w:tcPr>
            <w:tcW w:w="1061"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7F71D5B" w14:textId="77777777" w:rsidR="00CF298A" w:rsidRPr="00CF298A" w:rsidRDefault="00CF298A" w:rsidP="00CF298A">
            <w:pPr>
              <w:spacing w:after="0" w:line="240" w:lineRule="auto"/>
              <w:jc w:val="right"/>
              <w:rPr>
                <w:rFonts w:ascii="Calibri" w:hAnsi="Calibri" w:cs="Calibri"/>
                <w:b/>
                <w:bCs/>
                <w:color w:val="000000"/>
                <w:szCs w:val="22"/>
              </w:rPr>
            </w:pPr>
            <w:r w:rsidRPr="00CF298A">
              <w:rPr>
                <w:rFonts w:ascii="Calibri" w:hAnsi="Calibri" w:cs="Calibri"/>
                <w:b/>
                <w:bCs/>
                <w:color w:val="000000"/>
                <w:szCs w:val="22"/>
              </w:rPr>
              <w:t>56</w:t>
            </w:r>
          </w:p>
        </w:tc>
        <w:tc>
          <w:tcPr>
            <w:tcW w:w="980" w:type="dxa"/>
            <w:tcBorders>
              <w:top w:val="nil"/>
              <w:left w:val="nil"/>
              <w:bottom w:val="single" w:sz="4" w:space="0" w:color="auto"/>
              <w:right w:val="nil"/>
            </w:tcBorders>
            <w:shd w:val="clear" w:color="auto" w:fill="auto"/>
            <w:noWrap/>
            <w:vAlign w:val="bottom"/>
            <w:hideMark/>
          </w:tcPr>
          <w:p w14:paraId="2E2DE5D4"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500</w:t>
            </w:r>
          </w:p>
        </w:tc>
        <w:tc>
          <w:tcPr>
            <w:tcW w:w="1020" w:type="dxa"/>
            <w:tcBorders>
              <w:top w:val="nil"/>
              <w:left w:val="nil"/>
              <w:bottom w:val="single" w:sz="4" w:space="0" w:color="auto"/>
              <w:right w:val="nil"/>
            </w:tcBorders>
            <w:shd w:val="clear" w:color="auto" w:fill="auto"/>
            <w:noWrap/>
            <w:vAlign w:val="bottom"/>
            <w:hideMark/>
          </w:tcPr>
          <w:p w14:paraId="31D6D194" w14:textId="77777777" w:rsidR="00CF298A" w:rsidRPr="00CF298A" w:rsidRDefault="00CF298A" w:rsidP="00CF298A">
            <w:pPr>
              <w:spacing w:after="0" w:line="240" w:lineRule="auto"/>
              <w:jc w:val="right"/>
              <w:rPr>
                <w:rFonts w:ascii="Calibri" w:hAnsi="Calibri" w:cs="Calibri"/>
                <w:color w:val="000000"/>
                <w:szCs w:val="22"/>
              </w:rPr>
            </w:pPr>
            <w:r w:rsidRPr="00CF298A">
              <w:rPr>
                <w:rFonts w:ascii="Calibri" w:hAnsi="Calibri" w:cs="Calibri"/>
                <w:color w:val="000000"/>
                <w:szCs w:val="22"/>
              </w:rPr>
              <w:t>1</w:t>
            </w:r>
            <w:r w:rsidR="00E32F2E">
              <w:rPr>
                <w:rFonts w:ascii="Calibri" w:hAnsi="Calibri" w:cs="Calibri"/>
                <w:color w:val="000000"/>
                <w:szCs w:val="22"/>
              </w:rPr>
              <w:t>00%</w:t>
            </w:r>
          </w:p>
        </w:tc>
        <w:tc>
          <w:tcPr>
            <w:tcW w:w="9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1932F342" w14:textId="77777777" w:rsidR="00CF298A" w:rsidRPr="00CF298A" w:rsidRDefault="00CF298A" w:rsidP="00CF298A">
            <w:pPr>
              <w:spacing w:after="0" w:line="240" w:lineRule="auto"/>
              <w:jc w:val="right"/>
              <w:rPr>
                <w:rFonts w:ascii="Calibri" w:hAnsi="Calibri" w:cs="Calibri"/>
                <w:b/>
                <w:bCs/>
                <w:color w:val="000000"/>
                <w:szCs w:val="22"/>
              </w:rPr>
            </w:pPr>
            <w:r w:rsidRPr="00CF298A">
              <w:rPr>
                <w:rFonts w:ascii="Calibri" w:hAnsi="Calibri" w:cs="Calibri"/>
                <w:b/>
                <w:bCs/>
                <w:color w:val="000000"/>
                <w:szCs w:val="22"/>
              </w:rPr>
              <w:t>41</w:t>
            </w:r>
          </w:p>
        </w:tc>
      </w:tr>
    </w:tbl>
    <w:p w14:paraId="031E978C" w14:textId="77777777" w:rsidR="009B090B" w:rsidRDefault="009B090B" w:rsidP="00426C3B"/>
    <w:p w14:paraId="47A876FA" w14:textId="64A1D8B4" w:rsidR="00E962B2" w:rsidRDefault="001763BA" w:rsidP="00426C3B">
      <w:r>
        <w:t xml:space="preserve">This </w:t>
      </w:r>
      <w:r w:rsidR="00FF28A8">
        <w:t>exercise can be repeated for each rac</w:t>
      </w:r>
      <w:r w:rsidR="00277B3E">
        <w:t>ial</w:t>
      </w:r>
      <w:r w:rsidR="00FF28A8">
        <w:t xml:space="preserve">/ethnic group. </w:t>
      </w:r>
      <w:r>
        <w:t>For example, t</w:t>
      </w:r>
      <w:r w:rsidR="00FF28A8">
        <w:t xml:space="preserve">he low poverty index among blacks in Jurisdiction X is 41. </w:t>
      </w:r>
      <w:r w:rsidR="00426C3B">
        <w:t>Us</w:t>
      </w:r>
      <w:r w:rsidR="00E962B2">
        <w:t>ing these indices, it is</w:t>
      </w:r>
      <w:r w:rsidR="00426C3B">
        <w:t xml:space="preserve"> possible to </w:t>
      </w:r>
      <w:r w:rsidR="00CF298A">
        <w:t>identify</w:t>
      </w:r>
      <w:r w:rsidR="00426C3B">
        <w:t xml:space="preserve"> </w:t>
      </w:r>
      <w:r w:rsidR="00361F3D">
        <w:t xml:space="preserve">differences in </w:t>
      </w:r>
      <w:r w:rsidR="00426C3B">
        <w:t xml:space="preserve">access </w:t>
      </w:r>
      <w:r w:rsidR="00E962B2">
        <w:t xml:space="preserve">to </w:t>
      </w:r>
      <w:r w:rsidR="003D0FE4">
        <w:t>opportunity</w:t>
      </w:r>
      <w:r w:rsidR="00361F3D">
        <w:t xml:space="preserve"> </w:t>
      </w:r>
      <w:r w:rsidR="00CF298A">
        <w:t>across protected classes</w:t>
      </w:r>
      <w:r w:rsidR="00426C3B">
        <w:t xml:space="preserve">. </w:t>
      </w:r>
    </w:p>
    <w:p w14:paraId="24E9399A" w14:textId="30036A54" w:rsidR="00E962B2" w:rsidRDefault="00426C3B" w:rsidP="00426C3B">
      <w:r>
        <w:t xml:space="preserve">To account for differences in household income across groups, </w:t>
      </w:r>
      <w:r w:rsidR="00361F3D">
        <w:t xml:space="preserve">the AFFH </w:t>
      </w:r>
      <w:r w:rsidR="00E32F2E">
        <w:t>T</w:t>
      </w:r>
      <w:r w:rsidR="00361F3D">
        <w:t xml:space="preserve">ool </w:t>
      </w:r>
      <w:r w:rsidR="00E962B2">
        <w:t xml:space="preserve">also </w:t>
      </w:r>
      <w:r>
        <w:t xml:space="preserve">provides </w:t>
      </w:r>
      <w:r w:rsidR="00361F3D">
        <w:t xml:space="preserve">separate index values for </w:t>
      </w:r>
      <w:r>
        <w:t xml:space="preserve">persons </w:t>
      </w:r>
      <w:r w:rsidR="00277B3E">
        <w:t xml:space="preserve">below the federal </w:t>
      </w:r>
      <w:r>
        <w:t>poverty</w:t>
      </w:r>
      <w:r w:rsidR="00277B3E">
        <w:t xml:space="preserve"> line</w:t>
      </w:r>
      <w:r w:rsidR="00361F3D">
        <w:t>, again breaking out values by racial or ethnic group</w:t>
      </w:r>
      <w:r w:rsidR="00E32F2E">
        <w:t xml:space="preserve">. </w:t>
      </w:r>
      <w:r>
        <w:t xml:space="preserve">This </w:t>
      </w:r>
      <w:r w:rsidR="00E32F2E">
        <w:t>helps</w:t>
      </w:r>
      <w:r>
        <w:t xml:space="preserve"> </w:t>
      </w:r>
      <w:r w:rsidR="00277B3E">
        <w:t xml:space="preserve">program participants </w:t>
      </w:r>
      <w:r w:rsidR="00E32F2E">
        <w:t>understand</w:t>
      </w:r>
      <w:r>
        <w:t xml:space="preserve"> whether there are meaningful differences in </w:t>
      </w:r>
      <w:r w:rsidR="00E64F1D">
        <w:t>access</w:t>
      </w:r>
      <w:r>
        <w:t xml:space="preserve"> to </w:t>
      </w:r>
      <w:r w:rsidR="00277B3E">
        <w:t>opportunity indicators</w:t>
      </w:r>
      <w:r>
        <w:t xml:space="preserve"> across groups that cannot be expla</w:t>
      </w:r>
      <w:r w:rsidR="00E64F1D">
        <w:t xml:space="preserve">ined by differences in income. </w:t>
      </w:r>
      <w:r w:rsidR="00FF28A8">
        <w:t>These index values by protected class among the total and populations</w:t>
      </w:r>
      <w:r w:rsidR="00277B3E">
        <w:t xml:space="preserve"> below the federal poverty line</w:t>
      </w:r>
      <w:r w:rsidR="00FF28A8">
        <w:t xml:space="preserve"> are available in Table</w:t>
      </w:r>
      <w:r w:rsidR="001E2F3B">
        <w:t>12</w:t>
      </w:r>
      <w:r w:rsidR="00FF28A8">
        <w:t xml:space="preserve"> </w:t>
      </w:r>
    </w:p>
    <w:sectPr w:rsidR="00E962B2" w:rsidSect="00453FE3">
      <w:headerReference w:type="default" r:id="rId15"/>
      <w:footerReference w:type="default" r:id="rId16"/>
      <w:pgSz w:w="12240" w:h="15840" w:code="1"/>
      <w:pgMar w:top="1440" w:right="1440" w:bottom="1440" w:left="1800" w:header="108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23F389" w14:textId="77777777" w:rsidR="005952D3" w:rsidRDefault="005952D3" w:rsidP="00D979EA">
      <w:r>
        <w:separator/>
      </w:r>
    </w:p>
  </w:endnote>
  <w:endnote w:type="continuationSeparator" w:id="0">
    <w:p w14:paraId="66D1A639" w14:textId="77777777" w:rsidR="005952D3" w:rsidRDefault="005952D3" w:rsidP="00D979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3CEDE9" w14:textId="77777777" w:rsidR="00503323" w:rsidRDefault="00503323" w:rsidP="00744E2C">
    <w:pPr>
      <w:pStyle w:val="Footer"/>
      <w:pBdr>
        <w:top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3EE616" w14:textId="77777777" w:rsidR="00503323" w:rsidRPr="00A253B8" w:rsidRDefault="00503323" w:rsidP="00D979EA">
    <w:pPr>
      <w:pStyle w:val="Footer"/>
      <w:rPr>
        <w:color w:val="auto"/>
      </w:rPr>
    </w:pPr>
    <w:r w:rsidRPr="0066134E">
      <w:tab/>
    </w:r>
    <w:r w:rsidRPr="0066134E">
      <w:rPr>
        <w:rStyle w:val="PageNumber"/>
        <w:b/>
      </w:rPr>
      <w:tab/>
    </w:r>
    <w:r w:rsidRPr="00A253B8">
      <w:rPr>
        <w:rStyle w:val="PageNumber"/>
        <w:b/>
        <w:color w:val="auto"/>
      </w:rPr>
      <w:t xml:space="preserve"> </w:t>
    </w:r>
    <w:r w:rsidRPr="00A253B8">
      <w:rPr>
        <w:rStyle w:val="PageNumber"/>
        <w:b/>
        <w:color w:val="auto"/>
      </w:rPr>
      <w:fldChar w:fldCharType="begin"/>
    </w:r>
    <w:r w:rsidRPr="00A253B8">
      <w:rPr>
        <w:rStyle w:val="PageNumber"/>
        <w:b/>
        <w:color w:val="auto"/>
      </w:rPr>
      <w:instrText xml:space="preserve"> PAGE   \* MERGEFORMAT </w:instrText>
    </w:r>
    <w:r w:rsidRPr="00A253B8">
      <w:rPr>
        <w:rStyle w:val="PageNumber"/>
        <w:b/>
        <w:color w:val="auto"/>
      </w:rPr>
      <w:fldChar w:fldCharType="separate"/>
    </w:r>
    <w:r w:rsidR="005A6D8A">
      <w:rPr>
        <w:rStyle w:val="PageNumber"/>
        <w:b/>
        <w:noProof/>
        <w:color w:val="auto"/>
      </w:rPr>
      <w:t>2</w:t>
    </w:r>
    <w:r w:rsidRPr="00A253B8">
      <w:rPr>
        <w:rStyle w:val="PageNumber"/>
        <w:b/>
        <w:noProof/>
        <w:color w:val="auto"/>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3DE78" w14:textId="77777777" w:rsidR="00503323" w:rsidRPr="00A253B8" w:rsidRDefault="00503323" w:rsidP="005A7394">
    <w:pPr>
      <w:pStyle w:val="Footer"/>
      <w:tabs>
        <w:tab w:val="clear" w:pos="4507"/>
        <w:tab w:val="clear" w:pos="9000"/>
        <w:tab w:val="center" w:pos="6480"/>
        <w:tab w:val="right" w:pos="12960"/>
      </w:tabs>
      <w:rPr>
        <w:color w:val="auto"/>
      </w:rPr>
    </w:pPr>
    <w:r w:rsidRPr="0066134E">
      <w:tab/>
    </w:r>
    <w:r w:rsidRPr="0066134E">
      <w:rPr>
        <w:rStyle w:val="PageNumber"/>
        <w:b/>
      </w:rPr>
      <w:tab/>
    </w:r>
    <w:r w:rsidRPr="00A253B8">
      <w:rPr>
        <w:rStyle w:val="PageNumber"/>
        <w:b/>
        <w:color w:val="auto"/>
      </w:rPr>
      <w:fldChar w:fldCharType="begin"/>
    </w:r>
    <w:r w:rsidRPr="00A253B8">
      <w:rPr>
        <w:rStyle w:val="PageNumber"/>
        <w:b/>
        <w:color w:val="auto"/>
      </w:rPr>
      <w:instrText xml:space="preserve"> PAGE   \* MERGEFORMAT </w:instrText>
    </w:r>
    <w:r w:rsidRPr="00A253B8">
      <w:rPr>
        <w:rStyle w:val="PageNumber"/>
        <w:b/>
        <w:color w:val="auto"/>
      </w:rPr>
      <w:fldChar w:fldCharType="separate"/>
    </w:r>
    <w:r w:rsidR="005A6D8A">
      <w:rPr>
        <w:rStyle w:val="PageNumber"/>
        <w:b/>
        <w:noProof/>
        <w:color w:val="auto"/>
      </w:rPr>
      <w:t>4</w:t>
    </w:r>
    <w:r w:rsidRPr="00A253B8">
      <w:rPr>
        <w:rStyle w:val="PageNumber"/>
        <w:b/>
        <w:noProof/>
        <w:color w:val="auto"/>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7F2C" w14:textId="77777777" w:rsidR="00503323" w:rsidRPr="00A253B8" w:rsidRDefault="00503323" w:rsidP="00D979EA">
    <w:pPr>
      <w:pStyle w:val="Footer"/>
      <w:rPr>
        <w:color w:val="auto"/>
      </w:rPr>
    </w:pPr>
    <w:r w:rsidRPr="0066134E">
      <w:tab/>
    </w:r>
    <w:r w:rsidRPr="0066134E">
      <w:rPr>
        <w:rStyle w:val="PageNumber"/>
        <w:b/>
      </w:rPr>
      <w:tab/>
    </w:r>
    <w:r w:rsidRPr="00A253B8">
      <w:rPr>
        <w:rStyle w:val="PageNumber"/>
        <w:b/>
        <w:color w:val="auto"/>
      </w:rPr>
      <w:fldChar w:fldCharType="begin"/>
    </w:r>
    <w:r w:rsidRPr="00A253B8">
      <w:rPr>
        <w:rStyle w:val="PageNumber"/>
        <w:b/>
        <w:color w:val="auto"/>
      </w:rPr>
      <w:instrText xml:space="preserve"> PAGE   \* MERGEFORMAT </w:instrText>
    </w:r>
    <w:r w:rsidRPr="00A253B8">
      <w:rPr>
        <w:rStyle w:val="PageNumber"/>
        <w:b/>
        <w:color w:val="auto"/>
      </w:rPr>
      <w:fldChar w:fldCharType="separate"/>
    </w:r>
    <w:r w:rsidR="005A6D8A">
      <w:rPr>
        <w:rStyle w:val="PageNumber"/>
        <w:b/>
        <w:noProof/>
        <w:color w:val="auto"/>
      </w:rPr>
      <w:t>16</w:t>
    </w:r>
    <w:r w:rsidRPr="00A253B8">
      <w:rPr>
        <w:rStyle w:val="PageNumber"/>
        <w:b/>
        <w:noProof/>
        <w:color w:val="auto"/>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921234" w14:textId="77777777" w:rsidR="005952D3" w:rsidRDefault="005952D3" w:rsidP="00D979EA">
      <w:r>
        <w:separator/>
      </w:r>
    </w:p>
  </w:footnote>
  <w:footnote w:type="continuationSeparator" w:id="0">
    <w:p w14:paraId="6B53A998" w14:textId="77777777" w:rsidR="005952D3" w:rsidRDefault="005952D3" w:rsidP="00D979EA">
      <w:r>
        <w:continuationSeparator/>
      </w:r>
    </w:p>
  </w:footnote>
  <w:footnote w:id="1">
    <w:p w14:paraId="1AFE8D1D" w14:textId="77777777" w:rsidR="00503323" w:rsidRDefault="00503323">
      <w:pPr>
        <w:pStyle w:val="FootnoteText"/>
      </w:pPr>
      <w:r>
        <w:rPr>
          <w:rStyle w:val="FootnoteReference"/>
        </w:rPr>
        <w:footnoteRef/>
      </w:r>
      <w:r>
        <w:t xml:space="preserve"> CDBG jurisdictions in the AFFH Tool exclude non-entitlement jurisdictions.</w:t>
      </w:r>
    </w:p>
  </w:footnote>
  <w:footnote w:id="2">
    <w:p w14:paraId="32785E6A" w14:textId="77777777" w:rsidR="00503323" w:rsidRDefault="00503323" w:rsidP="003F76F8">
      <w:pPr>
        <w:pStyle w:val="FootnoteText"/>
      </w:pPr>
      <w:r>
        <w:rPr>
          <w:rStyle w:val="FootnoteReference"/>
        </w:rPr>
        <w:footnoteRef/>
      </w:r>
      <w:r>
        <w:t xml:space="preserve"> Tract changes between 2010 and 2011 are here: </w:t>
      </w:r>
      <w:hyperlink r:id="rId1" w:history="1">
        <w:r w:rsidRPr="00D40057">
          <w:rPr>
            <w:rStyle w:val="Hyperlink"/>
          </w:rPr>
          <w:t>http://www.census.gov/acs/www/data_documentation/2011_geography_release_notes/</w:t>
        </w:r>
      </w:hyperlink>
      <w:r>
        <w:t xml:space="preserve">; Tract changes between 2011 and 2012 are here: </w:t>
      </w:r>
      <w:hyperlink r:id="rId2" w:history="1">
        <w:r>
          <w:rPr>
            <w:rStyle w:val="Hyperlink"/>
          </w:rPr>
          <w:t>http://www.census.gov/acs/www/data_documentation/2012_geography_release_notes/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FF1FA1" w14:textId="77777777" w:rsidR="00503323" w:rsidRPr="007E78C1" w:rsidRDefault="00503323" w:rsidP="00133465">
    <w:pPr>
      <w:pStyle w:val="Header"/>
    </w:pPr>
    <w:r w:rsidRPr="007E78C1">
      <w:t>CONTENTS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8BCB2E" w14:textId="77777777" w:rsidR="00503323" w:rsidRPr="007E78C1" w:rsidRDefault="00503323" w:rsidP="00A253B8">
    <w:pPr>
      <w:pStyle w:val="Header"/>
    </w:pPr>
    <w:r>
      <w:t xml:space="preserve">AFFH Data Documentation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8AD73C" w14:textId="77777777" w:rsidR="00503323" w:rsidRPr="00A253B8" w:rsidRDefault="00503323" w:rsidP="00A253B8">
    <w:pPr>
      <w:pStyle w:val="Header"/>
    </w:pPr>
    <w:r>
      <w:t xml:space="preserve">AFFH Data Documentation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402F9F" w14:textId="77777777" w:rsidR="00503323" w:rsidRPr="007E78C1" w:rsidRDefault="00503323" w:rsidP="00366EBD">
    <w:pPr>
      <w:pStyle w:val="Header"/>
    </w:pPr>
    <w:r>
      <w:t xml:space="preserve">AFFH Data Documentation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2289D"/>
    <w:multiLevelType w:val="hybridMultilevel"/>
    <w:tmpl w:val="6E0C49E8"/>
    <w:lvl w:ilvl="0" w:tplc="D1927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5C768B"/>
    <w:multiLevelType w:val="hybridMultilevel"/>
    <w:tmpl w:val="F84069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4AC259B"/>
    <w:multiLevelType w:val="singleLevel"/>
    <w:tmpl w:val="01AC6EA0"/>
    <w:lvl w:ilvl="0">
      <w:start w:val="1"/>
      <w:numFmt w:val="decimal"/>
      <w:pStyle w:val="Numbers"/>
      <w:lvlText w:val="%1."/>
      <w:lvlJc w:val="left"/>
      <w:pPr>
        <w:tabs>
          <w:tab w:val="num" w:pos="1080"/>
        </w:tabs>
        <w:ind w:left="1080" w:hanging="360"/>
      </w:pPr>
    </w:lvl>
  </w:abstractNum>
  <w:abstractNum w:abstractNumId="3">
    <w:nsid w:val="31140D47"/>
    <w:multiLevelType w:val="hybridMultilevel"/>
    <w:tmpl w:val="2690EBA8"/>
    <w:lvl w:ilvl="0" w:tplc="33DE5DBE">
      <w:start w:val="1"/>
      <w:numFmt w:val="decimal"/>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00120E"/>
    <w:multiLevelType w:val="hybridMultilevel"/>
    <w:tmpl w:val="21E841B6"/>
    <w:lvl w:ilvl="0" w:tplc="C6FE8802">
      <w:start w:val="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DBC039E"/>
    <w:multiLevelType w:val="hybridMultilevel"/>
    <w:tmpl w:val="1A4A07AE"/>
    <w:lvl w:ilvl="0" w:tplc="17EACC0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AD33C4"/>
    <w:multiLevelType w:val="multilevel"/>
    <w:tmpl w:val="2C8E9D52"/>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7">
    <w:nsid w:val="42173171"/>
    <w:multiLevelType w:val="hybridMultilevel"/>
    <w:tmpl w:val="11B6E7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516B9C"/>
    <w:multiLevelType w:val="hybridMultilevel"/>
    <w:tmpl w:val="3350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10">
    <w:nsid w:val="72D10DCD"/>
    <w:multiLevelType w:val="hybridMultilevel"/>
    <w:tmpl w:val="3350E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68317C"/>
    <w:multiLevelType w:val="hybridMultilevel"/>
    <w:tmpl w:val="6E0C49E8"/>
    <w:lvl w:ilvl="0" w:tplc="D19274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D63DA6"/>
    <w:multiLevelType w:val="singleLevel"/>
    <w:tmpl w:val="D1227EF6"/>
    <w:lvl w:ilvl="0">
      <w:start w:val="1"/>
      <w:numFmt w:val="bullet"/>
      <w:pStyle w:val="Bullets"/>
      <w:lvlText w:val=""/>
      <w:lvlJc w:val="left"/>
      <w:pPr>
        <w:ind w:left="360" w:hanging="360"/>
      </w:pPr>
      <w:rPr>
        <w:rFonts w:ascii="Symbol" w:hAnsi="Symbol" w:hint="default"/>
        <w:color w:val="DA291C"/>
        <w:sz w:val="22"/>
      </w:rPr>
    </w:lvl>
  </w:abstractNum>
  <w:abstractNum w:abstractNumId="13">
    <w:nsid w:val="7FCF753D"/>
    <w:multiLevelType w:val="hybridMultilevel"/>
    <w:tmpl w:val="A1E6A41C"/>
    <w:lvl w:ilvl="0" w:tplc="31A62D50">
      <w:start w:val="1"/>
      <w:numFmt w:val="bullet"/>
      <w:pStyle w:val="Bullet2"/>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9"/>
  </w:num>
  <w:num w:numId="3">
    <w:abstractNumId w:val="12"/>
  </w:num>
  <w:num w:numId="4">
    <w:abstractNumId w:val="6"/>
  </w:num>
  <w:num w:numId="5">
    <w:abstractNumId w:val="13"/>
  </w:num>
  <w:num w:numId="6">
    <w:abstractNumId w:val="8"/>
  </w:num>
  <w:num w:numId="7">
    <w:abstractNumId w:val="10"/>
  </w:num>
  <w:num w:numId="8">
    <w:abstractNumId w:val="3"/>
  </w:num>
  <w:num w:numId="9">
    <w:abstractNumId w:val="0"/>
  </w:num>
  <w:num w:numId="10">
    <w:abstractNumId w:val="5"/>
  </w:num>
  <w:num w:numId="11">
    <w:abstractNumId w:val="1"/>
  </w:num>
  <w:num w:numId="12">
    <w:abstractNumId w:val="7"/>
  </w:num>
  <w:num w:numId="13">
    <w:abstractNumId w:val="11"/>
  </w:num>
  <w:num w:numId="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8" w:dllVersion="513"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1C6A"/>
    <w:rsid w:val="00003A2C"/>
    <w:rsid w:val="00006B3A"/>
    <w:rsid w:val="000136F3"/>
    <w:rsid w:val="00014353"/>
    <w:rsid w:val="00016E17"/>
    <w:rsid w:val="00021596"/>
    <w:rsid w:val="0002216E"/>
    <w:rsid w:val="00040E00"/>
    <w:rsid w:val="00045B75"/>
    <w:rsid w:val="00046728"/>
    <w:rsid w:val="000525E0"/>
    <w:rsid w:val="00053EEF"/>
    <w:rsid w:val="000543DC"/>
    <w:rsid w:val="00054B4D"/>
    <w:rsid w:val="00055022"/>
    <w:rsid w:val="0005750B"/>
    <w:rsid w:val="0006045E"/>
    <w:rsid w:val="0006587B"/>
    <w:rsid w:val="00066344"/>
    <w:rsid w:val="00070322"/>
    <w:rsid w:val="00082D01"/>
    <w:rsid w:val="00087856"/>
    <w:rsid w:val="000902AA"/>
    <w:rsid w:val="00091C6A"/>
    <w:rsid w:val="00095D40"/>
    <w:rsid w:val="000A00A2"/>
    <w:rsid w:val="000A1C6D"/>
    <w:rsid w:val="000A2BA2"/>
    <w:rsid w:val="000A4C96"/>
    <w:rsid w:val="000A77E8"/>
    <w:rsid w:val="000A7D69"/>
    <w:rsid w:val="000B33D1"/>
    <w:rsid w:val="000C0A39"/>
    <w:rsid w:val="000C3040"/>
    <w:rsid w:val="000D53F1"/>
    <w:rsid w:val="000D5777"/>
    <w:rsid w:val="000E6B75"/>
    <w:rsid w:val="000F1990"/>
    <w:rsid w:val="000F2A21"/>
    <w:rsid w:val="000F53F4"/>
    <w:rsid w:val="000F6F96"/>
    <w:rsid w:val="001034D7"/>
    <w:rsid w:val="00104F2A"/>
    <w:rsid w:val="0010703E"/>
    <w:rsid w:val="00107A04"/>
    <w:rsid w:val="0011170B"/>
    <w:rsid w:val="001178CA"/>
    <w:rsid w:val="001220B2"/>
    <w:rsid w:val="00124268"/>
    <w:rsid w:val="00126913"/>
    <w:rsid w:val="001307A5"/>
    <w:rsid w:val="00133465"/>
    <w:rsid w:val="00152153"/>
    <w:rsid w:val="00153ACD"/>
    <w:rsid w:val="00157E04"/>
    <w:rsid w:val="00160657"/>
    <w:rsid w:val="00160B87"/>
    <w:rsid w:val="00163FA4"/>
    <w:rsid w:val="00166696"/>
    <w:rsid w:val="001677DC"/>
    <w:rsid w:val="00172119"/>
    <w:rsid w:val="001763BA"/>
    <w:rsid w:val="001A04CE"/>
    <w:rsid w:val="001A0E0A"/>
    <w:rsid w:val="001A1B4B"/>
    <w:rsid w:val="001A23B5"/>
    <w:rsid w:val="001A403F"/>
    <w:rsid w:val="001A4633"/>
    <w:rsid w:val="001A5B5A"/>
    <w:rsid w:val="001B4509"/>
    <w:rsid w:val="001C0891"/>
    <w:rsid w:val="001C10AF"/>
    <w:rsid w:val="001D0755"/>
    <w:rsid w:val="001D3264"/>
    <w:rsid w:val="001D4FDD"/>
    <w:rsid w:val="001D67C4"/>
    <w:rsid w:val="001E2CF1"/>
    <w:rsid w:val="001E2F3B"/>
    <w:rsid w:val="001F3566"/>
    <w:rsid w:val="001F36FB"/>
    <w:rsid w:val="00200E58"/>
    <w:rsid w:val="002064D3"/>
    <w:rsid w:val="002106BF"/>
    <w:rsid w:val="002176B8"/>
    <w:rsid w:val="002216AD"/>
    <w:rsid w:val="00221D99"/>
    <w:rsid w:val="00223A9F"/>
    <w:rsid w:val="00224ACF"/>
    <w:rsid w:val="0022674D"/>
    <w:rsid w:val="00227977"/>
    <w:rsid w:val="002317D6"/>
    <w:rsid w:val="0023449A"/>
    <w:rsid w:val="00235F88"/>
    <w:rsid w:val="00240B48"/>
    <w:rsid w:val="00255975"/>
    <w:rsid w:val="002601F0"/>
    <w:rsid w:val="00266A0E"/>
    <w:rsid w:val="002702F7"/>
    <w:rsid w:val="002703D6"/>
    <w:rsid w:val="00273EAA"/>
    <w:rsid w:val="00276702"/>
    <w:rsid w:val="00277B3E"/>
    <w:rsid w:val="0028328D"/>
    <w:rsid w:val="002838F5"/>
    <w:rsid w:val="00285BB6"/>
    <w:rsid w:val="002879E1"/>
    <w:rsid w:val="00290F89"/>
    <w:rsid w:val="0029491C"/>
    <w:rsid w:val="002A18E4"/>
    <w:rsid w:val="002A4078"/>
    <w:rsid w:val="002A5CE0"/>
    <w:rsid w:val="002B2F3C"/>
    <w:rsid w:val="002C32AB"/>
    <w:rsid w:val="002C41F9"/>
    <w:rsid w:val="002C4495"/>
    <w:rsid w:val="002C5AC8"/>
    <w:rsid w:val="002C76AB"/>
    <w:rsid w:val="002D4536"/>
    <w:rsid w:val="002D5525"/>
    <w:rsid w:val="002E7604"/>
    <w:rsid w:val="002F48C8"/>
    <w:rsid w:val="002F55CE"/>
    <w:rsid w:val="002F6A91"/>
    <w:rsid w:val="002F76F5"/>
    <w:rsid w:val="00305861"/>
    <w:rsid w:val="00314A8A"/>
    <w:rsid w:val="00324EC2"/>
    <w:rsid w:val="003279F2"/>
    <w:rsid w:val="00342BA9"/>
    <w:rsid w:val="003455BC"/>
    <w:rsid w:val="00345884"/>
    <w:rsid w:val="00354155"/>
    <w:rsid w:val="00354503"/>
    <w:rsid w:val="00356197"/>
    <w:rsid w:val="00361F3D"/>
    <w:rsid w:val="003623F0"/>
    <w:rsid w:val="003634DB"/>
    <w:rsid w:val="00366EBD"/>
    <w:rsid w:val="00367B96"/>
    <w:rsid w:val="00370164"/>
    <w:rsid w:val="00370FCF"/>
    <w:rsid w:val="003711CD"/>
    <w:rsid w:val="00380DB1"/>
    <w:rsid w:val="00382FF2"/>
    <w:rsid w:val="00383BFC"/>
    <w:rsid w:val="00384611"/>
    <w:rsid w:val="00384CA0"/>
    <w:rsid w:val="003870BA"/>
    <w:rsid w:val="00395A89"/>
    <w:rsid w:val="003A2FA8"/>
    <w:rsid w:val="003A3403"/>
    <w:rsid w:val="003B4770"/>
    <w:rsid w:val="003C0AF2"/>
    <w:rsid w:val="003C20BF"/>
    <w:rsid w:val="003D0FE4"/>
    <w:rsid w:val="003D5616"/>
    <w:rsid w:val="003E0185"/>
    <w:rsid w:val="003E666B"/>
    <w:rsid w:val="003F2747"/>
    <w:rsid w:val="003F3E19"/>
    <w:rsid w:val="003F76F8"/>
    <w:rsid w:val="00402A73"/>
    <w:rsid w:val="00405AF1"/>
    <w:rsid w:val="00414507"/>
    <w:rsid w:val="00420DA3"/>
    <w:rsid w:val="00423092"/>
    <w:rsid w:val="004253E8"/>
    <w:rsid w:val="00426C3B"/>
    <w:rsid w:val="00427EA9"/>
    <w:rsid w:val="004319BC"/>
    <w:rsid w:val="004350B0"/>
    <w:rsid w:val="00436CE5"/>
    <w:rsid w:val="004452AA"/>
    <w:rsid w:val="00453FE3"/>
    <w:rsid w:val="00456C73"/>
    <w:rsid w:val="00465235"/>
    <w:rsid w:val="00470AB4"/>
    <w:rsid w:val="00472E16"/>
    <w:rsid w:val="004734DF"/>
    <w:rsid w:val="0048113B"/>
    <w:rsid w:val="004841C7"/>
    <w:rsid w:val="00486943"/>
    <w:rsid w:val="00495B91"/>
    <w:rsid w:val="00496E1F"/>
    <w:rsid w:val="004A0756"/>
    <w:rsid w:val="004A5408"/>
    <w:rsid w:val="004B0C45"/>
    <w:rsid w:val="004B4DCF"/>
    <w:rsid w:val="004C18DF"/>
    <w:rsid w:val="004C29E5"/>
    <w:rsid w:val="004C2B46"/>
    <w:rsid w:val="004D4C6D"/>
    <w:rsid w:val="004E01A4"/>
    <w:rsid w:val="004F2AA1"/>
    <w:rsid w:val="004F6742"/>
    <w:rsid w:val="004F709B"/>
    <w:rsid w:val="00503049"/>
    <w:rsid w:val="00503323"/>
    <w:rsid w:val="00534B03"/>
    <w:rsid w:val="00534C33"/>
    <w:rsid w:val="00536DB4"/>
    <w:rsid w:val="00537014"/>
    <w:rsid w:val="0054025D"/>
    <w:rsid w:val="00540918"/>
    <w:rsid w:val="00550881"/>
    <w:rsid w:val="0055123E"/>
    <w:rsid w:val="00574572"/>
    <w:rsid w:val="00585CA4"/>
    <w:rsid w:val="005952D3"/>
    <w:rsid w:val="00597948"/>
    <w:rsid w:val="005A1628"/>
    <w:rsid w:val="005A6D8A"/>
    <w:rsid w:val="005A7394"/>
    <w:rsid w:val="005B1AC5"/>
    <w:rsid w:val="005B1EE0"/>
    <w:rsid w:val="005B6A25"/>
    <w:rsid w:val="005C4647"/>
    <w:rsid w:val="005C7117"/>
    <w:rsid w:val="005E0CF2"/>
    <w:rsid w:val="005E2AEA"/>
    <w:rsid w:val="005E6B70"/>
    <w:rsid w:val="00601CFB"/>
    <w:rsid w:val="00602FE3"/>
    <w:rsid w:val="006122D8"/>
    <w:rsid w:val="0061247A"/>
    <w:rsid w:val="00615938"/>
    <w:rsid w:val="00624459"/>
    <w:rsid w:val="0063014E"/>
    <w:rsid w:val="0063768B"/>
    <w:rsid w:val="006448B1"/>
    <w:rsid w:val="0065112D"/>
    <w:rsid w:val="00656414"/>
    <w:rsid w:val="0066134E"/>
    <w:rsid w:val="0067742E"/>
    <w:rsid w:val="006814BB"/>
    <w:rsid w:val="006827AF"/>
    <w:rsid w:val="0068380A"/>
    <w:rsid w:val="006840EB"/>
    <w:rsid w:val="006844C5"/>
    <w:rsid w:val="00691DD5"/>
    <w:rsid w:val="0069342C"/>
    <w:rsid w:val="006A541C"/>
    <w:rsid w:val="006A5B3B"/>
    <w:rsid w:val="006A6131"/>
    <w:rsid w:val="006A7601"/>
    <w:rsid w:val="006B0873"/>
    <w:rsid w:val="006B1DA6"/>
    <w:rsid w:val="006C4210"/>
    <w:rsid w:val="006C7A4C"/>
    <w:rsid w:val="006D0708"/>
    <w:rsid w:val="006D406B"/>
    <w:rsid w:val="006E0A45"/>
    <w:rsid w:val="006E2B32"/>
    <w:rsid w:val="006F2B34"/>
    <w:rsid w:val="007057ED"/>
    <w:rsid w:val="0070672F"/>
    <w:rsid w:val="00707AF8"/>
    <w:rsid w:val="007105A6"/>
    <w:rsid w:val="007133DD"/>
    <w:rsid w:val="00715417"/>
    <w:rsid w:val="007252EC"/>
    <w:rsid w:val="00726DD4"/>
    <w:rsid w:val="00730F56"/>
    <w:rsid w:val="00744E2C"/>
    <w:rsid w:val="00752119"/>
    <w:rsid w:val="00754408"/>
    <w:rsid w:val="007631C7"/>
    <w:rsid w:val="00763CCC"/>
    <w:rsid w:val="0076511C"/>
    <w:rsid w:val="00765184"/>
    <w:rsid w:val="0077333E"/>
    <w:rsid w:val="00776C72"/>
    <w:rsid w:val="0078258F"/>
    <w:rsid w:val="007846BC"/>
    <w:rsid w:val="00785D63"/>
    <w:rsid w:val="00791C58"/>
    <w:rsid w:val="00794B6E"/>
    <w:rsid w:val="00795059"/>
    <w:rsid w:val="007969A4"/>
    <w:rsid w:val="007A0114"/>
    <w:rsid w:val="007B1321"/>
    <w:rsid w:val="007B1904"/>
    <w:rsid w:val="007B2E94"/>
    <w:rsid w:val="007D6370"/>
    <w:rsid w:val="007E092F"/>
    <w:rsid w:val="007E5EC0"/>
    <w:rsid w:val="007E78C1"/>
    <w:rsid w:val="007F47C4"/>
    <w:rsid w:val="0080098A"/>
    <w:rsid w:val="00801761"/>
    <w:rsid w:val="008032FA"/>
    <w:rsid w:val="00803EAD"/>
    <w:rsid w:val="00806D1D"/>
    <w:rsid w:val="008111EB"/>
    <w:rsid w:val="008130C9"/>
    <w:rsid w:val="00813D02"/>
    <w:rsid w:val="00814833"/>
    <w:rsid w:val="0082033D"/>
    <w:rsid w:val="008222AD"/>
    <w:rsid w:val="00822C08"/>
    <w:rsid w:val="00822D7F"/>
    <w:rsid w:val="0083104D"/>
    <w:rsid w:val="008349AE"/>
    <w:rsid w:val="00846D77"/>
    <w:rsid w:val="00852480"/>
    <w:rsid w:val="00856632"/>
    <w:rsid w:val="008656D4"/>
    <w:rsid w:val="00867308"/>
    <w:rsid w:val="00867E17"/>
    <w:rsid w:val="00870DFB"/>
    <w:rsid w:val="00881313"/>
    <w:rsid w:val="00882459"/>
    <w:rsid w:val="00893538"/>
    <w:rsid w:val="008A298F"/>
    <w:rsid w:val="008A7355"/>
    <w:rsid w:val="008B0543"/>
    <w:rsid w:val="008B5D12"/>
    <w:rsid w:val="008C0888"/>
    <w:rsid w:val="008C1FF7"/>
    <w:rsid w:val="008C3505"/>
    <w:rsid w:val="008D1149"/>
    <w:rsid w:val="008D30EA"/>
    <w:rsid w:val="008D55C8"/>
    <w:rsid w:val="008E16D9"/>
    <w:rsid w:val="008E182E"/>
    <w:rsid w:val="008E20DE"/>
    <w:rsid w:val="008E27B0"/>
    <w:rsid w:val="008F1770"/>
    <w:rsid w:val="009013C5"/>
    <w:rsid w:val="009059D4"/>
    <w:rsid w:val="009061A4"/>
    <w:rsid w:val="00910A7B"/>
    <w:rsid w:val="00912E02"/>
    <w:rsid w:val="009177FB"/>
    <w:rsid w:val="00922021"/>
    <w:rsid w:val="00940627"/>
    <w:rsid w:val="00942024"/>
    <w:rsid w:val="00944550"/>
    <w:rsid w:val="00951237"/>
    <w:rsid w:val="009550AD"/>
    <w:rsid w:val="009565D4"/>
    <w:rsid w:val="00961038"/>
    <w:rsid w:val="00967D7C"/>
    <w:rsid w:val="00977D73"/>
    <w:rsid w:val="00980CAB"/>
    <w:rsid w:val="00986F92"/>
    <w:rsid w:val="0099262A"/>
    <w:rsid w:val="009A05F3"/>
    <w:rsid w:val="009B090B"/>
    <w:rsid w:val="009B3D0C"/>
    <w:rsid w:val="009B56DA"/>
    <w:rsid w:val="009B753E"/>
    <w:rsid w:val="009D00CD"/>
    <w:rsid w:val="009D13BB"/>
    <w:rsid w:val="009D50EB"/>
    <w:rsid w:val="009E32F5"/>
    <w:rsid w:val="009E488C"/>
    <w:rsid w:val="009E6279"/>
    <w:rsid w:val="009E7C08"/>
    <w:rsid w:val="009F2649"/>
    <w:rsid w:val="009F704C"/>
    <w:rsid w:val="00A01BC7"/>
    <w:rsid w:val="00A0215D"/>
    <w:rsid w:val="00A06666"/>
    <w:rsid w:val="00A105E0"/>
    <w:rsid w:val="00A23838"/>
    <w:rsid w:val="00A253B8"/>
    <w:rsid w:val="00A2778A"/>
    <w:rsid w:val="00A3018B"/>
    <w:rsid w:val="00A3128D"/>
    <w:rsid w:val="00A324EA"/>
    <w:rsid w:val="00A33A46"/>
    <w:rsid w:val="00A42D84"/>
    <w:rsid w:val="00A45B43"/>
    <w:rsid w:val="00A4794A"/>
    <w:rsid w:val="00A533DE"/>
    <w:rsid w:val="00A53E2B"/>
    <w:rsid w:val="00A57483"/>
    <w:rsid w:val="00A7028D"/>
    <w:rsid w:val="00A772B8"/>
    <w:rsid w:val="00A77405"/>
    <w:rsid w:val="00A817CE"/>
    <w:rsid w:val="00A9086F"/>
    <w:rsid w:val="00A928FA"/>
    <w:rsid w:val="00AA4D53"/>
    <w:rsid w:val="00AA7201"/>
    <w:rsid w:val="00AA7B0B"/>
    <w:rsid w:val="00AB32CF"/>
    <w:rsid w:val="00AC59EB"/>
    <w:rsid w:val="00AC5E51"/>
    <w:rsid w:val="00AD2235"/>
    <w:rsid w:val="00AD7D5A"/>
    <w:rsid w:val="00AE5530"/>
    <w:rsid w:val="00AE61E8"/>
    <w:rsid w:val="00AF0900"/>
    <w:rsid w:val="00AF1986"/>
    <w:rsid w:val="00B02599"/>
    <w:rsid w:val="00B04889"/>
    <w:rsid w:val="00B14060"/>
    <w:rsid w:val="00B1427A"/>
    <w:rsid w:val="00B16B3C"/>
    <w:rsid w:val="00B20761"/>
    <w:rsid w:val="00B25EE3"/>
    <w:rsid w:val="00B269D4"/>
    <w:rsid w:val="00B314AD"/>
    <w:rsid w:val="00B3357C"/>
    <w:rsid w:val="00B414B5"/>
    <w:rsid w:val="00B5155A"/>
    <w:rsid w:val="00B518F2"/>
    <w:rsid w:val="00B54B68"/>
    <w:rsid w:val="00B61C4A"/>
    <w:rsid w:val="00B61EC9"/>
    <w:rsid w:val="00B641BD"/>
    <w:rsid w:val="00B679AD"/>
    <w:rsid w:val="00B7744A"/>
    <w:rsid w:val="00B82D4D"/>
    <w:rsid w:val="00B87EE6"/>
    <w:rsid w:val="00B913F0"/>
    <w:rsid w:val="00B9260A"/>
    <w:rsid w:val="00B96ABD"/>
    <w:rsid w:val="00BA38B9"/>
    <w:rsid w:val="00BB040D"/>
    <w:rsid w:val="00BB13BC"/>
    <w:rsid w:val="00BB3CA0"/>
    <w:rsid w:val="00BF18DC"/>
    <w:rsid w:val="00C04B4F"/>
    <w:rsid w:val="00C13DE2"/>
    <w:rsid w:val="00C14408"/>
    <w:rsid w:val="00C14776"/>
    <w:rsid w:val="00C17F58"/>
    <w:rsid w:val="00C17F8A"/>
    <w:rsid w:val="00C307E7"/>
    <w:rsid w:val="00C34A92"/>
    <w:rsid w:val="00C35829"/>
    <w:rsid w:val="00C36245"/>
    <w:rsid w:val="00C370A7"/>
    <w:rsid w:val="00C57E90"/>
    <w:rsid w:val="00C62F1C"/>
    <w:rsid w:val="00C6380F"/>
    <w:rsid w:val="00C675FD"/>
    <w:rsid w:val="00C744A3"/>
    <w:rsid w:val="00C81DB5"/>
    <w:rsid w:val="00C900FF"/>
    <w:rsid w:val="00C92B26"/>
    <w:rsid w:val="00CB3FC8"/>
    <w:rsid w:val="00CB442A"/>
    <w:rsid w:val="00CC6DA6"/>
    <w:rsid w:val="00CD0AC9"/>
    <w:rsid w:val="00CD2213"/>
    <w:rsid w:val="00CD4B2E"/>
    <w:rsid w:val="00CD4DE4"/>
    <w:rsid w:val="00CD596A"/>
    <w:rsid w:val="00CD6527"/>
    <w:rsid w:val="00CD6B3F"/>
    <w:rsid w:val="00CF298A"/>
    <w:rsid w:val="00CF3721"/>
    <w:rsid w:val="00CF3E63"/>
    <w:rsid w:val="00CF561E"/>
    <w:rsid w:val="00D03AA2"/>
    <w:rsid w:val="00D143BA"/>
    <w:rsid w:val="00D20DD2"/>
    <w:rsid w:val="00D20F7C"/>
    <w:rsid w:val="00D328CB"/>
    <w:rsid w:val="00D34EEE"/>
    <w:rsid w:val="00D37BAF"/>
    <w:rsid w:val="00D47DBB"/>
    <w:rsid w:val="00D51B1E"/>
    <w:rsid w:val="00D84C96"/>
    <w:rsid w:val="00D94099"/>
    <w:rsid w:val="00D96598"/>
    <w:rsid w:val="00D979EA"/>
    <w:rsid w:val="00DA02B9"/>
    <w:rsid w:val="00DA42EA"/>
    <w:rsid w:val="00DA7FEA"/>
    <w:rsid w:val="00DB269B"/>
    <w:rsid w:val="00DC02B5"/>
    <w:rsid w:val="00DC08A0"/>
    <w:rsid w:val="00DD27D1"/>
    <w:rsid w:val="00DD405A"/>
    <w:rsid w:val="00DE221A"/>
    <w:rsid w:val="00DE2334"/>
    <w:rsid w:val="00DE5C1E"/>
    <w:rsid w:val="00DF68F0"/>
    <w:rsid w:val="00DF6CDE"/>
    <w:rsid w:val="00E0113D"/>
    <w:rsid w:val="00E039CB"/>
    <w:rsid w:val="00E07B76"/>
    <w:rsid w:val="00E1423B"/>
    <w:rsid w:val="00E272D7"/>
    <w:rsid w:val="00E317E1"/>
    <w:rsid w:val="00E32F2E"/>
    <w:rsid w:val="00E33231"/>
    <w:rsid w:val="00E34766"/>
    <w:rsid w:val="00E46535"/>
    <w:rsid w:val="00E477AA"/>
    <w:rsid w:val="00E6186E"/>
    <w:rsid w:val="00E64F1D"/>
    <w:rsid w:val="00E72F03"/>
    <w:rsid w:val="00E7429A"/>
    <w:rsid w:val="00E75D89"/>
    <w:rsid w:val="00E82102"/>
    <w:rsid w:val="00E82A03"/>
    <w:rsid w:val="00E84434"/>
    <w:rsid w:val="00E962B2"/>
    <w:rsid w:val="00EA0512"/>
    <w:rsid w:val="00EB30F5"/>
    <w:rsid w:val="00EB5C8B"/>
    <w:rsid w:val="00EC3CC1"/>
    <w:rsid w:val="00EC47CA"/>
    <w:rsid w:val="00ED1CAB"/>
    <w:rsid w:val="00ED263C"/>
    <w:rsid w:val="00ED2A92"/>
    <w:rsid w:val="00ED503D"/>
    <w:rsid w:val="00EE11FD"/>
    <w:rsid w:val="00EE1D07"/>
    <w:rsid w:val="00EF0C35"/>
    <w:rsid w:val="00EF78F8"/>
    <w:rsid w:val="00F038CC"/>
    <w:rsid w:val="00F05C26"/>
    <w:rsid w:val="00F115CB"/>
    <w:rsid w:val="00F13235"/>
    <w:rsid w:val="00F1494E"/>
    <w:rsid w:val="00F212C3"/>
    <w:rsid w:val="00F23798"/>
    <w:rsid w:val="00F244C7"/>
    <w:rsid w:val="00F260AC"/>
    <w:rsid w:val="00F26DFB"/>
    <w:rsid w:val="00F27043"/>
    <w:rsid w:val="00F31FBD"/>
    <w:rsid w:val="00F32C54"/>
    <w:rsid w:val="00F32E6E"/>
    <w:rsid w:val="00F4023B"/>
    <w:rsid w:val="00F4263A"/>
    <w:rsid w:val="00F47E96"/>
    <w:rsid w:val="00F50A3A"/>
    <w:rsid w:val="00F56BB3"/>
    <w:rsid w:val="00F60AD6"/>
    <w:rsid w:val="00F62A1E"/>
    <w:rsid w:val="00F64DB9"/>
    <w:rsid w:val="00F65351"/>
    <w:rsid w:val="00F65513"/>
    <w:rsid w:val="00F743AA"/>
    <w:rsid w:val="00F81CEA"/>
    <w:rsid w:val="00F85399"/>
    <w:rsid w:val="00F93183"/>
    <w:rsid w:val="00F955B7"/>
    <w:rsid w:val="00FA035F"/>
    <w:rsid w:val="00FA16C5"/>
    <w:rsid w:val="00FA686C"/>
    <w:rsid w:val="00FA6932"/>
    <w:rsid w:val="00FB3972"/>
    <w:rsid w:val="00FB70DE"/>
    <w:rsid w:val="00FC2BD1"/>
    <w:rsid w:val="00FD17C2"/>
    <w:rsid w:val="00FD4FDF"/>
    <w:rsid w:val="00FD634F"/>
    <w:rsid w:val="00FE0A7C"/>
    <w:rsid w:val="00FE113E"/>
    <w:rsid w:val="00FE1A6F"/>
    <w:rsid w:val="00FE2611"/>
    <w:rsid w:val="00FF2067"/>
    <w:rsid w:val="00FF28A8"/>
    <w:rsid w:val="00FF3FFA"/>
    <w:rsid w:val="00FF77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e1e1ff,#069,#bad1e8,#afd787,#cde6b4,#d1e8ba,#0000ac"/>
    </o:shapedefaults>
    <o:shapelayout v:ext="edit">
      <o:idmap v:ext="edit" data="1"/>
    </o:shapelayout>
  </w:shapeDefaults>
  <w:decimalSymbol w:val="."/>
  <w:listSeparator w:val=","/>
  <w14:docId w14:val="2BF82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03AA2"/>
    <w:pPr>
      <w:keepNext/>
      <w:keepLines/>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B76"/>
    <w:pPr>
      <w:spacing w:after="120"/>
    </w:pPr>
  </w:style>
  <w:style w:type="character" w:customStyle="1" w:styleId="BodyTextChar">
    <w:name w:val="Body Text Char"/>
    <w:basedOn w:val="DefaultParagraphFont"/>
    <w:link w:val="BodyText"/>
    <w:rsid w:val="00E07B7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table" w:customStyle="1" w:styleId="TableGrid1">
    <w:name w:val="Table Grid1"/>
    <w:basedOn w:val="TableNormal"/>
    <w:next w:val="TableGrid"/>
    <w:uiPriority w:val="59"/>
    <w:rsid w:val="00054B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366EBD"/>
    <w:pPr>
      <w:spacing w:after="0"/>
    </w:pPr>
  </w:style>
  <w:style w:type="character" w:customStyle="1" w:styleId="CommentTextChar">
    <w:name w:val="Comment Text Char"/>
    <w:basedOn w:val="DefaultParagraphFont"/>
    <w:link w:val="CommentText"/>
    <w:semiHidden/>
    <w:rsid w:val="00E34766"/>
  </w:style>
  <w:style w:type="paragraph" w:styleId="ListParagraph">
    <w:name w:val="List Paragraph"/>
    <w:basedOn w:val="Normal"/>
    <w:uiPriority w:val="34"/>
    <w:qFormat/>
    <w:rsid w:val="00426C3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table of figures" w:uiPriority="99"/>
    <w:lsdException w:name="Title" w:qFormat="1"/>
    <w:lsdException w:name="Subtitle" w:qFormat="1"/>
    <w:lsdException w:name="Hyperlink" w:uiPriority="99"/>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qFormat/>
    <w:rsid w:val="00D03AA2"/>
    <w:pPr>
      <w:keepNext/>
      <w:keepLines/>
      <w:numPr>
        <w:numId w:val="4"/>
      </w:numPr>
      <w:pBdr>
        <w:top w:val="single" w:sz="6" w:space="3" w:color="DA291C"/>
        <w:bottom w:val="single" w:sz="6" w:space="3" w:color="DA291C"/>
      </w:pBdr>
      <w:shd w:val="clear" w:color="auto" w:fill="DA291C"/>
      <w:tabs>
        <w:tab w:val="clear" w:pos="432"/>
        <w:tab w:val="num" w:pos="720"/>
      </w:tabs>
      <w:ind w:left="720" w:hanging="720"/>
      <w:outlineLvl w:val="0"/>
    </w:pPr>
    <w:rPr>
      <w:rFonts w:ascii="Arial" w:hAnsi="Arial"/>
      <w:b/>
      <w:color w:val="FFFFFF"/>
      <w:kern w:val="28"/>
      <w:sz w:val="28"/>
    </w:rPr>
  </w:style>
  <w:style w:type="paragraph" w:styleId="Heading2">
    <w:name w:val="heading 2"/>
    <w:basedOn w:val="Normal"/>
    <w:next w:val="BodyText"/>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qFormat/>
    <w:rsid w:val="00453FE3"/>
    <w:pPr>
      <w:keepNext/>
      <w:numPr>
        <w:ilvl w:val="3"/>
        <w:numId w:val="4"/>
      </w:numPr>
      <w:spacing w:before="60" w:after="60"/>
      <w:outlineLvl w:val="3"/>
    </w:pPr>
    <w:rPr>
      <w:rFonts w:ascii="Arial" w:hAnsi="Arial"/>
      <w:b/>
      <w:sz w:val="20"/>
    </w:rPr>
  </w:style>
  <w:style w:type="paragraph" w:styleId="Heading5">
    <w:name w:val="heading 5"/>
    <w:basedOn w:val="Normal"/>
    <w:next w:val="BodyText"/>
    <w:qFormat/>
    <w:rsid w:val="00453FE3"/>
    <w:pPr>
      <w:keepNext/>
      <w:keepLines/>
      <w:numPr>
        <w:ilvl w:val="4"/>
        <w:numId w:val="4"/>
      </w:numPr>
      <w:spacing w:before="60" w:after="60"/>
      <w:outlineLvl w:val="4"/>
    </w:pPr>
    <w:rPr>
      <w:b/>
      <w:i/>
      <w:color w:val="DA291C"/>
    </w:rPr>
  </w:style>
  <w:style w:type="paragraph" w:styleId="Heading6">
    <w:name w:val="heading 6"/>
    <w:basedOn w:val="Normal"/>
    <w:next w:val="Normal"/>
    <w:qFormat/>
    <w:rsid w:val="00495B91"/>
    <w:pPr>
      <w:numPr>
        <w:ilvl w:val="5"/>
        <w:numId w:val="4"/>
      </w:numPr>
      <w:spacing w:before="60" w:after="60"/>
      <w:outlineLvl w:val="5"/>
    </w:pPr>
    <w:rPr>
      <w:b/>
      <w:bCs/>
      <w:szCs w:val="22"/>
    </w:rPr>
  </w:style>
  <w:style w:type="paragraph" w:styleId="Heading7">
    <w:name w:val="heading 7"/>
    <w:basedOn w:val="Normal"/>
    <w:next w:val="Normal"/>
    <w:qFormat/>
    <w:rsid w:val="003A3403"/>
    <w:pPr>
      <w:numPr>
        <w:ilvl w:val="6"/>
        <w:numId w:val="4"/>
      </w:numPr>
      <w:spacing w:before="240" w:after="60"/>
      <w:outlineLvl w:val="6"/>
    </w:pPr>
    <w:rPr>
      <w:sz w:val="24"/>
      <w:szCs w:val="24"/>
    </w:rPr>
  </w:style>
  <w:style w:type="paragraph" w:styleId="Heading8">
    <w:name w:val="heading 8"/>
    <w:basedOn w:val="Normal"/>
    <w:next w:val="Normal"/>
    <w:qFormat/>
    <w:rsid w:val="003A3403"/>
    <w:pPr>
      <w:numPr>
        <w:ilvl w:val="7"/>
        <w:numId w:val="4"/>
      </w:numPr>
      <w:spacing w:before="240" w:after="60"/>
      <w:outlineLvl w:val="7"/>
    </w:pPr>
    <w:rPr>
      <w:i/>
      <w:iCs/>
      <w:sz w:val="24"/>
      <w:szCs w:val="24"/>
    </w:rPr>
  </w:style>
  <w:style w:type="paragraph" w:styleId="Heading9">
    <w:name w:val="heading 9"/>
    <w:basedOn w:val="Normal"/>
    <w:next w:val="Normal"/>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rsid w:val="00967D7C"/>
    <w:rPr>
      <w:rFonts w:ascii="Arial" w:hAnsi="Arial"/>
      <w:b/>
      <w:color w:val="595959" w:themeColor="text1" w:themeTint="A6"/>
      <w:sz w:val="18"/>
    </w:rPr>
  </w:style>
  <w:style w:type="paragraph" w:customStyle="1" w:styleId="ExhibitRowHeader">
    <w:name w:val="Exhibit Row Header"/>
    <w:basedOn w:val="BodyText"/>
    <w:rsid w:val="00E33231"/>
    <w:pPr>
      <w:spacing w:before="20" w:after="20" w:line="240" w:lineRule="auto"/>
      <w:jc w:val="center"/>
    </w:pPr>
    <w:rPr>
      <w:rFonts w:ascii="Arial" w:hAnsi="Arial" w:cs="Arial"/>
      <w:b/>
      <w:color w:val="F8F8F8"/>
      <w:sz w:val="20"/>
    </w:rPr>
  </w:style>
  <w:style w:type="paragraph" w:styleId="BodyText">
    <w:name w:val="Body Text"/>
    <w:basedOn w:val="Normal"/>
    <w:link w:val="BodyTextChar"/>
    <w:rsid w:val="00E07B76"/>
    <w:pPr>
      <w:spacing w:after="120"/>
    </w:pPr>
  </w:style>
  <w:style w:type="character" w:customStyle="1" w:styleId="BodyTextChar">
    <w:name w:val="Body Text Char"/>
    <w:basedOn w:val="DefaultParagraphFont"/>
    <w:link w:val="BodyText"/>
    <w:rsid w:val="00E07B76"/>
    <w:rPr>
      <w:sz w:val="22"/>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numPr>
        <w:numId w:val="3"/>
      </w:numPr>
    </w:pPr>
  </w:style>
  <w:style w:type="paragraph" w:customStyle="1" w:styleId="RefNumbers">
    <w:name w:val="Ref Numbers"/>
    <w:basedOn w:val="BodyText"/>
    <w:pPr>
      <w:numPr>
        <w:numId w:val="2"/>
      </w:numPr>
      <w:spacing w:after="240"/>
    </w:pPr>
  </w:style>
  <w:style w:type="paragraph" w:styleId="Header">
    <w:name w:val="header"/>
    <w:basedOn w:val="Normal"/>
    <w:rsid w:val="00133465"/>
    <w:pPr>
      <w:pBdr>
        <w:bottom w:val="single" w:sz="12" w:space="1" w:color="898D8D"/>
      </w:pBdr>
      <w:tabs>
        <w:tab w:val="center" w:pos="4507"/>
        <w:tab w:val="right" w:pos="9000"/>
      </w:tabs>
      <w:jc w:val="right"/>
    </w:pPr>
    <w:rPr>
      <w:rFonts w:ascii="Arial" w:hAnsi="Arial"/>
      <w:b/>
      <w:color w:val="595959" w:themeColor="text1" w:themeTint="A6"/>
      <w:sz w:val="24"/>
    </w:rPr>
  </w:style>
  <w:style w:type="paragraph" w:styleId="TOC1">
    <w:name w:val="toc 1"/>
    <w:basedOn w:val="BodyText"/>
    <w:next w:val="BodyText"/>
    <w:uiPriority w:val="39"/>
    <w:rsid w:val="00C36245"/>
    <w:pPr>
      <w:tabs>
        <w:tab w:val="left" w:pos="720"/>
        <w:tab w:val="right" w:leader="dot" w:pos="9000"/>
      </w:tabs>
      <w:spacing w:before="240" w:after="60"/>
      <w:ind w:left="720" w:right="360" w:hanging="720"/>
    </w:pPr>
    <w:rPr>
      <w:b/>
      <w:noProof/>
    </w:rPr>
  </w:style>
  <w:style w:type="character" w:styleId="CommentReference">
    <w:name w:val="annotation reference"/>
    <w:basedOn w:val="DefaultParagraphFont"/>
    <w:semiHidden/>
    <w:rPr>
      <w:sz w:val="16"/>
    </w:rPr>
  </w:style>
  <w:style w:type="paragraph" w:styleId="TOC2">
    <w:name w:val="toc 2"/>
    <w:basedOn w:val="BodyText"/>
    <w:next w:val="BodyText"/>
    <w:uiPriority w:val="39"/>
    <w:rsid w:val="00C36245"/>
    <w:pPr>
      <w:tabs>
        <w:tab w:val="left" w:pos="1260"/>
        <w:tab w:val="right" w:leader="dot" w:pos="9000"/>
      </w:tabs>
      <w:spacing w:before="60" w:after="0"/>
      <w:ind w:left="1267" w:right="360" w:hanging="547"/>
    </w:pPr>
    <w:rPr>
      <w:noProof/>
    </w:rPr>
  </w:style>
  <w:style w:type="paragraph" w:styleId="TOC3">
    <w:name w:val="toc 3"/>
    <w:basedOn w:val="BodyText"/>
    <w:next w:val="BodyText"/>
    <w:uiPriority w:val="39"/>
    <w:rsid w:val="00C36245"/>
    <w:pPr>
      <w:tabs>
        <w:tab w:val="left" w:pos="1980"/>
        <w:tab w:val="right" w:leader="dot" w:pos="9000"/>
      </w:tabs>
      <w:spacing w:before="60" w:after="0"/>
      <w:ind w:left="1987" w:right="360" w:hanging="720"/>
    </w:pPr>
    <w:rPr>
      <w:noProof/>
    </w:rPr>
  </w:style>
  <w:style w:type="paragraph" w:styleId="TOC4">
    <w:name w:val="toc 4"/>
    <w:basedOn w:val="BodyText"/>
    <w:next w:val="BodyText"/>
    <w:uiPriority w:val="39"/>
    <w:rsid w:val="00C36245"/>
    <w:pPr>
      <w:tabs>
        <w:tab w:val="right" w:leader="dot" w:pos="9000"/>
      </w:tabs>
      <w:spacing w:before="60" w:after="0"/>
      <w:ind w:left="1987" w:right="360"/>
    </w:pPr>
    <w:rPr>
      <w:noProof/>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basedOn w:val="Normal"/>
    <w:link w:val="FootnoteTextChar"/>
    <w:pPr>
      <w:spacing w:after="120"/>
      <w:ind w:left="360" w:hanging="360"/>
    </w:pPr>
    <w:rPr>
      <w:sz w:val="20"/>
    </w:rPr>
  </w:style>
  <w:style w:type="paragraph" w:styleId="Index1">
    <w:name w:val="index 1"/>
    <w:basedOn w:val="Normal"/>
    <w:next w:val="Normal"/>
    <w:autoRedefine/>
    <w:semiHidden/>
    <w:pPr>
      <w:ind w:left="220" w:hanging="220"/>
    </w:pPr>
    <w:rPr>
      <w:sz w:val="20"/>
    </w:rPr>
  </w:style>
  <w:style w:type="paragraph" w:styleId="Index2">
    <w:name w:val="index 2"/>
    <w:basedOn w:val="Normal"/>
    <w:next w:val="Normal"/>
    <w:autoRedefine/>
    <w:semiHidden/>
    <w:pPr>
      <w:ind w:left="440" w:hanging="220"/>
    </w:pPr>
    <w:rPr>
      <w:sz w:val="20"/>
    </w:rPr>
  </w:style>
  <w:style w:type="paragraph" w:styleId="Index3">
    <w:name w:val="index 3"/>
    <w:basedOn w:val="Normal"/>
    <w:next w:val="Normal"/>
    <w:autoRedefine/>
    <w:semiHidden/>
    <w:pPr>
      <w:ind w:left="660" w:hanging="220"/>
    </w:pPr>
    <w:rPr>
      <w:sz w:val="20"/>
    </w:rPr>
  </w:style>
  <w:style w:type="paragraph" w:customStyle="1" w:styleId="Numbers">
    <w:name w:val="Numbers"/>
    <w:basedOn w:val="BodyText"/>
    <w:pPr>
      <w:numPr>
        <w:numId w:val="1"/>
      </w:numPr>
      <w:ind w:left="72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paragraph" w:styleId="CommentSubject">
    <w:name w:val="annotation subject"/>
    <w:basedOn w:val="CommentText"/>
    <w:next w:val="CommentText"/>
    <w:semiHidden/>
    <w:rsid w:val="00D34EEE"/>
    <w:rPr>
      <w:b/>
      <w:bCs/>
    </w:rPr>
  </w:style>
  <w:style w:type="paragraph" w:styleId="BalloonText">
    <w:name w:val="Balloon Text"/>
    <w:basedOn w:val="Normal"/>
    <w:semiHidden/>
    <w:rsid w:val="00D34EEE"/>
    <w:rPr>
      <w:rFonts w:ascii="Tahoma" w:hAnsi="Tahoma" w:cs="Tahoma"/>
      <w:sz w:val="16"/>
      <w:szCs w:val="16"/>
    </w:rPr>
  </w:style>
  <w:style w:type="table" w:styleId="TableGrid">
    <w:name w:val="Table Grid"/>
    <w:basedOn w:val="TableNormal"/>
    <w:uiPriority w:val="99"/>
    <w:rsid w:val="005B1A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2D5525"/>
    <w:pPr>
      <w:pBdr>
        <w:top w:val="single" w:sz="2" w:space="2" w:color="DA291C"/>
        <w:bottom w:val="single" w:sz="2" w:space="2" w:color="DA291C"/>
      </w:pBdr>
      <w:shd w:val="clear" w:color="auto" w:fill="DA291C"/>
      <w:tabs>
        <w:tab w:val="left" w:pos="1170"/>
      </w:tabs>
    </w:pPr>
    <w:rPr>
      <w:rFonts w:ascii="Arial" w:hAnsi="Arial" w:cs="Arial"/>
      <w:b/>
      <w:color w:val="FFFFFF"/>
      <w:sz w:val="28"/>
      <w:szCs w:val="28"/>
    </w:rPr>
  </w:style>
  <w:style w:type="paragraph" w:styleId="Caption">
    <w:name w:val="caption"/>
    <w:basedOn w:val="Normal"/>
    <w:next w:val="Normal"/>
    <w:qFormat/>
    <w:rsid w:val="00D979EA"/>
    <w:pPr>
      <w:keepNext/>
      <w:keepLines/>
      <w:widowControl w:val="0"/>
      <w:tabs>
        <w:tab w:val="left" w:pos="1440"/>
      </w:tabs>
      <w:spacing w:after="120"/>
      <w:ind w:left="1440" w:hanging="1440"/>
    </w:pPr>
    <w:rPr>
      <w:rFonts w:ascii="Arial" w:hAnsi="Arial"/>
      <w:b/>
      <w:bCs/>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numPr>
        <w:numId w:val="5"/>
      </w:numPr>
      <w:spacing w:after="12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szCs w:val="24"/>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szCs w:val="24"/>
    </w:rPr>
  </w:style>
  <w:style w:type="paragraph" w:customStyle="1" w:styleId="DisclaimerText">
    <w:name w:val="Disclaimer Text"/>
    <w:basedOn w:val="Normal"/>
    <w:qFormat/>
    <w:rsid w:val="00536DB4"/>
    <w:rPr>
      <w:sz w:val="18"/>
      <w:szCs w:val="18"/>
    </w:rPr>
  </w:style>
  <w:style w:type="character" w:customStyle="1" w:styleId="FootnoteTextChar">
    <w:name w:val="Footnote Text Char"/>
    <w:basedOn w:val="DefaultParagraphFont"/>
    <w:link w:val="FootnoteText"/>
    <w:rsid w:val="00574572"/>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D979EA"/>
    <w:pPr>
      <w:spacing w:before="12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szCs w:val="24"/>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customStyle="1" w:styleId="Call-OutBoxTextHeader">
    <w:name w:val="Call-Out Box Text Header"/>
    <w:basedOn w:val="NoSpacing"/>
    <w:qFormat/>
    <w:rsid w:val="00AE5530"/>
    <w:pPr>
      <w:ind w:left="180" w:right="204"/>
    </w:pPr>
    <w:rPr>
      <w:rFonts w:ascii="Arial" w:eastAsiaTheme="minorHAnsi" w:hAnsi="Arial" w:cs="Arial"/>
      <w:b/>
      <w:color w:val="DA291C" w:themeColor="accent1"/>
      <w:szCs w:val="22"/>
    </w:rPr>
  </w:style>
  <w:style w:type="paragraph" w:customStyle="1" w:styleId="Call-OutBoxTextArial">
    <w:name w:val="Call-Out Box Text (Arial)"/>
    <w:basedOn w:val="NoSpacing"/>
    <w:qFormat/>
    <w:rsid w:val="00AE5530"/>
    <w:pPr>
      <w:ind w:left="180" w:right="204"/>
    </w:pPr>
    <w:rPr>
      <w:rFonts w:ascii="Arial" w:eastAsiaTheme="minorHAnsi" w:hAnsi="Arial" w:cs="Arial"/>
      <w:i/>
      <w:sz w:val="20"/>
      <w:szCs w:val="22"/>
    </w:rPr>
  </w:style>
  <w:style w:type="paragraph" w:styleId="NoSpacing">
    <w:name w:val="No Spacing"/>
    <w:uiPriority w:val="1"/>
    <w:qFormat/>
    <w:rsid w:val="00AE5530"/>
    <w:rPr>
      <w:sz w:val="22"/>
    </w:rPr>
  </w:style>
  <w:style w:type="table" w:customStyle="1" w:styleId="Abt">
    <w:name w:val="Abt"/>
    <w:basedOn w:val="TableNormal"/>
    <w:uiPriority w:val="99"/>
    <w:rsid w:val="00AE5530"/>
    <w:rPr>
      <w:rFonts w:ascii="Arial Narrow" w:hAnsi="Arial Narrow"/>
      <w:sz w:val="18"/>
    </w:rPr>
    <w:tblPr>
      <w:tblStyleRow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jc w:val="left"/>
      </w:pPr>
      <w:rPr>
        <w:rFonts w:ascii="Arial Narrow" w:hAnsi="Arial Narrow"/>
        <w:b/>
        <w:caps w:val="0"/>
        <w:smallCaps w:val="0"/>
        <w:strike w:val="0"/>
        <w:dstrike w:val="0"/>
        <w:vanish w:val="0"/>
        <w:sz w:val="18"/>
        <w:vertAlign w:val="baseline"/>
      </w:rPr>
      <w:tblPr/>
      <w:tcPr>
        <w:tcBorders>
          <w:top w:val="single" w:sz="8" w:space="0" w:color="auto"/>
          <w:left w:val="single" w:sz="8" w:space="0" w:color="auto"/>
          <w:bottom w:val="single" w:sz="8" w:space="0" w:color="auto"/>
          <w:right w:val="single" w:sz="8" w:space="0" w:color="auto"/>
          <w:insideH w:val="single" w:sz="4" w:space="0" w:color="auto"/>
          <w:insideV w:val="single" w:sz="8" w:space="0" w:color="auto"/>
        </w:tcBorders>
        <w:shd w:val="clear" w:color="auto" w:fill="C3C6A8" w:themeFill="accent4"/>
      </w:tcPr>
    </w:tblStylePr>
    <w:tblStylePr w:type="lastRow">
      <w:pPr>
        <w:jc w:val="left"/>
      </w:pPr>
      <w:rPr>
        <w:rFonts w:ascii="Arial" w:hAnsi="Arial"/>
        <w:sz w:val="18"/>
      </w:rPr>
      <w:tblPr/>
      <w:tcPr>
        <w:tcBorders>
          <w:top w:val="single" w:sz="8" w:space="0" w:color="auto"/>
          <w:left w:val="single" w:sz="8" w:space="0" w:color="auto"/>
          <w:bottom w:val="single" w:sz="8" w:space="0" w:color="auto"/>
          <w:right w:val="single" w:sz="8" w:space="0" w:color="auto"/>
          <w:insideH w:val="nil"/>
          <w:insideV w:val="single" w:sz="8" w:space="0" w:color="auto"/>
          <w:tl2br w:val="nil"/>
          <w:tr2bl w:val="nil"/>
        </w:tcBorders>
        <w:shd w:val="clear" w:color="auto" w:fill="898D8D" w:themeFill="accent2"/>
      </w:tcPr>
    </w:tblStylePr>
    <w:tblStylePr w:type="band1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l2br w:val="nil"/>
          <w:tr2bl w:val="nil"/>
        </w:tcBorders>
        <w:shd w:val="clear" w:color="auto" w:fill="E7E8E8" w:themeFill="accent2" w:themeFillTint="33"/>
      </w:tcPr>
    </w:tblStylePr>
    <w:tblStylePr w:type="band2Horz">
      <w:rPr>
        <w:rFonts w:ascii="Arial Narrow" w:hAnsi="Arial Narrow"/>
        <w:sz w:val="18"/>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l2br w:val="nil"/>
          <w:tr2bl w:val="nil"/>
        </w:tcBorders>
      </w:tcPr>
    </w:tblStylePr>
  </w:style>
  <w:style w:type="paragraph" w:customStyle="1" w:styleId="ExhibitColumnHead">
    <w:name w:val="Exhibit Column Head"/>
    <w:qFormat/>
    <w:rsid w:val="00AE5530"/>
    <w:pPr>
      <w:jc w:val="center"/>
    </w:pPr>
    <w:rPr>
      <w:rFonts w:ascii="Arial Narrow" w:hAnsi="Arial Narrow" w:cs="Arial"/>
      <w:b/>
      <w:color w:val="000000" w:themeColor="text1"/>
      <w:sz w:val="18"/>
    </w:rPr>
  </w:style>
  <w:style w:type="paragraph" w:customStyle="1" w:styleId="Heading1ES">
    <w:name w:val="Heading 1 ES"/>
    <w:basedOn w:val="Heading1"/>
    <w:qFormat/>
    <w:rsid w:val="002D5525"/>
    <w:pPr>
      <w:numPr>
        <w:numId w:val="0"/>
      </w:numPr>
    </w:pPr>
  </w:style>
  <w:style w:type="paragraph" w:customStyle="1" w:styleId="Heading2ES">
    <w:name w:val="Heading 2 ES"/>
    <w:basedOn w:val="Heading2"/>
    <w:qFormat/>
    <w:rsid w:val="002D5525"/>
    <w:pPr>
      <w:numPr>
        <w:ilvl w:val="0"/>
        <w:numId w:val="0"/>
      </w:numPr>
      <w:outlineLvl w:val="9"/>
    </w:pPr>
  </w:style>
  <w:style w:type="paragraph" w:customStyle="1" w:styleId="Heading3ES">
    <w:name w:val="Heading 3 ES"/>
    <w:basedOn w:val="Heading3"/>
    <w:qFormat/>
    <w:rsid w:val="002D5525"/>
    <w:pPr>
      <w:numPr>
        <w:ilvl w:val="0"/>
        <w:numId w:val="0"/>
      </w:numPr>
      <w:outlineLvl w:val="9"/>
    </w:pPr>
  </w:style>
  <w:style w:type="table" w:customStyle="1" w:styleId="TableGrid1">
    <w:name w:val="Table Grid1"/>
    <w:basedOn w:val="TableNormal"/>
    <w:next w:val="TableGrid"/>
    <w:uiPriority w:val="59"/>
    <w:rsid w:val="00054B4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rsid w:val="00366EBD"/>
    <w:pPr>
      <w:spacing w:after="0"/>
    </w:pPr>
  </w:style>
  <w:style w:type="character" w:customStyle="1" w:styleId="CommentTextChar">
    <w:name w:val="Comment Text Char"/>
    <w:basedOn w:val="DefaultParagraphFont"/>
    <w:link w:val="CommentText"/>
    <w:semiHidden/>
    <w:rsid w:val="00E34766"/>
  </w:style>
  <w:style w:type="paragraph" w:styleId="ListParagraph">
    <w:name w:val="List Paragraph"/>
    <w:basedOn w:val="Normal"/>
    <w:uiPriority w:val="34"/>
    <w:qFormat/>
    <w:rsid w:val="00426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087171">
      <w:bodyDiv w:val="1"/>
      <w:marLeft w:val="0"/>
      <w:marRight w:val="0"/>
      <w:marTop w:val="0"/>
      <w:marBottom w:val="0"/>
      <w:divBdr>
        <w:top w:val="none" w:sz="0" w:space="0" w:color="auto"/>
        <w:left w:val="none" w:sz="0" w:space="0" w:color="auto"/>
        <w:bottom w:val="none" w:sz="0" w:space="0" w:color="auto"/>
        <w:right w:val="none" w:sz="0" w:space="0" w:color="auto"/>
      </w:divBdr>
    </w:div>
    <w:div w:id="797450009">
      <w:bodyDiv w:val="1"/>
      <w:marLeft w:val="0"/>
      <w:marRight w:val="0"/>
      <w:marTop w:val="0"/>
      <w:marBottom w:val="0"/>
      <w:divBdr>
        <w:top w:val="none" w:sz="0" w:space="0" w:color="auto"/>
        <w:left w:val="none" w:sz="0" w:space="0" w:color="auto"/>
        <w:bottom w:val="none" w:sz="0" w:space="0" w:color="auto"/>
        <w:right w:val="none" w:sz="0" w:space="0" w:color="auto"/>
      </w:divBdr>
    </w:div>
    <w:div w:id="931082971">
      <w:bodyDiv w:val="1"/>
      <w:marLeft w:val="0"/>
      <w:marRight w:val="0"/>
      <w:marTop w:val="0"/>
      <w:marBottom w:val="0"/>
      <w:divBdr>
        <w:top w:val="none" w:sz="0" w:space="0" w:color="auto"/>
        <w:left w:val="none" w:sz="0" w:space="0" w:color="auto"/>
        <w:bottom w:val="none" w:sz="0" w:space="0" w:color="auto"/>
        <w:right w:val="none" w:sz="0" w:space="0" w:color="auto"/>
      </w:divBdr>
    </w:div>
    <w:div w:id="1018697880">
      <w:bodyDiv w:val="1"/>
      <w:marLeft w:val="0"/>
      <w:marRight w:val="0"/>
      <w:marTop w:val="0"/>
      <w:marBottom w:val="0"/>
      <w:divBdr>
        <w:top w:val="none" w:sz="0" w:space="0" w:color="auto"/>
        <w:left w:val="none" w:sz="0" w:space="0" w:color="auto"/>
        <w:bottom w:val="none" w:sz="0" w:space="0" w:color="auto"/>
        <w:right w:val="none" w:sz="0" w:space="0" w:color="auto"/>
      </w:divBdr>
    </w:div>
    <w:div w:id="1373731265">
      <w:bodyDiv w:val="1"/>
      <w:marLeft w:val="0"/>
      <w:marRight w:val="0"/>
      <w:marTop w:val="0"/>
      <w:marBottom w:val="0"/>
      <w:divBdr>
        <w:top w:val="none" w:sz="0" w:space="0" w:color="auto"/>
        <w:left w:val="none" w:sz="0" w:space="0" w:color="auto"/>
        <w:bottom w:val="none" w:sz="0" w:space="0" w:color="auto"/>
        <w:right w:val="none" w:sz="0" w:space="0" w:color="auto"/>
      </w:divBdr>
    </w:div>
    <w:div w:id="151495038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717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2" Type="http://schemas.openxmlformats.org/officeDocument/2006/relationships/hyperlink" Target="http://www.census.gov/acs/www/data_documentation/2012_geography_release_notes/" TargetMode="External"/><Relationship Id="rId1" Type="http://schemas.openxmlformats.org/officeDocument/2006/relationships/hyperlink" Target="http://www.census.gov/acs/www/data_documentation/2011_geography_release_notes/"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19F00F-F97D-4794-B0BE-8A5638C15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5558</Words>
  <Characters>33137</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38618</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Charmayne Walker</dc:creator>
  <cp:keywords>Single-Sided body Templates</cp:keywords>
  <cp:lastModifiedBy>h09992</cp:lastModifiedBy>
  <cp:revision>2</cp:revision>
  <cp:lastPrinted>2015-10-06T20:18:00Z</cp:lastPrinted>
  <dcterms:created xsi:type="dcterms:W3CDTF">2015-12-21T16:18:00Z</dcterms:created>
  <dcterms:modified xsi:type="dcterms:W3CDTF">2015-12-21T16:18:00Z</dcterms:modified>
  <cp:category>Templates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924484744</vt:i4>
  </property>
  <property fmtid="{D5CDD505-2E9C-101B-9397-08002B2CF9AE}" pid="4" name="_EmailSubject">
    <vt:lpwstr>5173-N-07 AFFH Assessment Tools - Documents for Upload into ROCIS</vt:lpwstr>
  </property>
  <property fmtid="{D5CDD505-2E9C-101B-9397-08002B2CF9AE}" pid="5" name="_AuthorEmail">
    <vt:lpwstr>CAMILLE.E.ACEVEDO@hud.gov</vt:lpwstr>
  </property>
  <property fmtid="{D5CDD505-2E9C-101B-9397-08002B2CF9AE}" pid="6" name="_AuthorEmailDisplayName">
    <vt:lpwstr>Acevedo, Camille E</vt:lpwstr>
  </property>
  <property fmtid="{D5CDD505-2E9C-101B-9397-08002B2CF9AE}" pid="8" name="_PreviousAdHocReviewCycleID">
    <vt:i4>-527251023</vt:i4>
  </property>
</Properties>
</file>