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3C" w:rsidRPr="003707E2" w:rsidRDefault="00AC593C" w:rsidP="00AC593C">
      <w:pPr>
        <w:jc w:val="center"/>
        <w:rPr>
          <w:b/>
          <w:color w:val="333399"/>
          <w:sz w:val="23"/>
          <w:szCs w:val="23"/>
        </w:rPr>
      </w:pPr>
      <w:bookmarkStart w:id="0" w:name="_GoBack"/>
      <w:bookmarkEnd w:id="0"/>
      <w:r w:rsidRPr="003707E2">
        <w:rPr>
          <w:b/>
          <w:color w:val="333399"/>
          <w:sz w:val="23"/>
          <w:szCs w:val="23"/>
        </w:rPr>
        <w:t>Supporting Statement for Paperwork Reduction Act Submission</w:t>
      </w:r>
    </w:p>
    <w:p w:rsidR="00AC593C" w:rsidRPr="003707E2" w:rsidRDefault="00AC593C" w:rsidP="00AC593C">
      <w:pPr>
        <w:jc w:val="center"/>
        <w:rPr>
          <w:b/>
          <w:color w:val="333399"/>
          <w:sz w:val="23"/>
          <w:szCs w:val="23"/>
          <w:u w:val="single"/>
        </w:rPr>
      </w:pPr>
      <w:r w:rsidRPr="003707E2">
        <w:rPr>
          <w:b/>
          <w:color w:val="333399"/>
          <w:sz w:val="23"/>
          <w:szCs w:val="23"/>
          <w:u w:val="single"/>
        </w:rPr>
        <w:t>SBA Lender, Microloan Intermediary, and NTAP Reporting Requirements</w:t>
      </w:r>
    </w:p>
    <w:p w:rsidR="00AC593C" w:rsidRPr="003707E2" w:rsidRDefault="00AC593C" w:rsidP="00AC593C">
      <w:pPr>
        <w:jc w:val="center"/>
        <w:rPr>
          <w:color w:val="333399"/>
          <w:sz w:val="23"/>
          <w:szCs w:val="23"/>
        </w:rPr>
      </w:pPr>
      <w:r>
        <w:rPr>
          <w:color w:val="333399"/>
          <w:sz w:val="23"/>
          <w:szCs w:val="23"/>
        </w:rPr>
        <w:t xml:space="preserve">OMB Control Number 3245-0365 </w:t>
      </w:r>
    </w:p>
    <w:p w:rsidR="00AC593C" w:rsidRPr="003707E2" w:rsidRDefault="00AC593C" w:rsidP="00AC593C">
      <w:pPr>
        <w:numPr>
          <w:ilvl w:val="0"/>
          <w:numId w:val="1"/>
        </w:numPr>
        <w:tabs>
          <w:tab w:val="clear" w:pos="720"/>
          <w:tab w:val="num" w:pos="360"/>
        </w:tabs>
        <w:ind w:left="0" w:firstLine="0"/>
        <w:rPr>
          <w:b/>
          <w:color w:val="333399"/>
          <w:sz w:val="23"/>
          <w:szCs w:val="23"/>
        </w:rPr>
      </w:pPr>
      <w:r w:rsidRPr="003707E2">
        <w:rPr>
          <w:b/>
          <w:color w:val="333399"/>
          <w:sz w:val="23"/>
          <w:szCs w:val="23"/>
        </w:rPr>
        <w:t>Justification</w:t>
      </w:r>
    </w:p>
    <w:p w:rsidR="00AC593C" w:rsidRPr="003707E2" w:rsidRDefault="00AC593C" w:rsidP="00AC593C">
      <w:pPr>
        <w:rPr>
          <w:b/>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Circumstances Necessitating the Collection of Information.</w:t>
      </w:r>
    </w:p>
    <w:p w:rsidR="00AC593C" w:rsidRPr="003707E2" w:rsidRDefault="00AC593C" w:rsidP="00AC593C">
      <w:pPr>
        <w:rPr>
          <w:i/>
          <w:color w:val="333399"/>
        </w:rPr>
      </w:pPr>
      <w:r w:rsidRPr="003707E2">
        <w:rPr>
          <w:i/>
          <w:color w:val="333399"/>
        </w:rPr>
        <w:t>Explain the circumstances that make the collection of information necessary.  Identify any legal or administrative requirements that necessitate the collection</w:t>
      </w:r>
      <w:r w:rsidRPr="00C9389D">
        <w:rPr>
          <w:i/>
          <w:color w:val="333399"/>
        </w:rPr>
        <w:t>.  Attach a copy of the applicable section of each statute and regulation that mandates or authorizes the collection of information</w:t>
      </w:r>
      <w:r w:rsidR="00C36C77" w:rsidRPr="00C9389D">
        <w:rPr>
          <w:i/>
          <w:color w:val="333399"/>
        </w:rPr>
        <w:t xml:space="preserve"> and Notice from Federal Register</w:t>
      </w:r>
      <w:r w:rsidRPr="00C9389D">
        <w:rPr>
          <w:i/>
          <w:color w:val="333399"/>
        </w:rPr>
        <w:t>.</w:t>
      </w:r>
    </w:p>
    <w:p w:rsidR="00AC593C" w:rsidRPr="003707E2" w:rsidRDefault="00AC593C" w:rsidP="00AC593C">
      <w:pPr>
        <w:tabs>
          <w:tab w:val="left" w:pos="360"/>
        </w:tabs>
        <w:rPr>
          <w:b/>
          <w:color w:val="333399"/>
          <w:sz w:val="23"/>
          <w:szCs w:val="23"/>
        </w:rPr>
      </w:pPr>
      <w:r>
        <w:rPr>
          <w:b/>
          <w:color w:val="333399"/>
          <w:sz w:val="23"/>
          <w:szCs w:val="23"/>
        </w:rPr>
        <w:t xml:space="preserve">  </w:t>
      </w:r>
    </w:p>
    <w:p w:rsidR="0011728B" w:rsidRDefault="00AC593C" w:rsidP="001952FB">
      <w:pPr>
        <w:tabs>
          <w:tab w:val="left" w:pos="360"/>
        </w:tabs>
        <w:rPr>
          <w:color w:val="333399"/>
          <w:sz w:val="23"/>
          <w:szCs w:val="23"/>
        </w:rPr>
      </w:pPr>
      <w:r w:rsidRPr="003707E2">
        <w:rPr>
          <w:color w:val="333399"/>
          <w:sz w:val="23"/>
          <w:szCs w:val="23"/>
        </w:rPr>
        <w:tab/>
      </w:r>
      <w:r w:rsidRPr="003707E2">
        <w:rPr>
          <w:color w:val="333399"/>
          <w:sz w:val="23"/>
          <w:szCs w:val="23"/>
        </w:rPr>
        <w:tab/>
      </w:r>
      <w:r w:rsidR="00A33736">
        <w:rPr>
          <w:color w:val="333399"/>
          <w:sz w:val="23"/>
          <w:szCs w:val="23"/>
        </w:rPr>
        <w:t>This information</w:t>
      </w:r>
      <w:r>
        <w:rPr>
          <w:color w:val="333399"/>
          <w:sz w:val="23"/>
          <w:szCs w:val="23"/>
        </w:rPr>
        <w:t xml:space="preserve"> collection </w:t>
      </w:r>
      <w:r w:rsidR="00FB4B5C">
        <w:rPr>
          <w:color w:val="333399"/>
          <w:sz w:val="23"/>
          <w:szCs w:val="23"/>
        </w:rPr>
        <w:t xml:space="preserve">is </w:t>
      </w:r>
      <w:r>
        <w:rPr>
          <w:color w:val="333399"/>
          <w:sz w:val="23"/>
          <w:szCs w:val="23"/>
        </w:rPr>
        <w:t>used by SBA</w:t>
      </w:r>
      <w:r w:rsidR="00CA2082">
        <w:rPr>
          <w:color w:val="333399"/>
          <w:sz w:val="23"/>
          <w:szCs w:val="23"/>
        </w:rPr>
        <w:t xml:space="preserve">, primarily the </w:t>
      </w:r>
      <w:r>
        <w:rPr>
          <w:color w:val="333399"/>
          <w:sz w:val="23"/>
          <w:szCs w:val="23"/>
        </w:rPr>
        <w:t>Office of Credit Risk Management (OCRM)</w:t>
      </w:r>
      <w:r w:rsidR="0010302B">
        <w:rPr>
          <w:color w:val="333399"/>
          <w:sz w:val="23"/>
          <w:szCs w:val="23"/>
        </w:rPr>
        <w:t xml:space="preserve"> </w:t>
      </w:r>
      <w:r>
        <w:rPr>
          <w:color w:val="333399"/>
          <w:sz w:val="23"/>
          <w:szCs w:val="23"/>
        </w:rPr>
        <w:t xml:space="preserve">to facilitate </w:t>
      </w:r>
      <w:r w:rsidR="007F0691">
        <w:rPr>
          <w:color w:val="333399"/>
          <w:sz w:val="23"/>
          <w:szCs w:val="23"/>
        </w:rPr>
        <w:t>its</w:t>
      </w:r>
      <w:r>
        <w:rPr>
          <w:color w:val="333399"/>
          <w:sz w:val="23"/>
          <w:szCs w:val="23"/>
        </w:rPr>
        <w:t xml:space="preserve"> oversight and monitoring of </w:t>
      </w:r>
      <w:r w:rsidRPr="00517886">
        <w:rPr>
          <w:color w:val="333399"/>
          <w:sz w:val="23"/>
          <w:szCs w:val="23"/>
        </w:rPr>
        <w:t xml:space="preserve">SBA’s 7(a) Lenders, </w:t>
      </w:r>
      <w:r w:rsidR="00517886" w:rsidRPr="00517886">
        <w:rPr>
          <w:color w:val="333399"/>
          <w:sz w:val="23"/>
          <w:szCs w:val="23"/>
        </w:rPr>
        <w:t>Certified Development Companies (“</w:t>
      </w:r>
      <w:r w:rsidRPr="00517886">
        <w:rPr>
          <w:color w:val="333399"/>
          <w:sz w:val="23"/>
          <w:szCs w:val="23"/>
        </w:rPr>
        <w:t>CDCs</w:t>
      </w:r>
      <w:r w:rsidR="00517886" w:rsidRPr="00517886">
        <w:rPr>
          <w:color w:val="333399"/>
          <w:sz w:val="23"/>
          <w:szCs w:val="23"/>
        </w:rPr>
        <w:t>”)</w:t>
      </w:r>
      <w:r w:rsidRPr="00517886">
        <w:rPr>
          <w:color w:val="333399"/>
          <w:sz w:val="23"/>
          <w:szCs w:val="23"/>
        </w:rPr>
        <w:t>, Microloan Lenders</w:t>
      </w:r>
      <w:r w:rsidR="00F03056">
        <w:rPr>
          <w:color w:val="333399"/>
          <w:sz w:val="23"/>
          <w:szCs w:val="23"/>
        </w:rPr>
        <w:t xml:space="preserve"> (with respect to corrective actions only)</w:t>
      </w:r>
      <w:r w:rsidRPr="00517886">
        <w:rPr>
          <w:color w:val="333399"/>
          <w:sz w:val="23"/>
          <w:szCs w:val="23"/>
        </w:rPr>
        <w:t xml:space="preserve"> and</w:t>
      </w:r>
      <w:r w:rsidR="00196476">
        <w:rPr>
          <w:color w:val="333399"/>
          <w:sz w:val="23"/>
          <w:szCs w:val="23"/>
        </w:rPr>
        <w:t xml:space="preserve"> Non-Lending Technical Assistance Providers (“</w:t>
      </w:r>
      <w:r w:rsidRPr="00517886">
        <w:rPr>
          <w:color w:val="333399"/>
          <w:sz w:val="23"/>
          <w:szCs w:val="23"/>
        </w:rPr>
        <w:t>NTAPs</w:t>
      </w:r>
      <w:r w:rsidR="00196476">
        <w:rPr>
          <w:color w:val="333399"/>
          <w:sz w:val="23"/>
          <w:szCs w:val="23"/>
        </w:rPr>
        <w:t>”)</w:t>
      </w:r>
      <w:r w:rsidRPr="00517886">
        <w:rPr>
          <w:color w:val="333399"/>
          <w:sz w:val="23"/>
          <w:szCs w:val="23"/>
        </w:rPr>
        <w:t>.</w:t>
      </w:r>
      <w:r>
        <w:rPr>
          <w:color w:val="333399"/>
          <w:sz w:val="23"/>
          <w:szCs w:val="23"/>
        </w:rPr>
        <w:t xml:space="preserve">  </w:t>
      </w:r>
      <w:r w:rsidR="00FB4B5C">
        <w:rPr>
          <w:color w:val="333399"/>
          <w:sz w:val="23"/>
          <w:szCs w:val="23"/>
        </w:rPr>
        <w:t xml:space="preserve">The required reporting may be in conjunction with </w:t>
      </w:r>
      <w:r w:rsidR="004B3531">
        <w:rPr>
          <w:color w:val="333399"/>
          <w:sz w:val="23"/>
          <w:szCs w:val="23"/>
        </w:rPr>
        <w:t xml:space="preserve">lender </w:t>
      </w:r>
      <w:r w:rsidR="00FB4B5C">
        <w:rPr>
          <w:color w:val="333399"/>
          <w:sz w:val="23"/>
          <w:szCs w:val="23"/>
        </w:rPr>
        <w:t xml:space="preserve">reviews as authorized by </w:t>
      </w:r>
      <w:r w:rsidR="00FB4B5C" w:rsidRPr="007D3598">
        <w:rPr>
          <w:color w:val="333399"/>
          <w:sz w:val="23"/>
          <w:szCs w:val="23"/>
        </w:rPr>
        <w:t>5 U</w:t>
      </w:r>
      <w:r w:rsidR="0010302B" w:rsidRPr="007D3598">
        <w:rPr>
          <w:color w:val="333399"/>
          <w:sz w:val="23"/>
          <w:szCs w:val="23"/>
        </w:rPr>
        <w:t>.</w:t>
      </w:r>
      <w:r w:rsidR="00FB4B5C" w:rsidRPr="007D3598">
        <w:rPr>
          <w:color w:val="333399"/>
          <w:sz w:val="23"/>
          <w:szCs w:val="23"/>
        </w:rPr>
        <w:t>S</w:t>
      </w:r>
      <w:r w:rsidR="0010302B" w:rsidRPr="007D3598">
        <w:rPr>
          <w:color w:val="333399"/>
          <w:sz w:val="23"/>
          <w:szCs w:val="23"/>
        </w:rPr>
        <w:t>.</w:t>
      </w:r>
      <w:r w:rsidR="00FB4B5C" w:rsidRPr="007D3598">
        <w:rPr>
          <w:color w:val="333399"/>
          <w:sz w:val="23"/>
          <w:szCs w:val="23"/>
        </w:rPr>
        <w:t>C</w:t>
      </w:r>
      <w:r w:rsidR="0010302B" w:rsidRPr="007D3598">
        <w:rPr>
          <w:color w:val="333399"/>
          <w:sz w:val="23"/>
          <w:szCs w:val="23"/>
        </w:rPr>
        <w:t>.</w:t>
      </w:r>
      <w:r w:rsidR="00E027AE">
        <w:rPr>
          <w:color w:val="333399"/>
          <w:sz w:val="23"/>
          <w:szCs w:val="23"/>
        </w:rPr>
        <w:t xml:space="preserve"> 634(b</w:t>
      </w:r>
      <w:proofErr w:type="gramStart"/>
      <w:r w:rsidR="00E027AE">
        <w:rPr>
          <w:color w:val="333399"/>
          <w:sz w:val="23"/>
          <w:szCs w:val="23"/>
        </w:rPr>
        <w:t>)(</w:t>
      </w:r>
      <w:proofErr w:type="gramEnd"/>
      <w:r w:rsidR="00E027AE">
        <w:rPr>
          <w:color w:val="333399"/>
          <w:sz w:val="23"/>
          <w:szCs w:val="23"/>
        </w:rPr>
        <w:t>7)</w:t>
      </w:r>
      <w:r w:rsidR="00FB4B5C" w:rsidRPr="007D3598">
        <w:rPr>
          <w:color w:val="333399"/>
          <w:sz w:val="23"/>
          <w:szCs w:val="23"/>
        </w:rPr>
        <w:t>, 650, and 697; 13 CFR 120.1025, 1050, and 1055</w:t>
      </w:r>
      <w:r w:rsidR="00881735">
        <w:rPr>
          <w:color w:val="333399"/>
          <w:sz w:val="23"/>
          <w:szCs w:val="23"/>
        </w:rPr>
        <w:t>.</w:t>
      </w:r>
      <w:r w:rsidR="00052520">
        <w:rPr>
          <w:color w:val="333399"/>
          <w:sz w:val="23"/>
          <w:szCs w:val="23"/>
        </w:rPr>
        <w:t xml:space="preserve"> </w:t>
      </w:r>
      <w:r w:rsidR="00AE209D">
        <w:rPr>
          <w:color w:val="333399"/>
          <w:sz w:val="23"/>
          <w:szCs w:val="23"/>
        </w:rPr>
        <w:t xml:space="preserve">It </w:t>
      </w:r>
      <w:r w:rsidR="002C4AF2">
        <w:rPr>
          <w:color w:val="333399"/>
          <w:sz w:val="23"/>
          <w:szCs w:val="23"/>
        </w:rPr>
        <w:t xml:space="preserve">also </w:t>
      </w:r>
      <w:r w:rsidR="00AE209D">
        <w:rPr>
          <w:color w:val="333399"/>
          <w:sz w:val="23"/>
          <w:szCs w:val="23"/>
        </w:rPr>
        <w:t>i</w:t>
      </w:r>
      <w:r w:rsidR="006A1BB3">
        <w:rPr>
          <w:color w:val="333399"/>
          <w:sz w:val="23"/>
          <w:szCs w:val="23"/>
        </w:rPr>
        <w:t>ncludes</w:t>
      </w:r>
      <w:r w:rsidR="006A1BB3" w:rsidDel="006A1BB3">
        <w:rPr>
          <w:color w:val="333399"/>
          <w:sz w:val="23"/>
          <w:szCs w:val="23"/>
        </w:rPr>
        <w:t xml:space="preserve"> </w:t>
      </w:r>
      <w:r w:rsidR="00963A35" w:rsidRPr="00963A35">
        <w:rPr>
          <w:color w:val="333399"/>
          <w:sz w:val="23"/>
          <w:szCs w:val="23"/>
        </w:rPr>
        <w:t xml:space="preserve">secondary market reports from certain higher risk lenders (e.g., those with enforcement order(s)) in conjunction with certain secondary </w:t>
      </w:r>
      <w:r w:rsidR="001E0565">
        <w:rPr>
          <w:color w:val="333399"/>
          <w:sz w:val="23"/>
          <w:szCs w:val="23"/>
        </w:rPr>
        <w:t xml:space="preserve">market </w:t>
      </w:r>
      <w:r w:rsidR="00963A35" w:rsidRPr="00963A35">
        <w:rPr>
          <w:color w:val="333399"/>
          <w:sz w:val="23"/>
          <w:szCs w:val="23"/>
        </w:rPr>
        <w:t>loan sales (referred to as Secondary Market</w:t>
      </w:r>
      <w:r w:rsidR="0011728B">
        <w:rPr>
          <w:color w:val="333399"/>
          <w:sz w:val="23"/>
          <w:szCs w:val="23"/>
        </w:rPr>
        <w:t xml:space="preserve"> Evaluations</w:t>
      </w:r>
      <w:r w:rsidR="001E0565">
        <w:rPr>
          <w:color w:val="333399"/>
          <w:sz w:val="23"/>
          <w:szCs w:val="23"/>
        </w:rPr>
        <w:t>) and</w:t>
      </w:r>
      <w:r w:rsidR="00963A35" w:rsidRPr="00963A35">
        <w:rPr>
          <w:color w:val="333399"/>
          <w:sz w:val="23"/>
          <w:szCs w:val="23"/>
        </w:rPr>
        <w:t xml:space="preserve"> oversight reviews</w:t>
      </w:r>
      <w:r w:rsidR="006A1BB3">
        <w:rPr>
          <w:color w:val="333399"/>
          <w:sz w:val="23"/>
          <w:szCs w:val="23"/>
        </w:rPr>
        <w:t>/activities</w:t>
      </w:r>
      <w:r w:rsidR="00963A35" w:rsidRPr="00963A35">
        <w:rPr>
          <w:color w:val="333399"/>
          <w:sz w:val="23"/>
          <w:szCs w:val="23"/>
        </w:rPr>
        <w:t xml:space="preserve"> conducted in conjunction with certain secondary market loan sales, or maintenance of escrow accounts authorized by 15 U.S.C. 634 (f</w:t>
      </w:r>
      <w:proofErr w:type="gramStart"/>
      <w:r w:rsidR="00963A35" w:rsidRPr="00963A35">
        <w:rPr>
          <w:color w:val="333399"/>
          <w:sz w:val="23"/>
          <w:szCs w:val="23"/>
        </w:rPr>
        <w:t>)</w:t>
      </w:r>
      <w:r w:rsidR="0011728B">
        <w:rPr>
          <w:color w:val="333399"/>
          <w:sz w:val="23"/>
          <w:szCs w:val="23"/>
        </w:rPr>
        <w:t>(</w:t>
      </w:r>
      <w:proofErr w:type="gramEnd"/>
      <w:r w:rsidR="0011728B">
        <w:rPr>
          <w:color w:val="333399"/>
          <w:sz w:val="23"/>
          <w:szCs w:val="23"/>
        </w:rPr>
        <w:t>3)</w:t>
      </w:r>
      <w:r w:rsidR="001E0565">
        <w:rPr>
          <w:color w:val="333399"/>
          <w:sz w:val="23"/>
          <w:szCs w:val="23"/>
        </w:rPr>
        <w:t xml:space="preserve"> </w:t>
      </w:r>
      <w:r w:rsidR="00963A35" w:rsidRPr="00963A35">
        <w:rPr>
          <w:color w:val="333399"/>
          <w:sz w:val="23"/>
          <w:szCs w:val="23"/>
        </w:rPr>
        <w:t>and 13 CFR 120.612 and 613 (referred to as Secondary Market Loan I</w:t>
      </w:r>
      <w:r w:rsidR="001E0565">
        <w:rPr>
          <w:color w:val="333399"/>
          <w:sz w:val="23"/>
          <w:szCs w:val="23"/>
        </w:rPr>
        <w:t>nformation reviews).</w:t>
      </w:r>
      <w:r w:rsidR="00963A35" w:rsidRPr="00963A35">
        <w:rPr>
          <w:color w:val="333399"/>
          <w:sz w:val="23"/>
          <w:szCs w:val="23"/>
        </w:rPr>
        <w:t xml:space="preserve">  </w:t>
      </w:r>
      <w:r w:rsidR="0011728B" w:rsidRPr="0011728B">
        <w:rPr>
          <w:color w:val="333399"/>
          <w:sz w:val="23"/>
          <w:szCs w:val="23"/>
        </w:rPr>
        <w:t xml:space="preserve">NTAPs are required to provide quarterly technical assistance reports and annual financial audits.  </w:t>
      </w:r>
      <w:r w:rsidR="0011728B" w:rsidRPr="004948D2">
        <w:rPr>
          <w:color w:val="333399"/>
          <w:sz w:val="23"/>
          <w:szCs w:val="23"/>
        </w:rPr>
        <w:t>Currently, there are no active NTAPs so therefore there is no current or anticipated SBA information collection related to NTAPs</w:t>
      </w:r>
      <w:r w:rsidR="00881735" w:rsidRPr="004948D2">
        <w:rPr>
          <w:color w:val="333399"/>
          <w:sz w:val="23"/>
          <w:szCs w:val="23"/>
        </w:rPr>
        <w:t>.</w:t>
      </w:r>
      <w:r w:rsidR="00881735">
        <w:rPr>
          <w:color w:val="333399"/>
          <w:sz w:val="23"/>
          <w:szCs w:val="23"/>
        </w:rPr>
        <w:t xml:space="preserve"> </w:t>
      </w:r>
    </w:p>
    <w:p w:rsidR="0011728B" w:rsidRDefault="0011728B" w:rsidP="001952FB">
      <w:pPr>
        <w:tabs>
          <w:tab w:val="left" w:pos="360"/>
        </w:tabs>
        <w:rPr>
          <w:color w:val="333399"/>
          <w:sz w:val="23"/>
          <w:szCs w:val="23"/>
        </w:rPr>
      </w:pPr>
    </w:p>
    <w:p w:rsidR="00AC593C" w:rsidRDefault="00AC593C" w:rsidP="00AC593C">
      <w:pPr>
        <w:numPr>
          <w:ilvl w:val="3"/>
          <w:numId w:val="1"/>
        </w:numPr>
        <w:tabs>
          <w:tab w:val="num" w:pos="0"/>
          <w:tab w:val="left" w:pos="360"/>
        </w:tabs>
        <w:ind w:hanging="2880"/>
        <w:rPr>
          <w:b/>
          <w:color w:val="333399"/>
          <w:sz w:val="23"/>
          <w:szCs w:val="23"/>
        </w:rPr>
      </w:pPr>
      <w:r w:rsidRPr="003707E2">
        <w:rPr>
          <w:b/>
          <w:color w:val="333399"/>
          <w:sz w:val="23"/>
          <w:szCs w:val="23"/>
        </w:rPr>
        <w:t>How, By Whom and For What Purpose will Information Be Used.</w:t>
      </w:r>
    </w:p>
    <w:p w:rsidR="00AC593C" w:rsidRPr="003707E2" w:rsidRDefault="00AC593C" w:rsidP="00AC593C">
      <w:pPr>
        <w:rPr>
          <w:i/>
          <w:color w:val="333399"/>
        </w:rPr>
      </w:pPr>
      <w:r w:rsidRPr="003707E2">
        <w:rPr>
          <w:i/>
          <w:color w:val="333399"/>
        </w:rPr>
        <w:t>Indicate how, by whom, and for what purpose the information is to be used.  Except for a new collection, indicate the actual use the agency has made of the information received from the current collection.</w:t>
      </w:r>
    </w:p>
    <w:p w:rsidR="00AC593C" w:rsidRPr="003707E2" w:rsidRDefault="00AC593C" w:rsidP="00AC593C">
      <w:pPr>
        <w:tabs>
          <w:tab w:val="left" w:pos="360"/>
        </w:tabs>
        <w:rPr>
          <w:color w:val="333399"/>
          <w:sz w:val="23"/>
          <w:szCs w:val="23"/>
        </w:rPr>
      </w:pPr>
    </w:p>
    <w:p w:rsidR="00AC593C" w:rsidRPr="003707E2" w:rsidRDefault="00AC593C" w:rsidP="00F61111">
      <w:pPr>
        <w:tabs>
          <w:tab w:val="left" w:pos="360"/>
        </w:tabs>
        <w:rPr>
          <w:color w:val="333399"/>
          <w:sz w:val="23"/>
          <w:szCs w:val="23"/>
        </w:rPr>
      </w:pPr>
      <w:r w:rsidRPr="003707E2">
        <w:rPr>
          <w:color w:val="333399"/>
          <w:sz w:val="23"/>
          <w:szCs w:val="23"/>
        </w:rPr>
        <w:tab/>
      </w:r>
      <w:r w:rsidRPr="003707E2">
        <w:rPr>
          <w:color w:val="333399"/>
          <w:sz w:val="23"/>
          <w:szCs w:val="23"/>
        </w:rPr>
        <w:tab/>
      </w:r>
      <w:r w:rsidR="00DE7C8E" w:rsidRPr="00F61111">
        <w:rPr>
          <w:color w:val="333399"/>
          <w:sz w:val="23"/>
          <w:szCs w:val="23"/>
        </w:rPr>
        <w:t xml:space="preserve">Generally, </w:t>
      </w:r>
      <w:r w:rsidR="00DE7C8E">
        <w:rPr>
          <w:color w:val="333399"/>
          <w:sz w:val="23"/>
          <w:szCs w:val="23"/>
        </w:rPr>
        <w:t>lenders will include in the reports information</w:t>
      </w:r>
      <w:r w:rsidR="00550584">
        <w:rPr>
          <w:color w:val="333399"/>
          <w:sz w:val="23"/>
          <w:szCs w:val="23"/>
        </w:rPr>
        <w:t xml:space="preserve"> on, for example, SBA lending policies and procedures, organizational charts, and </w:t>
      </w:r>
      <w:r w:rsidR="00C84FA7">
        <w:rPr>
          <w:color w:val="333399"/>
          <w:sz w:val="23"/>
          <w:szCs w:val="23"/>
        </w:rPr>
        <w:t xml:space="preserve">lenders’ </w:t>
      </w:r>
      <w:r w:rsidR="00550584">
        <w:rPr>
          <w:color w:val="333399"/>
          <w:sz w:val="23"/>
          <w:szCs w:val="23"/>
        </w:rPr>
        <w:t xml:space="preserve">SBA loan files.  </w:t>
      </w:r>
      <w:r w:rsidR="00DE7C8E" w:rsidRPr="00F61111">
        <w:rPr>
          <w:color w:val="333399"/>
          <w:sz w:val="23"/>
          <w:szCs w:val="23"/>
        </w:rPr>
        <w:t>S</w:t>
      </w:r>
      <w:r w:rsidR="00F61111" w:rsidRPr="00F61111">
        <w:rPr>
          <w:color w:val="333399"/>
          <w:sz w:val="23"/>
          <w:szCs w:val="23"/>
        </w:rPr>
        <w:t>BA will use th</w:t>
      </w:r>
      <w:r w:rsidR="00DE7C8E">
        <w:rPr>
          <w:color w:val="333399"/>
          <w:sz w:val="23"/>
          <w:szCs w:val="23"/>
        </w:rPr>
        <w:t xml:space="preserve">is </w:t>
      </w:r>
      <w:r w:rsidR="00F61111" w:rsidRPr="00F61111">
        <w:rPr>
          <w:color w:val="333399"/>
          <w:sz w:val="23"/>
          <w:szCs w:val="23"/>
        </w:rPr>
        <w:t xml:space="preserve">information to oversee and monitor the SBA performance and compliance of SBA Lenders, Microloan Intermediaries, and NTAPs.  In some cases, reporting serves as a form of increased supervision allowing SBA to timely assess a lender’s risk to SBA programs.  Since reporting is a cost effective means of overseeing and monitoring performance and compliance, where appropriate, SBA may require these lenders, Intermediaries and NTAPs to report in lieu of targeted or limited scope reviews.  SBA may also use reporting to plan, facilitate, or lessen the burden of off-site or on-site reviews.  Furthermore, SBA may consider the information reported for the following purposes: 1) in determining lenders’ participation in delegated authority programs, 2) approving Secondary Market loan sales by higher risk lenders; or 3) in determining the need for increased supervision or enforcement.  As for corrective action plans/reports, this reporting may inform SBA about how the lender is addressing or intends to address deficiencies that may be identified during the review and examination process and the time line for implementing the corrective plans.  SBA may then use these reports to assess the adequacy of the lender’s corrective action.  Finally, </w:t>
      </w:r>
      <w:r w:rsidR="007D44C5">
        <w:rPr>
          <w:color w:val="333399"/>
          <w:sz w:val="23"/>
          <w:szCs w:val="23"/>
        </w:rPr>
        <w:t xml:space="preserve">SBA </w:t>
      </w:r>
      <w:r w:rsidR="003423BE">
        <w:rPr>
          <w:color w:val="333399"/>
          <w:sz w:val="23"/>
          <w:szCs w:val="23"/>
        </w:rPr>
        <w:t xml:space="preserve">is working on a plan </w:t>
      </w:r>
      <w:proofErr w:type="gramStart"/>
      <w:r w:rsidR="003423BE">
        <w:rPr>
          <w:color w:val="333399"/>
          <w:sz w:val="23"/>
          <w:szCs w:val="23"/>
        </w:rPr>
        <w:t>to ,</w:t>
      </w:r>
      <w:proofErr w:type="gramEnd"/>
      <w:r w:rsidR="003423BE">
        <w:rPr>
          <w:color w:val="333399"/>
          <w:sz w:val="23"/>
          <w:szCs w:val="23"/>
        </w:rPr>
        <w:t xml:space="preserve"> </w:t>
      </w:r>
      <w:r w:rsidR="00F61111" w:rsidRPr="00F61111">
        <w:rPr>
          <w:color w:val="333399"/>
          <w:sz w:val="23"/>
          <w:szCs w:val="23"/>
        </w:rPr>
        <w:t>share information with other regulators (e.g., the FDIC</w:t>
      </w:r>
      <w:r w:rsidR="007D44C5">
        <w:rPr>
          <w:color w:val="333399"/>
          <w:sz w:val="23"/>
          <w:szCs w:val="23"/>
        </w:rPr>
        <w:t>)</w:t>
      </w:r>
      <w:r w:rsidR="00F61111" w:rsidRPr="00F61111">
        <w:rPr>
          <w:color w:val="333399"/>
          <w:sz w:val="23"/>
          <w:szCs w:val="23"/>
        </w:rPr>
        <w:t xml:space="preserve"> </w:t>
      </w:r>
      <w:r w:rsidR="003423BE">
        <w:rPr>
          <w:color w:val="333399"/>
          <w:sz w:val="23"/>
          <w:szCs w:val="23"/>
        </w:rPr>
        <w:t xml:space="preserve">where possible </w:t>
      </w:r>
      <w:r w:rsidR="00F61111" w:rsidRPr="00F61111">
        <w:rPr>
          <w:color w:val="333399"/>
          <w:sz w:val="23"/>
          <w:szCs w:val="23"/>
        </w:rPr>
        <w:t xml:space="preserve">to assist with </w:t>
      </w:r>
      <w:r w:rsidR="003423BE">
        <w:rPr>
          <w:color w:val="333399"/>
          <w:sz w:val="23"/>
          <w:szCs w:val="23"/>
        </w:rPr>
        <w:t xml:space="preserve">common </w:t>
      </w:r>
      <w:r w:rsidR="00F61111" w:rsidRPr="00F61111">
        <w:rPr>
          <w:color w:val="333399"/>
          <w:sz w:val="23"/>
          <w:szCs w:val="23"/>
        </w:rPr>
        <w:t>supervision, regulation, and program responsibilities and avoid redundant information requests.</w:t>
      </w:r>
      <w:r w:rsidR="003423BE">
        <w:rPr>
          <w:color w:val="333399"/>
          <w:sz w:val="23"/>
          <w:szCs w:val="23"/>
        </w:rPr>
        <w:t xml:space="preserve"> </w:t>
      </w: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lastRenderedPageBreak/>
        <w:t>Technological Collection Techniques</w:t>
      </w:r>
    </w:p>
    <w:p w:rsidR="00AC593C" w:rsidRPr="003707E2" w:rsidRDefault="00AC593C" w:rsidP="00AC593C">
      <w:pPr>
        <w:rPr>
          <w:i/>
          <w:color w:val="333399"/>
        </w:rPr>
      </w:pPr>
      <w:r w:rsidRPr="003707E2">
        <w:rPr>
          <w:i/>
          <w:color w:val="33339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SBA </w:t>
      </w:r>
      <w:r>
        <w:rPr>
          <w:color w:val="333399"/>
          <w:sz w:val="23"/>
          <w:szCs w:val="23"/>
        </w:rPr>
        <w:t xml:space="preserve">generally </w:t>
      </w:r>
      <w:r w:rsidRPr="003707E2">
        <w:rPr>
          <w:color w:val="333399"/>
          <w:sz w:val="23"/>
          <w:szCs w:val="23"/>
        </w:rPr>
        <w:t>accept</w:t>
      </w:r>
      <w:r>
        <w:rPr>
          <w:color w:val="333399"/>
          <w:sz w:val="23"/>
          <w:szCs w:val="23"/>
        </w:rPr>
        <w:t>s</w:t>
      </w:r>
      <w:r w:rsidRPr="003707E2">
        <w:rPr>
          <w:color w:val="333399"/>
          <w:sz w:val="23"/>
          <w:szCs w:val="23"/>
        </w:rPr>
        <w:t xml:space="preserve"> transmission of this information via e-mail, data diskette, or facsimile. </w:t>
      </w:r>
      <w:r w:rsidR="00040B30">
        <w:rPr>
          <w:color w:val="333399"/>
          <w:sz w:val="23"/>
          <w:szCs w:val="23"/>
        </w:rPr>
        <w:t xml:space="preserve"> SBA has also established secure data storage servers which allow lenders to upload information securely via the internet.  </w:t>
      </w:r>
      <w:r w:rsidRPr="003707E2">
        <w:rPr>
          <w:color w:val="333399"/>
          <w:sz w:val="23"/>
          <w:szCs w:val="23"/>
        </w:rPr>
        <w:t xml:space="preserve">However, each lender is generally free to select </w:t>
      </w:r>
      <w:r>
        <w:rPr>
          <w:color w:val="333399"/>
          <w:sz w:val="23"/>
          <w:szCs w:val="23"/>
        </w:rPr>
        <w:t>its own</w:t>
      </w:r>
      <w:r w:rsidRPr="003707E2">
        <w:rPr>
          <w:color w:val="333399"/>
          <w:sz w:val="23"/>
          <w:szCs w:val="23"/>
        </w:rPr>
        <w:t xml:space="preserve"> method </w:t>
      </w:r>
      <w:r>
        <w:rPr>
          <w:color w:val="333399"/>
          <w:sz w:val="23"/>
          <w:szCs w:val="23"/>
        </w:rPr>
        <w:t>of</w:t>
      </w:r>
      <w:r w:rsidRPr="003707E2">
        <w:rPr>
          <w:color w:val="333399"/>
          <w:sz w:val="23"/>
          <w:szCs w:val="23"/>
        </w:rPr>
        <w:t xml:space="preserve"> collecting </w:t>
      </w:r>
      <w:r w:rsidR="00040B30">
        <w:rPr>
          <w:color w:val="333399"/>
          <w:sz w:val="23"/>
          <w:szCs w:val="23"/>
        </w:rPr>
        <w:t xml:space="preserve">and submitting </w:t>
      </w:r>
      <w:r w:rsidRPr="003707E2">
        <w:rPr>
          <w:color w:val="333399"/>
          <w:sz w:val="23"/>
          <w:szCs w:val="23"/>
        </w:rPr>
        <w:t xml:space="preserve">pertinent information </w:t>
      </w:r>
      <w:r>
        <w:rPr>
          <w:color w:val="333399"/>
          <w:sz w:val="23"/>
          <w:szCs w:val="23"/>
        </w:rPr>
        <w:t>to enable the lender to</w:t>
      </w:r>
      <w:r w:rsidRPr="003707E2">
        <w:rPr>
          <w:color w:val="333399"/>
          <w:sz w:val="23"/>
          <w:szCs w:val="23"/>
        </w:rPr>
        <w:t xml:space="preserve"> prepar</w:t>
      </w:r>
      <w:r>
        <w:rPr>
          <w:color w:val="333399"/>
          <w:sz w:val="23"/>
          <w:szCs w:val="23"/>
        </w:rPr>
        <w:t>e</w:t>
      </w:r>
      <w:r w:rsidRPr="003707E2">
        <w:rPr>
          <w:color w:val="333399"/>
          <w:sz w:val="23"/>
          <w:szCs w:val="23"/>
        </w:rPr>
        <w:t xml:space="preserve"> and submit </w:t>
      </w:r>
      <w:r>
        <w:rPr>
          <w:color w:val="333399"/>
          <w:sz w:val="23"/>
          <w:szCs w:val="23"/>
        </w:rPr>
        <w:t>the applicable</w:t>
      </w:r>
      <w:r w:rsidRPr="003707E2">
        <w:rPr>
          <w:color w:val="333399"/>
          <w:sz w:val="23"/>
          <w:szCs w:val="23"/>
        </w:rPr>
        <w:t xml:space="preserve"> </w:t>
      </w:r>
      <w:r>
        <w:rPr>
          <w:color w:val="333399"/>
          <w:sz w:val="23"/>
          <w:szCs w:val="23"/>
        </w:rPr>
        <w:t xml:space="preserve">reports.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Avoidance of Duplication</w:t>
      </w:r>
    </w:p>
    <w:p w:rsidR="00AC593C" w:rsidRPr="003707E2" w:rsidRDefault="00AC593C" w:rsidP="00AC593C">
      <w:pPr>
        <w:rPr>
          <w:color w:val="333399"/>
        </w:rPr>
      </w:pPr>
      <w:r w:rsidRPr="003707E2">
        <w:rPr>
          <w:i/>
          <w:color w:val="333399"/>
        </w:rPr>
        <w:t>Describe efforts to identify duplication.  Show specifically why any similar information already available cannot be used or modified for use for the purposes described in item 2 above</w:t>
      </w:r>
      <w:r w:rsidRPr="003707E2">
        <w:rPr>
          <w:color w:val="333399"/>
        </w:rPr>
        <w:t>.</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 </w:t>
      </w:r>
      <w:r>
        <w:rPr>
          <w:color w:val="333399"/>
          <w:sz w:val="23"/>
          <w:szCs w:val="23"/>
        </w:rPr>
        <w:t xml:space="preserve">Reporting is </w:t>
      </w:r>
      <w:r w:rsidRPr="003707E2">
        <w:rPr>
          <w:color w:val="333399"/>
          <w:sz w:val="23"/>
          <w:szCs w:val="23"/>
        </w:rPr>
        <w:t xml:space="preserve">required to oversee and monitor the SBA performance and compliance of the SBA Lenders, Microloan Intermediaries, and NTAPs and facilitate corrective action.  Currently, there is no </w:t>
      </w:r>
      <w:r w:rsidR="001A691A" w:rsidRPr="003707E2">
        <w:rPr>
          <w:color w:val="333399"/>
          <w:sz w:val="23"/>
          <w:szCs w:val="23"/>
        </w:rPr>
        <w:t xml:space="preserve">similar </w:t>
      </w:r>
      <w:r w:rsidR="001A691A">
        <w:rPr>
          <w:color w:val="333399"/>
          <w:sz w:val="23"/>
          <w:szCs w:val="23"/>
        </w:rPr>
        <w:t>information</w:t>
      </w:r>
      <w:r w:rsidRPr="003707E2">
        <w:rPr>
          <w:color w:val="333399"/>
          <w:sz w:val="23"/>
          <w:szCs w:val="23"/>
        </w:rPr>
        <w:t xml:space="preserve"> </w:t>
      </w:r>
      <w:r w:rsidR="001952FB">
        <w:rPr>
          <w:color w:val="333399"/>
          <w:sz w:val="23"/>
          <w:szCs w:val="23"/>
        </w:rPr>
        <w:t xml:space="preserve">available </w:t>
      </w:r>
      <w:r w:rsidR="001A691A">
        <w:rPr>
          <w:color w:val="333399"/>
          <w:sz w:val="23"/>
          <w:szCs w:val="23"/>
        </w:rPr>
        <w:t xml:space="preserve">that </w:t>
      </w:r>
      <w:r w:rsidR="001A691A" w:rsidRPr="003707E2">
        <w:rPr>
          <w:color w:val="333399"/>
          <w:sz w:val="23"/>
          <w:szCs w:val="23"/>
        </w:rPr>
        <w:t>can</w:t>
      </w:r>
      <w:r w:rsidRPr="003707E2">
        <w:rPr>
          <w:color w:val="333399"/>
          <w:sz w:val="23"/>
          <w:szCs w:val="23"/>
        </w:rPr>
        <w:t xml:space="preserve"> be used for this purpose.  </w:t>
      </w:r>
      <w:r w:rsidR="001952FB">
        <w:rPr>
          <w:color w:val="333399"/>
          <w:sz w:val="23"/>
          <w:szCs w:val="23"/>
        </w:rPr>
        <w:t>In any event, s</w:t>
      </w:r>
      <w:r w:rsidR="00FA21FC">
        <w:rPr>
          <w:color w:val="333399"/>
          <w:sz w:val="23"/>
          <w:szCs w:val="23"/>
        </w:rPr>
        <w:t>ince each assessment or corrective action relate</w:t>
      </w:r>
      <w:r w:rsidR="001952FB">
        <w:rPr>
          <w:color w:val="333399"/>
          <w:sz w:val="23"/>
          <w:szCs w:val="23"/>
        </w:rPr>
        <w:t>s</w:t>
      </w:r>
      <w:r w:rsidR="00FA21FC">
        <w:rPr>
          <w:color w:val="333399"/>
          <w:sz w:val="23"/>
          <w:szCs w:val="23"/>
        </w:rPr>
        <w:t xml:space="preserve"> to a specific review, existing information </w:t>
      </w:r>
      <w:r w:rsidR="00605222">
        <w:rPr>
          <w:color w:val="333399"/>
          <w:sz w:val="23"/>
          <w:szCs w:val="23"/>
        </w:rPr>
        <w:t>would not</w:t>
      </w:r>
      <w:r w:rsidR="00FA21FC">
        <w:rPr>
          <w:color w:val="333399"/>
          <w:sz w:val="23"/>
          <w:szCs w:val="23"/>
        </w:rPr>
        <w:t xml:space="preserve"> provide meaningful data for SBA to carry out its oversight responsibility.</w:t>
      </w:r>
      <w:r>
        <w:rPr>
          <w:color w:val="333399"/>
          <w:sz w:val="23"/>
          <w:szCs w:val="23"/>
        </w:rPr>
        <w:t xml:space="preserve"> </w:t>
      </w:r>
      <w:r w:rsidR="00763E64">
        <w:rPr>
          <w:color w:val="333399"/>
          <w:sz w:val="23"/>
          <w:szCs w:val="23"/>
        </w:rPr>
        <w:t>Furthermore, only</w:t>
      </w:r>
      <w:r>
        <w:rPr>
          <w:color w:val="333399"/>
          <w:sz w:val="23"/>
          <w:szCs w:val="23"/>
        </w:rPr>
        <w:t xml:space="preserve"> SBA Lenders can provide SBA with that lender’s updated policies and procedures</w:t>
      </w:r>
      <w:r w:rsidR="00752DC6">
        <w:rPr>
          <w:color w:val="333399"/>
          <w:sz w:val="23"/>
          <w:szCs w:val="23"/>
        </w:rPr>
        <w:t xml:space="preserve">, </w:t>
      </w:r>
      <w:r>
        <w:rPr>
          <w:color w:val="333399"/>
          <w:sz w:val="23"/>
          <w:szCs w:val="23"/>
        </w:rPr>
        <w:t>its loan payment history for reconciling with SBA’s records</w:t>
      </w:r>
      <w:r w:rsidR="00752DC6">
        <w:rPr>
          <w:color w:val="333399"/>
          <w:sz w:val="23"/>
          <w:szCs w:val="23"/>
        </w:rPr>
        <w:t>, its loan files, or escrow account statements</w:t>
      </w:r>
      <w:r>
        <w:rPr>
          <w:color w:val="333399"/>
          <w:sz w:val="23"/>
          <w:szCs w:val="23"/>
        </w:rPr>
        <w:t xml:space="preserve">.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color w:val="333399"/>
          <w:sz w:val="23"/>
          <w:szCs w:val="23"/>
        </w:rPr>
        <w:t>I</w:t>
      </w:r>
      <w:r w:rsidRPr="003707E2">
        <w:rPr>
          <w:b/>
          <w:color w:val="333399"/>
          <w:sz w:val="23"/>
          <w:szCs w:val="23"/>
        </w:rPr>
        <w:t>mpact on Small Businesses or Other Small Entities</w:t>
      </w:r>
    </w:p>
    <w:p w:rsidR="00AC593C" w:rsidRPr="003707E2" w:rsidRDefault="00AC593C" w:rsidP="00AC593C">
      <w:pPr>
        <w:rPr>
          <w:i/>
          <w:color w:val="333399"/>
        </w:rPr>
      </w:pPr>
      <w:r w:rsidRPr="003707E2">
        <w:rPr>
          <w:i/>
          <w:color w:val="333399"/>
        </w:rPr>
        <w:t>If the collection of information impacts small businesses or other small entities (Item 5 of OMB Form 83-I), describe any methods used to minimize burden.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Although some of these SBA Lenders, Microloan Intermediaries, and NTAPs may be small under SBA size regulations, this collection of information will not have a significant economic impact on a substantial number of these entities</w:t>
      </w:r>
      <w:r w:rsidR="00DE7C8E">
        <w:rPr>
          <w:color w:val="333399"/>
          <w:sz w:val="23"/>
          <w:szCs w:val="23"/>
        </w:rPr>
        <w:t xml:space="preserve"> since the lenders generally maintain the information in their normal course of bu</w:t>
      </w:r>
      <w:r w:rsidR="001715C6">
        <w:rPr>
          <w:color w:val="333399"/>
          <w:sz w:val="23"/>
          <w:szCs w:val="23"/>
        </w:rPr>
        <w:t>sine</w:t>
      </w:r>
      <w:r w:rsidR="00DE7C8E">
        <w:rPr>
          <w:color w:val="333399"/>
          <w:sz w:val="23"/>
          <w:szCs w:val="23"/>
        </w:rPr>
        <w:t>ss.</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Consequences if Information is Not Collected</w:t>
      </w:r>
    </w:p>
    <w:p w:rsidR="00AC593C" w:rsidRPr="003707E2" w:rsidRDefault="00AC593C" w:rsidP="00AC593C">
      <w:pPr>
        <w:rPr>
          <w:i/>
          <w:color w:val="333399"/>
        </w:rPr>
      </w:pPr>
      <w:r w:rsidRPr="003707E2">
        <w:rPr>
          <w:i/>
          <w:color w:val="333399"/>
        </w:rPr>
        <w:t>Describe the consequence to the Federal program or policy activities if the collection is not conducted or is conducted less frequently, as well as any technical or legal obstacles to reducing burden.</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Failure to collect and review this information would increase the risk of losses and have an adverse impact on the costs of operating the SBA guaranteed financial assistance programs. Less frequent collection of this information would subject the Agency to greater ambiguity and lessen</w:t>
      </w:r>
      <w:r w:rsidR="00604A7A">
        <w:rPr>
          <w:color w:val="333399"/>
          <w:sz w:val="23"/>
          <w:szCs w:val="23"/>
        </w:rPr>
        <w:t xml:space="preserve"> its</w:t>
      </w:r>
      <w:r w:rsidRPr="003707E2">
        <w:rPr>
          <w:color w:val="333399"/>
          <w:sz w:val="23"/>
          <w:szCs w:val="23"/>
        </w:rPr>
        <w:t xml:space="preserve"> understanding of the true operating conduct of the regulated entities, which would also increase the risk of program losses.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Existence of Special Circumstances</w:t>
      </w:r>
    </w:p>
    <w:p w:rsidR="00AC593C" w:rsidRPr="003707E2" w:rsidRDefault="00AC593C" w:rsidP="00AC593C">
      <w:pPr>
        <w:rPr>
          <w:b/>
          <w:color w:val="333399"/>
        </w:rPr>
      </w:pPr>
      <w:r w:rsidRPr="003707E2">
        <w:rPr>
          <w:i/>
          <w:color w:val="333399"/>
        </w:rPr>
        <w:t>Explain any special circumstances that would cause an information collection to be conducted in a manner, etc.</w:t>
      </w:r>
      <w:r w:rsidRPr="003707E2">
        <w:rPr>
          <w:b/>
          <w:color w:val="333399"/>
        </w:rPr>
        <w:t xml:space="preserve"> </w:t>
      </w:r>
    </w:p>
    <w:p w:rsidR="00AC593C" w:rsidRPr="003707E2" w:rsidRDefault="00AC593C" w:rsidP="00AC593C">
      <w:pPr>
        <w:tabs>
          <w:tab w:val="left" w:pos="360"/>
        </w:tabs>
        <w:rPr>
          <w:color w:val="333399"/>
          <w:sz w:val="23"/>
          <w:szCs w:val="23"/>
        </w:rPr>
      </w:pPr>
      <w:r w:rsidRPr="003707E2">
        <w:rPr>
          <w:color w:val="333399"/>
          <w:sz w:val="23"/>
          <w:szCs w:val="23"/>
        </w:rPr>
        <w:lastRenderedPageBreak/>
        <w:tab/>
      </w:r>
      <w:r w:rsidRPr="003707E2">
        <w:rPr>
          <w:color w:val="333399"/>
          <w:sz w:val="23"/>
          <w:szCs w:val="23"/>
        </w:rPr>
        <w:tab/>
        <w:t>No special circumstances exist; however, if it is determined that a lender is operating in a state of financial distress</w:t>
      </w:r>
      <w:r>
        <w:rPr>
          <w:color w:val="333399"/>
          <w:sz w:val="23"/>
          <w:szCs w:val="23"/>
        </w:rPr>
        <w:t xml:space="preserve"> or a lender’s risk levels are concerning</w:t>
      </w:r>
      <w:r w:rsidRPr="003707E2">
        <w:rPr>
          <w:color w:val="333399"/>
          <w:sz w:val="23"/>
          <w:szCs w:val="23"/>
        </w:rPr>
        <w:t xml:space="preserve">, SBA may require more frequent reporting.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Solicitation of Public Comment</w:t>
      </w:r>
    </w:p>
    <w:p w:rsidR="00AC593C" w:rsidRPr="003707E2" w:rsidRDefault="00AC593C" w:rsidP="00AC593C">
      <w:pPr>
        <w:rPr>
          <w:i/>
          <w:color w:val="333399"/>
        </w:rPr>
      </w:pPr>
      <w:r w:rsidRPr="003707E2">
        <w:rPr>
          <w:i/>
          <w:color w:val="333399"/>
        </w:rPr>
        <w:t>If applicable, provide a copy and identify the date and page number of publication in the Federal Register of the agency's notice, required by 5 CFR 1320.8(d)… Summarize public comments received...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593C" w:rsidRPr="003707E2" w:rsidRDefault="00AC593C" w:rsidP="00AC593C">
      <w:pPr>
        <w:tabs>
          <w:tab w:val="left" w:pos="360"/>
        </w:tabs>
        <w:rPr>
          <w:b/>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Notice of this information collection with request for public comment was published in the Federal Register</w:t>
      </w:r>
      <w:r w:rsidR="00445395">
        <w:rPr>
          <w:color w:val="333399"/>
          <w:sz w:val="23"/>
          <w:szCs w:val="23"/>
        </w:rPr>
        <w:t xml:space="preserve">, </w:t>
      </w:r>
      <w:r w:rsidR="00220D91">
        <w:rPr>
          <w:color w:val="333399"/>
          <w:sz w:val="23"/>
          <w:szCs w:val="23"/>
        </w:rPr>
        <w:t xml:space="preserve">at </w:t>
      </w:r>
      <w:r w:rsidR="00D76429">
        <w:rPr>
          <w:color w:val="333399"/>
          <w:sz w:val="23"/>
          <w:szCs w:val="23"/>
        </w:rPr>
        <w:t>80</w:t>
      </w:r>
      <w:r w:rsidR="00220D91">
        <w:rPr>
          <w:color w:val="333399"/>
          <w:sz w:val="23"/>
          <w:szCs w:val="23"/>
        </w:rPr>
        <w:t xml:space="preserve"> FR </w:t>
      </w:r>
      <w:r w:rsidR="00D76429">
        <w:rPr>
          <w:color w:val="333399"/>
          <w:sz w:val="23"/>
          <w:szCs w:val="23"/>
        </w:rPr>
        <w:t>14430</w:t>
      </w:r>
      <w:r w:rsidR="00445395">
        <w:rPr>
          <w:color w:val="333399"/>
          <w:sz w:val="23"/>
          <w:szCs w:val="23"/>
        </w:rPr>
        <w:t>,</w:t>
      </w:r>
      <w:r w:rsidRPr="003707E2">
        <w:rPr>
          <w:color w:val="333399"/>
          <w:sz w:val="23"/>
          <w:szCs w:val="23"/>
        </w:rPr>
        <w:t xml:space="preserve"> on</w:t>
      </w:r>
      <w:r w:rsidR="00D76429">
        <w:rPr>
          <w:color w:val="333399"/>
          <w:sz w:val="23"/>
          <w:szCs w:val="23"/>
        </w:rPr>
        <w:t xml:space="preserve"> March 19, 2015</w:t>
      </w:r>
      <w:r w:rsidR="00827A1A">
        <w:rPr>
          <w:color w:val="333399"/>
          <w:sz w:val="23"/>
          <w:szCs w:val="23"/>
        </w:rPr>
        <w:t xml:space="preserve">.  </w:t>
      </w:r>
      <w:r w:rsidRPr="003707E2">
        <w:rPr>
          <w:color w:val="333399"/>
          <w:sz w:val="23"/>
          <w:szCs w:val="23"/>
        </w:rPr>
        <w:t>The comment period ended on</w:t>
      </w:r>
      <w:r w:rsidR="00D76429">
        <w:rPr>
          <w:color w:val="333399"/>
          <w:sz w:val="23"/>
          <w:szCs w:val="23"/>
        </w:rPr>
        <w:t xml:space="preserve"> May 18, 2015</w:t>
      </w:r>
      <w:r w:rsidRPr="003707E2">
        <w:rPr>
          <w:color w:val="333399"/>
          <w:sz w:val="23"/>
          <w:szCs w:val="23"/>
        </w:rPr>
        <w:t xml:space="preserve">. </w:t>
      </w:r>
      <w:r w:rsidR="00D76429">
        <w:rPr>
          <w:color w:val="333399"/>
          <w:sz w:val="23"/>
          <w:szCs w:val="23"/>
        </w:rPr>
        <w:t xml:space="preserve"> </w:t>
      </w:r>
      <w:r w:rsidR="00445395">
        <w:rPr>
          <w:color w:val="333399"/>
          <w:sz w:val="23"/>
          <w:szCs w:val="23"/>
        </w:rPr>
        <w:t>No comments were received.</w:t>
      </w:r>
      <w:r w:rsidRPr="003707E2">
        <w:rPr>
          <w:color w:val="333399"/>
          <w:sz w:val="23"/>
          <w:szCs w:val="23"/>
        </w:rPr>
        <w:t xml:space="preserve">  </w:t>
      </w:r>
    </w:p>
    <w:p w:rsidR="00AC593C" w:rsidRPr="003707E2" w:rsidRDefault="00AC593C" w:rsidP="00605222">
      <w:pPr>
        <w:tabs>
          <w:tab w:val="left" w:pos="360"/>
        </w:tabs>
        <w:rPr>
          <w:color w:val="333399"/>
          <w:sz w:val="23"/>
          <w:szCs w:val="23"/>
        </w:rPr>
      </w:pPr>
      <w:r w:rsidRPr="003707E2">
        <w:rPr>
          <w:color w:val="333399"/>
          <w:sz w:val="23"/>
          <w:szCs w:val="23"/>
        </w:rPr>
        <w:tab/>
      </w:r>
      <w:r w:rsidRPr="003707E2">
        <w:rPr>
          <w:color w:val="333399"/>
          <w:sz w:val="23"/>
          <w:szCs w:val="23"/>
        </w:rPr>
        <w:tab/>
        <w:t xml:space="preserve"> </w:t>
      </w: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Payments of Gifts</w:t>
      </w:r>
    </w:p>
    <w:p w:rsidR="00AC593C" w:rsidRPr="003707E2" w:rsidRDefault="00AC593C" w:rsidP="00AC593C">
      <w:pPr>
        <w:rPr>
          <w:i/>
          <w:color w:val="333399"/>
        </w:rPr>
      </w:pPr>
      <w:r w:rsidRPr="003707E2">
        <w:rPr>
          <w:i/>
          <w:color w:val="333399"/>
        </w:rPr>
        <w:t>Explain any decision to provide any payment or gift to respondents, other than remuneration of contractors or grantees.</w:t>
      </w:r>
    </w:p>
    <w:p w:rsidR="00AC593C" w:rsidRPr="003707E2" w:rsidRDefault="00AC593C" w:rsidP="00AC593C">
      <w:pPr>
        <w:tabs>
          <w:tab w:val="left" w:pos="360"/>
        </w:tabs>
        <w:rPr>
          <w:b/>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 payment or gift will be provided to respondents.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color w:val="333399"/>
          <w:sz w:val="23"/>
          <w:szCs w:val="23"/>
        </w:rPr>
      </w:pPr>
      <w:r w:rsidRPr="003707E2">
        <w:rPr>
          <w:b/>
          <w:color w:val="333399"/>
          <w:sz w:val="23"/>
          <w:szCs w:val="23"/>
        </w:rPr>
        <w:t>Assurance of Confidentiality</w:t>
      </w:r>
    </w:p>
    <w:p w:rsidR="00AC593C" w:rsidRPr="003707E2" w:rsidRDefault="00AC593C" w:rsidP="00AC593C">
      <w:pPr>
        <w:tabs>
          <w:tab w:val="left" w:pos="360"/>
        </w:tabs>
        <w:rPr>
          <w:color w:val="333399"/>
          <w:sz w:val="23"/>
          <w:szCs w:val="23"/>
        </w:rPr>
      </w:pPr>
      <w:r w:rsidRPr="003707E2">
        <w:rPr>
          <w:i/>
          <w:color w:val="333399"/>
        </w:rPr>
        <w:t xml:space="preserve"> Describe any assurance of confidentiality provided to respondents and the basis for the assurance in statute, regulation, or agency policy</w:t>
      </w:r>
    </w:p>
    <w:p w:rsidR="00AC593C" w:rsidRPr="003707E2" w:rsidRDefault="00AC593C" w:rsidP="00AC593C">
      <w:pPr>
        <w:spacing w:before="240" w:after="240"/>
        <w:ind w:firstLine="720"/>
        <w:rPr>
          <w:color w:val="333399"/>
          <w:sz w:val="23"/>
          <w:szCs w:val="23"/>
        </w:rPr>
      </w:pPr>
      <w:r w:rsidRPr="003707E2">
        <w:rPr>
          <w:color w:val="333399"/>
          <w:sz w:val="23"/>
          <w:szCs w:val="23"/>
        </w:rPr>
        <w:t>The information collected will be protected to the extent permitted by law, including the Freedom of Information Act, 5 U.S.C. 552.</w:t>
      </w: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Questions of a Sensitive Nature</w:t>
      </w:r>
    </w:p>
    <w:p w:rsidR="00AC593C" w:rsidRPr="003707E2" w:rsidRDefault="00AC593C" w:rsidP="00AC593C">
      <w:pPr>
        <w:rPr>
          <w:i/>
          <w:color w:val="333399"/>
        </w:rPr>
      </w:pPr>
      <w:r w:rsidRPr="003707E2">
        <w:rPr>
          <w:i/>
          <w:color w:val="33339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 personal financial information or information of </w:t>
      </w:r>
      <w:r w:rsidR="006161EB">
        <w:rPr>
          <w:color w:val="333399"/>
          <w:sz w:val="23"/>
          <w:szCs w:val="23"/>
        </w:rPr>
        <w:t xml:space="preserve">such </w:t>
      </w:r>
      <w:r w:rsidRPr="003707E2">
        <w:rPr>
          <w:color w:val="333399"/>
          <w:sz w:val="23"/>
          <w:szCs w:val="23"/>
        </w:rPr>
        <w:t xml:space="preserve">a sensitive nature is required.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 of Hourly Burden of the Collection of Information</w:t>
      </w:r>
    </w:p>
    <w:p w:rsidR="00AC593C" w:rsidRPr="003707E2" w:rsidRDefault="00AC593C" w:rsidP="00AC593C">
      <w:pPr>
        <w:rPr>
          <w:i/>
          <w:color w:val="333399"/>
        </w:rPr>
      </w:pPr>
      <w:r w:rsidRPr="003707E2">
        <w:rPr>
          <w:i/>
          <w:color w:val="333399"/>
        </w:rPr>
        <w:t xml:space="preserve">Provide estimates of the hour burden of the collection of information, as well as the hour cost burden.  Indicate the number of respondents, frequency of response, annual hour and cost burden, and an explanation of how the burden was estimated. </w:t>
      </w:r>
    </w:p>
    <w:p w:rsidR="00AC593C" w:rsidRDefault="00AC593C" w:rsidP="00AC593C">
      <w:pPr>
        <w:tabs>
          <w:tab w:val="left" w:pos="360"/>
        </w:tabs>
        <w:rPr>
          <w:color w:val="333399"/>
          <w:sz w:val="23"/>
          <w:szCs w:val="23"/>
        </w:rPr>
      </w:pPr>
    </w:p>
    <w:p w:rsidR="00D9353A" w:rsidRDefault="00BE3B47" w:rsidP="00AC593C">
      <w:pPr>
        <w:tabs>
          <w:tab w:val="left" w:pos="360"/>
        </w:tabs>
        <w:rPr>
          <w:color w:val="333399"/>
          <w:sz w:val="23"/>
          <w:szCs w:val="23"/>
        </w:rPr>
      </w:pPr>
      <w:r>
        <w:rPr>
          <w:color w:val="333399"/>
          <w:sz w:val="23"/>
          <w:szCs w:val="23"/>
        </w:rPr>
        <w:tab/>
      </w:r>
      <w:r>
        <w:rPr>
          <w:color w:val="333399"/>
          <w:sz w:val="23"/>
          <w:szCs w:val="23"/>
        </w:rPr>
        <w:tab/>
      </w:r>
      <w:r w:rsidR="00BC4115">
        <w:rPr>
          <w:color w:val="333399"/>
          <w:sz w:val="23"/>
          <w:szCs w:val="23"/>
        </w:rPr>
        <w:t xml:space="preserve"> SBA </w:t>
      </w:r>
      <w:r w:rsidR="00D76429">
        <w:rPr>
          <w:color w:val="333399"/>
          <w:sz w:val="23"/>
          <w:szCs w:val="23"/>
        </w:rPr>
        <w:t>estimates</w:t>
      </w:r>
      <w:r w:rsidR="00B0121C">
        <w:rPr>
          <w:color w:val="333399"/>
          <w:sz w:val="23"/>
          <w:szCs w:val="23"/>
        </w:rPr>
        <w:t xml:space="preserve"> that this information</w:t>
      </w:r>
      <w:r w:rsidR="00D37A67">
        <w:rPr>
          <w:color w:val="333399"/>
          <w:sz w:val="23"/>
          <w:szCs w:val="23"/>
        </w:rPr>
        <w:t xml:space="preserve"> collection will apply to </w:t>
      </w:r>
      <w:r w:rsidR="00CF28DE">
        <w:rPr>
          <w:color w:val="333399"/>
          <w:sz w:val="23"/>
          <w:szCs w:val="23"/>
        </w:rPr>
        <w:t>1,739</w:t>
      </w:r>
      <w:r w:rsidR="00B0121C">
        <w:rPr>
          <w:color w:val="333399"/>
          <w:sz w:val="23"/>
          <w:szCs w:val="23"/>
        </w:rPr>
        <w:t xml:space="preserve"> respondents</w:t>
      </w:r>
      <w:r w:rsidR="00F23C52">
        <w:rPr>
          <w:color w:val="333399"/>
          <w:sz w:val="23"/>
          <w:szCs w:val="23"/>
        </w:rPr>
        <w:t xml:space="preserve"> </w:t>
      </w:r>
      <w:r w:rsidR="00BC4115">
        <w:rPr>
          <w:color w:val="333399"/>
          <w:sz w:val="23"/>
          <w:szCs w:val="23"/>
        </w:rPr>
        <w:t>(lenders) that will collec</w:t>
      </w:r>
      <w:r w:rsidR="00721BDE">
        <w:rPr>
          <w:color w:val="333399"/>
          <w:sz w:val="23"/>
          <w:szCs w:val="23"/>
        </w:rPr>
        <w:t>tively submit an estimated 2,284</w:t>
      </w:r>
      <w:r w:rsidR="00BC4115">
        <w:rPr>
          <w:color w:val="333399"/>
          <w:sz w:val="23"/>
          <w:szCs w:val="23"/>
        </w:rPr>
        <w:t xml:space="preserve"> responses (reports and plans)</w:t>
      </w:r>
      <w:r w:rsidR="00B0121C">
        <w:rPr>
          <w:color w:val="333399"/>
          <w:sz w:val="23"/>
          <w:szCs w:val="23"/>
        </w:rPr>
        <w:t>.</w:t>
      </w:r>
      <w:r w:rsidR="00457E8D">
        <w:rPr>
          <w:color w:val="333399"/>
          <w:sz w:val="23"/>
          <w:szCs w:val="23"/>
        </w:rPr>
        <w:t xml:space="preserve">  The chart below sets forth </w:t>
      </w:r>
      <w:r w:rsidR="00BC4115">
        <w:rPr>
          <w:color w:val="333399"/>
          <w:sz w:val="23"/>
          <w:szCs w:val="23"/>
        </w:rPr>
        <w:t xml:space="preserve">the </w:t>
      </w:r>
      <w:r w:rsidR="00457E8D">
        <w:rPr>
          <w:color w:val="333399"/>
          <w:sz w:val="23"/>
          <w:szCs w:val="23"/>
        </w:rPr>
        <w:t>estimates for the hour</w:t>
      </w:r>
      <w:r w:rsidR="00615B22">
        <w:rPr>
          <w:color w:val="333399"/>
          <w:sz w:val="23"/>
          <w:szCs w:val="23"/>
        </w:rPr>
        <w:t xml:space="preserve"> and cost </w:t>
      </w:r>
      <w:r w:rsidR="00457E8D">
        <w:rPr>
          <w:color w:val="333399"/>
          <w:sz w:val="23"/>
          <w:szCs w:val="23"/>
        </w:rPr>
        <w:t>burden</w:t>
      </w:r>
      <w:r w:rsidR="00615B22">
        <w:rPr>
          <w:color w:val="333399"/>
          <w:sz w:val="23"/>
          <w:szCs w:val="23"/>
        </w:rPr>
        <w:t>s</w:t>
      </w:r>
      <w:r w:rsidR="00457E8D">
        <w:rPr>
          <w:color w:val="333399"/>
          <w:sz w:val="23"/>
          <w:szCs w:val="23"/>
        </w:rPr>
        <w:t xml:space="preserve"> of the information collection by the review categories</w:t>
      </w:r>
      <w:r w:rsidR="00615B22">
        <w:rPr>
          <w:color w:val="333399"/>
          <w:sz w:val="23"/>
          <w:szCs w:val="23"/>
        </w:rPr>
        <w:t xml:space="preserve"> referenced in A</w:t>
      </w:r>
      <w:r w:rsidR="003E3585">
        <w:rPr>
          <w:color w:val="333399"/>
          <w:sz w:val="23"/>
          <w:szCs w:val="23"/>
        </w:rPr>
        <w:t>. 1</w:t>
      </w:r>
      <w:r w:rsidR="00615B22">
        <w:rPr>
          <w:color w:val="333399"/>
          <w:sz w:val="23"/>
          <w:szCs w:val="23"/>
        </w:rPr>
        <w:t xml:space="preserve"> above.</w:t>
      </w:r>
      <w:r w:rsidR="00BC4115">
        <w:rPr>
          <w:color w:val="333399"/>
          <w:sz w:val="23"/>
          <w:szCs w:val="23"/>
        </w:rPr>
        <w:t xml:space="preserve"> </w:t>
      </w:r>
      <w:r w:rsidR="00457E8D">
        <w:rPr>
          <w:color w:val="333399"/>
          <w:sz w:val="23"/>
          <w:szCs w:val="23"/>
        </w:rPr>
        <w:t xml:space="preserve">  </w:t>
      </w:r>
    </w:p>
    <w:p w:rsidR="00D707C5" w:rsidRDefault="00D707C5" w:rsidP="00AC593C">
      <w:pPr>
        <w:tabs>
          <w:tab w:val="left" w:pos="360"/>
        </w:tabs>
        <w:rPr>
          <w:color w:val="333399"/>
          <w:sz w:val="23"/>
          <w:szCs w:val="23"/>
        </w:rPr>
      </w:pPr>
    </w:p>
    <w:p w:rsidR="00BE3B47" w:rsidRDefault="004A6847">
      <w:pPr>
        <w:tabs>
          <w:tab w:val="left" w:pos="360"/>
        </w:tabs>
        <w:rPr>
          <w:color w:val="333399"/>
          <w:sz w:val="23"/>
          <w:szCs w:val="23"/>
        </w:rPr>
      </w:pPr>
      <w:r>
        <w:rPr>
          <w:color w:val="333399"/>
          <w:sz w:val="23"/>
          <w:szCs w:val="23"/>
        </w:rPr>
        <w:t xml:space="preserve"> </w:t>
      </w:r>
      <w:r w:rsidR="00731F95" w:rsidRPr="00731F95">
        <w:rPr>
          <w:noProof/>
        </w:rPr>
        <w:drawing>
          <wp:inline distT="0" distB="0" distL="0" distR="0" wp14:anchorId="00BC6FB3" wp14:editId="5815DCCC">
            <wp:extent cx="6634887" cy="41500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0806" cy="4147451"/>
                    </a:xfrm>
                    <a:prstGeom prst="rect">
                      <a:avLst/>
                    </a:prstGeom>
                    <a:noFill/>
                    <a:ln>
                      <a:noFill/>
                    </a:ln>
                  </pic:spPr>
                </pic:pic>
              </a:graphicData>
            </a:graphic>
          </wp:inline>
        </w:drawing>
      </w:r>
    </w:p>
    <w:p w:rsidR="00731F95" w:rsidRDefault="00731F95">
      <w:pPr>
        <w:tabs>
          <w:tab w:val="left" w:pos="360"/>
        </w:tabs>
        <w:rPr>
          <w:color w:val="333399"/>
          <w:sz w:val="23"/>
          <w:szCs w:val="23"/>
        </w:rPr>
      </w:pPr>
    </w:p>
    <w:p w:rsidR="00AC593C" w:rsidRDefault="00AC593C" w:rsidP="00AC593C">
      <w:pPr>
        <w:tabs>
          <w:tab w:val="left" w:pos="360"/>
        </w:tabs>
        <w:rPr>
          <w:color w:val="333399"/>
          <w:sz w:val="23"/>
          <w:szCs w:val="23"/>
        </w:rPr>
      </w:pPr>
      <w:r w:rsidRPr="003707E2">
        <w:rPr>
          <w:color w:val="333399"/>
          <w:sz w:val="23"/>
          <w:szCs w:val="23"/>
        </w:rPr>
        <w:tab/>
      </w:r>
      <w:r>
        <w:rPr>
          <w:color w:val="333399"/>
          <w:sz w:val="23"/>
          <w:szCs w:val="23"/>
        </w:rPr>
        <w:tab/>
      </w:r>
      <w:r w:rsidRPr="003707E2">
        <w:rPr>
          <w:color w:val="333399"/>
          <w:sz w:val="23"/>
          <w:szCs w:val="23"/>
        </w:rPr>
        <w:t xml:space="preserve">These estimates are based on </w:t>
      </w:r>
      <w:r w:rsidR="00283F7D">
        <w:rPr>
          <w:color w:val="333399"/>
          <w:sz w:val="23"/>
          <w:szCs w:val="23"/>
        </w:rPr>
        <w:t xml:space="preserve">discussions with the SBA contractors </w:t>
      </w:r>
      <w:r w:rsidR="004E4D38">
        <w:rPr>
          <w:color w:val="333399"/>
          <w:sz w:val="23"/>
          <w:szCs w:val="23"/>
        </w:rPr>
        <w:t xml:space="preserve">that assist SBA in </w:t>
      </w:r>
      <w:r w:rsidR="00283F7D">
        <w:rPr>
          <w:color w:val="333399"/>
          <w:sz w:val="23"/>
          <w:szCs w:val="23"/>
        </w:rPr>
        <w:t>conducting le</w:t>
      </w:r>
      <w:r w:rsidRPr="003707E2">
        <w:rPr>
          <w:color w:val="333399"/>
          <w:sz w:val="23"/>
          <w:szCs w:val="23"/>
        </w:rPr>
        <w:t>nder</w:t>
      </w:r>
      <w:r w:rsidR="00283F7D">
        <w:rPr>
          <w:color w:val="333399"/>
          <w:sz w:val="23"/>
          <w:szCs w:val="23"/>
        </w:rPr>
        <w:t xml:space="preserve"> reviews, and internal estimates</w:t>
      </w:r>
      <w:r w:rsidRPr="003707E2">
        <w:rPr>
          <w:color w:val="333399"/>
          <w:sz w:val="23"/>
          <w:szCs w:val="23"/>
        </w:rPr>
        <w:t xml:space="preserve"> by the Office of Credit Risk Management financial analysts. </w:t>
      </w:r>
      <w:r w:rsidR="008C5D9E">
        <w:rPr>
          <w:color w:val="333399"/>
          <w:sz w:val="23"/>
          <w:szCs w:val="23"/>
        </w:rPr>
        <w:t xml:space="preserve">One of the lessons learned from these discussions and internal evaluations is that </w:t>
      </w:r>
      <w:r w:rsidR="0052128E">
        <w:rPr>
          <w:color w:val="333399"/>
          <w:sz w:val="23"/>
          <w:szCs w:val="23"/>
        </w:rPr>
        <w:t xml:space="preserve">we are now </w:t>
      </w:r>
      <w:r w:rsidR="00D22326">
        <w:rPr>
          <w:color w:val="333399"/>
          <w:sz w:val="23"/>
          <w:szCs w:val="23"/>
        </w:rPr>
        <w:t xml:space="preserve">able to </w:t>
      </w:r>
      <w:r w:rsidR="007C052B">
        <w:rPr>
          <w:color w:val="333399"/>
          <w:sz w:val="23"/>
          <w:szCs w:val="23"/>
        </w:rPr>
        <w:t xml:space="preserve">rely on the experience with the oversight program to provide </w:t>
      </w:r>
      <w:r w:rsidR="00D22326">
        <w:rPr>
          <w:color w:val="333399"/>
          <w:sz w:val="23"/>
          <w:szCs w:val="23"/>
        </w:rPr>
        <w:t>more realistic burden estimates</w:t>
      </w:r>
      <w:r w:rsidR="007C052B">
        <w:rPr>
          <w:color w:val="333399"/>
          <w:sz w:val="23"/>
          <w:szCs w:val="23"/>
        </w:rPr>
        <w:t xml:space="preserve">. </w:t>
      </w:r>
      <w:r w:rsidR="00D22326">
        <w:rPr>
          <w:color w:val="333399"/>
          <w:sz w:val="23"/>
          <w:szCs w:val="23"/>
        </w:rPr>
        <w:t xml:space="preserve"> </w:t>
      </w:r>
      <w:r>
        <w:rPr>
          <w:color w:val="333399"/>
          <w:sz w:val="23"/>
          <w:szCs w:val="23"/>
        </w:rPr>
        <w:t>S</w:t>
      </w:r>
      <w:r w:rsidRPr="003707E2">
        <w:rPr>
          <w:color w:val="333399"/>
          <w:sz w:val="23"/>
          <w:szCs w:val="23"/>
        </w:rPr>
        <w:t xml:space="preserve">alary rates used were based on </w:t>
      </w:r>
      <w:r w:rsidR="00A36875">
        <w:rPr>
          <w:color w:val="333399"/>
          <w:sz w:val="23"/>
          <w:szCs w:val="23"/>
        </w:rPr>
        <w:t xml:space="preserve">the Bureau of Labor Statistics May 2014 National Occupational Employment and Wage Estimates, Financial Manager Mean Hourly Wage ($62.61) and Administrative Support Mean Hourly Wage ($17.08).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 of Total Annual Cost</w:t>
      </w:r>
    </w:p>
    <w:p w:rsidR="00AC593C" w:rsidRPr="003707E2" w:rsidRDefault="00AC593C" w:rsidP="00AC593C">
      <w:pPr>
        <w:tabs>
          <w:tab w:val="left" w:pos="360"/>
        </w:tabs>
        <w:rPr>
          <w:color w:val="333399"/>
          <w:sz w:val="23"/>
          <w:szCs w:val="23"/>
        </w:rPr>
      </w:pPr>
      <w:r w:rsidRPr="003707E2">
        <w:rPr>
          <w:i/>
          <w:color w:val="333399"/>
        </w:rPr>
        <w:t>Provide an estimate for the total annual cost burden to respondents or record keepers resulting from the collection of information. Do not include hour cost burden from above.</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Other than outlined above, there are no additional costs resulting from the collection of information.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Estimated Annualized Cost to the Federal Government</w:t>
      </w:r>
    </w:p>
    <w:p w:rsidR="00AC593C" w:rsidRPr="003707E2" w:rsidRDefault="00AC593C" w:rsidP="00AC593C">
      <w:pPr>
        <w:rPr>
          <w:color w:val="333399"/>
          <w:sz w:val="23"/>
          <w:szCs w:val="23"/>
        </w:rPr>
      </w:pPr>
      <w:r w:rsidRPr="003707E2">
        <w:rPr>
          <w:i/>
          <w:noProof/>
          <w:color w:val="333399"/>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AC593C" w:rsidRPr="003707E2" w:rsidRDefault="00AC593C" w:rsidP="00AC593C">
      <w:pPr>
        <w:rPr>
          <w:color w:val="333399"/>
          <w:sz w:val="23"/>
          <w:szCs w:val="23"/>
        </w:rPr>
      </w:pPr>
    </w:p>
    <w:p w:rsidR="00AC593C" w:rsidRDefault="00AC593C" w:rsidP="00AC593C">
      <w:pPr>
        <w:ind w:firstLine="720"/>
        <w:rPr>
          <w:color w:val="333399"/>
          <w:sz w:val="23"/>
          <w:szCs w:val="23"/>
        </w:rPr>
      </w:pPr>
      <w:r w:rsidRPr="003707E2">
        <w:rPr>
          <w:color w:val="333399"/>
          <w:sz w:val="23"/>
          <w:szCs w:val="23"/>
        </w:rPr>
        <w:lastRenderedPageBreak/>
        <w:t xml:space="preserve">SBA will not incur any significantly measurable direct costs for the lender oversight functions related to this information collection.  Any additional indirect costs to </w:t>
      </w:r>
      <w:r>
        <w:rPr>
          <w:color w:val="333399"/>
          <w:sz w:val="23"/>
          <w:szCs w:val="23"/>
        </w:rPr>
        <w:t xml:space="preserve">SBA </w:t>
      </w:r>
      <w:r w:rsidRPr="003707E2">
        <w:rPr>
          <w:color w:val="333399"/>
          <w:sz w:val="23"/>
          <w:szCs w:val="23"/>
        </w:rPr>
        <w:t xml:space="preserve">would be covered by the already-existing OCRM infra-structure.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Explanations of Program Changes in Items 13 or 14 on OMB 83-I</w:t>
      </w:r>
    </w:p>
    <w:p w:rsidR="00AC593C" w:rsidRPr="003707E2" w:rsidRDefault="00AC593C" w:rsidP="00AC593C">
      <w:pPr>
        <w:rPr>
          <w:i/>
          <w:noProof/>
          <w:color w:val="333399"/>
        </w:rPr>
      </w:pPr>
      <w:r w:rsidRPr="003707E2">
        <w:rPr>
          <w:i/>
          <w:noProof/>
          <w:color w:val="333399"/>
        </w:rPr>
        <w:t>Explain reasons for any program changes or adjustments reported in Items 13 or 14 of the OMB Form 83-I</w:t>
      </w:r>
    </w:p>
    <w:p w:rsidR="00AC593C" w:rsidRDefault="00AC593C" w:rsidP="00AC593C">
      <w:pPr>
        <w:tabs>
          <w:tab w:val="left" w:pos="360"/>
        </w:tabs>
        <w:rPr>
          <w:color w:val="333399"/>
          <w:sz w:val="23"/>
          <w:szCs w:val="23"/>
        </w:rPr>
      </w:pPr>
    </w:p>
    <w:p w:rsidR="00074F44" w:rsidRPr="003707E2" w:rsidRDefault="000043D4" w:rsidP="00074F44">
      <w:pPr>
        <w:tabs>
          <w:tab w:val="left" w:pos="0"/>
        </w:tabs>
        <w:ind w:firstLine="360"/>
        <w:rPr>
          <w:color w:val="333399"/>
          <w:sz w:val="23"/>
          <w:szCs w:val="23"/>
        </w:rPr>
      </w:pPr>
      <w:r>
        <w:rPr>
          <w:color w:val="333399"/>
          <w:sz w:val="23"/>
          <w:szCs w:val="23"/>
        </w:rPr>
        <w:t>T</w:t>
      </w:r>
      <w:r w:rsidRPr="00091071">
        <w:rPr>
          <w:color w:val="333399"/>
          <w:sz w:val="23"/>
          <w:szCs w:val="23"/>
        </w:rPr>
        <w:t xml:space="preserve">he total annual </w:t>
      </w:r>
      <w:r>
        <w:rPr>
          <w:color w:val="333399"/>
          <w:sz w:val="23"/>
          <w:szCs w:val="23"/>
        </w:rPr>
        <w:t xml:space="preserve">burden </w:t>
      </w:r>
      <w:r w:rsidRPr="00091071">
        <w:rPr>
          <w:color w:val="333399"/>
          <w:sz w:val="23"/>
          <w:szCs w:val="23"/>
        </w:rPr>
        <w:t xml:space="preserve">hours requested </w:t>
      </w:r>
      <w:r>
        <w:rPr>
          <w:color w:val="333399"/>
          <w:sz w:val="23"/>
          <w:szCs w:val="23"/>
        </w:rPr>
        <w:t xml:space="preserve">in this submission </w:t>
      </w:r>
      <w:r w:rsidRPr="00091071">
        <w:rPr>
          <w:color w:val="333399"/>
          <w:sz w:val="23"/>
          <w:szCs w:val="23"/>
        </w:rPr>
        <w:t>re</w:t>
      </w:r>
      <w:r w:rsidR="003B3F2C">
        <w:rPr>
          <w:color w:val="333399"/>
          <w:sz w:val="23"/>
          <w:szCs w:val="23"/>
        </w:rPr>
        <w:t xml:space="preserve">presents an increase over the </w:t>
      </w:r>
      <w:proofErr w:type="gramStart"/>
      <w:r>
        <w:rPr>
          <w:color w:val="333399"/>
          <w:sz w:val="23"/>
          <w:szCs w:val="23"/>
        </w:rPr>
        <w:t xml:space="preserve">current </w:t>
      </w:r>
      <w:r w:rsidRPr="00091071">
        <w:rPr>
          <w:color w:val="333399"/>
          <w:sz w:val="23"/>
          <w:szCs w:val="23"/>
        </w:rPr>
        <w:t xml:space="preserve"> OMB</w:t>
      </w:r>
      <w:proofErr w:type="gramEnd"/>
      <w:r>
        <w:rPr>
          <w:color w:val="333399"/>
          <w:sz w:val="23"/>
          <w:szCs w:val="23"/>
        </w:rPr>
        <w:t xml:space="preserve"> inventory. </w:t>
      </w:r>
      <w:r w:rsidR="00C45075">
        <w:rPr>
          <w:color w:val="333399"/>
          <w:sz w:val="23"/>
          <w:szCs w:val="23"/>
        </w:rPr>
        <w:t xml:space="preserve"> </w:t>
      </w:r>
      <w:r w:rsidR="00D22326">
        <w:rPr>
          <w:color w:val="333399"/>
          <w:sz w:val="23"/>
          <w:szCs w:val="23"/>
        </w:rPr>
        <w:t>Previous estimates were</w:t>
      </w:r>
      <w:r w:rsidR="003B3F2C">
        <w:rPr>
          <w:color w:val="333399"/>
          <w:sz w:val="23"/>
          <w:szCs w:val="23"/>
        </w:rPr>
        <w:t xml:space="preserve"> made during the early implementation of the reporting requirements described in number A.1 above.  Based on our experience with the oversight program, </w:t>
      </w:r>
      <w:r w:rsidR="00C45075">
        <w:rPr>
          <w:color w:val="333399"/>
          <w:sz w:val="23"/>
          <w:szCs w:val="23"/>
        </w:rPr>
        <w:t>and discussions with those involved with the process</w:t>
      </w:r>
      <w:r w:rsidR="009F3E4D">
        <w:rPr>
          <w:color w:val="333399"/>
          <w:sz w:val="23"/>
          <w:szCs w:val="23"/>
        </w:rPr>
        <w:t xml:space="preserve">, we </w:t>
      </w:r>
      <w:r w:rsidR="003B3F2C">
        <w:rPr>
          <w:color w:val="333399"/>
          <w:sz w:val="23"/>
          <w:szCs w:val="23"/>
        </w:rPr>
        <w:t xml:space="preserve">are </w:t>
      </w:r>
      <w:r w:rsidR="00E27C02">
        <w:rPr>
          <w:color w:val="333399"/>
          <w:sz w:val="23"/>
          <w:szCs w:val="23"/>
        </w:rPr>
        <w:t xml:space="preserve">able </w:t>
      </w:r>
      <w:r w:rsidR="003B3F2C">
        <w:rPr>
          <w:color w:val="333399"/>
          <w:sz w:val="23"/>
          <w:szCs w:val="23"/>
        </w:rPr>
        <w:t xml:space="preserve">to revise the burden to more accurately reflect time spent on preparing the reports. </w:t>
      </w:r>
      <w:r w:rsidR="00074F44" w:rsidRPr="00D44CF0">
        <w:rPr>
          <w:color w:val="333399"/>
          <w:sz w:val="23"/>
          <w:szCs w:val="23"/>
        </w:rPr>
        <w:t xml:space="preserve">SBA uses technological resources and electronic collection methods which greatly reduce the time required to assemble and package the information for delivery.  </w:t>
      </w:r>
      <w:r w:rsidR="00074F44">
        <w:rPr>
          <w:color w:val="333399"/>
          <w:sz w:val="23"/>
          <w:szCs w:val="23"/>
        </w:rPr>
        <w:t xml:space="preserve">      </w:t>
      </w:r>
      <w:r w:rsidR="00074F44" w:rsidRPr="003707E2">
        <w:rPr>
          <w:color w:val="333399"/>
          <w:sz w:val="23"/>
          <w:szCs w:val="23"/>
        </w:rPr>
        <w:t xml:space="preserve"> </w:t>
      </w:r>
    </w:p>
    <w:p w:rsidR="000043D4" w:rsidRDefault="000043D4"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Collection of Information whose Results will be Published</w:t>
      </w:r>
    </w:p>
    <w:p w:rsidR="00AC593C" w:rsidRPr="003707E2" w:rsidRDefault="00AC593C" w:rsidP="00AC593C">
      <w:pPr>
        <w:rPr>
          <w:i/>
          <w:noProof/>
          <w:color w:val="333399"/>
        </w:rPr>
      </w:pPr>
      <w:r w:rsidRPr="003707E2">
        <w:rPr>
          <w:i/>
          <w:noProof/>
          <w:color w:val="333399"/>
        </w:rPr>
        <w:t>For collection of information whose results will be published, outline plans for tabluation and publiaction. Address complex analytical techniques… Provide time schedules for the entire project…</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There are no plans to publish data from this collection of information, other than aggregated data as part of annual program reporting,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Expiration Date for Collection of this Date</w:t>
      </w:r>
    </w:p>
    <w:p w:rsidR="00AC593C" w:rsidRPr="003707E2" w:rsidRDefault="00AC593C" w:rsidP="00AC593C">
      <w:pPr>
        <w:rPr>
          <w:i/>
          <w:noProof/>
          <w:color w:val="333399"/>
        </w:rPr>
      </w:pPr>
      <w:r w:rsidRPr="003707E2">
        <w:rPr>
          <w:i/>
          <w:noProof/>
          <w:color w:val="333399"/>
        </w:rPr>
        <w:t>If seeking approval to not display the expiration date for OMB approval of the information collection, excplain the reasons why the display would be inappropriate.</w:t>
      </w:r>
    </w:p>
    <w:p w:rsidR="00AC593C" w:rsidRPr="003707E2" w:rsidRDefault="00AC593C" w:rsidP="00AC593C">
      <w:pPr>
        <w:tabs>
          <w:tab w:val="left" w:pos="360"/>
        </w:tabs>
        <w:rPr>
          <w:color w:val="333399"/>
          <w:sz w:val="23"/>
          <w:szCs w:val="23"/>
        </w:rPr>
      </w:pP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Not applicable, SBA has no plans to restrict display of an OMB approval date. </w:t>
      </w:r>
    </w:p>
    <w:p w:rsidR="00AC593C" w:rsidRPr="003707E2" w:rsidRDefault="00AC593C" w:rsidP="00AC593C">
      <w:pPr>
        <w:tabs>
          <w:tab w:val="left" w:pos="360"/>
        </w:tabs>
        <w:rPr>
          <w:color w:val="333399"/>
          <w:sz w:val="23"/>
          <w:szCs w:val="23"/>
        </w:rPr>
      </w:pPr>
    </w:p>
    <w:p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 xml:space="preserve">Exception to the Certification in Block 19 on OMB Form 83-I </w:t>
      </w:r>
    </w:p>
    <w:p w:rsidR="00AC593C" w:rsidRPr="003707E2" w:rsidRDefault="00AC593C" w:rsidP="00AC593C">
      <w:pPr>
        <w:rPr>
          <w:i/>
          <w:noProof/>
          <w:color w:val="333399"/>
        </w:rPr>
      </w:pPr>
      <w:r w:rsidRPr="003707E2">
        <w:rPr>
          <w:i/>
          <w:noProof/>
          <w:color w:val="333399"/>
        </w:rPr>
        <w:t>Explain each exception to the certification statement identiifed in Item 19, “Certfication for Paperwork Reduction Act Submission,” of OMB Form 83-I</w:t>
      </w:r>
    </w:p>
    <w:p w:rsidR="00AC593C" w:rsidRPr="003707E2" w:rsidRDefault="00AC593C" w:rsidP="00AC593C">
      <w:pPr>
        <w:rPr>
          <w:color w:val="333399"/>
          <w:sz w:val="23"/>
          <w:szCs w:val="23"/>
        </w:rPr>
      </w:pPr>
    </w:p>
    <w:p w:rsidR="00AC593C" w:rsidRPr="003707E2" w:rsidRDefault="00AC593C" w:rsidP="00AC593C">
      <w:pPr>
        <w:ind w:firstLine="720"/>
        <w:rPr>
          <w:i/>
          <w:noProof/>
          <w:color w:val="333399"/>
        </w:rPr>
      </w:pPr>
      <w:r w:rsidRPr="003707E2">
        <w:rPr>
          <w:color w:val="333399"/>
          <w:sz w:val="23"/>
          <w:szCs w:val="23"/>
        </w:rPr>
        <w:t>Not applicable.</w:t>
      </w:r>
    </w:p>
    <w:p w:rsidR="00AC593C" w:rsidRPr="003707E2" w:rsidRDefault="00AC593C" w:rsidP="00AC593C">
      <w:pPr>
        <w:tabs>
          <w:tab w:val="left" w:pos="360"/>
        </w:tabs>
        <w:rPr>
          <w:b/>
          <w:color w:val="333399"/>
          <w:sz w:val="23"/>
          <w:szCs w:val="23"/>
        </w:rPr>
      </w:pPr>
    </w:p>
    <w:p w:rsidR="00AC593C" w:rsidRPr="003707E2" w:rsidRDefault="00AC593C" w:rsidP="00AC593C">
      <w:pPr>
        <w:numPr>
          <w:ilvl w:val="0"/>
          <w:numId w:val="1"/>
        </w:numPr>
        <w:tabs>
          <w:tab w:val="clear" w:pos="720"/>
          <w:tab w:val="left" w:pos="0"/>
          <w:tab w:val="left" w:pos="360"/>
        </w:tabs>
        <w:ind w:left="0" w:firstLine="0"/>
        <w:rPr>
          <w:b/>
          <w:color w:val="333399"/>
          <w:sz w:val="23"/>
          <w:szCs w:val="23"/>
        </w:rPr>
      </w:pPr>
      <w:r w:rsidRPr="003707E2">
        <w:rPr>
          <w:b/>
          <w:color w:val="333399"/>
          <w:sz w:val="23"/>
          <w:szCs w:val="23"/>
        </w:rPr>
        <w:t>Collection of Information Employing Statistical Methods</w:t>
      </w:r>
    </w:p>
    <w:p w:rsidR="00AC593C" w:rsidRPr="003707E2" w:rsidRDefault="00AC593C" w:rsidP="00AC593C">
      <w:pPr>
        <w:rPr>
          <w:color w:val="333399"/>
        </w:rPr>
      </w:pPr>
      <w:r w:rsidRPr="003707E2">
        <w:rPr>
          <w:i/>
          <w:color w:val="333399"/>
        </w:rPr>
        <w:t xml:space="preserve">Describe (including a numerical estimate) the potential respondent universe and any sampling or other respondent selection method to be used. </w:t>
      </w:r>
    </w:p>
    <w:p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r>
    </w:p>
    <w:p w:rsidR="00FC2E03" w:rsidRDefault="00AC593C" w:rsidP="00776845">
      <w:pPr>
        <w:tabs>
          <w:tab w:val="left" w:pos="360"/>
        </w:tabs>
      </w:pPr>
      <w:r w:rsidRPr="003707E2">
        <w:rPr>
          <w:color w:val="333399"/>
          <w:sz w:val="23"/>
          <w:szCs w:val="23"/>
        </w:rPr>
        <w:tab/>
      </w:r>
      <w:r w:rsidRPr="003707E2">
        <w:rPr>
          <w:color w:val="333399"/>
          <w:sz w:val="23"/>
          <w:szCs w:val="23"/>
        </w:rPr>
        <w:tab/>
        <w:t>Not Applicable.</w:t>
      </w:r>
    </w:p>
    <w:sectPr w:rsidR="00FC2E03" w:rsidSect="009B0ECC">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4F" w:rsidRDefault="00B06B4F">
      <w:r>
        <w:separator/>
      </w:r>
    </w:p>
  </w:endnote>
  <w:endnote w:type="continuationSeparator" w:id="0">
    <w:p w:rsidR="00B06B4F" w:rsidRDefault="00B0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C" w:rsidRDefault="009B0ECC"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0ECC" w:rsidRDefault="009B0ECC" w:rsidP="009B0E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C" w:rsidRDefault="009B0ECC"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1F2">
      <w:rPr>
        <w:rStyle w:val="PageNumber"/>
        <w:noProof/>
      </w:rPr>
      <w:t>2</w:t>
    </w:r>
    <w:r>
      <w:rPr>
        <w:rStyle w:val="PageNumber"/>
      </w:rPr>
      <w:fldChar w:fldCharType="end"/>
    </w:r>
  </w:p>
  <w:p w:rsidR="009B0ECC" w:rsidRDefault="009B0ECC" w:rsidP="009B0E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4F" w:rsidRDefault="00B06B4F">
      <w:r>
        <w:separator/>
      </w:r>
    </w:p>
  </w:footnote>
  <w:footnote w:type="continuationSeparator" w:id="0">
    <w:p w:rsidR="00B06B4F" w:rsidRDefault="00B0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897"/>
    <w:multiLevelType w:val="hybridMultilevel"/>
    <w:tmpl w:val="AC887C0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
    <w:nsid w:val="1469338E"/>
    <w:multiLevelType w:val="hybridMultilevel"/>
    <w:tmpl w:val="B1F6D1E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3C"/>
    <w:rsid w:val="000043D4"/>
    <w:rsid w:val="000057F5"/>
    <w:rsid w:val="00005C8A"/>
    <w:rsid w:val="00007C7F"/>
    <w:rsid w:val="000119ED"/>
    <w:rsid w:val="00014D95"/>
    <w:rsid w:val="000223C3"/>
    <w:rsid w:val="000224B1"/>
    <w:rsid w:val="00030FB1"/>
    <w:rsid w:val="000314AC"/>
    <w:rsid w:val="000401F2"/>
    <w:rsid w:val="00040B30"/>
    <w:rsid w:val="00040C5D"/>
    <w:rsid w:val="00040E38"/>
    <w:rsid w:val="0004217B"/>
    <w:rsid w:val="00042AA7"/>
    <w:rsid w:val="00045B34"/>
    <w:rsid w:val="00046831"/>
    <w:rsid w:val="00052166"/>
    <w:rsid w:val="00052520"/>
    <w:rsid w:val="00057AA5"/>
    <w:rsid w:val="000601B4"/>
    <w:rsid w:val="00061908"/>
    <w:rsid w:val="0006243E"/>
    <w:rsid w:val="000678B7"/>
    <w:rsid w:val="00070915"/>
    <w:rsid w:val="00074F44"/>
    <w:rsid w:val="000825A1"/>
    <w:rsid w:val="000866F7"/>
    <w:rsid w:val="00091071"/>
    <w:rsid w:val="00095B57"/>
    <w:rsid w:val="000975BA"/>
    <w:rsid w:val="000A6EA6"/>
    <w:rsid w:val="000B26EB"/>
    <w:rsid w:val="000B3B10"/>
    <w:rsid w:val="000B4C79"/>
    <w:rsid w:val="000B6405"/>
    <w:rsid w:val="000B66B7"/>
    <w:rsid w:val="000B6F94"/>
    <w:rsid w:val="000C559A"/>
    <w:rsid w:val="000D0C0E"/>
    <w:rsid w:val="000D133D"/>
    <w:rsid w:val="000D14B5"/>
    <w:rsid w:val="000D4DE7"/>
    <w:rsid w:val="000F3B4A"/>
    <w:rsid w:val="000F572D"/>
    <w:rsid w:val="000F7A60"/>
    <w:rsid w:val="00101102"/>
    <w:rsid w:val="001027CC"/>
    <w:rsid w:val="0010302B"/>
    <w:rsid w:val="001032B2"/>
    <w:rsid w:val="00104008"/>
    <w:rsid w:val="001125FE"/>
    <w:rsid w:val="001159F3"/>
    <w:rsid w:val="0011728B"/>
    <w:rsid w:val="00117AD3"/>
    <w:rsid w:val="0012236D"/>
    <w:rsid w:val="00123529"/>
    <w:rsid w:val="0012633F"/>
    <w:rsid w:val="001306DB"/>
    <w:rsid w:val="00131F61"/>
    <w:rsid w:val="00133FF4"/>
    <w:rsid w:val="0013778F"/>
    <w:rsid w:val="00142AA4"/>
    <w:rsid w:val="00144CEF"/>
    <w:rsid w:val="0014757D"/>
    <w:rsid w:val="00147A03"/>
    <w:rsid w:val="0015355B"/>
    <w:rsid w:val="00153C35"/>
    <w:rsid w:val="00156D3E"/>
    <w:rsid w:val="00161773"/>
    <w:rsid w:val="00163E0B"/>
    <w:rsid w:val="00165C47"/>
    <w:rsid w:val="00165E00"/>
    <w:rsid w:val="00167149"/>
    <w:rsid w:val="001715C6"/>
    <w:rsid w:val="00172357"/>
    <w:rsid w:val="0017237D"/>
    <w:rsid w:val="00185684"/>
    <w:rsid w:val="001905B7"/>
    <w:rsid w:val="001945BE"/>
    <w:rsid w:val="00194CF6"/>
    <w:rsid w:val="001952FB"/>
    <w:rsid w:val="00196476"/>
    <w:rsid w:val="001A0E50"/>
    <w:rsid w:val="001A0E92"/>
    <w:rsid w:val="001A3423"/>
    <w:rsid w:val="001A3C36"/>
    <w:rsid w:val="001A5731"/>
    <w:rsid w:val="001A691A"/>
    <w:rsid w:val="001A7CD6"/>
    <w:rsid w:val="001B14E7"/>
    <w:rsid w:val="001B278D"/>
    <w:rsid w:val="001B2A32"/>
    <w:rsid w:val="001B7284"/>
    <w:rsid w:val="001C3866"/>
    <w:rsid w:val="001D36C0"/>
    <w:rsid w:val="001D4CC3"/>
    <w:rsid w:val="001E0565"/>
    <w:rsid w:val="001E1223"/>
    <w:rsid w:val="001E57E1"/>
    <w:rsid w:val="001E5D01"/>
    <w:rsid w:val="001F1367"/>
    <w:rsid w:val="001F1BE7"/>
    <w:rsid w:val="001F335F"/>
    <w:rsid w:val="002030D6"/>
    <w:rsid w:val="00203339"/>
    <w:rsid w:val="0020747A"/>
    <w:rsid w:val="00213C8E"/>
    <w:rsid w:val="0021611E"/>
    <w:rsid w:val="002171C9"/>
    <w:rsid w:val="00220454"/>
    <w:rsid w:val="00220D91"/>
    <w:rsid w:val="00221C8D"/>
    <w:rsid w:val="002222D1"/>
    <w:rsid w:val="00223192"/>
    <w:rsid w:val="00225786"/>
    <w:rsid w:val="002272B0"/>
    <w:rsid w:val="00230AB8"/>
    <w:rsid w:val="00234A2F"/>
    <w:rsid w:val="00235627"/>
    <w:rsid w:val="00241C45"/>
    <w:rsid w:val="00245C46"/>
    <w:rsid w:val="00246D1F"/>
    <w:rsid w:val="00263E92"/>
    <w:rsid w:val="00264C21"/>
    <w:rsid w:val="00264F62"/>
    <w:rsid w:val="00267757"/>
    <w:rsid w:val="0027013A"/>
    <w:rsid w:val="00270B6E"/>
    <w:rsid w:val="002742F9"/>
    <w:rsid w:val="00275D83"/>
    <w:rsid w:val="00281F1E"/>
    <w:rsid w:val="00282A95"/>
    <w:rsid w:val="00283F7D"/>
    <w:rsid w:val="00290037"/>
    <w:rsid w:val="002941AD"/>
    <w:rsid w:val="002A168E"/>
    <w:rsid w:val="002B1DF7"/>
    <w:rsid w:val="002B26AD"/>
    <w:rsid w:val="002B6477"/>
    <w:rsid w:val="002B7950"/>
    <w:rsid w:val="002C4AF2"/>
    <w:rsid w:val="002C66D0"/>
    <w:rsid w:val="002C73E3"/>
    <w:rsid w:val="002D1149"/>
    <w:rsid w:val="002D6AD3"/>
    <w:rsid w:val="002D6EB8"/>
    <w:rsid w:val="002D7ABE"/>
    <w:rsid w:val="002E3971"/>
    <w:rsid w:val="002F7117"/>
    <w:rsid w:val="003025F0"/>
    <w:rsid w:val="00304787"/>
    <w:rsid w:val="00306B75"/>
    <w:rsid w:val="00312611"/>
    <w:rsid w:val="0031279C"/>
    <w:rsid w:val="0031347F"/>
    <w:rsid w:val="003141AE"/>
    <w:rsid w:val="003143FD"/>
    <w:rsid w:val="0032079C"/>
    <w:rsid w:val="00321269"/>
    <w:rsid w:val="003220FE"/>
    <w:rsid w:val="00323962"/>
    <w:rsid w:val="00327EE7"/>
    <w:rsid w:val="0033201A"/>
    <w:rsid w:val="00336DE8"/>
    <w:rsid w:val="00341D96"/>
    <w:rsid w:val="003423BE"/>
    <w:rsid w:val="003435E2"/>
    <w:rsid w:val="003506E1"/>
    <w:rsid w:val="0035330C"/>
    <w:rsid w:val="00355893"/>
    <w:rsid w:val="00356123"/>
    <w:rsid w:val="00357B0D"/>
    <w:rsid w:val="00357F17"/>
    <w:rsid w:val="00361733"/>
    <w:rsid w:val="003649EF"/>
    <w:rsid w:val="0036568E"/>
    <w:rsid w:val="00365C16"/>
    <w:rsid w:val="003707E2"/>
    <w:rsid w:val="003720AE"/>
    <w:rsid w:val="00373857"/>
    <w:rsid w:val="00374666"/>
    <w:rsid w:val="0038231C"/>
    <w:rsid w:val="003823E9"/>
    <w:rsid w:val="0038607C"/>
    <w:rsid w:val="00386F71"/>
    <w:rsid w:val="003A7477"/>
    <w:rsid w:val="003B17A8"/>
    <w:rsid w:val="003B3F2C"/>
    <w:rsid w:val="003B5BAE"/>
    <w:rsid w:val="003B661E"/>
    <w:rsid w:val="003C00C0"/>
    <w:rsid w:val="003C06D4"/>
    <w:rsid w:val="003C1210"/>
    <w:rsid w:val="003C6035"/>
    <w:rsid w:val="003C639E"/>
    <w:rsid w:val="003D0988"/>
    <w:rsid w:val="003D0D97"/>
    <w:rsid w:val="003D2143"/>
    <w:rsid w:val="003D486D"/>
    <w:rsid w:val="003D51D1"/>
    <w:rsid w:val="003E006A"/>
    <w:rsid w:val="003E17F8"/>
    <w:rsid w:val="003E1B99"/>
    <w:rsid w:val="003E3585"/>
    <w:rsid w:val="003E48E1"/>
    <w:rsid w:val="003E5933"/>
    <w:rsid w:val="003F1F0D"/>
    <w:rsid w:val="003F2C38"/>
    <w:rsid w:val="003F4550"/>
    <w:rsid w:val="004012F5"/>
    <w:rsid w:val="004015BD"/>
    <w:rsid w:val="00402019"/>
    <w:rsid w:val="004121D6"/>
    <w:rsid w:val="004127BD"/>
    <w:rsid w:val="00420564"/>
    <w:rsid w:val="0042189A"/>
    <w:rsid w:val="00422A6A"/>
    <w:rsid w:val="004309D2"/>
    <w:rsid w:val="00432560"/>
    <w:rsid w:val="004400E6"/>
    <w:rsid w:val="00444992"/>
    <w:rsid w:val="00445395"/>
    <w:rsid w:val="00446D3D"/>
    <w:rsid w:val="00450599"/>
    <w:rsid w:val="00451556"/>
    <w:rsid w:val="004545CF"/>
    <w:rsid w:val="00456167"/>
    <w:rsid w:val="00457DEC"/>
    <w:rsid w:val="00457E8D"/>
    <w:rsid w:val="00462B26"/>
    <w:rsid w:val="00463854"/>
    <w:rsid w:val="00463F72"/>
    <w:rsid w:val="0047084A"/>
    <w:rsid w:val="0047717C"/>
    <w:rsid w:val="0048410A"/>
    <w:rsid w:val="00485AD7"/>
    <w:rsid w:val="00486BB0"/>
    <w:rsid w:val="004948D2"/>
    <w:rsid w:val="0049532D"/>
    <w:rsid w:val="0049586C"/>
    <w:rsid w:val="004977A6"/>
    <w:rsid w:val="004A4326"/>
    <w:rsid w:val="004A5166"/>
    <w:rsid w:val="004A6847"/>
    <w:rsid w:val="004B1AD5"/>
    <w:rsid w:val="004B3531"/>
    <w:rsid w:val="004B5496"/>
    <w:rsid w:val="004B5895"/>
    <w:rsid w:val="004B59FA"/>
    <w:rsid w:val="004B61ED"/>
    <w:rsid w:val="004B7DCA"/>
    <w:rsid w:val="004C107A"/>
    <w:rsid w:val="004C1417"/>
    <w:rsid w:val="004C294A"/>
    <w:rsid w:val="004C402B"/>
    <w:rsid w:val="004D01EF"/>
    <w:rsid w:val="004D0E6A"/>
    <w:rsid w:val="004D5160"/>
    <w:rsid w:val="004D53BC"/>
    <w:rsid w:val="004E4D38"/>
    <w:rsid w:val="004F2791"/>
    <w:rsid w:val="004F43A3"/>
    <w:rsid w:val="004F61C2"/>
    <w:rsid w:val="004F743D"/>
    <w:rsid w:val="005004E9"/>
    <w:rsid w:val="005122EC"/>
    <w:rsid w:val="00516412"/>
    <w:rsid w:val="00517886"/>
    <w:rsid w:val="005203E4"/>
    <w:rsid w:val="005204C8"/>
    <w:rsid w:val="00520D4C"/>
    <w:rsid w:val="0052128E"/>
    <w:rsid w:val="00523E4D"/>
    <w:rsid w:val="005244D7"/>
    <w:rsid w:val="00530447"/>
    <w:rsid w:val="0053114E"/>
    <w:rsid w:val="00531A53"/>
    <w:rsid w:val="005336F1"/>
    <w:rsid w:val="00543594"/>
    <w:rsid w:val="0054701D"/>
    <w:rsid w:val="00550584"/>
    <w:rsid w:val="00550E90"/>
    <w:rsid w:val="00553267"/>
    <w:rsid w:val="0055521A"/>
    <w:rsid w:val="0055717D"/>
    <w:rsid w:val="005621DB"/>
    <w:rsid w:val="00566706"/>
    <w:rsid w:val="00580AC5"/>
    <w:rsid w:val="005821EA"/>
    <w:rsid w:val="0058625B"/>
    <w:rsid w:val="005921D0"/>
    <w:rsid w:val="00594581"/>
    <w:rsid w:val="005B243F"/>
    <w:rsid w:val="005B66E9"/>
    <w:rsid w:val="005C3D59"/>
    <w:rsid w:val="005C4184"/>
    <w:rsid w:val="005C47A3"/>
    <w:rsid w:val="005C5943"/>
    <w:rsid w:val="005D017B"/>
    <w:rsid w:val="005D5FB2"/>
    <w:rsid w:val="005D7F3C"/>
    <w:rsid w:val="005E3E55"/>
    <w:rsid w:val="005F0C89"/>
    <w:rsid w:val="005F3D0D"/>
    <w:rsid w:val="00600FCD"/>
    <w:rsid w:val="0060141C"/>
    <w:rsid w:val="006024A1"/>
    <w:rsid w:val="0060444B"/>
    <w:rsid w:val="00604A7A"/>
    <w:rsid w:val="00605222"/>
    <w:rsid w:val="00605470"/>
    <w:rsid w:val="006065B8"/>
    <w:rsid w:val="0061416B"/>
    <w:rsid w:val="00615B22"/>
    <w:rsid w:val="006161EB"/>
    <w:rsid w:val="006163C7"/>
    <w:rsid w:val="0061785C"/>
    <w:rsid w:val="00621605"/>
    <w:rsid w:val="00625A24"/>
    <w:rsid w:val="00640A6B"/>
    <w:rsid w:val="00641500"/>
    <w:rsid w:val="006417A8"/>
    <w:rsid w:val="00642424"/>
    <w:rsid w:val="00643366"/>
    <w:rsid w:val="00647818"/>
    <w:rsid w:val="00653697"/>
    <w:rsid w:val="00653E49"/>
    <w:rsid w:val="006559D8"/>
    <w:rsid w:val="0066499A"/>
    <w:rsid w:val="006671F2"/>
    <w:rsid w:val="006702FC"/>
    <w:rsid w:val="006716A6"/>
    <w:rsid w:val="006768E2"/>
    <w:rsid w:val="00681C93"/>
    <w:rsid w:val="0069126E"/>
    <w:rsid w:val="006A09E8"/>
    <w:rsid w:val="006A0EB7"/>
    <w:rsid w:val="006A155C"/>
    <w:rsid w:val="006A1BB3"/>
    <w:rsid w:val="006A24E5"/>
    <w:rsid w:val="006A26D2"/>
    <w:rsid w:val="006A2911"/>
    <w:rsid w:val="006A3009"/>
    <w:rsid w:val="006A64F2"/>
    <w:rsid w:val="006A725E"/>
    <w:rsid w:val="006B0FA5"/>
    <w:rsid w:val="006B2C8C"/>
    <w:rsid w:val="006B4832"/>
    <w:rsid w:val="006B48DF"/>
    <w:rsid w:val="006C1E7C"/>
    <w:rsid w:val="006C2959"/>
    <w:rsid w:val="006C3641"/>
    <w:rsid w:val="006C3C3E"/>
    <w:rsid w:val="006C7039"/>
    <w:rsid w:val="006D65CB"/>
    <w:rsid w:val="006E0C11"/>
    <w:rsid w:val="006E2208"/>
    <w:rsid w:val="006E2ABC"/>
    <w:rsid w:val="006E2E26"/>
    <w:rsid w:val="006E6DDE"/>
    <w:rsid w:val="00703ECC"/>
    <w:rsid w:val="007044BA"/>
    <w:rsid w:val="0070543E"/>
    <w:rsid w:val="00705466"/>
    <w:rsid w:val="007060C8"/>
    <w:rsid w:val="007110E8"/>
    <w:rsid w:val="00713692"/>
    <w:rsid w:val="007137F6"/>
    <w:rsid w:val="00717BDA"/>
    <w:rsid w:val="00721BDE"/>
    <w:rsid w:val="00724AD9"/>
    <w:rsid w:val="00724BAF"/>
    <w:rsid w:val="00726CF4"/>
    <w:rsid w:val="0073017F"/>
    <w:rsid w:val="00730F6C"/>
    <w:rsid w:val="00731F95"/>
    <w:rsid w:val="00736F20"/>
    <w:rsid w:val="0074328D"/>
    <w:rsid w:val="0074698F"/>
    <w:rsid w:val="00752DC6"/>
    <w:rsid w:val="00754C6B"/>
    <w:rsid w:val="007620D6"/>
    <w:rsid w:val="00763151"/>
    <w:rsid w:val="00763AF2"/>
    <w:rsid w:val="00763E56"/>
    <w:rsid w:val="00763E64"/>
    <w:rsid w:val="00770C7E"/>
    <w:rsid w:val="00771D8B"/>
    <w:rsid w:val="0077452F"/>
    <w:rsid w:val="00776845"/>
    <w:rsid w:val="00777C79"/>
    <w:rsid w:val="0078762D"/>
    <w:rsid w:val="00791434"/>
    <w:rsid w:val="007945C3"/>
    <w:rsid w:val="007A3DB0"/>
    <w:rsid w:val="007A685D"/>
    <w:rsid w:val="007A7916"/>
    <w:rsid w:val="007B0014"/>
    <w:rsid w:val="007B0C28"/>
    <w:rsid w:val="007B40C7"/>
    <w:rsid w:val="007B556E"/>
    <w:rsid w:val="007B6ACA"/>
    <w:rsid w:val="007B6E43"/>
    <w:rsid w:val="007C0130"/>
    <w:rsid w:val="007C052B"/>
    <w:rsid w:val="007C11CB"/>
    <w:rsid w:val="007C5A0B"/>
    <w:rsid w:val="007C7CBF"/>
    <w:rsid w:val="007D2750"/>
    <w:rsid w:val="007D292B"/>
    <w:rsid w:val="007D2A66"/>
    <w:rsid w:val="007D2B01"/>
    <w:rsid w:val="007D3598"/>
    <w:rsid w:val="007D3D15"/>
    <w:rsid w:val="007D44C5"/>
    <w:rsid w:val="007D50A7"/>
    <w:rsid w:val="007E5A80"/>
    <w:rsid w:val="007F0691"/>
    <w:rsid w:val="007F631F"/>
    <w:rsid w:val="007F7F31"/>
    <w:rsid w:val="00815CE4"/>
    <w:rsid w:val="008201CE"/>
    <w:rsid w:val="00820EED"/>
    <w:rsid w:val="00821C06"/>
    <w:rsid w:val="008233E0"/>
    <w:rsid w:val="00827A1A"/>
    <w:rsid w:val="00827D2B"/>
    <w:rsid w:val="008304CA"/>
    <w:rsid w:val="00833CE5"/>
    <w:rsid w:val="00843CB3"/>
    <w:rsid w:val="00845C99"/>
    <w:rsid w:val="00847030"/>
    <w:rsid w:val="0084740D"/>
    <w:rsid w:val="00847D12"/>
    <w:rsid w:val="0085217B"/>
    <w:rsid w:val="008521FC"/>
    <w:rsid w:val="00852723"/>
    <w:rsid w:val="00855955"/>
    <w:rsid w:val="008569D4"/>
    <w:rsid w:val="00856C88"/>
    <w:rsid w:val="00861077"/>
    <w:rsid w:val="0086277D"/>
    <w:rsid w:val="008642F9"/>
    <w:rsid w:val="008644AA"/>
    <w:rsid w:val="008652D2"/>
    <w:rsid w:val="00865E1E"/>
    <w:rsid w:val="008762CA"/>
    <w:rsid w:val="00881735"/>
    <w:rsid w:val="00886196"/>
    <w:rsid w:val="00897451"/>
    <w:rsid w:val="00897F3A"/>
    <w:rsid w:val="008A196C"/>
    <w:rsid w:val="008A22E1"/>
    <w:rsid w:val="008A2C9F"/>
    <w:rsid w:val="008A42BC"/>
    <w:rsid w:val="008A42F8"/>
    <w:rsid w:val="008A44E0"/>
    <w:rsid w:val="008B121F"/>
    <w:rsid w:val="008B35C8"/>
    <w:rsid w:val="008B62FE"/>
    <w:rsid w:val="008C28A4"/>
    <w:rsid w:val="008C4FF2"/>
    <w:rsid w:val="008C5D9E"/>
    <w:rsid w:val="008C7458"/>
    <w:rsid w:val="008D42FD"/>
    <w:rsid w:val="008D68EB"/>
    <w:rsid w:val="008D7B61"/>
    <w:rsid w:val="008E0BB0"/>
    <w:rsid w:val="008E5FE5"/>
    <w:rsid w:val="008F779C"/>
    <w:rsid w:val="008F7E3A"/>
    <w:rsid w:val="009012C3"/>
    <w:rsid w:val="0090144D"/>
    <w:rsid w:val="009066A6"/>
    <w:rsid w:val="00906B48"/>
    <w:rsid w:val="0091402A"/>
    <w:rsid w:val="00921939"/>
    <w:rsid w:val="00924178"/>
    <w:rsid w:val="00924813"/>
    <w:rsid w:val="00924EA5"/>
    <w:rsid w:val="0092703D"/>
    <w:rsid w:val="0094474B"/>
    <w:rsid w:val="009457F5"/>
    <w:rsid w:val="009463D1"/>
    <w:rsid w:val="009513DD"/>
    <w:rsid w:val="00951D6B"/>
    <w:rsid w:val="00952554"/>
    <w:rsid w:val="00952C5B"/>
    <w:rsid w:val="009536FE"/>
    <w:rsid w:val="00962F0D"/>
    <w:rsid w:val="00963A35"/>
    <w:rsid w:val="00964609"/>
    <w:rsid w:val="00964914"/>
    <w:rsid w:val="00964FE2"/>
    <w:rsid w:val="0097407E"/>
    <w:rsid w:val="00974300"/>
    <w:rsid w:val="009743C4"/>
    <w:rsid w:val="009821CD"/>
    <w:rsid w:val="00990F02"/>
    <w:rsid w:val="009A1F08"/>
    <w:rsid w:val="009B0ECC"/>
    <w:rsid w:val="009B4D2F"/>
    <w:rsid w:val="009B7AF9"/>
    <w:rsid w:val="009C1397"/>
    <w:rsid w:val="009C7F12"/>
    <w:rsid w:val="009D2C21"/>
    <w:rsid w:val="009D4E14"/>
    <w:rsid w:val="009D6499"/>
    <w:rsid w:val="009E0436"/>
    <w:rsid w:val="009F3E4D"/>
    <w:rsid w:val="009F5137"/>
    <w:rsid w:val="009F5366"/>
    <w:rsid w:val="009F6298"/>
    <w:rsid w:val="00A0233F"/>
    <w:rsid w:val="00A10433"/>
    <w:rsid w:val="00A12B61"/>
    <w:rsid w:val="00A13E1F"/>
    <w:rsid w:val="00A17EB5"/>
    <w:rsid w:val="00A245EE"/>
    <w:rsid w:val="00A26568"/>
    <w:rsid w:val="00A279C3"/>
    <w:rsid w:val="00A30499"/>
    <w:rsid w:val="00A31D30"/>
    <w:rsid w:val="00A33736"/>
    <w:rsid w:val="00A33CEC"/>
    <w:rsid w:val="00A356CE"/>
    <w:rsid w:val="00A36875"/>
    <w:rsid w:val="00A36E3B"/>
    <w:rsid w:val="00A440AC"/>
    <w:rsid w:val="00A45A25"/>
    <w:rsid w:val="00A471D5"/>
    <w:rsid w:val="00A51F86"/>
    <w:rsid w:val="00A52F8A"/>
    <w:rsid w:val="00A534B3"/>
    <w:rsid w:val="00A54E37"/>
    <w:rsid w:val="00A57EB3"/>
    <w:rsid w:val="00A628A1"/>
    <w:rsid w:val="00A70BA2"/>
    <w:rsid w:val="00A71E33"/>
    <w:rsid w:val="00A736EE"/>
    <w:rsid w:val="00A833D4"/>
    <w:rsid w:val="00A8682D"/>
    <w:rsid w:val="00A872FE"/>
    <w:rsid w:val="00A90DF3"/>
    <w:rsid w:val="00A9152A"/>
    <w:rsid w:val="00A939C0"/>
    <w:rsid w:val="00A959F8"/>
    <w:rsid w:val="00A96B6F"/>
    <w:rsid w:val="00AA1526"/>
    <w:rsid w:val="00AA4383"/>
    <w:rsid w:val="00AB0A2C"/>
    <w:rsid w:val="00AB37F0"/>
    <w:rsid w:val="00AB58FD"/>
    <w:rsid w:val="00AC593C"/>
    <w:rsid w:val="00AC7691"/>
    <w:rsid w:val="00AD083C"/>
    <w:rsid w:val="00AD0B70"/>
    <w:rsid w:val="00AD0FA8"/>
    <w:rsid w:val="00AD1EC0"/>
    <w:rsid w:val="00AD319D"/>
    <w:rsid w:val="00AD71F4"/>
    <w:rsid w:val="00AE05CE"/>
    <w:rsid w:val="00AE06F9"/>
    <w:rsid w:val="00AE0CFF"/>
    <w:rsid w:val="00AE209D"/>
    <w:rsid w:val="00AE7A7A"/>
    <w:rsid w:val="00AF10A6"/>
    <w:rsid w:val="00AF1C03"/>
    <w:rsid w:val="00AF282D"/>
    <w:rsid w:val="00AF4CA4"/>
    <w:rsid w:val="00AF6DC0"/>
    <w:rsid w:val="00B0121C"/>
    <w:rsid w:val="00B04923"/>
    <w:rsid w:val="00B06B4F"/>
    <w:rsid w:val="00B13FE8"/>
    <w:rsid w:val="00B15499"/>
    <w:rsid w:val="00B16AC4"/>
    <w:rsid w:val="00B23B91"/>
    <w:rsid w:val="00B339FA"/>
    <w:rsid w:val="00B342F7"/>
    <w:rsid w:val="00B372F3"/>
    <w:rsid w:val="00B40B4D"/>
    <w:rsid w:val="00B43915"/>
    <w:rsid w:val="00B45A10"/>
    <w:rsid w:val="00B45B37"/>
    <w:rsid w:val="00B4697B"/>
    <w:rsid w:val="00B53006"/>
    <w:rsid w:val="00B5695A"/>
    <w:rsid w:val="00B57082"/>
    <w:rsid w:val="00B575AD"/>
    <w:rsid w:val="00B62002"/>
    <w:rsid w:val="00B632EB"/>
    <w:rsid w:val="00B6373F"/>
    <w:rsid w:val="00B67446"/>
    <w:rsid w:val="00B7096B"/>
    <w:rsid w:val="00B70BA4"/>
    <w:rsid w:val="00B72084"/>
    <w:rsid w:val="00B73B6E"/>
    <w:rsid w:val="00B76FFC"/>
    <w:rsid w:val="00B84C15"/>
    <w:rsid w:val="00B84CF7"/>
    <w:rsid w:val="00B9379C"/>
    <w:rsid w:val="00B97907"/>
    <w:rsid w:val="00BA0B78"/>
    <w:rsid w:val="00BA3C86"/>
    <w:rsid w:val="00BA528D"/>
    <w:rsid w:val="00BB1B93"/>
    <w:rsid w:val="00BB2123"/>
    <w:rsid w:val="00BC4115"/>
    <w:rsid w:val="00BC7D36"/>
    <w:rsid w:val="00BD798C"/>
    <w:rsid w:val="00BE3B47"/>
    <w:rsid w:val="00BE591E"/>
    <w:rsid w:val="00BF1B25"/>
    <w:rsid w:val="00C03029"/>
    <w:rsid w:val="00C064CD"/>
    <w:rsid w:val="00C124BF"/>
    <w:rsid w:val="00C12640"/>
    <w:rsid w:val="00C1416F"/>
    <w:rsid w:val="00C20926"/>
    <w:rsid w:val="00C21B3E"/>
    <w:rsid w:val="00C30A90"/>
    <w:rsid w:val="00C31EA6"/>
    <w:rsid w:val="00C36C77"/>
    <w:rsid w:val="00C3790C"/>
    <w:rsid w:val="00C401A3"/>
    <w:rsid w:val="00C41F11"/>
    <w:rsid w:val="00C43171"/>
    <w:rsid w:val="00C43EAD"/>
    <w:rsid w:val="00C44FF0"/>
    <w:rsid w:val="00C45075"/>
    <w:rsid w:val="00C544A4"/>
    <w:rsid w:val="00C62309"/>
    <w:rsid w:val="00C62558"/>
    <w:rsid w:val="00C6337F"/>
    <w:rsid w:val="00C63ED8"/>
    <w:rsid w:val="00C6468B"/>
    <w:rsid w:val="00C67188"/>
    <w:rsid w:val="00C70457"/>
    <w:rsid w:val="00C70A98"/>
    <w:rsid w:val="00C70D78"/>
    <w:rsid w:val="00C7111C"/>
    <w:rsid w:val="00C73ADF"/>
    <w:rsid w:val="00C77158"/>
    <w:rsid w:val="00C81ED2"/>
    <w:rsid w:val="00C82F15"/>
    <w:rsid w:val="00C84FA7"/>
    <w:rsid w:val="00C868AA"/>
    <w:rsid w:val="00C903D2"/>
    <w:rsid w:val="00C9389D"/>
    <w:rsid w:val="00C95F57"/>
    <w:rsid w:val="00CA1380"/>
    <w:rsid w:val="00CA2082"/>
    <w:rsid w:val="00CA4544"/>
    <w:rsid w:val="00CA7E93"/>
    <w:rsid w:val="00CB203E"/>
    <w:rsid w:val="00CB52DE"/>
    <w:rsid w:val="00CB6EE4"/>
    <w:rsid w:val="00CC075C"/>
    <w:rsid w:val="00CC6C3B"/>
    <w:rsid w:val="00CD560F"/>
    <w:rsid w:val="00CD5622"/>
    <w:rsid w:val="00CE02B8"/>
    <w:rsid w:val="00CE4C20"/>
    <w:rsid w:val="00CE6158"/>
    <w:rsid w:val="00CE7167"/>
    <w:rsid w:val="00CE7CD7"/>
    <w:rsid w:val="00CF124B"/>
    <w:rsid w:val="00CF2365"/>
    <w:rsid w:val="00CF28DE"/>
    <w:rsid w:val="00D07928"/>
    <w:rsid w:val="00D132A0"/>
    <w:rsid w:val="00D1355D"/>
    <w:rsid w:val="00D15596"/>
    <w:rsid w:val="00D212C6"/>
    <w:rsid w:val="00D22326"/>
    <w:rsid w:val="00D236AD"/>
    <w:rsid w:val="00D2679C"/>
    <w:rsid w:val="00D30FDD"/>
    <w:rsid w:val="00D359E4"/>
    <w:rsid w:val="00D3772F"/>
    <w:rsid w:val="00D37A67"/>
    <w:rsid w:val="00D41418"/>
    <w:rsid w:val="00D43093"/>
    <w:rsid w:val="00D44CF0"/>
    <w:rsid w:val="00D518D5"/>
    <w:rsid w:val="00D52955"/>
    <w:rsid w:val="00D537AA"/>
    <w:rsid w:val="00D55A61"/>
    <w:rsid w:val="00D707C5"/>
    <w:rsid w:val="00D716A2"/>
    <w:rsid w:val="00D76429"/>
    <w:rsid w:val="00D76956"/>
    <w:rsid w:val="00D8037C"/>
    <w:rsid w:val="00D80A24"/>
    <w:rsid w:val="00D827CC"/>
    <w:rsid w:val="00D856FE"/>
    <w:rsid w:val="00D86F90"/>
    <w:rsid w:val="00D92E22"/>
    <w:rsid w:val="00D9353A"/>
    <w:rsid w:val="00D93B0E"/>
    <w:rsid w:val="00D94645"/>
    <w:rsid w:val="00D9623A"/>
    <w:rsid w:val="00DA228A"/>
    <w:rsid w:val="00DA6F4C"/>
    <w:rsid w:val="00DB070F"/>
    <w:rsid w:val="00DB4437"/>
    <w:rsid w:val="00DC2136"/>
    <w:rsid w:val="00DC4038"/>
    <w:rsid w:val="00DC4948"/>
    <w:rsid w:val="00DC56C7"/>
    <w:rsid w:val="00DC6758"/>
    <w:rsid w:val="00DD0A21"/>
    <w:rsid w:val="00DD3944"/>
    <w:rsid w:val="00DD46D6"/>
    <w:rsid w:val="00DD4884"/>
    <w:rsid w:val="00DD60A3"/>
    <w:rsid w:val="00DE3BF0"/>
    <w:rsid w:val="00DE7C3D"/>
    <w:rsid w:val="00DE7C8E"/>
    <w:rsid w:val="00DF5AD9"/>
    <w:rsid w:val="00E003DF"/>
    <w:rsid w:val="00E01025"/>
    <w:rsid w:val="00E027AE"/>
    <w:rsid w:val="00E03D74"/>
    <w:rsid w:val="00E049EC"/>
    <w:rsid w:val="00E069A0"/>
    <w:rsid w:val="00E11E69"/>
    <w:rsid w:val="00E14C83"/>
    <w:rsid w:val="00E1780E"/>
    <w:rsid w:val="00E211E4"/>
    <w:rsid w:val="00E25C0F"/>
    <w:rsid w:val="00E2772F"/>
    <w:rsid w:val="00E2790F"/>
    <w:rsid w:val="00E27C02"/>
    <w:rsid w:val="00E3003B"/>
    <w:rsid w:val="00E30333"/>
    <w:rsid w:val="00E30F3F"/>
    <w:rsid w:val="00E332D2"/>
    <w:rsid w:val="00E34E7F"/>
    <w:rsid w:val="00E35C21"/>
    <w:rsid w:val="00E412AE"/>
    <w:rsid w:val="00E45974"/>
    <w:rsid w:val="00E46A90"/>
    <w:rsid w:val="00E5035B"/>
    <w:rsid w:val="00E55CB2"/>
    <w:rsid w:val="00E565EA"/>
    <w:rsid w:val="00E571C8"/>
    <w:rsid w:val="00E60243"/>
    <w:rsid w:val="00E60BFE"/>
    <w:rsid w:val="00E62A25"/>
    <w:rsid w:val="00E6492F"/>
    <w:rsid w:val="00E6741E"/>
    <w:rsid w:val="00E75CF1"/>
    <w:rsid w:val="00E7753D"/>
    <w:rsid w:val="00E91223"/>
    <w:rsid w:val="00E9252F"/>
    <w:rsid w:val="00E97F2D"/>
    <w:rsid w:val="00EA1110"/>
    <w:rsid w:val="00EA1B8B"/>
    <w:rsid w:val="00EA7C5D"/>
    <w:rsid w:val="00EB0FE8"/>
    <w:rsid w:val="00EB1DA4"/>
    <w:rsid w:val="00EB27D5"/>
    <w:rsid w:val="00EC58E1"/>
    <w:rsid w:val="00ED194C"/>
    <w:rsid w:val="00ED4076"/>
    <w:rsid w:val="00ED570F"/>
    <w:rsid w:val="00EE235B"/>
    <w:rsid w:val="00EE330F"/>
    <w:rsid w:val="00EE4083"/>
    <w:rsid w:val="00EE5A31"/>
    <w:rsid w:val="00EF0999"/>
    <w:rsid w:val="00EF2F35"/>
    <w:rsid w:val="00EF38EC"/>
    <w:rsid w:val="00EF6C80"/>
    <w:rsid w:val="00F03056"/>
    <w:rsid w:val="00F06F73"/>
    <w:rsid w:val="00F07961"/>
    <w:rsid w:val="00F12D3F"/>
    <w:rsid w:val="00F1371C"/>
    <w:rsid w:val="00F13C5A"/>
    <w:rsid w:val="00F152BD"/>
    <w:rsid w:val="00F17D3F"/>
    <w:rsid w:val="00F2146D"/>
    <w:rsid w:val="00F23C52"/>
    <w:rsid w:val="00F25B8B"/>
    <w:rsid w:val="00F34680"/>
    <w:rsid w:val="00F35A1C"/>
    <w:rsid w:val="00F40E0F"/>
    <w:rsid w:val="00F446C8"/>
    <w:rsid w:val="00F467F3"/>
    <w:rsid w:val="00F5221B"/>
    <w:rsid w:val="00F53EA2"/>
    <w:rsid w:val="00F565D6"/>
    <w:rsid w:val="00F6011A"/>
    <w:rsid w:val="00F61111"/>
    <w:rsid w:val="00F65C56"/>
    <w:rsid w:val="00F67285"/>
    <w:rsid w:val="00F724AF"/>
    <w:rsid w:val="00F74142"/>
    <w:rsid w:val="00F86843"/>
    <w:rsid w:val="00F90B7F"/>
    <w:rsid w:val="00F92C34"/>
    <w:rsid w:val="00F97AE2"/>
    <w:rsid w:val="00FA21FC"/>
    <w:rsid w:val="00FA26B2"/>
    <w:rsid w:val="00FA7AD4"/>
    <w:rsid w:val="00FB0D8B"/>
    <w:rsid w:val="00FB3AAD"/>
    <w:rsid w:val="00FB4B5C"/>
    <w:rsid w:val="00FB4F4A"/>
    <w:rsid w:val="00FC000A"/>
    <w:rsid w:val="00FC1BCC"/>
    <w:rsid w:val="00FC2073"/>
    <w:rsid w:val="00FC2A5B"/>
    <w:rsid w:val="00FC2E03"/>
    <w:rsid w:val="00FC40DC"/>
    <w:rsid w:val="00FC4B55"/>
    <w:rsid w:val="00FD5DA8"/>
    <w:rsid w:val="00FD6420"/>
    <w:rsid w:val="00FE4A59"/>
    <w:rsid w:val="00FE5B3E"/>
    <w:rsid w:val="00FF1F93"/>
    <w:rsid w:val="00FF35B8"/>
    <w:rsid w:val="00FF5CC1"/>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uiPriority w:val="99"/>
    <w:semiHidden/>
    <w:rsid w:val="00AC593C"/>
    <w:rPr>
      <w:sz w:val="20"/>
      <w:szCs w:val="20"/>
    </w:rPr>
  </w:style>
  <w:style w:type="character" w:customStyle="1" w:styleId="CommentTextChar">
    <w:name w:val="Comment Text Char"/>
    <w:link w:val="CommentText"/>
    <w:uiPriority w:val="99"/>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FootnoteText">
    <w:name w:val="footnote text"/>
    <w:basedOn w:val="Normal"/>
    <w:link w:val="FootnoteTextChar"/>
    <w:uiPriority w:val="99"/>
    <w:semiHidden/>
    <w:unhideWhenUsed/>
    <w:rsid w:val="002D1149"/>
    <w:rPr>
      <w:sz w:val="20"/>
      <w:szCs w:val="20"/>
    </w:rPr>
  </w:style>
  <w:style w:type="character" w:customStyle="1" w:styleId="FootnoteTextChar">
    <w:name w:val="Footnote Text Char"/>
    <w:basedOn w:val="DefaultParagraphFont"/>
    <w:link w:val="FootnoteText"/>
    <w:uiPriority w:val="99"/>
    <w:semiHidden/>
    <w:rsid w:val="002D1149"/>
    <w:rPr>
      <w:rFonts w:ascii="Times New Roman" w:eastAsia="Times New Roman" w:hAnsi="Times New Roman"/>
    </w:rPr>
  </w:style>
  <w:style w:type="character" w:styleId="FootnoteReference">
    <w:name w:val="footnote reference"/>
    <w:basedOn w:val="DefaultParagraphFont"/>
    <w:uiPriority w:val="99"/>
    <w:semiHidden/>
    <w:unhideWhenUsed/>
    <w:rsid w:val="002D11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uiPriority w:val="99"/>
    <w:semiHidden/>
    <w:rsid w:val="00AC593C"/>
    <w:rPr>
      <w:sz w:val="20"/>
      <w:szCs w:val="20"/>
    </w:rPr>
  </w:style>
  <w:style w:type="character" w:customStyle="1" w:styleId="CommentTextChar">
    <w:name w:val="Comment Text Char"/>
    <w:link w:val="CommentText"/>
    <w:uiPriority w:val="99"/>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FootnoteText">
    <w:name w:val="footnote text"/>
    <w:basedOn w:val="Normal"/>
    <w:link w:val="FootnoteTextChar"/>
    <w:uiPriority w:val="99"/>
    <w:semiHidden/>
    <w:unhideWhenUsed/>
    <w:rsid w:val="002D1149"/>
    <w:rPr>
      <w:sz w:val="20"/>
      <w:szCs w:val="20"/>
    </w:rPr>
  </w:style>
  <w:style w:type="character" w:customStyle="1" w:styleId="FootnoteTextChar">
    <w:name w:val="Footnote Text Char"/>
    <w:basedOn w:val="DefaultParagraphFont"/>
    <w:link w:val="FootnoteText"/>
    <w:uiPriority w:val="99"/>
    <w:semiHidden/>
    <w:rsid w:val="002D1149"/>
    <w:rPr>
      <w:rFonts w:ascii="Times New Roman" w:eastAsia="Times New Roman" w:hAnsi="Times New Roman"/>
    </w:rPr>
  </w:style>
  <w:style w:type="character" w:styleId="FootnoteReference">
    <w:name w:val="footnote reference"/>
    <w:basedOn w:val="DefaultParagraphFont"/>
    <w:uiPriority w:val="99"/>
    <w:semiHidden/>
    <w:unhideWhenUsed/>
    <w:rsid w:val="002D1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34845">
      <w:bodyDiv w:val="1"/>
      <w:marLeft w:val="0"/>
      <w:marRight w:val="0"/>
      <w:marTop w:val="0"/>
      <w:marBottom w:val="0"/>
      <w:divBdr>
        <w:top w:val="none" w:sz="0" w:space="0" w:color="auto"/>
        <w:left w:val="none" w:sz="0" w:space="0" w:color="auto"/>
        <w:bottom w:val="none" w:sz="0" w:space="0" w:color="auto"/>
        <w:right w:val="none" w:sz="0" w:space="0" w:color="auto"/>
      </w:divBdr>
    </w:div>
    <w:div w:id="1529492121">
      <w:bodyDiv w:val="1"/>
      <w:marLeft w:val="0"/>
      <w:marRight w:val="0"/>
      <w:marTop w:val="0"/>
      <w:marBottom w:val="0"/>
      <w:divBdr>
        <w:top w:val="none" w:sz="0" w:space="0" w:color="auto"/>
        <w:left w:val="none" w:sz="0" w:space="0" w:color="auto"/>
        <w:bottom w:val="none" w:sz="0" w:space="0" w:color="auto"/>
        <w:right w:val="none" w:sz="0" w:space="0" w:color="auto"/>
      </w:divBdr>
    </w:div>
    <w:div w:id="17950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FA39-0E08-49C8-9C02-745891AC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536E4ED9.dotm</Template>
  <TotalTime>1</TotalTime>
  <Pages>5</Pages>
  <Words>1945</Words>
  <Characters>11091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13010</CharactersWithSpaces>
  <SharedDoc>false</SharedDoc>
  <HLinks>
    <vt:vector size="18" baseType="variant">
      <vt:variant>
        <vt:i4>4915200</vt:i4>
      </vt:variant>
      <vt:variant>
        <vt:i4>6</vt:i4>
      </vt:variant>
      <vt:variant>
        <vt:i4>0</vt:i4>
      </vt:variant>
      <vt:variant>
        <vt:i4>5</vt:i4>
      </vt:variant>
      <vt:variant>
        <vt:lpwstr>http://www.iaap-hq.org/resources/21st-century-administrative-professional</vt:lpwstr>
      </vt:variant>
      <vt:variant>
        <vt:lpwstr/>
      </vt:variant>
      <vt:variant>
        <vt:i4>1966160</vt:i4>
      </vt:variant>
      <vt:variant>
        <vt:i4>3</vt:i4>
      </vt:variant>
      <vt:variant>
        <vt:i4>0</vt:i4>
      </vt:variant>
      <vt:variant>
        <vt:i4>5</vt:i4>
      </vt:variant>
      <vt:variant>
        <vt:lpwstr>http://www.bls.gov/oes/current/oes113031.htm</vt:lpwstr>
      </vt:variant>
      <vt:variant>
        <vt:lpwstr/>
      </vt:variant>
      <vt:variant>
        <vt:i4>65657</vt:i4>
      </vt:variant>
      <vt:variant>
        <vt:i4>0</vt:i4>
      </vt:variant>
      <vt:variant>
        <vt:i4>0</vt:i4>
      </vt:variant>
      <vt:variant>
        <vt:i4>5</vt:i4>
      </vt:variant>
      <vt:variant>
        <vt:lpwstr>http://www.reginfo.gov/public/do/PRAViewDocument?ref_nbr=200811-3245-001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zlapidu</dc:creator>
  <cp:lastModifiedBy>Rich, Curtis B.</cp:lastModifiedBy>
  <cp:revision>2</cp:revision>
  <cp:lastPrinted>2015-08-18T12:29:00Z</cp:lastPrinted>
  <dcterms:created xsi:type="dcterms:W3CDTF">2015-08-18T12:31:00Z</dcterms:created>
  <dcterms:modified xsi:type="dcterms:W3CDTF">2015-08-18T12:31:00Z</dcterms:modified>
</cp:coreProperties>
</file>