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78" w:rsidRPr="003A2358" w:rsidRDefault="003A2358" w:rsidP="00DD6678">
      <w:pPr>
        <w:pStyle w:val="Title"/>
        <w:rPr>
          <w:sz w:val="40"/>
          <w:szCs w:val="40"/>
        </w:rPr>
      </w:pPr>
      <w:r w:rsidRPr="003A2358">
        <w:rPr>
          <w:rFonts w:cs="Times New Roman"/>
          <w:sz w:val="40"/>
          <w:szCs w:val="40"/>
        </w:rPr>
        <w:t>Providing Primary Care and Preventive Medical Services in Ryan White-funded Medical Care Settings</w:t>
      </w:r>
      <w:r w:rsidRPr="003A2358">
        <w:rPr>
          <w:sz w:val="40"/>
          <w:szCs w:val="40"/>
        </w:rPr>
        <w:t xml:space="preserve">: </w:t>
      </w:r>
      <w:r>
        <w:rPr>
          <w:sz w:val="40"/>
          <w:szCs w:val="40"/>
        </w:rPr>
        <w:t xml:space="preserve">Data </w:t>
      </w:r>
      <w:r w:rsidR="00DD6678" w:rsidRPr="003A2358">
        <w:rPr>
          <w:sz w:val="40"/>
          <w:szCs w:val="40"/>
        </w:rPr>
        <w:t>Extraction Template</w:t>
      </w:r>
    </w:p>
    <w:p w:rsidR="008309CB" w:rsidRPr="008309CB" w:rsidRDefault="008309CB" w:rsidP="008309CB">
      <w:pPr>
        <w:ind w:left="5040"/>
        <w:jc w:val="right"/>
        <w:rPr>
          <w:b/>
          <w:sz w:val="22"/>
        </w:rPr>
      </w:pPr>
      <w:r w:rsidRPr="008309CB">
        <w:rPr>
          <w:sz w:val="22"/>
        </w:rPr>
        <w:t xml:space="preserve">OMB No. </w:t>
      </w:r>
      <w:r w:rsidR="00437C63">
        <w:rPr>
          <w:sz w:val="22"/>
        </w:rPr>
        <w:t>0906</w:t>
      </w:r>
      <w:r w:rsidRPr="008309CB">
        <w:rPr>
          <w:sz w:val="22"/>
        </w:rPr>
        <w:t>-XXXX</w:t>
      </w:r>
      <w:r w:rsidRPr="008309CB">
        <w:rPr>
          <w:sz w:val="22"/>
        </w:rPr>
        <w:br/>
      </w:r>
      <w:bookmarkStart w:id="0" w:name="_GoBack"/>
      <w:bookmarkEnd w:id="0"/>
      <w:r w:rsidRPr="008309CB">
        <w:rPr>
          <w:sz w:val="22"/>
        </w:rPr>
        <w:t xml:space="preserve">                        Expiration date: XX/XX/201X</w:t>
      </w:r>
    </w:p>
    <w:p w:rsidR="000525DB" w:rsidRPr="008309CB" w:rsidRDefault="000525DB" w:rsidP="000525DB">
      <w:pPr>
        <w:spacing w:after="120"/>
        <w:rPr>
          <w:i/>
          <w:sz w:val="22"/>
        </w:rPr>
      </w:pPr>
      <w:r w:rsidRPr="008309CB">
        <w:rPr>
          <w:i/>
          <w:sz w:val="22"/>
        </w:rPr>
        <w:t xml:space="preserve">Public Burden Statement:  An agency may not conduct or sponsor, and a person is not required to respond to, a collection of information unless it displays a currently valid OMB control number.  The OMB control number for this project is </w:t>
      </w:r>
      <w:r w:rsidR="00437C63">
        <w:rPr>
          <w:i/>
          <w:sz w:val="22"/>
        </w:rPr>
        <w:t>0906</w:t>
      </w:r>
      <w:r w:rsidRPr="008309CB">
        <w:rPr>
          <w:i/>
          <w:sz w:val="22"/>
        </w:rPr>
        <w:t>- XXXX.  Public reporting burden for this collection of information is estimated to average 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DD6678" w:rsidRDefault="00DD6678" w:rsidP="00DD6678">
      <w:pPr>
        <w:pStyle w:val="Heading1"/>
      </w:pPr>
      <w:r>
        <w:t>Instructions</w:t>
      </w:r>
    </w:p>
    <w:p w:rsidR="005F0695" w:rsidRDefault="00DD6678" w:rsidP="00DD6678">
      <w:pPr>
        <w:tabs>
          <w:tab w:val="left" w:pos="1129"/>
        </w:tabs>
      </w:pPr>
      <w:r w:rsidRPr="00DD6678">
        <w:t>Thank you for providing information on the provision of primary and preventative care in your clinic and healthcare system. This information is essential in helping the HIV/AIDS Bureau (HAB) understand the extent to which Ryan White-funded providers are rendering primary and preventative care services to HIV-infected individuals.</w:t>
      </w:r>
    </w:p>
    <w:p w:rsidR="000525DB" w:rsidRDefault="000525DB" w:rsidP="00F93B33">
      <w:pPr>
        <w:tabs>
          <w:tab w:val="left" w:pos="1129"/>
        </w:tabs>
        <w:spacing w:after="120"/>
      </w:pPr>
      <w:r w:rsidRPr="00DD6678">
        <w:t>We would like to know whether a small subset of your clients received certain primary and preventative care services in a given time period. This process requires you to look up a client's medical record and answer a series of questions about each service. Please complete this form through the following steps:</w:t>
      </w:r>
    </w:p>
    <w:p w:rsidR="003A2358" w:rsidRPr="003A2358" w:rsidRDefault="000525DB" w:rsidP="003A2358">
      <w:pPr>
        <w:pStyle w:val="ListParagraph"/>
        <w:numPr>
          <w:ilvl w:val="0"/>
          <w:numId w:val="4"/>
        </w:numPr>
        <w:tabs>
          <w:tab w:val="left" w:pos="1129"/>
        </w:tabs>
        <w:spacing w:after="120"/>
        <w:contextualSpacing w:val="0"/>
        <w:rPr>
          <w:szCs w:val="24"/>
        </w:rPr>
      </w:pPr>
      <w:r w:rsidRPr="00DD6678">
        <w:rPr>
          <w:rFonts w:eastAsia="Times New Roman" w:cs="Times New Roman"/>
          <w:color w:val="000000"/>
          <w:szCs w:val="24"/>
        </w:rPr>
        <w:t>Identify your clinic's HIV-infected clients who received any medical service within 2014</w:t>
      </w:r>
    </w:p>
    <w:p w:rsidR="000525DB" w:rsidRPr="005454E2" w:rsidRDefault="000525DB" w:rsidP="00F93B33">
      <w:pPr>
        <w:pStyle w:val="ListParagraph"/>
        <w:numPr>
          <w:ilvl w:val="0"/>
          <w:numId w:val="4"/>
        </w:numPr>
        <w:tabs>
          <w:tab w:val="left" w:pos="1129"/>
        </w:tabs>
        <w:spacing w:after="120"/>
        <w:contextualSpacing w:val="0"/>
        <w:rPr>
          <w:szCs w:val="24"/>
        </w:rPr>
      </w:pPr>
      <w:r w:rsidRPr="00DD6678">
        <w:rPr>
          <w:rFonts w:eastAsia="Times New Roman" w:cs="Times New Roman"/>
          <w:color w:val="000000"/>
          <w:szCs w:val="24"/>
        </w:rPr>
        <w:t>Sort those clients by alphab</w:t>
      </w:r>
      <w:r w:rsidR="003A2358">
        <w:rPr>
          <w:rFonts w:eastAsia="Times New Roman" w:cs="Times New Roman"/>
          <w:color w:val="000000"/>
          <w:szCs w:val="24"/>
        </w:rPr>
        <w:t>etical order, based on last name</w:t>
      </w:r>
    </w:p>
    <w:p w:rsidR="003A2358" w:rsidRPr="003A2358" w:rsidRDefault="000525DB" w:rsidP="003A2358">
      <w:pPr>
        <w:pStyle w:val="ListParagraph"/>
        <w:numPr>
          <w:ilvl w:val="0"/>
          <w:numId w:val="4"/>
        </w:numPr>
        <w:tabs>
          <w:tab w:val="left" w:pos="1129"/>
        </w:tabs>
        <w:spacing w:after="120"/>
        <w:contextualSpacing w:val="0"/>
        <w:rPr>
          <w:szCs w:val="24"/>
        </w:rPr>
      </w:pPr>
      <w:r w:rsidRPr="00DD6678">
        <w:rPr>
          <w:rFonts w:eastAsia="Times New Roman" w:cs="Times New Roman"/>
          <w:color w:val="000000"/>
          <w:szCs w:val="24"/>
        </w:rPr>
        <w:t>Pull up the medical record of every 100th client. In total, you will pull the records of approximately 10 clients.</w:t>
      </w:r>
    </w:p>
    <w:p w:rsidR="005454E2" w:rsidRDefault="005454E2" w:rsidP="00F93B33">
      <w:pPr>
        <w:pStyle w:val="ListParagraph"/>
        <w:numPr>
          <w:ilvl w:val="0"/>
          <w:numId w:val="4"/>
        </w:numPr>
        <w:tabs>
          <w:tab w:val="left" w:pos="1129"/>
        </w:tabs>
        <w:spacing w:after="120"/>
        <w:contextualSpacing w:val="0"/>
        <w:rPr>
          <w:szCs w:val="24"/>
        </w:rPr>
      </w:pPr>
      <w:r>
        <w:rPr>
          <w:szCs w:val="24"/>
        </w:rPr>
        <w:t>For each client, answer the following questions:</w:t>
      </w:r>
    </w:p>
    <w:p w:rsidR="005454E2" w:rsidRDefault="005454E2" w:rsidP="00F93B33">
      <w:pPr>
        <w:pStyle w:val="ListParagraph"/>
        <w:numPr>
          <w:ilvl w:val="1"/>
          <w:numId w:val="4"/>
        </w:numPr>
        <w:tabs>
          <w:tab w:val="left" w:pos="1129"/>
        </w:tabs>
        <w:spacing w:after="0"/>
        <w:contextualSpacing w:val="0"/>
        <w:rPr>
          <w:szCs w:val="24"/>
        </w:rPr>
      </w:pPr>
      <w:r>
        <w:rPr>
          <w:szCs w:val="24"/>
        </w:rPr>
        <w:t>Gender</w:t>
      </w:r>
    </w:p>
    <w:p w:rsidR="005454E2" w:rsidRDefault="005454E2" w:rsidP="00F93B33">
      <w:pPr>
        <w:pStyle w:val="ListParagraph"/>
        <w:numPr>
          <w:ilvl w:val="2"/>
          <w:numId w:val="5"/>
        </w:numPr>
        <w:tabs>
          <w:tab w:val="left" w:pos="1129"/>
        </w:tabs>
        <w:spacing w:after="0"/>
        <w:contextualSpacing w:val="0"/>
        <w:rPr>
          <w:szCs w:val="24"/>
        </w:rPr>
      </w:pPr>
      <w:r>
        <w:rPr>
          <w:szCs w:val="24"/>
        </w:rPr>
        <w:t>Male</w:t>
      </w:r>
    </w:p>
    <w:p w:rsidR="005454E2" w:rsidRDefault="005454E2" w:rsidP="00F93B33">
      <w:pPr>
        <w:pStyle w:val="ListParagraph"/>
        <w:numPr>
          <w:ilvl w:val="2"/>
          <w:numId w:val="5"/>
        </w:numPr>
        <w:tabs>
          <w:tab w:val="left" w:pos="1129"/>
        </w:tabs>
        <w:spacing w:after="0"/>
        <w:contextualSpacing w:val="0"/>
        <w:rPr>
          <w:szCs w:val="24"/>
        </w:rPr>
      </w:pPr>
      <w:r>
        <w:rPr>
          <w:szCs w:val="24"/>
        </w:rPr>
        <w:t>Female</w:t>
      </w:r>
    </w:p>
    <w:p w:rsidR="005454E2" w:rsidRDefault="005454E2" w:rsidP="00F93B33">
      <w:pPr>
        <w:pStyle w:val="ListParagraph"/>
        <w:numPr>
          <w:ilvl w:val="2"/>
          <w:numId w:val="5"/>
        </w:numPr>
        <w:tabs>
          <w:tab w:val="left" w:pos="1129"/>
        </w:tabs>
        <w:spacing w:after="120"/>
        <w:contextualSpacing w:val="0"/>
        <w:rPr>
          <w:szCs w:val="24"/>
        </w:rPr>
      </w:pPr>
      <w:r>
        <w:rPr>
          <w:szCs w:val="24"/>
        </w:rPr>
        <w:t>Transgender</w:t>
      </w:r>
    </w:p>
    <w:p w:rsidR="005454E2" w:rsidRDefault="005454E2" w:rsidP="00F93B33">
      <w:pPr>
        <w:pStyle w:val="ListParagraph"/>
        <w:numPr>
          <w:ilvl w:val="1"/>
          <w:numId w:val="4"/>
        </w:numPr>
        <w:tabs>
          <w:tab w:val="left" w:pos="1129"/>
        </w:tabs>
        <w:spacing w:after="120"/>
        <w:contextualSpacing w:val="0"/>
        <w:rPr>
          <w:szCs w:val="24"/>
        </w:rPr>
      </w:pPr>
      <w:r>
        <w:rPr>
          <w:szCs w:val="24"/>
        </w:rPr>
        <w:t>Age: __________</w:t>
      </w:r>
    </w:p>
    <w:p w:rsidR="005454E2" w:rsidRDefault="005454E2" w:rsidP="00F93B33">
      <w:pPr>
        <w:pStyle w:val="ListParagraph"/>
        <w:numPr>
          <w:ilvl w:val="1"/>
          <w:numId w:val="4"/>
        </w:numPr>
        <w:tabs>
          <w:tab w:val="left" w:pos="1129"/>
        </w:tabs>
        <w:spacing w:after="0"/>
        <w:contextualSpacing w:val="0"/>
        <w:rPr>
          <w:szCs w:val="24"/>
        </w:rPr>
      </w:pPr>
      <w:r>
        <w:rPr>
          <w:szCs w:val="24"/>
        </w:rPr>
        <w:t>Race</w:t>
      </w:r>
    </w:p>
    <w:p w:rsidR="005454E2" w:rsidRDefault="005454E2" w:rsidP="00F93B33">
      <w:pPr>
        <w:pStyle w:val="ListParagraph"/>
        <w:numPr>
          <w:ilvl w:val="2"/>
          <w:numId w:val="5"/>
        </w:numPr>
        <w:tabs>
          <w:tab w:val="left" w:pos="1129"/>
        </w:tabs>
        <w:spacing w:after="0"/>
        <w:contextualSpacing w:val="0"/>
        <w:rPr>
          <w:szCs w:val="24"/>
        </w:rPr>
      </w:pPr>
      <w:r>
        <w:rPr>
          <w:szCs w:val="24"/>
        </w:rPr>
        <w:t>White</w:t>
      </w:r>
    </w:p>
    <w:p w:rsidR="005454E2" w:rsidRDefault="005454E2" w:rsidP="00F93B33">
      <w:pPr>
        <w:pStyle w:val="ListParagraph"/>
        <w:numPr>
          <w:ilvl w:val="2"/>
          <w:numId w:val="5"/>
        </w:numPr>
        <w:tabs>
          <w:tab w:val="left" w:pos="1129"/>
        </w:tabs>
        <w:spacing w:after="0"/>
        <w:contextualSpacing w:val="0"/>
        <w:rPr>
          <w:szCs w:val="24"/>
        </w:rPr>
      </w:pPr>
      <w:r>
        <w:rPr>
          <w:szCs w:val="24"/>
        </w:rPr>
        <w:t>Black or African American</w:t>
      </w:r>
    </w:p>
    <w:p w:rsidR="005454E2" w:rsidRDefault="005454E2" w:rsidP="00F93B33">
      <w:pPr>
        <w:pStyle w:val="ListParagraph"/>
        <w:numPr>
          <w:ilvl w:val="2"/>
          <w:numId w:val="5"/>
        </w:numPr>
        <w:tabs>
          <w:tab w:val="left" w:pos="1129"/>
        </w:tabs>
        <w:spacing w:after="0"/>
        <w:contextualSpacing w:val="0"/>
        <w:rPr>
          <w:szCs w:val="24"/>
        </w:rPr>
      </w:pPr>
      <w:r>
        <w:rPr>
          <w:szCs w:val="24"/>
        </w:rPr>
        <w:t>Asian</w:t>
      </w:r>
    </w:p>
    <w:p w:rsidR="005454E2" w:rsidRDefault="005454E2" w:rsidP="00F93B33">
      <w:pPr>
        <w:pStyle w:val="ListParagraph"/>
        <w:numPr>
          <w:ilvl w:val="2"/>
          <w:numId w:val="5"/>
        </w:numPr>
        <w:tabs>
          <w:tab w:val="left" w:pos="1129"/>
        </w:tabs>
        <w:spacing w:after="0"/>
        <w:contextualSpacing w:val="0"/>
        <w:rPr>
          <w:szCs w:val="24"/>
        </w:rPr>
      </w:pPr>
      <w:r>
        <w:rPr>
          <w:szCs w:val="24"/>
        </w:rPr>
        <w:t>Native American/Pacific Islander</w:t>
      </w:r>
    </w:p>
    <w:p w:rsidR="005454E2" w:rsidRDefault="005454E2" w:rsidP="00F93B33">
      <w:pPr>
        <w:pStyle w:val="ListParagraph"/>
        <w:numPr>
          <w:ilvl w:val="2"/>
          <w:numId w:val="5"/>
        </w:numPr>
        <w:tabs>
          <w:tab w:val="left" w:pos="1129"/>
        </w:tabs>
        <w:spacing w:after="0"/>
        <w:contextualSpacing w:val="0"/>
        <w:rPr>
          <w:szCs w:val="24"/>
        </w:rPr>
      </w:pPr>
      <w:r>
        <w:rPr>
          <w:szCs w:val="24"/>
        </w:rPr>
        <w:t>American Indian or Alaskan Native</w:t>
      </w:r>
    </w:p>
    <w:p w:rsidR="005454E2" w:rsidRDefault="005454E2" w:rsidP="00F93B33">
      <w:pPr>
        <w:pStyle w:val="ListParagraph"/>
        <w:numPr>
          <w:ilvl w:val="2"/>
          <w:numId w:val="5"/>
        </w:numPr>
        <w:tabs>
          <w:tab w:val="left" w:pos="1129"/>
        </w:tabs>
        <w:spacing w:after="0"/>
        <w:contextualSpacing w:val="0"/>
        <w:rPr>
          <w:szCs w:val="24"/>
        </w:rPr>
      </w:pPr>
      <w:r>
        <w:rPr>
          <w:szCs w:val="24"/>
        </w:rPr>
        <w:lastRenderedPageBreak/>
        <w:t>Multiple</w:t>
      </w:r>
    </w:p>
    <w:p w:rsidR="005454E2" w:rsidRDefault="005454E2" w:rsidP="00F93B33">
      <w:pPr>
        <w:pStyle w:val="ListParagraph"/>
        <w:numPr>
          <w:ilvl w:val="2"/>
          <w:numId w:val="5"/>
        </w:numPr>
        <w:tabs>
          <w:tab w:val="left" w:pos="1129"/>
        </w:tabs>
        <w:spacing w:after="0"/>
        <w:contextualSpacing w:val="0"/>
        <w:rPr>
          <w:szCs w:val="24"/>
        </w:rPr>
      </w:pPr>
      <w:r>
        <w:rPr>
          <w:szCs w:val="24"/>
        </w:rPr>
        <w:t>Other</w:t>
      </w:r>
    </w:p>
    <w:p w:rsidR="005454E2" w:rsidRPr="005454E2" w:rsidRDefault="005454E2" w:rsidP="00F93B33">
      <w:pPr>
        <w:pStyle w:val="ListParagraph"/>
        <w:numPr>
          <w:ilvl w:val="2"/>
          <w:numId w:val="5"/>
        </w:numPr>
        <w:tabs>
          <w:tab w:val="left" w:pos="1129"/>
        </w:tabs>
        <w:spacing w:after="120"/>
        <w:contextualSpacing w:val="0"/>
        <w:rPr>
          <w:szCs w:val="24"/>
        </w:rPr>
      </w:pPr>
      <w:r>
        <w:rPr>
          <w:szCs w:val="24"/>
        </w:rPr>
        <w:t>Unknown</w:t>
      </w:r>
    </w:p>
    <w:p w:rsidR="005454E2" w:rsidRDefault="005454E2" w:rsidP="00F93B33">
      <w:pPr>
        <w:pStyle w:val="ListParagraph"/>
        <w:numPr>
          <w:ilvl w:val="1"/>
          <w:numId w:val="4"/>
        </w:numPr>
        <w:tabs>
          <w:tab w:val="left" w:pos="1129"/>
        </w:tabs>
        <w:spacing w:after="0"/>
        <w:contextualSpacing w:val="0"/>
        <w:rPr>
          <w:szCs w:val="24"/>
        </w:rPr>
      </w:pPr>
      <w:r>
        <w:rPr>
          <w:szCs w:val="24"/>
        </w:rPr>
        <w:t>Ethnicity</w:t>
      </w:r>
    </w:p>
    <w:p w:rsidR="005454E2" w:rsidRDefault="005454E2" w:rsidP="00F93B33">
      <w:pPr>
        <w:pStyle w:val="ListParagraph"/>
        <w:numPr>
          <w:ilvl w:val="2"/>
          <w:numId w:val="5"/>
        </w:numPr>
        <w:tabs>
          <w:tab w:val="left" w:pos="1129"/>
        </w:tabs>
        <w:spacing w:after="0"/>
        <w:contextualSpacing w:val="0"/>
        <w:rPr>
          <w:szCs w:val="24"/>
        </w:rPr>
      </w:pPr>
      <w:r>
        <w:rPr>
          <w:szCs w:val="24"/>
        </w:rPr>
        <w:t>Hispanic/Latino</w:t>
      </w:r>
    </w:p>
    <w:p w:rsidR="005454E2" w:rsidRDefault="005454E2" w:rsidP="00F93B33">
      <w:pPr>
        <w:pStyle w:val="ListParagraph"/>
        <w:numPr>
          <w:ilvl w:val="2"/>
          <w:numId w:val="5"/>
        </w:numPr>
        <w:tabs>
          <w:tab w:val="left" w:pos="1129"/>
        </w:tabs>
        <w:spacing w:after="120"/>
        <w:contextualSpacing w:val="0"/>
        <w:rPr>
          <w:szCs w:val="24"/>
        </w:rPr>
      </w:pPr>
      <w:r>
        <w:rPr>
          <w:szCs w:val="24"/>
        </w:rPr>
        <w:t>Non-Hispanic/Latino</w:t>
      </w:r>
    </w:p>
    <w:p w:rsidR="005454E2" w:rsidRDefault="005454E2" w:rsidP="00F93B33">
      <w:pPr>
        <w:pStyle w:val="ListParagraph"/>
        <w:numPr>
          <w:ilvl w:val="1"/>
          <w:numId w:val="4"/>
        </w:numPr>
        <w:tabs>
          <w:tab w:val="left" w:pos="1129"/>
        </w:tabs>
        <w:spacing w:after="0"/>
        <w:contextualSpacing w:val="0"/>
        <w:rPr>
          <w:szCs w:val="24"/>
        </w:rPr>
      </w:pPr>
      <w:r>
        <w:rPr>
          <w:szCs w:val="24"/>
        </w:rPr>
        <w:t>Health insurance status</w:t>
      </w:r>
    </w:p>
    <w:p w:rsidR="005454E2" w:rsidRDefault="005454E2" w:rsidP="00F93B33">
      <w:pPr>
        <w:pStyle w:val="ListParagraph"/>
        <w:numPr>
          <w:ilvl w:val="2"/>
          <w:numId w:val="5"/>
        </w:numPr>
        <w:tabs>
          <w:tab w:val="left" w:pos="1129"/>
        </w:tabs>
        <w:spacing w:after="0"/>
        <w:contextualSpacing w:val="0"/>
        <w:rPr>
          <w:szCs w:val="24"/>
        </w:rPr>
      </w:pPr>
      <w:r>
        <w:rPr>
          <w:szCs w:val="24"/>
        </w:rPr>
        <w:t>Private</w:t>
      </w:r>
    </w:p>
    <w:p w:rsidR="005454E2" w:rsidRDefault="005454E2" w:rsidP="00F93B33">
      <w:pPr>
        <w:pStyle w:val="ListParagraph"/>
        <w:numPr>
          <w:ilvl w:val="2"/>
          <w:numId w:val="5"/>
        </w:numPr>
        <w:tabs>
          <w:tab w:val="left" w:pos="1129"/>
        </w:tabs>
        <w:spacing w:after="0"/>
        <w:contextualSpacing w:val="0"/>
        <w:rPr>
          <w:szCs w:val="24"/>
        </w:rPr>
      </w:pPr>
      <w:r>
        <w:rPr>
          <w:szCs w:val="24"/>
        </w:rPr>
        <w:t>Medicare</w:t>
      </w:r>
    </w:p>
    <w:p w:rsidR="005454E2" w:rsidRDefault="005454E2" w:rsidP="00F93B33">
      <w:pPr>
        <w:pStyle w:val="ListParagraph"/>
        <w:numPr>
          <w:ilvl w:val="2"/>
          <w:numId w:val="5"/>
        </w:numPr>
        <w:tabs>
          <w:tab w:val="left" w:pos="1129"/>
        </w:tabs>
        <w:spacing w:after="0"/>
        <w:contextualSpacing w:val="0"/>
        <w:rPr>
          <w:szCs w:val="24"/>
        </w:rPr>
      </w:pPr>
      <w:r>
        <w:rPr>
          <w:szCs w:val="24"/>
        </w:rPr>
        <w:t>Medicaid, CHIP, or other public</w:t>
      </w:r>
    </w:p>
    <w:p w:rsidR="005454E2" w:rsidRDefault="005454E2" w:rsidP="00F93B33">
      <w:pPr>
        <w:pStyle w:val="ListParagraph"/>
        <w:numPr>
          <w:ilvl w:val="2"/>
          <w:numId w:val="5"/>
        </w:numPr>
        <w:tabs>
          <w:tab w:val="left" w:pos="1129"/>
        </w:tabs>
        <w:spacing w:after="0"/>
        <w:contextualSpacing w:val="0"/>
        <w:rPr>
          <w:szCs w:val="24"/>
        </w:rPr>
      </w:pPr>
      <w:r>
        <w:rPr>
          <w:szCs w:val="24"/>
        </w:rPr>
        <w:t>VA Tricare</w:t>
      </w:r>
    </w:p>
    <w:p w:rsidR="005454E2" w:rsidRDefault="005454E2" w:rsidP="00F93B33">
      <w:pPr>
        <w:pStyle w:val="ListParagraph"/>
        <w:numPr>
          <w:ilvl w:val="2"/>
          <w:numId w:val="5"/>
        </w:numPr>
        <w:tabs>
          <w:tab w:val="left" w:pos="1129"/>
        </w:tabs>
        <w:spacing w:after="0"/>
        <w:contextualSpacing w:val="0"/>
        <w:rPr>
          <w:szCs w:val="24"/>
        </w:rPr>
      </w:pPr>
      <w:r>
        <w:rPr>
          <w:szCs w:val="24"/>
        </w:rPr>
        <w:t>HIS</w:t>
      </w:r>
    </w:p>
    <w:p w:rsidR="005454E2" w:rsidRDefault="005454E2" w:rsidP="00F93B33">
      <w:pPr>
        <w:pStyle w:val="ListParagraph"/>
        <w:numPr>
          <w:ilvl w:val="2"/>
          <w:numId w:val="5"/>
        </w:numPr>
        <w:tabs>
          <w:tab w:val="left" w:pos="1129"/>
        </w:tabs>
        <w:spacing w:after="0"/>
        <w:contextualSpacing w:val="0"/>
        <w:rPr>
          <w:szCs w:val="24"/>
        </w:rPr>
      </w:pPr>
      <w:r>
        <w:rPr>
          <w:szCs w:val="24"/>
        </w:rPr>
        <w:t>No insurance</w:t>
      </w:r>
    </w:p>
    <w:p w:rsidR="005454E2" w:rsidRDefault="005454E2" w:rsidP="00F93B33">
      <w:pPr>
        <w:pStyle w:val="ListParagraph"/>
        <w:numPr>
          <w:ilvl w:val="2"/>
          <w:numId w:val="5"/>
        </w:numPr>
        <w:tabs>
          <w:tab w:val="left" w:pos="1129"/>
        </w:tabs>
        <w:spacing w:after="0"/>
        <w:contextualSpacing w:val="0"/>
        <w:rPr>
          <w:szCs w:val="24"/>
        </w:rPr>
      </w:pPr>
      <w:r>
        <w:rPr>
          <w:szCs w:val="24"/>
        </w:rPr>
        <w:t>Multiple</w:t>
      </w:r>
    </w:p>
    <w:p w:rsidR="005454E2" w:rsidRDefault="005454E2" w:rsidP="00F93B33">
      <w:pPr>
        <w:pStyle w:val="ListParagraph"/>
        <w:numPr>
          <w:ilvl w:val="2"/>
          <w:numId w:val="5"/>
        </w:numPr>
        <w:tabs>
          <w:tab w:val="left" w:pos="1129"/>
        </w:tabs>
        <w:spacing w:after="0"/>
        <w:contextualSpacing w:val="0"/>
        <w:rPr>
          <w:szCs w:val="24"/>
        </w:rPr>
      </w:pPr>
      <w:r>
        <w:rPr>
          <w:szCs w:val="24"/>
        </w:rPr>
        <w:t xml:space="preserve">Other </w:t>
      </w:r>
    </w:p>
    <w:p w:rsidR="005454E2" w:rsidRDefault="005454E2" w:rsidP="00F93B33">
      <w:pPr>
        <w:pStyle w:val="ListParagraph"/>
        <w:numPr>
          <w:ilvl w:val="2"/>
          <w:numId w:val="5"/>
        </w:numPr>
        <w:tabs>
          <w:tab w:val="left" w:pos="1129"/>
        </w:tabs>
        <w:spacing w:after="120"/>
        <w:contextualSpacing w:val="0"/>
        <w:rPr>
          <w:szCs w:val="24"/>
        </w:rPr>
      </w:pPr>
      <w:r>
        <w:rPr>
          <w:szCs w:val="24"/>
        </w:rPr>
        <w:t>Unknown</w:t>
      </w:r>
    </w:p>
    <w:p w:rsidR="005454E2" w:rsidRDefault="005454E2" w:rsidP="00F93B33">
      <w:pPr>
        <w:pStyle w:val="ListParagraph"/>
        <w:numPr>
          <w:ilvl w:val="1"/>
          <w:numId w:val="4"/>
        </w:numPr>
        <w:tabs>
          <w:tab w:val="left" w:pos="1129"/>
        </w:tabs>
        <w:spacing w:after="120"/>
        <w:contextualSpacing w:val="0"/>
        <w:rPr>
          <w:szCs w:val="24"/>
        </w:rPr>
      </w:pPr>
      <w:r>
        <w:rPr>
          <w:szCs w:val="24"/>
        </w:rPr>
        <w:t>Number of medical visits with the program: ________</w:t>
      </w:r>
    </w:p>
    <w:p w:rsidR="000525DB" w:rsidRPr="005454E2" w:rsidRDefault="000525DB" w:rsidP="00F93B33">
      <w:pPr>
        <w:pStyle w:val="ListParagraph"/>
        <w:numPr>
          <w:ilvl w:val="0"/>
          <w:numId w:val="4"/>
        </w:numPr>
        <w:tabs>
          <w:tab w:val="left" w:pos="1129"/>
        </w:tabs>
        <w:spacing w:after="120"/>
        <w:contextualSpacing w:val="0"/>
        <w:rPr>
          <w:szCs w:val="24"/>
        </w:rPr>
      </w:pPr>
      <w:r w:rsidRPr="00DD6678">
        <w:rPr>
          <w:rFonts w:eastAsia="Times New Roman" w:cs="Times New Roman"/>
          <w:color w:val="000000"/>
          <w:szCs w:val="24"/>
        </w:rPr>
        <w:t xml:space="preserve">Through the information provided in the medical record, answer the following questions about </w:t>
      </w:r>
      <w:r w:rsidRPr="005454E2">
        <w:rPr>
          <w:rFonts w:eastAsia="Times New Roman" w:cs="Times New Roman"/>
          <w:color w:val="000000"/>
          <w:szCs w:val="24"/>
        </w:rPr>
        <w:t>each client/service combination</w:t>
      </w:r>
      <w:r w:rsidR="0085661F">
        <w:rPr>
          <w:rFonts w:eastAsia="Times New Roman" w:cs="Times New Roman"/>
          <w:color w:val="000000"/>
          <w:szCs w:val="24"/>
        </w:rPr>
        <w:t xml:space="preserve"> (see Table 1 below for the list of services)</w:t>
      </w:r>
      <w:r w:rsidRPr="00DD6678">
        <w:rPr>
          <w:rFonts w:eastAsia="Times New Roman" w:cs="Times New Roman"/>
          <w:color w:val="000000"/>
          <w:szCs w:val="24"/>
        </w:rPr>
        <w:t>:</w:t>
      </w:r>
    </w:p>
    <w:p w:rsidR="000525DB" w:rsidRPr="005454E2" w:rsidRDefault="000525DB" w:rsidP="00F93B33">
      <w:pPr>
        <w:pStyle w:val="ListParagraph"/>
        <w:numPr>
          <w:ilvl w:val="1"/>
          <w:numId w:val="4"/>
        </w:numPr>
        <w:tabs>
          <w:tab w:val="left" w:pos="1129"/>
        </w:tabs>
        <w:spacing w:after="120"/>
        <w:contextualSpacing w:val="0"/>
        <w:rPr>
          <w:szCs w:val="24"/>
        </w:rPr>
      </w:pPr>
      <w:r w:rsidRPr="005454E2">
        <w:rPr>
          <w:rFonts w:eastAsia="Times New Roman" w:cs="Times New Roman"/>
          <w:color w:val="000000"/>
          <w:szCs w:val="24"/>
        </w:rPr>
        <w:t>What was the date of the latest service?</w:t>
      </w:r>
    </w:p>
    <w:p w:rsidR="000525DB" w:rsidRPr="005454E2" w:rsidRDefault="000525DB" w:rsidP="00F93B33">
      <w:pPr>
        <w:pStyle w:val="ListParagraph"/>
        <w:numPr>
          <w:ilvl w:val="1"/>
          <w:numId w:val="4"/>
        </w:numPr>
        <w:spacing w:after="0"/>
        <w:contextualSpacing w:val="0"/>
        <w:rPr>
          <w:rFonts w:eastAsia="Times New Roman" w:cs="Times New Roman"/>
          <w:color w:val="000000"/>
          <w:szCs w:val="24"/>
        </w:rPr>
      </w:pPr>
      <w:r w:rsidRPr="005454E2">
        <w:rPr>
          <w:rFonts w:eastAsia="Times New Roman" w:cs="Times New Roman"/>
          <w:color w:val="000000"/>
          <w:szCs w:val="24"/>
        </w:rPr>
        <w:t xml:space="preserve">If referred for care outside of the healthcare system, were screening results provided back to the clinic? </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Not applicable; client received care within our healthcare system</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Not applicable; service not medically indicated based on client's age and gender</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Not applicable; service not medically indicated based on client's risk</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Not applicable; service not medically indicated because client is already seeking treatment for condition</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Not applicable; client did not receive the service for reasons other than stated above</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Yes</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w:t>
      </w:r>
    </w:p>
    <w:p w:rsidR="000525DB" w:rsidRPr="005454E2" w:rsidRDefault="000525DB" w:rsidP="00F93B33">
      <w:pPr>
        <w:pStyle w:val="ListParagraph"/>
        <w:numPr>
          <w:ilvl w:val="2"/>
          <w:numId w:val="5"/>
        </w:numPr>
        <w:tabs>
          <w:tab w:val="left" w:pos="1129"/>
        </w:tabs>
        <w:spacing w:after="120"/>
        <w:contextualSpacing w:val="0"/>
        <w:rPr>
          <w:szCs w:val="24"/>
        </w:rPr>
      </w:pPr>
      <w:r w:rsidRPr="005454E2">
        <w:rPr>
          <w:szCs w:val="24"/>
        </w:rPr>
        <w:t>Not sure</w:t>
      </w:r>
    </w:p>
    <w:p w:rsidR="000525DB" w:rsidRPr="005454E2" w:rsidRDefault="000525DB" w:rsidP="00F93B33">
      <w:pPr>
        <w:pStyle w:val="ListParagraph"/>
        <w:numPr>
          <w:ilvl w:val="1"/>
          <w:numId w:val="4"/>
        </w:numPr>
        <w:spacing w:after="0"/>
        <w:contextualSpacing w:val="0"/>
        <w:rPr>
          <w:rFonts w:eastAsia="Times New Roman" w:cs="Times New Roman"/>
          <w:color w:val="000000"/>
          <w:szCs w:val="24"/>
        </w:rPr>
      </w:pPr>
      <w:r w:rsidRPr="005454E2">
        <w:rPr>
          <w:rFonts w:eastAsia="Times New Roman" w:cs="Times New Roman"/>
          <w:color w:val="000000"/>
          <w:szCs w:val="24"/>
        </w:rPr>
        <w:t>Was follow up care provided?</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Yes, in our immediate clinic</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Yes, in a separate clinic within the healthcare system</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Yes, referred to a clinic outside the healthcare system</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Not medically indicated; client did not receive the service or test positive for the condition</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No</w:t>
      </w:r>
    </w:p>
    <w:p w:rsidR="000525DB" w:rsidRPr="005454E2" w:rsidRDefault="000525DB" w:rsidP="00F93B33">
      <w:pPr>
        <w:pStyle w:val="ListParagraph"/>
        <w:numPr>
          <w:ilvl w:val="2"/>
          <w:numId w:val="5"/>
        </w:numPr>
        <w:tabs>
          <w:tab w:val="left" w:pos="1129"/>
        </w:tabs>
        <w:spacing w:after="0"/>
        <w:contextualSpacing w:val="0"/>
        <w:rPr>
          <w:szCs w:val="24"/>
        </w:rPr>
      </w:pPr>
      <w:r w:rsidRPr="005454E2">
        <w:rPr>
          <w:szCs w:val="24"/>
        </w:rPr>
        <w:t xml:space="preserve">Other </w:t>
      </w:r>
    </w:p>
    <w:p w:rsidR="00DD6678" w:rsidRPr="00451FA0" w:rsidRDefault="000525DB" w:rsidP="00DD6678">
      <w:pPr>
        <w:pStyle w:val="ListParagraph"/>
        <w:numPr>
          <w:ilvl w:val="2"/>
          <w:numId w:val="5"/>
        </w:numPr>
        <w:tabs>
          <w:tab w:val="left" w:pos="1129"/>
        </w:tabs>
        <w:spacing w:after="120"/>
        <w:contextualSpacing w:val="0"/>
        <w:rPr>
          <w:szCs w:val="24"/>
        </w:rPr>
        <w:sectPr w:rsidR="00DD6678" w:rsidRPr="00451FA0">
          <w:headerReference w:type="default" r:id="rId8"/>
          <w:footerReference w:type="default" r:id="rId9"/>
          <w:pgSz w:w="12240" w:h="15840"/>
          <w:pgMar w:top="1440" w:right="1440" w:bottom="1440" w:left="1440" w:header="720" w:footer="720" w:gutter="0"/>
          <w:cols w:space="720"/>
          <w:docGrid w:linePitch="360"/>
        </w:sectPr>
      </w:pPr>
      <w:r w:rsidRPr="005454E2">
        <w:rPr>
          <w:szCs w:val="24"/>
        </w:rPr>
        <w:t>Not sure</w:t>
      </w:r>
      <w:r w:rsidR="00DD6678" w:rsidRPr="005454E2">
        <w:rPr>
          <w:szCs w:val="24"/>
        </w:rPr>
        <w:t xml:space="preserve"> </w:t>
      </w:r>
    </w:p>
    <w:p w:rsidR="007912F8" w:rsidRPr="005454E2" w:rsidRDefault="005454E2" w:rsidP="00DD6678">
      <w:pPr>
        <w:tabs>
          <w:tab w:val="left" w:pos="1129"/>
        </w:tabs>
        <w:rPr>
          <w:b/>
        </w:rPr>
      </w:pPr>
      <w:r w:rsidRPr="005454E2">
        <w:rPr>
          <w:b/>
        </w:rPr>
        <w:lastRenderedPageBreak/>
        <w:t>Table 1: Questions per Primary and Preventative Care Service</w:t>
      </w:r>
    </w:p>
    <w:tbl>
      <w:tblPr>
        <w:tblW w:w="12705" w:type="dxa"/>
        <w:tblInd w:w="93" w:type="dxa"/>
        <w:tblLook w:val="04A0" w:firstRow="1" w:lastRow="0" w:firstColumn="1" w:lastColumn="0" w:noHBand="0" w:noVBand="1"/>
      </w:tblPr>
      <w:tblGrid>
        <w:gridCol w:w="419"/>
        <w:gridCol w:w="2420"/>
        <w:gridCol w:w="2756"/>
        <w:gridCol w:w="1350"/>
        <w:gridCol w:w="3780"/>
        <w:gridCol w:w="1980"/>
      </w:tblGrid>
      <w:tr w:rsidR="005454E2" w:rsidRPr="007912F8" w:rsidTr="00DF17E3">
        <w:trPr>
          <w:trHeight w:val="825"/>
        </w:trPr>
        <w:tc>
          <w:tcPr>
            <w:tcW w:w="2839" w:type="dxa"/>
            <w:gridSpan w:val="2"/>
            <w:tcBorders>
              <w:top w:val="single" w:sz="4" w:space="0" w:color="auto"/>
              <w:left w:val="single" w:sz="4" w:space="0" w:color="auto"/>
              <w:bottom w:val="single" w:sz="4" w:space="0" w:color="auto"/>
              <w:right w:val="single" w:sz="4" w:space="0" w:color="auto"/>
            </w:tcBorders>
            <w:shd w:val="clear" w:color="000000" w:fill="EEECE1"/>
            <w:vAlign w:val="center"/>
            <w:hideMark/>
          </w:tcPr>
          <w:p w:rsidR="005454E2" w:rsidRPr="007912F8" w:rsidRDefault="005454E2" w:rsidP="00DF17E3">
            <w:pPr>
              <w:spacing w:after="0"/>
              <w:jc w:val="center"/>
              <w:rPr>
                <w:rFonts w:ascii="Calibri" w:eastAsia="Times New Roman" w:hAnsi="Calibri" w:cs="Times New Roman"/>
                <w:b/>
                <w:bCs/>
                <w:color w:val="000000"/>
                <w:sz w:val="20"/>
                <w:szCs w:val="20"/>
              </w:rPr>
            </w:pPr>
            <w:r w:rsidRPr="007912F8">
              <w:rPr>
                <w:rFonts w:ascii="Calibri" w:eastAsia="Times New Roman" w:hAnsi="Calibri" w:cs="Times New Roman"/>
                <w:b/>
                <w:bCs/>
                <w:color w:val="000000"/>
                <w:sz w:val="20"/>
                <w:szCs w:val="20"/>
              </w:rPr>
              <w:t>Concept</w:t>
            </w:r>
          </w:p>
        </w:tc>
        <w:tc>
          <w:tcPr>
            <w:tcW w:w="2756" w:type="dxa"/>
            <w:tcBorders>
              <w:top w:val="single" w:sz="4" w:space="0" w:color="auto"/>
              <w:left w:val="nil"/>
              <w:bottom w:val="single" w:sz="4" w:space="0" w:color="auto"/>
              <w:right w:val="single" w:sz="4" w:space="0" w:color="auto"/>
            </w:tcBorders>
            <w:shd w:val="clear" w:color="000000" w:fill="EEECE1"/>
            <w:vAlign w:val="center"/>
            <w:hideMark/>
          </w:tcPr>
          <w:p w:rsidR="005454E2" w:rsidRPr="007912F8" w:rsidRDefault="005454E2" w:rsidP="00DF17E3">
            <w:pPr>
              <w:spacing w:after="0"/>
              <w:jc w:val="center"/>
              <w:rPr>
                <w:rFonts w:ascii="Calibri" w:eastAsia="Times New Roman" w:hAnsi="Calibri" w:cs="Times New Roman"/>
                <w:b/>
                <w:bCs/>
                <w:color w:val="000000"/>
                <w:sz w:val="20"/>
                <w:szCs w:val="20"/>
              </w:rPr>
            </w:pPr>
            <w:r w:rsidRPr="007912F8">
              <w:rPr>
                <w:rFonts w:ascii="Calibri" w:eastAsia="Times New Roman" w:hAnsi="Calibri" w:cs="Times New Roman"/>
                <w:b/>
                <w:bCs/>
                <w:color w:val="000000"/>
                <w:sz w:val="20"/>
                <w:szCs w:val="20"/>
              </w:rPr>
              <w:t>Recommendations</w:t>
            </w:r>
          </w:p>
        </w:tc>
        <w:tc>
          <w:tcPr>
            <w:tcW w:w="1350" w:type="dxa"/>
            <w:tcBorders>
              <w:top w:val="single" w:sz="4" w:space="0" w:color="auto"/>
              <w:left w:val="nil"/>
              <w:bottom w:val="single" w:sz="4" w:space="0" w:color="auto"/>
              <w:right w:val="single" w:sz="4" w:space="0" w:color="auto"/>
            </w:tcBorders>
            <w:shd w:val="clear" w:color="000000" w:fill="EEECE1"/>
            <w:vAlign w:val="center"/>
            <w:hideMark/>
          </w:tcPr>
          <w:p w:rsidR="005454E2" w:rsidRPr="007912F8" w:rsidRDefault="005454E2" w:rsidP="00DF17E3">
            <w:pPr>
              <w:spacing w:after="0"/>
              <w:jc w:val="center"/>
              <w:rPr>
                <w:rFonts w:ascii="Calibri" w:eastAsia="Times New Roman" w:hAnsi="Calibri" w:cs="Times New Roman"/>
                <w:b/>
                <w:bCs/>
                <w:color w:val="000000"/>
                <w:sz w:val="20"/>
                <w:szCs w:val="20"/>
              </w:rPr>
            </w:pPr>
            <w:r w:rsidRPr="007912F8">
              <w:rPr>
                <w:rFonts w:ascii="Calibri" w:eastAsia="Times New Roman" w:hAnsi="Calibri" w:cs="Times New Roman"/>
                <w:b/>
                <w:bCs/>
                <w:color w:val="000000"/>
                <w:sz w:val="20"/>
                <w:szCs w:val="20"/>
              </w:rPr>
              <w:t>Please indicate the date of the latest service</w:t>
            </w:r>
          </w:p>
        </w:tc>
        <w:tc>
          <w:tcPr>
            <w:tcW w:w="3780" w:type="dxa"/>
            <w:tcBorders>
              <w:top w:val="single" w:sz="4" w:space="0" w:color="auto"/>
              <w:left w:val="nil"/>
              <w:bottom w:val="single" w:sz="4" w:space="0" w:color="auto"/>
              <w:right w:val="single" w:sz="4" w:space="0" w:color="auto"/>
            </w:tcBorders>
            <w:shd w:val="clear" w:color="000000" w:fill="EEECE1"/>
            <w:vAlign w:val="center"/>
            <w:hideMark/>
          </w:tcPr>
          <w:p w:rsidR="005454E2" w:rsidRPr="007912F8" w:rsidRDefault="005454E2" w:rsidP="00DF17E3">
            <w:pPr>
              <w:spacing w:after="0"/>
              <w:jc w:val="center"/>
              <w:rPr>
                <w:rFonts w:ascii="Calibri" w:eastAsia="Times New Roman" w:hAnsi="Calibri" w:cs="Times New Roman"/>
                <w:b/>
                <w:bCs/>
                <w:color w:val="000000"/>
                <w:sz w:val="20"/>
                <w:szCs w:val="20"/>
              </w:rPr>
            </w:pPr>
            <w:r w:rsidRPr="007912F8">
              <w:rPr>
                <w:rFonts w:ascii="Calibri" w:eastAsia="Times New Roman" w:hAnsi="Calibri" w:cs="Times New Roman"/>
                <w:b/>
                <w:bCs/>
                <w:color w:val="000000"/>
                <w:sz w:val="20"/>
                <w:szCs w:val="20"/>
              </w:rPr>
              <w:t>If referred for care outside of the healthcare system, were screening results provided back to the clinic?</w:t>
            </w:r>
          </w:p>
        </w:tc>
        <w:tc>
          <w:tcPr>
            <w:tcW w:w="1980" w:type="dxa"/>
            <w:tcBorders>
              <w:top w:val="single" w:sz="4" w:space="0" w:color="auto"/>
              <w:left w:val="nil"/>
              <w:bottom w:val="single" w:sz="4" w:space="0" w:color="auto"/>
              <w:right w:val="single" w:sz="4" w:space="0" w:color="auto"/>
            </w:tcBorders>
            <w:shd w:val="clear" w:color="000000" w:fill="EEECE1"/>
            <w:vAlign w:val="center"/>
            <w:hideMark/>
          </w:tcPr>
          <w:p w:rsidR="005454E2" w:rsidRPr="007912F8" w:rsidRDefault="005454E2" w:rsidP="00DF17E3">
            <w:pPr>
              <w:spacing w:after="0"/>
              <w:jc w:val="center"/>
              <w:rPr>
                <w:rFonts w:ascii="Calibri" w:eastAsia="Times New Roman" w:hAnsi="Calibri" w:cs="Times New Roman"/>
                <w:b/>
                <w:bCs/>
                <w:color w:val="000000"/>
                <w:sz w:val="20"/>
                <w:szCs w:val="20"/>
              </w:rPr>
            </w:pPr>
            <w:r w:rsidRPr="007912F8">
              <w:rPr>
                <w:rFonts w:ascii="Calibri" w:eastAsia="Times New Roman" w:hAnsi="Calibri" w:cs="Times New Roman"/>
                <w:b/>
                <w:bCs/>
                <w:color w:val="000000"/>
                <w:sz w:val="20"/>
                <w:szCs w:val="20"/>
              </w:rPr>
              <w:t>Was follow up care provided?</w:t>
            </w:r>
          </w:p>
        </w:tc>
      </w:tr>
      <w:tr w:rsidR="005454E2" w:rsidRPr="007912F8" w:rsidTr="00DF17E3">
        <w:trPr>
          <w:trHeight w:val="5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1</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Breast Cancer Screening (Mammogram)</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Every two years; women 50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noWrap/>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431"/>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2</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xml:space="preserve">Cervical Cancer Screening </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women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4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3</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Diabetes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35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4</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Cholesterol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5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5</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xml:space="preserve">Colorectal Screening </w:t>
            </w:r>
            <w:r w:rsidRPr="007912F8">
              <w:rPr>
                <w:rFonts w:ascii="Calibri" w:eastAsia="Times New Roman" w:hAnsi="Calibri" w:cs="Times New Roman"/>
                <w:i/>
                <w:iCs/>
                <w:color w:val="000000"/>
                <w:sz w:val="20"/>
                <w:szCs w:val="20"/>
              </w:rPr>
              <w:t>(one of the following)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431"/>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xml:space="preserve"> -- Fecal Occult Blood Test</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50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35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xml:space="preserve"> -- Sigmoidoscopy</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Every 5 years; adults 50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386"/>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xml:space="preserve"> -- Colonoscopy</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Every 10 years; adults 50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5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6</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Smoking Cessation Counseling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5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7</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Behavioral Counseling to Promote a Healthy Diet</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5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8</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Depression and Mental Health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540"/>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9</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Alcohol and Substance Use Assessment</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395"/>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10</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Hypertension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359"/>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11</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Hepatitis C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at risk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395"/>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12</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Syphilis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r w:rsidR="005454E2" w:rsidRPr="007912F8" w:rsidTr="00DF17E3">
        <w:trPr>
          <w:trHeight w:val="431"/>
        </w:trPr>
        <w:tc>
          <w:tcPr>
            <w:tcW w:w="419" w:type="dxa"/>
            <w:tcBorders>
              <w:top w:val="nil"/>
              <w:left w:val="single" w:sz="4" w:space="0" w:color="auto"/>
              <w:bottom w:val="single" w:sz="4" w:space="0" w:color="auto"/>
              <w:right w:val="single" w:sz="4" w:space="0" w:color="auto"/>
            </w:tcBorders>
            <w:shd w:val="clear" w:color="000000" w:fill="FFFFFF"/>
            <w:vAlign w:val="center"/>
            <w:hideMark/>
          </w:tcPr>
          <w:p w:rsidR="005454E2" w:rsidRPr="007912F8" w:rsidRDefault="005454E2" w:rsidP="00DF17E3">
            <w:pPr>
              <w:spacing w:after="0"/>
              <w:jc w:val="right"/>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13</w:t>
            </w:r>
          </w:p>
        </w:tc>
        <w:tc>
          <w:tcPr>
            <w:tcW w:w="242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Gonorrhea Screening</w:t>
            </w:r>
          </w:p>
        </w:tc>
        <w:tc>
          <w:tcPr>
            <w:tcW w:w="2756"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Annual; adults 18 and older</w:t>
            </w:r>
          </w:p>
        </w:tc>
        <w:tc>
          <w:tcPr>
            <w:tcW w:w="135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c>
          <w:tcPr>
            <w:tcW w:w="1980" w:type="dxa"/>
            <w:tcBorders>
              <w:top w:val="nil"/>
              <w:left w:val="nil"/>
              <w:bottom w:val="single" w:sz="4" w:space="0" w:color="auto"/>
              <w:right w:val="single" w:sz="4" w:space="0" w:color="auto"/>
            </w:tcBorders>
            <w:shd w:val="clear" w:color="000000" w:fill="FFFFFF"/>
            <w:vAlign w:val="center"/>
            <w:hideMark/>
          </w:tcPr>
          <w:p w:rsidR="005454E2" w:rsidRPr="007912F8" w:rsidRDefault="005454E2" w:rsidP="00DF17E3">
            <w:pPr>
              <w:spacing w:after="0"/>
              <w:rPr>
                <w:rFonts w:ascii="Calibri" w:eastAsia="Times New Roman" w:hAnsi="Calibri" w:cs="Times New Roman"/>
                <w:color w:val="000000"/>
                <w:sz w:val="20"/>
                <w:szCs w:val="20"/>
              </w:rPr>
            </w:pPr>
            <w:r w:rsidRPr="007912F8">
              <w:rPr>
                <w:rFonts w:ascii="Calibri" w:eastAsia="Times New Roman" w:hAnsi="Calibri" w:cs="Times New Roman"/>
                <w:color w:val="000000"/>
                <w:sz w:val="20"/>
                <w:szCs w:val="20"/>
              </w:rPr>
              <w:t> </w:t>
            </w:r>
          </w:p>
        </w:tc>
      </w:tr>
    </w:tbl>
    <w:p w:rsidR="00DD6678" w:rsidRDefault="00DD6678" w:rsidP="00451FA0">
      <w:pPr>
        <w:tabs>
          <w:tab w:val="left" w:pos="1129"/>
        </w:tabs>
      </w:pPr>
    </w:p>
    <w:sectPr w:rsidR="00DD6678" w:rsidSect="00451FA0">
      <w:pgSz w:w="15840" w:h="12240" w:orient="landscape"/>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28" w:rsidRDefault="005F2228" w:rsidP="00226D8D">
      <w:pPr>
        <w:spacing w:after="0"/>
      </w:pPr>
      <w:r>
        <w:separator/>
      </w:r>
    </w:p>
  </w:endnote>
  <w:endnote w:type="continuationSeparator" w:id="0">
    <w:p w:rsidR="005F2228" w:rsidRDefault="005F2228" w:rsidP="00226D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FA0" w:rsidRDefault="00451FA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37C63">
      <w:rPr>
        <w:caps/>
        <w:noProof/>
        <w:color w:val="4F81BD" w:themeColor="accent1"/>
      </w:rPr>
      <w:t>1</w:t>
    </w:r>
    <w:r>
      <w:rPr>
        <w:caps/>
        <w:noProof/>
        <w:color w:val="4F81BD" w:themeColor="accent1"/>
      </w:rPr>
      <w:fldChar w:fldCharType="end"/>
    </w:r>
  </w:p>
  <w:p w:rsidR="00451FA0" w:rsidRDefault="00451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28" w:rsidRDefault="005F2228" w:rsidP="00226D8D">
      <w:pPr>
        <w:spacing w:after="0"/>
      </w:pPr>
      <w:r>
        <w:separator/>
      </w:r>
    </w:p>
  </w:footnote>
  <w:footnote w:type="continuationSeparator" w:id="0">
    <w:p w:rsidR="005F2228" w:rsidRDefault="005F2228" w:rsidP="00226D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8D" w:rsidRPr="00226D8D" w:rsidRDefault="00226D8D">
    <w:pPr>
      <w:pStyle w:val="Header"/>
      <w:rPr>
        <w:sz w:val="28"/>
        <w:szCs w:val="28"/>
      </w:rPr>
    </w:pPr>
    <w:r w:rsidRPr="00226D8D">
      <w:rPr>
        <w:sz w:val="28"/>
        <w:szCs w:val="28"/>
      </w:rPr>
      <w:t>Attachment</w:t>
    </w:r>
    <w:r>
      <w:rPr>
        <w:sz w:val="28"/>
        <w:szCs w:val="28"/>
      </w:rPr>
      <w:t xml:space="preserve"> C</w:t>
    </w:r>
    <w:r w:rsidR="00004382">
      <w:rPr>
        <w:sz w:val="28"/>
        <w:szCs w:val="28"/>
      </w:rPr>
      <w:t>: Data Extraction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448B"/>
    <w:multiLevelType w:val="hybridMultilevel"/>
    <w:tmpl w:val="E53CF0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F60A0"/>
    <w:multiLevelType w:val="hybridMultilevel"/>
    <w:tmpl w:val="4F1E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66CCB"/>
    <w:multiLevelType w:val="hybridMultilevel"/>
    <w:tmpl w:val="0CB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A3CFF"/>
    <w:multiLevelType w:val="hybridMultilevel"/>
    <w:tmpl w:val="A516CA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B4E397C">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F8228A"/>
    <w:multiLevelType w:val="hybridMultilevel"/>
    <w:tmpl w:val="31980FF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78"/>
    <w:rsid w:val="00004382"/>
    <w:rsid w:val="000525DB"/>
    <w:rsid w:val="00063860"/>
    <w:rsid w:val="001C39A2"/>
    <w:rsid w:val="00226D8D"/>
    <w:rsid w:val="00250601"/>
    <w:rsid w:val="003A2358"/>
    <w:rsid w:val="003C1F42"/>
    <w:rsid w:val="00437C63"/>
    <w:rsid w:val="00451FA0"/>
    <w:rsid w:val="00526E69"/>
    <w:rsid w:val="005454E2"/>
    <w:rsid w:val="00574B92"/>
    <w:rsid w:val="005F0695"/>
    <w:rsid w:val="005F2228"/>
    <w:rsid w:val="006702B5"/>
    <w:rsid w:val="00717B21"/>
    <w:rsid w:val="00757BE3"/>
    <w:rsid w:val="007912F8"/>
    <w:rsid w:val="007A1B54"/>
    <w:rsid w:val="0080791F"/>
    <w:rsid w:val="008309CB"/>
    <w:rsid w:val="0085661F"/>
    <w:rsid w:val="00967CD1"/>
    <w:rsid w:val="00A321A9"/>
    <w:rsid w:val="00AE1B16"/>
    <w:rsid w:val="00B705C2"/>
    <w:rsid w:val="00C8551B"/>
    <w:rsid w:val="00DD6678"/>
    <w:rsid w:val="00F9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DB"/>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8309CB"/>
    <w:pPr>
      <w:keepNext/>
      <w:keepLines/>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2506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CB"/>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25060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309CB"/>
    <w:pPr>
      <w:spacing w:after="300"/>
      <w:contextualSpacing/>
    </w:pPr>
    <w:rPr>
      <w:rFonts w:eastAsiaTheme="majorEastAsia" w:cstheme="majorBidi"/>
      <w:spacing w:val="5"/>
      <w:kern w:val="28"/>
      <w:sz w:val="44"/>
      <w:szCs w:val="52"/>
    </w:rPr>
  </w:style>
  <w:style w:type="character" w:customStyle="1" w:styleId="TitleChar">
    <w:name w:val="Title Char"/>
    <w:basedOn w:val="DefaultParagraphFont"/>
    <w:link w:val="Title"/>
    <w:uiPriority w:val="10"/>
    <w:rsid w:val="008309CB"/>
    <w:rPr>
      <w:rFonts w:ascii="Times New Roman" w:eastAsiaTheme="majorEastAsia" w:hAnsi="Times New Roman" w:cstheme="majorBidi"/>
      <w:spacing w:val="5"/>
      <w:kern w:val="28"/>
      <w:sz w:val="44"/>
      <w:szCs w:val="52"/>
    </w:rPr>
  </w:style>
  <w:style w:type="paragraph" w:styleId="Subtitle">
    <w:name w:val="Subtitle"/>
    <w:basedOn w:val="Normal"/>
    <w:next w:val="Normal"/>
    <w:link w:val="SubtitleChar"/>
    <w:uiPriority w:val="11"/>
    <w:qFormat/>
    <w:rsid w:val="0025060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50601"/>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semiHidden/>
    <w:unhideWhenUsed/>
    <w:rsid w:val="00DD6678"/>
    <w:rPr>
      <w:color w:val="0000FF"/>
      <w:u w:val="single"/>
    </w:rPr>
  </w:style>
  <w:style w:type="paragraph" w:styleId="BalloonText">
    <w:name w:val="Balloon Text"/>
    <w:basedOn w:val="Normal"/>
    <w:link w:val="BalloonTextChar"/>
    <w:uiPriority w:val="99"/>
    <w:semiHidden/>
    <w:unhideWhenUsed/>
    <w:rsid w:val="007912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F8"/>
    <w:rPr>
      <w:rFonts w:ascii="Tahoma" w:hAnsi="Tahoma" w:cs="Tahoma"/>
      <w:sz w:val="16"/>
      <w:szCs w:val="16"/>
    </w:rPr>
  </w:style>
  <w:style w:type="paragraph" w:styleId="ListParagraph">
    <w:name w:val="List Paragraph"/>
    <w:basedOn w:val="Normal"/>
    <w:uiPriority w:val="34"/>
    <w:qFormat/>
    <w:rsid w:val="000525DB"/>
    <w:pPr>
      <w:ind w:left="720"/>
      <w:contextualSpacing/>
    </w:pPr>
  </w:style>
  <w:style w:type="paragraph" w:styleId="Header">
    <w:name w:val="header"/>
    <w:basedOn w:val="Normal"/>
    <w:link w:val="HeaderChar"/>
    <w:uiPriority w:val="99"/>
    <w:unhideWhenUsed/>
    <w:rsid w:val="00226D8D"/>
    <w:pPr>
      <w:tabs>
        <w:tab w:val="center" w:pos="4680"/>
        <w:tab w:val="right" w:pos="9360"/>
      </w:tabs>
      <w:spacing w:after="0"/>
    </w:pPr>
  </w:style>
  <w:style w:type="character" w:customStyle="1" w:styleId="HeaderChar">
    <w:name w:val="Header Char"/>
    <w:basedOn w:val="DefaultParagraphFont"/>
    <w:link w:val="Header"/>
    <w:uiPriority w:val="99"/>
    <w:rsid w:val="00226D8D"/>
    <w:rPr>
      <w:rFonts w:ascii="Times New Roman" w:hAnsi="Times New Roman"/>
      <w:sz w:val="24"/>
    </w:rPr>
  </w:style>
  <w:style w:type="paragraph" w:styleId="Footer">
    <w:name w:val="footer"/>
    <w:basedOn w:val="Normal"/>
    <w:link w:val="FooterChar"/>
    <w:uiPriority w:val="99"/>
    <w:unhideWhenUsed/>
    <w:rsid w:val="00226D8D"/>
    <w:pPr>
      <w:tabs>
        <w:tab w:val="center" w:pos="4680"/>
        <w:tab w:val="right" w:pos="9360"/>
      </w:tabs>
      <w:spacing w:after="0"/>
    </w:pPr>
  </w:style>
  <w:style w:type="character" w:customStyle="1" w:styleId="FooterChar">
    <w:name w:val="Footer Char"/>
    <w:basedOn w:val="DefaultParagraphFont"/>
    <w:link w:val="Footer"/>
    <w:uiPriority w:val="99"/>
    <w:rsid w:val="00226D8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DB"/>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8309CB"/>
    <w:pPr>
      <w:keepNext/>
      <w:keepLines/>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2506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CB"/>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25060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309CB"/>
    <w:pPr>
      <w:spacing w:after="300"/>
      <w:contextualSpacing/>
    </w:pPr>
    <w:rPr>
      <w:rFonts w:eastAsiaTheme="majorEastAsia" w:cstheme="majorBidi"/>
      <w:spacing w:val="5"/>
      <w:kern w:val="28"/>
      <w:sz w:val="44"/>
      <w:szCs w:val="52"/>
    </w:rPr>
  </w:style>
  <w:style w:type="character" w:customStyle="1" w:styleId="TitleChar">
    <w:name w:val="Title Char"/>
    <w:basedOn w:val="DefaultParagraphFont"/>
    <w:link w:val="Title"/>
    <w:uiPriority w:val="10"/>
    <w:rsid w:val="008309CB"/>
    <w:rPr>
      <w:rFonts w:ascii="Times New Roman" w:eastAsiaTheme="majorEastAsia" w:hAnsi="Times New Roman" w:cstheme="majorBidi"/>
      <w:spacing w:val="5"/>
      <w:kern w:val="28"/>
      <w:sz w:val="44"/>
      <w:szCs w:val="52"/>
    </w:rPr>
  </w:style>
  <w:style w:type="paragraph" w:styleId="Subtitle">
    <w:name w:val="Subtitle"/>
    <w:basedOn w:val="Normal"/>
    <w:next w:val="Normal"/>
    <w:link w:val="SubtitleChar"/>
    <w:uiPriority w:val="11"/>
    <w:qFormat/>
    <w:rsid w:val="0025060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50601"/>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semiHidden/>
    <w:unhideWhenUsed/>
    <w:rsid w:val="00DD6678"/>
    <w:rPr>
      <w:color w:val="0000FF"/>
      <w:u w:val="single"/>
    </w:rPr>
  </w:style>
  <w:style w:type="paragraph" w:styleId="BalloonText">
    <w:name w:val="Balloon Text"/>
    <w:basedOn w:val="Normal"/>
    <w:link w:val="BalloonTextChar"/>
    <w:uiPriority w:val="99"/>
    <w:semiHidden/>
    <w:unhideWhenUsed/>
    <w:rsid w:val="007912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F8"/>
    <w:rPr>
      <w:rFonts w:ascii="Tahoma" w:hAnsi="Tahoma" w:cs="Tahoma"/>
      <w:sz w:val="16"/>
      <w:szCs w:val="16"/>
    </w:rPr>
  </w:style>
  <w:style w:type="paragraph" w:styleId="ListParagraph">
    <w:name w:val="List Paragraph"/>
    <w:basedOn w:val="Normal"/>
    <w:uiPriority w:val="34"/>
    <w:qFormat/>
    <w:rsid w:val="000525DB"/>
    <w:pPr>
      <w:ind w:left="720"/>
      <w:contextualSpacing/>
    </w:pPr>
  </w:style>
  <w:style w:type="paragraph" w:styleId="Header">
    <w:name w:val="header"/>
    <w:basedOn w:val="Normal"/>
    <w:link w:val="HeaderChar"/>
    <w:uiPriority w:val="99"/>
    <w:unhideWhenUsed/>
    <w:rsid w:val="00226D8D"/>
    <w:pPr>
      <w:tabs>
        <w:tab w:val="center" w:pos="4680"/>
        <w:tab w:val="right" w:pos="9360"/>
      </w:tabs>
      <w:spacing w:after="0"/>
    </w:pPr>
  </w:style>
  <w:style w:type="character" w:customStyle="1" w:styleId="HeaderChar">
    <w:name w:val="Header Char"/>
    <w:basedOn w:val="DefaultParagraphFont"/>
    <w:link w:val="Header"/>
    <w:uiPriority w:val="99"/>
    <w:rsid w:val="00226D8D"/>
    <w:rPr>
      <w:rFonts w:ascii="Times New Roman" w:hAnsi="Times New Roman"/>
      <w:sz w:val="24"/>
    </w:rPr>
  </w:style>
  <w:style w:type="paragraph" w:styleId="Footer">
    <w:name w:val="footer"/>
    <w:basedOn w:val="Normal"/>
    <w:link w:val="FooterChar"/>
    <w:uiPriority w:val="99"/>
    <w:unhideWhenUsed/>
    <w:rsid w:val="00226D8D"/>
    <w:pPr>
      <w:tabs>
        <w:tab w:val="center" w:pos="4680"/>
        <w:tab w:val="right" w:pos="9360"/>
      </w:tabs>
      <w:spacing w:after="0"/>
    </w:pPr>
  </w:style>
  <w:style w:type="character" w:customStyle="1" w:styleId="FooterChar">
    <w:name w:val="Footer Char"/>
    <w:basedOn w:val="DefaultParagraphFont"/>
    <w:link w:val="Footer"/>
    <w:uiPriority w:val="99"/>
    <w:rsid w:val="00226D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76969">
      <w:bodyDiv w:val="1"/>
      <w:marLeft w:val="0"/>
      <w:marRight w:val="0"/>
      <w:marTop w:val="0"/>
      <w:marBottom w:val="0"/>
      <w:divBdr>
        <w:top w:val="none" w:sz="0" w:space="0" w:color="auto"/>
        <w:left w:val="none" w:sz="0" w:space="0" w:color="auto"/>
        <w:bottom w:val="none" w:sz="0" w:space="0" w:color="auto"/>
        <w:right w:val="none" w:sz="0" w:space="0" w:color="auto"/>
      </w:divBdr>
    </w:div>
    <w:div w:id="658382564">
      <w:bodyDiv w:val="1"/>
      <w:marLeft w:val="0"/>
      <w:marRight w:val="0"/>
      <w:marTop w:val="0"/>
      <w:marBottom w:val="0"/>
      <w:divBdr>
        <w:top w:val="none" w:sz="0" w:space="0" w:color="auto"/>
        <w:left w:val="none" w:sz="0" w:space="0" w:color="auto"/>
        <w:bottom w:val="none" w:sz="0" w:space="0" w:color="auto"/>
        <w:right w:val="none" w:sz="0" w:space="0" w:color="auto"/>
      </w:divBdr>
    </w:div>
    <w:div w:id="772240189">
      <w:bodyDiv w:val="1"/>
      <w:marLeft w:val="0"/>
      <w:marRight w:val="0"/>
      <w:marTop w:val="0"/>
      <w:marBottom w:val="0"/>
      <w:divBdr>
        <w:top w:val="none" w:sz="0" w:space="0" w:color="auto"/>
        <w:left w:val="none" w:sz="0" w:space="0" w:color="auto"/>
        <w:bottom w:val="none" w:sz="0" w:space="0" w:color="auto"/>
        <w:right w:val="none" w:sz="0" w:space="0" w:color="auto"/>
      </w:divBdr>
    </w:div>
    <w:div w:id="836730480">
      <w:bodyDiv w:val="1"/>
      <w:marLeft w:val="0"/>
      <w:marRight w:val="0"/>
      <w:marTop w:val="0"/>
      <w:marBottom w:val="0"/>
      <w:divBdr>
        <w:top w:val="none" w:sz="0" w:space="0" w:color="auto"/>
        <w:left w:val="none" w:sz="0" w:space="0" w:color="auto"/>
        <w:bottom w:val="none" w:sz="0" w:space="0" w:color="auto"/>
        <w:right w:val="none" w:sz="0" w:space="0" w:color="auto"/>
      </w:divBdr>
    </w:div>
    <w:div w:id="1051149588">
      <w:bodyDiv w:val="1"/>
      <w:marLeft w:val="0"/>
      <w:marRight w:val="0"/>
      <w:marTop w:val="0"/>
      <w:marBottom w:val="0"/>
      <w:divBdr>
        <w:top w:val="none" w:sz="0" w:space="0" w:color="auto"/>
        <w:left w:val="none" w:sz="0" w:space="0" w:color="auto"/>
        <w:bottom w:val="none" w:sz="0" w:space="0" w:color="auto"/>
        <w:right w:val="none" w:sz="0" w:space="0" w:color="auto"/>
      </w:divBdr>
    </w:div>
    <w:div w:id="1306356189">
      <w:bodyDiv w:val="1"/>
      <w:marLeft w:val="0"/>
      <w:marRight w:val="0"/>
      <w:marTop w:val="0"/>
      <w:marBottom w:val="0"/>
      <w:divBdr>
        <w:top w:val="none" w:sz="0" w:space="0" w:color="auto"/>
        <w:left w:val="none" w:sz="0" w:space="0" w:color="auto"/>
        <w:bottom w:val="none" w:sz="0" w:space="0" w:color="auto"/>
        <w:right w:val="none" w:sz="0" w:space="0" w:color="auto"/>
      </w:divBdr>
    </w:div>
    <w:div w:id="1493643255">
      <w:bodyDiv w:val="1"/>
      <w:marLeft w:val="0"/>
      <w:marRight w:val="0"/>
      <w:marTop w:val="0"/>
      <w:marBottom w:val="0"/>
      <w:divBdr>
        <w:top w:val="none" w:sz="0" w:space="0" w:color="auto"/>
        <w:left w:val="none" w:sz="0" w:space="0" w:color="auto"/>
        <w:bottom w:val="none" w:sz="0" w:space="0" w:color="auto"/>
        <w:right w:val="none" w:sz="0" w:space="0" w:color="auto"/>
      </w:divBdr>
    </w:div>
    <w:div w:id="16755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Coombs</dc:creator>
  <cp:lastModifiedBy>TM</cp:lastModifiedBy>
  <cp:revision>6</cp:revision>
  <dcterms:created xsi:type="dcterms:W3CDTF">2015-06-01T13:38:00Z</dcterms:created>
  <dcterms:modified xsi:type="dcterms:W3CDTF">2015-06-12T22:05:00Z</dcterms:modified>
</cp:coreProperties>
</file>