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8D03BF" w:rsidRPr="00140D75" w:rsidRDefault="005E1850" w:rsidP="005E1850">
      <w:pPr>
        <w:pStyle w:val="Heading1"/>
        <w:numPr>
          <w:ilvl w:val="0"/>
          <w:numId w:val="3"/>
        </w:numPr>
        <w:spacing w:before="51"/>
        <w:rPr>
          <w:rFonts w:ascii="Times New Roman" w:hAnsi="Times New Roman"/>
          <w:color w:val="548DD4" w:themeColor="text2" w:themeTint="99"/>
          <w:spacing w:val="-1"/>
          <w:sz w:val="32"/>
        </w:rPr>
      </w:pPr>
      <w:r w:rsidRPr="00140D75">
        <w:rPr>
          <w:rFonts w:ascii="Times New Roman" w:hAnsi="Times New Roman"/>
          <w:color w:val="548DD4" w:themeColor="text2" w:themeTint="99"/>
          <w:spacing w:val="-1"/>
          <w:sz w:val="32"/>
        </w:rPr>
        <w:t xml:space="preserve">QUANTITATIVE INFORMATION INCLUDED AND FAERS STATEMENT INCLUDED </w:t>
      </w:r>
    </w:p>
    <w:p w:rsidR="008D03BF" w:rsidRDefault="008D03BF" w:rsidP="001D5511">
      <w:pPr>
        <w:pStyle w:val="Heading1"/>
        <w:spacing w:before="51"/>
        <w:ind w:left="0"/>
        <w:rPr>
          <w:rFonts w:ascii="Times New Roman" w:hAnsi="Times New Roman" w:cs="Times New Roman"/>
          <w:spacing w:val="-1"/>
        </w:rPr>
      </w:pPr>
    </w:p>
    <w:p w:rsidR="00877389" w:rsidRDefault="00877389" w:rsidP="00877389">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FDA reviewed the FDA Adverse Event Reporting System (FAERS) database from 1969 through 2012 and the medical literature from 1957 through August 2013 for cases describing serious adverse events associated with the use of </w:t>
      </w:r>
      <w:r w:rsidR="0080505E">
        <w:rPr>
          <w:rFonts w:ascii="Times New Roman" w:eastAsia="Calibri" w:hAnsi="Times New Roman" w:cs="Times New Roman"/>
          <w:spacing w:val="-1"/>
          <w:sz w:val="24"/>
          <w:szCs w:val="24"/>
        </w:rPr>
        <w:t>DRUG B</w:t>
      </w:r>
      <w:r>
        <w:rPr>
          <w:rFonts w:ascii="Times New Roman" w:eastAsia="Calibri" w:hAnsi="Times New Roman" w:cs="Times New Roman"/>
          <w:spacing w:val="-1"/>
          <w:sz w:val="24"/>
          <w:szCs w:val="24"/>
        </w:rPr>
        <w:t xml:space="preserve"> used to treat diabetes. </w:t>
      </w:r>
      <w:r w:rsidRPr="005D132E">
        <w:rPr>
          <w:rFonts w:ascii="Times New Roman" w:eastAsia="Calibri" w:hAnsi="Times New Roman" w:cs="Times New Roman"/>
          <w:color w:val="00B050"/>
          <w:spacing w:val="-1"/>
          <w:sz w:val="24"/>
          <w:szCs w:val="24"/>
        </w:rPr>
        <w:t xml:space="preserve">FAERS includes only reports submitted to FDA so there are likely additional cases about which we are unaware. </w:t>
      </w:r>
      <w:r>
        <w:rPr>
          <w:rFonts w:ascii="Times New Roman" w:eastAsia="Calibri" w:hAnsi="Times New Roman" w:cs="Times New Roman"/>
          <w:spacing w:val="-1"/>
          <w:sz w:val="24"/>
          <w:szCs w:val="24"/>
        </w:rPr>
        <w:t>We identified 54 cases describing serious adverse events in 25 adults and in 29 children. Ten cases were reported to the FAERS database and 44 were published in the medical literature. The age of the consumers ranged widely from 8 days to 97 years, but most cases involved older adults and children younger than 5 years. Nearly two-thirds of the adults and nearly half of the children in whom adverse events were reported had one or more of the following:</w:t>
      </w:r>
    </w:p>
    <w:p w:rsidR="00877389" w:rsidRDefault="00877389" w:rsidP="00877389">
      <w:pPr>
        <w:numPr>
          <w:ilvl w:val="0"/>
          <w:numId w:val="4"/>
        </w:numPr>
        <w:spacing w:before="12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Dehydration, kidney disease, </w:t>
      </w:r>
      <w:r w:rsidR="000E1B3B">
        <w:rPr>
          <w:rFonts w:ascii="Times New Roman" w:eastAsia="Calibri" w:hAnsi="Times New Roman" w:cs="Times New Roman"/>
          <w:spacing w:val="-1"/>
          <w:sz w:val="24"/>
          <w:szCs w:val="24"/>
        </w:rPr>
        <w:t>inflammation of the bowel</w:t>
      </w:r>
      <w:r>
        <w:rPr>
          <w:rFonts w:ascii="Times New Roman" w:eastAsia="Calibri" w:hAnsi="Times New Roman" w:cs="Times New Roman"/>
          <w:spacing w:val="-1"/>
          <w:sz w:val="24"/>
          <w:szCs w:val="24"/>
        </w:rPr>
        <w:t>, or delayed bowel emptying</w:t>
      </w:r>
    </w:p>
    <w:p w:rsidR="00877389" w:rsidRDefault="000E1B3B" w:rsidP="000E1B3B">
      <w:pPr>
        <w:numPr>
          <w:ilvl w:val="0"/>
          <w:numId w:val="4"/>
        </w:numPr>
        <w:spacing w:before="12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U</w:t>
      </w:r>
      <w:r w:rsidR="00877389">
        <w:rPr>
          <w:rFonts w:ascii="Times New Roman" w:eastAsia="Calibri" w:hAnsi="Times New Roman" w:cs="Times New Roman"/>
          <w:spacing w:val="-1"/>
          <w:sz w:val="24"/>
          <w:szCs w:val="24"/>
        </w:rPr>
        <w:t xml:space="preserve">se of </w:t>
      </w:r>
      <w:r>
        <w:rPr>
          <w:rFonts w:ascii="Times New Roman" w:eastAsia="Calibri" w:hAnsi="Times New Roman" w:cs="Times New Roman"/>
          <w:spacing w:val="-1"/>
          <w:sz w:val="24"/>
          <w:szCs w:val="24"/>
        </w:rPr>
        <w:t>medicines that may affect kidney</w:t>
      </w:r>
      <w:r w:rsidR="00877389">
        <w:rPr>
          <w:rFonts w:ascii="Times New Roman" w:eastAsia="Calibri" w:hAnsi="Times New Roman" w:cs="Times New Roman"/>
          <w:spacing w:val="-1"/>
          <w:sz w:val="24"/>
          <w:szCs w:val="24"/>
        </w:rPr>
        <w:t xml:space="preserve"> function, including diuretics</w:t>
      </w:r>
      <w:r>
        <w:rPr>
          <w:rFonts w:ascii="Times New Roman" w:eastAsia="Calibri" w:hAnsi="Times New Roman" w:cs="Times New Roman"/>
          <w:spacing w:val="-1"/>
          <w:sz w:val="24"/>
          <w:szCs w:val="24"/>
        </w:rPr>
        <w:t xml:space="preserve"> or water pills; </w:t>
      </w:r>
      <w:r w:rsidRPr="000E1B3B">
        <w:rPr>
          <w:rFonts w:ascii="Times New Roman" w:eastAsia="Calibri" w:hAnsi="Times New Roman" w:cs="Times New Roman"/>
          <w:spacing w:val="-1"/>
          <w:sz w:val="24"/>
          <w:szCs w:val="24"/>
        </w:rPr>
        <w:t>angiotensin converting enzyme inhibitors (ACEIs) and angiotensin receptor blockers (ARBs) used to treat high blood pressure; and nonsteroidal anti-inflammatory drugs (NSAIDs) such as aspirin, ibuprofen, and naproxen.</w:t>
      </w:r>
    </w:p>
    <w:p w:rsidR="00877389" w:rsidRDefault="00877389">
      <w:pPr>
        <w:rPr>
          <w:rFonts w:ascii="Times New Roman" w:eastAsia="Calibri" w:hAnsi="Times New Roman" w:cs="Times New Roman"/>
          <w:b/>
          <w:bCs/>
          <w:spacing w:val="-1"/>
          <w:sz w:val="24"/>
          <w:szCs w:val="24"/>
        </w:rPr>
      </w:pPr>
    </w:p>
    <w:p w:rsidR="008D03BF" w:rsidRDefault="008D03BF">
      <w:pP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br w:type="page"/>
      </w:r>
    </w:p>
    <w:p w:rsidR="005E1850" w:rsidRDefault="005E1850" w:rsidP="005E1850">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31658564" wp14:editId="1EBB19E8">
            <wp:extent cx="5920604" cy="76790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E1850" w:rsidRDefault="005E1850" w:rsidP="005E1850">
      <w:pPr>
        <w:spacing w:before="5"/>
        <w:rPr>
          <w:rFonts w:ascii="Times New Roman" w:eastAsia="Times New Roman" w:hAnsi="Times New Roman" w:cs="Times New Roman"/>
          <w:sz w:val="16"/>
          <w:szCs w:val="16"/>
        </w:rPr>
      </w:pPr>
    </w:p>
    <w:p w:rsidR="005E1850" w:rsidRPr="00140D75" w:rsidRDefault="005E1850" w:rsidP="005E1850">
      <w:pPr>
        <w:pStyle w:val="Heading1"/>
        <w:numPr>
          <w:ilvl w:val="0"/>
          <w:numId w:val="3"/>
        </w:numPr>
        <w:spacing w:before="51"/>
        <w:rPr>
          <w:rFonts w:ascii="Times New Roman" w:hAnsi="Times New Roman"/>
          <w:color w:val="548DD4" w:themeColor="text2" w:themeTint="99"/>
          <w:spacing w:val="-1"/>
          <w:sz w:val="32"/>
        </w:rPr>
      </w:pPr>
      <w:r w:rsidRPr="00140D75">
        <w:rPr>
          <w:rFonts w:ascii="Times New Roman" w:hAnsi="Times New Roman"/>
          <w:color w:val="548DD4" w:themeColor="text2" w:themeTint="99"/>
          <w:spacing w:val="-1"/>
          <w:sz w:val="32"/>
        </w:rPr>
        <w:t xml:space="preserve">QUANTITATIVE INFORMATION INCLUDED, NO FAERS STATEMENT INCLUDED </w:t>
      </w:r>
    </w:p>
    <w:p w:rsidR="005E1850" w:rsidRDefault="005E1850" w:rsidP="005E1850">
      <w:pPr>
        <w:pStyle w:val="Heading1"/>
        <w:spacing w:before="51"/>
        <w:ind w:left="0"/>
        <w:rPr>
          <w:rFonts w:ascii="Times New Roman" w:hAnsi="Times New Roman" w:cs="Times New Roman"/>
          <w:spacing w:val="-1"/>
        </w:rPr>
      </w:pPr>
    </w:p>
    <w:p w:rsidR="001D1FD0" w:rsidRDefault="001D1FD0" w:rsidP="001D1FD0">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FDA reviewed the FDA Adverse Event Reporting System (FAERS) database from 1969 through 2012 and the medical literature from 1957 through August 2013 for cases describing serious adverse events associated with the use of </w:t>
      </w:r>
      <w:r w:rsidR="0080505E">
        <w:rPr>
          <w:rFonts w:ascii="Times New Roman" w:eastAsia="Calibri" w:hAnsi="Times New Roman" w:cs="Times New Roman"/>
          <w:spacing w:val="-1"/>
          <w:sz w:val="24"/>
          <w:szCs w:val="24"/>
        </w:rPr>
        <w:t>DRUG B</w:t>
      </w:r>
      <w:r>
        <w:rPr>
          <w:rFonts w:ascii="Times New Roman" w:eastAsia="Calibri" w:hAnsi="Times New Roman" w:cs="Times New Roman"/>
          <w:spacing w:val="-1"/>
          <w:sz w:val="24"/>
          <w:szCs w:val="24"/>
        </w:rPr>
        <w:t xml:space="preserve"> used to treat diabetes. We identified 54 cases describing serious adverse events in 25 adults and in 29 children. Ten cases were reported to the FAERS database and 44 were published in the medical literature. The age of the consumers ranged widely from 8 days to 97 years, but most cases involved older adults and children younger than 5 years. Nearly two-thirds of the adults and nearly half of the children in whom adverse events were reported had one or more of the following:</w:t>
      </w:r>
    </w:p>
    <w:p w:rsidR="001D1FD0" w:rsidRDefault="001D1FD0" w:rsidP="001D1FD0">
      <w:pPr>
        <w:numPr>
          <w:ilvl w:val="0"/>
          <w:numId w:val="4"/>
        </w:numPr>
        <w:spacing w:before="12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Dehydration, kidney disease, </w:t>
      </w:r>
      <w:r w:rsidR="000E1B3B">
        <w:rPr>
          <w:rFonts w:ascii="Times New Roman" w:eastAsia="Calibri" w:hAnsi="Times New Roman" w:cs="Times New Roman"/>
          <w:spacing w:val="-1"/>
          <w:sz w:val="24"/>
          <w:szCs w:val="24"/>
        </w:rPr>
        <w:t>inflammation of the bowel</w:t>
      </w:r>
      <w:r>
        <w:rPr>
          <w:rFonts w:ascii="Times New Roman" w:eastAsia="Calibri" w:hAnsi="Times New Roman" w:cs="Times New Roman"/>
          <w:spacing w:val="-1"/>
          <w:sz w:val="24"/>
          <w:szCs w:val="24"/>
        </w:rPr>
        <w:t>, or delayed bowel emptying</w:t>
      </w:r>
    </w:p>
    <w:p w:rsidR="001D1FD0" w:rsidRDefault="000E1B3B" w:rsidP="000E1B3B">
      <w:pPr>
        <w:numPr>
          <w:ilvl w:val="0"/>
          <w:numId w:val="4"/>
        </w:numPr>
        <w:spacing w:before="12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U</w:t>
      </w:r>
      <w:r w:rsidR="001D1FD0">
        <w:rPr>
          <w:rFonts w:ascii="Times New Roman" w:eastAsia="Calibri" w:hAnsi="Times New Roman" w:cs="Times New Roman"/>
          <w:spacing w:val="-1"/>
          <w:sz w:val="24"/>
          <w:szCs w:val="24"/>
        </w:rPr>
        <w:t xml:space="preserve">se of </w:t>
      </w:r>
      <w:r>
        <w:rPr>
          <w:rFonts w:ascii="Times New Roman" w:eastAsia="Calibri" w:hAnsi="Times New Roman" w:cs="Times New Roman"/>
          <w:spacing w:val="-1"/>
          <w:sz w:val="24"/>
          <w:szCs w:val="24"/>
        </w:rPr>
        <w:t>medicines that may affect kidney</w:t>
      </w:r>
      <w:r w:rsidR="001D1FD0">
        <w:rPr>
          <w:rFonts w:ascii="Times New Roman" w:eastAsia="Calibri" w:hAnsi="Times New Roman" w:cs="Times New Roman"/>
          <w:spacing w:val="-1"/>
          <w:sz w:val="24"/>
          <w:szCs w:val="24"/>
        </w:rPr>
        <w:t xml:space="preserve"> function, including diuretics</w:t>
      </w:r>
      <w:r>
        <w:rPr>
          <w:rFonts w:ascii="Times New Roman" w:eastAsia="Calibri" w:hAnsi="Times New Roman" w:cs="Times New Roman"/>
          <w:spacing w:val="-1"/>
          <w:sz w:val="24"/>
          <w:szCs w:val="24"/>
        </w:rPr>
        <w:t xml:space="preserve"> or water pills;</w:t>
      </w:r>
      <w:r w:rsidR="001D1FD0">
        <w:rPr>
          <w:rFonts w:ascii="Times New Roman" w:eastAsia="Calibri" w:hAnsi="Times New Roman" w:cs="Times New Roman"/>
          <w:spacing w:val="-1"/>
          <w:sz w:val="24"/>
          <w:szCs w:val="24"/>
        </w:rPr>
        <w:t xml:space="preserve"> </w:t>
      </w:r>
      <w:r w:rsidRPr="000E1B3B">
        <w:rPr>
          <w:rFonts w:ascii="Times New Roman" w:eastAsia="Calibri" w:hAnsi="Times New Roman" w:cs="Times New Roman"/>
          <w:spacing w:val="-1"/>
          <w:sz w:val="24"/>
          <w:szCs w:val="24"/>
        </w:rPr>
        <w:t>angiotensin converting enzyme inhibitors (ACEIs) and angiotensin receptor blockers (ARBs) used to treat high blood pressure; and nonsteroidal anti-inflammatory drugs (NSAIDs) such as aspirin, ibuprofen, and naproxen</w:t>
      </w:r>
    </w:p>
    <w:p w:rsidR="005E1850" w:rsidRPr="0015483C" w:rsidRDefault="005E1850" w:rsidP="005E1850">
      <w:pPr>
        <w:spacing w:before="6"/>
        <w:rPr>
          <w:rFonts w:ascii="Times New Roman" w:eastAsia="Calibri" w:hAnsi="Times New Roman" w:cs="Times New Roman"/>
          <w:b/>
          <w:bCs/>
          <w:sz w:val="24"/>
          <w:szCs w:val="24"/>
        </w:rPr>
      </w:pPr>
    </w:p>
    <w:p w:rsidR="005E1850" w:rsidRDefault="005E1850" w:rsidP="005E1850">
      <w:pPr>
        <w:rPr>
          <w:rFonts w:ascii="Times New Roman" w:eastAsia="Calibri" w:hAnsi="Times New Roman" w:cs="Times New Roman"/>
          <w:b/>
          <w:bCs/>
          <w:spacing w:val="-1"/>
          <w:sz w:val="24"/>
          <w:szCs w:val="24"/>
        </w:rPr>
      </w:pPr>
    </w:p>
    <w:p w:rsidR="001D1FD0" w:rsidRDefault="001D1FD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5E1850" w:rsidRDefault="005E1850" w:rsidP="005E1850">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2CA2DB30" wp14:editId="7EBF884A">
            <wp:extent cx="5920604" cy="767905"/>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E1850" w:rsidRDefault="005E1850" w:rsidP="005E1850">
      <w:pPr>
        <w:spacing w:before="5"/>
        <w:rPr>
          <w:rFonts w:ascii="Times New Roman" w:eastAsia="Times New Roman" w:hAnsi="Times New Roman" w:cs="Times New Roman"/>
          <w:sz w:val="16"/>
          <w:szCs w:val="16"/>
        </w:rPr>
      </w:pPr>
    </w:p>
    <w:p w:rsidR="00A73AD7" w:rsidRPr="004362F3" w:rsidRDefault="00A73AD7" w:rsidP="00A73AD7">
      <w:pPr>
        <w:pStyle w:val="Heading1"/>
        <w:numPr>
          <w:ilvl w:val="0"/>
          <w:numId w:val="3"/>
        </w:numPr>
        <w:spacing w:before="51"/>
        <w:rPr>
          <w:rFonts w:ascii="Times New Roman" w:hAnsi="Times New Roman"/>
          <w:color w:val="548DD4" w:themeColor="text2" w:themeTint="99"/>
          <w:spacing w:val="-1"/>
          <w:sz w:val="32"/>
        </w:rPr>
      </w:pPr>
      <w:r w:rsidRPr="004362F3">
        <w:rPr>
          <w:rFonts w:ascii="Times New Roman" w:hAnsi="Times New Roman"/>
          <w:color w:val="548DD4" w:themeColor="text2" w:themeTint="99"/>
          <w:spacing w:val="-1"/>
          <w:sz w:val="32"/>
        </w:rPr>
        <w:t xml:space="preserve">QUANTITATIVE INFORMATION NOT INCLUDED, NO FAERS STATEMENT INCLUDED </w:t>
      </w:r>
    </w:p>
    <w:p w:rsidR="005E1850" w:rsidRDefault="005E1850" w:rsidP="005E1850">
      <w:pPr>
        <w:pStyle w:val="Heading1"/>
        <w:spacing w:before="51"/>
        <w:ind w:left="0"/>
        <w:rPr>
          <w:rFonts w:ascii="Times New Roman" w:hAnsi="Times New Roman" w:cs="Times New Roman"/>
          <w:spacing w:val="-1"/>
        </w:rPr>
      </w:pPr>
    </w:p>
    <w:p w:rsidR="001D1FD0" w:rsidRDefault="001D1FD0" w:rsidP="001D1FD0">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FDA reviewed the FDA Adverse Event Reporting System (FAERS) database from 1969 through 2012 and the medical literature from 1957 through August 2013 for cases describing serious adverse events associated with the use of </w:t>
      </w:r>
      <w:r w:rsidR="0080505E">
        <w:rPr>
          <w:rFonts w:ascii="Times New Roman" w:eastAsia="Calibri" w:hAnsi="Times New Roman" w:cs="Times New Roman"/>
          <w:spacing w:val="-1"/>
          <w:sz w:val="24"/>
          <w:szCs w:val="24"/>
        </w:rPr>
        <w:t>DRUG B</w:t>
      </w:r>
      <w:r>
        <w:rPr>
          <w:rFonts w:ascii="Times New Roman" w:eastAsia="Calibri" w:hAnsi="Times New Roman" w:cs="Times New Roman"/>
          <w:spacing w:val="-1"/>
          <w:sz w:val="24"/>
          <w:szCs w:val="24"/>
        </w:rPr>
        <w:t xml:space="preserve"> used to treat diabetes. </w:t>
      </w:r>
      <w:r w:rsidR="0034799C">
        <w:rPr>
          <w:rFonts w:ascii="Times New Roman" w:eastAsia="Calibri" w:hAnsi="Times New Roman" w:cs="Times New Roman"/>
          <w:spacing w:val="-1"/>
          <w:sz w:val="24"/>
          <w:szCs w:val="24"/>
        </w:rPr>
        <w:t>Some</w:t>
      </w:r>
      <w:r>
        <w:rPr>
          <w:rFonts w:ascii="Times New Roman" w:eastAsia="Calibri" w:hAnsi="Times New Roman" w:cs="Times New Roman"/>
          <w:spacing w:val="-1"/>
          <w:sz w:val="24"/>
          <w:szCs w:val="24"/>
        </w:rPr>
        <w:t xml:space="preserve"> cases describing serious adverse</w:t>
      </w:r>
      <w:r w:rsidR="0034799C">
        <w:rPr>
          <w:rFonts w:ascii="Times New Roman" w:eastAsia="Calibri" w:hAnsi="Times New Roman" w:cs="Times New Roman"/>
          <w:spacing w:val="-1"/>
          <w:sz w:val="24"/>
          <w:szCs w:val="24"/>
        </w:rPr>
        <w:t xml:space="preserve"> events in adults and children </w:t>
      </w:r>
      <w:bookmarkStart w:id="0" w:name="_GoBack"/>
      <w:bookmarkEnd w:id="0"/>
      <w:r>
        <w:rPr>
          <w:rFonts w:ascii="Times New Roman" w:eastAsia="Calibri" w:hAnsi="Times New Roman" w:cs="Times New Roman"/>
          <w:spacing w:val="-1"/>
          <w:sz w:val="24"/>
          <w:szCs w:val="24"/>
        </w:rPr>
        <w:t>were reported to the FAERS database and some were published in the medical literature.  The age of the consumers ranged widely from 8 days to 97 years, but most cases involved older adults and children younger than 5 years. Some people in whom adverse events were reported had one or more of the following:</w:t>
      </w:r>
    </w:p>
    <w:p w:rsidR="001D1FD0" w:rsidRDefault="001D1FD0" w:rsidP="001D1FD0">
      <w:pPr>
        <w:numPr>
          <w:ilvl w:val="0"/>
          <w:numId w:val="4"/>
        </w:numPr>
        <w:spacing w:before="12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Dehydration, kidney disease, </w:t>
      </w:r>
      <w:r w:rsidR="000E1B3B">
        <w:rPr>
          <w:rFonts w:ascii="Times New Roman" w:eastAsia="Calibri" w:hAnsi="Times New Roman" w:cs="Times New Roman"/>
          <w:spacing w:val="-1"/>
          <w:sz w:val="24"/>
          <w:szCs w:val="24"/>
        </w:rPr>
        <w:t>inflammation of the bowel</w:t>
      </w:r>
      <w:r>
        <w:rPr>
          <w:rFonts w:ascii="Times New Roman" w:eastAsia="Calibri" w:hAnsi="Times New Roman" w:cs="Times New Roman"/>
          <w:spacing w:val="-1"/>
          <w:sz w:val="24"/>
          <w:szCs w:val="24"/>
        </w:rPr>
        <w:t>, or delayed bowel emptying</w:t>
      </w:r>
    </w:p>
    <w:p w:rsidR="001D1FD0" w:rsidRDefault="000E1B3B" w:rsidP="000E1B3B">
      <w:pPr>
        <w:numPr>
          <w:ilvl w:val="0"/>
          <w:numId w:val="4"/>
        </w:numPr>
        <w:spacing w:before="12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U</w:t>
      </w:r>
      <w:r w:rsidR="001D1FD0">
        <w:rPr>
          <w:rFonts w:ascii="Times New Roman" w:eastAsia="Calibri" w:hAnsi="Times New Roman" w:cs="Times New Roman"/>
          <w:spacing w:val="-1"/>
          <w:sz w:val="24"/>
          <w:szCs w:val="24"/>
        </w:rPr>
        <w:t xml:space="preserve">se of </w:t>
      </w:r>
      <w:r>
        <w:rPr>
          <w:rFonts w:ascii="Times New Roman" w:eastAsia="Calibri" w:hAnsi="Times New Roman" w:cs="Times New Roman"/>
          <w:spacing w:val="-1"/>
          <w:sz w:val="24"/>
          <w:szCs w:val="24"/>
        </w:rPr>
        <w:t>medicines that may affect kidney</w:t>
      </w:r>
      <w:r w:rsidR="001D1FD0">
        <w:rPr>
          <w:rFonts w:ascii="Times New Roman" w:eastAsia="Calibri" w:hAnsi="Times New Roman" w:cs="Times New Roman"/>
          <w:spacing w:val="-1"/>
          <w:sz w:val="24"/>
          <w:szCs w:val="24"/>
        </w:rPr>
        <w:t xml:space="preserve"> function, including diuretics</w:t>
      </w:r>
      <w:r>
        <w:rPr>
          <w:rFonts w:ascii="Times New Roman" w:eastAsia="Calibri" w:hAnsi="Times New Roman" w:cs="Times New Roman"/>
          <w:spacing w:val="-1"/>
          <w:sz w:val="24"/>
          <w:szCs w:val="24"/>
        </w:rPr>
        <w:t xml:space="preserve"> or water pills;</w:t>
      </w:r>
      <w:r w:rsidR="001D1FD0">
        <w:rPr>
          <w:rFonts w:ascii="Times New Roman" w:eastAsia="Calibri" w:hAnsi="Times New Roman" w:cs="Times New Roman"/>
          <w:spacing w:val="-1"/>
          <w:sz w:val="24"/>
          <w:szCs w:val="24"/>
        </w:rPr>
        <w:t xml:space="preserve"> </w:t>
      </w:r>
      <w:r w:rsidRPr="000E1B3B">
        <w:rPr>
          <w:rFonts w:ascii="Times New Roman" w:eastAsia="Calibri" w:hAnsi="Times New Roman" w:cs="Times New Roman"/>
          <w:spacing w:val="-1"/>
          <w:sz w:val="24"/>
          <w:szCs w:val="24"/>
        </w:rPr>
        <w:t>angiotensin converting enzyme inhibitors (ACEIs) and angiotensin receptor blockers (ARBs) used to treat high blood pressure; and nonsteroidal anti-inflammatory drugs (NSAIDs) such as aspirin, ibuprofen, and naproxen</w:t>
      </w:r>
    </w:p>
    <w:p w:rsidR="001D1FD0" w:rsidRPr="0015483C" w:rsidRDefault="001D1FD0">
      <w:pPr>
        <w:rPr>
          <w:rFonts w:ascii="Times New Roman" w:eastAsia="Calibri" w:hAnsi="Times New Roman" w:cs="Times New Roman"/>
          <w:b/>
          <w:bCs/>
          <w:spacing w:val="-1"/>
          <w:sz w:val="24"/>
          <w:szCs w:val="24"/>
        </w:rPr>
      </w:pPr>
    </w:p>
    <w:sectPr w:rsidR="001D1FD0"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3495078D"/>
    <w:multiLevelType w:val="hybridMultilevel"/>
    <w:tmpl w:val="9E107AA0"/>
    <w:lvl w:ilvl="0" w:tplc="94A4ECB0">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nsid w:val="61664E91"/>
    <w:multiLevelType w:val="hybridMultilevel"/>
    <w:tmpl w:val="B0FAF092"/>
    <w:lvl w:ilvl="0" w:tplc="AAECC9C6">
      <w:start w:val="1"/>
      <w:numFmt w:val="bullet"/>
      <w:lvlText w:val=""/>
      <w:lvlJc w:val="left"/>
      <w:pPr>
        <w:tabs>
          <w:tab w:val="num" w:pos="720"/>
        </w:tabs>
        <w:ind w:left="720" w:hanging="360"/>
      </w:pPr>
      <w:rPr>
        <w:rFonts w:ascii="Wingdings" w:hAnsi="Wingdings" w:hint="default"/>
      </w:rPr>
    </w:lvl>
    <w:lvl w:ilvl="1" w:tplc="3ADED61E">
      <w:start w:val="1"/>
      <w:numFmt w:val="bullet"/>
      <w:lvlText w:val=""/>
      <w:lvlJc w:val="left"/>
      <w:pPr>
        <w:tabs>
          <w:tab w:val="num" w:pos="1440"/>
        </w:tabs>
        <w:ind w:left="1440" w:hanging="360"/>
      </w:pPr>
      <w:rPr>
        <w:rFonts w:ascii="Wingdings" w:hAnsi="Wingdings" w:hint="default"/>
      </w:rPr>
    </w:lvl>
    <w:lvl w:ilvl="2" w:tplc="BA780B46">
      <w:start w:val="1"/>
      <w:numFmt w:val="bullet"/>
      <w:lvlText w:val=""/>
      <w:lvlJc w:val="left"/>
      <w:pPr>
        <w:tabs>
          <w:tab w:val="num" w:pos="2160"/>
        </w:tabs>
        <w:ind w:left="2160" w:hanging="360"/>
      </w:pPr>
      <w:rPr>
        <w:rFonts w:ascii="Wingdings" w:hAnsi="Wingdings" w:hint="default"/>
      </w:rPr>
    </w:lvl>
    <w:lvl w:ilvl="3" w:tplc="FD2079DA">
      <w:start w:val="1"/>
      <w:numFmt w:val="bullet"/>
      <w:lvlText w:val=""/>
      <w:lvlJc w:val="left"/>
      <w:pPr>
        <w:tabs>
          <w:tab w:val="num" w:pos="2880"/>
        </w:tabs>
        <w:ind w:left="2880" w:hanging="360"/>
      </w:pPr>
      <w:rPr>
        <w:rFonts w:ascii="Wingdings" w:hAnsi="Wingdings" w:hint="default"/>
      </w:rPr>
    </w:lvl>
    <w:lvl w:ilvl="4" w:tplc="0D24727E">
      <w:start w:val="1"/>
      <w:numFmt w:val="bullet"/>
      <w:lvlText w:val=""/>
      <w:lvlJc w:val="left"/>
      <w:pPr>
        <w:tabs>
          <w:tab w:val="num" w:pos="3600"/>
        </w:tabs>
        <w:ind w:left="3600" w:hanging="360"/>
      </w:pPr>
      <w:rPr>
        <w:rFonts w:ascii="Wingdings" w:hAnsi="Wingdings" w:hint="default"/>
      </w:rPr>
    </w:lvl>
    <w:lvl w:ilvl="5" w:tplc="DD743302">
      <w:start w:val="1"/>
      <w:numFmt w:val="bullet"/>
      <w:lvlText w:val=""/>
      <w:lvlJc w:val="left"/>
      <w:pPr>
        <w:tabs>
          <w:tab w:val="num" w:pos="4320"/>
        </w:tabs>
        <w:ind w:left="4320" w:hanging="360"/>
      </w:pPr>
      <w:rPr>
        <w:rFonts w:ascii="Wingdings" w:hAnsi="Wingdings" w:hint="default"/>
      </w:rPr>
    </w:lvl>
    <w:lvl w:ilvl="6" w:tplc="628AA2B0">
      <w:start w:val="1"/>
      <w:numFmt w:val="bullet"/>
      <w:lvlText w:val=""/>
      <w:lvlJc w:val="left"/>
      <w:pPr>
        <w:tabs>
          <w:tab w:val="num" w:pos="5040"/>
        </w:tabs>
        <w:ind w:left="5040" w:hanging="360"/>
      </w:pPr>
      <w:rPr>
        <w:rFonts w:ascii="Wingdings" w:hAnsi="Wingdings" w:hint="default"/>
      </w:rPr>
    </w:lvl>
    <w:lvl w:ilvl="7" w:tplc="D8D2A3F0">
      <w:start w:val="1"/>
      <w:numFmt w:val="bullet"/>
      <w:lvlText w:val=""/>
      <w:lvlJc w:val="left"/>
      <w:pPr>
        <w:tabs>
          <w:tab w:val="num" w:pos="5760"/>
        </w:tabs>
        <w:ind w:left="5760" w:hanging="360"/>
      </w:pPr>
      <w:rPr>
        <w:rFonts w:ascii="Wingdings" w:hAnsi="Wingdings" w:hint="default"/>
      </w:rPr>
    </w:lvl>
    <w:lvl w:ilvl="8" w:tplc="9D02E932">
      <w:start w:val="1"/>
      <w:numFmt w:val="bullet"/>
      <w:lvlText w:val=""/>
      <w:lvlJc w:val="left"/>
      <w:pPr>
        <w:tabs>
          <w:tab w:val="num" w:pos="6480"/>
        </w:tabs>
        <w:ind w:left="6480" w:hanging="360"/>
      </w:pPr>
      <w:rPr>
        <w:rFonts w:ascii="Wingdings" w:hAnsi="Wingdings" w:hint="default"/>
      </w:rPr>
    </w:lvl>
  </w:abstractNum>
  <w:abstractNum w:abstractNumId="3">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0E1B3B"/>
    <w:rsid w:val="000F0630"/>
    <w:rsid w:val="00140D75"/>
    <w:rsid w:val="0015483C"/>
    <w:rsid w:val="00192678"/>
    <w:rsid w:val="001D1FD0"/>
    <w:rsid w:val="001D5511"/>
    <w:rsid w:val="002722FC"/>
    <w:rsid w:val="00317EF3"/>
    <w:rsid w:val="0034799C"/>
    <w:rsid w:val="00434CCD"/>
    <w:rsid w:val="00440CB1"/>
    <w:rsid w:val="005C5C52"/>
    <w:rsid w:val="005D132E"/>
    <w:rsid w:val="005D2F80"/>
    <w:rsid w:val="005E1850"/>
    <w:rsid w:val="005F3386"/>
    <w:rsid w:val="006806BC"/>
    <w:rsid w:val="0069118A"/>
    <w:rsid w:val="006A4D2A"/>
    <w:rsid w:val="006C7D73"/>
    <w:rsid w:val="0080505E"/>
    <w:rsid w:val="00877389"/>
    <w:rsid w:val="00893147"/>
    <w:rsid w:val="008A7481"/>
    <w:rsid w:val="008D03BF"/>
    <w:rsid w:val="00964EA4"/>
    <w:rsid w:val="009F0B49"/>
    <w:rsid w:val="00A425D4"/>
    <w:rsid w:val="00A73AD7"/>
    <w:rsid w:val="00AB7C4E"/>
    <w:rsid w:val="00AC58D6"/>
    <w:rsid w:val="00AD2779"/>
    <w:rsid w:val="00AD6DB7"/>
    <w:rsid w:val="00AF0686"/>
    <w:rsid w:val="00CC1B6A"/>
    <w:rsid w:val="00CD70B2"/>
    <w:rsid w:val="00DB7D91"/>
    <w:rsid w:val="00DC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customStyle="1" w:styleId="Heading1Char">
    <w:name w:val="Heading 1 Char"/>
    <w:basedOn w:val="DefaultParagraphFont"/>
    <w:link w:val="Heading1"/>
    <w:uiPriority w:val="1"/>
    <w:rsid w:val="008D03BF"/>
    <w:rPr>
      <w:rFonts w:ascii="Calibri" w:eastAsia="Calibri" w:hAnsi="Calibri"/>
      <w:b/>
      <w:bCs/>
      <w:sz w:val="24"/>
      <w:szCs w:val="24"/>
    </w:rPr>
  </w:style>
  <w:style w:type="character" w:customStyle="1" w:styleId="Heading2Char">
    <w:name w:val="Heading 2 Char"/>
    <w:basedOn w:val="DefaultParagraphFont"/>
    <w:link w:val="Heading2"/>
    <w:uiPriority w:val="1"/>
    <w:rsid w:val="008D03BF"/>
    <w:rPr>
      <w:rFonts w:ascii="Calibri" w:eastAsia="Calibri" w:hAnsi="Calibri"/>
      <w:b/>
      <w:bCs/>
    </w:rPr>
  </w:style>
  <w:style w:type="character" w:customStyle="1" w:styleId="BodyTextChar">
    <w:name w:val="Body Text Char"/>
    <w:basedOn w:val="DefaultParagraphFont"/>
    <w:link w:val="BodyText"/>
    <w:uiPriority w:val="1"/>
    <w:rsid w:val="008D03BF"/>
    <w:rPr>
      <w:rFonts w:ascii="Calibri" w:eastAsia="Calibri" w:hAnsi="Calibri"/>
    </w:rPr>
  </w:style>
  <w:style w:type="character" w:styleId="CommentReference">
    <w:name w:val="annotation reference"/>
    <w:basedOn w:val="DefaultParagraphFont"/>
    <w:uiPriority w:val="99"/>
    <w:semiHidden/>
    <w:unhideWhenUsed/>
    <w:rsid w:val="002722FC"/>
    <w:rPr>
      <w:sz w:val="16"/>
      <w:szCs w:val="16"/>
    </w:rPr>
  </w:style>
  <w:style w:type="paragraph" w:styleId="CommentText">
    <w:name w:val="annotation text"/>
    <w:basedOn w:val="Normal"/>
    <w:link w:val="CommentTextChar"/>
    <w:uiPriority w:val="99"/>
    <w:semiHidden/>
    <w:unhideWhenUsed/>
    <w:rsid w:val="002722FC"/>
    <w:rPr>
      <w:sz w:val="20"/>
      <w:szCs w:val="20"/>
    </w:rPr>
  </w:style>
  <w:style w:type="character" w:customStyle="1" w:styleId="CommentTextChar">
    <w:name w:val="Comment Text Char"/>
    <w:basedOn w:val="DefaultParagraphFont"/>
    <w:link w:val="CommentText"/>
    <w:uiPriority w:val="99"/>
    <w:semiHidden/>
    <w:rsid w:val="002722FC"/>
    <w:rPr>
      <w:sz w:val="20"/>
      <w:szCs w:val="20"/>
    </w:rPr>
  </w:style>
  <w:style w:type="paragraph" w:styleId="CommentSubject">
    <w:name w:val="annotation subject"/>
    <w:basedOn w:val="CommentText"/>
    <w:next w:val="CommentText"/>
    <w:link w:val="CommentSubjectChar"/>
    <w:uiPriority w:val="99"/>
    <w:semiHidden/>
    <w:unhideWhenUsed/>
    <w:rsid w:val="002722FC"/>
    <w:rPr>
      <w:b/>
      <w:bCs/>
    </w:rPr>
  </w:style>
  <w:style w:type="character" w:customStyle="1" w:styleId="CommentSubjectChar">
    <w:name w:val="Comment Subject Char"/>
    <w:basedOn w:val="CommentTextChar"/>
    <w:link w:val="CommentSubject"/>
    <w:uiPriority w:val="99"/>
    <w:semiHidden/>
    <w:rsid w:val="002722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customStyle="1" w:styleId="Heading1Char">
    <w:name w:val="Heading 1 Char"/>
    <w:basedOn w:val="DefaultParagraphFont"/>
    <w:link w:val="Heading1"/>
    <w:uiPriority w:val="1"/>
    <w:rsid w:val="008D03BF"/>
    <w:rPr>
      <w:rFonts w:ascii="Calibri" w:eastAsia="Calibri" w:hAnsi="Calibri"/>
      <w:b/>
      <w:bCs/>
      <w:sz w:val="24"/>
      <w:szCs w:val="24"/>
    </w:rPr>
  </w:style>
  <w:style w:type="character" w:customStyle="1" w:styleId="Heading2Char">
    <w:name w:val="Heading 2 Char"/>
    <w:basedOn w:val="DefaultParagraphFont"/>
    <w:link w:val="Heading2"/>
    <w:uiPriority w:val="1"/>
    <w:rsid w:val="008D03BF"/>
    <w:rPr>
      <w:rFonts w:ascii="Calibri" w:eastAsia="Calibri" w:hAnsi="Calibri"/>
      <w:b/>
      <w:bCs/>
    </w:rPr>
  </w:style>
  <w:style w:type="character" w:customStyle="1" w:styleId="BodyTextChar">
    <w:name w:val="Body Text Char"/>
    <w:basedOn w:val="DefaultParagraphFont"/>
    <w:link w:val="BodyText"/>
    <w:uiPriority w:val="1"/>
    <w:rsid w:val="008D03BF"/>
    <w:rPr>
      <w:rFonts w:ascii="Calibri" w:eastAsia="Calibri" w:hAnsi="Calibri"/>
    </w:rPr>
  </w:style>
  <w:style w:type="character" w:styleId="CommentReference">
    <w:name w:val="annotation reference"/>
    <w:basedOn w:val="DefaultParagraphFont"/>
    <w:uiPriority w:val="99"/>
    <w:semiHidden/>
    <w:unhideWhenUsed/>
    <w:rsid w:val="002722FC"/>
    <w:rPr>
      <w:sz w:val="16"/>
      <w:szCs w:val="16"/>
    </w:rPr>
  </w:style>
  <w:style w:type="paragraph" w:styleId="CommentText">
    <w:name w:val="annotation text"/>
    <w:basedOn w:val="Normal"/>
    <w:link w:val="CommentTextChar"/>
    <w:uiPriority w:val="99"/>
    <w:semiHidden/>
    <w:unhideWhenUsed/>
    <w:rsid w:val="002722FC"/>
    <w:rPr>
      <w:sz w:val="20"/>
      <w:szCs w:val="20"/>
    </w:rPr>
  </w:style>
  <w:style w:type="character" w:customStyle="1" w:styleId="CommentTextChar">
    <w:name w:val="Comment Text Char"/>
    <w:basedOn w:val="DefaultParagraphFont"/>
    <w:link w:val="CommentText"/>
    <w:uiPriority w:val="99"/>
    <w:semiHidden/>
    <w:rsid w:val="002722FC"/>
    <w:rPr>
      <w:sz w:val="20"/>
      <w:szCs w:val="20"/>
    </w:rPr>
  </w:style>
  <w:style w:type="paragraph" w:styleId="CommentSubject">
    <w:name w:val="annotation subject"/>
    <w:basedOn w:val="CommentText"/>
    <w:next w:val="CommentText"/>
    <w:link w:val="CommentSubjectChar"/>
    <w:uiPriority w:val="99"/>
    <w:semiHidden/>
    <w:unhideWhenUsed/>
    <w:rsid w:val="002722FC"/>
    <w:rPr>
      <w:b/>
      <w:bCs/>
    </w:rPr>
  </w:style>
  <w:style w:type="character" w:customStyle="1" w:styleId="CommentSubjectChar">
    <w:name w:val="Comment Subject Char"/>
    <w:basedOn w:val="CommentTextChar"/>
    <w:link w:val="CommentSubject"/>
    <w:uiPriority w:val="99"/>
    <w:semiHidden/>
    <w:rsid w:val="00272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8729">
      <w:bodyDiv w:val="1"/>
      <w:marLeft w:val="0"/>
      <w:marRight w:val="0"/>
      <w:marTop w:val="0"/>
      <w:marBottom w:val="0"/>
      <w:divBdr>
        <w:top w:val="none" w:sz="0" w:space="0" w:color="auto"/>
        <w:left w:val="none" w:sz="0" w:space="0" w:color="auto"/>
        <w:bottom w:val="none" w:sz="0" w:space="0" w:color="auto"/>
        <w:right w:val="none" w:sz="0" w:space="0" w:color="auto"/>
      </w:divBdr>
    </w:div>
    <w:div w:id="294027248">
      <w:bodyDiv w:val="1"/>
      <w:marLeft w:val="0"/>
      <w:marRight w:val="0"/>
      <w:marTop w:val="0"/>
      <w:marBottom w:val="0"/>
      <w:divBdr>
        <w:top w:val="none" w:sz="0" w:space="0" w:color="auto"/>
        <w:left w:val="none" w:sz="0" w:space="0" w:color="auto"/>
        <w:bottom w:val="none" w:sz="0" w:space="0" w:color="auto"/>
        <w:right w:val="none" w:sz="0" w:space="0" w:color="auto"/>
      </w:divBdr>
    </w:div>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487788778">
      <w:bodyDiv w:val="1"/>
      <w:marLeft w:val="0"/>
      <w:marRight w:val="0"/>
      <w:marTop w:val="0"/>
      <w:marBottom w:val="0"/>
      <w:divBdr>
        <w:top w:val="none" w:sz="0" w:space="0" w:color="auto"/>
        <w:left w:val="none" w:sz="0" w:space="0" w:color="auto"/>
        <w:bottom w:val="none" w:sz="0" w:space="0" w:color="auto"/>
        <w:right w:val="none" w:sz="0" w:space="0" w:color="auto"/>
      </w:divBdr>
    </w:div>
    <w:div w:id="610210982">
      <w:bodyDiv w:val="1"/>
      <w:marLeft w:val="0"/>
      <w:marRight w:val="0"/>
      <w:marTop w:val="0"/>
      <w:marBottom w:val="0"/>
      <w:divBdr>
        <w:top w:val="none" w:sz="0" w:space="0" w:color="auto"/>
        <w:left w:val="none" w:sz="0" w:space="0" w:color="auto"/>
        <w:bottom w:val="none" w:sz="0" w:space="0" w:color="auto"/>
        <w:right w:val="none" w:sz="0" w:space="0" w:color="auto"/>
      </w:divBdr>
    </w:div>
    <w:div w:id="770274388">
      <w:bodyDiv w:val="1"/>
      <w:marLeft w:val="0"/>
      <w:marRight w:val="0"/>
      <w:marTop w:val="0"/>
      <w:marBottom w:val="0"/>
      <w:divBdr>
        <w:top w:val="none" w:sz="0" w:space="0" w:color="auto"/>
        <w:left w:val="none" w:sz="0" w:space="0" w:color="auto"/>
        <w:bottom w:val="none" w:sz="0" w:space="0" w:color="auto"/>
        <w:right w:val="none" w:sz="0" w:space="0" w:color="auto"/>
      </w:divBdr>
    </w:div>
    <w:div w:id="84628436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961496972">
      <w:bodyDiv w:val="1"/>
      <w:marLeft w:val="0"/>
      <w:marRight w:val="0"/>
      <w:marTop w:val="0"/>
      <w:marBottom w:val="0"/>
      <w:divBdr>
        <w:top w:val="none" w:sz="0" w:space="0" w:color="auto"/>
        <w:left w:val="none" w:sz="0" w:space="0" w:color="auto"/>
        <w:bottom w:val="none" w:sz="0" w:space="0" w:color="auto"/>
        <w:right w:val="none" w:sz="0" w:space="0" w:color="auto"/>
      </w:divBdr>
    </w:div>
    <w:div w:id="1037513702">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63160015">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218315996">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58186853">
      <w:bodyDiv w:val="1"/>
      <w:marLeft w:val="0"/>
      <w:marRight w:val="0"/>
      <w:marTop w:val="0"/>
      <w:marBottom w:val="0"/>
      <w:divBdr>
        <w:top w:val="none" w:sz="0" w:space="0" w:color="auto"/>
        <w:left w:val="none" w:sz="0" w:space="0" w:color="auto"/>
        <w:bottom w:val="none" w:sz="0" w:space="0" w:color="auto"/>
        <w:right w:val="none" w:sz="0" w:space="0" w:color="auto"/>
      </w:divBdr>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 w:id="2104572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11</cp:revision>
  <dcterms:created xsi:type="dcterms:W3CDTF">2015-07-21T18:41:00Z</dcterms:created>
  <dcterms:modified xsi:type="dcterms:W3CDTF">2015-08-12T13:39:00Z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