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068" w:rsidRDefault="00E53257">
      <w:pPr>
        <w:jc w:val="center"/>
        <w:outlineLvl w:val="0"/>
        <w:rPr>
          <w:sz w:val="96"/>
          <w:szCs w:val="96"/>
        </w:rPr>
      </w:pPr>
      <w:bookmarkStart w:id="0" w:name="_GoBack"/>
      <w:bookmarkEnd w:id="0"/>
      <w:r w:rsidRPr="00DB2922">
        <w:rPr>
          <w:sz w:val="96"/>
          <w:szCs w:val="96"/>
        </w:rPr>
        <w:t>D</w:t>
      </w:r>
      <w:r w:rsidR="00846264" w:rsidRPr="00DB2922">
        <w:rPr>
          <w:sz w:val="96"/>
          <w:szCs w:val="96"/>
        </w:rPr>
        <w:t xml:space="preserve">rug </w:t>
      </w:r>
      <w:r w:rsidRPr="00DB2922">
        <w:rPr>
          <w:sz w:val="96"/>
          <w:szCs w:val="96"/>
        </w:rPr>
        <w:t>S</w:t>
      </w:r>
      <w:r w:rsidR="00846264" w:rsidRPr="00DB2922">
        <w:rPr>
          <w:sz w:val="96"/>
          <w:szCs w:val="96"/>
        </w:rPr>
        <w:t xml:space="preserve">upply </w:t>
      </w:r>
      <w:r w:rsidRPr="00DB2922">
        <w:rPr>
          <w:sz w:val="96"/>
          <w:szCs w:val="96"/>
        </w:rPr>
        <w:t>C</w:t>
      </w:r>
      <w:r w:rsidR="00846264" w:rsidRPr="00DB2922">
        <w:rPr>
          <w:sz w:val="96"/>
          <w:szCs w:val="96"/>
        </w:rPr>
        <w:t xml:space="preserve">hain </w:t>
      </w:r>
      <w:r w:rsidRPr="00DB2922">
        <w:rPr>
          <w:sz w:val="96"/>
          <w:szCs w:val="96"/>
        </w:rPr>
        <w:t>S</w:t>
      </w:r>
      <w:r w:rsidR="00846264" w:rsidRPr="00DB2922">
        <w:rPr>
          <w:sz w:val="96"/>
          <w:szCs w:val="96"/>
        </w:rPr>
        <w:t xml:space="preserve">ecurity </w:t>
      </w:r>
      <w:r w:rsidRPr="00DB2922">
        <w:rPr>
          <w:sz w:val="96"/>
          <w:szCs w:val="96"/>
        </w:rPr>
        <w:t>A</w:t>
      </w:r>
      <w:r w:rsidR="00846264" w:rsidRPr="00DB2922">
        <w:rPr>
          <w:sz w:val="96"/>
          <w:szCs w:val="96"/>
        </w:rPr>
        <w:t>ct</w:t>
      </w:r>
      <w:r w:rsidRPr="00DB2922">
        <w:rPr>
          <w:sz w:val="96"/>
          <w:szCs w:val="96"/>
        </w:rPr>
        <w:t xml:space="preserve"> Implementation:   </w:t>
      </w:r>
      <w:r w:rsidR="009D5597" w:rsidRPr="00DB2922">
        <w:rPr>
          <w:sz w:val="96"/>
          <w:szCs w:val="96"/>
        </w:rPr>
        <w:t xml:space="preserve">Identification of Suspect Product and Notification </w:t>
      </w:r>
    </w:p>
    <w:p w:rsidR="008C6C8C" w:rsidRPr="008C6C8C" w:rsidRDefault="008C6C8C" w:rsidP="00DB2922">
      <w:pPr>
        <w:pStyle w:val="Title"/>
        <w:rPr>
          <w:sz w:val="72"/>
          <w:szCs w:val="72"/>
        </w:rPr>
      </w:pPr>
      <w:r w:rsidRPr="00DB2922">
        <w:rPr>
          <w:sz w:val="72"/>
          <w:szCs w:val="72"/>
        </w:rPr>
        <w:t>Guidance for Industry</w:t>
      </w:r>
    </w:p>
    <w:p w:rsidR="00072068" w:rsidRDefault="00072068">
      <w:pPr>
        <w:jc w:val="center"/>
      </w:pPr>
    </w:p>
    <w:p w:rsidR="00072068" w:rsidRDefault="00072068">
      <w:pPr>
        <w:jc w:val="center"/>
      </w:pPr>
    </w:p>
    <w:p w:rsidR="00072068" w:rsidRDefault="00072068">
      <w:pPr>
        <w:jc w:val="center"/>
      </w:pPr>
    </w:p>
    <w:p w:rsidR="00072068" w:rsidRDefault="00072068">
      <w:pPr>
        <w:jc w:val="center"/>
      </w:pPr>
    </w:p>
    <w:p w:rsidR="00072068" w:rsidRDefault="00072068">
      <w:pPr>
        <w:jc w:val="center"/>
      </w:pPr>
    </w:p>
    <w:p w:rsidR="00072068" w:rsidRDefault="00072068">
      <w:pPr>
        <w:jc w:val="center"/>
      </w:pPr>
    </w:p>
    <w:p w:rsidR="00072068" w:rsidRDefault="00072068">
      <w:pPr>
        <w:jc w:val="center"/>
      </w:pPr>
    </w:p>
    <w:p w:rsidR="00072068" w:rsidRDefault="00072068">
      <w:pPr>
        <w:jc w:val="center"/>
        <w:outlineLvl w:val="0"/>
        <w:rPr>
          <w:b/>
        </w:rPr>
      </w:pPr>
      <w:r>
        <w:rPr>
          <w:b/>
        </w:rPr>
        <w:t>U.S. Department of Health and Human Services</w:t>
      </w:r>
    </w:p>
    <w:p w:rsidR="00072068" w:rsidRDefault="00072068">
      <w:pPr>
        <w:jc w:val="center"/>
        <w:rPr>
          <w:b/>
        </w:rPr>
      </w:pPr>
      <w:r>
        <w:rPr>
          <w:b/>
        </w:rPr>
        <w:t>Food and Drug Administration</w:t>
      </w:r>
    </w:p>
    <w:p w:rsidR="00072068" w:rsidRDefault="00072068">
      <w:pPr>
        <w:jc w:val="center"/>
        <w:rPr>
          <w:b/>
        </w:rPr>
      </w:pPr>
      <w:r>
        <w:rPr>
          <w:b/>
        </w:rPr>
        <w:t>Center for Drug Evaluation and Research (CDER)</w:t>
      </w:r>
    </w:p>
    <w:p w:rsidR="00072068" w:rsidRDefault="001C4801">
      <w:pPr>
        <w:jc w:val="center"/>
        <w:rPr>
          <w:b/>
        </w:rPr>
      </w:pPr>
      <w:r>
        <w:rPr>
          <w:b/>
        </w:rPr>
        <w:t>Center for Biologics Evaluation and Research (CBER)</w:t>
      </w:r>
    </w:p>
    <w:p w:rsidR="00072068" w:rsidRDefault="001C4801">
      <w:pPr>
        <w:jc w:val="center"/>
        <w:rPr>
          <w:b/>
        </w:rPr>
      </w:pPr>
      <w:r>
        <w:rPr>
          <w:b/>
        </w:rPr>
        <w:t>Office of Regulatory Affairs (ORA)</w:t>
      </w:r>
    </w:p>
    <w:p w:rsidR="00193EB2" w:rsidRDefault="00193EB2">
      <w:pPr>
        <w:jc w:val="center"/>
        <w:rPr>
          <w:b/>
        </w:rPr>
      </w:pPr>
    </w:p>
    <w:p w:rsidR="00072068" w:rsidRPr="005F46B6" w:rsidRDefault="003979A3">
      <w:pPr>
        <w:jc w:val="center"/>
        <w:rPr>
          <w:b/>
        </w:rPr>
      </w:pPr>
      <w:r>
        <w:rPr>
          <w:b/>
        </w:rPr>
        <w:t>XXXX</w:t>
      </w:r>
      <w:r w:rsidR="00F007E1">
        <w:rPr>
          <w:b/>
        </w:rPr>
        <w:t xml:space="preserve"> 201</w:t>
      </w:r>
      <w:r w:rsidR="000F0DCB">
        <w:rPr>
          <w:b/>
        </w:rPr>
        <w:t>5</w:t>
      </w:r>
    </w:p>
    <w:p w:rsidR="00AD7D67" w:rsidRDefault="001F7934" w:rsidP="00DB2922">
      <w:pPr>
        <w:jc w:val="center"/>
        <w:rPr>
          <w:b/>
        </w:rPr>
        <w:sectPr w:rsidR="00AD7D67" w:rsidSect="00A73117">
          <w:headerReference w:type="default" r:id="rId13"/>
          <w:footerReference w:type="default" r:id="rId14"/>
          <w:pgSz w:w="12240" w:h="15840"/>
          <w:pgMar w:top="1440" w:right="1440" w:bottom="1440" w:left="1440" w:header="720" w:footer="435" w:gutter="0"/>
          <w:cols w:space="720"/>
        </w:sectPr>
      </w:pPr>
      <w:r>
        <w:rPr>
          <w:noProof/>
        </w:rPr>
        <mc:AlternateContent>
          <mc:Choice Requires="wps">
            <w:drawing>
              <wp:anchor distT="0" distB="0" distL="114300" distR="114300" simplePos="0" relativeHeight="251659264" behindDoc="0" locked="0" layoutInCell="0" allowOverlap="1" wp14:anchorId="64869056" wp14:editId="195C1374">
                <wp:simplePos x="0" y="0"/>
                <wp:positionH relativeFrom="column">
                  <wp:posOffset>44450</wp:posOffset>
                </wp:positionH>
                <wp:positionV relativeFrom="paragraph">
                  <wp:posOffset>2981960</wp:posOffset>
                </wp:positionV>
                <wp:extent cx="5943600" cy="0"/>
                <wp:effectExtent l="0" t="0" r="0" b="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34.8pt" to="471.5pt,2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7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" o:allowincell="f" strokeweight="2.25pt"/>
            </w:pict>
          </mc:Fallback>
        </mc:AlternateContent>
      </w:r>
      <w:r w:rsidR="002B74C8">
        <w:rPr>
          <w:b/>
        </w:rPr>
        <w:t>Procedural</w:t>
      </w:r>
    </w:p>
    <w:p w:rsidR="00355172" w:rsidRPr="00DB2922" w:rsidRDefault="00E53257" w:rsidP="00355172">
      <w:pPr>
        <w:jc w:val="center"/>
        <w:outlineLvl w:val="0"/>
        <w:rPr>
          <w:sz w:val="80"/>
          <w:szCs w:val="80"/>
        </w:rPr>
      </w:pPr>
      <w:r w:rsidRPr="00DB2922">
        <w:rPr>
          <w:sz w:val="80"/>
          <w:szCs w:val="80"/>
        </w:rPr>
        <w:lastRenderedPageBreak/>
        <w:t>D</w:t>
      </w:r>
      <w:r w:rsidR="00846264" w:rsidRPr="00DB2922">
        <w:rPr>
          <w:sz w:val="80"/>
          <w:szCs w:val="80"/>
        </w:rPr>
        <w:t xml:space="preserve">rug </w:t>
      </w:r>
      <w:r w:rsidRPr="00DB2922">
        <w:rPr>
          <w:sz w:val="80"/>
          <w:szCs w:val="80"/>
        </w:rPr>
        <w:t>S</w:t>
      </w:r>
      <w:r w:rsidR="00846264" w:rsidRPr="00DB2922">
        <w:rPr>
          <w:sz w:val="80"/>
          <w:szCs w:val="80"/>
        </w:rPr>
        <w:t xml:space="preserve">upply </w:t>
      </w:r>
      <w:r w:rsidRPr="00DB2922">
        <w:rPr>
          <w:sz w:val="80"/>
          <w:szCs w:val="80"/>
        </w:rPr>
        <w:t>C</w:t>
      </w:r>
      <w:r w:rsidR="00846264" w:rsidRPr="00DB2922">
        <w:rPr>
          <w:sz w:val="80"/>
          <w:szCs w:val="80"/>
        </w:rPr>
        <w:t xml:space="preserve">hain </w:t>
      </w:r>
      <w:r w:rsidRPr="00DB2922">
        <w:rPr>
          <w:sz w:val="80"/>
          <w:szCs w:val="80"/>
        </w:rPr>
        <w:t>S</w:t>
      </w:r>
      <w:r w:rsidR="00846264" w:rsidRPr="00DB2922">
        <w:rPr>
          <w:sz w:val="80"/>
          <w:szCs w:val="80"/>
        </w:rPr>
        <w:t xml:space="preserve">ecurity </w:t>
      </w:r>
      <w:r w:rsidRPr="00DB2922">
        <w:rPr>
          <w:sz w:val="80"/>
          <w:szCs w:val="80"/>
        </w:rPr>
        <w:t>A</w:t>
      </w:r>
      <w:r w:rsidR="00846264" w:rsidRPr="00DB2922">
        <w:rPr>
          <w:sz w:val="80"/>
          <w:szCs w:val="80"/>
        </w:rPr>
        <w:t>ct</w:t>
      </w:r>
      <w:r w:rsidRPr="00DB2922">
        <w:rPr>
          <w:sz w:val="80"/>
          <w:szCs w:val="80"/>
        </w:rPr>
        <w:t xml:space="preserve"> Implementation:  </w:t>
      </w:r>
      <w:r w:rsidR="00355172" w:rsidRPr="00DB2922">
        <w:rPr>
          <w:sz w:val="80"/>
          <w:szCs w:val="80"/>
        </w:rPr>
        <w:t xml:space="preserve">Identification of Suspect Product and Notification </w:t>
      </w:r>
    </w:p>
    <w:p w:rsidR="000B5781" w:rsidRPr="000B5781" w:rsidRDefault="000B5781" w:rsidP="00DB2922">
      <w:pPr>
        <w:pStyle w:val="Title"/>
        <w:rPr>
          <w:sz w:val="72"/>
          <w:szCs w:val="72"/>
        </w:rPr>
      </w:pPr>
      <w:r w:rsidRPr="0037539C">
        <w:rPr>
          <w:sz w:val="72"/>
          <w:szCs w:val="72"/>
        </w:rPr>
        <w:t>Guidance for Industry</w:t>
      </w:r>
    </w:p>
    <w:p w:rsidR="00C52330" w:rsidRDefault="00C52330">
      <w:pPr>
        <w:jc w:val="center"/>
        <w:outlineLvl w:val="0"/>
        <w:rPr>
          <w:i/>
          <w:sz w:val="20"/>
        </w:rPr>
      </w:pPr>
    </w:p>
    <w:p w:rsidR="00AD7D67" w:rsidRDefault="00AD7D67">
      <w:pPr>
        <w:jc w:val="center"/>
        <w:outlineLvl w:val="0"/>
        <w:rPr>
          <w:i/>
          <w:sz w:val="20"/>
        </w:rPr>
      </w:pPr>
    </w:p>
    <w:p w:rsidR="00AD7D67" w:rsidRDefault="00AD7D67">
      <w:pPr>
        <w:jc w:val="center"/>
        <w:outlineLvl w:val="0"/>
        <w:rPr>
          <w:i/>
          <w:sz w:val="20"/>
        </w:rPr>
      </w:pPr>
    </w:p>
    <w:p w:rsidR="00AD7D67" w:rsidRDefault="00AD7D67">
      <w:pPr>
        <w:jc w:val="center"/>
        <w:outlineLvl w:val="0"/>
        <w:rPr>
          <w:i/>
          <w:sz w:val="20"/>
        </w:rPr>
      </w:pPr>
    </w:p>
    <w:p w:rsidR="00072068" w:rsidRDefault="00072068">
      <w:pPr>
        <w:jc w:val="center"/>
        <w:outlineLvl w:val="0"/>
        <w:rPr>
          <w:i/>
          <w:sz w:val="20"/>
        </w:rPr>
      </w:pPr>
      <w:r>
        <w:rPr>
          <w:i/>
          <w:sz w:val="20"/>
        </w:rPr>
        <w:t>Additional copies are available from:</w:t>
      </w:r>
    </w:p>
    <w:p w:rsidR="005668B1" w:rsidRPr="005668B1" w:rsidRDefault="005668B1" w:rsidP="005668B1">
      <w:pPr>
        <w:jc w:val="center"/>
        <w:rPr>
          <w:i/>
          <w:sz w:val="20"/>
        </w:rPr>
      </w:pPr>
      <w:r w:rsidRPr="005668B1">
        <w:rPr>
          <w:i/>
          <w:sz w:val="20"/>
        </w:rPr>
        <w:t>Office of Communication</w:t>
      </w:r>
      <w:r w:rsidR="00F849E9">
        <w:rPr>
          <w:i/>
          <w:sz w:val="20"/>
        </w:rPr>
        <w:t>s</w:t>
      </w:r>
    </w:p>
    <w:p w:rsidR="00815CAC" w:rsidRDefault="005668B1" w:rsidP="005668B1">
      <w:pPr>
        <w:jc w:val="center"/>
        <w:rPr>
          <w:i/>
          <w:sz w:val="20"/>
        </w:rPr>
      </w:pPr>
      <w:r w:rsidRPr="005668B1">
        <w:rPr>
          <w:i/>
          <w:sz w:val="20"/>
        </w:rPr>
        <w:t>Division of Drug Information, WO51, Room 220</w:t>
      </w:r>
      <w:r w:rsidR="008E4B69">
        <w:rPr>
          <w:i/>
          <w:sz w:val="20"/>
        </w:rPr>
        <w:t>1</w:t>
      </w:r>
    </w:p>
    <w:p w:rsidR="00815CAC" w:rsidRDefault="00815CAC" w:rsidP="005668B1">
      <w:pPr>
        <w:jc w:val="center"/>
        <w:rPr>
          <w:i/>
          <w:sz w:val="20"/>
        </w:rPr>
      </w:pPr>
      <w:r>
        <w:rPr>
          <w:i/>
          <w:sz w:val="20"/>
        </w:rPr>
        <w:t>Center for Drug Evaluation and Research</w:t>
      </w:r>
    </w:p>
    <w:p w:rsidR="005668B1" w:rsidRPr="005668B1" w:rsidRDefault="00815CAC" w:rsidP="005668B1">
      <w:pPr>
        <w:jc w:val="center"/>
        <w:rPr>
          <w:i/>
          <w:sz w:val="20"/>
        </w:rPr>
      </w:pPr>
      <w:r>
        <w:rPr>
          <w:i/>
          <w:sz w:val="20"/>
        </w:rPr>
        <w:t>Food and Drug Administration</w:t>
      </w:r>
    </w:p>
    <w:p w:rsidR="005668B1" w:rsidRPr="005668B1" w:rsidRDefault="005668B1" w:rsidP="005668B1">
      <w:pPr>
        <w:jc w:val="center"/>
        <w:rPr>
          <w:i/>
          <w:sz w:val="20"/>
        </w:rPr>
      </w:pPr>
      <w:r w:rsidRPr="005668B1">
        <w:rPr>
          <w:i/>
          <w:sz w:val="20"/>
        </w:rPr>
        <w:t>10903 New Hampshire Ave.</w:t>
      </w:r>
      <w:r w:rsidR="00C52330">
        <w:rPr>
          <w:i/>
          <w:sz w:val="20"/>
        </w:rPr>
        <w:t xml:space="preserve">, </w:t>
      </w:r>
      <w:r w:rsidRPr="005668B1">
        <w:rPr>
          <w:i/>
          <w:sz w:val="20"/>
        </w:rPr>
        <w:t xml:space="preserve">Silver Spring, MD 20993 </w:t>
      </w:r>
    </w:p>
    <w:p w:rsidR="005668B1" w:rsidRPr="005668B1" w:rsidRDefault="005668B1" w:rsidP="005668B1">
      <w:pPr>
        <w:jc w:val="center"/>
        <w:rPr>
          <w:i/>
          <w:sz w:val="20"/>
        </w:rPr>
      </w:pPr>
      <w:r w:rsidRPr="005668B1">
        <w:rPr>
          <w:i/>
          <w:sz w:val="20"/>
        </w:rPr>
        <w:t>Phone: 301-796-3400; Fax: 301-847-8714</w:t>
      </w:r>
    </w:p>
    <w:p w:rsidR="00072068" w:rsidRDefault="005668B1" w:rsidP="005668B1">
      <w:pPr>
        <w:jc w:val="center"/>
        <w:rPr>
          <w:i/>
          <w:sz w:val="20"/>
        </w:rPr>
      </w:pPr>
      <w:r w:rsidRPr="005668B1">
        <w:rPr>
          <w:i/>
          <w:sz w:val="20"/>
        </w:rPr>
        <w:t>druginfo@fda.hhs.gov</w:t>
      </w:r>
      <w:r w:rsidR="00072068">
        <w:rPr>
          <w:i/>
          <w:sz w:val="20"/>
        </w:rPr>
        <w:t xml:space="preserve"> </w:t>
      </w:r>
    </w:p>
    <w:p w:rsidR="00153706" w:rsidRDefault="00E470D4" w:rsidP="005668B1">
      <w:pPr>
        <w:jc w:val="center"/>
        <w:rPr>
          <w:i/>
          <w:sz w:val="20"/>
        </w:rPr>
      </w:pPr>
      <w:hyperlink r:id="rId15" w:history="1">
        <w:r w:rsidR="00153706" w:rsidRPr="00E0675B">
          <w:rPr>
            <w:rStyle w:val="Hyperlink"/>
            <w:i/>
            <w:sz w:val="18"/>
            <w:szCs w:val="18"/>
          </w:rPr>
          <w:t>http://www.fda.gov/Drugs/GuidanceComplianceRegulatoryInformation/Guidances/default.htm</w:t>
        </w:r>
      </w:hyperlink>
    </w:p>
    <w:p w:rsidR="00D34F0D" w:rsidRDefault="00D34F0D" w:rsidP="0073082A">
      <w:pPr>
        <w:jc w:val="center"/>
        <w:rPr>
          <w:i/>
          <w:sz w:val="20"/>
        </w:rPr>
      </w:pPr>
    </w:p>
    <w:p w:rsidR="0073082A" w:rsidRDefault="0073082A" w:rsidP="0073082A">
      <w:pPr>
        <w:jc w:val="center"/>
        <w:rPr>
          <w:i/>
          <w:sz w:val="20"/>
        </w:rPr>
      </w:pPr>
      <w:r>
        <w:rPr>
          <w:i/>
          <w:sz w:val="20"/>
        </w:rPr>
        <w:t>and/or</w:t>
      </w:r>
    </w:p>
    <w:p w:rsidR="00F007E1" w:rsidRPr="00F007E1" w:rsidRDefault="0073082A" w:rsidP="00F007E1">
      <w:pPr>
        <w:jc w:val="center"/>
        <w:outlineLvl w:val="0"/>
        <w:rPr>
          <w:i/>
          <w:sz w:val="20"/>
        </w:rPr>
      </w:pPr>
      <w:r>
        <w:rPr>
          <w:i/>
          <w:sz w:val="20"/>
        </w:rPr>
        <w:t xml:space="preserve"> </w:t>
      </w:r>
    </w:p>
    <w:p w:rsidR="00F007E1" w:rsidRPr="00F007E1" w:rsidRDefault="00F007E1" w:rsidP="00F007E1">
      <w:pPr>
        <w:jc w:val="center"/>
        <w:outlineLvl w:val="0"/>
        <w:rPr>
          <w:i/>
          <w:sz w:val="20"/>
        </w:rPr>
      </w:pPr>
      <w:r w:rsidRPr="00F007E1">
        <w:rPr>
          <w:i/>
          <w:sz w:val="20"/>
        </w:rPr>
        <w:t xml:space="preserve">Office of Communication, Outreach and Development </w:t>
      </w:r>
    </w:p>
    <w:p w:rsidR="00F007E1" w:rsidRPr="00F007E1" w:rsidRDefault="00F007E1" w:rsidP="00F007E1">
      <w:pPr>
        <w:jc w:val="center"/>
        <w:outlineLvl w:val="0"/>
        <w:rPr>
          <w:i/>
          <w:sz w:val="20"/>
        </w:rPr>
      </w:pPr>
      <w:r w:rsidRPr="00F007E1">
        <w:rPr>
          <w:i/>
          <w:sz w:val="20"/>
        </w:rPr>
        <w:t>Center for Biologics Evaluation and Research</w:t>
      </w:r>
    </w:p>
    <w:p w:rsidR="00F007E1" w:rsidRPr="00F007E1" w:rsidRDefault="00F007E1" w:rsidP="00F007E1">
      <w:pPr>
        <w:jc w:val="center"/>
        <w:outlineLvl w:val="0"/>
        <w:rPr>
          <w:i/>
          <w:sz w:val="20"/>
        </w:rPr>
      </w:pPr>
      <w:r w:rsidRPr="00F007E1">
        <w:rPr>
          <w:i/>
          <w:sz w:val="20"/>
        </w:rPr>
        <w:t xml:space="preserve"> Food and Drug Administration</w:t>
      </w:r>
    </w:p>
    <w:p w:rsidR="00F007E1" w:rsidRPr="00F007E1" w:rsidRDefault="00F007E1" w:rsidP="00F007E1">
      <w:pPr>
        <w:jc w:val="center"/>
        <w:outlineLvl w:val="0"/>
        <w:rPr>
          <w:i/>
          <w:sz w:val="20"/>
        </w:rPr>
      </w:pPr>
      <w:r>
        <w:rPr>
          <w:i/>
          <w:sz w:val="20"/>
        </w:rPr>
        <w:t>10903 New Hampshire Ave., WO</w:t>
      </w:r>
      <w:r w:rsidRPr="00F007E1">
        <w:rPr>
          <w:i/>
          <w:sz w:val="20"/>
        </w:rPr>
        <w:t xml:space="preserve"> 71, Room 3128</w:t>
      </w:r>
    </w:p>
    <w:p w:rsidR="00F007E1" w:rsidRPr="00F007E1" w:rsidRDefault="00F007E1" w:rsidP="00F007E1">
      <w:pPr>
        <w:jc w:val="center"/>
        <w:outlineLvl w:val="0"/>
        <w:rPr>
          <w:i/>
          <w:sz w:val="20"/>
        </w:rPr>
      </w:pPr>
      <w:r w:rsidRPr="00F007E1">
        <w:rPr>
          <w:i/>
          <w:sz w:val="20"/>
        </w:rPr>
        <w:t>Silver Spring, MD 20993</w:t>
      </w:r>
    </w:p>
    <w:p w:rsidR="00F007E1" w:rsidRPr="00F007E1" w:rsidRDefault="00F007E1" w:rsidP="00F007E1">
      <w:pPr>
        <w:jc w:val="center"/>
        <w:outlineLvl w:val="0"/>
        <w:rPr>
          <w:i/>
          <w:sz w:val="20"/>
        </w:rPr>
      </w:pPr>
      <w:r w:rsidRPr="00F007E1">
        <w:rPr>
          <w:i/>
          <w:sz w:val="20"/>
        </w:rPr>
        <w:t>Phone: 800-835-4709 or 240-402-7800</w:t>
      </w:r>
    </w:p>
    <w:p w:rsidR="00F007E1" w:rsidRDefault="00E470D4" w:rsidP="00F007E1">
      <w:pPr>
        <w:jc w:val="center"/>
        <w:outlineLvl w:val="0"/>
        <w:rPr>
          <w:i/>
          <w:sz w:val="20"/>
        </w:rPr>
      </w:pPr>
      <w:hyperlink r:id="rId16" w:history="1">
        <w:r w:rsidR="00F67C96" w:rsidRPr="00576374">
          <w:rPr>
            <w:rStyle w:val="Hyperlink"/>
            <w:i/>
            <w:sz w:val="20"/>
          </w:rPr>
          <w:t>ocod@fda.hhs.gov</w:t>
        </w:r>
      </w:hyperlink>
    </w:p>
    <w:p w:rsidR="00F67C96" w:rsidRPr="00F007E1" w:rsidRDefault="00F67C96" w:rsidP="00F007E1">
      <w:pPr>
        <w:jc w:val="center"/>
        <w:outlineLvl w:val="0"/>
        <w:rPr>
          <w:i/>
          <w:sz w:val="20"/>
        </w:rPr>
      </w:pPr>
      <w:r w:rsidRPr="006B69A4">
        <w:rPr>
          <w:i/>
          <w:sz w:val="20"/>
        </w:rPr>
        <w:t>http://www.fda.gov/BiologicsBloodVaccines/GuidanceComplianceRegulatoryInformation/default.htm</w:t>
      </w:r>
    </w:p>
    <w:p w:rsidR="00176890" w:rsidRDefault="00176890" w:rsidP="0073082A">
      <w:pPr>
        <w:jc w:val="center"/>
        <w:outlineLvl w:val="0"/>
        <w:rPr>
          <w:b/>
        </w:rPr>
      </w:pPr>
    </w:p>
    <w:p w:rsidR="00AD7D67" w:rsidRDefault="00AD7D67" w:rsidP="00DB2922">
      <w:pPr>
        <w:outlineLvl w:val="0"/>
        <w:rPr>
          <w:b/>
        </w:rPr>
      </w:pPr>
    </w:p>
    <w:p w:rsidR="00072068" w:rsidRDefault="00072068">
      <w:pPr>
        <w:jc w:val="center"/>
        <w:outlineLvl w:val="0"/>
        <w:rPr>
          <w:b/>
        </w:rPr>
      </w:pPr>
      <w:r>
        <w:rPr>
          <w:b/>
        </w:rPr>
        <w:t>U.S. Department of Health and Human Services</w:t>
      </w:r>
    </w:p>
    <w:p w:rsidR="00072068" w:rsidRDefault="00072068">
      <w:pPr>
        <w:jc w:val="center"/>
        <w:rPr>
          <w:b/>
        </w:rPr>
      </w:pPr>
      <w:r>
        <w:rPr>
          <w:b/>
        </w:rPr>
        <w:t>Food and Drug Administration</w:t>
      </w:r>
    </w:p>
    <w:p w:rsidR="00072068" w:rsidRDefault="00072068">
      <w:pPr>
        <w:jc w:val="center"/>
        <w:rPr>
          <w:b/>
        </w:rPr>
      </w:pPr>
      <w:r>
        <w:rPr>
          <w:b/>
        </w:rPr>
        <w:t>Center for Drug Evaluation and Research (CDER)</w:t>
      </w:r>
    </w:p>
    <w:p w:rsidR="001C4801" w:rsidRDefault="001C4801" w:rsidP="001C4801">
      <w:pPr>
        <w:jc w:val="center"/>
        <w:rPr>
          <w:b/>
        </w:rPr>
      </w:pPr>
      <w:r>
        <w:rPr>
          <w:b/>
        </w:rPr>
        <w:t>Center for Biologics Evaluation and Research (CBER)</w:t>
      </w:r>
    </w:p>
    <w:p w:rsidR="001C4801" w:rsidRDefault="001C4801" w:rsidP="001C4801">
      <w:pPr>
        <w:jc w:val="center"/>
        <w:rPr>
          <w:b/>
        </w:rPr>
      </w:pPr>
      <w:r>
        <w:rPr>
          <w:b/>
        </w:rPr>
        <w:t>Office of Regulatory Affairs (ORA)</w:t>
      </w:r>
    </w:p>
    <w:p w:rsidR="001C4801" w:rsidRDefault="001C4801">
      <w:pPr>
        <w:jc w:val="center"/>
        <w:rPr>
          <w:b/>
        </w:rPr>
      </w:pPr>
    </w:p>
    <w:p w:rsidR="00072068" w:rsidRDefault="003979A3">
      <w:pPr>
        <w:jc w:val="center"/>
        <w:rPr>
          <w:b/>
        </w:rPr>
      </w:pPr>
      <w:r>
        <w:rPr>
          <w:b/>
        </w:rPr>
        <w:t>XXXX</w:t>
      </w:r>
      <w:r w:rsidR="00F007E1">
        <w:rPr>
          <w:b/>
        </w:rPr>
        <w:t xml:space="preserve"> 201</w:t>
      </w:r>
      <w:r w:rsidR="000F0DCB">
        <w:rPr>
          <w:b/>
        </w:rPr>
        <w:t>5</w:t>
      </w:r>
    </w:p>
    <w:p w:rsidR="00072068" w:rsidRDefault="002B74C8">
      <w:pPr>
        <w:jc w:val="center"/>
        <w:rPr>
          <w:b/>
        </w:rPr>
      </w:pPr>
      <w:r>
        <w:rPr>
          <w:b/>
        </w:rPr>
        <w:t>Procedural</w:t>
      </w:r>
    </w:p>
    <w:p w:rsidR="00D37448" w:rsidRDefault="00D37448" w:rsidP="00D37448">
      <w:pPr>
        <w:rPr>
          <w:b/>
        </w:rPr>
        <w:sectPr w:rsidR="00D37448" w:rsidSect="00A73117">
          <w:headerReference w:type="default" r:id="rId17"/>
          <w:footerReference w:type="default" r:id="rId18"/>
          <w:pgSz w:w="12240" w:h="15840"/>
          <w:pgMar w:top="1440" w:right="1440" w:bottom="1440" w:left="1440" w:header="720" w:footer="435" w:gutter="0"/>
          <w:cols w:space="720"/>
        </w:sectPr>
      </w:pPr>
    </w:p>
    <w:p w:rsidR="00013F7A" w:rsidRDefault="00013F7A">
      <w:pPr>
        <w:jc w:val="center"/>
        <w:outlineLvl w:val="0"/>
        <w:rPr>
          <w:b/>
        </w:rPr>
      </w:pPr>
    </w:p>
    <w:p w:rsidR="00072068" w:rsidRDefault="00072068">
      <w:pPr>
        <w:jc w:val="center"/>
        <w:outlineLvl w:val="0"/>
        <w:rPr>
          <w:b/>
        </w:rPr>
      </w:pPr>
      <w:r>
        <w:rPr>
          <w:b/>
        </w:rPr>
        <w:t>TABLE OF CONTENTS</w:t>
      </w:r>
    </w:p>
    <w:p w:rsidR="00072068" w:rsidRDefault="00072068">
      <w:pPr>
        <w:pStyle w:val="Heading1"/>
      </w:pPr>
    </w:p>
    <w:p w:rsidR="00E96FCC" w:rsidRDefault="000B6DE6">
      <w:pPr>
        <w:pStyle w:val="TOC1"/>
        <w:rPr>
          <w:rFonts w:asciiTheme="minorHAnsi" w:eastAsiaTheme="minorEastAsia" w:hAnsiTheme="minorHAnsi" w:cstheme="minorBidi"/>
          <w:b w:val="0"/>
          <w:caps w:val="0"/>
          <w:color w:val="auto"/>
          <w:sz w:val="22"/>
          <w:szCs w:val="22"/>
        </w:rPr>
      </w:pPr>
      <w:r>
        <w:rPr>
          <w:b w:val="0"/>
          <w:caps w:val="0"/>
        </w:rPr>
        <w:fldChar w:fldCharType="begin"/>
      </w:r>
      <w:r>
        <w:rPr>
          <w:b w:val="0"/>
          <w:caps w:val="0"/>
        </w:rPr>
        <w:instrText xml:space="preserve"> TOC \o "1-3" </w:instrText>
      </w:r>
      <w:r>
        <w:rPr>
          <w:b w:val="0"/>
          <w:caps w:val="0"/>
        </w:rPr>
        <w:fldChar w:fldCharType="separate"/>
      </w:r>
      <w:r w:rsidR="00E96FCC">
        <w:t>I.</w:t>
      </w:r>
      <w:r w:rsidR="00E96FCC">
        <w:rPr>
          <w:rFonts w:asciiTheme="minorHAnsi" w:eastAsiaTheme="minorEastAsia" w:hAnsiTheme="minorHAnsi" w:cstheme="minorBidi"/>
          <w:b w:val="0"/>
          <w:caps w:val="0"/>
          <w:color w:val="auto"/>
          <w:sz w:val="22"/>
          <w:szCs w:val="22"/>
        </w:rPr>
        <w:tab/>
      </w:r>
      <w:r w:rsidR="00E96FCC">
        <w:t>INTRODUCTION</w:t>
      </w:r>
      <w:r w:rsidR="00E96FCC">
        <w:tab/>
      </w:r>
      <w:r w:rsidR="00E96FCC">
        <w:fldChar w:fldCharType="begin"/>
      </w:r>
      <w:r w:rsidR="00E96FCC">
        <w:instrText xml:space="preserve"> PAGEREF _Toc407020498 \h </w:instrText>
      </w:r>
      <w:r w:rsidR="00E96FCC">
        <w:fldChar w:fldCharType="separate"/>
      </w:r>
      <w:r w:rsidR="000525F3">
        <w:t>1</w:t>
      </w:r>
      <w:r w:rsidR="00E96FCC">
        <w:fldChar w:fldCharType="end"/>
      </w:r>
    </w:p>
    <w:p w:rsidR="00E96FCC" w:rsidRDefault="00E96FCC">
      <w:pPr>
        <w:pStyle w:val="TOC1"/>
        <w:rPr>
          <w:rFonts w:asciiTheme="minorHAnsi" w:eastAsiaTheme="minorEastAsia" w:hAnsiTheme="minorHAnsi" w:cstheme="minorBidi"/>
          <w:b w:val="0"/>
          <w:caps w:val="0"/>
          <w:color w:val="auto"/>
          <w:sz w:val="22"/>
          <w:szCs w:val="22"/>
        </w:rPr>
      </w:pPr>
      <w:r>
        <w:t>II.</w:t>
      </w:r>
      <w:r>
        <w:rPr>
          <w:rFonts w:asciiTheme="minorHAnsi" w:eastAsiaTheme="minorEastAsia" w:hAnsiTheme="minorHAnsi" w:cstheme="minorBidi"/>
          <w:b w:val="0"/>
          <w:caps w:val="0"/>
          <w:color w:val="auto"/>
          <w:sz w:val="22"/>
          <w:szCs w:val="22"/>
        </w:rPr>
        <w:tab/>
      </w:r>
      <w:r>
        <w:t>BACKGROUND</w:t>
      </w:r>
      <w:r>
        <w:tab/>
      </w:r>
      <w:r>
        <w:fldChar w:fldCharType="begin"/>
      </w:r>
      <w:r>
        <w:instrText xml:space="preserve"> PAGEREF _Toc407020499 \h </w:instrText>
      </w:r>
      <w:r>
        <w:fldChar w:fldCharType="separate"/>
      </w:r>
      <w:r w:rsidR="000525F3">
        <w:t>2</w:t>
      </w:r>
      <w:r>
        <w:fldChar w:fldCharType="end"/>
      </w:r>
    </w:p>
    <w:p w:rsidR="00E96FCC" w:rsidRDefault="00E96FCC">
      <w:pPr>
        <w:pStyle w:val="TOC2"/>
        <w:rPr>
          <w:rFonts w:asciiTheme="minorHAnsi" w:eastAsiaTheme="minorEastAsia" w:hAnsiTheme="minorHAnsi" w:cstheme="minorBidi"/>
          <w:b w:val="0"/>
          <w:color w:val="auto"/>
          <w:szCs w:val="22"/>
        </w:rPr>
      </w:pPr>
      <w:r>
        <w:t>A.</w:t>
      </w:r>
      <w:r>
        <w:rPr>
          <w:rFonts w:asciiTheme="minorHAnsi" w:eastAsiaTheme="minorEastAsia" w:hAnsiTheme="minorHAnsi" w:cstheme="minorBidi"/>
          <w:b w:val="0"/>
          <w:color w:val="auto"/>
          <w:szCs w:val="22"/>
        </w:rPr>
        <w:tab/>
      </w:r>
      <w:r>
        <w:t>Drug Supply Chain Security Act</w:t>
      </w:r>
      <w:r>
        <w:tab/>
      </w:r>
      <w:r>
        <w:fldChar w:fldCharType="begin"/>
      </w:r>
      <w:r>
        <w:instrText xml:space="preserve"> PAGEREF _Toc407020500 \h </w:instrText>
      </w:r>
      <w:r>
        <w:fldChar w:fldCharType="separate"/>
      </w:r>
      <w:r w:rsidR="000525F3">
        <w:t>2</w:t>
      </w:r>
      <w:r>
        <w:fldChar w:fldCharType="end"/>
      </w:r>
    </w:p>
    <w:p w:rsidR="00E96FCC" w:rsidRDefault="00E96FCC">
      <w:pPr>
        <w:pStyle w:val="TOC2"/>
        <w:rPr>
          <w:rFonts w:asciiTheme="minorHAnsi" w:eastAsiaTheme="minorEastAsia" w:hAnsiTheme="minorHAnsi" w:cstheme="minorBidi"/>
          <w:b w:val="0"/>
          <w:color w:val="auto"/>
          <w:szCs w:val="22"/>
        </w:rPr>
      </w:pPr>
      <w:r>
        <w:t>B.</w:t>
      </w:r>
      <w:r>
        <w:rPr>
          <w:rFonts w:asciiTheme="minorHAnsi" w:eastAsiaTheme="minorEastAsia" w:hAnsiTheme="minorHAnsi" w:cstheme="minorBidi"/>
          <w:b w:val="0"/>
          <w:color w:val="auto"/>
          <w:szCs w:val="22"/>
        </w:rPr>
        <w:tab/>
      </w:r>
      <w:r>
        <w:t>Scope of This Guidance</w:t>
      </w:r>
      <w:r>
        <w:tab/>
      </w:r>
      <w:r>
        <w:fldChar w:fldCharType="begin"/>
      </w:r>
      <w:r>
        <w:instrText xml:space="preserve"> PAGEREF _Toc407020501 \h </w:instrText>
      </w:r>
      <w:r>
        <w:fldChar w:fldCharType="separate"/>
      </w:r>
      <w:r w:rsidR="000525F3">
        <w:t>3</w:t>
      </w:r>
      <w:r>
        <w:fldChar w:fldCharType="end"/>
      </w:r>
    </w:p>
    <w:p w:rsidR="00E96FCC" w:rsidRDefault="00E96FCC">
      <w:pPr>
        <w:pStyle w:val="TOC1"/>
        <w:rPr>
          <w:rFonts w:asciiTheme="minorHAnsi" w:eastAsiaTheme="minorEastAsia" w:hAnsiTheme="minorHAnsi" w:cstheme="minorBidi"/>
          <w:b w:val="0"/>
          <w:caps w:val="0"/>
          <w:color w:val="auto"/>
          <w:sz w:val="22"/>
          <w:szCs w:val="22"/>
        </w:rPr>
      </w:pPr>
      <w:r>
        <w:t>III.</w:t>
      </w:r>
      <w:r>
        <w:rPr>
          <w:rFonts w:asciiTheme="minorHAnsi" w:eastAsiaTheme="minorEastAsia" w:hAnsiTheme="minorHAnsi" w:cstheme="minorBidi"/>
          <w:b w:val="0"/>
          <w:caps w:val="0"/>
          <w:color w:val="auto"/>
          <w:sz w:val="22"/>
          <w:szCs w:val="22"/>
        </w:rPr>
        <w:tab/>
      </w:r>
      <w:r>
        <w:t>Identification of suspect product and, for manufacturers, product with a high risk of illegitimacy</w:t>
      </w:r>
      <w:r>
        <w:tab/>
      </w:r>
      <w:r>
        <w:fldChar w:fldCharType="begin"/>
      </w:r>
      <w:r>
        <w:instrText xml:space="preserve"> PAGEREF _Toc407020502 \h </w:instrText>
      </w:r>
      <w:r>
        <w:fldChar w:fldCharType="separate"/>
      </w:r>
      <w:r w:rsidR="000525F3">
        <w:t>3</w:t>
      </w:r>
      <w:r>
        <w:fldChar w:fldCharType="end"/>
      </w:r>
    </w:p>
    <w:p w:rsidR="00E96FCC" w:rsidRDefault="00E96FCC">
      <w:pPr>
        <w:pStyle w:val="TOC2"/>
        <w:rPr>
          <w:rFonts w:asciiTheme="minorHAnsi" w:eastAsiaTheme="minorEastAsia" w:hAnsiTheme="minorHAnsi" w:cstheme="minorBidi"/>
          <w:b w:val="0"/>
          <w:color w:val="auto"/>
          <w:szCs w:val="22"/>
        </w:rPr>
      </w:pPr>
      <w:r>
        <w:t>A.</w:t>
      </w:r>
      <w:r>
        <w:rPr>
          <w:rFonts w:asciiTheme="minorHAnsi" w:eastAsiaTheme="minorEastAsia" w:hAnsiTheme="minorHAnsi" w:cstheme="minorBidi"/>
          <w:b w:val="0"/>
          <w:color w:val="auto"/>
          <w:szCs w:val="22"/>
        </w:rPr>
        <w:tab/>
      </w:r>
      <w:r>
        <w:t>Specific Scenarios That Could Significantly Increase the Risk of a Suspect Product Entering the Pharmaceutical Distribution Chain</w:t>
      </w:r>
      <w:r>
        <w:tab/>
      </w:r>
      <w:r>
        <w:fldChar w:fldCharType="begin"/>
      </w:r>
      <w:r>
        <w:instrText xml:space="preserve"> PAGEREF _Toc407020503 \h </w:instrText>
      </w:r>
      <w:r>
        <w:fldChar w:fldCharType="separate"/>
      </w:r>
      <w:r w:rsidR="000525F3">
        <w:t>4</w:t>
      </w:r>
      <w:r>
        <w:fldChar w:fldCharType="end"/>
      </w:r>
    </w:p>
    <w:p w:rsidR="00E96FCC" w:rsidRDefault="00E96FCC">
      <w:pPr>
        <w:pStyle w:val="TOC3"/>
        <w:rPr>
          <w:rFonts w:asciiTheme="minorHAnsi" w:eastAsiaTheme="minorEastAsia" w:hAnsiTheme="minorHAnsi" w:cstheme="minorBidi"/>
          <w:i w:val="0"/>
          <w:color w:val="auto"/>
          <w:szCs w:val="22"/>
        </w:rPr>
      </w:pPr>
      <w:r>
        <w:t>1.</w:t>
      </w:r>
      <w:r>
        <w:rPr>
          <w:rFonts w:asciiTheme="minorHAnsi" w:eastAsiaTheme="minorEastAsia" w:hAnsiTheme="minorHAnsi" w:cstheme="minorBidi"/>
          <w:i w:val="0"/>
          <w:color w:val="auto"/>
          <w:szCs w:val="22"/>
        </w:rPr>
        <w:tab/>
      </w:r>
      <w:r>
        <w:t>Trading Partners and Product Sourcing</w:t>
      </w:r>
      <w:r>
        <w:tab/>
      </w:r>
      <w:r>
        <w:fldChar w:fldCharType="begin"/>
      </w:r>
      <w:r>
        <w:instrText xml:space="preserve"> PAGEREF _Toc407020504 \h </w:instrText>
      </w:r>
      <w:r>
        <w:fldChar w:fldCharType="separate"/>
      </w:r>
      <w:r w:rsidR="000525F3">
        <w:t>4</w:t>
      </w:r>
      <w:r>
        <w:fldChar w:fldCharType="end"/>
      </w:r>
    </w:p>
    <w:p w:rsidR="00E96FCC" w:rsidRDefault="00E96FCC">
      <w:pPr>
        <w:pStyle w:val="TOC3"/>
        <w:rPr>
          <w:rFonts w:asciiTheme="minorHAnsi" w:eastAsiaTheme="minorEastAsia" w:hAnsiTheme="minorHAnsi" w:cstheme="minorBidi"/>
          <w:i w:val="0"/>
          <w:color w:val="auto"/>
          <w:szCs w:val="22"/>
        </w:rPr>
      </w:pPr>
      <w:r>
        <w:t>2.</w:t>
      </w:r>
      <w:r>
        <w:rPr>
          <w:rFonts w:asciiTheme="minorHAnsi" w:eastAsiaTheme="minorEastAsia" w:hAnsiTheme="minorHAnsi" w:cstheme="minorBidi"/>
          <w:i w:val="0"/>
          <w:color w:val="auto"/>
          <w:szCs w:val="22"/>
        </w:rPr>
        <w:tab/>
      </w:r>
      <w:r>
        <w:t>Supply, Demand, History, and Value of the Product</w:t>
      </w:r>
      <w:r>
        <w:tab/>
      </w:r>
      <w:r>
        <w:fldChar w:fldCharType="begin"/>
      </w:r>
      <w:r>
        <w:instrText xml:space="preserve"> PAGEREF _Toc407020505 \h </w:instrText>
      </w:r>
      <w:r>
        <w:fldChar w:fldCharType="separate"/>
      </w:r>
      <w:r w:rsidR="000525F3">
        <w:t>5</w:t>
      </w:r>
      <w:r>
        <w:fldChar w:fldCharType="end"/>
      </w:r>
    </w:p>
    <w:p w:rsidR="00E96FCC" w:rsidRDefault="00E96FCC">
      <w:pPr>
        <w:pStyle w:val="TOC3"/>
        <w:rPr>
          <w:rFonts w:asciiTheme="minorHAnsi" w:eastAsiaTheme="minorEastAsia" w:hAnsiTheme="minorHAnsi" w:cstheme="minorBidi"/>
          <w:i w:val="0"/>
          <w:color w:val="auto"/>
          <w:szCs w:val="22"/>
        </w:rPr>
      </w:pPr>
      <w:r>
        <w:t>3.</w:t>
      </w:r>
      <w:r>
        <w:rPr>
          <w:rFonts w:asciiTheme="minorHAnsi" w:eastAsiaTheme="minorEastAsia" w:hAnsiTheme="minorHAnsi" w:cstheme="minorBidi"/>
          <w:i w:val="0"/>
          <w:color w:val="auto"/>
          <w:szCs w:val="22"/>
        </w:rPr>
        <w:tab/>
      </w:r>
      <w:r>
        <w:t>Appearance of the Product</w:t>
      </w:r>
      <w:r>
        <w:tab/>
      </w:r>
      <w:r>
        <w:fldChar w:fldCharType="begin"/>
      </w:r>
      <w:r>
        <w:instrText xml:space="preserve"> PAGEREF _Toc407020506 \h </w:instrText>
      </w:r>
      <w:r>
        <w:fldChar w:fldCharType="separate"/>
      </w:r>
      <w:r w:rsidR="000525F3">
        <w:t>6</w:t>
      </w:r>
      <w:r>
        <w:fldChar w:fldCharType="end"/>
      </w:r>
    </w:p>
    <w:p w:rsidR="00E96FCC" w:rsidRDefault="00E96FCC">
      <w:pPr>
        <w:pStyle w:val="TOC2"/>
        <w:rPr>
          <w:rFonts w:asciiTheme="minorHAnsi" w:eastAsiaTheme="minorEastAsia" w:hAnsiTheme="minorHAnsi" w:cstheme="minorBidi"/>
          <w:b w:val="0"/>
          <w:color w:val="auto"/>
          <w:szCs w:val="22"/>
        </w:rPr>
      </w:pPr>
      <w:r>
        <w:t>B.</w:t>
      </w:r>
      <w:r>
        <w:rPr>
          <w:rFonts w:asciiTheme="minorHAnsi" w:eastAsiaTheme="minorEastAsia" w:hAnsiTheme="minorHAnsi" w:cstheme="minorBidi"/>
          <w:b w:val="0"/>
          <w:color w:val="auto"/>
          <w:szCs w:val="22"/>
        </w:rPr>
        <w:tab/>
      </w:r>
      <w:r>
        <w:t>Recommendations on How Trading Partners Might Identify Suspect Product and Determine Whether the Product Is a Suspect Product as Soon as Practicable</w:t>
      </w:r>
      <w:r>
        <w:tab/>
      </w:r>
      <w:r>
        <w:fldChar w:fldCharType="begin"/>
      </w:r>
      <w:r>
        <w:instrText xml:space="preserve"> PAGEREF _Toc407020507 \h </w:instrText>
      </w:r>
      <w:r>
        <w:fldChar w:fldCharType="separate"/>
      </w:r>
      <w:r w:rsidR="000525F3">
        <w:t>6</w:t>
      </w:r>
      <w:r>
        <w:fldChar w:fldCharType="end"/>
      </w:r>
    </w:p>
    <w:p w:rsidR="00E96FCC" w:rsidRDefault="00E96FCC">
      <w:pPr>
        <w:pStyle w:val="TOC2"/>
        <w:rPr>
          <w:rFonts w:asciiTheme="minorHAnsi" w:eastAsiaTheme="minorEastAsia" w:hAnsiTheme="minorHAnsi" w:cstheme="minorBidi"/>
          <w:b w:val="0"/>
          <w:color w:val="auto"/>
          <w:szCs w:val="22"/>
        </w:rPr>
      </w:pPr>
      <w:r>
        <w:t>C.</w:t>
      </w:r>
      <w:r>
        <w:rPr>
          <w:rFonts w:asciiTheme="minorHAnsi" w:eastAsiaTheme="minorEastAsia" w:hAnsiTheme="minorHAnsi" w:cstheme="minorBidi"/>
          <w:b w:val="0"/>
          <w:color w:val="auto"/>
          <w:szCs w:val="22"/>
        </w:rPr>
        <w:tab/>
      </w:r>
      <w:r>
        <w:t>For Manufacturers: High Risk of Illegitimacy Notifications</w:t>
      </w:r>
      <w:r>
        <w:tab/>
      </w:r>
      <w:r>
        <w:fldChar w:fldCharType="begin"/>
      </w:r>
      <w:r>
        <w:instrText xml:space="preserve"> PAGEREF _Toc407020509 \h </w:instrText>
      </w:r>
      <w:r>
        <w:fldChar w:fldCharType="separate"/>
      </w:r>
      <w:r w:rsidR="000525F3">
        <w:t>8</w:t>
      </w:r>
      <w:r>
        <w:fldChar w:fldCharType="end"/>
      </w:r>
    </w:p>
    <w:p w:rsidR="00E96FCC" w:rsidRDefault="00E96FCC">
      <w:pPr>
        <w:pStyle w:val="TOC3"/>
        <w:rPr>
          <w:rFonts w:asciiTheme="minorHAnsi" w:eastAsiaTheme="minorEastAsia" w:hAnsiTheme="minorHAnsi" w:cstheme="minorBidi"/>
          <w:i w:val="0"/>
          <w:color w:val="auto"/>
          <w:szCs w:val="22"/>
        </w:rPr>
      </w:pPr>
      <w:r>
        <w:t>1. High Risk of Illegitimacy Notification for Products that the Manufacturer Has Reason to Believe Are in an Immediate Trading Partner’s Possession</w:t>
      </w:r>
      <w:r>
        <w:tab/>
      </w:r>
      <w:r w:rsidRPr="0090207D">
        <w:rPr>
          <w:b/>
          <w:i w:val="0"/>
        </w:rPr>
        <w:fldChar w:fldCharType="begin"/>
      </w:r>
      <w:r w:rsidRPr="0090207D">
        <w:rPr>
          <w:b/>
          <w:i w:val="0"/>
        </w:rPr>
        <w:instrText xml:space="preserve"> PAGEREF _Toc407020510 \h </w:instrText>
      </w:r>
      <w:r w:rsidRPr="0090207D">
        <w:rPr>
          <w:b/>
          <w:i w:val="0"/>
        </w:rPr>
      </w:r>
      <w:r w:rsidRPr="0090207D">
        <w:rPr>
          <w:b/>
          <w:i w:val="0"/>
        </w:rPr>
        <w:fldChar w:fldCharType="separate"/>
      </w:r>
      <w:r w:rsidR="000525F3">
        <w:rPr>
          <w:b/>
          <w:i w:val="0"/>
        </w:rPr>
        <w:t>9</w:t>
      </w:r>
      <w:r w:rsidRPr="0090207D">
        <w:rPr>
          <w:b/>
          <w:i w:val="0"/>
        </w:rPr>
        <w:fldChar w:fldCharType="end"/>
      </w:r>
    </w:p>
    <w:p w:rsidR="00E96FCC" w:rsidRPr="0090207D" w:rsidRDefault="00E96FCC">
      <w:pPr>
        <w:pStyle w:val="TOC3"/>
        <w:rPr>
          <w:rFonts w:asciiTheme="minorHAnsi" w:eastAsiaTheme="minorEastAsia" w:hAnsiTheme="minorHAnsi" w:cstheme="minorBidi"/>
          <w:b/>
          <w:i w:val="0"/>
          <w:color w:val="auto"/>
          <w:szCs w:val="22"/>
        </w:rPr>
      </w:pPr>
      <w:r>
        <w:t>2. Specific High Risks That Could Increase the Likelihood of an Illegitimate Product Entering the U.S. Pharmaceutical Distribution Supply Chain</w:t>
      </w:r>
      <w:r>
        <w:tab/>
      </w:r>
      <w:r w:rsidRPr="0090207D">
        <w:rPr>
          <w:b/>
          <w:i w:val="0"/>
        </w:rPr>
        <w:fldChar w:fldCharType="begin"/>
      </w:r>
      <w:r w:rsidRPr="0090207D">
        <w:rPr>
          <w:b/>
          <w:i w:val="0"/>
        </w:rPr>
        <w:instrText xml:space="preserve"> PAGEREF _Toc407020511 \h </w:instrText>
      </w:r>
      <w:r w:rsidRPr="0090207D">
        <w:rPr>
          <w:b/>
          <w:i w:val="0"/>
        </w:rPr>
      </w:r>
      <w:r w:rsidRPr="0090207D">
        <w:rPr>
          <w:b/>
          <w:i w:val="0"/>
        </w:rPr>
        <w:fldChar w:fldCharType="separate"/>
      </w:r>
      <w:r w:rsidR="000525F3">
        <w:rPr>
          <w:b/>
          <w:i w:val="0"/>
        </w:rPr>
        <w:t>10</w:t>
      </w:r>
      <w:r w:rsidRPr="0090207D">
        <w:rPr>
          <w:b/>
          <w:i w:val="0"/>
        </w:rPr>
        <w:fldChar w:fldCharType="end"/>
      </w:r>
    </w:p>
    <w:p w:rsidR="00E96FCC" w:rsidRDefault="00E96FCC">
      <w:pPr>
        <w:pStyle w:val="TOC3"/>
        <w:rPr>
          <w:rFonts w:asciiTheme="minorHAnsi" w:eastAsiaTheme="minorEastAsia" w:hAnsiTheme="minorHAnsi" w:cstheme="minorBidi"/>
          <w:i w:val="0"/>
          <w:color w:val="auto"/>
          <w:szCs w:val="22"/>
        </w:rPr>
      </w:pPr>
      <w:r>
        <w:t xml:space="preserve">3. Other High Risks as Determined by FDA: </w:t>
      </w:r>
      <w:r w:rsidRPr="005661B0">
        <w:rPr>
          <w:rFonts w:eastAsia="Calibri"/>
        </w:rPr>
        <w:t>High Risk of Illegitimacy Notification Where a Manufacturer has Reason to Believe the Product has Entered the Pharmaceutical Distribution Supply Chain</w:t>
      </w:r>
      <w:r>
        <w:tab/>
      </w:r>
      <w:r w:rsidRPr="0090207D">
        <w:rPr>
          <w:b/>
          <w:i w:val="0"/>
        </w:rPr>
        <w:fldChar w:fldCharType="begin"/>
      </w:r>
      <w:r w:rsidRPr="0090207D">
        <w:rPr>
          <w:b/>
          <w:i w:val="0"/>
        </w:rPr>
        <w:instrText xml:space="preserve"> PAGEREF _Toc407020512 \h </w:instrText>
      </w:r>
      <w:r w:rsidRPr="0090207D">
        <w:rPr>
          <w:b/>
          <w:i w:val="0"/>
        </w:rPr>
      </w:r>
      <w:r w:rsidRPr="0090207D">
        <w:rPr>
          <w:b/>
          <w:i w:val="0"/>
        </w:rPr>
        <w:fldChar w:fldCharType="separate"/>
      </w:r>
      <w:r w:rsidR="000525F3">
        <w:rPr>
          <w:b/>
          <w:i w:val="0"/>
        </w:rPr>
        <w:t>10</w:t>
      </w:r>
      <w:r w:rsidRPr="0090207D">
        <w:rPr>
          <w:b/>
          <w:i w:val="0"/>
        </w:rPr>
        <w:fldChar w:fldCharType="end"/>
      </w:r>
    </w:p>
    <w:p w:rsidR="00E96FCC" w:rsidRDefault="00E96FCC">
      <w:pPr>
        <w:pStyle w:val="TOC1"/>
        <w:rPr>
          <w:rFonts w:asciiTheme="minorHAnsi" w:eastAsiaTheme="minorEastAsia" w:hAnsiTheme="minorHAnsi" w:cstheme="minorBidi"/>
          <w:b w:val="0"/>
          <w:caps w:val="0"/>
          <w:color w:val="auto"/>
          <w:sz w:val="22"/>
          <w:szCs w:val="22"/>
        </w:rPr>
      </w:pPr>
      <w:r>
        <w:t>IV.</w:t>
      </w:r>
      <w:r>
        <w:rPr>
          <w:rFonts w:asciiTheme="minorHAnsi" w:eastAsiaTheme="minorEastAsia" w:hAnsiTheme="minorHAnsi" w:cstheme="minorBidi"/>
          <w:b w:val="0"/>
          <w:caps w:val="0"/>
          <w:color w:val="auto"/>
          <w:sz w:val="22"/>
          <w:szCs w:val="22"/>
        </w:rPr>
        <w:tab/>
      </w:r>
      <w:r>
        <w:t>Notification OF ILLEGITIMATE PRODUCT AND PRODUCTS WITH A HIGH RISK OF ILLEGITIMACY</w:t>
      </w:r>
      <w:r>
        <w:tab/>
      </w:r>
      <w:r>
        <w:fldChar w:fldCharType="begin"/>
      </w:r>
      <w:r>
        <w:instrText xml:space="preserve"> PAGEREF _Toc407020513 \h </w:instrText>
      </w:r>
      <w:r>
        <w:fldChar w:fldCharType="separate"/>
      </w:r>
      <w:r w:rsidR="000525F3">
        <w:t>11</w:t>
      </w:r>
      <w:r>
        <w:fldChar w:fldCharType="end"/>
      </w:r>
    </w:p>
    <w:p w:rsidR="00E96FCC" w:rsidRDefault="00E96FCC">
      <w:pPr>
        <w:pStyle w:val="TOC2"/>
        <w:rPr>
          <w:rFonts w:asciiTheme="minorHAnsi" w:eastAsiaTheme="minorEastAsia" w:hAnsiTheme="minorHAnsi" w:cstheme="minorBidi"/>
          <w:b w:val="0"/>
          <w:color w:val="auto"/>
          <w:szCs w:val="22"/>
        </w:rPr>
      </w:pPr>
      <w:r>
        <w:t>A.</w:t>
      </w:r>
      <w:r>
        <w:rPr>
          <w:rFonts w:asciiTheme="minorHAnsi" w:eastAsiaTheme="minorEastAsia" w:hAnsiTheme="minorHAnsi" w:cstheme="minorBidi"/>
          <w:b w:val="0"/>
          <w:color w:val="auto"/>
          <w:szCs w:val="22"/>
        </w:rPr>
        <w:tab/>
      </w:r>
      <w:r>
        <w:t>Notification to FDA</w:t>
      </w:r>
      <w:r>
        <w:tab/>
      </w:r>
      <w:r>
        <w:fldChar w:fldCharType="begin"/>
      </w:r>
      <w:r>
        <w:instrText xml:space="preserve"> PAGEREF _Toc407020514 \h </w:instrText>
      </w:r>
      <w:r>
        <w:fldChar w:fldCharType="separate"/>
      </w:r>
      <w:r w:rsidR="000525F3">
        <w:t>11</w:t>
      </w:r>
      <w:r>
        <w:fldChar w:fldCharType="end"/>
      </w:r>
    </w:p>
    <w:p w:rsidR="00E96FCC" w:rsidRDefault="00E96FCC">
      <w:pPr>
        <w:pStyle w:val="TOC3"/>
        <w:rPr>
          <w:rFonts w:asciiTheme="minorHAnsi" w:eastAsiaTheme="minorEastAsia" w:hAnsiTheme="minorHAnsi" w:cstheme="minorBidi"/>
          <w:i w:val="0"/>
          <w:color w:val="auto"/>
          <w:szCs w:val="22"/>
        </w:rPr>
      </w:pPr>
      <w:r>
        <w:t>1.</w:t>
      </w:r>
      <w:r>
        <w:rPr>
          <w:rFonts w:asciiTheme="minorHAnsi" w:eastAsiaTheme="minorEastAsia" w:hAnsiTheme="minorHAnsi" w:cstheme="minorBidi"/>
          <w:i w:val="0"/>
          <w:color w:val="auto"/>
          <w:szCs w:val="22"/>
        </w:rPr>
        <w:tab/>
      </w:r>
      <w:r>
        <w:t>The following process should be used to notify FDA of illegitimate products:</w:t>
      </w:r>
      <w:r>
        <w:tab/>
      </w:r>
      <w:r w:rsidRPr="0090207D">
        <w:rPr>
          <w:b/>
          <w:i w:val="0"/>
        </w:rPr>
        <w:fldChar w:fldCharType="begin"/>
      </w:r>
      <w:r w:rsidRPr="0090207D">
        <w:rPr>
          <w:b/>
          <w:i w:val="0"/>
        </w:rPr>
        <w:instrText xml:space="preserve"> PAGEREF _Toc407020515 \h </w:instrText>
      </w:r>
      <w:r w:rsidRPr="0090207D">
        <w:rPr>
          <w:b/>
          <w:i w:val="0"/>
        </w:rPr>
      </w:r>
      <w:r w:rsidRPr="0090207D">
        <w:rPr>
          <w:b/>
          <w:i w:val="0"/>
        </w:rPr>
        <w:fldChar w:fldCharType="separate"/>
      </w:r>
      <w:r w:rsidR="000525F3">
        <w:rPr>
          <w:b/>
          <w:i w:val="0"/>
        </w:rPr>
        <w:t>12</w:t>
      </w:r>
      <w:r w:rsidRPr="0090207D">
        <w:rPr>
          <w:b/>
          <w:i w:val="0"/>
        </w:rPr>
        <w:fldChar w:fldCharType="end"/>
      </w:r>
    </w:p>
    <w:p w:rsidR="00E96FCC" w:rsidRDefault="00E96FCC">
      <w:pPr>
        <w:pStyle w:val="TOC3"/>
        <w:rPr>
          <w:rFonts w:asciiTheme="minorHAnsi" w:eastAsiaTheme="minorEastAsia" w:hAnsiTheme="minorHAnsi" w:cstheme="minorBidi"/>
          <w:i w:val="0"/>
          <w:color w:val="auto"/>
          <w:szCs w:val="22"/>
        </w:rPr>
      </w:pPr>
      <w:r>
        <w:t>2.</w:t>
      </w:r>
      <w:r>
        <w:rPr>
          <w:rFonts w:asciiTheme="minorHAnsi" w:eastAsiaTheme="minorEastAsia" w:hAnsiTheme="minorHAnsi" w:cstheme="minorBidi"/>
          <w:i w:val="0"/>
          <w:color w:val="auto"/>
          <w:szCs w:val="22"/>
        </w:rPr>
        <w:tab/>
      </w:r>
      <w:r>
        <w:t>The following process should be used by manufacturers to notify FDA of a product with a high risk of illegitimacy:</w:t>
      </w:r>
      <w:r>
        <w:tab/>
      </w:r>
      <w:r w:rsidRPr="0090207D">
        <w:rPr>
          <w:b/>
          <w:i w:val="0"/>
        </w:rPr>
        <w:fldChar w:fldCharType="begin"/>
      </w:r>
      <w:r w:rsidRPr="0090207D">
        <w:rPr>
          <w:b/>
          <w:i w:val="0"/>
        </w:rPr>
        <w:instrText xml:space="preserve"> PAGEREF _Toc407020516 \h </w:instrText>
      </w:r>
      <w:r w:rsidRPr="0090207D">
        <w:rPr>
          <w:b/>
          <w:i w:val="0"/>
        </w:rPr>
      </w:r>
      <w:r w:rsidRPr="0090207D">
        <w:rPr>
          <w:b/>
          <w:i w:val="0"/>
        </w:rPr>
        <w:fldChar w:fldCharType="separate"/>
      </w:r>
      <w:r w:rsidR="000525F3">
        <w:rPr>
          <w:b/>
          <w:i w:val="0"/>
        </w:rPr>
        <w:t>12</w:t>
      </w:r>
      <w:r w:rsidRPr="0090207D">
        <w:rPr>
          <w:b/>
          <w:i w:val="0"/>
        </w:rPr>
        <w:fldChar w:fldCharType="end"/>
      </w:r>
    </w:p>
    <w:p w:rsidR="00E96FCC" w:rsidRDefault="00E96FCC">
      <w:pPr>
        <w:pStyle w:val="TOC2"/>
        <w:rPr>
          <w:rFonts w:asciiTheme="minorHAnsi" w:eastAsiaTheme="minorEastAsia" w:hAnsiTheme="minorHAnsi" w:cstheme="minorBidi"/>
          <w:b w:val="0"/>
          <w:color w:val="auto"/>
          <w:szCs w:val="22"/>
        </w:rPr>
      </w:pPr>
      <w:r>
        <w:t>B.</w:t>
      </w:r>
      <w:r>
        <w:rPr>
          <w:rFonts w:asciiTheme="minorHAnsi" w:eastAsiaTheme="minorEastAsia" w:hAnsiTheme="minorHAnsi" w:cstheme="minorBidi"/>
          <w:b w:val="0"/>
          <w:color w:val="auto"/>
          <w:szCs w:val="22"/>
        </w:rPr>
        <w:tab/>
      </w:r>
      <w:r>
        <w:t>Termination of Notification in Consultation With FDA</w:t>
      </w:r>
      <w:r>
        <w:tab/>
      </w:r>
      <w:r>
        <w:fldChar w:fldCharType="begin"/>
      </w:r>
      <w:r>
        <w:instrText xml:space="preserve"> PAGEREF _Toc407020517 \h </w:instrText>
      </w:r>
      <w:r>
        <w:fldChar w:fldCharType="separate"/>
      </w:r>
      <w:r w:rsidR="000525F3">
        <w:t>13</w:t>
      </w:r>
      <w:r>
        <w:fldChar w:fldCharType="end"/>
      </w:r>
    </w:p>
    <w:p w:rsidR="00E96FCC" w:rsidRDefault="00E96FCC">
      <w:pPr>
        <w:pStyle w:val="TOC1"/>
        <w:rPr>
          <w:rFonts w:asciiTheme="minorHAnsi" w:eastAsiaTheme="minorEastAsia" w:hAnsiTheme="minorHAnsi" w:cstheme="minorBidi"/>
          <w:b w:val="0"/>
          <w:caps w:val="0"/>
          <w:color w:val="auto"/>
          <w:sz w:val="22"/>
          <w:szCs w:val="22"/>
        </w:rPr>
      </w:pPr>
      <w:r>
        <w:t>ATTACHMENT A:  FORM FDA 3911</w:t>
      </w:r>
      <w:r>
        <w:tab/>
      </w:r>
      <w:r>
        <w:fldChar w:fldCharType="begin"/>
      </w:r>
      <w:r>
        <w:instrText xml:space="preserve"> PAGEREF _Toc407020518 \h </w:instrText>
      </w:r>
      <w:r>
        <w:fldChar w:fldCharType="separate"/>
      </w:r>
      <w:r w:rsidR="000525F3">
        <w:t>16</w:t>
      </w:r>
      <w:r>
        <w:fldChar w:fldCharType="end"/>
      </w:r>
    </w:p>
    <w:p w:rsidR="00D37448" w:rsidRDefault="000B6DE6">
      <w:pPr>
        <w:pStyle w:val="TOC5"/>
        <w:rPr>
          <w:b w:val="0"/>
          <w:caps w:val="0"/>
        </w:rPr>
        <w:sectPr w:rsidR="00D37448">
          <w:headerReference w:type="default" r:id="rId19"/>
          <w:footerReference w:type="default" r:id="rId20"/>
          <w:pgSz w:w="12240" w:h="15840"/>
          <w:pgMar w:top="1440" w:right="1440" w:bottom="1440" w:left="1440" w:header="720" w:footer="720" w:gutter="0"/>
          <w:cols w:space="720"/>
        </w:sectPr>
      </w:pPr>
      <w:r>
        <w:rPr>
          <w:b w:val="0"/>
          <w:caps w:val="0"/>
        </w:rPr>
        <w:fldChar w:fldCharType="end"/>
      </w:r>
    </w:p>
    <w:p w:rsidR="00072068" w:rsidRDefault="00072068">
      <w:pPr>
        <w:jc w:val="center"/>
        <w:outlineLvl w:val="0"/>
        <w:rPr>
          <w:b/>
          <w:sz w:val="32"/>
        </w:rPr>
      </w:pPr>
      <w:r>
        <w:rPr>
          <w:b/>
          <w:sz w:val="32"/>
        </w:rPr>
        <w:lastRenderedPageBreak/>
        <w:t>Guidance for Industry</w:t>
      </w:r>
      <w:r>
        <w:rPr>
          <w:rStyle w:val="FootnoteReference"/>
          <w:b/>
          <w:sz w:val="32"/>
        </w:rPr>
        <w:footnoteReference w:id="2"/>
      </w:r>
    </w:p>
    <w:p w:rsidR="00072068" w:rsidRPr="00833FC4" w:rsidRDefault="00E53257">
      <w:pPr>
        <w:jc w:val="center"/>
        <w:rPr>
          <w:b/>
          <w:sz w:val="32"/>
          <w:szCs w:val="32"/>
        </w:rPr>
      </w:pPr>
      <w:r w:rsidRPr="00833FC4">
        <w:rPr>
          <w:b/>
          <w:sz w:val="32"/>
          <w:szCs w:val="32"/>
        </w:rPr>
        <w:t>D</w:t>
      </w:r>
      <w:r w:rsidR="00846264" w:rsidRPr="00833FC4">
        <w:rPr>
          <w:b/>
          <w:sz w:val="32"/>
          <w:szCs w:val="32"/>
        </w:rPr>
        <w:t xml:space="preserve">rug </w:t>
      </w:r>
      <w:r w:rsidRPr="00833FC4">
        <w:rPr>
          <w:b/>
          <w:sz w:val="32"/>
          <w:szCs w:val="32"/>
        </w:rPr>
        <w:t>S</w:t>
      </w:r>
      <w:r w:rsidR="00846264" w:rsidRPr="00833FC4">
        <w:rPr>
          <w:b/>
          <w:sz w:val="32"/>
          <w:szCs w:val="32"/>
        </w:rPr>
        <w:t xml:space="preserve">upply </w:t>
      </w:r>
      <w:r w:rsidRPr="00833FC4">
        <w:rPr>
          <w:b/>
          <w:sz w:val="32"/>
          <w:szCs w:val="32"/>
        </w:rPr>
        <w:t>C</w:t>
      </w:r>
      <w:r w:rsidR="00846264" w:rsidRPr="00833FC4">
        <w:rPr>
          <w:b/>
          <w:sz w:val="32"/>
          <w:szCs w:val="32"/>
        </w:rPr>
        <w:t xml:space="preserve">hain </w:t>
      </w:r>
      <w:r w:rsidRPr="00833FC4">
        <w:rPr>
          <w:b/>
          <w:sz w:val="32"/>
          <w:szCs w:val="32"/>
        </w:rPr>
        <w:t>S</w:t>
      </w:r>
      <w:r w:rsidR="00846264" w:rsidRPr="00833FC4">
        <w:rPr>
          <w:b/>
          <w:sz w:val="32"/>
          <w:szCs w:val="32"/>
        </w:rPr>
        <w:t xml:space="preserve">ecurity </w:t>
      </w:r>
      <w:r w:rsidRPr="00833FC4">
        <w:rPr>
          <w:b/>
          <w:sz w:val="32"/>
          <w:szCs w:val="32"/>
        </w:rPr>
        <w:t>A</w:t>
      </w:r>
      <w:r w:rsidR="00846264" w:rsidRPr="00833FC4">
        <w:rPr>
          <w:b/>
          <w:sz w:val="32"/>
          <w:szCs w:val="32"/>
        </w:rPr>
        <w:t>ct</w:t>
      </w:r>
      <w:r w:rsidRPr="00833FC4">
        <w:rPr>
          <w:b/>
          <w:sz w:val="32"/>
          <w:szCs w:val="32"/>
        </w:rPr>
        <w:t xml:space="preserve"> Implementation:  </w:t>
      </w:r>
      <w:r w:rsidR="00355172" w:rsidRPr="00833FC4">
        <w:rPr>
          <w:b/>
          <w:sz w:val="32"/>
          <w:szCs w:val="32"/>
        </w:rPr>
        <w:t xml:space="preserve">Identification of Suspect Product and Notification </w:t>
      </w:r>
    </w:p>
    <w:p w:rsidR="00072068" w:rsidRDefault="00072068"/>
    <w:p w:rsidR="00072068" w:rsidRDefault="00072068">
      <w:pPr>
        <w:pStyle w:val="box"/>
      </w:pPr>
    </w:p>
    <w:p w:rsidR="00072068" w:rsidRDefault="00072068">
      <w:pPr>
        <w:pStyle w:val="box"/>
      </w:pPr>
      <w:r>
        <w:t>This guidance represent</w:t>
      </w:r>
      <w:r w:rsidR="00E322F5">
        <w:t>s</w:t>
      </w:r>
      <w:r>
        <w:t xml:space="preserve"> the Food and Drug Administration</w:t>
      </w:r>
      <w:r w:rsidR="00995999">
        <w:t>’</w:t>
      </w:r>
      <w:r>
        <w:t>s (FDA</w:t>
      </w:r>
      <w:r w:rsidR="00995999">
        <w:t>’</w:t>
      </w:r>
      <w:r>
        <w:t xml:space="preserve">s) current thinking on this topic.  </w:t>
      </w:r>
      <w:r w:rsidR="000051CC">
        <w:t>With the exception of section IV.B,</w:t>
      </w:r>
      <w:r w:rsidR="000051CC" w:rsidRPr="000051CC">
        <w:rPr>
          <w:rStyle w:val="FootnoteReference"/>
        </w:rPr>
        <w:t xml:space="preserve"> </w:t>
      </w:r>
      <w:r w:rsidR="000051CC">
        <w:rPr>
          <w:rStyle w:val="FootnoteReference"/>
        </w:rPr>
        <w:footnoteReference w:id="3"/>
      </w:r>
      <w:r w:rsidR="000051CC">
        <w:t xml:space="preserve"> i</w:t>
      </w:r>
      <w:r>
        <w:t>t does not create or confer any rights for or on any person and does not operate to bind</w:t>
      </w:r>
      <w:r w:rsidR="00B3224E">
        <w:t xml:space="preserve"> the</w:t>
      </w:r>
      <w:r>
        <w:t xml:space="preserve"> FDA or the public.  You can use an alternative approach if the approach satisfies the requirements of the applicable statutes and regulations. If you want to discuss an alternative approach, contact the FDA staff responsible for implementing this guidance.  If you cannot identify the appropriate FDA staff, call the appropriate number listed on the title page of this guidance. </w:t>
      </w:r>
    </w:p>
    <w:p w:rsidR="00072068" w:rsidRDefault="00072068">
      <w:pPr>
        <w:pStyle w:val="box"/>
      </w:pPr>
    </w:p>
    <w:p w:rsidR="00072068" w:rsidRDefault="00072068"/>
    <w:p w:rsidR="00714654" w:rsidRDefault="00714654" w:rsidP="000B2522">
      <w:pPr>
        <w:pStyle w:val="Heading1"/>
      </w:pPr>
      <w:bookmarkStart w:id="1" w:name="_Toc462221103"/>
    </w:p>
    <w:p w:rsidR="00072068" w:rsidRDefault="00072068" w:rsidP="000B2522">
      <w:pPr>
        <w:pStyle w:val="Heading1"/>
        <w:rPr>
          <w:i/>
        </w:rPr>
      </w:pPr>
      <w:bookmarkStart w:id="2" w:name="_Toc407020498"/>
      <w:r>
        <w:t>I.</w:t>
      </w:r>
      <w:r>
        <w:tab/>
        <w:t>INTRODUCTION</w:t>
      </w:r>
      <w:bookmarkEnd w:id="2"/>
      <w:r>
        <w:t xml:space="preserve"> </w:t>
      </w:r>
    </w:p>
    <w:p w:rsidR="00072068" w:rsidRDefault="00072068"/>
    <w:bookmarkEnd w:id="1"/>
    <w:p w:rsidR="00833FC4" w:rsidRDefault="00833FC4" w:rsidP="00833FC4">
      <w:pPr>
        <w:rPr>
          <w:szCs w:val="24"/>
        </w:rPr>
      </w:pPr>
      <w:r w:rsidRPr="00833FC4">
        <w:rPr>
          <w:szCs w:val="24"/>
        </w:rPr>
        <w:t>This guidance is intended to aid trading partners</w:t>
      </w:r>
      <w:r w:rsidR="008865A3">
        <w:rPr>
          <w:rStyle w:val="FootnoteReference"/>
          <w:szCs w:val="24"/>
        </w:rPr>
        <w:footnoteReference w:id="4"/>
      </w:r>
      <w:r w:rsidRPr="00833FC4">
        <w:rPr>
          <w:szCs w:val="24"/>
        </w:rPr>
        <w:t xml:space="preserve"> (manufacturers, repackagers, wholesale distributors, </w:t>
      </w:r>
      <w:r w:rsidR="009F6E8D">
        <w:rPr>
          <w:szCs w:val="24"/>
        </w:rPr>
        <w:t>and</w:t>
      </w:r>
      <w:r w:rsidRPr="00833FC4">
        <w:rPr>
          <w:szCs w:val="24"/>
        </w:rPr>
        <w:t xml:space="preserve"> dispensers) in identifying a suspect product and terminating notifications.  </w:t>
      </w:r>
      <w:r w:rsidR="009A0EF4">
        <w:rPr>
          <w:szCs w:val="24"/>
        </w:rPr>
        <w:t>As of</w:t>
      </w:r>
      <w:r w:rsidR="009D3575">
        <w:rPr>
          <w:szCs w:val="24"/>
        </w:rPr>
        <w:t xml:space="preserve"> </w:t>
      </w:r>
      <w:r w:rsidRPr="00833FC4">
        <w:rPr>
          <w:szCs w:val="24"/>
        </w:rPr>
        <w:t xml:space="preserve">January 1, 2015, a trading partner </w:t>
      </w:r>
      <w:r w:rsidR="009F6E8D">
        <w:rPr>
          <w:szCs w:val="24"/>
        </w:rPr>
        <w:t>that</w:t>
      </w:r>
      <w:r w:rsidRPr="00833FC4">
        <w:rPr>
          <w:szCs w:val="24"/>
        </w:rPr>
        <w:t xml:space="preserve"> determines a product in its possession or control is </w:t>
      </w:r>
      <w:r w:rsidR="009D3575">
        <w:rPr>
          <w:szCs w:val="24"/>
        </w:rPr>
        <w:t>an illegitimate</w:t>
      </w:r>
      <w:r w:rsidRPr="00833FC4">
        <w:rPr>
          <w:szCs w:val="24"/>
        </w:rPr>
        <w:t xml:space="preserve"> </w:t>
      </w:r>
      <w:r>
        <w:rPr>
          <w:szCs w:val="24"/>
        </w:rPr>
        <w:t xml:space="preserve">product </w:t>
      </w:r>
      <w:r w:rsidRPr="00833FC4">
        <w:rPr>
          <w:szCs w:val="24"/>
        </w:rPr>
        <w:t xml:space="preserve">must notify the Food and Drug Administration (FDA or Agency) </w:t>
      </w:r>
      <w:r w:rsidR="00CC4A33">
        <w:rPr>
          <w:szCs w:val="24"/>
        </w:rPr>
        <w:t xml:space="preserve">and certain immediate trading partners </w:t>
      </w:r>
      <w:r w:rsidRPr="00833FC4">
        <w:rPr>
          <w:szCs w:val="24"/>
        </w:rPr>
        <w:t>under section 582 of the Federal Food, Drug, and Cosmetic Act (FD&amp;C Act) (21 U.S.C. 360e</w:t>
      </w:r>
      <w:r>
        <w:rPr>
          <w:szCs w:val="24"/>
        </w:rPr>
        <w:t xml:space="preserve">ee), as added by </w:t>
      </w:r>
      <w:r w:rsidRPr="00833FC4">
        <w:rPr>
          <w:szCs w:val="24"/>
        </w:rPr>
        <w:t>the Drug Supply Chain Security Act (DSCSA).</w:t>
      </w:r>
      <w:r>
        <w:rPr>
          <w:szCs w:val="24"/>
        </w:rPr>
        <w:t xml:space="preserve"> </w:t>
      </w:r>
      <w:r w:rsidR="00F947B5">
        <w:rPr>
          <w:szCs w:val="24"/>
        </w:rPr>
        <w:t xml:space="preserve"> </w:t>
      </w:r>
      <w:r w:rsidR="00F947B5" w:rsidRPr="005031B9">
        <w:rPr>
          <w:szCs w:val="24"/>
        </w:rPr>
        <w:t>Manufacturers are</w:t>
      </w:r>
      <w:r w:rsidR="00F947B5">
        <w:rPr>
          <w:szCs w:val="24"/>
        </w:rPr>
        <w:t xml:space="preserve"> additionally</w:t>
      </w:r>
      <w:r w:rsidR="00F947B5" w:rsidRPr="005031B9">
        <w:rPr>
          <w:szCs w:val="24"/>
        </w:rPr>
        <w:t xml:space="preserve"> required under section 582 to notify FDA</w:t>
      </w:r>
      <w:r w:rsidR="00F947B5">
        <w:rPr>
          <w:szCs w:val="24"/>
        </w:rPr>
        <w:t xml:space="preserve"> and certain immediate trading partners after the </w:t>
      </w:r>
      <w:r w:rsidR="00F947B5" w:rsidRPr="005031B9">
        <w:rPr>
          <w:szCs w:val="24"/>
        </w:rPr>
        <w:t>manufacturer determines</w:t>
      </w:r>
      <w:r w:rsidR="00F947B5">
        <w:rPr>
          <w:szCs w:val="24"/>
        </w:rPr>
        <w:t xml:space="preserve"> or is notified by FDA or a trading partner</w:t>
      </w:r>
      <w:r w:rsidR="00F947B5" w:rsidRPr="005031B9">
        <w:rPr>
          <w:szCs w:val="24"/>
        </w:rPr>
        <w:t xml:space="preserve"> that </w:t>
      </w:r>
      <w:r w:rsidR="00F947B5">
        <w:rPr>
          <w:szCs w:val="24"/>
        </w:rPr>
        <w:t>there is a high risk that a</w:t>
      </w:r>
      <w:r w:rsidR="00F947B5" w:rsidRPr="005031B9">
        <w:rPr>
          <w:szCs w:val="24"/>
        </w:rPr>
        <w:t xml:space="preserve"> product </w:t>
      </w:r>
      <w:r w:rsidR="00F947B5">
        <w:rPr>
          <w:szCs w:val="24"/>
        </w:rPr>
        <w:t xml:space="preserve">is </w:t>
      </w:r>
      <w:r w:rsidR="00F947B5" w:rsidRPr="005031B9">
        <w:rPr>
          <w:szCs w:val="24"/>
        </w:rPr>
        <w:t>illegitima</w:t>
      </w:r>
      <w:r w:rsidR="00F947B5">
        <w:rPr>
          <w:szCs w:val="24"/>
        </w:rPr>
        <w:t>te</w:t>
      </w:r>
      <w:r w:rsidR="00F947B5" w:rsidRPr="005031B9">
        <w:rPr>
          <w:szCs w:val="24"/>
        </w:rPr>
        <w:t>.</w:t>
      </w:r>
      <w:r>
        <w:rPr>
          <w:szCs w:val="24"/>
        </w:rPr>
        <w:t xml:space="preserve"> </w:t>
      </w:r>
      <w:r w:rsidRPr="00833FC4">
        <w:rPr>
          <w:szCs w:val="24"/>
        </w:rPr>
        <w:t xml:space="preserve">This guidance identifies specific scenarios that could significantly increase the risk of a suspect product entering the </w:t>
      </w:r>
      <w:r w:rsidR="00FA6EB7">
        <w:rPr>
          <w:szCs w:val="24"/>
        </w:rPr>
        <w:t>pharmaceutical distribution</w:t>
      </w:r>
      <w:r w:rsidRPr="00833FC4">
        <w:rPr>
          <w:szCs w:val="24"/>
        </w:rPr>
        <w:t xml:space="preserve"> supply chain; provides recommendations on how trading partners can identify </w:t>
      </w:r>
      <w:r w:rsidR="00224240">
        <w:rPr>
          <w:szCs w:val="24"/>
        </w:rPr>
        <w:t>a</w:t>
      </w:r>
      <w:r w:rsidRPr="00833FC4">
        <w:rPr>
          <w:szCs w:val="24"/>
        </w:rPr>
        <w:t xml:space="preserve"> product and determine whether </w:t>
      </w:r>
      <w:r w:rsidR="00224240">
        <w:rPr>
          <w:szCs w:val="24"/>
        </w:rPr>
        <w:t>a</w:t>
      </w:r>
      <w:r w:rsidRPr="00833FC4">
        <w:rPr>
          <w:szCs w:val="24"/>
        </w:rPr>
        <w:t xml:space="preserve"> product is a suspect product as soon as practicable; and sets forth the process by which trading partners should notify FDA of illegitimate product </w:t>
      </w:r>
      <w:r w:rsidR="00B7522C">
        <w:rPr>
          <w:szCs w:val="24"/>
        </w:rPr>
        <w:t xml:space="preserve">or products with a high risk of illegitimacy, </w:t>
      </w:r>
      <w:r w:rsidRPr="00833FC4">
        <w:rPr>
          <w:szCs w:val="24"/>
        </w:rPr>
        <w:t xml:space="preserve">and how they </w:t>
      </w:r>
      <w:r w:rsidR="00C866C3">
        <w:rPr>
          <w:szCs w:val="24"/>
        </w:rPr>
        <w:t>must</w:t>
      </w:r>
      <w:r w:rsidRPr="00833FC4">
        <w:rPr>
          <w:szCs w:val="24"/>
        </w:rPr>
        <w:t xml:space="preserve"> terminate the notifications, in consultation with FDA.</w:t>
      </w:r>
    </w:p>
    <w:p w:rsidR="008865A3" w:rsidRDefault="008865A3" w:rsidP="00833FC4">
      <w:pPr>
        <w:rPr>
          <w:szCs w:val="24"/>
        </w:rPr>
      </w:pPr>
    </w:p>
    <w:p w:rsidR="008865A3" w:rsidRDefault="008865A3" w:rsidP="00833FC4">
      <w:pPr>
        <w:rPr>
          <w:szCs w:val="24"/>
        </w:rPr>
      </w:pPr>
      <w:r w:rsidRPr="008865A3">
        <w:rPr>
          <w:szCs w:val="24"/>
        </w:rPr>
        <w:lastRenderedPageBreak/>
        <w:t>This guidance does not address all provisions of the DSCSA related to suspect and illegitimate products.   As FDA works to implement other provision</w:t>
      </w:r>
      <w:r>
        <w:rPr>
          <w:szCs w:val="24"/>
        </w:rPr>
        <w:t>s</w:t>
      </w:r>
      <w:r w:rsidRPr="008865A3">
        <w:rPr>
          <w:szCs w:val="24"/>
        </w:rPr>
        <w:t xml:space="preserve"> of the DSCSA, the Agency</w:t>
      </w:r>
      <w:r w:rsidR="004F450E">
        <w:rPr>
          <w:szCs w:val="24"/>
        </w:rPr>
        <w:t xml:space="preserve"> intends to</w:t>
      </w:r>
      <w:r w:rsidRPr="008865A3">
        <w:rPr>
          <w:szCs w:val="24"/>
        </w:rPr>
        <w:t xml:space="preserve"> issue additional information to support efforts to develop standards, issue guidance and regulations, establish pilot programs</w:t>
      </w:r>
      <w:r>
        <w:rPr>
          <w:szCs w:val="24"/>
        </w:rPr>
        <w:t>,</w:t>
      </w:r>
      <w:r w:rsidRPr="008865A3">
        <w:rPr>
          <w:szCs w:val="24"/>
        </w:rPr>
        <w:t xml:space="preserve"> and conduct public meetings.</w:t>
      </w:r>
    </w:p>
    <w:p w:rsidR="00833FC4" w:rsidRDefault="00833FC4" w:rsidP="00ED1D6A">
      <w:pPr>
        <w:rPr>
          <w:szCs w:val="24"/>
        </w:rPr>
      </w:pPr>
    </w:p>
    <w:p w:rsidR="00072068" w:rsidRDefault="00072068" w:rsidP="00703E0C">
      <w:r>
        <w:t>FDA</w:t>
      </w:r>
      <w:r w:rsidR="005E0F09">
        <w:t>’</w:t>
      </w:r>
      <w:r>
        <w:t>s guidance documents</w:t>
      </w:r>
      <w:r w:rsidRPr="00D34F0D">
        <w:t xml:space="preserve">, </w:t>
      </w:r>
      <w:r w:rsidR="00A42B0A" w:rsidRPr="00D34F0D">
        <w:t>in general</w:t>
      </w:r>
      <w:r>
        <w:t>, do not establish legally</w:t>
      </w:r>
      <w:r w:rsidR="00193EB2">
        <w:t xml:space="preserve"> </w:t>
      </w:r>
      <w:r>
        <w:t>enforceable responsibilities.  Instead</w:t>
      </w:r>
      <w:r w:rsidR="005E0F09">
        <w:t>, guidance</w:t>
      </w:r>
      <w:r w:rsidR="0096439E">
        <w:t>s</w:t>
      </w:r>
      <w:r w:rsidR="005E0F09">
        <w:t xml:space="preserve"> describe the Agency’</w:t>
      </w:r>
      <w:r>
        <w:t xml:space="preserve">s current thinking on a topic and should be viewed only as recommendations, unless specific regulatory or statutory requirements are cited.  The use of the word </w:t>
      </w:r>
      <w:r>
        <w:rPr>
          <w:i/>
        </w:rPr>
        <w:t>should</w:t>
      </w:r>
      <w:r>
        <w:t xml:space="preserve"> in Agency guidances means that something is suggested or recommended, but not required. </w:t>
      </w:r>
      <w:r w:rsidR="00A42B0A">
        <w:t xml:space="preserve"> </w:t>
      </w:r>
      <w:r w:rsidR="00A42B0A" w:rsidRPr="00D34F0D">
        <w:t xml:space="preserve">Insofar as section IV.B of this guidance sets forth the process by which trading partners must terminate notifications of illegitimate product </w:t>
      </w:r>
      <w:r w:rsidR="00A00F67">
        <w:t xml:space="preserve">and products with a high risk of illegitimacy </w:t>
      </w:r>
      <w:r w:rsidR="00A42B0A" w:rsidRPr="00D34F0D">
        <w:t xml:space="preserve">in consultation with FDA, it </w:t>
      </w:r>
      <w:r w:rsidR="002A46E4">
        <w:t>has</w:t>
      </w:r>
      <w:r w:rsidR="00A42B0A" w:rsidRPr="00D34F0D">
        <w:t xml:space="preserve"> binding effect.</w:t>
      </w:r>
      <w:r w:rsidR="00A42B0A" w:rsidRPr="00D34F0D">
        <w:rPr>
          <w:rStyle w:val="FootnoteReference"/>
        </w:rPr>
        <w:footnoteReference w:id="5"/>
      </w:r>
    </w:p>
    <w:p w:rsidR="00603867" w:rsidRDefault="00603867" w:rsidP="00767571"/>
    <w:p w:rsidR="00072068" w:rsidRDefault="00072068" w:rsidP="00767571">
      <w:pPr>
        <w:pStyle w:val="Heading1"/>
      </w:pPr>
      <w:bookmarkStart w:id="3" w:name="_Toc407020499"/>
      <w:r>
        <w:t>II.</w:t>
      </w:r>
      <w:r>
        <w:tab/>
        <w:t>BACKGROUND</w:t>
      </w:r>
      <w:bookmarkEnd w:id="3"/>
    </w:p>
    <w:p w:rsidR="00072068" w:rsidRDefault="00072068" w:rsidP="00A44F9A"/>
    <w:p w:rsidR="00833FC4" w:rsidRDefault="00833FC4" w:rsidP="00833FC4">
      <w:pPr>
        <w:pStyle w:val="Heading2"/>
        <w:numPr>
          <w:ilvl w:val="0"/>
          <w:numId w:val="13"/>
        </w:numPr>
        <w:ind w:left="1440" w:hanging="720"/>
      </w:pPr>
      <w:bookmarkStart w:id="4" w:name="_Toc407020500"/>
      <w:r w:rsidRPr="00833FC4">
        <w:t>Drug Supply Chain Security Act</w:t>
      </w:r>
      <w:bookmarkEnd w:id="4"/>
    </w:p>
    <w:p w:rsidR="00833FC4" w:rsidRPr="00833FC4" w:rsidRDefault="00833FC4" w:rsidP="00833FC4"/>
    <w:p w:rsidR="00714654" w:rsidRDefault="00833FC4" w:rsidP="00714654">
      <w:pPr>
        <w:rPr>
          <w:szCs w:val="24"/>
        </w:rPr>
      </w:pPr>
      <w:r w:rsidRPr="00833FC4">
        <w:rPr>
          <w:szCs w:val="24"/>
        </w:rPr>
        <w:t>On</w:t>
      </w:r>
      <w:r>
        <w:rPr>
          <w:szCs w:val="24"/>
        </w:rPr>
        <w:t xml:space="preserve"> November 27, 2013, the DSCSA</w:t>
      </w:r>
      <w:r w:rsidRPr="00833FC4">
        <w:rPr>
          <w:szCs w:val="24"/>
        </w:rPr>
        <w:t xml:space="preserve"> (Title II of Public Law 113-54) was signed into law.  Section 203 of the DSCSA </w:t>
      </w:r>
      <w:r w:rsidR="00403B7E" w:rsidRPr="00833FC4">
        <w:rPr>
          <w:szCs w:val="24"/>
        </w:rPr>
        <w:t>add</w:t>
      </w:r>
      <w:r w:rsidR="00403B7E">
        <w:rPr>
          <w:szCs w:val="24"/>
        </w:rPr>
        <w:t>ed</w:t>
      </w:r>
      <w:r w:rsidR="00403B7E" w:rsidRPr="00833FC4">
        <w:rPr>
          <w:szCs w:val="24"/>
        </w:rPr>
        <w:t xml:space="preserve"> </w:t>
      </w:r>
      <w:r>
        <w:rPr>
          <w:szCs w:val="24"/>
        </w:rPr>
        <w:t>new section 582(h)(2) to the FD&amp;C Act</w:t>
      </w:r>
      <w:r w:rsidRPr="00833FC4">
        <w:rPr>
          <w:szCs w:val="24"/>
        </w:rPr>
        <w:t xml:space="preserve">, which requires </w:t>
      </w:r>
      <w:r>
        <w:rPr>
          <w:szCs w:val="24"/>
        </w:rPr>
        <w:t>FDA</w:t>
      </w:r>
      <w:r w:rsidRPr="00833FC4">
        <w:rPr>
          <w:szCs w:val="24"/>
        </w:rPr>
        <w:t xml:space="preserve"> to issue guidance to aid trading p</w:t>
      </w:r>
      <w:r>
        <w:rPr>
          <w:szCs w:val="24"/>
        </w:rPr>
        <w:t>artners in identifying</w:t>
      </w:r>
      <w:r w:rsidRPr="00833FC4">
        <w:rPr>
          <w:szCs w:val="24"/>
        </w:rPr>
        <w:t xml:space="preserve"> a suspect product and </w:t>
      </w:r>
      <w:r>
        <w:rPr>
          <w:szCs w:val="24"/>
        </w:rPr>
        <w:t>terminating notification</w:t>
      </w:r>
      <w:r w:rsidR="00F35185">
        <w:rPr>
          <w:szCs w:val="24"/>
        </w:rPr>
        <w:t>s</w:t>
      </w:r>
      <w:r w:rsidR="00714654">
        <w:rPr>
          <w:szCs w:val="24"/>
        </w:rPr>
        <w:t xml:space="preserve">.  </w:t>
      </w:r>
      <w:r w:rsidR="00714654" w:rsidRPr="00714654">
        <w:rPr>
          <w:i/>
          <w:szCs w:val="24"/>
        </w:rPr>
        <w:t>Suspect product</w:t>
      </w:r>
      <w:r w:rsidR="00714654" w:rsidRPr="00714654">
        <w:rPr>
          <w:szCs w:val="24"/>
        </w:rPr>
        <w:t xml:space="preserve"> is defined in section 581(21) of the FD&amp;C Act as a product for which there is reason to believe it (A) is potentially counterfeit, diverted, or stolen; (B) is potentially intentionally adulterated such that the product would result in serious adverse health consequences or death to humans; (C) is potentially the subject of a fraudulent transaction; or (D) appears otherwise unfit for distribution such that the product would result in serious adverse health consequences or death to humans.</w:t>
      </w:r>
      <w:r w:rsidR="00714654">
        <w:rPr>
          <w:szCs w:val="24"/>
        </w:rPr>
        <w:t xml:space="preserve"> </w:t>
      </w:r>
      <w:r w:rsidR="007A47C3">
        <w:rPr>
          <w:szCs w:val="24"/>
        </w:rPr>
        <w:t xml:space="preserve"> </w:t>
      </w:r>
      <w:r w:rsidR="00157E39">
        <w:rPr>
          <w:szCs w:val="24"/>
        </w:rPr>
        <w:t>S</w:t>
      </w:r>
      <w:r w:rsidR="00466B19" w:rsidRPr="00466B19">
        <w:rPr>
          <w:szCs w:val="24"/>
        </w:rPr>
        <w:t xml:space="preserve">ection 582 </w:t>
      </w:r>
      <w:r w:rsidR="00466B19">
        <w:rPr>
          <w:szCs w:val="24"/>
        </w:rPr>
        <w:t>of the FD&amp;C Act</w:t>
      </w:r>
      <w:r w:rsidR="00466B19" w:rsidRPr="00466B19">
        <w:rPr>
          <w:szCs w:val="24"/>
        </w:rPr>
        <w:t xml:space="preserve"> requires trading partners, upon determining that a product in their possession or control is </w:t>
      </w:r>
      <w:r w:rsidR="00466B19">
        <w:rPr>
          <w:szCs w:val="24"/>
        </w:rPr>
        <w:t>a suspect pro</w:t>
      </w:r>
      <w:r w:rsidR="00C43E67">
        <w:rPr>
          <w:szCs w:val="24"/>
        </w:rPr>
        <w:t>d</w:t>
      </w:r>
      <w:r w:rsidR="00466B19">
        <w:rPr>
          <w:szCs w:val="24"/>
        </w:rPr>
        <w:t>uct,</w:t>
      </w:r>
      <w:r w:rsidR="00466B19" w:rsidRPr="00466B19">
        <w:rPr>
          <w:szCs w:val="24"/>
        </w:rPr>
        <w:t xml:space="preserve"> </w:t>
      </w:r>
      <w:r w:rsidR="009C1D8A">
        <w:rPr>
          <w:szCs w:val="24"/>
        </w:rPr>
        <w:t xml:space="preserve">to quarantine the product while </w:t>
      </w:r>
      <w:r w:rsidR="00466B19">
        <w:rPr>
          <w:szCs w:val="24"/>
        </w:rPr>
        <w:t>they promptly conduct</w:t>
      </w:r>
      <w:r w:rsidR="009C1D8A">
        <w:rPr>
          <w:szCs w:val="24"/>
        </w:rPr>
        <w:t xml:space="preserve"> an investigation to determine whether the product is an illegitimate product. </w:t>
      </w:r>
      <w:r w:rsidR="00714654">
        <w:rPr>
          <w:szCs w:val="24"/>
        </w:rPr>
        <w:t xml:space="preserve"> </w:t>
      </w:r>
      <w:r w:rsidR="00714654" w:rsidRPr="00714654">
        <w:rPr>
          <w:i/>
          <w:szCs w:val="24"/>
        </w:rPr>
        <w:t>Illegitimate product</w:t>
      </w:r>
      <w:r w:rsidR="00714654" w:rsidRPr="00714654">
        <w:rPr>
          <w:szCs w:val="24"/>
        </w:rPr>
        <w:t xml:space="preserve"> is defined in section 581(8) of the FD&amp;C Act as a product for which credible evidence shows that it is (A) counterfeit, diverted, or stolen; (B) intentionally adulterated such that the product would result in serious adverse health consequences or death to humans; (C) is the subject of a fraudulent transaction; or (D) appears otherwise unfit for distribution such that the product would be reasonably likely to result in serious adverse health consequences or death to humans.</w:t>
      </w:r>
      <w:r w:rsidR="00C866C3">
        <w:rPr>
          <w:rStyle w:val="FootnoteReference"/>
          <w:szCs w:val="24"/>
        </w:rPr>
        <w:footnoteReference w:id="6"/>
      </w:r>
    </w:p>
    <w:p w:rsidR="005031B9" w:rsidRDefault="005031B9" w:rsidP="00714654">
      <w:pPr>
        <w:rPr>
          <w:szCs w:val="24"/>
        </w:rPr>
      </w:pPr>
    </w:p>
    <w:p w:rsidR="005031B9" w:rsidRDefault="00157E39" w:rsidP="00714654">
      <w:pPr>
        <w:rPr>
          <w:szCs w:val="24"/>
        </w:rPr>
      </w:pPr>
      <w:r>
        <w:rPr>
          <w:szCs w:val="24"/>
        </w:rPr>
        <w:t>S</w:t>
      </w:r>
      <w:r w:rsidR="005031B9" w:rsidRPr="005031B9">
        <w:rPr>
          <w:szCs w:val="24"/>
        </w:rPr>
        <w:t xml:space="preserve">ection 582 of the FD&amp;C Act requires trading partners, upon </w:t>
      </w:r>
      <w:r w:rsidR="005031B9">
        <w:rPr>
          <w:szCs w:val="24"/>
        </w:rPr>
        <w:t>determining</w:t>
      </w:r>
      <w:r w:rsidR="005031B9" w:rsidRPr="005031B9">
        <w:rPr>
          <w:szCs w:val="24"/>
        </w:rPr>
        <w:t xml:space="preserve"> that a product in their possession or control is illegitimate, to notify FDA and all immediate trading partners </w:t>
      </w:r>
      <w:r w:rsidR="00CE4044">
        <w:rPr>
          <w:szCs w:val="24"/>
        </w:rPr>
        <w:t>(</w:t>
      </w:r>
      <w:r w:rsidR="005031B9" w:rsidRPr="005031B9">
        <w:rPr>
          <w:szCs w:val="24"/>
        </w:rPr>
        <w:t xml:space="preserve">that they </w:t>
      </w:r>
      <w:r w:rsidR="005031B9" w:rsidRPr="005031B9">
        <w:rPr>
          <w:szCs w:val="24"/>
        </w:rPr>
        <w:lastRenderedPageBreak/>
        <w:t xml:space="preserve">have reason to believe may have received </w:t>
      </w:r>
      <w:r w:rsidR="00C04967">
        <w:rPr>
          <w:szCs w:val="24"/>
        </w:rPr>
        <w:t xml:space="preserve">the </w:t>
      </w:r>
      <w:r w:rsidR="005031B9" w:rsidRPr="005031B9">
        <w:rPr>
          <w:szCs w:val="24"/>
        </w:rPr>
        <w:t>illegitimate product</w:t>
      </w:r>
      <w:r w:rsidR="00CE4044">
        <w:rPr>
          <w:szCs w:val="24"/>
        </w:rPr>
        <w:t>)</w:t>
      </w:r>
      <w:r w:rsidR="005031B9" w:rsidRPr="005031B9">
        <w:rPr>
          <w:szCs w:val="24"/>
        </w:rPr>
        <w:t xml:space="preserve"> not later than 24 hours after making </w:t>
      </w:r>
      <w:r w:rsidR="005031B9">
        <w:rPr>
          <w:szCs w:val="24"/>
        </w:rPr>
        <w:t>the</w:t>
      </w:r>
      <w:r w:rsidR="005031B9" w:rsidRPr="005031B9">
        <w:rPr>
          <w:szCs w:val="24"/>
        </w:rPr>
        <w:t xml:space="preserve"> determination.  Manufacturers are</w:t>
      </w:r>
      <w:r w:rsidR="00C04967">
        <w:rPr>
          <w:szCs w:val="24"/>
        </w:rPr>
        <w:t xml:space="preserve"> additionally</w:t>
      </w:r>
      <w:r w:rsidR="005031B9" w:rsidRPr="005031B9">
        <w:rPr>
          <w:szCs w:val="24"/>
        </w:rPr>
        <w:t xml:space="preserve"> required under section 582(b)(4)(B)(ii)(II) to notify FDA</w:t>
      </w:r>
      <w:r w:rsidR="00BB2337">
        <w:rPr>
          <w:szCs w:val="24"/>
        </w:rPr>
        <w:t xml:space="preserve"> and immediate trading partners </w:t>
      </w:r>
      <w:r w:rsidR="00C04967">
        <w:rPr>
          <w:szCs w:val="24"/>
        </w:rPr>
        <w:t>(</w:t>
      </w:r>
      <w:r w:rsidR="00BB2337">
        <w:rPr>
          <w:szCs w:val="24"/>
        </w:rPr>
        <w:t>that the manufacturer has reason to believe may possess</w:t>
      </w:r>
      <w:r w:rsidR="00C04967">
        <w:rPr>
          <w:szCs w:val="24"/>
        </w:rPr>
        <w:t xml:space="preserve"> a</w:t>
      </w:r>
      <w:r w:rsidR="00BB2337">
        <w:rPr>
          <w:szCs w:val="24"/>
        </w:rPr>
        <w:t xml:space="preserve"> product manufactured by or purported to be manufactured by the manufacturer</w:t>
      </w:r>
      <w:r w:rsidR="00C04967">
        <w:rPr>
          <w:szCs w:val="24"/>
        </w:rPr>
        <w:t>)</w:t>
      </w:r>
      <w:r w:rsidR="005031B9" w:rsidRPr="005031B9">
        <w:rPr>
          <w:szCs w:val="24"/>
        </w:rPr>
        <w:t xml:space="preserve"> not</w:t>
      </w:r>
      <w:r w:rsidR="008865A3">
        <w:rPr>
          <w:szCs w:val="24"/>
        </w:rPr>
        <w:t xml:space="preserve"> later than 24 hours after the </w:t>
      </w:r>
      <w:r w:rsidR="005031B9" w:rsidRPr="005031B9">
        <w:rPr>
          <w:szCs w:val="24"/>
        </w:rPr>
        <w:t>manufacturer determines</w:t>
      </w:r>
      <w:r w:rsidR="00C04967">
        <w:rPr>
          <w:szCs w:val="24"/>
        </w:rPr>
        <w:t xml:space="preserve"> or is notified by FDA or a trading partner</w:t>
      </w:r>
      <w:r w:rsidR="005031B9" w:rsidRPr="005031B9">
        <w:rPr>
          <w:szCs w:val="24"/>
        </w:rPr>
        <w:t xml:space="preserve"> that </w:t>
      </w:r>
      <w:r w:rsidR="00C04967">
        <w:rPr>
          <w:szCs w:val="24"/>
        </w:rPr>
        <w:t>there is a high risk that the</w:t>
      </w:r>
      <w:r w:rsidR="005031B9" w:rsidRPr="005031B9">
        <w:rPr>
          <w:szCs w:val="24"/>
        </w:rPr>
        <w:t xml:space="preserve"> product </w:t>
      </w:r>
      <w:r w:rsidR="00C04967">
        <w:rPr>
          <w:szCs w:val="24"/>
        </w:rPr>
        <w:t xml:space="preserve">is </w:t>
      </w:r>
      <w:r w:rsidR="00C04967" w:rsidRPr="005031B9">
        <w:rPr>
          <w:szCs w:val="24"/>
        </w:rPr>
        <w:t>illegitima</w:t>
      </w:r>
      <w:r w:rsidR="00C04967">
        <w:rPr>
          <w:szCs w:val="24"/>
        </w:rPr>
        <w:t>te</w:t>
      </w:r>
      <w:r w:rsidR="005031B9" w:rsidRPr="005031B9">
        <w:rPr>
          <w:szCs w:val="24"/>
        </w:rPr>
        <w:t>.</w:t>
      </w:r>
    </w:p>
    <w:p w:rsidR="00714654" w:rsidRDefault="00714654" w:rsidP="00714654">
      <w:pPr>
        <w:rPr>
          <w:szCs w:val="24"/>
        </w:rPr>
      </w:pPr>
    </w:p>
    <w:p w:rsidR="00714654" w:rsidRDefault="00714654" w:rsidP="00714654">
      <w:pPr>
        <w:rPr>
          <w:szCs w:val="24"/>
        </w:rPr>
      </w:pPr>
      <w:r w:rsidRPr="00714654">
        <w:rPr>
          <w:szCs w:val="24"/>
        </w:rPr>
        <w:t>The DSCSA outlines critical steps to build an electronic, interoperable system over the next 10 years that will identify and trace certain prescription drugs as they are distributed</w:t>
      </w:r>
      <w:r w:rsidR="008865A3">
        <w:rPr>
          <w:szCs w:val="24"/>
        </w:rPr>
        <w:t xml:space="preserve"> within the United States</w:t>
      </w:r>
      <w:r w:rsidR="002A5404">
        <w:rPr>
          <w:szCs w:val="24"/>
        </w:rPr>
        <w:t xml:space="preserve"> (U.S.)</w:t>
      </w:r>
      <w:r w:rsidRPr="00714654">
        <w:rPr>
          <w:szCs w:val="24"/>
        </w:rPr>
        <w:t xml:space="preserve">.  For many years, FDA has been engaged in efforts to improve the security of the drug supply chain to protect U.S. patients from unsafe, ineffective, and poor quality drugs.  Since the formation of the first FDA Counterfeit Drug Task Force in 2003, FDA has strongly advocated for a multilayered approach to securing the supply chain.  A key component of that approach has been to encourage heightened vigilance and awareness among supply chain partners.  The electronic, interoperable system that will be established under the DSCSA will enhance FDA’s ability to help protect U.S. consumers by improving detection and removal of potentially dangerous drugs from the </w:t>
      </w:r>
      <w:r w:rsidR="00A24D2C">
        <w:rPr>
          <w:szCs w:val="24"/>
        </w:rPr>
        <w:t xml:space="preserve">drug </w:t>
      </w:r>
      <w:r w:rsidRPr="00714654">
        <w:rPr>
          <w:szCs w:val="24"/>
        </w:rPr>
        <w:t>supply chain.</w:t>
      </w:r>
    </w:p>
    <w:p w:rsidR="00833FC4" w:rsidRDefault="00833FC4" w:rsidP="00833FC4">
      <w:pPr>
        <w:rPr>
          <w:szCs w:val="24"/>
        </w:rPr>
      </w:pPr>
    </w:p>
    <w:p w:rsidR="00714654" w:rsidRDefault="00714654" w:rsidP="00714654">
      <w:pPr>
        <w:pStyle w:val="Heading2"/>
        <w:numPr>
          <w:ilvl w:val="0"/>
          <w:numId w:val="13"/>
        </w:numPr>
        <w:ind w:left="1440" w:hanging="720"/>
      </w:pPr>
      <w:bookmarkStart w:id="5" w:name="_Toc407020501"/>
      <w:r w:rsidRPr="00714654">
        <w:t>Scope of This Guidance</w:t>
      </w:r>
      <w:bookmarkEnd w:id="5"/>
    </w:p>
    <w:p w:rsidR="00BB0B95" w:rsidRDefault="00BB0B95" w:rsidP="00833FC4">
      <w:pPr>
        <w:rPr>
          <w:szCs w:val="24"/>
        </w:rPr>
      </w:pPr>
    </w:p>
    <w:p w:rsidR="00803AC7" w:rsidRDefault="00B45516" w:rsidP="00833FC4">
      <w:pPr>
        <w:rPr>
          <w:szCs w:val="24"/>
        </w:rPr>
      </w:pPr>
      <w:r>
        <w:rPr>
          <w:szCs w:val="24"/>
        </w:rPr>
        <w:t>Pursuant</w:t>
      </w:r>
      <w:r w:rsidR="00D10CF0">
        <w:rPr>
          <w:szCs w:val="24"/>
        </w:rPr>
        <w:t xml:space="preserve"> to section 582(h)(2) of the FD</w:t>
      </w:r>
      <w:r>
        <w:rPr>
          <w:szCs w:val="24"/>
        </w:rPr>
        <w:t>&amp;C Act, t</w:t>
      </w:r>
      <w:r w:rsidR="00833FC4" w:rsidRPr="00833FC4">
        <w:rPr>
          <w:szCs w:val="24"/>
        </w:rPr>
        <w:t xml:space="preserve">his guidance identifies specific scenarios that could significantly increase the risk of a suspect product entering the </w:t>
      </w:r>
      <w:r w:rsidR="00FA6EB7">
        <w:rPr>
          <w:szCs w:val="24"/>
        </w:rPr>
        <w:t>pharmaceutical distribution</w:t>
      </w:r>
      <w:r w:rsidR="00833FC4" w:rsidRPr="00833FC4">
        <w:rPr>
          <w:szCs w:val="24"/>
        </w:rPr>
        <w:t xml:space="preserve"> chain; provides recommendations on how trading partners </w:t>
      </w:r>
      <w:r w:rsidR="005031B9">
        <w:rPr>
          <w:szCs w:val="24"/>
        </w:rPr>
        <w:t>can</w:t>
      </w:r>
      <w:r w:rsidR="00833FC4" w:rsidRPr="00833FC4">
        <w:rPr>
          <w:szCs w:val="24"/>
        </w:rPr>
        <w:t xml:space="preserve"> identify </w:t>
      </w:r>
      <w:r w:rsidR="00592FD5">
        <w:rPr>
          <w:szCs w:val="24"/>
        </w:rPr>
        <w:t>a</w:t>
      </w:r>
      <w:r w:rsidR="00833FC4" w:rsidRPr="00833FC4">
        <w:rPr>
          <w:szCs w:val="24"/>
        </w:rPr>
        <w:t xml:space="preserve"> product and </w:t>
      </w:r>
      <w:r w:rsidR="008B268C">
        <w:rPr>
          <w:szCs w:val="24"/>
        </w:rPr>
        <w:t>determine</w:t>
      </w:r>
      <w:r w:rsidR="00833FC4" w:rsidRPr="00833FC4">
        <w:rPr>
          <w:szCs w:val="24"/>
        </w:rPr>
        <w:t xml:space="preserve"> whether </w:t>
      </w:r>
      <w:r w:rsidR="00592FD5">
        <w:rPr>
          <w:szCs w:val="24"/>
        </w:rPr>
        <w:t>a</w:t>
      </w:r>
      <w:r w:rsidR="00833FC4" w:rsidRPr="00833FC4">
        <w:rPr>
          <w:szCs w:val="24"/>
        </w:rPr>
        <w:t xml:space="preserve"> product is a suspect product as soon as practicable; </w:t>
      </w:r>
      <w:r w:rsidR="00A00F67">
        <w:rPr>
          <w:szCs w:val="24"/>
        </w:rPr>
        <w:t xml:space="preserve">describes when manufacturers should notify FDA of a high risk that a product is illegitimate; </w:t>
      </w:r>
      <w:r w:rsidR="00833FC4" w:rsidRPr="00833FC4">
        <w:rPr>
          <w:szCs w:val="24"/>
        </w:rPr>
        <w:t xml:space="preserve">and sets forth the process by which trading partners </w:t>
      </w:r>
      <w:r w:rsidR="00C866C3">
        <w:rPr>
          <w:szCs w:val="24"/>
        </w:rPr>
        <w:t>must</w:t>
      </w:r>
      <w:r w:rsidR="00833FC4" w:rsidRPr="00833FC4">
        <w:rPr>
          <w:szCs w:val="24"/>
        </w:rPr>
        <w:t xml:space="preserve"> terminate notifications in consultation with FDA regarding illegitimate product </w:t>
      </w:r>
      <w:r w:rsidR="00F3103D">
        <w:rPr>
          <w:szCs w:val="24"/>
        </w:rPr>
        <w:t>under</w:t>
      </w:r>
      <w:r w:rsidR="00833FC4" w:rsidRPr="00833FC4">
        <w:rPr>
          <w:szCs w:val="24"/>
        </w:rPr>
        <w:t xml:space="preserve"> </w:t>
      </w:r>
      <w:r w:rsidR="00F3103D">
        <w:rPr>
          <w:szCs w:val="24"/>
        </w:rPr>
        <w:t>section 582</w:t>
      </w:r>
      <w:r w:rsidR="00833FC4" w:rsidRPr="00833FC4">
        <w:rPr>
          <w:szCs w:val="24"/>
        </w:rPr>
        <w:t>(b)(4)(B)</w:t>
      </w:r>
      <w:r w:rsidR="00BE292A">
        <w:rPr>
          <w:szCs w:val="24"/>
        </w:rPr>
        <w:t>(iv)</w:t>
      </w:r>
      <w:r w:rsidR="00833FC4" w:rsidRPr="00833FC4">
        <w:rPr>
          <w:szCs w:val="24"/>
        </w:rPr>
        <w:t>, (c)(4)(B)</w:t>
      </w:r>
      <w:r w:rsidR="00BE292A">
        <w:rPr>
          <w:szCs w:val="24"/>
        </w:rPr>
        <w:t>(iv)</w:t>
      </w:r>
      <w:r w:rsidR="00833FC4" w:rsidRPr="00833FC4">
        <w:rPr>
          <w:szCs w:val="24"/>
        </w:rPr>
        <w:t>, (d)(4)(</w:t>
      </w:r>
      <w:r w:rsidR="00F3103D">
        <w:rPr>
          <w:szCs w:val="24"/>
        </w:rPr>
        <w:t>B)</w:t>
      </w:r>
      <w:r w:rsidR="00BE292A">
        <w:rPr>
          <w:szCs w:val="24"/>
        </w:rPr>
        <w:t>(iv)</w:t>
      </w:r>
      <w:r w:rsidR="00F3103D">
        <w:rPr>
          <w:szCs w:val="24"/>
        </w:rPr>
        <w:t>, and (e)(4)(B)</w:t>
      </w:r>
      <w:r w:rsidR="00BE292A">
        <w:rPr>
          <w:szCs w:val="24"/>
        </w:rPr>
        <w:t>(</w:t>
      </w:r>
      <w:r w:rsidR="00E555D1">
        <w:rPr>
          <w:szCs w:val="24"/>
        </w:rPr>
        <w:t>iv)</w:t>
      </w:r>
      <w:r w:rsidR="00F3103D">
        <w:rPr>
          <w:szCs w:val="24"/>
        </w:rPr>
        <w:t xml:space="preserve"> of the FD&amp;C Act</w:t>
      </w:r>
      <w:r w:rsidR="00A00F67">
        <w:rPr>
          <w:szCs w:val="24"/>
        </w:rPr>
        <w:t xml:space="preserve"> and the process for terminating notifications in consultation with FDA regarding products with a high risk of illegitimacy under section 582(b)(4)(B)</w:t>
      </w:r>
      <w:r w:rsidR="00A7262F">
        <w:rPr>
          <w:szCs w:val="24"/>
        </w:rPr>
        <w:t>(iv</w:t>
      </w:r>
      <w:r w:rsidR="002B0D7E">
        <w:rPr>
          <w:szCs w:val="24"/>
        </w:rPr>
        <w:t>)</w:t>
      </w:r>
      <w:r w:rsidR="00833FC4" w:rsidRPr="00833FC4">
        <w:rPr>
          <w:szCs w:val="24"/>
        </w:rPr>
        <w:t xml:space="preserve">. </w:t>
      </w:r>
      <w:r w:rsidR="004B7F93">
        <w:rPr>
          <w:szCs w:val="24"/>
        </w:rPr>
        <w:t>T</w:t>
      </w:r>
      <w:r w:rsidR="00833FC4" w:rsidRPr="00833FC4">
        <w:rPr>
          <w:szCs w:val="24"/>
        </w:rPr>
        <w:t xml:space="preserve">his guidance also addresses how trading partners </w:t>
      </w:r>
      <w:r w:rsidR="005031B9">
        <w:rPr>
          <w:szCs w:val="24"/>
        </w:rPr>
        <w:t xml:space="preserve">should </w:t>
      </w:r>
      <w:r w:rsidR="00F3103D">
        <w:rPr>
          <w:szCs w:val="24"/>
        </w:rPr>
        <w:t>notify</w:t>
      </w:r>
      <w:r w:rsidR="00833FC4" w:rsidRPr="00833FC4">
        <w:rPr>
          <w:szCs w:val="24"/>
        </w:rPr>
        <w:t xml:space="preserve"> FDA when they determine that a product in their possession or control is an illegitimate product </w:t>
      </w:r>
      <w:r w:rsidR="00F3103D">
        <w:rPr>
          <w:szCs w:val="24"/>
        </w:rPr>
        <w:t>under section 582</w:t>
      </w:r>
      <w:r w:rsidR="00833FC4" w:rsidRPr="00833FC4">
        <w:rPr>
          <w:szCs w:val="24"/>
        </w:rPr>
        <w:t>(b)(4)(B)(i</w:t>
      </w:r>
      <w:r w:rsidR="00FA6EB7">
        <w:rPr>
          <w:szCs w:val="24"/>
        </w:rPr>
        <w:t>i</w:t>
      </w:r>
      <w:r w:rsidR="00833FC4" w:rsidRPr="00833FC4">
        <w:rPr>
          <w:szCs w:val="24"/>
        </w:rPr>
        <w:t>)</w:t>
      </w:r>
      <w:r w:rsidR="006B4DBA">
        <w:rPr>
          <w:szCs w:val="24"/>
        </w:rPr>
        <w:t>(I)</w:t>
      </w:r>
      <w:r w:rsidR="00833FC4" w:rsidRPr="00833FC4">
        <w:rPr>
          <w:szCs w:val="24"/>
        </w:rPr>
        <w:t>, (c)(4)(B)(i</w:t>
      </w:r>
      <w:r w:rsidR="00FA6EB7">
        <w:rPr>
          <w:szCs w:val="24"/>
        </w:rPr>
        <w:t>i</w:t>
      </w:r>
      <w:r w:rsidR="00833FC4" w:rsidRPr="00833FC4">
        <w:rPr>
          <w:szCs w:val="24"/>
        </w:rPr>
        <w:t>), (d)(4)(B)(i</w:t>
      </w:r>
      <w:r w:rsidR="00FA6EB7">
        <w:rPr>
          <w:szCs w:val="24"/>
        </w:rPr>
        <w:t>i</w:t>
      </w:r>
      <w:r w:rsidR="00833FC4" w:rsidRPr="00833FC4">
        <w:rPr>
          <w:szCs w:val="24"/>
        </w:rPr>
        <w:t>),</w:t>
      </w:r>
      <w:r w:rsidR="00F3103D">
        <w:rPr>
          <w:szCs w:val="24"/>
        </w:rPr>
        <w:t xml:space="preserve"> and (e)(4)(B)(i</w:t>
      </w:r>
      <w:r w:rsidR="00FA6EB7">
        <w:rPr>
          <w:szCs w:val="24"/>
        </w:rPr>
        <w:t>i</w:t>
      </w:r>
      <w:r w:rsidR="00F3103D">
        <w:rPr>
          <w:szCs w:val="24"/>
        </w:rPr>
        <w:t>) of the FD&amp;C Act</w:t>
      </w:r>
      <w:r w:rsidR="009575A2">
        <w:rPr>
          <w:szCs w:val="24"/>
        </w:rPr>
        <w:t xml:space="preserve">, </w:t>
      </w:r>
      <w:r w:rsidR="003B2C82">
        <w:t xml:space="preserve">and </w:t>
      </w:r>
      <w:r w:rsidR="003B2C82">
        <w:rPr>
          <w:szCs w:val="24"/>
        </w:rPr>
        <w:t>how manufacturers</w:t>
      </w:r>
      <w:r w:rsidR="003B2C82" w:rsidRPr="00833FC4">
        <w:rPr>
          <w:szCs w:val="24"/>
        </w:rPr>
        <w:t xml:space="preserve"> </w:t>
      </w:r>
      <w:r w:rsidR="003B2C82">
        <w:rPr>
          <w:szCs w:val="24"/>
        </w:rPr>
        <w:t>should notify</w:t>
      </w:r>
      <w:r w:rsidR="003B2C82" w:rsidRPr="00833FC4">
        <w:rPr>
          <w:szCs w:val="24"/>
        </w:rPr>
        <w:t xml:space="preserve"> FDA </w:t>
      </w:r>
      <w:r w:rsidR="003B2C82">
        <w:t xml:space="preserve">regarding </w:t>
      </w:r>
      <w:r w:rsidR="009575A2">
        <w:t>product</w:t>
      </w:r>
      <w:r w:rsidR="003B2C82">
        <w:t>s</w:t>
      </w:r>
      <w:r w:rsidR="009575A2">
        <w:t xml:space="preserve"> with a high risk of illegitimacy</w:t>
      </w:r>
      <w:r w:rsidR="003B2C82">
        <w:t xml:space="preserve"> under </w:t>
      </w:r>
      <w:r w:rsidR="004F3E18">
        <w:t xml:space="preserve">section </w:t>
      </w:r>
      <w:r w:rsidR="004F3E18">
        <w:rPr>
          <w:szCs w:val="24"/>
        </w:rPr>
        <w:t>582</w:t>
      </w:r>
      <w:r w:rsidR="004F3E18" w:rsidRPr="00833FC4">
        <w:rPr>
          <w:szCs w:val="24"/>
        </w:rPr>
        <w:t>(b)(4)(B)(i</w:t>
      </w:r>
      <w:r w:rsidR="004F3E18">
        <w:rPr>
          <w:szCs w:val="24"/>
        </w:rPr>
        <w:t>i</w:t>
      </w:r>
      <w:r w:rsidR="004F3E18" w:rsidRPr="00833FC4">
        <w:rPr>
          <w:szCs w:val="24"/>
        </w:rPr>
        <w:t>)</w:t>
      </w:r>
      <w:r w:rsidR="006B4DBA">
        <w:rPr>
          <w:szCs w:val="24"/>
        </w:rPr>
        <w:t>(II)</w:t>
      </w:r>
      <w:r w:rsidR="006840B6">
        <w:rPr>
          <w:szCs w:val="24"/>
        </w:rPr>
        <w:t>.</w:t>
      </w:r>
    </w:p>
    <w:p w:rsidR="00072068" w:rsidRDefault="00C260CD" w:rsidP="00703E0C">
      <w:r w:rsidRPr="00C260CD">
        <w:rPr>
          <w:szCs w:val="24"/>
        </w:rPr>
        <w:t xml:space="preserve"> </w:t>
      </w:r>
      <w:r w:rsidR="006816EE">
        <w:rPr>
          <w:szCs w:val="24"/>
        </w:rPr>
        <w:t xml:space="preserve"> </w:t>
      </w:r>
    </w:p>
    <w:p w:rsidR="00E9252B" w:rsidRDefault="00072068" w:rsidP="00703E0C">
      <w:pPr>
        <w:pStyle w:val="Heading1"/>
      </w:pPr>
      <w:bookmarkStart w:id="6" w:name="_Toc462221106"/>
      <w:bookmarkStart w:id="7" w:name="_Toc505081160"/>
      <w:bookmarkStart w:id="8" w:name="_Toc505081766"/>
      <w:bookmarkStart w:id="9" w:name="_Toc505082037"/>
      <w:bookmarkStart w:id="10" w:name="_Toc407020502"/>
      <w:r w:rsidRPr="00E9252B">
        <w:t>I</w:t>
      </w:r>
      <w:r w:rsidR="006840B6">
        <w:t>II</w:t>
      </w:r>
      <w:r w:rsidRPr="00E9252B">
        <w:t>.</w:t>
      </w:r>
      <w:r w:rsidRPr="00E9252B">
        <w:tab/>
      </w:r>
      <w:r w:rsidR="002A5AFE">
        <w:t>Identification of suspect product</w:t>
      </w:r>
      <w:bookmarkEnd w:id="6"/>
      <w:bookmarkEnd w:id="7"/>
      <w:bookmarkEnd w:id="8"/>
      <w:bookmarkEnd w:id="9"/>
      <w:r w:rsidR="00A00F67">
        <w:t xml:space="preserve"> and, for manufacturers, product with a high risk of illegitimacy</w:t>
      </w:r>
      <w:bookmarkEnd w:id="10"/>
    </w:p>
    <w:p w:rsidR="0026456B" w:rsidRDefault="0026456B" w:rsidP="0026456B"/>
    <w:p w:rsidR="003D3B15" w:rsidRDefault="00BC4FC7" w:rsidP="0026456B">
      <w:r>
        <w:t>As background, u</w:t>
      </w:r>
      <w:r w:rsidR="0026456B" w:rsidRPr="0026456B">
        <w:t xml:space="preserve">nder section 582 of the FD&amp;C Act, trading partners must have systems in place that enable them, upon </w:t>
      </w:r>
      <w:r w:rsidR="00803AC7">
        <w:t>determining</w:t>
      </w:r>
      <w:r w:rsidR="0026456B" w:rsidRPr="0026456B">
        <w:t xml:space="preserve"> that a product in their possession or control is suspect or upon receiving a request for verification from the FDA</w:t>
      </w:r>
      <w:r w:rsidR="00C27220">
        <w:t xml:space="preserve"> that has made a determination that a product within the possess</w:t>
      </w:r>
      <w:r w:rsidR="00250D2C">
        <w:t>ion</w:t>
      </w:r>
      <w:r w:rsidR="00C27220">
        <w:t xml:space="preserve"> or control of the trading partner is a suspect product</w:t>
      </w:r>
      <w:r w:rsidR="0026456B" w:rsidRPr="0026456B">
        <w:t>, to quarantine suspect product and promptly conduct an investigation, in coordination with other trading partners</w:t>
      </w:r>
      <w:r w:rsidR="00B21974">
        <w:t>, as applicable</w:t>
      </w:r>
      <w:r w:rsidR="0026456B" w:rsidRPr="0026456B">
        <w:t xml:space="preserve">, to determine whether a suspect product is illegitimate.  </w:t>
      </w:r>
    </w:p>
    <w:p w:rsidR="003D3B15" w:rsidRDefault="003D3B15" w:rsidP="0026456B"/>
    <w:p w:rsidR="00653D78" w:rsidRDefault="003D3B15" w:rsidP="0026456B">
      <w:r w:rsidRPr="00803AC7">
        <w:lastRenderedPageBreak/>
        <w:t>As trading partners conduct business on a daily basis, they should exercise vigilance, maintain awareness about suspicious activity or potential threats to their supply chain, and devote attention and effort to detect suspect product.</w:t>
      </w:r>
      <w:r w:rsidRPr="0026456B">
        <w:t xml:space="preserve"> </w:t>
      </w:r>
    </w:p>
    <w:p w:rsidR="00803AC7" w:rsidRDefault="003D3B15" w:rsidP="0026456B">
      <w:r w:rsidRPr="0026456B">
        <w:t xml:space="preserve"> </w:t>
      </w:r>
    </w:p>
    <w:p w:rsidR="0026456B" w:rsidRPr="0026456B" w:rsidRDefault="00803AC7" w:rsidP="0026456B">
      <w:r>
        <w:t>Th</w:t>
      </w:r>
      <w:r w:rsidR="00182FD8">
        <w:t>e next two</w:t>
      </w:r>
      <w:r>
        <w:t xml:space="preserve"> section</w:t>
      </w:r>
      <w:r w:rsidR="00182FD8">
        <w:t>s</w:t>
      </w:r>
      <w:r>
        <w:t xml:space="preserve"> of th</w:t>
      </w:r>
      <w:r w:rsidR="00182FD8">
        <w:t>is</w:t>
      </w:r>
      <w:r>
        <w:t xml:space="preserve"> guidance</w:t>
      </w:r>
      <w:r w:rsidRPr="00803AC7">
        <w:t xml:space="preserve"> </w:t>
      </w:r>
      <w:r w:rsidR="00182FD8">
        <w:t>(</w:t>
      </w:r>
      <w:r w:rsidR="00592FD5">
        <w:t>A</w:t>
      </w:r>
      <w:r w:rsidR="00182FD8">
        <w:t xml:space="preserve">.) </w:t>
      </w:r>
      <w:r w:rsidRPr="00803AC7">
        <w:t>identif</w:t>
      </w:r>
      <w:r w:rsidR="00182FD8">
        <w:t>y</w:t>
      </w:r>
      <w:r w:rsidRPr="00803AC7">
        <w:t xml:space="preserve"> some specific scenarios that could significantly increase the risk of suspect products entering the </w:t>
      </w:r>
      <w:r w:rsidR="00FA6EB7">
        <w:rPr>
          <w:szCs w:val="24"/>
        </w:rPr>
        <w:t>pharmaceutical distribution</w:t>
      </w:r>
      <w:r w:rsidRPr="00803AC7">
        <w:t xml:space="preserve"> supply chain and </w:t>
      </w:r>
      <w:r w:rsidR="00182FD8">
        <w:t>(</w:t>
      </w:r>
      <w:r w:rsidR="00025FEF">
        <w:t>B</w:t>
      </w:r>
      <w:r w:rsidR="00571C75">
        <w:t>.</w:t>
      </w:r>
      <w:r w:rsidR="00182FD8">
        <w:t xml:space="preserve">) </w:t>
      </w:r>
      <w:r w:rsidRPr="00803AC7">
        <w:t xml:space="preserve">make recommendations to assist trading partners in identifying </w:t>
      </w:r>
      <w:r w:rsidR="002F0F29">
        <w:t xml:space="preserve">suspect product </w:t>
      </w:r>
      <w:r w:rsidRPr="00803AC7">
        <w:t xml:space="preserve">and making determinations about </w:t>
      </w:r>
      <w:r w:rsidR="002F0F29">
        <w:t>whether a</w:t>
      </w:r>
      <w:r w:rsidRPr="00803AC7">
        <w:t xml:space="preserve"> product</w:t>
      </w:r>
      <w:r w:rsidR="002F0F29">
        <w:t xml:space="preserve"> is suspect</w:t>
      </w:r>
      <w:r w:rsidRPr="00803AC7">
        <w:t xml:space="preserve"> as soon as practicable.  The scenarios contained in this guidance are based on Agency experience with suspect product in the drug supply chain.  These examples are illustrative and should be viewed as guidance rather than as an exhaustive list of all potential scenarios that increase the likelihood that a suspect product could enter the </w:t>
      </w:r>
      <w:r w:rsidR="00FA6EB7">
        <w:rPr>
          <w:szCs w:val="24"/>
        </w:rPr>
        <w:t>pharmaceutical distribution</w:t>
      </w:r>
      <w:r w:rsidRPr="00803AC7">
        <w:t xml:space="preserve"> supply chain.  </w:t>
      </w:r>
      <w:r w:rsidR="00FC34FC">
        <w:t>Trading partners should consider the surrounding circumstances of any particular scenario they may encounter in determining whether or not a product</w:t>
      </w:r>
      <w:r w:rsidR="00FE632D">
        <w:t xml:space="preserve"> is suspect</w:t>
      </w:r>
      <w:r w:rsidR="00FC34FC">
        <w:t xml:space="preserve">, including whether multiple </w:t>
      </w:r>
      <w:r w:rsidR="00E746A8">
        <w:t xml:space="preserve">scenarios </w:t>
      </w:r>
      <w:r w:rsidR="00FC34FC">
        <w:t xml:space="preserve">are present in any given transaction.  </w:t>
      </w:r>
    </w:p>
    <w:p w:rsidR="00703E0C" w:rsidRPr="00703E0C" w:rsidRDefault="00703E0C" w:rsidP="00703E0C"/>
    <w:p w:rsidR="00072068" w:rsidRDefault="00362329" w:rsidP="00897AC5">
      <w:pPr>
        <w:pStyle w:val="Heading2"/>
        <w:numPr>
          <w:ilvl w:val="0"/>
          <w:numId w:val="9"/>
        </w:numPr>
        <w:ind w:left="1440" w:hanging="720"/>
      </w:pPr>
      <w:bookmarkStart w:id="11" w:name="_Toc407020503"/>
      <w:bookmarkStart w:id="12" w:name="_Toc462221108"/>
      <w:bookmarkStart w:id="13" w:name="_Toc505081162"/>
      <w:bookmarkStart w:id="14" w:name="_Toc505081768"/>
      <w:bookmarkStart w:id="15" w:name="_Toc505082039"/>
      <w:r w:rsidRPr="00362329">
        <w:t xml:space="preserve">Specific </w:t>
      </w:r>
      <w:r w:rsidR="008865A3">
        <w:t>S</w:t>
      </w:r>
      <w:r w:rsidRPr="00362329">
        <w:t xml:space="preserve">cenarios </w:t>
      </w:r>
      <w:r w:rsidR="008865A3">
        <w:t>T</w:t>
      </w:r>
      <w:r w:rsidRPr="00362329">
        <w:t xml:space="preserve">hat </w:t>
      </w:r>
      <w:r w:rsidR="008865A3">
        <w:t>C</w:t>
      </w:r>
      <w:r w:rsidRPr="00362329">
        <w:t xml:space="preserve">ould </w:t>
      </w:r>
      <w:r w:rsidR="008865A3">
        <w:t>S</w:t>
      </w:r>
      <w:r w:rsidRPr="00362329">
        <w:t xml:space="preserve">ignificantly </w:t>
      </w:r>
      <w:r w:rsidR="008865A3">
        <w:t>I</w:t>
      </w:r>
      <w:r w:rsidRPr="00362329">
        <w:t xml:space="preserve">ncrease the </w:t>
      </w:r>
      <w:r w:rsidR="008865A3">
        <w:t>R</w:t>
      </w:r>
      <w:r w:rsidRPr="00362329">
        <w:t xml:space="preserve">isk of a </w:t>
      </w:r>
      <w:r w:rsidR="008865A3">
        <w:t>S</w:t>
      </w:r>
      <w:r w:rsidRPr="00362329">
        <w:t xml:space="preserve">uspect </w:t>
      </w:r>
      <w:r w:rsidR="008865A3">
        <w:t>P</w:t>
      </w:r>
      <w:r w:rsidRPr="00362329">
        <w:t xml:space="preserve">roduct </w:t>
      </w:r>
      <w:r w:rsidR="00ED40A7">
        <w:t>E</w:t>
      </w:r>
      <w:r w:rsidRPr="00362329">
        <w:t xml:space="preserve">ntering the </w:t>
      </w:r>
      <w:r w:rsidR="002957A5">
        <w:t xml:space="preserve">Pharmaceutical </w:t>
      </w:r>
      <w:r w:rsidR="00A24D2C">
        <w:t>Distribution</w:t>
      </w:r>
      <w:r w:rsidRPr="00362329">
        <w:t xml:space="preserve"> </w:t>
      </w:r>
      <w:r w:rsidR="00ED40A7">
        <w:t>C</w:t>
      </w:r>
      <w:r w:rsidRPr="00362329">
        <w:t>hain</w:t>
      </w:r>
      <w:bookmarkEnd w:id="11"/>
    </w:p>
    <w:p w:rsidR="00703E0C" w:rsidRPr="00703E0C" w:rsidRDefault="00703E0C" w:rsidP="00703E0C"/>
    <w:bookmarkEnd w:id="12"/>
    <w:bookmarkEnd w:id="13"/>
    <w:bookmarkEnd w:id="14"/>
    <w:bookmarkEnd w:id="15"/>
    <w:p w:rsidR="004F1CE1" w:rsidRDefault="007A364E" w:rsidP="00703E0C">
      <w:pPr>
        <w:rPr>
          <w:szCs w:val="24"/>
        </w:rPr>
      </w:pPr>
      <w:r>
        <w:rPr>
          <w:szCs w:val="24"/>
        </w:rPr>
        <w:t>There may be situations involving trading partners where heightened vigilance would be appropriate</w:t>
      </w:r>
      <w:r w:rsidR="00FB4C8A">
        <w:rPr>
          <w:szCs w:val="24"/>
        </w:rPr>
        <w:t xml:space="preserve">.  </w:t>
      </w:r>
      <w:r w:rsidR="005C008D">
        <w:rPr>
          <w:szCs w:val="24"/>
        </w:rPr>
        <w:t>In addition, there could be</w:t>
      </w:r>
      <w:r w:rsidR="001D1E68">
        <w:rPr>
          <w:szCs w:val="24"/>
        </w:rPr>
        <w:t xml:space="preserve"> identifiable</w:t>
      </w:r>
      <w:r>
        <w:rPr>
          <w:szCs w:val="24"/>
        </w:rPr>
        <w:t xml:space="preserve"> characteristics of products</w:t>
      </w:r>
      <w:r w:rsidR="005C008D">
        <w:rPr>
          <w:szCs w:val="24"/>
        </w:rPr>
        <w:t xml:space="preserve"> that</w:t>
      </w:r>
      <w:r>
        <w:rPr>
          <w:szCs w:val="24"/>
        </w:rPr>
        <w:t xml:space="preserve"> </w:t>
      </w:r>
      <w:r w:rsidR="00ED40A7">
        <w:rPr>
          <w:szCs w:val="24"/>
        </w:rPr>
        <w:t>might</w:t>
      </w:r>
      <w:r>
        <w:rPr>
          <w:szCs w:val="24"/>
        </w:rPr>
        <w:t xml:space="preserve"> </w:t>
      </w:r>
      <w:r w:rsidR="005D4207">
        <w:rPr>
          <w:szCs w:val="24"/>
        </w:rPr>
        <w:t>increase the likelihood that they are</w:t>
      </w:r>
      <w:r>
        <w:rPr>
          <w:szCs w:val="24"/>
        </w:rPr>
        <w:t xml:space="preserve"> suspect</w:t>
      </w:r>
      <w:r w:rsidR="00B61704">
        <w:rPr>
          <w:szCs w:val="24"/>
        </w:rPr>
        <w:t xml:space="preserve"> products</w:t>
      </w:r>
      <w:r>
        <w:rPr>
          <w:szCs w:val="24"/>
        </w:rPr>
        <w:t xml:space="preserve">.  </w:t>
      </w:r>
      <w:r w:rsidR="004F1CE1" w:rsidRPr="004F1CE1">
        <w:rPr>
          <w:szCs w:val="24"/>
        </w:rPr>
        <w:t xml:space="preserve">The following are examples of </w:t>
      </w:r>
      <w:r w:rsidR="00DC4E2D">
        <w:rPr>
          <w:szCs w:val="24"/>
        </w:rPr>
        <w:t xml:space="preserve">some </w:t>
      </w:r>
      <w:r w:rsidR="004F1CE1" w:rsidRPr="004F1CE1">
        <w:rPr>
          <w:szCs w:val="24"/>
        </w:rPr>
        <w:t xml:space="preserve">specific scenarios that could significantly increase the risk of a suspect product entering the </w:t>
      </w:r>
      <w:r w:rsidR="0030144D">
        <w:rPr>
          <w:szCs w:val="24"/>
        </w:rPr>
        <w:t>drug</w:t>
      </w:r>
      <w:r w:rsidR="004F1CE1" w:rsidRPr="004F1CE1">
        <w:rPr>
          <w:szCs w:val="24"/>
        </w:rPr>
        <w:t xml:space="preserve"> supply chain</w:t>
      </w:r>
      <w:r w:rsidR="0037283D">
        <w:rPr>
          <w:szCs w:val="24"/>
        </w:rPr>
        <w:t>.</w:t>
      </w:r>
      <w:r w:rsidR="00DA6AC9" w:rsidDel="00DA6AC9">
        <w:rPr>
          <w:szCs w:val="24"/>
        </w:rPr>
        <w:t xml:space="preserve"> </w:t>
      </w:r>
      <w:r w:rsidR="0037283D">
        <w:rPr>
          <w:szCs w:val="24"/>
        </w:rPr>
        <w:t xml:space="preserve"> </w:t>
      </w:r>
      <w:r w:rsidR="00E478CA">
        <w:rPr>
          <w:szCs w:val="24"/>
        </w:rPr>
        <w:t>Thus, t</w:t>
      </w:r>
      <w:r w:rsidR="000E6810">
        <w:rPr>
          <w:szCs w:val="24"/>
        </w:rPr>
        <w:t xml:space="preserve">rading partners should be </w:t>
      </w:r>
      <w:r w:rsidR="00B10CFC">
        <w:rPr>
          <w:szCs w:val="24"/>
        </w:rPr>
        <w:t xml:space="preserve">particularly </w:t>
      </w:r>
      <w:r w:rsidR="000E6810">
        <w:rPr>
          <w:szCs w:val="24"/>
        </w:rPr>
        <w:t xml:space="preserve">diligent </w:t>
      </w:r>
      <w:r w:rsidR="00D17B7C">
        <w:rPr>
          <w:szCs w:val="24"/>
        </w:rPr>
        <w:t>when</w:t>
      </w:r>
      <w:r w:rsidR="000E6810">
        <w:rPr>
          <w:szCs w:val="24"/>
        </w:rPr>
        <w:t xml:space="preserve"> engaging in transactions that involve:</w:t>
      </w:r>
    </w:p>
    <w:p w:rsidR="00703E0C" w:rsidRDefault="00703E0C" w:rsidP="00703E0C">
      <w:pPr>
        <w:rPr>
          <w:szCs w:val="24"/>
        </w:rPr>
      </w:pPr>
    </w:p>
    <w:p w:rsidR="00703E0C" w:rsidRPr="00703E0C" w:rsidRDefault="004F1CE1" w:rsidP="00897AC5">
      <w:pPr>
        <w:pStyle w:val="Heading3"/>
        <w:numPr>
          <w:ilvl w:val="0"/>
          <w:numId w:val="10"/>
        </w:numPr>
        <w:ind w:left="1440" w:hanging="720"/>
      </w:pPr>
      <w:bookmarkStart w:id="16" w:name="_Toc407020504"/>
      <w:r w:rsidRPr="004F1CE1">
        <w:t>Trading Partners</w:t>
      </w:r>
      <w:r w:rsidR="00AE1A26">
        <w:t xml:space="preserve"> and </w:t>
      </w:r>
      <w:r w:rsidRPr="004F1CE1">
        <w:t>Product Sourcing</w:t>
      </w:r>
      <w:bookmarkEnd w:id="16"/>
    </w:p>
    <w:p w:rsidR="004F1CE1" w:rsidRPr="004F1CE1" w:rsidRDefault="004F1CE1" w:rsidP="00FB0669">
      <w:pPr>
        <w:rPr>
          <w:szCs w:val="24"/>
        </w:rPr>
      </w:pPr>
      <w:r w:rsidRPr="004F1CE1">
        <w:rPr>
          <w:szCs w:val="24"/>
        </w:rPr>
        <w:t xml:space="preserve">  </w:t>
      </w:r>
    </w:p>
    <w:p w:rsidR="00FB0669" w:rsidRDefault="00FB0669" w:rsidP="00897AC5">
      <w:pPr>
        <w:numPr>
          <w:ilvl w:val="0"/>
          <w:numId w:val="1"/>
        </w:numPr>
        <w:ind w:left="1440" w:hanging="720"/>
        <w:rPr>
          <w:szCs w:val="24"/>
        </w:rPr>
      </w:pPr>
      <w:r w:rsidRPr="004F1CE1">
        <w:rPr>
          <w:szCs w:val="24"/>
        </w:rPr>
        <w:t xml:space="preserve">Purchasing from a source new to </w:t>
      </w:r>
      <w:r>
        <w:rPr>
          <w:szCs w:val="24"/>
        </w:rPr>
        <w:t>the trading partner</w:t>
      </w:r>
      <w:r w:rsidRPr="004F1CE1">
        <w:rPr>
          <w:szCs w:val="24"/>
        </w:rPr>
        <w:t>.</w:t>
      </w:r>
    </w:p>
    <w:p w:rsidR="00FB0669" w:rsidRDefault="00FB0669" w:rsidP="00FB0669">
      <w:pPr>
        <w:ind w:left="1440"/>
        <w:rPr>
          <w:szCs w:val="24"/>
        </w:rPr>
      </w:pPr>
    </w:p>
    <w:p w:rsidR="004F1CE1" w:rsidRDefault="00ED40A7" w:rsidP="00897AC5">
      <w:pPr>
        <w:numPr>
          <w:ilvl w:val="0"/>
          <w:numId w:val="1"/>
        </w:numPr>
        <w:ind w:left="1440" w:hanging="720"/>
        <w:rPr>
          <w:szCs w:val="24"/>
        </w:rPr>
      </w:pPr>
      <w:r>
        <w:rPr>
          <w:szCs w:val="24"/>
        </w:rPr>
        <w:t>Receiving</w:t>
      </w:r>
      <w:r w:rsidR="004F1CE1" w:rsidRPr="004F1CE1">
        <w:rPr>
          <w:szCs w:val="24"/>
        </w:rPr>
        <w:t xml:space="preserve"> an unsolicited </w:t>
      </w:r>
      <w:r w:rsidR="009C0B02">
        <w:rPr>
          <w:szCs w:val="24"/>
        </w:rPr>
        <w:t xml:space="preserve">sales </w:t>
      </w:r>
      <w:r w:rsidR="00715074" w:rsidRPr="004F1CE1">
        <w:rPr>
          <w:szCs w:val="24"/>
        </w:rPr>
        <w:t>offer</w:t>
      </w:r>
      <w:r w:rsidR="00715074">
        <w:rPr>
          <w:szCs w:val="24"/>
        </w:rPr>
        <w:t xml:space="preserve"> </w:t>
      </w:r>
      <w:r w:rsidR="00935A65">
        <w:rPr>
          <w:szCs w:val="24"/>
        </w:rPr>
        <w:t>from an unknown source</w:t>
      </w:r>
      <w:r w:rsidR="004F1CE1" w:rsidRPr="004F1CE1">
        <w:rPr>
          <w:szCs w:val="24"/>
        </w:rPr>
        <w:t xml:space="preserve">.  </w:t>
      </w:r>
      <w:r w:rsidR="00C933CD">
        <w:rPr>
          <w:szCs w:val="24"/>
        </w:rPr>
        <w:t>Trading partners</w:t>
      </w:r>
      <w:r w:rsidR="004F1CE1" w:rsidRPr="004F1CE1">
        <w:rPr>
          <w:szCs w:val="24"/>
        </w:rPr>
        <w:t xml:space="preserve"> </w:t>
      </w:r>
      <w:r w:rsidR="00B96452">
        <w:rPr>
          <w:szCs w:val="24"/>
        </w:rPr>
        <w:t>might</w:t>
      </w:r>
      <w:r w:rsidR="004F1CE1" w:rsidRPr="004F1CE1">
        <w:rPr>
          <w:szCs w:val="24"/>
        </w:rPr>
        <w:t xml:space="preserve"> receive unsolicited offers or advertisements through </w:t>
      </w:r>
      <w:r>
        <w:rPr>
          <w:szCs w:val="24"/>
        </w:rPr>
        <w:t xml:space="preserve">an </w:t>
      </w:r>
      <w:r w:rsidR="004F1CE1" w:rsidRPr="004F1CE1">
        <w:rPr>
          <w:szCs w:val="24"/>
        </w:rPr>
        <w:t xml:space="preserve">email, </w:t>
      </w:r>
      <w:r>
        <w:rPr>
          <w:szCs w:val="24"/>
        </w:rPr>
        <w:t xml:space="preserve">a </w:t>
      </w:r>
      <w:r w:rsidR="004F1CE1" w:rsidRPr="004F1CE1">
        <w:rPr>
          <w:szCs w:val="24"/>
        </w:rPr>
        <w:t xml:space="preserve">fax, </w:t>
      </w:r>
      <w:r>
        <w:rPr>
          <w:szCs w:val="24"/>
        </w:rPr>
        <w:t xml:space="preserve">a </w:t>
      </w:r>
      <w:r w:rsidR="004F1CE1" w:rsidRPr="004F1CE1">
        <w:rPr>
          <w:szCs w:val="24"/>
        </w:rPr>
        <w:t>telephone call</w:t>
      </w:r>
      <w:r>
        <w:rPr>
          <w:szCs w:val="24"/>
        </w:rPr>
        <w:t>,</w:t>
      </w:r>
      <w:r w:rsidR="004F1CE1" w:rsidRPr="004F1CE1">
        <w:rPr>
          <w:szCs w:val="24"/>
        </w:rPr>
        <w:t xml:space="preserve"> or </w:t>
      </w:r>
      <w:r w:rsidR="000E6810">
        <w:rPr>
          <w:szCs w:val="24"/>
        </w:rPr>
        <w:t xml:space="preserve">an </w:t>
      </w:r>
      <w:r w:rsidR="004F1CE1" w:rsidRPr="004F1CE1">
        <w:rPr>
          <w:szCs w:val="24"/>
        </w:rPr>
        <w:t>in-person sales call from a</w:t>
      </w:r>
      <w:r w:rsidR="005908D7">
        <w:rPr>
          <w:szCs w:val="24"/>
        </w:rPr>
        <w:t xml:space="preserve"> person or</w:t>
      </w:r>
      <w:r w:rsidR="004F1CE1" w:rsidRPr="004F1CE1">
        <w:rPr>
          <w:szCs w:val="24"/>
        </w:rPr>
        <w:t xml:space="preserve"> entity with whom </w:t>
      </w:r>
      <w:r w:rsidR="00935A65">
        <w:rPr>
          <w:szCs w:val="24"/>
        </w:rPr>
        <w:t>they</w:t>
      </w:r>
      <w:r w:rsidR="004F1CE1" w:rsidRPr="004F1CE1">
        <w:rPr>
          <w:szCs w:val="24"/>
        </w:rPr>
        <w:t xml:space="preserve"> do not have an established business relationship. </w:t>
      </w:r>
    </w:p>
    <w:p w:rsidR="00E8521D" w:rsidRPr="004F1CE1" w:rsidRDefault="00E8521D" w:rsidP="00E8521D">
      <w:pPr>
        <w:rPr>
          <w:szCs w:val="24"/>
        </w:rPr>
      </w:pPr>
    </w:p>
    <w:p w:rsidR="004F1CE1" w:rsidRDefault="004F1CE1" w:rsidP="00897AC5">
      <w:pPr>
        <w:numPr>
          <w:ilvl w:val="0"/>
          <w:numId w:val="1"/>
        </w:numPr>
        <w:ind w:left="1440" w:hanging="720"/>
        <w:rPr>
          <w:szCs w:val="24"/>
        </w:rPr>
      </w:pPr>
      <w:r w:rsidRPr="004F1CE1">
        <w:rPr>
          <w:szCs w:val="24"/>
        </w:rPr>
        <w:t xml:space="preserve">Purchasing on the </w:t>
      </w:r>
      <w:r w:rsidR="009C0B02">
        <w:rPr>
          <w:szCs w:val="24"/>
        </w:rPr>
        <w:t>I</w:t>
      </w:r>
      <w:r w:rsidRPr="004F1CE1">
        <w:rPr>
          <w:szCs w:val="24"/>
        </w:rPr>
        <w:t>nternet</w:t>
      </w:r>
      <w:r w:rsidR="00022A44">
        <w:rPr>
          <w:szCs w:val="24"/>
        </w:rPr>
        <w:t xml:space="preserve"> f</w:t>
      </w:r>
      <w:r w:rsidR="00E67B7B">
        <w:rPr>
          <w:szCs w:val="24"/>
        </w:rPr>
        <w:t xml:space="preserve">rom an </w:t>
      </w:r>
      <w:r w:rsidR="00022A44">
        <w:rPr>
          <w:szCs w:val="24"/>
        </w:rPr>
        <w:t>u</w:t>
      </w:r>
      <w:r w:rsidR="00E67B7B">
        <w:rPr>
          <w:szCs w:val="24"/>
        </w:rPr>
        <w:t xml:space="preserve">nknown </w:t>
      </w:r>
      <w:r w:rsidR="00022A44">
        <w:rPr>
          <w:szCs w:val="24"/>
        </w:rPr>
        <w:t>s</w:t>
      </w:r>
      <w:r w:rsidR="00E67B7B">
        <w:rPr>
          <w:szCs w:val="24"/>
        </w:rPr>
        <w:t>ource</w:t>
      </w:r>
      <w:r w:rsidRPr="004F1CE1">
        <w:rPr>
          <w:szCs w:val="24"/>
        </w:rPr>
        <w:t xml:space="preserve">.  </w:t>
      </w:r>
      <w:r w:rsidR="00935A65">
        <w:rPr>
          <w:szCs w:val="24"/>
        </w:rPr>
        <w:t>Trading partners</w:t>
      </w:r>
      <w:r w:rsidRPr="004F1CE1">
        <w:rPr>
          <w:szCs w:val="24"/>
        </w:rPr>
        <w:t xml:space="preserve"> </w:t>
      </w:r>
      <w:r w:rsidR="00ED40A7">
        <w:rPr>
          <w:szCs w:val="24"/>
        </w:rPr>
        <w:t>might</w:t>
      </w:r>
      <w:r w:rsidRPr="004F1CE1">
        <w:rPr>
          <w:szCs w:val="24"/>
        </w:rPr>
        <w:t xml:space="preserve"> be searching for a better price on the</w:t>
      </w:r>
      <w:r w:rsidR="009C0B02">
        <w:rPr>
          <w:szCs w:val="24"/>
        </w:rPr>
        <w:t xml:space="preserve"> I</w:t>
      </w:r>
      <w:r w:rsidRPr="004F1CE1">
        <w:rPr>
          <w:szCs w:val="24"/>
        </w:rPr>
        <w:t xml:space="preserve">nternet or for a product that </w:t>
      </w:r>
      <w:r w:rsidR="00935A65">
        <w:rPr>
          <w:szCs w:val="24"/>
        </w:rPr>
        <w:t>they</w:t>
      </w:r>
      <w:r w:rsidRPr="004F1CE1">
        <w:rPr>
          <w:szCs w:val="24"/>
        </w:rPr>
        <w:t xml:space="preserve"> cannot obtain from </w:t>
      </w:r>
      <w:r w:rsidR="00935A65">
        <w:rPr>
          <w:szCs w:val="24"/>
        </w:rPr>
        <w:t>their</w:t>
      </w:r>
      <w:r w:rsidRPr="004F1CE1">
        <w:rPr>
          <w:szCs w:val="24"/>
        </w:rPr>
        <w:t xml:space="preserve"> usual source, and </w:t>
      </w:r>
      <w:r w:rsidR="00ED40A7">
        <w:rPr>
          <w:szCs w:val="24"/>
        </w:rPr>
        <w:t>might</w:t>
      </w:r>
      <w:r w:rsidR="000E6810">
        <w:rPr>
          <w:szCs w:val="24"/>
        </w:rPr>
        <w:t xml:space="preserve"> </w:t>
      </w:r>
      <w:r w:rsidRPr="004F1CE1">
        <w:rPr>
          <w:szCs w:val="24"/>
        </w:rPr>
        <w:t>be tempted to turn to a</w:t>
      </w:r>
      <w:r w:rsidR="00BF25D6">
        <w:rPr>
          <w:szCs w:val="24"/>
        </w:rPr>
        <w:t xml:space="preserve"> person or</w:t>
      </w:r>
      <w:r w:rsidRPr="004F1CE1">
        <w:rPr>
          <w:szCs w:val="24"/>
        </w:rPr>
        <w:t xml:space="preserve"> entit</w:t>
      </w:r>
      <w:r w:rsidR="000E6810">
        <w:rPr>
          <w:szCs w:val="24"/>
        </w:rPr>
        <w:t>y</w:t>
      </w:r>
      <w:r w:rsidRPr="004F1CE1">
        <w:rPr>
          <w:szCs w:val="24"/>
        </w:rPr>
        <w:t xml:space="preserve"> with whom </w:t>
      </w:r>
      <w:r w:rsidR="00935A65">
        <w:rPr>
          <w:szCs w:val="24"/>
        </w:rPr>
        <w:t>they</w:t>
      </w:r>
      <w:r w:rsidRPr="004F1CE1">
        <w:rPr>
          <w:szCs w:val="24"/>
        </w:rPr>
        <w:t xml:space="preserve"> do not have an established business relationship.</w:t>
      </w:r>
    </w:p>
    <w:p w:rsidR="00E8521D" w:rsidRPr="004F1CE1" w:rsidRDefault="00E8521D" w:rsidP="00E8521D">
      <w:pPr>
        <w:rPr>
          <w:szCs w:val="24"/>
        </w:rPr>
      </w:pPr>
    </w:p>
    <w:p w:rsidR="00E8521D" w:rsidRDefault="004F1CE1" w:rsidP="00897AC5">
      <w:pPr>
        <w:numPr>
          <w:ilvl w:val="0"/>
          <w:numId w:val="1"/>
        </w:numPr>
        <w:ind w:left="1440" w:hanging="720"/>
        <w:rPr>
          <w:szCs w:val="24"/>
        </w:rPr>
      </w:pPr>
      <w:r w:rsidRPr="004F1CE1">
        <w:rPr>
          <w:szCs w:val="24"/>
        </w:rPr>
        <w:t xml:space="preserve">Purchasing from a source that </w:t>
      </w:r>
      <w:r w:rsidR="005D4207">
        <w:rPr>
          <w:szCs w:val="24"/>
        </w:rPr>
        <w:t>a trading partner</w:t>
      </w:r>
      <w:r w:rsidRPr="004F1CE1">
        <w:rPr>
          <w:szCs w:val="24"/>
        </w:rPr>
        <w:t xml:space="preserve"> know</w:t>
      </w:r>
      <w:r w:rsidR="005D4207">
        <w:rPr>
          <w:szCs w:val="24"/>
        </w:rPr>
        <w:t>s</w:t>
      </w:r>
      <w:r w:rsidRPr="004F1CE1">
        <w:rPr>
          <w:szCs w:val="24"/>
        </w:rPr>
        <w:t xml:space="preserve"> or ha</w:t>
      </w:r>
      <w:r w:rsidR="005D4207">
        <w:rPr>
          <w:szCs w:val="24"/>
        </w:rPr>
        <w:t>s</w:t>
      </w:r>
      <w:r w:rsidRPr="004F1CE1">
        <w:rPr>
          <w:szCs w:val="24"/>
        </w:rPr>
        <w:t xml:space="preserve"> reason to believe has </w:t>
      </w:r>
      <w:r w:rsidR="0012503B">
        <w:rPr>
          <w:szCs w:val="24"/>
        </w:rPr>
        <w:t>engaged in questionable or suspicious business practices that could increase the risk of suspect product entering the supply chain</w:t>
      </w:r>
      <w:r w:rsidR="00A45DD3">
        <w:rPr>
          <w:szCs w:val="24"/>
        </w:rPr>
        <w:t>, such as</w:t>
      </w:r>
      <w:r w:rsidRPr="004F1CE1">
        <w:rPr>
          <w:szCs w:val="24"/>
        </w:rPr>
        <w:t>:</w:t>
      </w:r>
    </w:p>
    <w:p w:rsidR="004F1CE1" w:rsidRPr="004F1CE1" w:rsidRDefault="004F1CE1" w:rsidP="00E8521D">
      <w:pPr>
        <w:rPr>
          <w:szCs w:val="24"/>
        </w:rPr>
      </w:pPr>
      <w:r w:rsidRPr="004F1CE1">
        <w:rPr>
          <w:szCs w:val="24"/>
        </w:rPr>
        <w:t xml:space="preserve">  </w:t>
      </w:r>
    </w:p>
    <w:p w:rsidR="004F1CE1" w:rsidRDefault="00A45DD3" w:rsidP="00897AC5">
      <w:pPr>
        <w:numPr>
          <w:ilvl w:val="1"/>
          <w:numId w:val="2"/>
        </w:numPr>
        <w:ind w:left="2160" w:hanging="720"/>
        <w:rPr>
          <w:szCs w:val="24"/>
        </w:rPr>
      </w:pPr>
      <w:r>
        <w:rPr>
          <w:szCs w:val="24"/>
        </w:rPr>
        <w:lastRenderedPageBreak/>
        <w:t>A</w:t>
      </w:r>
      <w:r w:rsidR="004F1CE1" w:rsidRPr="004F1CE1">
        <w:rPr>
          <w:szCs w:val="24"/>
        </w:rPr>
        <w:t xml:space="preserve"> trading partner </w:t>
      </w:r>
      <w:r>
        <w:rPr>
          <w:szCs w:val="24"/>
        </w:rPr>
        <w:t xml:space="preserve">that </w:t>
      </w:r>
      <w:r w:rsidR="004F1CE1" w:rsidRPr="004F1CE1">
        <w:rPr>
          <w:szCs w:val="24"/>
        </w:rPr>
        <w:t xml:space="preserve">has been involved in business transactions where they sold or delivered </w:t>
      </w:r>
      <w:r w:rsidR="00E8521D">
        <w:rPr>
          <w:szCs w:val="24"/>
        </w:rPr>
        <w:t>illegitimate product</w:t>
      </w:r>
      <w:r w:rsidR="009C0B02">
        <w:rPr>
          <w:szCs w:val="24"/>
        </w:rPr>
        <w:t>.</w:t>
      </w:r>
    </w:p>
    <w:p w:rsidR="00E8521D" w:rsidRPr="004F1CE1" w:rsidRDefault="00E8521D" w:rsidP="00E8521D">
      <w:pPr>
        <w:ind w:left="2160"/>
        <w:rPr>
          <w:szCs w:val="24"/>
        </w:rPr>
      </w:pPr>
    </w:p>
    <w:p w:rsidR="00E8521D" w:rsidRDefault="00A45DD3" w:rsidP="00897AC5">
      <w:pPr>
        <w:numPr>
          <w:ilvl w:val="1"/>
          <w:numId w:val="2"/>
        </w:numPr>
        <w:ind w:left="2160" w:hanging="720"/>
        <w:rPr>
          <w:szCs w:val="24"/>
        </w:rPr>
      </w:pPr>
      <w:r>
        <w:rPr>
          <w:szCs w:val="24"/>
        </w:rPr>
        <w:t>A</w:t>
      </w:r>
      <w:r w:rsidR="004F1CE1" w:rsidRPr="004F1CE1">
        <w:rPr>
          <w:szCs w:val="24"/>
        </w:rPr>
        <w:t xml:space="preserve"> trading partner </w:t>
      </w:r>
      <w:r>
        <w:rPr>
          <w:szCs w:val="24"/>
        </w:rPr>
        <w:t xml:space="preserve">that </w:t>
      </w:r>
      <w:r w:rsidR="004F1CE1" w:rsidRPr="004F1CE1">
        <w:rPr>
          <w:szCs w:val="24"/>
        </w:rPr>
        <w:t>has a history of problematic or potentially false transaction histories or pedigrees, such as those that contain misspelled words or incomplete information</w:t>
      </w:r>
      <w:r w:rsidR="009C0B02">
        <w:rPr>
          <w:szCs w:val="24"/>
        </w:rPr>
        <w:t>.</w:t>
      </w:r>
    </w:p>
    <w:p w:rsidR="00BD2333" w:rsidRPr="00E8521D" w:rsidRDefault="00BD2333" w:rsidP="00BD2333">
      <w:pPr>
        <w:ind w:left="2160"/>
        <w:rPr>
          <w:szCs w:val="24"/>
        </w:rPr>
      </w:pPr>
    </w:p>
    <w:p w:rsidR="004F1CE1" w:rsidRDefault="00A45DD3" w:rsidP="00897AC5">
      <w:pPr>
        <w:numPr>
          <w:ilvl w:val="1"/>
          <w:numId w:val="2"/>
        </w:numPr>
        <w:ind w:left="2160" w:hanging="720"/>
        <w:rPr>
          <w:szCs w:val="24"/>
        </w:rPr>
      </w:pPr>
      <w:r>
        <w:rPr>
          <w:szCs w:val="24"/>
        </w:rPr>
        <w:t>A</w:t>
      </w:r>
      <w:r w:rsidR="004F1CE1" w:rsidRPr="004F1CE1">
        <w:rPr>
          <w:szCs w:val="24"/>
        </w:rPr>
        <w:t xml:space="preserve"> trading partner that is reluctant to provide a transaction history associated with the product being purchased, or does not do so in a timely manner</w:t>
      </w:r>
      <w:r w:rsidR="009C0B02">
        <w:rPr>
          <w:szCs w:val="24"/>
        </w:rPr>
        <w:t>.</w:t>
      </w:r>
    </w:p>
    <w:p w:rsidR="00E8521D" w:rsidRDefault="00E8521D" w:rsidP="00E8521D">
      <w:pPr>
        <w:ind w:left="2160"/>
        <w:rPr>
          <w:szCs w:val="24"/>
        </w:rPr>
      </w:pPr>
    </w:p>
    <w:p w:rsidR="005C008D" w:rsidRDefault="0012503B" w:rsidP="00897AC5">
      <w:pPr>
        <w:numPr>
          <w:ilvl w:val="1"/>
          <w:numId w:val="2"/>
        </w:numPr>
        <w:ind w:left="2160" w:hanging="720"/>
        <w:rPr>
          <w:szCs w:val="24"/>
        </w:rPr>
      </w:pPr>
      <w:r>
        <w:rPr>
          <w:szCs w:val="24"/>
        </w:rPr>
        <w:t>A trading partner that provides t</w:t>
      </w:r>
      <w:r w:rsidR="005C008D">
        <w:rPr>
          <w:szCs w:val="24"/>
        </w:rPr>
        <w:t>ransaction information, a transaction statement, and/or transaction history that appears to be incomplete or suspicious</w:t>
      </w:r>
      <w:r w:rsidR="009C0B02">
        <w:rPr>
          <w:szCs w:val="24"/>
        </w:rPr>
        <w:t>.</w:t>
      </w:r>
    </w:p>
    <w:p w:rsidR="00E8521D" w:rsidRPr="004F1CE1" w:rsidRDefault="00E8521D" w:rsidP="00E8521D">
      <w:pPr>
        <w:rPr>
          <w:szCs w:val="24"/>
        </w:rPr>
      </w:pPr>
    </w:p>
    <w:p w:rsidR="00137447" w:rsidRDefault="00137447" w:rsidP="00897AC5">
      <w:pPr>
        <w:pStyle w:val="Heading3"/>
        <w:numPr>
          <w:ilvl w:val="0"/>
          <w:numId w:val="10"/>
        </w:numPr>
        <w:ind w:left="1440" w:hanging="720"/>
      </w:pPr>
      <w:bookmarkStart w:id="17" w:name="_Toc407020505"/>
      <w:r w:rsidRPr="004F1CE1">
        <w:t>Supply, Demand, History</w:t>
      </w:r>
      <w:r w:rsidR="009C0B02">
        <w:t>,</w:t>
      </w:r>
      <w:r w:rsidRPr="004F1CE1">
        <w:t xml:space="preserve"> and Value</w:t>
      </w:r>
      <w:r w:rsidR="00BC733C">
        <w:t xml:space="preserve"> of</w:t>
      </w:r>
      <w:r w:rsidR="00AE1A26">
        <w:t xml:space="preserve"> the</w:t>
      </w:r>
      <w:r w:rsidR="00BC733C">
        <w:t xml:space="preserve"> Product</w:t>
      </w:r>
      <w:bookmarkEnd w:id="17"/>
    </w:p>
    <w:p w:rsidR="00703E0C" w:rsidRPr="00703E0C" w:rsidRDefault="00703E0C" w:rsidP="00703E0C"/>
    <w:p w:rsidR="004F1CE1" w:rsidRDefault="00A0751C" w:rsidP="00897AC5">
      <w:pPr>
        <w:numPr>
          <w:ilvl w:val="0"/>
          <w:numId w:val="1"/>
        </w:numPr>
        <w:ind w:left="1440" w:hanging="720"/>
        <w:rPr>
          <w:szCs w:val="24"/>
        </w:rPr>
      </w:pPr>
      <w:r>
        <w:rPr>
          <w:szCs w:val="24"/>
        </w:rPr>
        <w:t>Product</w:t>
      </w:r>
      <w:r w:rsidR="00F20C5D">
        <w:rPr>
          <w:szCs w:val="24"/>
        </w:rPr>
        <w:t xml:space="preserve"> that</w:t>
      </w:r>
      <w:r>
        <w:rPr>
          <w:szCs w:val="24"/>
        </w:rPr>
        <w:t xml:space="preserve"> i</w:t>
      </w:r>
      <w:r w:rsidR="004F1CE1" w:rsidRPr="004F1CE1">
        <w:rPr>
          <w:szCs w:val="24"/>
        </w:rPr>
        <w:t xml:space="preserve">s </w:t>
      </w:r>
      <w:r w:rsidR="00182F5E">
        <w:rPr>
          <w:szCs w:val="24"/>
        </w:rPr>
        <w:t xml:space="preserve">generally </w:t>
      </w:r>
      <w:r w:rsidR="004F1CE1" w:rsidRPr="004F1CE1">
        <w:rPr>
          <w:szCs w:val="24"/>
        </w:rPr>
        <w:t>in high demand in the U.S. market</w:t>
      </w:r>
      <w:r w:rsidR="00FB4C8A">
        <w:rPr>
          <w:szCs w:val="24"/>
        </w:rPr>
        <w:t>.</w:t>
      </w:r>
    </w:p>
    <w:p w:rsidR="00E8521D" w:rsidRPr="004F1CE1" w:rsidRDefault="00E8521D" w:rsidP="00E8521D">
      <w:pPr>
        <w:ind w:left="1440"/>
        <w:rPr>
          <w:szCs w:val="24"/>
        </w:rPr>
      </w:pPr>
    </w:p>
    <w:p w:rsidR="00182F5E" w:rsidRDefault="00A0751C" w:rsidP="00897AC5">
      <w:pPr>
        <w:numPr>
          <w:ilvl w:val="0"/>
          <w:numId w:val="1"/>
        </w:numPr>
        <w:ind w:left="1440" w:hanging="720"/>
        <w:rPr>
          <w:szCs w:val="24"/>
        </w:rPr>
      </w:pPr>
      <w:r>
        <w:rPr>
          <w:szCs w:val="24"/>
        </w:rPr>
        <w:t>Product</w:t>
      </w:r>
      <w:r w:rsidR="00F20C5D">
        <w:rPr>
          <w:szCs w:val="24"/>
        </w:rPr>
        <w:t xml:space="preserve"> that</w:t>
      </w:r>
      <w:r>
        <w:rPr>
          <w:szCs w:val="24"/>
        </w:rPr>
        <w:t xml:space="preserve"> i</w:t>
      </w:r>
      <w:r w:rsidR="00182F5E" w:rsidRPr="004F1CE1">
        <w:rPr>
          <w:szCs w:val="24"/>
        </w:rPr>
        <w:t>s in higher demand because of its potential</w:t>
      </w:r>
      <w:r w:rsidR="003112B8">
        <w:rPr>
          <w:szCs w:val="24"/>
        </w:rPr>
        <w:t xml:space="preserve"> or perceived</w:t>
      </w:r>
      <w:r w:rsidR="00182F5E" w:rsidRPr="004F1CE1">
        <w:rPr>
          <w:szCs w:val="24"/>
        </w:rPr>
        <w:t xml:space="preserve"> relationship to a public health or oth</w:t>
      </w:r>
      <w:r w:rsidR="00E8521D">
        <w:rPr>
          <w:szCs w:val="24"/>
        </w:rPr>
        <w:t>er emergency (e.g.</w:t>
      </w:r>
      <w:r w:rsidR="009C0B02">
        <w:rPr>
          <w:szCs w:val="24"/>
        </w:rPr>
        <w:t>,</w:t>
      </w:r>
      <w:r w:rsidR="00E8521D">
        <w:rPr>
          <w:szCs w:val="24"/>
        </w:rPr>
        <w:t xml:space="preserve"> antiviral</w:t>
      </w:r>
      <w:r w:rsidR="006F6E0F">
        <w:rPr>
          <w:szCs w:val="24"/>
        </w:rPr>
        <w:t xml:space="preserve"> drugs</w:t>
      </w:r>
      <w:r w:rsidR="00E8521D">
        <w:rPr>
          <w:szCs w:val="24"/>
        </w:rPr>
        <w:t>)</w:t>
      </w:r>
      <w:r w:rsidR="009C0B02">
        <w:rPr>
          <w:szCs w:val="24"/>
        </w:rPr>
        <w:t>.</w:t>
      </w:r>
    </w:p>
    <w:p w:rsidR="00E8521D" w:rsidRPr="004F1CE1" w:rsidRDefault="00E8521D" w:rsidP="00E8521D">
      <w:pPr>
        <w:rPr>
          <w:szCs w:val="24"/>
        </w:rPr>
      </w:pPr>
    </w:p>
    <w:p w:rsidR="004F1CE1" w:rsidRDefault="00A0751C" w:rsidP="00897AC5">
      <w:pPr>
        <w:numPr>
          <w:ilvl w:val="0"/>
          <w:numId w:val="1"/>
        </w:numPr>
        <w:ind w:left="1440" w:hanging="720"/>
        <w:rPr>
          <w:szCs w:val="24"/>
        </w:rPr>
      </w:pPr>
      <w:r>
        <w:rPr>
          <w:szCs w:val="24"/>
        </w:rPr>
        <w:t xml:space="preserve">Product </w:t>
      </w:r>
      <w:r w:rsidR="00F20C5D">
        <w:rPr>
          <w:szCs w:val="24"/>
        </w:rPr>
        <w:t xml:space="preserve">that </w:t>
      </w:r>
      <w:r>
        <w:rPr>
          <w:szCs w:val="24"/>
        </w:rPr>
        <w:t>h</w:t>
      </w:r>
      <w:r w:rsidR="004F1CE1" w:rsidRPr="004F1CE1">
        <w:rPr>
          <w:szCs w:val="24"/>
        </w:rPr>
        <w:t xml:space="preserve">as a high sales volume or price in the </w:t>
      </w:r>
      <w:r w:rsidR="00ED40A7">
        <w:rPr>
          <w:szCs w:val="24"/>
        </w:rPr>
        <w:t>United States</w:t>
      </w:r>
      <w:r w:rsidR="004F1CE1" w:rsidRPr="004F1CE1">
        <w:rPr>
          <w:szCs w:val="24"/>
        </w:rPr>
        <w:t>.</w:t>
      </w:r>
    </w:p>
    <w:p w:rsidR="00AA4A20" w:rsidRDefault="00AA4A20" w:rsidP="001C3AF0">
      <w:pPr>
        <w:pStyle w:val="ListParagraph"/>
        <w:rPr>
          <w:szCs w:val="24"/>
        </w:rPr>
      </w:pPr>
    </w:p>
    <w:p w:rsidR="00AA4A20" w:rsidRDefault="00AA4A20" w:rsidP="00897AC5">
      <w:pPr>
        <w:numPr>
          <w:ilvl w:val="0"/>
          <w:numId w:val="1"/>
        </w:numPr>
        <w:ind w:left="1440" w:hanging="720"/>
        <w:rPr>
          <w:szCs w:val="24"/>
        </w:rPr>
      </w:pPr>
      <w:r>
        <w:rPr>
          <w:szCs w:val="24"/>
        </w:rPr>
        <w:t>Product offered at a price that is “too good to be true.”</w:t>
      </w:r>
    </w:p>
    <w:p w:rsidR="00E8521D" w:rsidRPr="004F1CE1" w:rsidRDefault="00E8521D" w:rsidP="00E8521D">
      <w:pPr>
        <w:rPr>
          <w:szCs w:val="24"/>
        </w:rPr>
      </w:pPr>
    </w:p>
    <w:p w:rsidR="004F1CE1" w:rsidRDefault="00A0751C" w:rsidP="00897AC5">
      <w:pPr>
        <w:numPr>
          <w:ilvl w:val="0"/>
          <w:numId w:val="1"/>
        </w:numPr>
        <w:ind w:left="1440" w:hanging="720"/>
        <w:rPr>
          <w:szCs w:val="24"/>
        </w:rPr>
      </w:pPr>
      <w:r>
        <w:rPr>
          <w:szCs w:val="24"/>
        </w:rPr>
        <w:t xml:space="preserve">Product </w:t>
      </w:r>
      <w:r w:rsidR="00F20C5D">
        <w:rPr>
          <w:szCs w:val="24"/>
        </w:rPr>
        <w:t xml:space="preserve">that </w:t>
      </w:r>
      <w:r>
        <w:rPr>
          <w:szCs w:val="24"/>
        </w:rPr>
        <w:t>h</w:t>
      </w:r>
      <w:r w:rsidR="00935A65">
        <w:rPr>
          <w:szCs w:val="24"/>
        </w:rPr>
        <w:t>as been</w:t>
      </w:r>
      <w:r w:rsidR="004F1CE1" w:rsidRPr="004F1CE1">
        <w:rPr>
          <w:szCs w:val="24"/>
        </w:rPr>
        <w:t xml:space="preserve"> </w:t>
      </w:r>
      <w:r w:rsidR="00DC4E2D">
        <w:rPr>
          <w:szCs w:val="24"/>
        </w:rPr>
        <w:t xml:space="preserve">previously </w:t>
      </w:r>
      <w:r w:rsidR="000E6810">
        <w:rPr>
          <w:szCs w:val="24"/>
        </w:rPr>
        <w:t xml:space="preserve">or is currently being </w:t>
      </w:r>
      <w:r w:rsidR="004F1CE1" w:rsidRPr="004F1CE1">
        <w:rPr>
          <w:szCs w:val="24"/>
        </w:rPr>
        <w:t>counterfeited or diverted (e.g.</w:t>
      </w:r>
      <w:r w:rsidR="009C0B02">
        <w:rPr>
          <w:szCs w:val="24"/>
        </w:rPr>
        <w:t>,</w:t>
      </w:r>
      <w:r w:rsidR="004F1CE1" w:rsidRPr="004F1CE1">
        <w:rPr>
          <w:szCs w:val="24"/>
        </w:rPr>
        <w:t xml:space="preserve"> HIV, a</w:t>
      </w:r>
      <w:r w:rsidR="00E8521D">
        <w:rPr>
          <w:szCs w:val="24"/>
        </w:rPr>
        <w:t>ntipsychotic, or cancer drugs)</w:t>
      </w:r>
      <w:r w:rsidR="009C0B02">
        <w:rPr>
          <w:szCs w:val="24"/>
        </w:rPr>
        <w:t>.</w:t>
      </w:r>
    </w:p>
    <w:p w:rsidR="00E8521D" w:rsidRPr="004F1CE1" w:rsidRDefault="00E8521D" w:rsidP="00E8521D">
      <w:pPr>
        <w:rPr>
          <w:szCs w:val="24"/>
        </w:rPr>
      </w:pPr>
    </w:p>
    <w:p w:rsidR="004F1CE1" w:rsidRDefault="00A0751C" w:rsidP="00897AC5">
      <w:pPr>
        <w:numPr>
          <w:ilvl w:val="0"/>
          <w:numId w:val="1"/>
        </w:numPr>
        <w:ind w:left="1440" w:hanging="720"/>
        <w:rPr>
          <w:szCs w:val="24"/>
        </w:rPr>
      </w:pPr>
      <w:r>
        <w:rPr>
          <w:szCs w:val="24"/>
        </w:rPr>
        <w:t xml:space="preserve">Product </w:t>
      </w:r>
      <w:r w:rsidR="00F20C5D">
        <w:rPr>
          <w:szCs w:val="24"/>
        </w:rPr>
        <w:t xml:space="preserve">that </w:t>
      </w:r>
      <w:r>
        <w:rPr>
          <w:szCs w:val="24"/>
        </w:rPr>
        <w:t>h</w:t>
      </w:r>
      <w:r w:rsidR="004F1CE1" w:rsidRPr="00206135">
        <w:rPr>
          <w:szCs w:val="24"/>
        </w:rPr>
        <w:t xml:space="preserve">as been </w:t>
      </w:r>
      <w:r w:rsidR="00DC4E2D" w:rsidRPr="00206135">
        <w:rPr>
          <w:szCs w:val="24"/>
        </w:rPr>
        <w:t xml:space="preserve">previously </w:t>
      </w:r>
      <w:r w:rsidR="000E6810" w:rsidRPr="00206135">
        <w:rPr>
          <w:szCs w:val="24"/>
        </w:rPr>
        <w:t xml:space="preserve">or is </w:t>
      </w:r>
      <w:r w:rsidR="00DC4E2D" w:rsidRPr="00715A82">
        <w:rPr>
          <w:szCs w:val="24"/>
        </w:rPr>
        <w:t xml:space="preserve">currently </w:t>
      </w:r>
      <w:r w:rsidR="000E6810" w:rsidRPr="00715A82">
        <w:rPr>
          <w:szCs w:val="24"/>
        </w:rPr>
        <w:t xml:space="preserve">the subject of </w:t>
      </w:r>
      <w:r w:rsidR="004F1CE1" w:rsidRPr="00593E3C">
        <w:rPr>
          <w:szCs w:val="24"/>
        </w:rPr>
        <w:t xml:space="preserve">a </w:t>
      </w:r>
      <w:r w:rsidR="000E6810" w:rsidRPr="00593E3C">
        <w:rPr>
          <w:szCs w:val="24"/>
        </w:rPr>
        <w:t xml:space="preserve">drug </w:t>
      </w:r>
      <w:r w:rsidR="004F1CE1" w:rsidRPr="00593E3C">
        <w:rPr>
          <w:szCs w:val="24"/>
        </w:rPr>
        <w:t>shortage (</w:t>
      </w:r>
      <w:r w:rsidR="009C0B02">
        <w:rPr>
          <w:szCs w:val="24"/>
        </w:rPr>
        <w:t>s</w:t>
      </w:r>
      <w:r w:rsidR="004F1CE1" w:rsidRPr="00593E3C">
        <w:rPr>
          <w:szCs w:val="24"/>
        </w:rPr>
        <w:t xml:space="preserve">ee </w:t>
      </w:r>
      <w:r w:rsidR="009C0B02">
        <w:rPr>
          <w:szCs w:val="24"/>
        </w:rPr>
        <w:t xml:space="preserve">a </w:t>
      </w:r>
      <w:r w:rsidR="000E6810" w:rsidRPr="00593E3C">
        <w:rPr>
          <w:szCs w:val="24"/>
        </w:rPr>
        <w:t xml:space="preserve">list of current drugs in shortage at </w:t>
      </w:r>
      <w:hyperlink r:id="rId21" w:history="1">
        <w:r w:rsidR="004F1CE1" w:rsidRPr="00206135">
          <w:rPr>
            <w:rStyle w:val="Hyperlink"/>
            <w:szCs w:val="24"/>
          </w:rPr>
          <w:t>http://www.fda.gov/BiologicsBloodVaccines/SafetyAvailability/Shortages/default.htm</w:t>
        </w:r>
      </w:hyperlink>
      <w:r w:rsidR="004F1CE1" w:rsidRPr="00206135">
        <w:rPr>
          <w:szCs w:val="24"/>
        </w:rPr>
        <w:t xml:space="preserve"> and </w:t>
      </w:r>
      <w:hyperlink r:id="rId22" w:history="1">
        <w:r w:rsidR="00715A82" w:rsidRPr="00BE6642">
          <w:rPr>
            <w:rStyle w:val="Hyperlink"/>
            <w:szCs w:val="24"/>
          </w:rPr>
          <w:t>http://www.fda.gov/Drugs/DrugSafety/DrugShortages/ucm050792.htm</w:t>
        </w:r>
      </w:hyperlink>
      <w:r w:rsidR="00715A82">
        <w:rPr>
          <w:szCs w:val="24"/>
        </w:rPr>
        <w:t xml:space="preserve"> </w:t>
      </w:r>
      <w:r w:rsidR="004F1CE1" w:rsidRPr="00206135">
        <w:rPr>
          <w:szCs w:val="24"/>
        </w:rPr>
        <w:t>for more information)</w:t>
      </w:r>
      <w:r w:rsidR="009C0B02">
        <w:rPr>
          <w:szCs w:val="24"/>
        </w:rPr>
        <w:t>.</w:t>
      </w:r>
    </w:p>
    <w:p w:rsidR="00E8521D" w:rsidRPr="00206135" w:rsidRDefault="00E8521D" w:rsidP="00E8521D">
      <w:pPr>
        <w:rPr>
          <w:szCs w:val="24"/>
        </w:rPr>
      </w:pPr>
    </w:p>
    <w:p w:rsidR="004F1CE1" w:rsidRDefault="00A0751C" w:rsidP="00897AC5">
      <w:pPr>
        <w:numPr>
          <w:ilvl w:val="0"/>
          <w:numId w:val="1"/>
        </w:numPr>
        <w:ind w:left="1440" w:hanging="720"/>
        <w:rPr>
          <w:szCs w:val="24"/>
        </w:rPr>
      </w:pPr>
      <w:r>
        <w:rPr>
          <w:szCs w:val="24"/>
        </w:rPr>
        <w:t xml:space="preserve">Product </w:t>
      </w:r>
      <w:r w:rsidR="00F20C5D">
        <w:rPr>
          <w:szCs w:val="24"/>
        </w:rPr>
        <w:t xml:space="preserve">that </w:t>
      </w:r>
      <w:r>
        <w:rPr>
          <w:szCs w:val="24"/>
        </w:rPr>
        <w:t>h</w:t>
      </w:r>
      <w:r w:rsidR="000E6810">
        <w:rPr>
          <w:szCs w:val="24"/>
        </w:rPr>
        <w:t>as been or i</w:t>
      </w:r>
      <w:r w:rsidR="004F1CE1" w:rsidRPr="004F1CE1">
        <w:rPr>
          <w:szCs w:val="24"/>
        </w:rPr>
        <w:t>s the subject of an illegitimate product</w:t>
      </w:r>
      <w:r w:rsidR="0023250E">
        <w:rPr>
          <w:szCs w:val="24"/>
        </w:rPr>
        <w:t xml:space="preserve"> notification under the DSCSA</w:t>
      </w:r>
      <w:r w:rsidR="004F1CE1" w:rsidRPr="004F1CE1">
        <w:rPr>
          <w:szCs w:val="24"/>
        </w:rPr>
        <w:t xml:space="preserve"> </w:t>
      </w:r>
      <w:r w:rsidR="001D1E68">
        <w:rPr>
          <w:szCs w:val="24"/>
        </w:rPr>
        <w:t xml:space="preserve">or other </w:t>
      </w:r>
      <w:r w:rsidR="00104BA3">
        <w:rPr>
          <w:szCs w:val="24"/>
        </w:rPr>
        <w:t>alert or announcement</w:t>
      </w:r>
      <w:r w:rsidR="00DA6AC9">
        <w:rPr>
          <w:szCs w:val="24"/>
        </w:rPr>
        <w:t xml:space="preserve"> related to drug quality</w:t>
      </w:r>
      <w:r w:rsidR="00A31D4E">
        <w:rPr>
          <w:szCs w:val="24"/>
        </w:rPr>
        <w:t>.</w:t>
      </w:r>
    </w:p>
    <w:p w:rsidR="00E8521D" w:rsidRPr="004F1CE1" w:rsidRDefault="00E8521D" w:rsidP="00E8521D">
      <w:pPr>
        <w:rPr>
          <w:szCs w:val="24"/>
        </w:rPr>
      </w:pPr>
    </w:p>
    <w:p w:rsidR="0046439B" w:rsidRPr="0046439B" w:rsidRDefault="00A0751C" w:rsidP="00897AC5">
      <w:pPr>
        <w:numPr>
          <w:ilvl w:val="0"/>
          <w:numId w:val="1"/>
        </w:numPr>
        <w:ind w:firstLine="0"/>
      </w:pPr>
      <w:r>
        <w:rPr>
          <w:szCs w:val="24"/>
        </w:rPr>
        <w:t xml:space="preserve">Product </w:t>
      </w:r>
      <w:r w:rsidR="00F20C5D">
        <w:rPr>
          <w:szCs w:val="24"/>
        </w:rPr>
        <w:t xml:space="preserve">that </w:t>
      </w:r>
      <w:r>
        <w:rPr>
          <w:szCs w:val="24"/>
        </w:rPr>
        <w:t>h</w:t>
      </w:r>
      <w:r w:rsidR="004F1CE1" w:rsidRPr="00715A82">
        <w:rPr>
          <w:szCs w:val="24"/>
        </w:rPr>
        <w:t xml:space="preserve">as been </w:t>
      </w:r>
      <w:r w:rsidR="000E6810" w:rsidRPr="00715A82">
        <w:rPr>
          <w:szCs w:val="24"/>
        </w:rPr>
        <w:t xml:space="preserve">or is </w:t>
      </w:r>
      <w:r w:rsidR="004F1CE1" w:rsidRPr="00593E3C">
        <w:rPr>
          <w:szCs w:val="24"/>
        </w:rPr>
        <w:t>the subject of a</w:t>
      </w:r>
      <w:r w:rsidR="00935A65" w:rsidRPr="00593E3C">
        <w:rPr>
          <w:szCs w:val="24"/>
        </w:rPr>
        <w:t>n FDA</w:t>
      </w:r>
      <w:r w:rsidR="004F1CE1" w:rsidRPr="00593E3C">
        <w:rPr>
          <w:szCs w:val="24"/>
        </w:rPr>
        <w:t xml:space="preserve"> counterfeit or cargo theft alert </w:t>
      </w:r>
    </w:p>
    <w:p w:rsidR="0046439B" w:rsidRPr="0046439B" w:rsidRDefault="0046439B" w:rsidP="0046439B">
      <w:pPr>
        <w:ind w:left="1080"/>
      </w:pPr>
    </w:p>
    <w:p w:rsidR="00CB5C6A" w:rsidRPr="00CB5C6A" w:rsidRDefault="004F1CE1" w:rsidP="00892C15">
      <w:pPr>
        <w:tabs>
          <w:tab w:val="left" w:pos="720"/>
        </w:tabs>
        <w:ind w:left="1080"/>
      </w:pPr>
      <w:r w:rsidRPr="00593E3C">
        <w:rPr>
          <w:szCs w:val="24"/>
        </w:rPr>
        <w:t>(See</w:t>
      </w:r>
      <w:r w:rsidR="00E8521D">
        <w:rPr>
          <w:szCs w:val="24"/>
        </w:rPr>
        <w:t xml:space="preserve"> </w:t>
      </w:r>
      <w:hyperlink r:id="rId23" w:history="1">
        <w:r w:rsidRPr="00715A82">
          <w:rPr>
            <w:rStyle w:val="Hyperlink"/>
            <w:szCs w:val="24"/>
          </w:rPr>
          <w:t>http://www.fda.gov/drugs/resourcesforyou/consumers/buyingusingmedicinesafely/counterfeitmedicine/default.htm</w:t>
        </w:r>
      </w:hyperlink>
      <w:r w:rsidRPr="00206135">
        <w:rPr>
          <w:szCs w:val="24"/>
        </w:rPr>
        <w:t xml:space="preserve"> and </w:t>
      </w:r>
      <w:hyperlink r:id="rId24" w:history="1">
        <w:r w:rsidR="00DA6AC9" w:rsidRPr="008C11D3">
          <w:rPr>
            <w:rStyle w:val="Hyperlink"/>
            <w:szCs w:val="24"/>
          </w:rPr>
          <w:t>http://www.fda.gov/iceci/criminalinvestigations/ucm182888.htm</w:t>
        </w:r>
      </w:hyperlink>
      <w:r w:rsidR="00715A82">
        <w:rPr>
          <w:szCs w:val="24"/>
        </w:rPr>
        <w:t xml:space="preserve"> for</w:t>
      </w:r>
      <w:r w:rsidRPr="00206135">
        <w:rPr>
          <w:szCs w:val="24"/>
        </w:rPr>
        <w:t xml:space="preserve"> more information)</w:t>
      </w:r>
      <w:r w:rsidR="00A31D4E">
        <w:rPr>
          <w:szCs w:val="24"/>
        </w:rPr>
        <w:t>.</w:t>
      </w:r>
    </w:p>
    <w:p w:rsidR="004F1CE1" w:rsidRDefault="004F1CE1" w:rsidP="00897AC5">
      <w:pPr>
        <w:pStyle w:val="Heading3"/>
        <w:numPr>
          <w:ilvl w:val="0"/>
          <w:numId w:val="10"/>
        </w:numPr>
        <w:ind w:left="1440" w:hanging="720"/>
      </w:pPr>
      <w:bookmarkStart w:id="18" w:name="_Toc407020506"/>
      <w:r w:rsidRPr="004F1CE1">
        <w:t>Appearance</w:t>
      </w:r>
      <w:r w:rsidR="00BC733C">
        <w:t xml:space="preserve"> of </w:t>
      </w:r>
      <w:r w:rsidR="00AE1A26">
        <w:t xml:space="preserve">the </w:t>
      </w:r>
      <w:r w:rsidR="00BC733C">
        <w:t>Product</w:t>
      </w:r>
      <w:bookmarkEnd w:id="18"/>
    </w:p>
    <w:p w:rsidR="00703E0C" w:rsidRPr="00703E0C" w:rsidRDefault="00703E0C" w:rsidP="00703E0C"/>
    <w:p w:rsidR="00E9671E" w:rsidRDefault="00DE4D8E" w:rsidP="00897AC5">
      <w:pPr>
        <w:numPr>
          <w:ilvl w:val="0"/>
          <w:numId w:val="6"/>
        </w:numPr>
        <w:ind w:hanging="720"/>
        <w:rPr>
          <w:szCs w:val="24"/>
        </w:rPr>
      </w:pPr>
      <w:r>
        <w:rPr>
          <w:szCs w:val="24"/>
        </w:rPr>
        <w:t>A</w:t>
      </w:r>
      <w:r w:rsidR="001D1E68" w:rsidRPr="00614CCE">
        <w:rPr>
          <w:szCs w:val="24"/>
        </w:rPr>
        <w:t>ppearance</w:t>
      </w:r>
      <w:r w:rsidR="00F20C5D">
        <w:rPr>
          <w:szCs w:val="24"/>
        </w:rPr>
        <w:t xml:space="preserve"> </w:t>
      </w:r>
      <w:r>
        <w:rPr>
          <w:szCs w:val="24"/>
        </w:rPr>
        <w:t>of a package or a container used for transport (e.g.</w:t>
      </w:r>
      <w:r w:rsidR="00A31D4E">
        <w:rPr>
          <w:szCs w:val="24"/>
        </w:rPr>
        <w:t>,</w:t>
      </w:r>
      <w:r>
        <w:rPr>
          <w:szCs w:val="24"/>
        </w:rPr>
        <w:t xml:space="preserve"> case or tote) </w:t>
      </w:r>
      <w:r w:rsidR="00F20C5D">
        <w:rPr>
          <w:szCs w:val="24"/>
        </w:rPr>
        <w:t>that</w:t>
      </w:r>
      <w:r w:rsidR="001D1E68" w:rsidRPr="00614CCE">
        <w:rPr>
          <w:szCs w:val="24"/>
        </w:rPr>
        <w:t xml:space="preserve"> </w:t>
      </w:r>
      <w:r w:rsidR="004F1CE1" w:rsidRPr="00614CCE">
        <w:rPr>
          <w:szCs w:val="24"/>
        </w:rPr>
        <w:t>seems suspicious</w:t>
      </w:r>
      <w:r w:rsidR="003112B8">
        <w:rPr>
          <w:szCs w:val="24"/>
        </w:rPr>
        <w:t xml:space="preserve"> (</w:t>
      </w:r>
      <w:r w:rsidR="00614CCE">
        <w:rPr>
          <w:szCs w:val="24"/>
        </w:rPr>
        <w:t>e.g.</w:t>
      </w:r>
      <w:r w:rsidR="00A31D4E">
        <w:rPr>
          <w:szCs w:val="24"/>
        </w:rPr>
        <w:t>,</w:t>
      </w:r>
      <w:r w:rsidR="00614CCE">
        <w:rPr>
          <w:szCs w:val="24"/>
        </w:rPr>
        <w:t xml:space="preserve"> it has a</w:t>
      </w:r>
      <w:r w:rsidR="004F1CE1" w:rsidRPr="00614CCE">
        <w:rPr>
          <w:szCs w:val="24"/>
        </w:rPr>
        <w:t xml:space="preserve"> label that contain</w:t>
      </w:r>
      <w:r w:rsidR="00A0751C">
        <w:rPr>
          <w:szCs w:val="24"/>
        </w:rPr>
        <w:t>s</w:t>
      </w:r>
      <w:r w:rsidR="004F1CE1" w:rsidRPr="00614CCE">
        <w:rPr>
          <w:szCs w:val="24"/>
        </w:rPr>
        <w:t xml:space="preserve"> misspellings or</w:t>
      </w:r>
      <w:r w:rsidR="00614CCE">
        <w:rPr>
          <w:szCs w:val="24"/>
        </w:rPr>
        <w:t xml:space="preserve"> </w:t>
      </w:r>
      <w:r w:rsidR="004F1CE1" w:rsidRPr="00614CCE">
        <w:rPr>
          <w:szCs w:val="24"/>
        </w:rPr>
        <w:t>appear</w:t>
      </w:r>
      <w:r w:rsidR="00614CCE">
        <w:rPr>
          <w:szCs w:val="24"/>
        </w:rPr>
        <w:t>s</w:t>
      </w:r>
      <w:r w:rsidR="004F1CE1" w:rsidRPr="00614CCE">
        <w:rPr>
          <w:szCs w:val="24"/>
        </w:rPr>
        <w:t xml:space="preserve"> different from the standard label</w:t>
      </w:r>
      <w:r w:rsidR="00CE7FA5" w:rsidRPr="00614CCE">
        <w:rPr>
          <w:szCs w:val="24"/>
        </w:rPr>
        <w:t xml:space="preserve"> for that product</w:t>
      </w:r>
      <w:r w:rsidR="00DE5C16">
        <w:rPr>
          <w:szCs w:val="24"/>
        </w:rPr>
        <w:t xml:space="preserve"> in color, font, images</w:t>
      </w:r>
      <w:r w:rsidR="00ED40A7">
        <w:rPr>
          <w:szCs w:val="24"/>
        </w:rPr>
        <w:t>,</w:t>
      </w:r>
      <w:r w:rsidR="00DE5C16">
        <w:rPr>
          <w:szCs w:val="24"/>
        </w:rPr>
        <w:t xml:space="preserve"> or otherwise</w:t>
      </w:r>
      <w:r w:rsidR="003112B8">
        <w:rPr>
          <w:szCs w:val="24"/>
        </w:rPr>
        <w:t>)</w:t>
      </w:r>
      <w:r w:rsidR="00A31D4E">
        <w:rPr>
          <w:szCs w:val="24"/>
        </w:rPr>
        <w:t>.</w:t>
      </w:r>
    </w:p>
    <w:p w:rsidR="00D52FF4" w:rsidRDefault="00D52FF4" w:rsidP="001C3AF0">
      <w:pPr>
        <w:ind w:left="1440"/>
        <w:rPr>
          <w:szCs w:val="24"/>
        </w:rPr>
      </w:pPr>
    </w:p>
    <w:p w:rsidR="00D52FF4" w:rsidRDefault="00D52FF4" w:rsidP="00897AC5">
      <w:pPr>
        <w:numPr>
          <w:ilvl w:val="0"/>
          <w:numId w:val="6"/>
        </w:numPr>
        <w:ind w:hanging="720"/>
        <w:rPr>
          <w:szCs w:val="24"/>
        </w:rPr>
      </w:pPr>
      <w:r>
        <w:rPr>
          <w:szCs w:val="24"/>
        </w:rPr>
        <w:t>Package that exhibit</w:t>
      </w:r>
      <w:r w:rsidR="0012503B">
        <w:rPr>
          <w:szCs w:val="24"/>
        </w:rPr>
        <w:t>s</w:t>
      </w:r>
      <w:r>
        <w:rPr>
          <w:szCs w:val="24"/>
        </w:rPr>
        <w:t xml:space="preserve"> unusual or excessive adhesive residues.</w:t>
      </w:r>
    </w:p>
    <w:p w:rsidR="00E8521D" w:rsidRPr="00614CCE" w:rsidRDefault="00E8521D" w:rsidP="00E8521D">
      <w:pPr>
        <w:ind w:left="1440"/>
        <w:rPr>
          <w:szCs w:val="24"/>
        </w:rPr>
      </w:pPr>
    </w:p>
    <w:p w:rsidR="00614CCE" w:rsidRDefault="001D1E68" w:rsidP="00897AC5">
      <w:pPr>
        <w:numPr>
          <w:ilvl w:val="0"/>
          <w:numId w:val="6"/>
        </w:numPr>
        <w:ind w:hanging="720"/>
        <w:rPr>
          <w:szCs w:val="24"/>
        </w:rPr>
      </w:pPr>
      <w:r>
        <w:rPr>
          <w:szCs w:val="24"/>
        </w:rPr>
        <w:t>P</w:t>
      </w:r>
      <w:r w:rsidR="004F1CE1" w:rsidRPr="004F1CE1">
        <w:rPr>
          <w:szCs w:val="24"/>
        </w:rPr>
        <w:t>ackag</w:t>
      </w:r>
      <w:r w:rsidR="007415C2">
        <w:rPr>
          <w:szCs w:val="24"/>
        </w:rPr>
        <w:t>e</w:t>
      </w:r>
      <w:r w:rsidR="004F1CE1" w:rsidRPr="004F1CE1">
        <w:rPr>
          <w:szCs w:val="24"/>
        </w:rPr>
        <w:t xml:space="preserve"> </w:t>
      </w:r>
      <w:r w:rsidR="00F20C5D">
        <w:rPr>
          <w:szCs w:val="24"/>
        </w:rPr>
        <w:t xml:space="preserve">that </w:t>
      </w:r>
      <w:r w:rsidR="00B23FA8">
        <w:rPr>
          <w:szCs w:val="24"/>
        </w:rPr>
        <w:t>contains</w:t>
      </w:r>
      <w:r w:rsidR="004F1CE1" w:rsidRPr="004F1CE1">
        <w:rPr>
          <w:szCs w:val="24"/>
        </w:rPr>
        <w:t xml:space="preserve"> </w:t>
      </w:r>
      <w:r w:rsidR="00104BA3">
        <w:rPr>
          <w:szCs w:val="24"/>
        </w:rPr>
        <w:t>f</w:t>
      </w:r>
      <w:r w:rsidR="00E9671E">
        <w:rPr>
          <w:szCs w:val="24"/>
        </w:rPr>
        <w:t>oreign</w:t>
      </w:r>
      <w:r w:rsidR="004F1CE1" w:rsidRPr="004F1CE1">
        <w:rPr>
          <w:szCs w:val="24"/>
        </w:rPr>
        <w:t xml:space="preserve"> </w:t>
      </w:r>
      <w:r w:rsidR="00B23FA8">
        <w:rPr>
          <w:szCs w:val="24"/>
        </w:rPr>
        <w:t>identification features</w:t>
      </w:r>
      <w:r w:rsidR="00E9671E">
        <w:rPr>
          <w:szCs w:val="24"/>
        </w:rPr>
        <w:t xml:space="preserve"> </w:t>
      </w:r>
      <w:r w:rsidR="00B23FA8">
        <w:rPr>
          <w:szCs w:val="24"/>
        </w:rPr>
        <w:t>(</w:t>
      </w:r>
      <w:r w:rsidR="004F1CE1" w:rsidRPr="004F1CE1">
        <w:rPr>
          <w:szCs w:val="24"/>
        </w:rPr>
        <w:t xml:space="preserve">such as a different drug identification number </w:t>
      </w:r>
      <w:r w:rsidR="004F5CF4">
        <w:rPr>
          <w:szCs w:val="24"/>
        </w:rPr>
        <w:t>where a</w:t>
      </w:r>
      <w:r w:rsidR="004F1CE1" w:rsidRPr="004F1CE1">
        <w:rPr>
          <w:szCs w:val="24"/>
        </w:rPr>
        <w:t xml:space="preserve"> </w:t>
      </w:r>
      <w:r w:rsidR="00116DA8">
        <w:rPr>
          <w:szCs w:val="24"/>
        </w:rPr>
        <w:t>National Drug Code (</w:t>
      </w:r>
      <w:r w:rsidR="004F1CE1" w:rsidRPr="004F1CE1">
        <w:rPr>
          <w:szCs w:val="24"/>
        </w:rPr>
        <w:t>NDC</w:t>
      </w:r>
      <w:r w:rsidR="00116DA8">
        <w:rPr>
          <w:szCs w:val="24"/>
        </w:rPr>
        <w:t>)</w:t>
      </w:r>
      <w:r w:rsidR="009F6E8D">
        <w:rPr>
          <w:szCs w:val="24"/>
        </w:rPr>
        <w:t xml:space="preserve"> number</w:t>
      </w:r>
      <w:r w:rsidR="00751633">
        <w:rPr>
          <w:szCs w:val="24"/>
        </w:rPr>
        <w:t xml:space="preserve"> </w:t>
      </w:r>
      <w:r w:rsidR="004F5CF4">
        <w:rPr>
          <w:szCs w:val="24"/>
        </w:rPr>
        <w:t>would be expected</w:t>
      </w:r>
      <w:r w:rsidR="002A46E4">
        <w:rPr>
          <w:szCs w:val="24"/>
        </w:rPr>
        <w:t>)</w:t>
      </w:r>
      <w:r w:rsidR="00A31D4E">
        <w:rPr>
          <w:szCs w:val="24"/>
        </w:rPr>
        <w:t>.</w:t>
      </w:r>
    </w:p>
    <w:p w:rsidR="00E8521D" w:rsidRDefault="00E8521D" w:rsidP="00E8521D">
      <w:pPr>
        <w:rPr>
          <w:szCs w:val="24"/>
        </w:rPr>
      </w:pPr>
    </w:p>
    <w:p w:rsidR="00072068" w:rsidRDefault="001D1E68" w:rsidP="00897AC5">
      <w:pPr>
        <w:numPr>
          <w:ilvl w:val="0"/>
          <w:numId w:val="6"/>
        </w:numPr>
        <w:ind w:hanging="720"/>
        <w:rPr>
          <w:szCs w:val="24"/>
        </w:rPr>
      </w:pPr>
      <w:r>
        <w:rPr>
          <w:szCs w:val="24"/>
        </w:rPr>
        <w:t>P</w:t>
      </w:r>
      <w:r w:rsidR="004F1CE1" w:rsidRPr="004F1CE1">
        <w:rPr>
          <w:szCs w:val="24"/>
        </w:rPr>
        <w:t>ackag</w:t>
      </w:r>
      <w:r w:rsidR="007415C2">
        <w:rPr>
          <w:szCs w:val="24"/>
        </w:rPr>
        <w:t>e</w:t>
      </w:r>
      <w:r w:rsidR="004F1CE1" w:rsidRPr="004F1CE1">
        <w:rPr>
          <w:szCs w:val="24"/>
        </w:rPr>
        <w:t xml:space="preserve"> </w:t>
      </w:r>
      <w:r w:rsidR="00F20C5D">
        <w:rPr>
          <w:szCs w:val="24"/>
        </w:rPr>
        <w:t xml:space="preserve">that </w:t>
      </w:r>
      <w:r w:rsidR="004F1CE1" w:rsidRPr="004F1CE1">
        <w:rPr>
          <w:szCs w:val="24"/>
        </w:rPr>
        <w:t>is missing information, such as the lot number</w:t>
      </w:r>
      <w:r w:rsidR="00DE5C16">
        <w:rPr>
          <w:szCs w:val="24"/>
        </w:rPr>
        <w:t xml:space="preserve"> or other lot identification, </w:t>
      </w:r>
      <w:r w:rsidR="004F1CE1" w:rsidRPr="004F1CE1">
        <w:rPr>
          <w:szCs w:val="24"/>
        </w:rPr>
        <w:t>or the expiration date</w:t>
      </w:r>
      <w:bookmarkStart w:id="19" w:name="_Toc462221111"/>
      <w:bookmarkStart w:id="20" w:name="_Toc505081169"/>
      <w:bookmarkStart w:id="21" w:name="_Toc505081775"/>
      <w:bookmarkStart w:id="22" w:name="_Toc505082046"/>
      <w:r w:rsidR="00A31D4E">
        <w:rPr>
          <w:szCs w:val="24"/>
        </w:rPr>
        <w:t>.</w:t>
      </w:r>
    </w:p>
    <w:p w:rsidR="00EB6301" w:rsidRDefault="00EB6301" w:rsidP="00EB6301">
      <w:pPr>
        <w:rPr>
          <w:szCs w:val="24"/>
        </w:rPr>
      </w:pPr>
    </w:p>
    <w:p w:rsidR="00522F4F" w:rsidRPr="00E8521D" w:rsidRDefault="00B90315" w:rsidP="00897AC5">
      <w:pPr>
        <w:numPr>
          <w:ilvl w:val="0"/>
          <w:numId w:val="1"/>
        </w:numPr>
        <w:ind w:left="1440" w:hanging="720"/>
        <w:rPr>
          <w:szCs w:val="24"/>
        </w:rPr>
      </w:pPr>
      <w:r w:rsidRPr="007415C2">
        <w:rPr>
          <w:szCs w:val="24"/>
        </w:rPr>
        <w:t>Packag</w:t>
      </w:r>
      <w:r w:rsidR="007415C2" w:rsidRPr="007415C2">
        <w:rPr>
          <w:szCs w:val="24"/>
        </w:rPr>
        <w:t>e</w:t>
      </w:r>
      <w:r w:rsidRPr="007415C2">
        <w:rPr>
          <w:szCs w:val="24"/>
        </w:rPr>
        <w:t xml:space="preserve"> </w:t>
      </w:r>
      <w:r w:rsidR="00F20C5D">
        <w:rPr>
          <w:szCs w:val="24"/>
        </w:rPr>
        <w:t xml:space="preserve">that </w:t>
      </w:r>
      <w:r w:rsidRPr="007415C2">
        <w:rPr>
          <w:szCs w:val="24"/>
        </w:rPr>
        <w:t>is m</w:t>
      </w:r>
      <w:r w:rsidR="00522F4F" w:rsidRPr="007415C2">
        <w:rPr>
          <w:szCs w:val="24"/>
        </w:rPr>
        <w:t xml:space="preserve">issing </w:t>
      </w:r>
      <w:r w:rsidR="00D52FF4">
        <w:rPr>
          <w:szCs w:val="24"/>
        </w:rPr>
        <w:t xml:space="preserve">security or </w:t>
      </w:r>
      <w:r w:rsidR="00522F4F" w:rsidRPr="007415C2">
        <w:rPr>
          <w:szCs w:val="24"/>
        </w:rPr>
        <w:t xml:space="preserve">anti-counterfeiting technologies </w:t>
      </w:r>
      <w:r w:rsidR="00AA41B7">
        <w:rPr>
          <w:szCs w:val="24"/>
        </w:rPr>
        <w:t>normally featured</w:t>
      </w:r>
      <w:r w:rsidR="00B84FF1">
        <w:rPr>
          <w:szCs w:val="24"/>
        </w:rPr>
        <w:t xml:space="preserve"> on the FDA-approved </w:t>
      </w:r>
      <w:r w:rsidR="007415C2">
        <w:rPr>
          <w:szCs w:val="24"/>
        </w:rPr>
        <w:t xml:space="preserve">product </w:t>
      </w:r>
      <w:r w:rsidR="00522F4F" w:rsidRPr="007415C2">
        <w:rPr>
          <w:szCs w:val="24"/>
        </w:rPr>
        <w:t>that are easily visible to the eye</w:t>
      </w:r>
      <w:r w:rsidR="00AD3CC3">
        <w:rPr>
          <w:szCs w:val="24"/>
        </w:rPr>
        <w:t>,</w:t>
      </w:r>
      <w:r w:rsidR="00522F4F" w:rsidRPr="007415C2">
        <w:rPr>
          <w:szCs w:val="24"/>
        </w:rPr>
        <w:t xml:space="preserve"> </w:t>
      </w:r>
      <w:r w:rsidR="003112B8">
        <w:rPr>
          <w:szCs w:val="24"/>
        </w:rPr>
        <w:t>such as</w:t>
      </w:r>
      <w:r w:rsidR="00522F4F" w:rsidRPr="007415C2">
        <w:rPr>
          <w:szCs w:val="24"/>
        </w:rPr>
        <w:t xml:space="preserve"> </w:t>
      </w:r>
      <w:r w:rsidR="00522F4F" w:rsidRPr="007415C2">
        <w:rPr>
          <w:szCs w:val="24"/>
          <w:lang w:val="en"/>
        </w:rPr>
        <w:t xml:space="preserve">holograms, color shifting inks, </w:t>
      </w:r>
      <w:r w:rsidR="00D52FF4">
        <w:rPr>
          <w:szCs w:val="24"/>
          <w:lang w:val="en"/>
        </w:rPr>
        <w:t xml:space="preserve">neckbands </w:t>
      </w:r>
      <w:r w:rsidR="00522F4F" w:rsidRPr="007415C2">
        <w:rPr>
          <w:szCs w:val="24"/>
          <w:lang w:val="en"/>
        </w:rPr>
        <w:t>or watermarks</w:t>
      </w:r>
      <w:r w:rsidR="00A31D4E">
        <w:rPr>
          <w:szCs w:val="24"/>
          <w:lang w:val="en"/>
        </w:rPr>
        <w:t>.</w:t>
      </w:r>
    </w:p>
    <w:p w:rsidR="00E8521D" w:rsidRDefault="00E8521D" w:rsidP="00E8521D">
      <w:pPr>
        <w:ind w:left="1440"/>
        <w:rPr>
          <w:szCs w:val="24"/>
        </w:rPr>
      </w:pPr>
    </w:p>
    <w:p w:rsidR="00E9671E" w:rsidRDefault="00E9671E" w:rsidP="00897AC5">
      <w:pPr>
        <w:numPr>
          <w:ilvl w:val="0"/>
          <w:numId w:val="1"/>
        </w:numPr>
        <w:ind w:left="1440" w:hanging="720"/>
        <w:rPr>
          <w:szCs w:val="24"/>
        </w:rPr>
      </w:pPr>
      <w:r w:rsidRPr="007415C2">
        <w:rPr>
          <w:szCs w:val="24"/>
        </w:rPr>
        <w:t xml:space="preserve">Finished dosage form </w:t>
      </w:r>
      <w:r w:rsidR="00F20C5D">
        <w:rPr>
          <w:szCs w:val="24"/>
        </w:rPr>
        <w:t xml:space="preserve">that </w:t>
      </w:r>
      <w:r w:rsidRPr="007415C2">
        <w:rPr>
          <w:szCs w:val="24"/>
        </w:rPr>
        <w:t>seems suspicious</w:t>
      </w:r>
      <w:r w:rsidR="002348DD">
        <w:rPr>
          <w:szCs w:val="24"/>
        </w:rPr>
        <w:t xml:space="preserve"> </w:t>
      </w:r>
      <w:r w:rsidR="003112B8">
        <w:rPr>
          <w:szCs w:val="24"/>
        </w:rPr>
        <w:t>(</w:t>
      </w:r>
      <w:r w:rsidRPr="007415C2">
        <w:rPr>
          <w:szCs w:val="24"/>
        </w:rPr>
        <w:t>e.g.</w:t>
      </w:r>
      <w:r w:rsidR="00FB4C8A">
        <w:rPr>
          <w:szCs w:val="24"/>
        </w:rPr>
        <w:t>,</w:t>
      </w:r>
      <w:r w:rsidRPr="007415C2">
        <w:rPr>
          <w:szCs w:val="24"/>
        </w:rPr>
        <w:t xml:space="preserve"> it has a different shape or color from the </w:t>
      </w:r>
      <w:r w:rsidR="00B84FF1">
        <w:rPr>
          <w:szCs w:val="24"/>
        </w:rPr>
        <w:t xml:space="preserve">FDA-approved </w:t>
      </w:r>
      <w:r w:rsidRPr="007415C2">
        <w:rPr>
          <w:szCs w:val="24"/>
        </w:rPr>
        <w:t xml:space="preserve">product, </w:t>
      </w:r>
      <w:r w:rsidRPr="00B84FF1">
        <w:rPr>
          <w:szCs w:val="24"/>
        </w:rPr>
        <w:t>a different or unusual imprint,  an unusual odor, or there are signs of poor quality like chips or cracks in tablet coatings or smeared or unclear ink imprints</w:t>
      </w:r>
      <w:r w:rsidR="003112B8">
        <w:rPr>
          <w:szCs w:val="24"/>
        </w:rPr>
        <w:t>)</w:t>
      </w:r>
      <w:r w:rsidR="00A31D4E">
        <w:rPr>
          <w:szCs w:val="24"/>
        </w:rPr>
        <w:t>.</w:t>
      </w:r>
    </w:p>
    <w:p w:rsidR="00E8521D" w:rsidRPr="00B84FF1" w:rsidRDefault="00E8521D" w:rsidP="00E8521D">
      <w:pPr>
        <w:rPr>
          <w:szCs w:val="24"/>
        </w:rPr>
      </w:pPr>
    </w:p>
    <w:p w:rsidR="00072068" w:rsidRDefault="00FF6BCB" w:rsidP="00897AC5">
      <w:pPr>
        <w:pStyle w:val="Heading2"/>
        <w:numPr>
          <w:ilvl w:val="0"/>
          <w:numId w:val="9"/>
        </w:numPr>
        <w:ind w:left="1440" w:hanging="720"/>
      </w:pPr>
      <w:bookmarkStart w:id="23" w:name="_Toc407020507"/>
      <w:r w:rsidRPr="004F1CE1">
        <w:t xml:space="preserve">Recommendations on </w:t>
      </w:r>
      <w:r w:rsidR="00ED40A7">
        <w:t>H</w:t>
      </w:r>
      <w:r w:rsidRPr="004F1CE1">
        <w:t xml:space="preserve">ow </w:t>
      </w:r>
      <w:r w:rsidR="00ED40A7">
        <w:t>T</w:t>
      </w:r>
      <w:r w:rsidRPr="004F1CE1">
        <w:t xml:space="preserve">rading </w:t>
      </w:r>
      <w:r w:rsidR="00ED40A7">
        <w:t>P</w:t>
      </w:r>
      <w:r w:rsidRPr="004F1CE1">
        <w:t xml:space="preserve">artners </w:t>
      </w:r>
      <w:r w:rsidR="00ED40A7">
        <w:t>Might</w:t>
      </w:r>
      <w:r w:rsidRPr="004F1CE1">
        <w:t xml:space="preserve"> </w:t>
      </w:r>
      <w:r w:rsidR="00ED40A7">
        <w:t>I</w:t>
      </w:r>
      <w:r w:rsidRPr="004F1CE1">
        <w:t xml:space="preserve">dentify </w:t>
      </w:r>
      <w:r w:rsidR="00ED40A7">
        <w:t>S</w:t>
      </w:r>
      <w:r w:rsidRPr="004F1CE1">
        <w:t>u</w:t>
      </w:r>
      <w:r w:rsidR="002D2AFC">
        <w:t>spect</w:t>
      </w:r>
      <w:r w:rsidRPr="004F1CE1">
        <w:t xml:space="preserve"> </w:t>
      </w:r>
      <w:r w:rsidR="00ED40A7">
        <w:t>P</w:t>
      </w:r>
      <w:r w:rsidRPr="004F1CE1">
        <w:t xml:space="preserve">roduct and </w:t>
      </w:r>
      <w:r w:rsidR="00ED40A7">
        <w:t>Determine W</w:t>
      </w:r>
      <w:r w:rsidRPr="004F1CE1">
        <w:t xml:space="preserve">hether the </w:t>
      </w:r>
      <w:r w:rsidR="00ED40A7">
        <w:t>P</w:t>
      </w:r>
      <w:r w:rsidRPr="004F1CE1">
        <w:t xml:space="preserve">roduct </w:t>
      </w:r>
      <w:r w:rsidR="00ED40A7">
        <w:t>I</w:t>
      </w:r>
      <w:r w:rsidRPr="004F1CE1">
        <w:t xml:space="preserve">s a </w:t>
      </w:r>
      <w:r w:rsidR="00ED40A7">
        <w:t>S</w:t>
      </w:r>
      <w:r w:rsidRPr="004F1CE1">
        <w:t xml:space="preserve">uspect </w:t>
      </w:r>
      <w:r w:rsidR="00635E67">
        <w:t>P</w:t>
      </w:r>
      <w:r w:rsidRPr="004F1CE1">
        <w:t xml:space="preserve">roduct as </w:t>
      </w:r>
      <w:r w:rsidR="00ED40A7">
        <w:t>S</w:t>
      </w:r>
      <w:r w:rsidRPr="004F1CE1">
        <w:t xml:space="preserve">oon as </w:t>
      </w:r>
      <w:r w:rsidR="00ED40A7">
        <w:t>P</w:t>
      </w:r>
      <w:r w:rsidRPr="004F1CE1">
        <w:t>racticable</w:t>
      </w:r>
      <w:bookmarkEnd w:id="19"/>
      <w:bookmarkEnd w:id="20"/>
      <w:bookmarkEnd w:id="21"/>
      <w:bookmarkEnd w:id="22"/>
      <w:bookmarkEnd w:id="23"/>
    </w:p>
    <w:p w:rsidR="00703E0C" w:rsidRPr="00703E0C" w:rsidRDefault="00703E0C" w:rsidP="00703E0C">
      <w:pPr>
        <w:ind w:left="2520"/>
      </w:pPr>
    </w:p>
    <w:p w:rsidR="004F1CE1" w:rsidRPr="00CD6D28" w:rsidRDefault="004F1CE1" w:rsidP="00CD6D28">
      <w:pPr>
        <w:rPr>
          <w:szCs w:val="24"/>
        </w:rPr>
      </w:pPr>
      <w:bookmarkStart w:id="24" w:name="_Toc462221113"/>
      <w:bookmarkStart w:id="25" w:name="_Toc505081171"/>
      <w:bookmarkStart w:id="26" w:name="_Toc505081777"/>
      <w:bookmarkStart w:id="27" w:name="_Toc505082048"/>
      <w:r w:rsidRPr="00CD6D28">
        <w:rPr>
          <w:szCs w:val="24"/>
        </w:rPr>
        <w:t xml:space="preserve">The following are recommendations for trading partners on </w:t>
      </w:r>
      <w:r w:rsidR="000E6810" w:rsidRPr="00CD6D28">
        <w:rPr>
          <w:szCs w:val="24"/>
        </w:rPr>
        <w:t>ways that they can expeditiously</w:t>
      </w:r>
      <w:r w:rsidRPr="00CD6D28">
        <w:rPr>
          <w:szCs w:val="24"/>
        </w:rPr>
        <w:t xml:space="preserve"> identify suspect product and </w:t>
      </w:r>
      <w:r w:rsidR="00ED40A7" w:rsidRPr="00CD6D28">
        <w:rPr>
          <w:szCs w:val="24"/>
        </w:rPr>
        <w:t>determine</w:t>
      </w:r>
      <w:r w:rsidRPr="00CD6D28">
        <w:rPr>
          <w:szCs w:val="24"/>
        </w:rPr>
        <w:t xml:space="preserve"> whether the product is </w:t>
      </w:r>
      <w:r w:rsidR="00587B3C" w:rsidRPr="00FF6657">
        <w:rPr>
          <w:szCs w:val="24"/>
        </w:rPr>
        <w:t>suspect</w:t>
      </w:r>
      <w:r w:rsidR="00FF6657" w:rsidRPr="00FF6657">
        <w:rPr>
          <w:szCs w:val="24"/>
        </w:rPr>
        <w:t xml:space="preserve"> (</w:t>
      </w:r>
      <w:r w:rsidR="00FF6657" w:rsidRPr="00653D78">
        <w:rPr>
          <w:szCs w:val="24"/>
        </w:rPr>
        <w:t>and, after investigation, whether it is illegitimate).</w:t>
      </w:r>
      <w:r w:rsidR="005D4207" w:rsidRPr="00CD6D28">
        <w:rPr>
          <w:szCs w:val="24"/>
        </w:rPr>
        <w:t>.</w:t>
      </w:r>
      <w:r w:rsidR="00E75F38" w:rsidRPr="00CD6D28">
        <w:rPr>
          <w:szCs w:val="24"/>
        </w:rPr>
        <w:t xml:space="preserve">  </w:t>
      </w:r>
      <w:r w:rsidR="00A3507D" w:rsidRPr="00CD6D28">
        <w:rPr>
          <w:szCs w:val="24"/>
        </w:rPr>
        <w:t>In general, trading partners should exercise due diligence when conducting business</w:t>
      </w:r>
      <w:r w:rsidR="00312683">
        <w:rPr>
          <w:szCs w:val="24"/>
        </w:rPr>
        <w:t xml:space="preserve"> and should confirm that all trading partners are authorized</w:t>
      </w:r>
      <w:r w:rsidR="00A3507D" w:rsidRPr="00CD6D28">
        <w:rPr>
          <w:szCs w:val="24"/>
        </w:rPr>
        <w:t xml:space="preserve">. </w:t>
      </w:r>
      <w:r w:rsidR="00E75F38" w:rsidRPr="00CD6D28">
        <w:rPr>
          <w:szCs w:val="24"/>
        </w:rPr>
        <w:t xml:space="preserve">Trading partners should discuss with </w:t>
      </w:r>
      <w:r w:rsidR="00591FC8" w:rsidRPr="00CD6D28">
        <w:rPr>
          <w:szCs w:val="24"/>
        </w:rPr>
        <w:t xml:space="preserve">each </w:t>
      </w:r>
      <w:r w:rsidR="00E75F38" w:rsidRPr="00CD6D28">
        <w:rPr>
          <w:szCs w:val="24"/>
        </w:rPr>
        <w:t>other any observations, questions</w:t>
      </w:r>
      <w:r w:rsidR="00A31D4E" w:rsidRPr="00CD6D28">
        <w:rPr>
          <w:szCs w:val="24"/>
        </w:rPr>
        <w:t>,</w:t>
      </w:r>
      <w:r w:rsidR="00E75F38" w:rsidRPr="00CD6D28">
        <w:rPr>
          <w:szCs w:val="24"/>
        </w:rPr>
        <w:t xml:space="preserve"> or concerns they have related to the status of a drug as a suspect product to aid them in </w:t>
      </w:r>
      <w:r w:rsidR="00ED40A7" w:rsidRPr="00CD6D28">
        <w:rPr>
          <w:szCs w:val="24"/>
        </w:rPr>
        <w:t>determining whether</w:t>
      </w:r>
      <w:r w:rsidR="00E75F38" w:rsidRPr="00CD6D28">
        <w:rPr>
          <w:szCs w:val="24"/>
        </w:rPr>
        <w:t xml:space="preserve"> the drug should be considered a suspect product.  Trading partners should also contact regulatory authorities, law enforcement</w:t>
      </w:r>
      <w:r w:rsidR="00A31D4E" w:rsidRPr="00CD6D28">
        <w:rPr>
          <w:szCs w:val="24"/>
        </w:rPr>
        <w:t>,</w:t>
      </w:r>
      <w:r w:rsidR="00E75F38" w:rsidRPr="00CD6D28">
        <w:rPr>
          <w:szCs w:val="24"/>
        </w:rPr>
        <w:t xml:space="preserve"> </w:t>
      </w:r>
      <w:r w:rsidR="00751633">
        <w:rPr>
          <w:szCs w:val="24"/>
        </w:rPr>
        <w:t xml:space="preserve">the drug’s manufacturer </w:t>
      </w:r>
      <w:r w:rsidR="00E75F38" w:rsidRPr="00CD6D28">
        <w:rPr>
          <w:szCs w:val="24"/>
        </w:rPr>
        <w:t xml:space="preserve">or other available resources to aid in that determination </w:t>
      </w:r>
      <w:r w:rsidR="00715074" w:rsidRPr="00CD6D28">
        <w:rPr>
          <w:szCs w:val="24"/>
        </w:rPr>
        <w:t>when</w:t>
      </w:r>
      <w:r w:rsidR="00E75F38" w:rsidRPr="00CD6D28">
        <w:rPr>
          <w:szCs w:val="24"/>
        </w:rPr>
        <w:t xml:space="preserve"> additional expertise </w:t>
      </w:r>
      <w:r w:rsidR="00715074" w:rsidRPr="00CD6D28">
        <w:rPr>
          <w:szCs w:val="24"/>
        </w:rPr>
        <w:t>is</w:t>
      </w:r>
      <w:r w:rsidR="00E75F38" w:rsidRPr="00CD6D28">
        <w:rPr>
          <w:szCs w:val="24"/>
        </w:rPr>
        <w:t xml:space="preserve"> </w:t>
      </w:r>
      <w:r w:rsidR="00ED40A7" w:rsidRPr="00CD6D28">
        <w:rPr>
          <w:szCs w:val="24"/>
        </w:rPr>
        <w:t>called for</w:t>
      </w:r>
      <w:r w:rsidR="00E75F38" w:rsidRPr="00CD6D28">
        <w:rPr>
          <w:szCs w:val="24"/>
        </w:rPr>
        <w:t xml:space="preserve"> </w:t>
      </w:r>
      <w:r w:rsidR="00715074" w:rsidRPr="00CD6D28">
        <w:rPr>
          <w:szCs w:val="24"/>
        </w:rPr>
        <w:t>to</w:t>
      </w:r>
      <w:r w:rsidR="00E75F38" w:rsidRPr="00CD6D28">
        <w:rPr>
          <w:szCs w:val="24"/>
        </w:rPr>
        <w:t xml:space="preserve"> mak</w:t>
      </w:r>
      <w:r w:rsidR="00715074" w:rsidRPr="00CD6D28">
        <w:rPr>
          <w:szCs w:val="24"/>
        </w:rPr>
        <w:t>e</w:t>
      </w:r>
      <w:r w:rsidR="00E75F38" w:rsidRPr="00CD6D28">
        <w:rPr>
          <w:szCs w:val="24"/>
        </w:rPr>
        <w:t xml:space="preserve"> an accurate assessment of the status of a drug as a suspect product.</w:t>
      </w:r>
      <w:r w:rsidR="003112B8" w:rsidRPr="00CD6D28">
        <w:rPr>
          <w:szCs w:val="24"/>
        </w:rPr>
        <w:t xml:space="preserve">  </w:t>
      </w:r>
      <w:r w:rsidR="00CD6D28">
        <w:t xml:space="preserve">If a trading partner receives a product in a secured transport container or sealed homogenous case, trading partners should examine the appearance of that container as recommended below.  If trading partners observe anything suspicious, they should take steps to </w:t>
      </w:r>
      <w:r w:rsidR="00CD6D28">
        <w:lastRenderedPageBreak/>
        <w:t xml:space="preserve">ascertain whether the product inside the transport container is suspect.  </w:t>
      </w:r>
      <w:r w:rsidR="004F450E" w:rsidRPr="00CD6D28">
        <w:rPr>
          <w:szCs w:val="24"/>
        </w:rPr>
        <w:t>Strategies to identify suspect product include, but are not limited to, the following recommendations</w:t>
      </w:r>
      <w:r w:rsidR="003112B8" w:rsidRPr="00CD6D28">
        <w:rPr>
          <w:szCs w:val="24"/>
        </w:rPr>
        <w:t>:</w:t>
      </w:r>
    </w:p>
    <w:p w:rsidR="00703E0C" w:rsidRPr="004F1CE1" w:rsidRDefault="00703E0C" w:rsidP="00703E0C">
      <w:pPr>
        <w:rPr>
          <w:szCs w:val="24"/>
        </w:rPr>
      </w:pPr>
    </w:p>
    <w:p w:rsidR="004F1CE1" w:rsidRDefault="004F1CE1" w:rsidP="00897AC5">
      <w:pPr>
        <w:numPr>
          <w:ilvl w:val="0"/>
          <w:numId w:val="3"/>
        </w:numPr>
        <w:ind w:left="1440" w:hanging="720"/>
        <w:rPr>
          <w:szCs w:val="24"/>
        </w:rPr>
      </w:pPr>
      <w:r w:rsidRPr="004F1CE1">
        <w:rPr>
          <w:szCs w:val="24"/>
        </w:rPr>
        <w:t>Be alert for offers of product for sale at a very low price or one</w:t>
      </w:r>
      <w:r w:rsidR="00591FC8">
        <w:rPr>
          <w:szCs w:val="24"/>
        </w:rPr>
        <w:t xml:space="preserve"> that is</w:t>
      </w:r>
      <w:r w:rsidRPr="004F1CE1">
        <w:rPr>
          <w:szCs w:val="24"/>
        </w:rPr>
        <w:t xml:space="preserve"> </w:t>
      </w:r>
      <w:r w:rsidR="00591FC8">
        <w:rPr>
          <w:szCs w:val="24"/>
        </w:rPr>
        <w:t>“</w:t>
      </w:r>
      <w:r w:rsidRPr="004F1CE1">
        <w:rPr>
          <w:szCs w:val="24"/>
        </w:rPr>
        <w:t>too good to be true.</w:t>
      </w:r>
      <w:r w:rsidR="00591FC8">
        <w:rPr>
          <w:szCs w:val="24"/>
        </w:rPr>
        <w:t>”</w:t>
      </w:r>
    </w:p>
    <w:p w:rsidR="00B4241F" w:rsidRDefault="00B4241F" w:rsidP="00B4241F">
      <w:pPr>
        <w:ind w:left="1440"/>
        <w:rPr>
          <w:szCs w:val="24"/>
        </w:rPr>
      </w:pPr>
    </w:p>
    <w:p w:rsidR="004F1CE1" w:rsidRPr="004F1CE1" w:rsidRDefault="004F1CE1" w:rsidP="00897AC5">
      <w:pPr>
        <w:numPr>
          <w:ilvl w:val="0"/>
          <w:numId w:val="3"/>
        </w:numPr>
        <w:ind w:left="1440" w:hanging="720"/>
        <w:rPr>
          <w:szCs w:val="24"/>
        </w:rPr>
      </w:pPr>
      <w:r w:rsidRPr="004F1CE1">
        <w:rPr>
          <w:szCs w:val="24"/>
        </w:rPr>
        <w:t xml:space="preserve">Closely examine </w:t>
      </w:r>
      <w:r w:rsidR="00E0370F">
        <w:rPr>
          <w:szCs w:val="24"/>
        </w:rPr>
        <w:t xml:space="preserve">the package </w:t>
      </w:r>
      <w:r w:rsidR="00ED40A7">
        <w:rPr>
          <w:szCs w:val="24"/>
        </w:rPr>
        <w:t>and</w:t>
      </w:r>
      <w:r w:rsidR="008D57FC">
        <w:rPr>
          <w:szCs w:val="24"/>
        </w:rPr>
        <w:t xml:space="preserve"> the</w:t>
      </w:r>
      <w:r w:rsidRPr="004F1CE1">
        <w:rPr>
          <w:szCs w:val="24"/>
        </w:rPr>
        <w:t xml:space="preserve"> transport </w:t>
      </w:r>
      <w:r w:rsidR="007415C2">
        <w:rPr>
          <w:szCs w:val="24"/>
        </w:rPr>
        <w:t>container</w:t>
      </w:r>
      <w:r w:rsidRPr="004F1CE1">
        <w:rPr>
          <w:szCs w:val="24"/>
        </w:rPr>
        <w:t xml:space="preserve"> (such as the case or tote</w:t>
      </w:r>
      <w:r w:rsidR="00202A87">
        <w:rPr>
          <w:szCs w:val="24"/>
        </w:rPr>
        <w:t>)</w:t>
      </w:r>
      <w:r w:rsidRPr="004F1CE1">
        <w:rPr>
          <w:szCs w:val="24"/>
        </w:rPr>
        <w:t>:</w:t>
      </w:r>
    </w:p>
    <w:p w:rsidR="004F1CE1" w:rsidRPr="00CD6D28" w:rsidRDefault="000E6810" w:rsidP="00CD6D28">
      <w:pPr>
        <w:numPr>
          <w:ilvl w:val="1"/>
          <w:numId w:val="4"/>
        </w:numPr>
        <w:ind w:left="1800"/>
        <w:rPr>
          <w:szCs w:val="24"/>
        </w:rPr>
      </w:pPr>
      <w:r>
        <w:rPr>
          <w:szCs w:val="24"/>
        </w:rPr>
        <w:t>To look f</w:t>
      </w:r>
      <w:r w:rsidR="004F1CE1" w:rsidRPr="004F1CE1">
        <w:rPr>
          <w:szCs w:val="24"/>
        </w:rPr>
        <w:t xml:space="preserve">or signs that </w:t>
      </w:r>
      <w:r w:rsidR="00E978B6">
        <w:rPr>
          <w:szCs w:val="24"/>
        </w:rPr>
        <w:t xml:space="preserve">it </w:t>
      </w:r>
      <w:r w:rsidR="004F1CE1" w:rsidRPr="004F1CE1">
        <w:rPr>
          <w:szCs w:val="24"/>
        </w:rPr>
        <w:t xml:space="preserve">has been </w:t>
      </w:r>
      <w:r w:rsidR="00116DA8">
        <w:rPr>
          <w:szCs w:val="24"/>
        </w:rPr>
        <w:t>compromised</w:t>
      </w:r>
      <w:r w:rsidR="003112B8">
        <w:rPr>
          <w:szCs w:val="24"/>
        </w:rPr>
        <w:t xml:space="preserve"> (</w:t>
      </w:r>
      <w:r w:rsidR="00116DA8">
        <w:rPr>
          <w:szCs w:val="24"/>
        </w:rPr>
        <w:t>e.g.</w:t>
      </w:r>
      <w:r w:rsidR="00A31D4E">
        <w:rPr>
          <w:szCs w:val="24"/>
        </w:rPr>
        <w:t>,</w:t>
      </w:r>
      <w:r w:rsidR="00116DA8">
        <w:rPr>
          <w:szCs w:val="24"/>
        </w:rPr>
        <w:t xml:space="preserve"> opened, </w:t>
      </w:r>
      <w:r w:rsidR="004F1CE1" w:rsidRPr="004F1CE1">
        <w:rPr>
          <w:szCs w:val="24"/>
        </w:rPr>
        <w:t>broken seal, damaged, repaired</w:t>
      </w:r>
      <w:r w:rsidR="00A31D4E">
        <w:rPr>
          <w:szCs w:val="24"/>
        </w:rPr>
        <w:t>,</w:t>
      </w:r>
      <w:r w:rsidR="004F1CE1" w:rsidRPr="004F1CE1">
        <w:rPr>
          <w:szCs w:val="24"/>
        </w:rPr>
        <w:t xml:space="preserve"> or </w:t>
      </w:r>
      <w:r w:rsidR="00751633">
        <w:rPr>
          <w:szCs w:val="24"/>
        </w:rPr>
        <w:t xml:space="preserve">otherwise </w:t>
      </w:r>
      <w:r w:rsidR="004F1CE1" w:rsidRPr="004F1CE1">
        <w:rPr>
          <w:szCs w:val="24"/>
        </w:rPr>
        <w:t>altered</w:t>
      </w:r>
      <w:r w:rsidR="003112B8">
        <w:rPr>
          <w:szCs w:val="24"/>
        </w:rPr>
        <w:t>)</w:t>
      </w:r>
      <w:r w:rsidR="00A31D4E">
        <w:rPr>
          <w:szCs w:val="24"/>
        </w:rPr>
        <w:t>.</w:t>
      </w:r>
      <w:r w:rsidR="00CD6D28">
        <w:rPr>
          <w:szCs w:val="24"/>
        </w:rPr>
        <w:t xml:space="preserve">  </w:t>
      </w:r>
      <w:r w:rsidR="00CD6D28">
        <w:t xml:space="preserve">If a trading partner receives a product in a secured transport container or sealed homogenous case, trading partners should examine the appearance of that container to see if anything about that appearance seems suspicious, such as a shrink wrap that has unexpected markings, or a seal that is broken, torn, or repaired.  </w:t>
      </w:r>
    </w:p>
    <w:p w:rsidR="004F1CE1" w:rsidRDefault="004F1CE1" w:rsidP="00897AC5">
      <w:pPr>
        <w:numPr>
          <w:ilvl w:val="1"/>
          <w:numId w:val="4"/>
        </w:numPr>
        <w:ind w:left="1800"/>
        <w:rPr>
          <w:szCs w:val="24"/>
        </w:rPr>
      </w:pPr>
      <w:r w:rsidRPr="00FE64A4">
        <w:rPr>
          <w:szCs w:val="24"/>
        </w:rPr>
        <w:t xml:space="preserve">To see if </w:t>
      </w:r>
      <w:r w:rsidR="00A00F67">
        <w:rPr>
          <w:szCs w:val="24"/>
        </w:rPr>
        <w:t>the package or the transport container</w:t>
      </w:r>
      <w:r w:rsidR="00DA6AC9">
        <w:rPr>
          <w:szCs w:val="24"/>
        </w:rPr>
        <w:t xml:space="preserve"> </w:t>
      </w:r>
      <w:r w:rsidRPr="00FE64A4">
        <w:rPr>
          <w:szCs w:val="24"/>
        </w:rPr>
        <w:t xml:space="preserve">has changed since </w:t>
      </w:r>
      <w:r w:rsidR="00312683">
        <w:rPr>
          <w:szCs w:val="24"/>
        </w:rPr>
        <w:t>the last shipment of the same product type</w:t>
      </w:r>
      <w:r w:rsidRPr="00FE64A4">
        <w:rPr>
          <w:szCs w:val="24"/>
        </w:rPr>
        <w:t xml:space="preserve"> was received for an unexplained reason</w:t>
      </w:r>
      <w:r w:rsidR="00481C99">
        <w:rPr>
          <w:szCs w:val="24"/>
        </w:rPr>
        <w:t xml:space="preserve"> </w:t>
      </w:r>
      <w:r w:rsidR="003112B8">
        <w:rPr>
          <w:szCs w:val="24"/>
        </w:rPr>
        <w:t>(</w:t>
      </w:r>
      <w:r w:rsidR="00C42BFB" w:rsidRPr="00FE64A4">
        <w:rPr>
          <w:szCs w:val="24"/>
        </w:rPr>
        <w:t>e.g.</w:t>
      </w:r>
      <w:r w:rsidR="00A31D4E">
        <w:rPr>
          <w:szCs w:val="24"/>
        </w:rPr>
        <w:t>,</w:t>
      </w:r>
      <w:r w:rsidRPr="00FE64A4">
        <w:rPr>
          <w:szCs w:val="24"/>
        </w:rPr>
        <w:t xml:space="preserve"> a notification about the change from the manufacturer</w:t>
      </w:r>
      <w:r w:rsidR="00C42BFB" w:rsidRPr="00FE64A4">
        <w:rPr>
          <w:szCs w:val="24"/>
        </w:rPr>
        <w:t xml:space="preserve"> has not been received</w:t>
      </w:r>
      <w:r w:rsidR="003112B8">
        <w:rPr>
          <w:szCs w:val="24"/>
        </w:rPr>
        <w:t>)</w:t>
      </w:r>
      <w:r w:rsidR="00A31D4E">
        <w:rPr>
          <w:szCs w:val="24"/>
        </w:rPr>
        <w:t>.</w:t>
      </w:r>
    </w:p>
    <w:p w:rsidR="00DA75D4" w:rsidRPr="001C3AF0" w:rsidRDefault="0037283D" w:rsidP="00897AC5">
      <w:pPr>
        <w:numPr>
          <w:ilvl w:val="1"/>
          <w:numId w:val="4"/>
        </w:numPr>
        <w:ind w:left="1800"/>
      </w:pPr>
      <w:r>
        <w:rPr>
          <w:szCs w:val="24"/>
        </w:rPr>
        <w:t>To see if p</w:t>
      </w:r>
      <w:r w:rsidR="005277FB">
        <w:rPr>
          <w:szCs w:val="24"/>
        </w:rPr>
        <w:t>roduct</w:t>
      </w:r>
      <w:r w:rsidR="00B64554" w:rsidRPr="00FE64A4">
        <w:rPr>
          <w:szCs w:val="24"/>
        </w:rPr>
        <w:t xml:space="preserve"> inserts </w:t>
      </w:r>
      <w:r w:rsidR="00A31D4E">
        <w:rPr>
          <w:szCs w:val="24"/>
        </w:rPr>
        <w:t>are missing</w:t>
      </w:r>
      <w:r w:rsidR="00312683">
        <w:rPr>
          <w:szCs w:val="24"/>
        </w:rPr>
        <w:t>,</w:t>
      </w:r>
      <w:r w:rsidR="00A31D4E">
        <w:rPr>
          <w:szCs w:val="24"/>
        </w:rPr>
        <w:t xml:space="preserve"> </w:t>
      </w:r>
      <w:r w:rsidR="005277FB">
        <w:rPr>
          <w:szCs w:val="24"/>
        </w:rPr>
        <w:t>do not correspond</w:t>
      </w:r>
      <w:r w:rsidR="00B64554" w:rsidRPr="00FE64A4">
        <w:rPr>
          <w:szCs w:val="24"/>
        </w:rPr>
        <w:t xml:space="preserve"> to the product</w:t>
      </w:r>
      <w:r w:rsidR="00312683">
        <w:rPr>
          <w:szCs w:val="24"/>
        </w:rPr>
        <w:t>, or are suspicious in some way</w:t>
      </w:r>
      <w:r w:rsidR="00A31D4E">
        <w:rPr>
          <w:szCs w:val="24"/>
        </w:rPr>
        <w:t>.</w:t>
      </w:r>
    </w:p>
    <w:p w:rsidR="001C3AF0" w:rsidRPr="001C3AF0" w:rsidRDefault="001C3AF0" w:rsidP="00897AC5">
      <w:pPr>
        <w:numPr>
          <w:ilvl w:val="1"/>
          <w:numId w:val="4"/>
        </w:numPr>
        <w:ind w:left="1800"/>
      </w:pPr>
      <w:r>
        <w:t>For shipping addresses, postmarks, or other materials indicating that the product came from an unexpected foreign entity or source.</w:t>
      </w:r>
    </w:p>
    <w:p w:rsidR="00522F4F" w:rsidRPr="001C3AF0" w:rsidRDefault="00522F4F" w:rsidP="001C3AF0">
      <w:pPr>
        <w:rPr>
          <w:szCs w:val="24"/>
        </w:rPr>
      </w:pPr>
    </w:p>
    <w:p w:rsidR="00E0370F" w:rsidRPr="00FF377D" w:rsidRDefault="00E0370F" w:rsidP="00897AC5">
      <w:pPr>
        <w:numPr>
          <w:ilvl w:val="0"/>
          <w:numId w:val="3"/>
        </w:numPr>
        <w:ind w:left="1440" w:hanging="720"/>
        <w:rPr>
          <w:szCs w:val="24"/>
        </w:rPr>
      </w:pPr>
      <w:r w:rsidRPr="00FF377D">
        <w:rPr>
          <w:szCs w:val="24"/>
        </w:rPr>
        <w:t xml:space="preserve">Closely examine the label </w:t>
      </w:r>
      <w:r w:rsidR="00B84FF1">
        <w:rPr>
          <w:szCs w:val="24"/>
        </w:rPr>
        <w:t>on the</w:t>
      </w:r>
      <w:r>
        <w:rPr>
          <w:szCs w:val="24"/>
        </w:rPr>
        <w:t xml:space="preserve"> </w:t>
      </w:r>
      <w:r w:rsidR="00DA6AC9">
        <w:rPr>
          <w:szCs w:val="24"/>
        </w:rPr>
        <w:t>package</w:t>
      </w:r>
      <w:r w:rsidR="009C4399">
        <w:rPr>
          <w:szCs w:val="24"/>
        </w:rPr>
        <w:t xml:space="preserve">, </w:t>
      </w:r>
      <w:r w:rsidR="00312683">
        <w:rPr>
          <w:szCs w:val="24"/>
        </w:rPr>
        <w:t xml:space="preserve">and </w:t>
      </w:r>
      <w:r w:rsidR="009C4399">
        <w:rPr>
          <w:szCs w:val="24"/>
        </w:rPr>
        <w:t>the label on the individual retail unit,</w:t>
      </w:r>
      <w:r w:rsidR="00DA6AC9">
        <w:rPr>
          <w:szCs w:val="24"/>
        </w:rPr>
        <w:t xml:space="preserve"> if applicable</w:t>
      </w:r>
      <w:r w:rsidR="009C4399">
        <w:rPr>
          <w:szCs w:val="24"/>
        </w:rPr>
        <w:t>,</w:t>
      </w:r>
      <w:r w:rsidR="00DE653D">
        <w:rPr>
          <w:szCs w:val="24"/>
        </w:rPr>
        <w:t xml:space="preserve"> </w:t>
      </w:r>
      <w:r w:rsidRPr="00FF377D">
        <w:rPr>
          <w:szCs w:val="24"/>
        </w:rPr>
        <w:t>for:</w:t>
      </w:r>
    </w:p>
    <w:p w:rsidR="00E0370F" w:rsidRPr="00FF377D" w:rsidRDefault="00910969" w:rsidP="00897AC5">
      <w:pPr>
        <w:numPr>
          <w:ilvl w:val="1"/>
          <w:numId w:val="3"/>
        </w:numPr>
        <w:rPr>
          <w:szCs w:val="24"/>
        </w:rPr>
      </w:pPr>
      <w:r>
        <w:rPr>
          <w:szCs w:val="24"/>
        </w:rPr>
        <w:t>Any missing information, such as t</w:t>
      </w:r>
      <w:r w:rsidR="00E0370F" w:rsidRPr="00FF377D">
        <w:rPr>
          <w:szCs w:val="24"/>
        </w:rPr>
        <w:t>he lot number</w:t>
      </w:r>
      <w:r w:rsidR="001A1CF4">
        <w:rPr>
          <w:szCs w:val="24"/>
        </w:rPr>
        <w:t xml:space="preserve"> or other</w:t>
      </w:r>
      <w:r w:rsidR="001A1CF4" w:rsidRPr="001A1CF4">
        <w:rPr>
          <w:szCs w:val="24"/>
        </w:rPr>
        <w:t xml:space="preserve"> </w:t>
      </w:r>
      <w:r w:rsidR="001A1CF4">
        <w:rPr>
          <w:szCs w:val="24"/>
        </w:rPr>
        <w:t>lot identification</w:t>
      </w:r>
      <w:r>
        <w:rPr>
          <w:szCs w:val="24"/>
        </w:rPr>
        <w:t>, NDC, or strength of the drug</w:t>
      </w:r>
      <w:r w:rsidR="00A31D4E">
        <w:rPr>
          <w:szCs w:val="24"/>
        </w:rPr>
        <w:t>.</w:t>
      </w:r>
    </w:p>
    <w:p w:rsidR="00E0370F" w:rsidRPr="00FE64A4" w:rsidRDefault="00910969" w:rsidP="00897AC5">
      <w:pPr>
        <w:numPr>
          <w:ilvl w:val="0"/>
          <w:numId w:val="5"/>
        </w:numPr>
        <w:rPr>
          <w:szCs w:val="24"/>
        </w:rPr>
      </w:pPr>
      <w:r w:rsidRPr="00FE64A4">
        <w:rPr>
          <w:szCs w:val="24"/>
        </w:rPr>
        <w:t xml:space="preserve">Any </w:t>
      </w:r>
      <w:r w:rsidR="00ED40A7">
        <w:rPr>
          <w:szCs w:val="24"/>
        </w:rPr>
        <w:t>altered</w:t>
      </w:r>
      <w:r w:rsidRPr="00FE64A4">
        <w:rPr>
          <w:szCs w:val="24"/>
        </w:rPr>
        <w:t xml:space="preserve"> product information, such as smudged print or print that is very difficult to read</w:t>
      </w:r>
      <w:r w:rsidR="00A31D4E">
        <w:rPr>
          <w:szCs w:val="24"/>
        </w:rPr>
        <w:t>.</w:t>
      </w:r>
    </w:p>
    <w:p w:rsidR="00E0370F" w:rsidRPr="00FE64A4" w:rsidRDefault="00D31A5C" w:rsidP="00897AC5">
      <w:pPr>
        <w:numPr>
          <w:ilvl w:val="0"/>
          <w:numId w:val="5"/>
        </w:numPr>
        <w:rPr>
          <w:szCs w:val="24"/>
        </w:rPr>
      </w:pPr>
      <w:r w:rsidRPr="00FE64A4">
        <w:rPr>
          <w:szCs w:val="24"/>
        </w:rPr>
        <w:t>M</w:t>
      </w:r>
      <w:r w:rsidR="00E0370F" w:rsidRPr="00FE64A4">
        <w:rPr>
          <w:szCs w:val="24"/>
        </w:rPr>
        <w:t>isspelled words</w:t>
      </w:r>
      <w:r w:rsidR="00A31D4E">
        <w:rPr>
          <w:szCs w:val="24"/>
        </w:rPr>
        <w:t>.</w:t>
      </w:r>
    </w:p>
    <w:p w:rsidR="00E0370F" w:rsidRPr="00FF377D" w:rsidRDefault="00E0370F" w:rsidP="00897AC5">
      <w:pPr>
        <w:numPr>
          <w:ilvl w:val="0"/>
          <w:numId w:val="5"/>
        </w:numPr>
        <w:rPr>
          <w:szCs w:val="24"/>
        </w:rPr>
      </w:pPr>
      <w:r w:rsidRPr="00FF377D">
        <w:rPr>
          <w:szCs w:val="24"/>
        </w:rPr>
        <w:t>Bubbling in the surface of a label</w:t>
      </w:r>
      <w:r w:rsidR="00A31D4E">
        <w:rPr>
          <w:szCs w:val="24"/>
        </w:rPr>
        <w:t>.</w:t>
      </w:r>
    </w:p>
    <w:p w:rsidR="00E0370F" w:rsidRPr="00B23FA8" w:rsidRDefault="00E0370F" w:rsidP="00B23FA8">
      <w:pPr>
        <w:numPr>
          <w:ilvl w:val="0"/>
          <w:numId w:val="5"/>
        </w:numPr>
        <w:rPr>
          <w:szCs w:val="24"/>
        </w:rPr>
      </w:pPr>
      <w:r w:rsidRPr="00B23FA8">
        <w:rPr>
          <w:szCs w:val="24"/>
        </w:rPr>
        <w:t xml:space="preserve">Lack of an </w:t>
      </w:r>
      <w:r w:rsidR="00B23FA8" w:rsidRPr="00B23FA8">
        <w:rPr>
          <w:szCs w:val="24"/>
        </w:rPr>
        <w:t>“</w:t>
      </w:r>
      <w:r w:rsidRPr="00B23FA8">
        <w:rPr>
          <w:szCs w:val="24"/>
        </w:rPr>
        <w:t xml:space="preserve">Rx </w:t>
      </w:r>
      <w:r w:rsidR="00B23FA8" w:rsidRPr="00B23FA8">
        <w:rPr>
          <w:szCs w:val="24"/>
        </w:rPr>
        <w:t xml:space="preserve">only” </w:t>
      </w:r>
      <w:r w:rsidRPr="00B23FA8">
        <w:rPr>
          <w:szCs w:val="24"/>
        </w:rPr>
        <w:t>symbol</w:t>
      </w:r>
      <w:r w:rsidR="00EB519B">
        <w:rPr>
          <w:rStyle w:val="FootnoteReference"/>
          <w:szCs w:val="24"/>
        </w:rPr>
        <w:footnoteReference w:id="7"/>
      </w:r>
    </w:p>
    <w:p w:rsidR="00E0370F" w:rsidRPr="00B23FA8" w:rsidRDefault="00E0370F" w:rsidP="00B23FA8">
      <w:pPr>
        <w:numPr>
          <w:ilvl w:val="0"/>
          <w:numId w:val="5"/>
        </w:numPr>
        <w:rPr>
          <w:szCs w:val="24"/>
        </w:rPr>
      </w:pPr>
      <w:r w:rsidRPr="00B23FA8">
        <w:rPr>
          <w:szCs w:val="24"/>
        </w:rPr>
        <w:t>Foreign language with little or no English provided</w:t>
      </w:r>
      <w:r w:rsidR="00B23FA8" w:rsidRPr="001C3AF0">
        <w:rPr>
          <w:szCs w:val="24"/>
        </w:rPr>
        <w:t>.</w:t>
      </w:r>
      <w:r w:rsidR="00B23FA8" w:rsidRPr="001C3AF0">
        <w:rPr>
          <w:rStyle w:val="FootnoteReference"/>
          <w:szCs w:val="24"/>
        </w:rPr>
        <w:footnoteReference w:id="8"/>
      </w:r>
    </w:p>
    <w:p w:rsidR="00E0370F" w:rsidRPr="00B23FA8" w:rsidRDefault="00E0370F" w:rsidP="00B23FA8">
      <w:pPr>
        <w:numPr>
          <w:ilvl w:val="0"/>
          <w:numId w:val="5"/>
        </w:numPr>
        <w:rPr>
          <w:szCs w:val="24"/>
        </w:rPr>
      </w:pPr>
      <w:r w:rsidRPr="00B23FA8">
        <w:rPr>
          <w:szCs w:val="24"/>
        </w:rPr>
        <w:t>Foreign language that is used to describe the lot number</w:t>
      </w:r>
      <w:r w:rsidR="00B23FA8" w:rsidRPr="001C3AF0">
        <w:rPr>
          <w:szCs w:val="24"/>
        </w:rPr>
        <w:t>.</w:t>
      </w:r>
      <w:r w:rsidR="00B23FA8" w:rsidRPr="001C3AF0">
        <w:rPr>
          <w:rStyle w:val="FootnoteReference"/>
          <w:szCs w:val="24"/>
        </w:rPr>
        <w:footnoteReference w:id="9"/>
      </w:r>
    </w:p>
    <w:p w:rsidR="001D6FCD" w:rsidRDefault="001D6FCD" w:rsidP="00897AC5">
      <w:pPr>
        <w:numPr>
          <w:ilvl w:val="0"/>
          <w:numId w:val="5"/>
        </w:numPr>
        <w:rPr>
          <w:szCs w:val="24"/>
        </w:rPr>
      </w:pPr>
      <w:r>
        <w:rPr>
          <w:szCs w:val="24"/>
        </w:rPr>
        <w:t xml:space="preserve">A product name that differs from the name </w:t>
      </w:r>
      <w:r w:rsidR="00B23FA8">
        <w:rPr>
          <w:szCs w:val="24"/>
        </w:rPr>
        <w:t>that appears on</w:t>
      </w:r>
      <w:r>
        <w:rPr>
          <w:szCs w:val="24"/>
        </w:rPr>
        <w:t xml:space="preserve"> the FDA-approved drug</w:t>
      </w:r>
      <w:r w:rsidR="00B23FA8">
        <w:rPr>
          <w:szCs w:val="24"/>
        </w:rPr>
        <w:t xml:space="preserve"> label or labeling</w:t>
      </w:r>
      <w:r w:rsidR="00A31D4E">
        <w:rPr>
          <w:szCs w:val="24"/>
        </w:rPr>
        <w:t>.</w:t>
      </w:r>
    </w:p>
    <w:p w:rsidR="001C7617" w:rsidRDefault="001D6FCD" w:rsidP="00897AC5">
      <w:pPr>
        <w:numPr>
          <w:ilvl w:val="0"/>
          <w:numId w:val="5"/>
        </w:numPr>
        <w:rPr>
          <w:szCs w:val="24"/>
        </w:rPr>
      </w:pPr>
      <w:r w:rsidRPr="00FF377D">
        <w:rPr>
          <w:szCs w:val="24"/>
        </w:rPr>
        <w:t xml:space="preserve">A product name </w:t>
      </w:r>
      <w:r w:rsidR="00DA75D4">
        <w:rPr>
          <w:szCs w:val="24"/>
        </w:rPr>
        <w:t xml:space="preserve">that </w:t>
      </w:r>
      <w:r w:rsidRPr="00FF377D">
        <w:rPr>
          <w:szCs w:val="24"/>
        </w:rPr>
        <w:t xml:space="preserve">is the product name for </w:t>
      </w:r>
      <w:r>
        <w:rPr>
          <w:szCs w:val="24"/>
        </w:rPr>
        <w:t>a</w:t>
      </w:r>
      <w:r w:rsidRPr="00FF377D">
        <w:rPr>
          <w:szCs w:val="24"/>
        </w:rPr>
        <w:t xml:space="preserve"> foreign version of the drug</w:t>
      </w:r>
      <w:r w:rsidR="00A31D4E">
        <w:rPr>
          <w:szCs w:val="24"/>
        </w:rPr>
        <w:t>.</w:t>
      </w:r>
    </w:p>
    <w:p w:rsidR="005277FB" w:rsidRDefault="001D6FCD" w:rsidP="00897AC5">
      <w:pPr>
        <w:numPr>
          <w:ilvl w:val="1"/>
          <w:numId w:val="5"/>
        </w:numPr>
        <w:ind w:left="1800"/>
        <w:rPr>
          <w:szCs w:val="24"/>
        </w:rPr>
      </w:pPr>
      <w:r w:rsidRPr="001C7617">
        <w:rPr>
          <w:szCs w:val="24"/>
        </w:rPr>
        <w:lastRenderedPageBreak/>
        <w:t xml:space="preserve">A product </w:t>
      </w:r>
      <w:r w:rsidR="00682FCE">
        <w:rPr>
          <w:szCs w:val="24"/>
        </w:rPr>
        <w:t>that</w:t>
      </w:r>
      <w:r w:rsidRPr="001C7617">
        <w:rPr>
          <w:szCs w:val="24"/>
        </w:rPr>
        <w:t xml:space="preserve"> is </w:t>
      </w:r>
      <w:r w:rsidR="00E43BBE">
        <w:rPr>
          <w:szCs w:val="24"/>
        </w:rPr>
        <w:t>transported</w:t>
      </w:r>
      <w:r w:rsidRPr="001C7617">
        <w:rPr>
          <w:szCs w:val="24"/>
        </w:rPr>
        <w:t xml:space="preserve"> in a</w:t>
      </w:r>
      <w:r w:rsidR="00E43BBE">
        <w:rPr>
          <w:szCs w:val="24"/>
        </w:rPr>
        <w:t xml:space="preserve"> case or tote</w:t>
      </w:r>
      <w:r w:rsidR="00ED40A7">
        <w:rPr>
          <w:szCs w:val="24"/>
        </w:rPr>
        <w:t>,</w:t>
      </w:r>
      <w:r w:rsidRPr="001C7617">
        <w:rPr>
          <w:szCs w:val="24"/>
        </w:rPr>
        <w:t xml:space="preserve"> </w:t>
      </w:r>
      <w:r w:rsidR="005F2C2A">
        <w:rPr>
          <w:szCs w:val="24"/>
        </w:rPr>
        <w:t>when not</w:t>
      </w:r>
      <w:r w:rsidRPr="001C7617">
        <w:rPr>
          <w:szCs w:val="24"/>
        </w:rPr>
        <w:t xml:space="preserve"> expected under the circumstances</w:t>
      </w:r>
      <w:r w:rsidR="00A31D4E">
        <w:rPr>
          <w:szCs w:val="24"/>
        </w:rPr>
        <w:t>.</w:t>
      </w:r>
    </w:p>
    <w:p w:rsidR="001D6FCD" w:rsidRDefault="001D6FCD" w:rsidP="00897AC5">
      <w:pPr>
        <w:numPr>
          <w:ilvl w:val="1"/>
          <w:numId w:val="5"/>
        </w:numPr>
        <w:ind w:left="1800"/>
        <w:rPr>
          <w:szCs w:val="24"/>
        </w:rPr>
      </w:pPr>
      <w:r w:rsidRPr="001C7617">
        <w:rPr>
          <w:szCs w:val="24"/>
        </w:rPr>
        <w:t>Lot numbers and expiration dates on product</w:t>
      </w:r>
      <w:r w:rsidR="004A78FD">
        <w:rPr>
          <w:szCs w:val="24"/>
        </w:rPr>
        <w:t xml:space="preserve"> </w:t>
      </w:r>
      <w:r w:rsidR="00A0751C">
        <w:rPr>
          <w:szCs w:val="24"/>
        </w:rPr>
        <w:t xml:space="preserve">that </w:t>
      </w:r>
      <w:r w:rsidRPr="001C7617">
        <w:rPr>
          <w:szCs w:val="24"/>
        </w:rPr>
        <w:t>do not match the lot numbers and expiration dates of its outer container.</w:t>
      </w:r>
    </w:p>
    <w:p w:rsidR="005B7386" w:rsidRDefault="005B7386" w:rsidP="003B65CC"/>
    <w:p w:rsidR="00AF4E16" w:rsidRDefault="005B7386" w:rsidP="003B65CC">
      <w:r>
        <w:t>Again, u</w:t>
      </w:r>
      <w:r w:rsidRPr="0026456B">
        <w:t xml:space="preserve">nder section 582 of the FD&amp;C Act, trading partners must have systems in place that enable them, upon </w:t>
      </w:r>
      <w:r>
        <w:t>determining</w:t>
      </w:r>
      <w:r w:rsidRPr="0026456B">
        <w:t xml:space="preserve"> that a product in their possession or control is suspect or upon receiving a request for verification from the FDA</w:t>
      </w:r>
      <w:r w:rsidR="00D60EC0">
        <w:t xml:space="preserve"> that has made a determination that a product within the possession or control of the trading partner is a suspect product</w:t>
      </w:r>
      <w:r w:rsidRPr="0026456B">
        <w:t>, to quarantine suspect product and promptly conduct an investigation, in coordination with other trading partners</w:t>
      </w:r>
      <w:r>
        <w:t>, as applicable</w:t>
      </w:r>
      <w:r w:rsidRPr="0026456B">
        <w:t xml:space="preserve">, to determine whether a suspect product is illegitimate.  </w:t>
      </w:r>
      <w:r w:rsidR="00000A11" w:rsidRPr="00000A11">
        <w:t xml:space="preserve"> </w:t>
      </w:r>
      <w:r w:rsidR="00000A11">
        <w:t>In addition, trading partners must, as applicable, make t</w:t>
      </w:r>
      <w:r w:rsidR="00000A11" w:rsidRPr="002C2C81">
        <w:t xml:space="preserve">he </w:t>
      </w:r>
      <w:r w:rsidR="00000A11">
        <w:t>notifications described in section</w:t>
      </w:r>
      <w:r w:rsidR="00986B22">
        <w:t>s</w:t>
      </w:r>
      <w:r w:rsidR="00000A11">
        <w:t xml:space="preserve"> 582(</w:t>
      </w:r>
      <w:r w:rsidR="00000A11" w:rsidRPr="00C90937">
        <w:t>b)(4)(B)</w:t>
      </w:r>
      <w:r w:rsidR="001C4AA7">
        <w:t>(ii)(I)</w:t>
      </w:r>
      <w:r w:rsidR="00000A11" w:rsidRPr="00C90937">
        <w:t>, (c)(4)(B</w:t>
      </w:r>
      <w:r w:rsidR="00000A11">
        <w:t>)</w:t>
      </w:r>
      <w:r w:rsidR="001C4AA7">
        <w:t>(ii)</w:t>
      </w:r>
      <w:r w:rsidR="00000A11">
        <w:t>, (d)(4)(B)</w:t>
      </w:r>
      <w:r w:rsidR="001C4AA7">
        <w:t>(ii)</w:t>
      </w:r>
      <w:r w:rsidR="00000A11">
        <w:t>, and (e)(4)(B) of the FD&amp;C Act related to illegitimate product determinations, and, for manufacturers, the notification of a high risk of illegitimacy described in section 582(b)(4)(B)(ii)(II)</w:t>
      </w:r>
      <w:r w:rsidR="00000A11" w:rsidRPr="002C2C81">
        <w:t xml:space="preserve">.  </w:t>
      </w:r>
    </w:p>
    <w:p w:rsidR="002F76D3" w:rsidRDefault="002F76D3" w:rsidP="003B65CC"/>
    <w:p w:rsidR="005B7386" w:rsidRPr="005B7386" w:rsidRDefault="005B7386" w:rsidP="003B65CC">
      <w:pPr>
        <w:rPr>
          <w:szCs w:val="24"/>
        </w:rPr>
      </w:pPr>
    </w:p>
    <w:p w:rsidR="00F43AF8" w:rsidRDefault="00F43AF8" w:rsidP="00F43AF8">
      <w:pPr>
        <w:pStyle w:val="Heading2"/>
        <w:numPr>
          <w:ilvl w:val="0"/>
          <w:numId w:val="9"/>
        </w:numPr>
        <w:ind w:left="1440" w:hanging="720"/>
      </w:pPr>
      <w:bookmarkStart w:id="28" w:name="_Toc407020509"/>
      <w:r>
        <w:t>For Manufacturers: High Risk of Illegitimacy Notifications</w:t>
      </w:r>
      <w:bookmarkEnd w:id="28"/>
      <w:r w:rsidR="00956B9F">
        <w:rPr>
          <w:rStyle w:val="FootnoteReference"/>
        </w:rPr>
        <w:footnoteReference w:id="10"/>
      </w:r>
    </w:p>
    <w:p w:rsidR="00F43AF8" w:rsidRDefault="00F43AF8" w:rsidP="00F43AF8"/>
    <w:p w:rsidR="00F43AF8" w:rsidRDefault="00F43AF8" w:rsidP="00F43AF8">
      <w:r>
        <w:t>S</w:t>
      </w:r>
      <w:r w:rsidRPr="00636E35">
        <w:t>ection 582</w:t>
      </w:r>
      <w:r>
        <w:t>(b)</w:t>
      </w:r>
      <w:r w:rsidRPr="00636E35">
        <w:t>(4)(B)(ii)(II)</w:t>
      </w:r>
      <w:r>
        <w:t xml:space="preserve"> of the </w:t>
      </w:r>
      <w:r w:rsidRPr="00833FC4">
        <w:rPr>
          <w:szCs w:val="24"/>
        </w:rPr>
        <w:t>FD&amp;C Act</w:t>
      </w:r>
      <w:r>
        <w:t xml:space="preserve"> requires manufacturers to make notifications in certain circumstances for products that pose a high risk of illegitimacy. The provision states as follows:</w:t>
      </w:r>
    </w:p>
    <w:p w:rsidR="00F43AF8" w:rsidRDefault="00F43AF8" w:rsidP="00F43AF8"/>
    <w:p w:rsidR="00F43AF8" w:rsidRPr="00FF3EEF" w:rsidRDefault="00F43AF8" w:rsidP="00F43AF8">
      <w:pPr>
        <w:ind w:left="720" w:right="720"/>
        <w:rPr>
          <w:i/>
        </w:rPr>
      </w:pPr>
      <w:r w:rsidRPr="00FF3EEF">
        <w:rPr>
          <w:i/>
        </w:rPr>
        <w:t xml:space="preserve">(II) </w:t>
      </w:r>
      <w:r w:rsidRPr="00FF3EEF">
        <w:rPr>
          <w:i/>
          <w:caps/>
        </w:rPr>
        <w:t>High risk of illegitimacy</w:t>
      </w:r>
      <w:r w:rsidRPr="00FF3EEF">
        <w:rPr>
          <w:i/>
        </w:rPr>
        <w:t xml:space="preserve">.--A manufacturer shall notify the Secretary and immediate trading partners that the manufacturer has reason to believe may have in the trading partner’s possession a product manufactured by, or purported to be a product manufactured by, the manufacturer not later than 24 hours after determining or being notified by the Secretary or a trading partner that there is a high risk that such product is an illegitimate product.  For purposes of this subclause, a </w:t>
      </w:r>
      <w:r>
        <w:rPr>
          <w:i/>
        </w:rPr>
        <w:t>‘</w:t>
      </w:r>
      <w:r w:rsidRPr="00FF3EEF">
        <w:rPr>
          <w:i/>
        </w:rPr>
        <w:t>high risk</w:t>
      </w:r>
      <w:r>
        <w:rPr>
          <w:i/>
        </w:rPr>
        <w:t>’</w:t>
      </w:r>
      <w:r w:rsidRPr="00FF3EEF">
        <w:rPr>
          <w:i/>
        </w:rPr>
        <w:t xml:space="preserve"> may include a specific high risk that could increase the likelihood that illegitimate product will enter the pharmaceutical distribution supply chain and other high risks as determined by the Secretary in guidance pursuant to subsection (h).</w:t>
      </w:r>
    </w:p>
    <w:p w:rsidR="00F43AF8" w:rsidRDefault="00F43AF8" w:rsidP="00F43AF8"/>
    <w:p w:rsidR="00F43AF8" w:rsidRDefault="00F43AF8" w:rsidP="00F43AF8">
      <w:r>
        <w:t>FDA interprets this provision to require manufacturers to notify [1] FDA and [2] the manufacturer’s immediate trading partners (</w:t>
      </w:r>
      <w:r w:rsidRPr="00AB09ED">
        <w:t xml:space="preserve">that the manufacturer has reason to believe </w:t>
      </w:r>
      <w:r>
        <w:t>may have in the trading partner’</w:t>
      </w:r>
      <w:r w:rsidRPr="00AB09ED">
        <w:t>s possession a product manufactured by, or purported to be a product manufactured by, the manufacturer</w:t>
      </w:r>
      <w:r>
        <w:t>) in</w:t>
      </w:r>
      <w:r w:rsidRPr="00AB09ED">
        <w:t xml:space="preserve"> </w:t>
      </w:r>
      <w:r>
        <w:t>three general scenarios:</w:t>
      </w:r>
    </w:p>
    <w:p w:rsidR="00F43AF8" w:rsidRDefault="00F43AF8" w:rsidP="00F43AF8"/>
    <w:p w:rsidR="00F43AF8" w:rsidRDefault="00F43AF8" w:rsidP="00F43AF8">
      <w:pPr>
        <w:pStyle w:val="ListParagraph"/>
        <w:numPr>
          <w:ilvl w:val="0"/>
          <w:numId w:val="25"/>
        </w:numPr>
      </w:pPr>
      <w:r>
        <w:t xml:space="preserve">Within 24 hours after </w:t>
      </w:r>
      <w:r w:rsidRPr="00AB09ED">
        <w:t>determining</w:t>
      </w:r>
      <w:r>
        <w:t xml:space="preserve"> </w:t>
      </w:r>
      <w:r w:rsidRPr="00AB09ED">
        <w:t xml:space="preserve">or being notified by </w:t>
      </w:r>
      <w:r>
        <w:t>FDA</w:t>
      </w:r>
      <w:r w:rsidRPr="00AB09ED">
        <w:t xml:space="preserve"> or a trading partner that there is a high </w:t>
      </w:r>
      <w:r>
        <w:t>r</w:t>
      </w:r>
      <w:r w:rsidRPr="00AB09ED">
        <w:t>isk that</w:t>
      </w:r>
      <w:r>
        <w:t xml:space="preserve"> </w:t>
      </w:r>
      <w:r w:rsidR="00DD68B7">
        <w:t xml:space="preserve">a </w:t>
      </w:r>
      <w:r>
        <w:t xml:space="preserve"> product that the manufacturer has reason to believe is in an immediate trading partner’s possession is an </w:t>
      </w:r>
      <w:r w:rsidRPr="00AB09ED">
        <w:t>illegitimate product</w:t>
      </w:r>
      <w:r>
        <w:t>.</w:t>
      </w:r>
    </w:p>
    <w:p w:rsidR="00F43AF8" w:rsidRDefault="00F43AF8" w:rsidP="00F43AF8">
      <w:pPr>
        <w:pStyle w:val="ListParagraph"/>
        <w:numPr>
          <w:ilvl w:val="0"/>
          <w:numId w:val="25"/>
        </w:numPr>
      </w:pPr>
      <w:r>
        <w:lastRenderedPageBreak/>
        <w:t xml:space="preserve">Within 24 hours after </w:t>
      </w:r>
      <w:r w:rsidRPr="00AB09ED">
        <w:t xml:space="preserve">determining or being notified by </w:t>
      </w:r>
      <w:r>
        <w:t>FDA</w:t>
      </w:r>
      <w:r w:rsidRPr="00AB09ED">
        <w:t xml:space="preserve"> or a trading partner</w:t>
      </w:r>
      <w:r>
        <w:t xml:space="preserve"> that there is a specific high risk that could increase the </w:t>
      </w:r>
      <w:r w:rsidRPr="00787096">
        <w:t xml:space="preserve">likelihood that illegitimate product will enter the </w:t>
      </w:r>
      <w:r>
        <w:t xml:space="preserve">U.S. </w:t>
      </w:r>
      <w:r w:rsidRPr="00787096">
        <w:t>pharmaceutical distribution supply chain</w:t>
      </w:r>
      <w:r>
        <w:t>.</w:t>
      </w:r>
    </w:p>
    <w:p w:rsidR="00F43AF8" w:rsidRDefault="00F43AF8" w:rsidP="00F43AF8">
      <w:pPr>
        <w:pStyle w:val="ListParagraph"/>
        <w:numPr>
          <w:ilvl w:val="0"/>
          <w:numId w:val="25"/>
        </w:numPr>
      </w:pPr>
      <w:r>
        <w:t xml:space="preserve">Within 24 hours after </w:t>
      </w:r>
      <w:r w:rsidRPr="00AB09ED">
        <w:t xml:space="preserve">determining or being notified by </w:t>
      </w:r>
      <w:r>
        <w:t>FDA</w:t>
      </w:r>
      <w:r w:rsidRPr="00AB09ED">
        <w:t xml:space="preserve"> or a trading partner</w:t>
      </w:r>
      <w:r>
        <w:t xml:space="preserve"> that there exists an “</w:t>
      </w:r>
      <w:r w:rsidRPr="00787096">
        <w:t>other high risk</w:t>
      </w:r>
      <w:r>
        <w:t>”</w:t>
      </w:r>
      <w:r w:rsidRPr="00787096">
        <w:t xml:space="preserve"> as determined by </w:t>
      </w:r>
      <w:r>
        <w:t>FDA</w:t>
      </w:r>
      <w:r w:rsidRPr="00787096">
        <w:t xml:space="preserve"> in guidance pursuant to subsection 582(h)</w:t>
      </w:r>
      <w:r>
        <w:t>.</w:t>
      </w:r>
    </w:p>
    <w:p w:rsidR="00F43AF8" w:rsidRDefault="00F43AF8" w:rsidP="00F43AF8">
      <w:pPr>
        <w:pStyle w:val="ListParagraph"/>
        <w:ind w:left="1080"/>
      </w:pPr>
    </w:p>
    <w:p w:rsidR="00F43AF8" w:rsidRDefault="00F43AF8" w:rsidP="00F43AF8">
      <w:r>
        <w:t>FDA believes that Congress intended s</w:t>
      </w:r>
      <w:r w:rsidRPr="00636E35">
        <w:t>ection 582</w:t>
      </w:r>
      <w:r>
        <w:t>(b)</w:t>
      </w:r>
      <w:r w:rsidRPr="00636E35">
        <w:t>(4)(B)(ii)(II)</w:t>
      </w:r>
      <w:r>
        <w:t xml:space="preserve"> to leverage the surveillance systems that many manufacturers already have in place to detect counterfeit and otherwise violative versions of their products.  Ma</w:t>
      </w:r>
      <w:r w:rsidRPr="005A2756">
        <w:t>nufacturer</w:t>
      </w:r>
      <w:r>
        <w:t>s</w:t>
      </w:r>
      <w:r w:rsidRPr="005A2756">
        <w:t xml:space="preserve"> could learn about products </w:t>
      </w:r>
      <w:r>
        <w:t xml:space="preserve">with a high risk of illegitimacy </w:t>
      </w:r>
      <w:r w:rsidRPr="005A2756">
        <w:t xml:space="preserve">from a variety of sources, including from within </w:t>
      </w:r>
      <w:r>
        <w:t>their</w:t>
      </w:r>
      <w:r w:rsidRPr="005A2756">
        <w:t xml:space="preserve"> own company, </w:t>
      </w:r>
      <w:r>
        <w:t xml:space="preserve">from their </w:t>
      </w:r>
      <w:r w:rsidRPr="005A2756">
        <w:t xml:space="preserve">trading partners, </w:t>
      </w:r>
      <w:r>
        <w:t xml:space="preserve">from the </w:t>
      </w:r>
      <w:r w:rsidRPr="005A2756">
        <w:t xml:space="preserve">FDA, or </w:t>
      </w:r>
      <w:r>
        <w:t xml:space="preserve">from other </w:t>
      </w:r>
      <w:r w:rsidRPr="005A2756">
        <w:t>domestic and/or foreign regulatory authorities</w:t>
      </w:r>
      <w:r>
        <w:t>—even when a product may not be in the manufacturer’s possession or control</w:t>
      </w:r>
      <w:r w:rsidRPr="005A2756">
        <w:t xml:space="preserve">.  </w:t>
      </w:r>
      <w:r w:rsidRPr="00AE4130">
        <w:t xml:space="preserve">  </w:t>
      </w:r>
    </w:p>
    <w:p w:rsidR="00F43AF8" w:rsidRDefault="00F43AF8" w:rsidP="00F43AF8"/>
    <w:p w:rsidR="00F43AF8" w:rsidRDefault="00F43AF8" w:rsidP="00F43AF8">
      <w:r>
        <w:t>Below are</w:t>
      </w:r>
      <w:r w:rsidR="003516C9">
        <w:t xml:space="preserve"> </w:t>
      </w:r>
      <w:r w:rsidR="003516C9" w:rsidRPr="002C7FA2">
        <w:t>scenarios and</w:t>
      </w:r>
      <w:r>
        <w:t xml:space="preserve"> examples in which a manufacturer should make a notification under section </w:t>
      </w:r>
      <w:r w:rsidRPr="00636E35">
        <w:t>582</w:t>
      </w:r>
      <w:r>
        <w:t>(b)</w:t>
      </w:r>
      <w:r w:rsidRPr="00636E35">
        <w:t>(4)(B)(ii)(II</w:t>
      </w:r>
      <w:r>
        <w:t>).</w:t>
      </w:r>
    </w:p>
    <w:p w:rsidR="00F43AF8" w:rsidRDefault="00F43AF8" w:rsidP="00F43AF8">
      <w:pPr>
        <w:pStyle w:val="ListParagraph"/>
        <w:rPr>
          <w:sz w:val="22"/>
          <w:szCs w:val="22"/>
        </w:rPr>
      </w:pPr>
    </w:p>
    <w:p w:rsidR="00F43AF8" w:rsidRPr="00F97C3B" w:rsidRDefault="00F43AF8" w:rsidP="000B511D">
      <w:pPr>
        <w:pStyle w:val="Heading3"/>
      </w:pPr>
      <w:bookmarkStart w:id="29" w:name="_Toc407020510"/>
      <w:r>
        <w:t xml:space="preserve">1. </w:t>
      </w:r>
      <w:r w:rsidRPr="00F97C3B">
        <w:t>High Risk of Illegitimacy Notification</w:t>
      </w:r>
      <w:r>
        <w:t xml:space="preserve"> for Products </w:t>
      </w:r>
      <w:r w:rsidRPr="00752FA7">
        <w:t xml:space="preserve">that the </w:t>
      </w:r>
      <w:r>
        <w:t>Manufacturer Has Reason t</w:t>
      </w:r>
      <w:r w:rsidRPr="00752FA7">
        <w:t>o Beli</w:t>
      </w:r>
      <w:r>
        <w:t>eve Are in a</w:t>
      </w:r>
      <w:r w:rsidRPr="00752FA7">
        <w:t xml:space="preserve">n Immediate Trading Partner’s </w:t>
      </w:r>
      <w:r>
        <w:t>Possession</w:t>
      </w:r>
      <w:bookmarkEnd w:id="29"/>
    </w:p>
    <w:p w:rsidR="00F43AF8" w:rsidRDefault="00F43AF8" w:rsidP="00F43AF8"/>
    <w:p w:rsidR="00F43AF8" w:rsidRDefault="00F43AF8" w:rsidP="00F43AF8">
      <w:r>
        <w:t>The first general scenario</w:t>
      </w:r>
      <w:r w:rsidR="00555EDD">
        <w:t>,</w:t>
      </w:r>
      <w:r>
        <w:t xml:space="preserve"> described above</w:t>
      </w:r>
      <w:r w:rsidR="00555EDD">
        <w:t>,</w:t>
      </w:r>
      <w:r>
        <w:t xml:space="preserve"> involves notifications for products that the manufacturer has reason to believe are in an immediate trading partner’s possession.  </w:t>
      </w:r>
    </w:p>
    <w:p w:rsidR="00F43AF8" w:rsidRDefault="00F43AF8" w:rsidP="00F43AF8"/>
    <w:p w:rsidR="00F43AF8" w:rsidRDefault="00F43AF8" w:rsidP="00F43AF8">
      <w:r>
        <w:t xml:space="preserve">An example of this scenario might occur when the manufacturer is asked to coordinate a suspect product investigation by an immediate trading partner under section 582(c)(4)(B), 582(d)(4)(B), or 582(e)(4)(B), and the manufacturer determines that there is a high risk that the product is illegitimate.  </w:t>
      </w:r>
      <w:r w:rsidRPr="00AE4130">
        <w:t xml:space="preserve">Some </w:t>
      </w:r>
      <w:r>
        <w:t xml:space="preserve">sample </w:t>
      </w:r>
      <w:r w:rsidRPr="00AE4130">
        <w:t xml:space="preserve">scenarios involving </w:t>
      </w:r>
      <w:r>
        <w:t xml:space="preserve">high risks of illegitimacy, where a manufacturer should make a notification, </w:t>
      </w:r>
      <w:r w:rsidRPr="00AE4130">
        <w:t>include</w:t>
      </w:r>
      <w:r>
        <w:t>:</w:t>
      </w:r>
    </w:p>
    <w:p w:rsidR="00F43AF8" w:rsidRDefault="00F43AF8" w:rsidP="00F43AF8"/>
    <w:p w:rsidR="00F43AF8" w:rsidRPr="000B511D" w:rsidRDefault="00F43AF8" w:rsidP="00F43AF8">
      <w:pPr>
        <w:pStyle w:val="ListParagraph"/>
        <w:numPr>
          <w:ilvl w:val="0"/>
          <w:numId w:val="18"/>
        </w:numPr>
        <w:rPr>
          <w:szCs w:val="24"/>
        </w:rPr>
      </w:pPr>
      <w:r w:rsidRPr="000B511D">
        <w:rPr>
          <w:szCs w:val="24"/>
        </w:rPr>
        <w:t xml:space="preserve">A manufacturer learns from a trading partner that a suspect product purporting to be one produced by that manufacturer has been found in the U.S. pharmaceutical distribution supply chain.  The manufacturer examines the suspect product and believes the product could be illegitimate but wants to take additional steps before determining that it is illegitimate.  </w:t>
      </w:r>
      <w:r w:rsidRPr="000B511D" w:rsidDel="00E746A8">
        <w:rPr>
          <w:szCs w:val="24"/>
        </w:rPr>
        <w:t xml:space="preserve">The manufacturer has reason to believe that additional illegitimate products are in the possession of immediate trading partners.  </w:t>
      </w:r>
      <w:r w:rsidRPr="000B511D">
        <w:rPr>
          <w:szCs w:val="24"/>
        </w:rPr>
        <w:t>For example, a wholesale distributor informs a manufacturer that it believes it has a counterfeit of that manufacturer’s product.  The wholesale distributor sends the product to the manufacturer.  The manufacturer examines the product and believes it could be counterfeit, but wants to perform a laboratory</w:t>
      </w:r>
      <w:r w:rsidR="003562E1">
        <w:rPr>
          <w:szCs w:val="24"/>
        </w:rPr>
        <w:t xml:space="preserve"> or other</w:t>
      </w:r>
      <w:r w:rsidRPr="000B511D">
        <w:rPr>
          <w:szCs w:val="24"/>
        </w:rPr>
        <w:t xml:space="preserve"> analysis for confirmation.   </w:t>
      </w:r>
    </w:p>
    <w:p w:rsidR="00F43AF8" w:rsidRPr="000B511D" w:rsidRDefault="00F43AF8" w:rsidP="00F43AF8">
      <w:pPr>
        <w:pStyle w:val="ListParagraph"/>
        <w:rPr>
          <w:szCs w:val="24"/>
        </w:rPr>
      </w:pPr>
    </w:p>
    <w:p w:rsidR="00F43AF8" w:rsidRPr="000B511D" w:rsidRDefault="00F43AF8" w:rsidP="00F43AF8">
      <w:pPr>
        <w:pStyle w:val="ListParagraph"/>
        <w:numPr>
          <w:ilvl w:val="0"/>
          <w:numId w:val="18"/>
        </w:numPr>
        <w:rPr>
          <w:szCs w:val="24"/>
        </w:rPr>
      </w:pPr>
      <w:r w:rsidRPr="000B511D">
        <w:rPr>
          <w:szCs w:val="24"/>
        </w:rPr>
        <w:t xml:space="preserve">A manufacturer learns that its product has been stolen or diverted in the U.S. while not in its possession or control, and the manufacturer has reason to believe that an immediate trading partner might have the stolen or diverted product in its possession.  </w:t>
      </w:r>
    </w:p>
    <w:p w:rsidR="00F43AF8" w:rsidRDefault="00F43AF8" w:rsidP="00F43AF8">
      <w:pPr>
        <w:pStyle w:val="ListParagraph"/>
        <w:rPr>
          <w:sz w:val="22"/>
          <w:szCs w:val="22"/>
        </w:rPr>
      </w:pPr>
    </w:p>
    <w:p w:rsidR="00F43AF8" w:rsidRDefault="00F43AF8" w:rsidP="000B511D">
      <w:pPr>
        <w:pStyle w:val="Heading3"/>
      </w:pPr>
      <w:bookmarkStart w:id="30" w:name="_Toc407020511"/>
      <w:r>
        <w:lastRenderedPageBreak/>
        <w:t xml:space="preserve">2. </w:t>
      </w:r>
      <w:r w:rsidRPr="00F97C3B">
        <w:t xml:space="preserve">Specific High Risks </w:t>
      </w:r>
      <w:r>
        <w:t xml:space="preserve">That Could Increase the Likelihood </w:t>
      </w:r>
      <w:r w:rsidRPr="00F97C3B">
        <w:t xml:space="preserve">of an Illegitimate Product Entering the </w:t>
      </w:r>
      <w:r>
        <w:t xml:space="preserve">U.S. </w:t>
      </w:r>
      <w:r w:rsidRPr="00F97C3B">
        <w:t>Pharmaceutical Distribution Supply Chain</w:t>
      </w:r>
      <w:bookmarkEnd w:id="30"/>
    </w:p>
    <w:p w:rsidR="00F43AF8" w:rsidRPr="00F97C3B" w:rsidRDefault="00F43AF8" w:rsidP="00F43AF8">
      <w:pPr>
        <w:rPr>
          <w:b/>
          <w:i/>
        </w:rPr>
      </w:pPr>
    </w:p>
    <w:p w:rsidR="00F43AF8" w:rsidRDefault="00F43AF8" w:rsidP="00F43AF8">
      <w:r w:rsidRPr="00787096">
        <w:t xml:space="preserve">Section 582(b)(4)(B)(ii)(II) states </w:t>
      </w:r>
      <w:r>
        <w:t xml:space="preserve">that a high risk of illegitimacy </w:t>
      </w:r>
      <w:r w:rsidRPr="00E529BC">
        <w:t>may include</w:t>
      </w:r>
      <w:r>
        <w:t xml:space="preserve"> </w:t>
      </w:r>
      <w:r w:rsidRPr="00E529BC">
        <w:t xml:space="preserve">a </w:t>
      </w:r>
      <w:r w:rsidR="00E22164">
        <w:t>“</w:t>
      </w:r>
      <w:r w:rsidRPr="00E529BC">
        <w:t>specific high</w:t>
      </w:r>
      <w:r>
        <w:t xml:space="preserve"> </w:t>
      </w:r>
      <w:r w:rsidRPr="00E529BC">
        <w:t>risk</w:t>
      </w:r>
      <w:r w:rsidR="00E22164">
        <w:t>”</w:t>
      </w:r>
      <w:r w:rsidRPr="00E529BC">
        <w:t xml:space="preserve"> that could increase the likelihood that illegitimate product will enter the pharmaceutical distribution supply chain</w:t>
      </w:r>
      <w:r>
        <w:t>.</w:t>
      </w:r>
      <w:r w:rsidR="002D2D8A">
        <w:t xml:space="preserve">  In </w:t>
      </w:r>
      <w:r w:rsidR="00EE0477">
        <w:t>such cases</w:t>
      </w:r>
      <w:r w:rsidR="002D2D8A">
        <w:t xml:space="preserve">, the product has not yet entered the pharmaceutical distribution supply chain, so no immediate trading partners would have it in their possession.  Section 582(b)(4)(B)(ii)(II) </w:t>
      </w:r>
      <w:r w:rsidR="00EE0477">
        <w:t xml:space="preserve">thus </w:t>
      </w:r>
      <w:r w:rsidR="002D2D8A">
        <w:t>would require the manufacturer to make a notification to FDA, but the manufacturer would not be required to notify immediate trading partners.</w:t>
      </w:r>
      <w:r w:rsidR="00EE0477">
        <w:t xml:space="preserve">  To help ensure the integrity of the supply chain, however, FDA recommends that </w:t>
      </w:r>
      <w:r w:rsidR="00A17DB0">
        <w:t xml:space="preserve">a </w:t>
      </w:r>
      <w:r w:rsidR="00EE0477">
        <w:t xml:space="preserve">manufacturer notify </w:t>
      </w:r>
      <w:r w:rsidR="00A17DB0">
        <w:t>its</w:t>
      </w:r>
      <w:r>
        <w:t xml:space="preserve"> </w:t>
      </w:r>
      <w:r w:rsidR="00265ADF">
        <w:t xml:space="preserve">immediate trading partners </w:t>
      </w:r>
      <w:r w:rsidR="00EE0477">
        <w:t xml:space="preserve">of such </w:t>
      </w:r>
      <w:r w:rsidR="00467A50">
        <w:t>“</w:t>
      </w:r>
      <w:r w:rsidR="00EE0477">
        <w:t>specific high risk</w:t>
      </w:r>
      <w:r w:rsidR="00467A50">
        <w:t>[</w:t>
      </w:r>
      <w:r w:rsidR="00EE0477">
        <w:t>s</w:t>
      </w:r>
      <w:r w:rsidR="00467A50">
        <w:t>]”</w:t>
      </w:r>
      <w:r w:rsidR="00EE0477">
        <w:t xml:space="preserve"> </w:t>
      </w:r>
      <w:r w:rsidR="00265ADF">
        <w:t>even if that manufacturer does not have reason to believe that its immediate trading partners may have the high risk product in their possession</w:t>
      </w:r>
      <w:r w:rsidR="00EE0477">
        <w:t xml:space="preserve">.  </w:t>
      </w:r>
      <w:r w:rsidRPr="00AE4130">
        <w:t xml:space="preserve">Some </w:t>
      </w:r>
      <w:r>
        <w:t>factual examples</w:t>
      </w:r>
      <w:r w:rsidRPr="00AE4130">
        <w:t xml:space="preserve"> involving </w:t>
      </w:r>
      <w:r>
        <w:t xml:space="preserve">specific high risks </w:t>
      </w:r>
      <w:r w:rsidRPr="00AE4130">
        <w:t>include</w:t>
      </w:r>
      <w:r>
        <w:t>:</w:t>
      </w:r>
    </w:p>
    <w:p w:rsidR="00F43AF8" w:rsidRDefault="00F43AF8" w:rsidP="00F43AF8"/>
    <w:p w:rsidR="00F43AF8" w:rsidRPr="000B511D" w:rsidRDefault="00F43AF8" w:rsidP="00F43AF8">
      <w:pPr>
        <w:pStyle w:val="ListParagraph"/>
        <w:numPr>
          <w:ilvl w:val="0"/>
          <w:numId w:val="18"/>
        </w:numPr>
        <w:rPr>
          <w:szCs w:val="24"/>
        </w:rPr>
      </w:pPr>
      <w:r w:rsidRPr="000B511D">
        <w:rPr>
          <w:szCs w:val="24"/>
        </w:rPr>
        <w:t xml:space="preserve">A manufacturer learns that a product with a high risk of illegitimacy (purporting to be one produced by that manufacturer) has been found in another country, and that such product is likely destined for a trading partner in the U.S.  For example, the manufacturer learns from a foreign regulatory authority that one of its products has been counterfeited in another country, and that some of that product is on a cargo ship destined for the U.S. for delivery to a wholesale distributor.  </w:t>
      </w:r>
    </w:p>
    <w:p w:rsidR="00F43AF8" w:rsidRPr="000B511D" w:rsidRDefault="00F43AF8" w:rsidP="00F43AF8">
      <w:pPr>
        <w:pStyle w:val="ListParagraph"/>
        <w:rPr>
          <w:szCs w:val="24"/>
        </w:rPr>
      </w:pPr>
    </w:p>
    <w:p w:rsidR="00F43AF8" w:rsidRPr="000B511D" w:rsidRDefault="00F43AF8" w:rsidP="00F43AF8">
      <w:pPr>
        <w:pStyle w:val="ListParagraph"/>
        <w:numPr>
          <w:ilvl w:val="0"/>
          <w:numId w:val="18"/>
        </w:numPr>
        <w:rPr>
          <w:szCs w:val="24"/>
        </w:rPr>
      </w:pPr>
      <w:r w:rsidRPr="000B511D">
        <w:rPr>
          <w:szCs w:val="24"/>
        </w:rPr>
        <w:t>A manufacturer learns that its product was stolen or diverted in another country, and that such product is destined for the U.S. in a manner that leads the manufacturer to believe the product will likely enter the U.S. pharmaceutical distribution supply chain.  For example, the manufacturer learns from a foreign law enforcement agency that its product was stolen during transport in another country and is on a plane destined for the U.S. for delivery to a dispenser.</w:t>
      </w:r>
    </w:p>
    <w:p w:rsidR="00F43AF8" w:rsidRPr="000B511D" w:rsidRDefault="00F43AF8" w:rsidP="00F43AF8">
      <w:pPr>
        <w:pStyle w:val="ListParagraph"/>
        <w:rPr>
          <w:szCs w:val="24"/>
        </w:rPr>
      </w:pPr>
    </w:p>
    <w:p w:rsidR="00F43AF8" w:rsidRPr="000B511D" w:rsidRDefault="00F43AF8" w:rsidP="00F43AF8">
      <w:pPr>
        <w:pStyle w:val="ListParagraph"/>
        <w:numPr>
          <w:ilvl w:val="0"/>
          <w:numId w:val="18"/>
        </w:numPr>
        <w:rPr>
          <w:szCs w:val="24"/>
        </w:rPr>
      </w:pPr>
      <w:r w:rsidRPr="000B511D">
        <w:rPr>
          <w:szCs w:val="24"/>
        </w:rPr>
        <w:t xml:space="preserve">A manufacturer learns that there is a high risk that its product has been intentionally adulterated in another country such that the product would result in serious adverse health consequences or death to humans, and that such product is likely destined for the U.S. in a manner that leads the manufacturer to believe the product will enter the pharmaceutical distribution supply chain.  For example, the manufacturer learns from its own investigation that there is a high risk that a contaminant that would result in serious adverse health consequences or death to humans was added to a product in another country and sent to a repackager in the U.S. </w:t>
      </w:r>
    </w:p>
    <w:p w:rsidR="00F43AF8" w:rsidRDefault="00F43AF8" w:rsidP="00F43AF8">
      <w:pPr>
        <w:rPr>
          <w:b/>
          <w:i/>
          <w:szCs w:val="24"/>
        </w:rPr>
      </w:pPr>
    </w:p>
    <w:p w:rsidR="00AA5C4E" w:rsidRDefault="00AA5C4E" w:rsidP="00F43AF8">
      <w:pPr>
        <w:rPr>
          <w:szCs w:val="24"/>
        </w:rPr>
      </w:pPr>
      <w:r>
        <w:rPr>
          <w:szCs w:val="24"/>
        </w:rPr>
        <w:t xml:space="preserve">As noted above, </w:t>
      </w:r>
      <w:r w:rsidR="0095400B">
        <w:rPr>
          <w:szCs w:val="24"/>
        </w:rPr>
        <w:t>these examples in sections 1 and 2 are</w:t>
      </w:r>
      <w:r w:rsidR="00C367BE">
        <w:rPr>
          <w:szCs w:val="24"/>
        </w:rPr>
        <w:t xml:space="preserve"> </w:t>
      </w:r>
      <w:r w:rsidR="0095400B">
        <w:rPr>
          <w:szCs w:val="24"/>
        </w:rPr>
        <w:t>examples, rather than an exhaustive list</w:t>
      </w:r>
      <w:r w:rsidR="00C367BE">
        <w:rPr>
          <w:szCs w:val="24"/>
        </w:rPr>
        <w:t xml:space="preserve"> of circumstances in which trading partners should make notifications under section 582(b)(4)(B)(ii)(II)</w:t>
      </w:r>
      <w:r w:rsidR="0095400B">
        <w:rPr>
          <w:szCs w:val="24"/>
        </w:rPr>
        <w:t xml:space="preserve">.  </w:t>
      </w:r>
    </w:p>
    <w:p w:rsidR="00AA5C4E" w:rsidRPr="00653D78" w:rsidRDefault="00AA5C4E" w:rsidP="00F43AF8">
      <w:pPr>
        <w:rPr>
          <w:szCs w:val="24"/>
        </w:rPr>
      </w:pPr>
    </w:p>
    <w:p w:rsidR="00F43AF8" w:rsidRDefault="00F43AF8" w:rsidP="000B511D">
      <w:pPr>
        <w:pStyle w:val="Heading3"/>
        <w:rPr>
          <w:rFonts w:eastAsia="Calibri"/>
        </w:rPr>
      </w:pPr>
      <w:r>
        <w:lastRenderedPageBreak/>
        <w:t xml:space="preserve">3. </w:t>
      </w:r>
      <w:bookmarkStart w:id="31" w:name="_Toc407020512"/>
      <w:r w:rsidRPr="00F97C3B">
        <w:t>Other High Risks as Determined by FDA</w:t>
      </w:r>
      <w:r>
        <w:t xml:space="preserve">: </w:t>
      </w:r>
      <w:r w:rsidRPr="00947E5B">
        <w:rPr>
          <w:rFonts w:eastAsia="Calibri"/>
        </w:rPr>
        <w:t>High Risk of Illegitimacy Notification Where a Manufacturer has Reason to Believe the Product has Entered the Pharmaceutical Distribution Supply Chain</w:t>
      </w:r>
      <w:bookmarkEnd w:id="31"/>
    </w:p>
    <w:p w:rsidR="002A46E4" w:rsidRPr="002A46E4" w:rsidRDefault="002A46E4" w:rsidP="000B511D">
      <w:pPr>
        <w:rPr>
          <w:rFonts w:eastAsia="Calibri"/>
        </w:rPr>
      </w:pPr>
    </w:p>
    <w:p w:rsidR="00F43AF8" w:rsidRDefault="00F43AF8" w:rsidP="00F43AF8">
      <w:pPr>
        <w:spacing w:after="200"/>
        <w:rPr>
          <w:rFonts w:eastAsia="Calibri"/>
          <w:color w:val="auto"/>
          <w:szCs w:val="24"/>
        </w:rPr>
      </w:pPr>
      <w:r>
        <w:rPr>
          <w:rFonts w:eastAsia="Calibri"/>
          <w:color w:val="auto"/>
          <w:szCs w:val="24"/>
        </w:rPr>
        <w:t xml:space="preserve">Section </w:t>
      </w:r>
      <w:r w:rsidRPr="00787096">
        <w:t>582(b)(4)(B)(ii)(II)</w:t>
      </w:r>
      <w:r>
        <w:t xml:space="preserve"> of the FD&amp;C Act permits FDA to determine, through guidance pursuant to section 582(h), “other high risks” that would trigger a notification under this provision.  FDA believes that one “other high risk” not covered by the two </w:t>
      </w:r>
      <w:r w:rsidR="0040767E">
        <w:t xml:space="preserve">general </w:t>
      </w:r>
      <w:r>
        <w:t>scenarios described above is when a manufacturer has reason to believe that an illegitimate product has entered the pharmaceutical distribution supply chain, even though the manufacturer does not have reason to believe that an immediate trading partner possesses the high risk product.</w:t>
      </w:r>
      <w:r>
        <w:rPr>
          <w:rStyle w:val="FootnoteReference"/>
        </w:rPr>
        <w:footnoteReference w:id="11"/>
      </w:r>
      <w:r w:rsidR="00265ADF">
        <w:t xml:space="preserve">   </w:t>
      </w:r>
      <w:r w:rsidR="00467A50">
        <w:t>As with the second general scenario, described above, section 582(b)(4)(B)(ii)(II) would require the manufacturer to make a notification to FDA, but the manufacturer would not be required to notify immediate trading partners.  To help ensure the integrity of the supply chain, however, FDA recommends that</w:t>
      </w:r>
      <w:r w:rsidR="00A17DB0">
        <w:t xml:space="preserve"> a</w:t>
      </w:r>
      <w:r w:rsidR="00467A50">
        <w:t xml:space="preserve"> manufacturer notify </w:t>
      </w:r>
      <w:r w:rsidR="00A17DB0">
        <w:t>its</w:t>
      </w:r>
      <w:r w:rsidR="00467A50">
        <w:t xml:space="preserve"> immediate trading partners of this “other high risk</w:t>
      </w:r>
      <w:r w:rsidR="00BE23B0">
        <w:t>,</w:t>
      </w:r>
      <w:r w:rsidR="00467A50">
        <w:t xml:space="preserve">” </w:t>
      </w:r>
      <w:r w:rsidR="00265ADF">
        <w:t xml:space="preserve">even if that manufacturer does not have reason to believe that its immediate trading partners may have the high risk product in their possession.  </w:t>
      </w:r>
    </w:p>
    <w:p w:rsidR="00F43AF8" w:rsidRPr="00947E5B" w:rsidRDefault="00F43AF8" w:rsidP="00F43AF8">
      <w:pPr>
        <w:spacing w:after="200"/>
        <w:rPr>
          <w:rFonts w:eastAsia="Calibri"/>
          <w:color w:val="auto"/>
          <w:szCs w:val="24"/>
        </w:rPr>
      </w:pPr>
      <w:r w:rsidRPr="00947E5B">
        <w:rPr>
          <w:rFonts w:eastAsia="Calibri"/>
          <w:color w:val="auto"/>
          <w:szCs w:val="24"/>
        </w:rPr>
        <w:t>A manufacturer could learn that a product with a high risk of illegitimacy that was manufactured by or purported to be manufactured by that manufacturer may be in the possession of a trading partner</w:t>
      </w:r>
      <w:r w:rsidR="00A17DB0">
        <w:rPr>
          <w:rFonts w:eastAsia="Calibri"/>
          <w:color w:val="auto"/>
          <w:szCs w:val="24"/>
        </w:rPr>
        <w:t>,</w:t>
      </w:r>
      <w:r w:rsidRPr="00947E5B">
        <w:rPr>
          <w:rFonts w:eastAsia="Calibri"/>
          <w:color w:val="auto"/>
          <w:szCs w:val="24"/>
        </w:rPr>
        <w:t xml:space="preserve"> but that trading partner is not an immediate trading partner of the manufacturer.  Some</w:t>
      </w:r>
      <w:r w:rsidR="00F96ECC">
        <w:rPr>
          <w:rFonts w:eastAsia="Calibri"/>
          <w:color w:val="auto"/>
          <w:szCs w:val="24"/>
        </w:rPr>
        <w:t xml:space="preserve"> </w:t>
      </w:r>
      <w:r w:rsidR="00A17DB0">
        <w:rPr>
          <w:rFonts w:eastAsia="Calibri"/>
          <w:color w:val="auto"/>
          <w:szCs w:val="24"/>
        </w:rPr>
        <w:t>examples</w:t>
      </w:r>
      <w:r w:rsidR="00A17DB0" w:rsidRPr="00947E5B">
        <w:rPr>
          <w:rFonts w:eastAsia="Calibri"/>
          <w:color w:val="auto"/>
          <w:szCs w:val="24"/>
        </w:rPr>
        <w:t xml:space="preserve"> </w:t>
      </w:r>
      <w:r w:rsidRPr="00947E5B">
        <w:rPr>
          <w:rFonts w:eastAsia="Calibri"/>
          <w:color w:val="auto"/>
          <w:szCs w:val="24"/>
        </w:rPr>
        <w:t xml:space="preserve">which involve this </w:t>
      </w:r>
      <w:r>
        <w:rPr>
          <w:rFonts w:eastAsia="Calibri"/>
          <w:color w:val="auto"/>
          <w:szCs w:val="24"/>
        </w:rPr>
        <w:t xml:space="preserve">other </w:t>
      </w:r>
      <w:r w:rsidRPr="00947E5B">
        <w:rPr>
          <w:rFonts w:eastAsia="Calibri"/>
          <w:color w:val="auto"/>
          <w:szCs w:val="24"/>
        </w:rPr>
        <w:t>high risk:</w:t>
      </w:r>
    </w:p>
    <w:p w:rsidR="00F43AF8" w:rsidRPr="00947E5B" w:rsidRDefault="00F43AF8" w:rsidP="00F43AF8">
      <w:pPr>
        <w:numPr>
          <w:ilvl w:val="0"/>
          <w:numId w:val="23"/>
        </w:numPr>
        <w:spacing w:after="200"/>
        <w:rPr>
          <w:rFonts w:eastAsia="Calibri"/>
          <w:color w:val="auto"/>
          <w:szCs w:val="24"/>
        </w:rPr>
      </w:pPr>
      <w:r w:rsidRPr="00947E5B">
        <w:rPr>
          <w:rFonts w:eastAsia="Calibri"/>
          <w:color w:val="auto"/>
          <w:szCs w:val="24"/>
        </w:rPr>
        <w:t>A manufacturer learns that a licensed health care practitioner is administering an oncology drug to patients that</w:t>
      </w:r>
      <w:r w:rsidR="00F96ECC">
        <w:rPr>
          <w:rFonts w:eastAsia="Calibri"/>
          <w:color w:val="auto"/>
          <w:szCs w:val="24"/>
        </w:rPr>
        <w:t xml:space="preserve"> </w:t>
      </w:r>
      <w:r w:rsidRPr="00947E5B">
        <w:rPr>
          <w:rFonts w:eastAsia="Calibri"/>
          <w:color w:val="auto"/>
          <w:szCs w:val="24"/>
        </w:rPr>
        <w:t>purports to have been manufactured by that manufacturer but the manufacturer determines that there is a high risk that the drug is a counterfeit. The licensed health care practitioner purchased the drug from a wholesale distributor</w:t>
      </w:r>
      <w:r>
        <w:rPr>
          <w:rFonts w:eastAsia="Calibri"/>
          <w:color w:val="auto"/>
          <w:szCs w:val="24"/>
        </w:rPr>
        <w:t>,</w:t>
      </w:r>
      <w:r w:rsidRPr="00947E5B">
        <w:rPr>
          <w:rFonts w:eastAsia="Calibri"/>
          <w:color w:val="auto"/>
          <w:szCs w:val="24"/>
        </w:rPr>
        <w:t xml:space="preserve"> so he/she is not an immediate trading partner of the manufacturer. However, the manufacturer believe</w:t>
      </w:r>
      <w:r>
        <w:rPr>
          <w:rFonts w:eastAsia="Calibri"/>
          <w:color w:val="auto"/>
          <w:szCs w:val="24"/>
        </w:rPr>
        <w:t>s</w:t>
      </w:r>
      <w:r w:rsidRPr="00947E5B">
        <w:rPr>
          <w:rFonts w:eastAsia="Calibri"/>
          <w:color w:val="auto"/>
          <w:szCs w:val="24"/>
        </w:rPr>
        <w:t xml:space="preserve"> that the product has entered the pharmaceutical distribution supply chain</w:t>
      </w:r>
      <w:r>
        <w:rPr>
          <w:rFonts w:eastAsia="Calibri"/>
          <w:color w:val="auto"/>
          <w:szCs w:val="24"/>
        </w:rPr>
        <w:t>.</w:t>
      </w:r>
    </w:p>
    <w:p w:rsidR="00F43AF8" w:rsidRDefault="00F43AF8" w:rsidP="00F43AF8">
      <w:pPr>
        <w:numPr>
          <w:ilvl w:val="0"/>
          <w:numId w:val="23"/>
        </w:numPr>
        <w:spacing w:after="200"/>
        <w:rPr>
          <w:rFonts w:eastAsia="Calibri"/>
          <w:color w:val="auto"/>
          <w:szCs w:val="24"/>
        </w:rPr>
      </w:pPr>
      <w:r w:rsidRPr="00947E5B">
        <w:rPr>
          <w:rFonts w:eastAsia="Calibri"/>
          <w:color w:val="auto"/>
          <w:szCs w:val="24"/>
        </w:rPr>
        <w:t xml:space="preserve">A manufacturer learns that its product has been stolen or diverted in the U.S., and the manufacturer learns that a patient filled a prescription and received some of the stolen or diverted product.  The patient suffers an adverse event and FDA and the manufacturer </w:t>
      </w:r>
      <w:r>
        <w:rPr>
          <w:rFonts w:eastAsia="Calibri"/>
          <w:color w:val="auto"/>
          <w:szCs w:val="24"/>
        </w:rPr>
        <w:t>is</w:t>
      </w:r>
      <w:r w:rsidRPr="00947E5B">
        <w:rPr>
          <w:rFonts w:eastAsia="Calibri"/>
          <w:color w:val="auto"/>
          <w:szCs w:val="24"/>
        </w:rPr>
        <w:t xml:space="preserve"> notified of that situation.  Because the dispenser did not purchase the product from the manufacturer, it is not an immediate trading partner of the manufacturer.  However, the product has entered the pharmaceutical distribution supply chain</w:t>
      </w:r>
      <w:r>
        <w:rPr>
          <w:rFonts w:eastAsia="Calibri"/>
          <w:color w:val="auto"/>
          <w:szCs w:val="24"/>
        </w:rPr>
        <w:t>.</w:t>
      </w:r>
    </w:p>
    <w:p w:rsidR="00F43AF8" w:rsidRPr="00850159" w:rsidRDefault="00F43AF8" w:rsidP="00F43AF8">
      <w:pPr>
        <w:numPr>
          <w:ilvl w:val="0"/>
          <w:numId w:val="23"/>
        </w:numPr>
        <w:spacing w:after="200"/>
        <w:rPr>
          <w:rFonts w:eastAsia="Calibri"/>
          <w:color w:val="auto"/>
          <w:szCs w:val="24"/>
        </w:rPr>
      </w:pPr>
      <w:r>
        <w:rPr>
          <w:rFonts w:eastAsia="Calibri"/>
          <w:color w:val="auto"/>
          <w:szCs w:val="24"/>
        </w:rPr>
        <w:t xml:space="preserve">A manufacturer learns that wholesale distributor B received product and transaction history going back to the manufacturer from wholesale distributor A, but the listed dosage form of the product on the transaction history is not one that has ever been used by the manufacturer.  Wholesale distributor B provided a copy of the transaction history it received from wholesale distributor A to the manufacturer, and the manufacturer concluded after reviewing the copy and receiving similar reports from other trading </w:t>
      </w:r>
      <w:r>
        <w:rPr>
          <w:rFonts w:eastAsia="Calibri"/>
          <w:color w:val="auto"/>
          <w:szCs w:val="24"/>
        </w:rPr>
        <w:lastRenderedPageBreak/>
        <w:t>partners that a fraudulent transaction had occurred.  Because wholesale distributor B did not purchase the product from the manufacturer, it is not an immediate trading partner of the manufacturer.</w:t>
      </w:r>
      <w:r w:rsidRPr="00850159">
        <w:rPr>
          <w:rFonts w:eastAsia="Calibri"/>
          <w:color w:val="auto"/>
          <w:szCs w:val="24"/>
        </w:rPr>
        <w:t xml:space="preserve"> </w:t>
      </w:r>
      <w:r>
        <w:rPr>
          <w:rFonts w:eastAsia="Calibri"/>
          <w:color w:val="auto"/>
          <w:szCs w:val="24"/>
        </w:rPr>
        <w:t xml:space="preserve">  </w:t>
      </w:r>
      <w:r w:rsidRPr="00874566">
        <w:rPr>
          <w:rFonts w:eastAsia="Calibri"/>
          <w:color w:val="auto"/>
          <w:szCs w:val="24"/>
        </w:rPr>
        <w:t>However, the product has entered the pharmaceutical distribution supply chain</w:t>
      </w:r>
      <w:r>
        <w:rPr>
          <w:rFonts w:eastAsia="Calibri"/>
          <w:color w:val="auto"/>
          <w:szCs w:val="24"/>
        </w:rPr>
        <w:t>.</w:t>
      </w:r>
      <w:r w:rsidRPr="00874566">
        <w:rPr>
          <w:rFonts w:eastAsia="Calibri"/>
          <w:color w:val="auto"/>
          <w:szCs w:val="24"/>
        </w:rPr>
        <w:t xml:space="preserve"> </w:t>
      </w:r>
    </w:p>
    <w:p w:rsidR="00285465" w:rsidRDefault="00285465" w:rsidP="00E8521D">
      <w:pPr>
        <w:pStyle w:val="Heading1"/>
      </w:pPr>
      <w:bookmarkStart w:id="32" w:name="_Toc407020513"/>
    </w:p>
    <w:p w:rsidR="00103AB3" w:rsidRDefault="00013F7A" w:rsidP="00E8521D">
      <w:pPr>
        <w:pStyle w:val="Heading1"/>
      </w:pPr>
      <w:r>
        <w:t>I</w:t>
      </w:r>
      <w:r w:rsidR="00362329">
        <w:t>V.</w:t>
      </w:r>
      <w:r w:rsidR="00362329">
        <w:tab/>
      </w:r>
      <w:r w:rsidR="00103AB3">
        <w:t>Notification</w:t>
      </w:r>
      <w:r w:rsidR="009518BA">
        <w:t xml:space="preserve"> OF ILLEGITIMATE PRODUCT</w:t>
      </w:r>
      <w:r w:rsidR="00D13B8C">
        <w:t xml:space="preserve"> AND PRODUCTS WITH A HIGH RISK OF ILLEGITIMACY</w:t>
      </w:r>
      <w:bookmarkEnd w:id="32"/>
    </w:p>
    <w:p w:rsidR="00E8521D" w:rsidRPr="00E8521D" w:rsidRDefault="00E8521D" w:rsidP="00E8521D"/>
    <w:p w:rsidR="003112B8" w:rsidRDefault="007C3C1E" w:rsidP="00897AC5">
      <w:pPr>
        <w:pStyle w:val="Heading2"/>
        <w:numPr>
          <w:ilvl w:val="0"/>
          <w:numId w:val="11"/>
        </w:numPr>
      </w:pPr>
      <w:bookmarkStart w:id="33" w:name="_Toc407020514"/>
      <w:r>
        <w:t xml:space="preserve">Notification </w:t>
      </w:r>
      <w:r w:rsidR="009518BA">
        <w:t>to</w:t>
      </w:r>
      <w:r w:rsidR="00B3224E">
        <w:t xml:space="preserve"> </w:t>
      </w:r>
      <w:r>
        <w:t>FDA</w:t>
      </w:r>
      <w:bookmarkEnd w:id="33"/>
    </w:p>
    <w:p w:rsidR="00E8521D" w:rsidRPr="00E8521D" w:rsidRDefault="00E8521D" w:rsidP="00E8521D">
      <w:pPr>
        <w:ind w:left="1440"/>
      </w:pPr>
    </w:p>
    <w:p w:rsidR="003D148F" w:rsidRPr="009C6DD9" w:rsidRDefault="007C3C1E" w:rsidP="003D148F">
      <w:pPr>
        <w:rPr>
          <w:color w:val="000000" w:themeColor="text1"/>
          <w:szCs w:val="24"/>
        </w:rPr>
      </w:pPr>
      <w:r>
        <w:t xml:space="preserve">As discussed above, </w:t>
      </w:r>
      <w:r w:rsidR="005F2C2A">
        <w:t xml:space="preserve">trading partners must, as applicable, make </w:t>
      </w:r>
      <w:r>
        <w:t>t</w:t>
      </w:r>
      <w:r w:rsidR="00DF68F5" w:rsidRPr="002C2C81">
        <w:t xml:space="preserve">he </w:t>
      </w:r>
      <w:r w:rsidR="00DF68F5">
        <w:t>notification</w:t>
      </w:r>
      <w:r w:rsidR="00C90937">
        <w:t>s described in</w:t>
      </w:r>
      <w:r w:rsidR="00DF68F5">
        <w:t xml:space="preserve"> </w:t>
      </w:r>
      <w:r w:rsidR="00ED40A7">
        <w:t>section</w:t>
      </w:r>
      <w:r w:rsidR="002F4C97">
        <w:t>s</w:t>
      </w:r>
      <w:r w:rsidR="00ED40A7">
        <w:t xml:space="preserve"> 582</w:t>
      </w:r>
      <w:r w:rsidR="00C90937">
        <w:t>(</w:t>
      </w:r>
      <w:r w:rsidR="00C90937" w:rsidRPr="00C90937">
        <w:t>b)(4)(B)</w:t>
      </w:r>
      <w:r w:rsidR="00986B22">
        <w:t>(ii)(I)</w:t>
      </w:r>
      <w:r w:rsidR="00C90937" w:rsidRPr="00C90937">
        <w:t>, (c)(4)(B</w:t>
      </w:r>
      <w:r w:rsidR="00ED40A7">
        <w:t>)</w:t>
      </w:r>
      <w:r w:rsidR="00986B22">
        <w:t>(ii)</w:t>
      </w:r>
      <w:r w:rsidR="00ED40A7">
        <w:t>, (d)(4)(B)</w:t>
      </w:r>
      <w:r w:rsidR="00986B22">
        <w:t>(ii)</w:t>
      </w:r>
      <w:r w:rsidR="00ED40A7">
        <w:t>, and (e)(4)(B)</w:t>
      </w:r>
      <w:r w:rsidR="00986B22">
        <w:t>(ii)</w:t>
      </w:r>
      <w:r w:rsidR="00ED40A7">
        <w:t xml:space="preserve"> </w:t>
      </w:r>
      <w:r>
        <w:t xml:space="preserve">of </w:t>
      </w:r>
      <w:r w:rsidR="00405C9E">
        <w:t>the FD&amp;C Act</w:t>
      </w:r>
      <w:r>
        <w:t xml:space="preserve"> related to illegitimate product determinations</w:t>
      </w:r>
      <w:r w:rsidR="00313C1F">
        <w:t>,</w:t>
      </w:r>
      <w:r w:rsidR="005045ED">
        <w:t xml:space="preserve"> </w:t>
      </w:r>
      <w:r w:rsidR="005F2C2A">
        <w:t>and,</w:t>
      </w:r>
      <w:r w:rsidR="00DE36D9">
        <w:t xml:space="preserve"> </w:t>
      </w:r>
      <w:r w:rsidR="008E13D4">
        <w:t>for manufacturer</w:t>
      </w:r>
      <w:r w:rsidR="002F4C97">
        <w:t>s</w:t>
      </w:r>
      <w:r w:rsidR="008E13D4">
        <w:t xml:space="preserve">, </w:t>
      </w:r>
      <w:r w:rsidR="005F2C2A">
        <w:t xml:space="preserve">the </w:t>
      </w:r>
      <w:r w:rsidR="00B96452">
        <w:t>notification of</w:t>
      </w:r>
      <w:r w:rsidR="005045ED">
        <w:t xml:space="preserve"> </w:t>
      </w:r>
      <w:r w:rsidR="00B96452">
        <w:t xml:space="preserve">a </w:t>
      </w:r>
      <w:r w:rsidR="005045ED">
        <w:t>high risk</w:t>
      </w:r>
      <w:r w:rsidR="00B96452">
        <w:t xml:space="preserve"> of</w:t>
      </w:r>
      <w:r w:rsidR="005045ED">
        <w:t xml:space="preserve"> illegitimacy</w:t>
      </w:r>
      <w:r w:rsidR="005F2C2A">
        <w:t xml:space="preserve"> described in section 582(b)(4)(B)(ii)(II)</w:t>
      </w:r>
      <w:r w:rsidR="00DF68F5" w:rsidRPr="002C2C81">
        <w:t xml:space="preserve">.  </w:t>
      </w:r>
      <w:r w:rsidR="00DF68F5">
        <w:t>T</w:t>
      </w:r>
      <w:r w:rsidR="00DF68F5" w:rsidRPr="002C2C81">
        <w:t>h</w:t>
      </w:r>
      <w:r w:rsidR="000B1A1F">
        <w:t xml:space="preserve">is </w:t>
      </w:r>
      <w:r w:rsidR="00ED40A7">
        <w:t>section</w:t>
      </w:r>
      <w:r w:rsidR="00864B2A">
        <w:t xml:space="preserve"> of the </w:t>
      </w:r>
      <w:r w:rsidR="000B1A1F">
        <w:t xml:space="preserve">guidance </w:t>
      </w:r>
      <w:r w:rsidR="00415D36">
        <w:t>addresses</w:t>
      </w:r>
      <w:r w:rsidR="00DF68F5" w:rsidRPr="002C2C81">
        <w:t xml:space="preserve"> the process by which </w:t>
      </w:r>
      <w:r w:rsidR="000B1A1F">
        <w:t xml:space="preserve">trading partners </w:t>
      </w:r>
      <w:r w:rsidR="00DF68F5" w:rsidRPr="002C2C81">
        <w:t xml:space="preserve">should </w:t>
      </w:r>
      <w:r w:rsidR="00ED40A7">
        <w:t xml:space="preserve">notify FDA </w:t>
      </w:r>
      <w:r w:rsidR="009C47FF">
        <w:t xml:space="preserve">and trading partners </w:t>
      </w:r>
      <w:r w:rsidR="00ED40A7">
        <w:t xml:space="preserve">regarding illegitimate products </w:t>
      </w:r>
      <w:r w:rsidR="00C90937">
        <w:t xml:space="preserve">under </w:t>
      </w:r>
      <w:r w:rsidR="00B3224E">
        <w:t>s</w:t>
      </w:r>
      <w:r w:rsidR="00C90937">
        <w:t>ection 582</w:t>
      </w:r>
      <w:r w:rsidR="00157E39">
        <w:t>.</w:t>
      </w:r>
      <w:r w:rsidR="00830365" w:rsidRPr="009C6DD9">
        <w:rPr>
          <w:color w:val="000000" w:themeColor="text1"/>
        </w:rPr>
        <w:t xml:space="preserve">  </w:t>
      </w:r>
      <w:r w:rsidR="003D148F" w:rsidRPr="009C6DD9">
        <w:rPr>
          <w:color w:val="000000" w:themeColor="text1"/>
          <w:szCs w:val="24"/>
        </w:rPr>
        <w:t xml:space="preserve">After review of the circumstances surrounding the event, if FDA determines that notification </w:t>
      </w:r>
      <w:r w:rsidR="00EA5289">
        <w:rPr>
          <w:color w:val="000000" w:themeColor="text1"/>
          <w:szCs w:val="24"/>
        </w:rPr>
        <w:t xml:space="preserve">is not </w:t>
      </w:r>
      <w:r w:rsidR="003D148F" w:rsidRPr="009C6DD9">
        <w:rPr>
          <w:color w:val="000000" w:themeColor="text1"/>
          <w:szCs w:val="24"/>
        </w:rPr>
        <w:t>require</w:t>
      </w:r>
      <w:r w:rsidR="00EA5289">
        <w:rPr>
          <w:color w:val="000000" w:themeColor="text1"/>
          <w:szCs w:val="24"/>
        </w:rPr>
        <w:t>d</w:t>
      </w:r>
      <w:r w:rsidR="003D148F" w:rsidRPr="009C6DD9">
        <w:rPr>
          <w:color w:val="000000" w:themeColor="text1"/>
          <w:szCs w:val="24"/>
        </w:rPr>
        <w:t xml:space="preserve"> </w:t>
      </w:r>
      <w:r w:rsidR="00EA5289">
        <w:rPr>
          <w:color w:val="000000" w:themeColor="text1"/>
          <w:szCs w:val="24"/>
        </w:rPr>
        <w:t>under</w:t>
      </w:r>
      <w:r w:rsidR="003D148F" w:rsidRPr="009C6DD9">
        <w:rPr>
          <w:color w:val="000000" w:themeColor="text1"/>
          <w:szCs w:val="24"/>
        </w:rPr>
        <w:t xml:space="preserve"> either section 582(b)(4)(B)</w:t>
      </w:r>
      <w:r w:rsidR="00D44C8B">
        <w:rPr>
          <w:color w:val="000000" w:themeColor="text1"/>
          <w:szCs w:val="24"/>
        </w:rPr>
        <w:t>(ii)(I)</w:t>
      </w:r>
      <w:r w:rsidR="003D148F" w:rsidRPr="009C6DD9">
        <w:rPr>
          <w:color w:val="000000" w:themeColor="text1"/>
          <w:szCs w:val="24"/>
        </w:rPr>
        <w:t>, (c)(4)(B)</w:t>
      </w:r>
      <w:r w:rsidR="00010E0F">
        <w:rPr>
          <w:color w:val="000000" w:themeColor="text1"/>
          <w:szCs w:val="24"/>
        </w:rPr>
        <w:t>(ii)</w:t>
      </w:r>
      <w:r w:rsidR="003D148F" w:rsidRPr="009C6DD9">
        <w:rPr>
          <w:color w:val="000000" w:themeColor="text1"/>
          <w:szCs w:val="24"/>
        </w:rPr>
        <w:t>, (d)(4)(B)</w:t>
      </w:r>
      <w:r w:rsidR="00010E0F">
        <w:rPr>
          <w:color w:val="000000" w:themeColor="text1"/>
          <w:szCs w:val="24"/>
        </w:rPr>
        <w:t>(ii)</w:t>
      </w:r>
      <w:r w:rsidR="003D148F" w:rsidRPr="009C6DD9">
        <w:rPr>
          <w:color w:val="000000" w:themeColor="text1"/>
          <w:szCs w:val="24"/>
        </w:rPr>
        <w:t>, (e)(4)(B)</w:t>
      </w:r>
      <w:r w:rsidR="00010E0F">
        <w:rPr>
          <w:color w:val="000000" w:themeColor="text1"/>
          <w:szCs w:val="24"/>
        </w:rPr>
        <w:t>(ii)</w:t>
      </w:r>
      <w:r w:rsidR="003D148F" w:rsidRPr="009C6DD9">
        <w:rPr>
          <w:color w:val="000000" w:themeColor="text1"/>
          <w:szCs w:val="24"/>
        </w:rPr>
        <w:t xml:space="preserve">  or (b)(4)(B)(ii)(II) of the FD&amp;C Act, FDA </w:t>
      </w:r>
      <w:r w:rsidR="00704629">
        <w:rPr>
          <w:color w:val="000000" w:themeColor="text1"/>
          <w:szCs w:val="24"/>
        </w:rPr>
        <w:t>intends to</w:t>
      </w:r>
      <w:r w:rsidR="00EE3823" w:rsidRPr="009C6DD9">
        <w:rPr>
          <w:color w:val="000000" w:themeColor="text1"/>
          <w:szCs w:val="24"/>
        </w:rPr>
        <w:t xml:space="preserve"> </w:t>
      </w:r>
      <w:r w:rsidR="003D148F" w:rsidRPr="009C6DD9">
        <w:rPr>
          <w:color w:val="000000" w:themeColor="text1"/>
          <w:szCs w:val="24"/>
        </w:rPr>
        <w:t>inform the submitting entity.   </w:t>
      </w:r>
    </w:p>
    <w:p w:rsidR="00DF68F5" w:rsidRDefault="00DF68F5" w:rsidP="00E8521D"/>
    <w:p w:rsidR="009F3516" w:rsidRDefault="009F3516" w:rsidP="00DF125F">
      <w:pPr>
        <w:pStyle w:val="Heading3"/>
        <w:numPr>
          <w:ilvl w:val="0"/>
          <w:numId w:val="24"/>
        </w:numPr>
      </w:pPr>
      <w:bookmarkStart w:id="34" w:name="_Toc407020515"/>
      <w:r>
        <w:t xml:space="preserve">The </w:t>
      </w:r>
      <w:r w:rsidR="00415D36">
        <w:t xml:space="preserve">following </w:t>
      </w:r>
      <w:r>
        <w:t xml:space="preserve">process </w:t>
      </w:r>
      <w:r w:rsidR="00415D36">
        <w:t xml:space="preserve">should be used </w:t>
      </w:r>
      <w:r w:rsidR="002075E2">
        <w:t>to notify</w:t>
      </w:r>
      <w:r>
        <w:t xml:space="preserve"> FDA</w:t>
      </w:r>
      <w:r w:rsidR="00944F90">
        <w:t xml:space="preserve"> of illegitimate products</w:t>
      </w:r>
      <w:r>
        <w:t>:</w:t>
      </w:r>
      <w:bookmarkEnd w:id="34"/>
    </w:p>
    <w:p w:rsidR="00E8521D" w:rsidRDefault="00E8521D" w:rsidP="00E8521D">
      <w:pPr>
        <w:ind w:firstLine="720"/>
      </w:pPr>
    </w:p>
    <w:p w:rsidR="00682FCE" w:rsidRDefault="009F3516" w:rsidP="002075E2">
      <w:pPr>
        <w:numPr>
          <w:ilvl w:val="0"/>
          <w:numId w:val="16"/>
        </w:numPr>
      </w:pPr>
      <w:r w:rsidRPr="002C2C81">
        <w:t xml:space="preserve">Trading partners should access FDA’s </w:t>
      </w:r>
      <w:r w:rsidR="00A31D4E">
        <w:t>W</w:t>
      </w:r>
      <w:r w:rsidRPr="002C2C81">
        <w:t>eb</w:t>
      </w:r>
      <w:r w:rsidR="00A31D4E">
        <w:t xml:space="preserve"> </w:t>
      </w:r>
      <w:r w:rsidRPr="002C2C81">
        <w:t>page at</w:t>
      </w:r>
      <w:r>
        <w:t xml:space="preserve"> </w:t>
      </w:r>
      <w:hyperlink r:id="rId25" w:history="1">
        <w:r w:rsidR="000576B1" w:rsidRPr="000A2DDF">
          <w:rPr>
            <w:rStyle w:val="Hyperlink"/>
          </w:rPr>
          <w:t>http://www.accessdata.fda.gov/scripts/cder/email/drugnotification.cfm</w:t>
        </w:r>
      </w:hyperlink>
      <w:r w:rsidR="002075E2">
        <w:t xml:space="preserve"> </w:t>
      </w:r>
      <w:r w:rsidR="002075E2" w:rsidRPr="002075E2">
        <w:t>for notifications</w:t>
      </w:r>
      <w:r w:rsidR="000576B1">
        <w:t xml:space="preserve">.   </w:t>
      </w:r>
    </w:p>
    <w:p w:rsidR="00682FCE" w:rsidRDefault="00682FCE" w:rsidP="00682FCE">
      <w:pPr>
        <w:ind w:left="360"/>
      </w:pPr>
      <w:r>
        <w:t xml:space="preserve"> </w:t>
      </w:r>
    </w:p>
    <w:p w:rsidR="00682FCE" w:rsidRDefault="009F683E" w:rsidP="00682FCE">
      <w:pPr>
        <w:numPr>
          <w:ilvl w:val="0"/>
          <w:numId w:val="16"/>
        </w:numPr>
      </w:pPr>
      <w:r>
        <w:t>Trading partners should follow the instructions</w:t>
      </w:r>
      <w:r w:rsidR="00585714">
        <w:t xml:space="preserve"> on the Web page for accessing F</w:t>
      </w:r>
      <w:r>
        <w:t xml:space="preserve">orm </w:t>
      </w:r>
      <w:r w:rsidR="00C866C3">
        <w:t>FDA 3911</w:t>
      </w:r>
      <w:r w:rsidR="0029202D">
        <w:t xml:space="preserve"> (</w:t>
      </w:r>
      <w:r w:rsidR="0029202D" w:rsidRPr="00842F85">
        <w:t>Attachment A</w:t>
      </w:r>
      <w:r w:rsidR="0029202D">
        <w:t>)</w:t>
      </w:r>
      <w:r>
        <w:t>.  Using this form, t</w:t>
      </w:r>
      <w:r w:rsidR="00C90937">
        <w:t>rading partners should</w:t>
      </w:r>
      <w:r>
        <w:t xml:space="preserve"> provide</w:t>
      </w:r>
      <w:r w:rsidR="00C90937">
        <w:t xml:space="preserve"> </w:t>
      </w:r>
      <w:r w:rsidR="00C90937" w:rsidRPr="00C90937">
        <w:t xml:space="preserve">information about the person or entity initiating the </w:t>
      </w:r>
      <w:r w:rsidR="00C90937">
        <w:t>notification</w:t>
      </w:r>
      <w:r w:rsidR="00F6462B">
        <w:t>,</w:t>
      </w:r>
      <w:r w:rsidR="00C90937">
        <w:t xml:space="preserve"> </w:t>
      </w:r>
      <w:r w:rsidR="00C90937" w:rsidRPr="00C90937">
        <w:t>the product</w:t>
      </w:r>
      <w:r w:rsidR="00C90937">
        <w:t xml:space="preserve"> </w:t>
      </w:r>
      <w:r w:rsidR="000A226A">
        <w:t xml:space="preserve">determined to be illegitimate </w:t>
      </w:r>
      <w:r w:rsidR="00C90937">
        <w:t xml:space="preserve">that is </w:t>
      </w:r>
      <w:r w:rsidR="00156341">
        <w:t xml:space="preserve">the </w:t>
      </w:r>
      <w:r w:rsidR="00C90937">
        <w:t xml:space="preserve">subject </w:t>
      </w:r>
      <w:r w:rsidR="00156341">
        <w:t>of</w:t>
      </w:r>
      <w:r w:rsidR="00C90937">
        <w:t xml:space="preserve"> the</w:t>
      </w:r>
      <w:r w:rsidR="00C90937" w:rsidRPr="00C90937">
        <w:t xml:space="preserve"> notification</w:t>
      </w:r>
      <w:r w:rsidR="00C90937">
        <w:t xml:space="preserve"> to FDA</w:t>
      </w:r>
      <w:r w:rsidR="00F6462B">
        <w:t xml:space="preserve">, and </w:t>
      </w:r>
      <w:r w:rsidR="00DF441F">
        <w:t xml:space="preserve">a </w:t>
      </w:r>
      <w:r w:rsidR="00F6462B">
        <w:t>description of the circumstances surrounding the event that prompted the notification</w:t>
      </w:r>
      <w:r w:rsidR="00C311B0">
        <w:t>.</w:t>
      </w:r>
    </w:p>
    <w:p w:rsidR="00682FCE" w:rsidRDefault="00682FCE" w:rsidP="00682FCE">
      <w:pPr>
        <w:ind w:left="360"/>
      </w:pPr>
    </w:p>
    <w:p w:rsidR="0029202D" w:rsidRPr="00A21F9E" w:rsidRDefault="002075E2" w:rsidP="00682FCE">
      <w:pPr>
        <w:numPr>
          <w:ilvl w:val="0"/>
          <w:numId w:val="16"/>
        </w:numPr>
      </w:pPr>
      <w:r>
        <w:rPr>
          <w:color w:val="auto"/>
        </w:rPr>
        <w:t>F</w:t>
      </w:r>
      <w:r w:rsidR="0029202D" w:rsidRPr="00682FCE">
        <w:rPr>
          <w:color w:val="auto"/>
        </w:rPr>
        <w:t>orm</w:t>
      </w:r>
      <w:r w:rsidR="00C866C3">
        <w:rPr>
          <w:color w:val="auto"/>
        </w:rPr>
        <w:t xml:space="preserve"> FDA 3911</w:t>
      </w:r>
      <w:r>
        <w:rPr>
          <w:color w:val="auto"/>
        </w:rPr>
        <w:t xml:space="preserve"> </w:t>
      </w:r>
      <w:r w:rsidR="0029202D" w:rsidRPr="00682FCE">
        <w:rPr>
          <w:color w:val="auto"/>
        </w:rPr>
        <w:t>should be submitted using the method provided in the form</w:t>
      </w:r>
      <w:r w:rsidR="00F6462B" w:rsidRPr="00682FCE">
        <w:rPr>
          <w:color w:val="auto"/>
        </w:rPr>
        <w:t xml:space="preserve"> or on the Web page.</w:t>
      </w:r>
    </w:p>
    <w:p w:rsidR="00944F90" w:rsidRDefault="00944F90" w:rsidP="00A21F9E">
      <w:pPr>
        <w:pStyle w:val="ListParagraph"/>
      </w:pPr>
    </w:p>
    <w:p w:rsidR="00944F90" w:rsidRDefault="00944F90" w:rsidP="00944F90">
      <w:pPr>
        <w:pStyle w:val="ListParagraph"/>
        <w:numPr>
          <w:ilvl w:val="0"/>
          <w:numId w:val="16"/>
        </w:numPr>
      </w:pPr>
      <w:r>
        <w:t xml:space="preserve">FDA will acknowledge receipt of the notification and assign an incident number.  </w:t>
      </w:r>
      <w:r w:rsidR="00F3063B">
        <w:t>This number should be referenced</w:t>
      </w:r>
      <w:r>
        <w:t xml:space="preserve"> in all future correspondence about the il</w:t>
      </w:r>
      <w:r w:rsidR="00751633">
        <w:t>legitimate product including any</w:t>
      </w:r>
      <w:r>
        <w:t xml:space="preserve"> request for termination. </w:t>
      </w:r>
    </w:p>
    <w:p w:rsidR="00944F90" w:rsidRDefault="00944F90" w:rsidP="00944F90">
      <w:pPr>
        <w:pStyle w:val="ListParagraph"/>
      </w:pPr>
    </w:p>
    <w:p w:rsidR="00944F90" w:rsidRDefault="00944F90" w:rsidP="00A21F9E">
      <w:pPr>
        <w:pStyle w:val="ListParagraph"/>
        <w:numPr>
          <w:ilvl w:val="0"/>
          <w:numId w:val="16"/>
        </w:numPr>
        <w:rPr>
          <w:szCs w:val="24"/>
        </w:rPr>
      </w:pPr>
      <w:r>
        <w:t>In addition to notifying FDA, t</w:t>
      </w:r>
      <w:r w:rsidRPr="009C47FF">
        <w:rPr>
          <w:color w:val="auto"/>
        </w:rPr>
        <w:t xml:space="preserve">he trading partner </w:t>
      </w:r>
      <w:r w:rsidR="00725439">
        <w:rPr>
          <w:color w:val="auto"/>
        </w:rPr>
        <w:t>that</w:t>
      </w:r>
      <w:r w:rsidRPr="009C47FF">
        <w:rPr>
          <w:color w:val="auto"/>
        </w:rPr>
        <w:t xml:space="preserve"> determines that </w:t>
      </w:r>
      <w:r w:rsidR="00725439">
        <w:rPr>
          <w:color w:val="auto"/>
        </w:rPr>
        <w:t>it</w:t>
      </w:r>
      <w:r w:rsidRPr="009C47FF">
        <w:rPr>
          <w:color w:val="auto"/>
        </w:rPr>
        <w:t xml:space="preserve"> ha</w:t>
      </w:r>
      <w:r w:rsidR="00725439">
        <w:rPr>
          <w:color w:val="auto"/>
        </w:rPr>
        <w:t>s</w:t>
      </w:r>
      <w:r w:rsidRPr="009C47FF">
        <w:rPr>
          <w:color w:val="auto"/>
        </w:rPr>
        <w:t xml:space="preserve"> an illegitimate product in </w:t>
      </w:r>
      <w:r w:rsidR="00725439">
        <w:rPr>
          <w:color w:val="auto"/>
        </w:rPr>
        <w:t>its</w:t>
      </w:r>
      <w:r w:rsidRPr="009C47FF">
        <w:rPr>
          <w:color w:val="auto"/>
        </w:rPr>
        <w:t xml:space="preserve"> possession or control must notify all immediate trading partners that </w:t>
      </w:r>
      <w:r w:rsidR="00725439">
        <w:rPr>
          <w:color w:val="auto"/>
        </w:rPr>
        <w:t>it</w:t>
      </w:r>
      <w:r w:rsidRPr="009C47FF">
        <w:rPr>
          <w:color w:val="auto"/>
        </w:rPr>
        <w:t xml:space="preserve"> </w:t>
      </w:r>
      <w:r w:rsidR="009679EE">
        <w:rPr>
          <w:color w:val="auto"/>
        </w:rPr>
        <w:t xml:space="preserve">has reason to </w:t>
      </w:r>
      <w:r w:rsidRPr="009C47FF">
        <w:rPr>
          <w:color w:val="auto"/>
        </w:rPr>
        <w:t xml:space="preserve">believe may also possess the drug. Trading partners may notify </w:t>
      </w:r>
      <w:r w:rsidR="00725439">
        <w:rPr>
          <w:color w:val="auto"/>
        </w:rPr>
        <w:t xml:space="preserve">other </w:t>
      </w:r>
      <w:r w:rsidRPr="009C47FF">
        <w:rPr>
          <w:color w:val="auto"/>
        </w:rPr>
        <w:t xml:space="preserve">trading partners of an illegitimate product </w:t>
      </w:r>
      <w:r w:rsidRPr="009C47FF">
        <w:rPr>
          <w:szCs w:val="24"/>
        </w:rPr>
        <w:t xml:space="preserve">using existing systems and processes used for similar types of communications to those partners, which might include, but </w:t>
      </w:r>
      <w:r w:rsidR="003932FB">
        <w:rPr>
          <w:szCs w:val="24"/>
        </w:rPr>
        <w:t>are</w:t>
      </w:r>
      <w:r w:rsidR="003932FB" w:rsidRPr="009C47FF">
        <w:rPr>
          <w:szCs w:val="24"/>
        </w:rPr>
        <w:t xml:space="preserve"> </w:t>
      </w:r>
      <w:r w:rsidRPr="009C47FF">
        <w:rPr>
          <w:szCs w:val="24"/>
        </w:rPr>
        <w:t xml:space="preserve">not limited to, </w:t>
      </w:r>
      <w:r w:rsidRPr="009C47FF">
        <w:rPr>
          <w:szCs w:val="24"/>
        </w:rPr>
        <w:lastRenderedPageBreak/>
        <w:t xml:space="preserve">posting of notifications on a company Web site, </w:t>
      </w:r>
      <w:r w:rsidR="00A21F9E">
        <w:rPr>
          <w:szCs w:val="24"/>
        </w:rPr>
        <w:t xml:space="preserve">telephoning, </w:t>
      </w:r>
      <w:r w:rsidRPr="009C47FF">
        <w:rPr>
          <w:szCs w:val="24"/>
        </w:rPr>
        <w:t xml:space="preserve">sending an email, or mailing or faxing a notification.  </w:t>
      </w:r>
    </w:p>
    <w:p w:rsidR="009C47FF" w:rsidRPr="009C47FF" w:rsidRDefault="009C47FF" w:rsidP="00725439">
      <w:pPr>
        <w:rPr>
          <w:szCs w:val="24"/>
        </w:rPr>
      </w:pPr>
    </w:p>
    <w:p w:rsidR="00944F90" w:rsidRDefault="00944F90" w:rsidP="00DF125F">
      <w:pPr>
        <w:pStyle w:val="Heading3"/>
        <w:numPr>
          <w:ilvl w:val="0"/>
          <w:numId w:val="24"/>
        </w:numPr>
      </w:pPr>
      <w:bookmarkStart w:id="35" w:name="_Toc407020516"/>
      <w:r w:rsidRPr="00D61D55">
        <w:t xml:space="preserve">The following process should be used by manufacturers to notify FDA of a </w:t>
      </w:r>
      <w:r w:rsidR="00F12DAD" w:rsidRPr="00B94214">
        <w:t xml:space="preserve">product with a </w:t>
      </w:r>
      <w:r w:rsidRPr="00C07254">
        <w:t>high risk of illegitimacy</w:t>
      </w:r>
      <w:r>
        <w:t>:</w:t>
      </w:r>
      <w:bookmarkEnd w:id="35"/>
    </w:p>
    <w:p w:rsidR="00944F90" w:rsidRDefault="00944F90" w:rsidP="00944F90">
      <w:pPr>
        <w:ind w:firstLine="360"/>
      </w:pPr>
    </w:p>
    <w:p w:rsidR="00944F90" w:rsidRDefault="00804CD1" w:rsidP="00944F90">
      <w:pPr>
        <w:pStyle w:val="ListParagraph"/>
        <w:numPr>
          <w:ilvl w:val="0"/>
          <w:numId w:val="19"/>
        </w:numPr>
      </w:pPr>
      <w:r>
        <w:t>To notify FDA of a product with a high risk of illegitimacy under section 582</w:t>
      </w:r>
      <w:r w:rsidRPr="009C6DD9">
        <w:rPr>
          <w:color w:val="000000" w:themeColor="text1"/>
          <w:szCs w:val="24"/>
        </w:rPr>
        <w:t>(b)(4)(B)(ii)(II)</w:t>
      </w:r>
      <w:r>
        <w:rPr>
          <w:color w:val="000000" w:themeColor="text1"/>
          <w:szCs w:val="24"/>
        </w:rPr>
        <w:t>,</w:t>
      </w:r>
      <w:r w:rsidRPr="009C6DD9">
        <w:rPr>
          <w:color w:val="000000" w:themeColor="text1"/>
          <w:szCs w:val="24"/>
        </w:rPr>
        <w:t xml:space="preserve"> </w:t>
      </w:r>
      <w:r>
        <w:t>m</w:t>
      </w:r>
      <w:r w:rsidR="009A36B5">
        <w:t>anufacturers should follow the instructions on the Web page for accessing Form FDA 3911 (</w:t>
      </w:r>
      <w:r w:rsidR="009A36B5" w:rsidRPr="00842F85">
        <w:t>Attachment A</w:t>
      </w:r>
      <w:r w:rsidR="009A36B5">
        <w:t xml:space="preserve">).  Using this form, </w:t>
      </w:r>
      <w:r w:rsidR="001435DD">
        <w:t>manufacturers</w:t>
      </w:r>
      <w:r w:rsidR="009A36B5">
        <w:t xml:space="preserve"> should provide </w:t>
      </w:r>
      <w:r w:rsidR="009A36B5" w:rsidRPr="00C90937">
        <w:t xml:space="preserve">information about the person or entity initiating the </w:t>
      </w:r>
      <w:r w:rsidR="009A36B5">
        <w:t xml:space="preserve">notification, </w:t>
      </w:r>
      <w:r w:rsidR="009A36B5" w:rsidRPr="00C90937">
        <w:t>the product</w:t>
      </w:r>
      <w:r w:rsidR="009A36B5">
        <w:t xml:space="preserve"> determined to have a high risk of illegitimacy that is the subject of the</w:t>
      </w:r>
      <w:r w:rsidR="009A36B5" w:rsidRPr="00C90937">
        <w:t xml:space="preserve"> notification</w:t>
      </w:r>
      <w:r w:rsidR="009A36B5">
        <w:t xml:space="preserve"> to FDA, and a description of the circumstances surrounding the event that prompted the notification.</w:t>
      </w:r>
    </w:p>
    <w:p w:rsidR="009C47FF" w:rsidRDefault="009C47FF" w:rsidP="00A21F9E">
      <w:pPr>
        <w:pStyle w:val="ListParagraph"/>
      </w:pPr>
    </w:p>
    <w:p w:rsidR="009C47FF" w:rsidRDefault="009C47FF" w:rsidP="009C47FF">
      <w:pPr>
        <w:pStyle w:val="ListParagraph"/>
        <w:numPr>
          <w:ilvl w:val="0"/>
          <w:numId w:val="19"/>
        </w:numPr>
      </w:pPr>
      <w:r>
        <w:t>FDA will acknowledge receipt of the notification and assign an incident number.  This number should be documented in all future correspondence about the product with the high risk of illegitimacy</w:t>
      </w:r>
      <w:r w:rsidR="002F190D">
        <w:t xml:space="preserve"> </w:t>
      </w:r>
      <w:r>
        <w:t xml:space="preserve">including the request for termination. </w:t>
      </w:r>
    </w:p>
    <w:p w:rsidR="00944F90" w:rsidRDefault="00944F90" w:rsidP="00A21F9E">
      <w:pPr>
        <w:pStyle w:val="ListParagraph"/>
      </w:pPr>
    </w:p>
    <w:p w:rsidR="00944F90" w:rsidRPr="009C47FF" w:rsidRDefault="00944F90" w:rsidP="00A21F9E">
      <w:pPr>
        <w:pStyle w:val="ListParagraph"/>
        <w:numPr>
          <w:ilvl w:val="0"/>
          <w:numId w:val="19"/>
        </w:numPr>
      </w:pPr>
      <w:r>
        <w:t>In addition to notifying FDA, t</w:t>
      </w:r>
      <w:r w:rsidRPr="00944F90">
        <w:rPr>
          <w:color w:val="auto"/>
        </w:rPr>
        <w:t xml:space="preserve">he manufacturer </w:t>
      </w:r>
      <w:r w:rsidR="00725439">
        <w:rPr>
          <w:color w:val="auto"/>
        </w:rPr>
        <w:t>that</w:t>
      </w:r>
      <w:r w:rsidRPr="00944F90">
        <w:rPr>
          <w:color w:val="auto"/>
        </w:rPr>
        <w:t xml:space="preserve"> determines that a product has a high risk of illegitimacy</w:t>
      </w:r>
      <w:r w:rsidR="009C47FF">
        <w:rPr>
          <w:color w:val="auto"/>
        </w:rPr>
        <w:t xml:space="preserve"> </w:t>
      </w:r>
      <w:r w:rsidRPr="00944F90">
        <w:rPr>
          <w:color w:val="auto"/>
        </w:rPr>
        <w:t xml:space="preserve">must notify all immediate trading partners that </w:t>
      </w:r>
      <w:r w:rsidR="00725439">
        <w:rPr>
          <w:color w:val="auto"/>
        </w:rPr>
        <w:t>it</w:t>
      </w:r>
      <w:r w:rsidRPr="00944F90">
        <w:rPr>
          <w:color w:val="auto"/>
        </w:rPr>
        <w:t xml:space="preserve"> believe</w:t>
      </w:r>
      <w:r w:rsidR="00725439">
        <w:rPr>
          <w:color w:val="auto"/>
        </w:rPr>
        <w:t>s</w:t>
      </w:r>
      <w:r w:rsidRPr="00944F90">
        <w:rPr>
          <w:color w:val="auto"/>
        </w:rPr>
        <w:t xml:space="preserve"> may possess the drug.  Manufacturers</w:t>
      </w:r>
      <w:r w:rsidRPr="00D345AE">
        <w:rPr>
          <w:color w:val="auto"/>
        </w:rPr>
        <w:t xml:space="preserve"> ma</w:t>
      </w:r>
      <w:r w:rsidRPr="0000570A">
        <w:rPr>
          <w:color w:val="auto"/>
        </w:rPr>
        <w:t xml:space="preserve">y notify trading partners of a product with a high risk of illegitimacy </w:t>
      </w:r>
      <w:r w:rsidRPr="00944F90">
        <w:rPr>
          <w:color w:val="auto"/>
        </w:rPr>
        <w:t>u</w:t>
      </w:r>
      <w:r w:rsidRPr="00944F90">
        <w:rPr>
          <w:szCs w:val="24"/>
        </w:rPr>
        <w:t xml:space="preserve">sing existing systems and processes used for similar types of communications to those partners, which might include, but </w:t>
      </w:r>
      <w:r w:rsidR="003932FB">
        <w:rPr>
          <w:szCs w:val="24"/>
        </w:rPr>
        <w:t>are</w:t>
      </w:r>
      <w:r w:rsidR="003932FB" w:rsidRPr="00944F90">
        <w:rPr>
          <w:szCs w:val="24"/>
        </w:rPr>
        <w:t xml:space="preserve"> </w:t>
      </w:r>
      <w:r w:rsidRPr="00944F90">
        <w:rPr>
          <w:szCs w:val="24"/>
        </w:rPr>
        <w:t xml:space="preserve">not limited to, posting of notifications on a company Web site, </w:t>
      </w:r>
      <w:r w:rsidR="00A21F9E">
        <w:rPr>
          <w:szCs w:val="24"/>
        </w:rPr>
        <w:t xml:space="preserve">telephoning, </w:t>
      </w:r>
      <w:r w:rsidRPr="00944F90">
        <w:rPr>
          <w:szCs w:val="24"/>
        </w:rPr>
        <w:t xml:space="preserve">sending an email, or mailing or faxing a notification.  </w:t>
      </w:r>
    </w:p>
    <w:p w:rsidR="009C47FF" w:rsidRDefault="009C47FF" w:rsidP="00A21F9E">
      <w:pPr>
        <w:pStyle w:val="ListParagraph"/>
      </w:pPr>
    </w:p>
    <w:p w:rsidR="009C47FF" w:rsidRDefault="009C47FF" w:rsidP="00A21F9E">
      <w:pPr>
        <w:pStyle w:val="ListParagraph"/>
        <w:numPr>
          <w:ilvl w:val="0"/>
          <w:numId w:val="19"/>
        </w:numPr>
      </w:pPr>
      <w:r>
        <w:t xml:space="preserve">If a product with a high risk of illegitimacy is found to be an illegitimate product, manufacturers should submit a follow-up notification </w:t>
      </w:r>
      <w:r w:rsidR="00A21F9E">
        <w:t>that expla</w:t>
      </w:r>
      <w:r w:rsidR="00FA3F7A">
        <w:t>i</w:t>
      </w:r>
      <w:r w:rsidR="00A21F9E">
        <w:t xml:space="preserve">ns the updated classification and </w:t>
      </w:r>
      <w:r>
        <w:t>referenc</w:t>
      </w:r>
      <w:r w:rsidR="00A21F9E">
        <w:t xml:space="preserve">es </w:t>
      </w:r>
      <w:r>
        <w:t xml:space="preserve">the incident number of the original notification of high risk of illegitimacy. </w:t>
      </w:r>
    </w:p>
    <w:p w:rsidR="009C47FF" w:rsidRDefault="009C47FF" w:rsidP="00A21F9E">
      <w:pPr>
        <w:pStyle w:val="ListParagraph"/>
      </w:pPr>
    </w:p>
    <w:p w:rsidR="009C47FF" w:rsidRDefault="009C47FF" w:rsidP="00A21F9E">
      <w:pPr>
        <w:pStyle w:val="ListParagraph"/>
        <w:numPr>
          <w:ilvl w:val="0"/>
          <w:numId w:val="19"/>
        </w:numPr>
      </w:pPr>
      <w:r>
        <w:t xml:space="preserve">If </w:t>
      </w:r>
      <w:r w:rsidR="00A860BD">
        <w:t xml:space="preserve">it is determined that a </w:t>
      </w:r>
      <w:r>
        <w:t xml:space="preserve">product </w:t>
      </w:r>
      <w:r w:rsidR="00A860BD">
        <w:t xml:space="preserve">that was subject to </w:t>
      </w:r>
      <w:r>
        <w:t>a high risk of illegitimacy</w:t>
      </w:r>
      <w:r w:rsidR="00A860BD">
        <w:t xml:space="preserve"> notification </w:t>
      </w:r>
      <w:r>
        <w:t>is not</w:t>
      </w:r>
      <w:r w:rsidR="00A860BD">
        <w:t xml:space="preserve"> an</w:t>
      </w:r>
      <w:r>
        <w:t xml:space="preserve"> illegitimate</w:t>
      </w:r>
      <w:r w:rsidR="00A860BD">
        <w:t xml:space="preserve"> product</w:t>
      </w:r>
      <w:r>
        <w:t xml:space="preserve">, manufacturers </w:t>
      </w:r>
      <w:r w:rsidR="00EA1BCF">
        <w:t xml:space="preserve">must </w:t>
      </w:r>
      <w:r>
        <w:t xml:space="preserve">submit a request for termination </w:t>
      </w:r>
      <w:r w:rsidR="002503C2">
        <w:t xml:space="preserve">of the high risk of illegitimacy notification </w:t>
      </w:r>
      <w:r>
        <w:t xml:space="preserve">to the FDA according to the process in Section B below. </w:t>
      </w:r>
    </w:p>
    <w:p w:rsidR="00353558" w:rsidRDefault="00353558" w:rsidP="00A21F9E">
      <w:pPr>
        <w:pStyle w:val="ListParagraph"/>
      </w:pPr>
    </w:p>
    <w:p w:rsidR="00072068" w:rsidRDefault="00415D36" w:rsidP="00897AC5">
      <w:pPr>
        <w:pStyle w:val="Heading2"/>
        <w:numPr>
          <w:ilvl w:val="0"/>
          <w:numId w:val="11"/>
        </w:numPr>
      </w:pPr>
      <w:bookmarkStart w:id="36" w:name="_Ref386710582"/>
      <w:bookmarkStart w:id="37" w:name="_Ref386710595"/>
      <w:bookmarkStart w:id="38" w:name="_Toc407020517"/>
      <w:r>
        <w:t>Termination o</w:t>
      </w:r>
      <w:r w:rsidR="000576B1">
        <w:t>f Notification in Consultation W</w:t>
      </w:r>
      <w:r>
        <w:t>ith FDA</w:t>
      </w:r>
      <w:bookmarkEnd w:id="24"/>
      <w:bookmarkEnd w:id="25"/>
      <w:bookmarkEnd w:id="26"/>
      <w:bookmarkEnd w:id="27"/>
      <w:bookmarkEnd w:id="36"/>
      <w:bookmarkEnd w:id="37"/>
      <w:r w:rsidR="00CA4D36">
        <w:rPr>
          <w:rStyle w:val="FootnoteReference"/>
        </w:rPr>
        <w:footnoteReference w:id="12"/>
      </w:r>
      <w:bookmarkEnd w:id="38"/>
    </w:p>
    <w:p w:rsidR="00E8521D" w:rsidRPr="00E8521D" w:rsidRDefault="00E8521D" w:rsidP="00E8521D">
      <w:pPr>
        <w:ind w:left="1440"/>
      </w:pPr>
    </w:p>
    <w:p w:rsidR="00C82B95" w:rsidRDefault="000476CE" w:rsidP="00E8521D">
      <w:r>
        <w:t>S</w:t>
      </w:r>
      <w:r w:rsidR="00C82B95">
        <w:t>ection 582(h)(2)(A)</w:t>
      </w:r>
      <w:r w:rsidR="00715074">
        <w:t xml:space="preserve"> </w:t>
      </w:r>
      <w:r w:rsidR="002075E2">
        <w:t xml:space="preserve">of the FD&amp;C Act </w:t>
      </w:r>
      <w:r w:rsidR="00715074">
        <w:t>directs</w:t>
      </w:r>
      <w:r w:rsidR="00C82B95">
        <w:t xml:space="preserve"> </w:t>
      </w:r>
      <w:r w:rsidR="00EC6218">
        <w:t>FDA</w:t>
      </w:r>
      <w:r w:rsidR="00C82B95">
        <w:t xml:space="preserve"> to issue </w:t>
      </w:r>
      <w:r w:rsidR="00FE2FEB">
        <w:t>guidance set</w:t>
      </w:r>
      <w:r w:rsidR="00C82B95">
        <w:t>ting</w:t>
      </w:r>
      <w:r w:rsidR="00FE2FEB">
        <w:t xml:space="preserve"> forth the process </w:t>
      </w:r>
      <w:r w:rsidR="00285FBF">
        <w:t xml:space="preserve">that </w:t>
      </w:r>
      <w:r w:rsidR="00BF1D07">
        <w:t>trading partners</w:t>
      </w:r>
      <w:r w:rsidR="00FE2FEB">
        <w:t xml:space="preserve"> </w:t>
      </w:r>
      <w:r w:rsidR="00782BC2">
        <w:t xml:space="preserve">shall </w:t>
      </w:r>
      <w:r w:rsidR="009C3CC0">
        <w:t>follow for</w:t>
      </w:r>
      <w:r w:rsidR="00F11592">
        <w:t xml:space="preserve"> </w:t>
      </w:r>
      <w:r w:rsidR="002075E2">
        <w:t>terminating</w:t>
      </w:r>
      <w:r w:rsidR="009C3CC0">
        <w:t xml:space="preserve"> </w:t>
      </w:r>
      <w:r w:rsidR="00FE2FEB">
        <w:t>notifications regarding illegitimate product</w:t>
      </w:r>
      <w:r w:rsidR="002075E2">
        <w:t>,</w:t>
      </w:r>
      <w:r w:rsidR="00620633">
        <w:t xml:space="preserve"> or</w:t>
      </w:r>
      <w:r w:rsidR="008E13D4">
        <w:t xml:space="preserve"> for</w:t>
      </w:r>
      <w:r w:rsidR="00620633">
        <w:t xml:space="preserve"> </w:t>
      </w:r>
      <w:r w:rsidR="008E13D4">
        <w:t>manufacturer</w:t>
      </w:r>
      <w:r w:rsidR="00B65F63">
        <w:t>s</w:t>
      </w:r>
      <w:r w:rsidR="008E13D4">
        <w:t>, terminating</w:t>
      </w:r>
      <w:r w:rsidR="00313C1F">
        <w:t xml:space="preserve"> </w:t>
      </w:r>
      <w:r w:rsidR="002D3999">
        <w:t xml:space="preserve">notification of </w:t>
      </w:r>
      <w:r w:rsidR="00B96452">
        <w:t xml:space="preserve">a </w:t>
      </w:r>
      <w:r w:rsidR="00620633">
        <w:t>high risk of illegitimacy</w:t>
      </w:r>
      <w:r w:rsidR="00285FBF">
        <w:t>,</w:t>
      </w:r>
      <w:r w:rsidR="00C82B95">
        <w:t xml:space="preserve"> in</w:t>
      </w:r>
      <w:r w:rsidR="00285FBF">
        <w:t xml:space="preserve"> </w:t>
      </w:r>
      <w:r w:rsidR="00C82B95">
        <w:t xml:space="preserve">consultation with </w:t>
      </w:r>
      <w:r w:rsidR="00846264">
        <w:t>FDA</w:t>
      </w:r>
      <w:r w:rsidR="00C82B95">
        <w:t>,</w:t>
      </w:r>
      <w:r w:rsidR="00FE2FEB">
        <w:t xml:space="preserve"> </w:t>
      </w:r>
      <w:r w:rsidR="002075E2">
        <w:t>under</w:t>
      </w:r>
      <w:r w:rsidR="00FE2FEB">
        <w:t xml:space="preserve"> </w:t>
      </w:r>
      <w:r w:rsidR="002075E2">
        <w:t>section 582</w:t>
      </w:r>
      <w:r w:rsidR="00FE2FEB">
        <w:t>(b)(4)(B), (c)(4)(</w:t>
      </w:r>
      <w:r w:rsidR="002075E2">
        <w:t>B), (d)(4)(B), and (e)(4)(B)</w:t>
      </w:r>
      <w:r w:rsidR="00FE2FEB">
        <w:t>.</w:t>
      </w:r>
      <w:r w:rsidR="00C95ECF">
        <w:t xml:space="preserve"> </w:t>
      </w:r>
      <w:r w:rsidR="00A0179E">
        <w:t xml:space="preserve"> </w:t>
      </w:r>
      <w:r w:rsidR="00157E39">
        <w:t>S</w:t>
      </w:r>
      <w:r w:rsidR="001F70D7">
        <w:t xml:space="preserve">ection 582(b)(4)(B), </w:t>
      </w:r>
      <w:r w:rsidR="001F70D7">
        <w:lastRenderedPageBreak/>
        <w:t xml:space="preserve">(c)(4)(B), (d)(4)(B), and (e)(4)(B) require </w:t>
      </w:r>
      <w:r w:rsidR="00782BC2">
        <w:t xml:space="preserve">trading partners </w:t>
      </w:r>
      <w:r w:rsidR="001F70D7">
        <w:t>to</w:t>
      </w:r>
      <w:r w:rsidR="009E4240">
        <w:t xml:space="preserve"> have in place systems to enable them to</w:t>
      </w:r>
      <w:r w:rsidR="00782BC2">
        <w:t xml:space="preserve"> terminate notifications, in consultation with FDA,</w:t>
      </w:r>
      <w:r w:rsidR="009E4240">
        <w:t xml:space="preserve"> when appropriate</w:t>
      </w:r>
      <w:r w:rsidR="00A0179E" w:rsidRPr="002C2C81">
        <w:t xml:space="preserve">.  </w:t>
      </w:r>
      <w:r w:rsidR="00864B2A">
        <w:t>T</w:t>
      </w:r>
      <w:r w:rsidR="00864B2A" w:rsidRPr="002C2C81">
        <w:t>h</w:t>
      </w:r>
      <w:r w:rsidR="00864B2A">
        <w:t xml:space="preserve">is </w:t>
      </w:r>
      <w:r w:rsidR="002075E2">
        <w:t>section</w:t>
      </w:r>
      <w:r w:rsidR="00864B2A">
        <w:t xml:space="preserve"> of the guidance addresses</w:t>
      </w:r>
      <w:r w:rsidR="00864B2A" w:rsidRPr="002C2C81">
        <w:t xml:space="preserve"> the process by which </w:t>
      </w:r>
      <w:r w:rsidR="00864B2A">
        <w:t xml:space="preserve">trading partners </w:t>
      </w:r>
      <w:r w:rsidR="00C866C3">
        <w:t>must</w:t>
      </w:r>
      <w:r w:rsidR="00864B2A" w:rsidRPr="002C2C81">
        <w:t xml:space="preserve"> </w:t>
      </w:r>
      <w:r w:rsidR="00864B2A">
        <w:t>terminate</w:t>
      </w:r>
      <w:r w:rsidR="00864B2A" w:rsidRPr="002C2C81">
        <w:t xml:space="preserve"> </w:t>
      </w:r>
      <w:r w:rsidR="00620633">
        <w:t xml:space="preserve">such </w:t>
      </w:r>
      <w:r w:rsidR="00864B2A" w:rsidRPr="002C2C81">
        <w:t>notifications</w:t>
      </w:r>
      <w:r w:rsidR="00864B2A">
        <w:t xml:space="preserve"> </w:t>
      </w:r>
      <w:r w:rsidR="003640A5">
        <w:t>i</w:t>
      </w:r>
      <w:r w:rsidR="00864B2A">
        <w:t xml:space="preserve">n consultation with FDA. </w:t>
      </w:r>
      <w:r w:rsidR="00864B2A" w:rsidRPr="002C2C81">
        <w:t xml:space="preserve"> </w:t>
      </w:r>
      <w:r w:rsidR="00C95ECF">
        <w:t xml:space="preserve">This process </w:t>
      </w:r>
      <w:r w:rsidR="00C866C3">
        <w:t>must</w:t>
      </w:r>
      <w:r w:rsidR="002075E2">
        <w:t xml:space="preserve"> </w:t>
      </w:r>
      <w:r w:rsidR="00F23D69">
        <w:t xml:space="preserve">be </w:t>
      </w:r>
      <w:r w:rsidR="00C95ECF">
        <w:t>used</w:t>
      </w:r>
      <w:r w:rsidR="00864B2A">
        <w:t xml:space="preserve"> </w:t>
      </w:r>
      <w:r w:rsidR="009D4268">
        <w:t>when</w:t>
      </w:r>
      <w:r w:rsidR="00C95ECF">
        <w:t xml:space="preserve"> trading partner</w:t>
      </w:r>
      <w:r w:rsidR="007B6413">
        <w:t>s</w:t>
      </w:r>
      <w:r w:rsidR="00C95ECF">
        <w:t xml:space="preserve"> </w:t>
      </w:r>
      <w:r w:rsidR="00BF197C">
        <w:t xml:space="preserve">believe </w:t>
      </w:r>
      <w:r w:rsidR="00C95ECF">
        <w:t xml:space="preserve">that a notification they made to FDA </w:t>
      </w:r>
      <w:r w:rsidR="003640A5">
        <w:t>regarding illegitimate product</w:t>
      </w:r>
      <w:r w:rsidR="002075E2">
        <w:t>,</w:t>
      </w:r>
      <w:r w:rsidR="00503E62">
        <w:t xml:space="preserve"> </w:t>
      </w:r>
      <w:r w:rsidR="008E13D4" w:rsidRPr="008E13D4">
        <w:t xml:space="preserve">or for a manufacturer, </w:t>
      </w:r>
      <w:r w:rsidR="008E13D4">
        <w:t>a</w:t>
      </w:r>
      <w:r w:rsidR="008E13D4" w:rsidRPr="008E13D4">
        <w:t xml:space="preserve"> notification of a high risk of illegitimacy</w:t>
      </w:r>
      <w:r w:rsidR="00620633">
        <w:t xml:space="preserve">, </w:t>
      </w:r>
      <w:r w:rsidR="00BF197C">
        <w:t>is</w:t>
      </w:r>
      <w:r w:rsidR="00C95ECF">
        <w:t xml:space="preserve"> no longer </w:t>
      </w:r>
      <w:r w:rsidR="00DF420C">
        <w:t>necessary</w:t>
      </w:r>
      <w:r w:rsidR="00C95ECF">
        <w:t>.</w:t>
      </w:r>
      <w:r w:rsidR="00E8521D">
        <w:br/>
      </w:r>
    </w:p>
    <w:p w:rsidR="00285FBF" w:rsidRDefault="00285FBF" w:rsidP="00603867">
      <w:pPr>
        <w:ind w:firstLine="360"/>
        <w:rPr>
          <w:color w:val="auto"/>
        </w:rPr>
      </w:pPr>
      <w:r w:rsidRPr="00384362">
        <w:rPr>
          <w:color w:val="auto"/>
        </w:rPr>
        <w:t xml:space="preserve">The process for </w:t>
      </w:r>
      <w:r w:rsidR="002075E2">
        <w:rPr>
          <w:color w:val="auto"/>
        </w:rPr>
        <w:t>terminating</w:t>
      </w:r>
      <w:r w:rsidRPr="00384362">
        <w:rPr>
          <w:color w:val="auto"/>
        </w:rPr>
        <w:t xml:space="preserve"> notifications </w:t>
      </w:r>
      <w:r w:rsidR="00761209">
        <w:rPr>
          <w:color w:val="auto"/>
        </w:rPr>
        <w:t xml:space="preserve">in consultation with FDA </w:t>
      </w:r>
      <w:r w:rsidRPr="00384362">
        <w:rPr>
          <w:color w:val="auto"/>
        </w:rPr>
        <w:t>is as follows:</w:t>
      </w:r>
    </w:p>
    <w:p w:rsidR="00E8521D" w:rsidRPr="00384362" w:rsidRDefault="00E8521D" w:rsidP="00E8521D">
      <w:pPr>
        <w:ind w:firstLine="720"/>
        <w:rPr>
          <w:color w:val="auto"/>
        </w:rPr>
      </w:pPr>
    </w:p>
    <w:p w:rsidR="00944F90" w:rsidRDefault="00C60589" w:rsidP="00944F90">
      <w:pPr>
        <w:numPr>
          <w:ilvl w:val="0"/>
          <w:numId w:val="15"/>
        </w:numPr>
        <w:rPr>
          <w:color w:val="auto"/>
        </w:rPr>
      </w:pPr>
      <w:r>
        <w:rPr>
          <w:color w:val="auto"/>
        </w:rPr>
        <w:t>The t</w:t>
      </w:r>
      <w:r w:rsidR="00944F90">
        <w:rPr>
          <w:color w:val="auto"/>
        </w:rPr>
        <w:t>rading partner making a notification to the FDA shall be responsible for making the request for termination.</w:t>
      </w:r>
    </w:p>
    <w:p w:rsidR="00944F90" w:rsidRDefault="00944F90" w:rsidP="00A21F9E">
      <w:pPr>
        <w:ind w:left="720"/>
        <w:rPr>
          <w:color w:val="auto"/>
        </w:rPr>
      </w:pPr>
    </w:p>
    <w:p w:rsidR="00682FCE" w:rsidRDefault="00285FBF" w:rsidP="002075E2">
      <w:pPr>
        <w:numPr>
          <w:ilvl w:val="0"/>
          <w:numId w:val="15"/>
        </w:numPr>
        <w:rPr>
          <w:color w:val="auto"/>
        </w:rPr>
      </w:pPr>
      <w:r w:rsidRPr="00384362">
        <w:rPr>
          <w:color w:val="auto"/>
        </w:rPr>
        <w:t xml:space="preserve">Trading partners </w:t>
      </w:r>
      <w:r w:rsidR="00CA4D36">
        <w:rPr>
          <w:color w:val="auto"/>
        </w:rPr>
        <w:t>must</w:t>
      </w:r>
      <w:r w:rsidR="00CA4D36" w:rsidRPr="00384362">
        <w:rPr>
          <w:color w:val="auto"/>
        </w:rPr>
        <w:t xml:space="preserve"> </w:t>
      </w:r>
      <w:r w:rsidRPr="00384362">
        <w:rPr>
          <w:color w:val="auto"/>
        </w:rPr>
        <w:t xml:space="preserve">access FDA’s </w:t>
      </w:r>
      <w:r w:rsidR="00511734">
        <w:rPr>
          <w:color w:val="auto"/>
        </w:rPr>
        <w:t>W</w:t>
      </w:r>
      <w:r w:rsidRPr="00384362">
        <w:rPr>
          <w:color w:val="auto"/>
        </w:rPr>
        <w:t>eb</w:t>
      </w:r>
      <w:r w:rsidR="00511734">
        <w:rPr>
          <w:color w:val="auto"/>
        </w:rPr>
        <w:t xml:space="preserve"> </w:t>
      </w:r>
      <w:r w:rsidRPr="00384362">
        <w:rPr>
          <w:color w:val="auto"/>
        </w:rPr>
        <w:t xml:space="preserve">page at </w:t>
      </w:r>
      <w:hyperlink r:id="rId26" w:history="1">
        <w:r w:rsidR="00BD187D" w:rsidRPr="000A2DDF">
          <w:rPr>
            <w:rStyle w:val="Hyperlink"/>
          </w:rPr>
          <w:t>http://www.accessdata.fda.gov/scripts/cder/email/drugnotification.cfm</w:t>
        </w:r>
      </w:hyperlink>
      <w:r w:rsidR="002075E2" w:rsidRPr="002075E2">
        <w:t xml:space="preserve"> </w:t>
      </w:r>
      <w:r w:rsidR="002075E2" w:rsidRPr="002075E2">
        <w:rPr>
          <w:color w:val="auto"/>
        </w:rPr>
        <w:t>for termination of notifications</w:t>
      </w:r>
      <w:r w:rsidR="00682FCE">
        <w:rPr>
          <w:color w:val="auto"/>
        </w:rPr>
        <w:t xml:space="preserve">. </w:t>
      </w:r>
    </w:p>
    <w:p w:rsidR="00682FCE" w:rsidRDefault="00682FCE" w:rsidP="00682FCE">
      <w:pPr>
        <w:ind w:left="360"/>
        <w:rPr>
          <w:color w:val="auto"/>
        </w:rPr>
      </w:pPr>
    </w:p>
    <w:p w:rsidR="00682FCE" w:rsidRDefault="0029202D" w:rsidP="00682FCE">
      <w:pPr>
        <w:numPr>
          <w:ilvl w:val="0"/>
          <w:numId w:val="15"/>
        </w:numPr>
        <w:rPr>
          <w:color w:val="auto"/>
        </w:rPr>
      </w:pPr>
      <w:r>
        <w:t xml:space="preserve">Trading partners </w:t>
      </w:r>
      <w:r w:rsidR="00CA4D36">
        <w:t xml:space="preserve">must </w:t>
      </w:r>
      <w:r>
        <w:t>follow the instructions</w:t>
      </w:r>
      <w:r w:rsidR="00585714">
        <w:t xml:space="preserve"> on the Web page for accessing F</w:t>
      </w:r>
      <w:r>
        <w:t xml:space="preserve">orm </w:t>
      </w:r>
      <w:r w:rsidR="00C866C3">
        <w:t>FDA 3911</w:t>
      </w:r>
      <w:r>
        <w:t xml:space="preserve"> (Attachment A).  Using this form, t</w:t>
      </w:r>
      <w:r w:rsidR="001715AC" w:rsidRPr="00682FCE">
        <w:rPr>
          <w:color w:val="auto"/>
        </w:rPr>
        <w:t xml:space="preserve">rading partners </w:t>
      </w:r>
      <w:r w:rsidR="00CA4D36">
        <w:rPr>
          <w:color w:val="auto"/>
        </w:rPr>
        <w:t>must</w:t>
      </w:r>
      <w:r w:rsidR="00CA4D36" w:rsidRPr="00682FCE">
        <w:rPr>
          <w:color w:val="auto"/>
        </w:rPr>
        <w:t xml:space="preserve"> </w:t>
      </w:r>
      <w:r w:rsidRPr="00682FCE">
        <w:rPr>
          <w:color w:val="auto"/>
        </w:rPr>
        <w:t>provide</w:t>
      </w:r>
      <w:r w:rsidR="006A0BD8" w:rsidRPr="00682FCE">
        <w:rPr>
          <w:color w:val="auto"/>
        </w:rPr>
        <w:t xml:space="preserve"> </w:t>
      </w:r>
      <w:r w:rsidR="004203F0">
        <w:rPr>
          <w:color w:val="auto"/>
        </w:rPr>
        <w:t xml:space="preserve">to FDA </w:t>
      </w:r>
      <w:r w:rsidR="00285FBF" w:rsidRPr="00682FCE">
        <w:rPr>
          <w:color w:val="auto"/>
        </w:rPr>
        <w:t>information</w:t>
      </w:r>
      <w:r w:rsidR="00A65855" w:rsidRPr="00682FCE">
        <w:rPr>
          <w:color w:val="auto"/>
        </w:rPr>
        <w:t xml:space="preserve"> about the person or entity initiating the request for termination, the illegitimate product</w:t>
      </w:r>
      <w:r w:rsidR="000D7E7F" w:rsidRPr="00682FCE">
        <w:rPr>
          <w:color w:val="auto"/>
        </w:rPr>
        <w:t xml:space="preserve"> or the product with a high risk of illegitimacy</w:t>
      </w:r>
      <w:r w:rsidR="00A0179E" w:rsidRPr="00682FCE">
        <w:rPr>
          <w:color w:val="auto"/>
        </w:rPr>
        <w:t>,</w:t>
      </w:r>
      <w:r w:rsidR="00A65855" w:rsidRPr="00682FCE">
        <w:rPr>
          <w:color w:val="auto"/>
        </w:rPr>
        <w:t xml:space="preserve"> the notification that was issued,</w:t>
      </w:r>
      <w:r w:rsidR="001715AC" w:rsidRPr="00682FCE">
        <w:rPr>
          <w:color w:val="auto"/>
        </w:rPr>
        <w:t xml:space="preserve"> </w:t>
      </w:r>
      <w:r w:rsidR="00775A92" w:rsidRPr="00682FCE">
        <w:rPr>
          <w:color w:val="auto"/>
        </w:rPr>
        <w:t xml:space="preserve">and </w:t>
      </w:r>
      <w:r w:rsidR="00A65855" w:rsidRPr="00682FCE">
        <w:rPr>
          <w:color w:val="auto"/>
        </w:rPr>
        <w:t xml:space="preserve">an </w:t>
      </w:r>
      <w:r w:rsidR="00775A92" w:rsidRPr="00682FCE">
        <w:rPr>
          <w:color w:val="auto"/>
        </w:rPr>
        <w:t xml:space="preserve">explanation about what actions have taken place or what information has become available that make the notification no longer </w:t>
      </w:r>
      <w:r w:rsidR="00DF420C">
        <w:rPr>
          <w:color w:val="auto"/>
        </w:rPr>
        <w:t>necessary</w:t>
      </w:r>
      <w:r w:rsidR="001715AC" w:rsidRPr="00682FCE">
        <w:rPr>
          <w:color w:val="auto"/>
        </w:rPr>
        <w:t>.</w:t>
      </w:r>
      <w:r w:rsidR="00D345AE">
        <w:rPr>
          <w:color w:val="auto"/>
        </w:rPr>
        <w:t xml:space="preserve">  </w:t>
      </w:r>
      <w:r w:rsidR="00FA3F7A">
        <w:rPr>
          <w:color w:val="auto"/>
        </w:rPr>
        <w:t>Trading partners should i</w:t>
      </w:r>
      <w:r w:rsidR="00D345AE">
        <w:rPr>
          <w:color w:val="auto"/>
        </w:rPr>
        <w:t xml:space="preserve">nclude the FDA-assigned incident number associated with the notification on the request for termination. </w:t>
      </w:r>
    </w:p>
    <w:p w:rsidR="00682FCE" w:rsidRDefault="00682FCE" w:rsidP="00682FCE">
      <w:pPr>
        <w:ind w:left="360"/>
        <w:rPr>
          <w:color w:val="auto"/>
        </w:rPr>
      </w:pPr>
    </w:p>
    <w:p w:rsidR="00682FCE" w:rsidRPr="00F36487" w:rsidRDefault="0029202D" w:rsidP="00AD2B20">
      <w:pPr>
        <w:numPr>
          <w:ilvl w:val="0"/>
          <w:numId w:val="15"/>
        </w:numPr>
        <w:rPr>
          <w:color w:val="auto"/>
        </w:rPr>
      </w:pPr>
      <w:r w:rsidRPr="00F36487">
        <w:rPr>
          <w:color w:val="auto"/>
        </w:rPr>
        <w:t xml:space="preserve">This form </w:t>
      </w:r>
      <w:r w:rsidR="00CA4D36" w:rsidRPr="00F36487">
        <w:rPr>
          <w:color w:val="auto"/>
        </w:rPr>
        <w:t xml:space="preserve">must </w:t>
      </w:r>
      <w:r w:rsidRPr="00F36487">
        <w:rPr>
          <w:color w:val="auto"/>
        </w:rPr>
        <w:t>be</w:t>
      </w:r>
      <w:r w:rsidR="00F6462B" w:rsidRPr="00F36487">
        <w:rPr>
          <w:color w:val="auto"/>
        </w:rPr>
        <w:t xml:space="preserve"> </w:t>
      </w:r>
      <w:r w:rsidRPr="00F36487">
        <w:rPr>
          <w:color w:val="auto"/>
        </w:rPr>
        <w:t xml:space="preserve">submitted by using the method </w:t>
      </w:r>
      <w:r w:rsidRPr="00BB67EE">
        <w:rPr>
          <w:color w:val="auto"/>
        </w:rPr>
        <w:t>provided in the form</w:t>
      </w:r>
      <w:r w:rsidR="00F6462B" w:rsidRPr="00BB67EE">
        <w:rPr>
          <w:color w:val="auto"/>
        </w:rPr>
        <w:t xml:space="preserve"> or on the Web page</w:t>
      </w:r>
      <w:r w:rsidRPr="007A47C3">
        <w:rPr>
          <w:color w:val="auto"/>
        </w:rPr>
        <w:t xml:space="preserve">.  </w:t>
      </w:r>
      <w:r w:rsidR="00285FBF" w:rsidRPr="007A47C3">
        <w:rPr>
          <w:color w:val="auto"/>
        </w:rPr>
        <w:t xml:space="preserve">The trading partner’s </w:t>
      </w:r>
      <w:r w:rsidR="001715AC" w:rsidRPr="007A47C3">
        <w:rPr>
          <w:color w:val="auto"/>
        </w:rPr>
        <w:t xml:space="preserve">submission of </w:t>
      </w:r>
      <w:r w:rsidR="002075E2" w:rsidRPr="007A47C3">
        <w:rPr>
          <w:color w:val="auto"/>
        </w:rPr>
        <w:t>a</w:t>
      </w:r>
      <w:r w:rsidR="001715AC" w:rsidRPr="007A47C3">
        <w:rPr>
          <w:color w:val="auto"/>
        </w:rPr>
        <w:t xml:space="preserve"> </w:t>
      </w:r>
      <w:r w:rsidR="00285FBF" w:rsidRPr="007A47C3">
        <w:rPr>
          <w:color w:val="auto"/>
        </w:rPr>
        <w:t xml:space="preserve">request for termination of a notification </w:t>
      </w:r>
      <w:r w:rsidR="009D4268" w:rsidRPr="00D0614B">
        <w:rPr>
          <w:color w:val="auto"/>
        </w:rPr>
        <w:t>wi</w:t>
      </w:r>
      <w:r w:rsidR="00285FBF" w:rsidRPr="00D0614B">
        <w:rPr>
          <w:color w:val="auto"/>
        </w:rPr>
        <w:t xml:space="preserve">ll be viewed as </w:t>
      </w:r>
      <w:r w:rsidR="002075E2" w:rsidRPr="00D0614B">
        <w:rPr>
          <w:color w:val="auto"/>
        </w:rPr>
        <w:t>a</w:t>
      </w:r>
      <w:r w:rsidR="00285FBF" w:rsidRPr="00F36487">
        <w:rPr>
          <w:color w:val="auto"/>
        </w:rPr>
        <w:t xml:space="preserve"> request for consultation with FDA</w:t>
      </w:r>
      <w:r w:rsidR="00635E67" w:rsidRPr="00F36487">
        <w:rPr>
          <w:color w:val="auto"/>
        </w:rPr>
        <w:t>, as</w:t>
      </w:r>
      <w:r w:rsidR="009D4268" w:rsidRPr="00F36487">
        <w:rPr>
          <w:color w:val="auto"/>
        </w:rPr>
        <w:t xml:space="preserve"> required in section 582</w:t>
      </w:r>
      <w:r w:rsidR="002075E2" w:rsidRPr="00F36487">
        <w:rPr>
          <w:color w:val="auto"/>
        </w:rPr>
        <w:t xml:space="preserve"> of the FD&amp;C Act</w:t>
      </w:r>
      <w:r w:rsidR="00285FBF" w:rsidRPr="00F36487">
        <w:rPr>
          <w:color w:val="auto"/>
        </w:rPr>
        <w:t>.</w:t>
      </w:r>
      <w:r w:rsidR="007820A6" w:rsidRPr="00F36487">
        <w:rPr>
          <w:color w:val="auto"/>
        </w:rPr>
        <w:t xml:space="preserve">  </w:t>
      </w:r>
      <w:r w:rsidR="00287FD2">
        <w:rPr>
          <w:color w:val="auto"/>
        </w:rPr>
        <w:t>FDA may request additional information it determines necessary to complete the consultation.</w:t>
      </w:r>
    </w:p>
    <w:p w:rsidR="00682FCE" w:rsidRDefault="00682FCE" w:rsidP="00682FCE">
      <w:pPr>
        <w:ind w:left="360"/>
        <w:rPr>
          <w:color w:val="auto"/>
        </w:rPr>
      </w:pPr>
    </w:p>
    <w:p w:rsidR="001B7499" w:rsidRDefault="00285FBF" w:rsidP="00DD5055">
      <w:pPr>
        <w:numPr>
          <w:ilvl w:val="0"/>
          <w:numId w:val="15"/>
        </w:numPr>
        <w:rPr>
          <w:color w:val="auto"/>
        </w:rPr>
      </w:pPr>
      <w:r w:rsidRPr="008B768B">
        <w:rPr>
          <w:color w:val="auto"/>
        </w:rPr>
        <w:t>FDA will review the request</w:t>
      </w:r>
      <w:r w:rsidR="008B768B" w:rsidRPr="008B768B">
        <w:rPr>
          <w:color w:val="auto"/>
        </w:rPr>
        <w:t xml:space="preserve"> and consult with the trading partner</w:t>
      </w:r>
      <w:r w:rsidR="00320819" w:rsidRPr="008B768B">
        <w:rPr>
          <w:color w:val="auto"/>
        </w:rPr>
        <w:t>.</w:t>
      </w:r>
      <w:r w:rsidRPr="008B768B">
        <w:rPr>
          <w:color w:val="auto"/>
        </w:rPr>
        <w:t xml:space="preserve"> </w:t>
      </w:r>
      <w:r w:rsidR="001715AC" w:rsidRPr="008B768B">
        <w:rPr>
          <w:color w:val="auto"/>
        </w:rPr>
        <w:t xml:space="preserve"> </w:t>
      </w:r>
      <w:r w:rsidR="001715AC" w:rsidRPr="00682FCE">
        <w:rPr>
          <w:color w:val="auto"/>
        </w:rPr>
        <w:t>T</w:t>
      </w:r>
      <w:r w:rsidRPr="00682FCE">
        <w:rPr>
          <w:color w:val="auto"/>
        </w:rPr>
        <w:t xml:space="preserve">he response time </w:t>
      </w:r>
      <w:r w:rsidR="001A4C0E" w:rsidRPr="00682FCE">
        <w:rPr>
          <w:color w:val="auto"/>
        </w:rPr>
        <w:t>will depend</w:t>
      </w:r>
      <w:r w:rsidRPr="00682FCE">
        <w:rPr>
          <w:color w:val="auto"/>
        </w:rPr>
        <w:t xml:space="preserve"> on the number of requests for termination and the circumstances surrounding the requests for termination that are received by FDA</w:t>
      </w:r>
      <w:r w:rsidR="00F36487">
        <w:rPr>
          <w:color w:val="auto"/>
        </w:rPr>
        <w:t>.</w:t>
      </w:r>
      <w:r w:rsidR="001B7499">
        <w:rPr>
          <w:color w:val="auto"/>
        </w:rPr>
        <w:t xml:space="preserve">  </w:t>
      </w:r>
    </w:p>
    <w:p w:rsidR="001B7499" w:rsidRDefault="001B7499" w:rsidP="00AD2B20">
      <w:pPr>
        <w:ind w:left="720"/>
        <w:rPr>
          <w:color w:val="auto"/>
        </w:rPr>
      </w:pPr>
    </w:p>
    <w:p w:rsidR="00682FCE" w:rsidRDefault="006260B9" w:rsidP="00AD2B20">
      <w:pPr>
        <w:rPr>
          <w:color w:val="auto"/>
        </w:rPr>
      </w:pPr>
      <w:r>
        <w:rPr>
          <w:color w:val="auto"/>
        </w:rPr>
        <w:t>FDA interpr</w:t>
      </w:r>
      <w:r w:rsidR="001B7499">
        <w:rPr>
          <w:color w:val="auto"/>
        </w:rPr>
        <w:t xml:space="preserve">ets the </w:t>
      </w:r>
      <w:r w:rsidR="00F36487">
        <w:rPr>
          <w:color w:val="auto"/>
        </w:rPr>
        <w:t xml:space="preserve">DSCSA’s </w:t>
      </w:r>
      <w:r w:rsidR="001B7499">
        <w:rPr>
          <w:color w:val="auto"/>
        </w:rPr>
        <w:t>requirement for trading partners to</w:t>
      </w:r>
      <w:r>
        <w:rPr>
          <w:color w:val="auto"/>
        </w:rPr>
        <w:t xml:space="preserve"> </w:t>
      </w:r>
      <w:r w:rsidR="001B7499">
        <w:rPr>
          <w:color w:val="auto"/>
        </w:rPr>
        <w:t xml:space="preserve">“mak[e] a </w:t>
      </w:r>
      <w:r>
        <w:rPr>
          <w:color w:val="auto"/>
        </w:rPr>
        <w:t>determin</w:t>
      </w:r>
      <w:r w:rsidR="001B7499">
        <w:rPr>
          <w:color w:val="auto"/>
        </w:rPr>
        <w:t>ation,</w:t>
      </w:r>
      <w:r>
        <w:rPr>
          <w:color w:val="auto"/>
        </w:rPr>
        <w:t xml:space="preserve"> in consultation with the Secretary</w:t>
      </w:r>
      <w:r w:rsidR="001B7499">
        <w:rPr>
          <w:color w:val="auto"/>
        </w:rPr>
        <w:t>,</w:t>
      </w:r>
      <w:r>
        <w:rPr>
          <w:color w:val="auto"/>
        </w:rPr>
        <w:t xml:space="preserve"> that a notification is no longer necessary</w:t>
      </w:r>
      <w:r w:rsidR="00453633">
        <w:rPr>
          <w:color w:val="auto"/>
        </w:rPr>
        <w:t>”</w:t>
      </w:r>
      <w:r w:rsidR="00453633">
        <w:rPr>
          <w:rStyle w:val="FootnoteReference"/>
          <w:color w:val="auto"/>
        </w:rPr>
        <w:footnoteReference w:id="13"/>
      </w:r>
      <w:r>
        <w:rPr>
          <w:color w:val="auto"/>
        </w:rPr>
        <w:t xml:space="preserve"> to require that trading partners provide the </w:t>
      </w:r>
      <w:r w:rsidR="00CD20B8">
        <w:rPr>
          <w:color w:val="auto"/>
        </w:rPr>
        <w:t>A</w:t>
      </w:r>
      <w:r>
        <w:rPr>
          <w:color w:val="auto"/>
        </w:rPr>
        <w:t xml:space="preserve">gency with an opportunity to provide its </w:t>
      </w:r>
      <w:r w:rsidR="00F36487">
        <w:rPr>
          <w:color w:val="auto"/>
        </w:rPr>
        <w:t xml:space="preserve">expert </w:t>
      </w:r>
      <w:r>
        <w:rPr>
          <w:color w:val="auto"/>
        </w:rPr>
        <w:t>views and advice</w:t>
      </w:r>
      <w:r w:rsidR="0024670A">
        <w:rPr>
          <w:color w:val="auto"/>
        </w:rPr>
        <w:t xml:space="preserve"> on proposed terminations of notifications</w:t>
      </w:r>
      <w:r w:rsidR="00713D76">
        <w:rPr>
          <w:color w:val="auto"/>
        </w:rPr>
        <w:t>.</w:t>
      </w:r>
      <w:r w:rsidR="00981523">
        <w:rPr>
          <w:color w:val="auto"/>
        </w:rPr>
        <w:t xml:space="preserve">  </w:t>
      </w:r>
      <w:r w:rsidR="00713D76">
        <w:rPr>
          <w:color w:val="auto"/>
        </w:rPr>
        <w:t>Therefore, a trading partner must wait until FDA responds to the termination request</w:t>
      </w:r>
      <w:r>
        <w:rPr>
          <w:color w:val="auto"/>
        </w:rPr>
        <w:t xml:space="preserve"> before the trading partner </w:t>
      </w:r>
      <w:r w:rsidR="00260740">
        <w:rPr>
          <w:color w:val="auto"/>
        </w:rPr>
        <w:t>notifies other trading partners that a notification is terminated</w:t>
      </w:r>
      <w:r>
        <w:rPr>
          <w:color w:val="auto"/>
        </w:rPr>
        <w:t>.</w:t>
      </w:r>
      <w:r w:rsidR="004157F5">
        <w:rPr>
          <w:color w:val="auto"/>
        </w:rPr>
        <w:t xml:space="preserve">  FDA intends to respond to requests for termination within </w:t>
      </w:r>
      <w:r w:rsidR="00936502">
        <w:rPr>
          <w:color w:val="auto"/>
        </w:rPr>
        <w:t>10</w:t>
      </w:r>
      <w:r w:rsidR="004157F5">
        <w:rPr>
          <w:color w:val="auto"/>
        </w:rPr>
        <w:t xml:space="preserve"> business days of submission.  In some cases, FDA may contact a trading partner to notify the </w:t>
      </w:r>
      <w:r w:rsidR="004157F5">
        <w:rPr>
          <w:color w:val="auto"/>
        </w:rPr>
        <w:lastRenderedPageBreak/>
        <w:t>partner that additional time is needed to respond to the request for termination.</w:t>
      </w:r>
      <w:r>
        <w:rPr>
          <w:color w:val="auto"/>
        </w:rPr>
        <w:t xml:space="preserve">  If a trading partner believes that exigent circumstance</w:t>
      </w:r>
      <w:r w:rsidR="00BB67EE">
        <w:rPr>
          <w:color w:val="auto"/>
        </w:rPr>
        <w:t>s</w:t>
      </w:r>
      <w:r>
        <w:rPr>
          <w:color w:val="auto"/>
        </w:rPr>
        <w:t xml:space="preserve"> require </w:t>
      </w:r>
      <w:r w:rsidR="004157F5">
        <w:rPr>
          <w:color w:val="auto"/>
        </w:rPr>
        <w:t xml:space="preserve">expedited consideration of a </w:t>
      </w:r>
      <w:r>
        <w:rPr>
          <w:color w:val="auto"/>
        </w:rPr>
        <w:t xml:space="preserve">termination </w:t>
      </w:r>
      <w:r w:rsidR="004157F5">
        <w:rPr>
          <w:color w:val="auto"/>
        </w:rPr>
        <w:t>request</w:t>
      </w:r>
      <w:r>
        <w:rPr>
          <w:color w:val="auto"/>
        </w:rPr>
        <w:t xml:space="preserve"> (e.g., a potential drug shortage), the trading partner </w:t>
      </w:r>
      <w:r w:rsidR="00713D76">
        <w:rPr>
          <w:color w:val="auto"/>
        </w:rPr>
        <w:t>must</w:t>
      </w:r>
      <w:r>
        <w:rPr>
          <w:color w:val="auto"/>
        </w:rPr>
        <w:t xml:space="preserve"> describe those circumstances in the </w:t>
      </w:r>
      <w:r w:rsidR="001444F7">
        <w:rPr>
          <w:color w:val="auto"/>
        </w:rPr>
        <w:t>termination</w:t>
      </w:r>
      <w:r>
        <w:rPr>
          <w:color w:val="auto"/>
        </w:rPr>
        <w:t xml:space="preserve"> request</w:t>
      </w:r>
      <w:r w:rsidR="001444F7">
        <w:rPr>
          <w:color w:val="auto"/>
        </w:rPr>
        <w:t xml:space="preserve"> to FDA</w:t>
      </w:r>
      <w:r w:rsidR="0000570A">
        <w:rPr>
          <w:color w:val="auto"/>
        </w:rPr>
        <w:t xml:space="preserve"> on the FDA Form 3911 when making the request for termination</w:t>
      </w:r>
      <w:r>
        <w:rPr>
          <w:color w:val="auto"/>
        </w:rPr>
        <w:t>.</w:t>
      </w:r>
    </w:p>
    <w:p w:rsidR="00285FBF" w:rsidRPr="001715AC" w:rsidRDefault="00285FBF" w:rsidP="00603867">
      <w:pPr>
        <w:ind w:left="720" w:hanging="360"/>
        <w:rPr>
          <w:color w:val="auto"/>
        </w:rPr>
      </w:pPr>
    </w:p>
    <w:p w:rsidR="006A0BD8" w:rsidRDefault="00CD20B8" w:rsidP="00B3224E">
      <w:pPr>
        <w:rPr>
          <w:color w:val="auto"/>
        </w:rPr>
      </w:pPr>
      <w:r>
        <w:rPr>
          <w:color w:val="auto"/>
        </w:rPr>
        <w:t>Under</w:t>
      </w:r>
      <w:r w:rsidR="008B768B">
        <w:rPr>
          <w:color w:val="auto"/>
        </w:rPr>
        <w:t xml:space="preserve"> </w:t>
      </w:r>
      <w:r w:rsidR="007A28F7">
        <w:rPr>
          <w:color w:val="auto"/>
        </w:rPr>
        <w:t>section</w:t>
      </w:r>
      <w:r>
        <w:rPr>
          <w:color w:val="auto"/>
        </w:rPr>
        <w:t xml:space="preserve"> 582</w:t>
      </w:r>
      <w:r w:rsidR="00DD5055">
        <w:rPr>
          <w:color w:val="auto"/>
        </w:rPr>
        <w:t>(b)(4)(B), (c)(4)(B), (d)(4)(B)</w:t>
      </w:r>
      <w:r>
        <w:rPr>
          <w:color w:val="auto"/>
        </w:rPr>
        <w:t>,</w:t>
      </w:r>
      <w:r w:rsidR="00DD5055">
        <w:rPr>
          <w:color w:val="auto"/>
        </w:rPr>
        <w:t xml:space="preserve"> and (e)(4)(B) of </w:t>
      </w:r>
      <w:r w:rsidR="008B768B">
        <w:rPr>
          <w:color w:val="auto"/>
        </w:rPr>
        <w:t xml:space="preserve">the </w:t>
      </w:r>
      <w:r>
        <w:rPr>
          <w:color w:val="auto"/>
        </w:rPr>
        <w:t xml:space="preserve">FD&amp;C </w:t>
      </w:r>
      <w:r w:rsidR="008B768B">
        <w:rPr>
          <w:color w:val="auto"/>
        </w:rPr>
        <w:t xml:space="preserve">Act, </w:t>
      </w:r>
      <w:r w:rsidR="00A203D0">
        <w:rPr>
          <w:color w:val="auto"/>
        </w:rPr>
        <w:t>after FDA</w:t>
      </w:r>
      <w:r w:rsidR="00453633">
        <w:rPr>
          <w:color w:val="auto"/>
        </w:rPr>
        <w:t xml:space="preserve"> provides its consultation response,</w:t>
      </w:r>
      <w:r w:rsidR="00A203D0">
        <w:rPr>
          <w:color w:val="auto"/>
        </w:rPr>
        <w:t xml:space="preserve"> and </w:t>
      </w:r>
      <w:r w:rsidR="00453633">
        <w:rPr>
          <w:color w:val="auto"/>
        </w:rPr>
        <w:t>the trading partner determines that</w:t>
      </w:r>
      <w:r w:rsidR="00A203D0">
        <w:rPr>
          <w:color w:val="auto"/>
        </w:rPr>
        <w:t xml:space="preserve"> the notification is no longer necessary,</w:t>
      </w:r>
      <w:r w:rsidR="00285FBF" w:rsidRPr="00384362">
        <w:rPr>
          <w:color w:val="auto"/>
        </w:rPr>
        <w:t xml:space="preserve"> the trading partner </w:t>
      </w:r>
      <w:r w:rsidR="00FA3F7A">
        <w:rPr>
          <w:color w:val="auto"/>
        </w:rPr>
        <w:t>that</w:t>
      </w:r>
      <w:r w:rsidR="00285FBF" w:rsidRPr="00384362">
        <w:rPr>
          <w:color w:val="auto"/>
        </w:rPr>
        <w:t xml:space="preserve"> made the request for termination</w:t>
      </w:r>
      <w:r w:rsidR="00285FBF" w:rsidRPr="00384362" w:rsidDel="00674805">
        <w:rPr>
          <w:color w:val="auto"/>
        </w:rPr>
        <w:t xml:space="preserve"> </w:t>
      </w:r>
      <w:r w:rsidR="00917E7F">
        <w:rPr>
          <w:color w:val="auto"/>
        </w:rPr>
        <w:t xml:space="preserve">must </w:t>
      </w:r>
      <w:r w:rsidR="00BF1D07">
        <w:rPr>
          <w:color w:val="auto"/>
        </w:rPr>
        <w:t>promptly</w:t>
      </w:r>
      <w:r w:rsidR="00285FBF" w:rsidRPr="00384362">
        <w:rPr>
          <w:color w:val="auto"/>
        </w:rPr>
        <w:t xml:space="preserve"> notify immediate trading partners that </w:t>
      </w:r>
      <w:r w:rsidR="008E13D4">
        <w:rPr>
          <w:color w:val="auto"/>
        </w:rPr>
        <w:t>the</w:t>
      </w:r>
      <w:r w:rsidR="00285FBF" w:rsidRPr="00384362">
        <w:rPr>
          <w:color w:val="auto"/>
        </w:rPr>
        <w:t xml:space="preserve"> notification has been terminated.</w:t>
      </w:r>
      <w:r w:rsidR="00362140">
        <w:rPr>
          <w:color w:val="auto"/>
        </w:rPr>
        <w:t xml:space="preserve">  Trading partners may </w:t>
      </w:r>
      <w:r w:rsidR="00176035">
        <w:rPr>
          <w:color w:val="auto"/>
        </w:rPr>
        <w:t xml:space="preserve">notify </w:t>
      </w:r>
      <w:r w:rsidR="00D312F6">
        <w:rPr>
          <w:color w:val="auto"/>
        </w:rPr>
        <w:t xml:space="preserve">their </w:t>
      </w:r>
      <w:r w:rsidR="00176035">
        <w:rPr>
          <w:color w:val="auto"/>
        </w:rPr>
        <w:t xml:space="preserve">trading partners of a termination </w:t>
      </w:r>
      <w:r w:rsidR="00176035" w:rsidRPr="0057430D">
        <w:rPr>
          <w:szCs w:val="24"/>
        </w:rPr>
        <w:t>using existing systems and processes used for similar types of communications</w:t>
      </w:r>
      <w:r w:rsidR="00713D76">
        <w:rPr>
          <w:szCs w:val="24"/>
        </w:rPr>
        <w:t xml:space="preserve"> to those partners</w:t>
      </w:r>
      <w:r w:rsidR="00176035" w:rsidRPr="0057430D">
        <w:rPr>
          <w:szCs w:val="24"/>
        </w:rPr>
        <w:t xml:space="preserve">, which </w:t>
      </w:r>
      <w:r w:rsidR="00176035">
        <w:rPr>
          <w:szCs w:val="24"/>
        </w:rPr>
        <w:t>might</w:t>
      </w:r>
      <w:r w:rsidR="00176035" w:rsidRPr="0057430D">
        <w:rPr>
          <w:szCs w:val="24"/>
        </w:rPr>
        <w:t xml:space="preserve"> include</w:t>
      </w:r>
      <w:r w:rsidR="00176035">
        <w:rPr>
          <w:szCs w:val="24"/>
        </w:rPr>
        <w:t>,</w:t>
      </w:r>
      <w:r w:rsidR="00176035" w:rsidRPr="0057430D">
        <w:rPr>
          <w:szCs w:val="24"/>
        </w:rPr>
        <w:t xml:space="preserve"> but </w:t>
      </w:r>
      <w:r w:rsidR="003932FB">
        <w:rPr>
          <w:szCs w:val="24"/>
        </w:rPr>
        <w:t>are</w:t>
      </w:r>
      <w:r w:rsidR="00176035" w:rsidRPr="0057430D">
        <w:rPr>
          <w:szCs w:val="24"/>
        </w:rPr>
        <w:t xml:space="preserve"> not limited to</w:t>
      </w:r>
      <w:r w:rsidR="00176035">
        <w:rPr>
          <w:szCs w:val="24"/>
        </w:rPr>
        <w:t>,</w:t>
      </w:r>
      <w:r w:rsidR="00176035" w:rsidRPr="0057430D">
        <w:rPr>
          <w:szCs w:val="24"/>
        </w:rPr>
        <w:t xml:space="preserve"> posting of notification</w:t>
      </w:r>
      <w:r w:rsidR="00176035">
        <w:rPr>
          <w:szCs w:val="24"/>
        </w:rPr>
        <w:t>s</w:t>
      </w:r>
      <w:r w:rsidR="00176035" w:rsidRPr="0057430D">
        <w:rPr>
          <w:szCs w:val="24"/>
        </w:rPr>
        <w:t xml:space="preserve"> on a company </w:t>
      </w:r>
      <w:r w:rsidR="00176035">
        <w:rPr>
          <w:szCs w:val="24"/>
        </w:rPr>
        <w:t>W</w:t>
      </w:r>
      <w:r w:rsidR="00176035" w:rsidRPr="0057430D">
        <w:rPr>
          <w:szCs w:val="24"/>
        </w:rPr>
        <w:t>eb</w:t>
      </w:r>
      <w:r w:rsidR="00176035">
        <w:rPr>
          <w:szCs w:val="24"/>
        </w:rPr>
        <w:t xml:space="preserve"> </w:t>
      </w:r>
      <w:r w:rsidR="00176035" w:rsidRPr="0057430D">
        <w:rPr>
          <w:szCs w:val="24"/>
        </w:rPr>
        <w:t xml:space="preserve">site, </w:t>
      </w:r>
      <w:r w:rsidR="00A860BD">
        <w:rPr>
          <w:szCs w:val="24"/>
        </w:rPr>
        <w:t xml:space="preserve">telephoning, </w:t>
      </w:r>
      <w:r w:rsidR="00176035" w:rsidRPr="0057430D">
        <w:rPr>
          <w:szCs w:val="24"/>
        </w:rPr>
        <w:t xml:space="preserve">sending an email, </w:t>
      </w:r>
      <w:r w:rsidR="00176035">
        <w:rPr>
          <w:szCs w:val="24"/>
        </w:rPr>
        <w:t xml:space="preserve">or </w:t>
      </w:r>
      <w:r w:rsidR="00176035" w:rsidRPr="0057430D">
        <w:rPr>
          <w:szCs w:val="24"/>
        </w:rPr>
        <w:t>mailing or faxing a letter or notification.</w:t>
      </w:r>
    </w:p>
    <w:p w:rsidR="000816B1" w:rsidRDefault="000816B1" w:rsidP="00B3224E">
      <w:pPr>
        <w:rPr>
          <w:color w:val="auto"/>
        </w:rPr>
      </w:pPr>
    </w:p>
    <w:p w:rsidR="000816B1" w:rsidRDefault="000816B1" w:rsidP="00B3224E">
      <w:pPr>
        <w:rPr>
          <w:color w:val="auto"/>
        </w:rPr>
        <w:sectPr w:rsidR="000816B1">
          <w:headerReference w:type="default" r:id="rId27"/>
          <w:footerReference w:type="default" r:id="rId28"/>
          <w:pgSz w:w="12240" w:h="15840" w:code="1"/>
          <w:pgMar w:top="1440" w:right="1440" w:bottom="1440" w:left="1440" w:header="720" w:footer="720" w:gutter="0"/>
          <w:lnNumType w:countBy="1" w:restart="continuous"/>
          <w:pgNumType w:start="1"/>
          <w:cols w:space="720"/>
        </w:sectPr>
      </w:pPr>
    </w:p>
    <w:p w:rsidR="003F285E" w:rsidRDefault="00547395" w:rsidP="00E17832">
      <w:pPr>
        <w:pStyle w:val="Heading1"/>
        <w:jc w:val="center"/>
        <w:rPr>
          <w:noProof/>
        </w:rPr>
      </w:pPr>
      <w:bookmarkStart w:id="39" w:name="_Toc407020518"/>
      <w:r>
        <w:lastRenderedPageBreak/>
        <w:t>ATTACHMENT A:  FORM</w:t>
      </w:r>
      <w:r w:rsidR="003F285E">
        <w:t xml:space="preserve"> FDA 3911</w:t>
      </w:r>
      <w:bookmarkEnd w:id="39"/>
    </w:p>
    <w:p w:rsidR="00E17832" w:rsidRDefault="00E17832" w:rsidP="00701EBF">
      <w:pPr>
        <w:rPr>
          <w:noProof/>
        </w:rPr>
      </w:pPr>
    </w:p>
    <w:p w:rsidR="00BD2330" w:rsidRPr="00701EBF" w:rsidRDefault="00DF2C27" w:rsidP="00701EBF">
      <w:pPr>
        <w:sectPr w:rsidR="00BD2330" w:rsidRPr="00701EBF" w:rsidSect="00544B8C">
          <w:footerReference w:type="default" r:id="rId29"/>
          <w:pgSz w:w="12240" w:h="15840" w:code="1"/>
          <w:pgMar w:top="1440" w:right="1440" w:bottom="1440" w:left="1440" w:header="720" w:footer="720" w:gutter="0"/>
          <w:lnNumType w:countBy="1" w:restart="continuous"/>
          <w:cols w:space="720"/>
        </w:sectPr>
      </w:pPr>
      <w:r>
        <w:rPr>
          <w:noProof/>
        </w:rPr>
        <w:drawing>
          <wp:inline distT="0" distB="0" distL="0" distR="0" wp14:anchorId="3A894374" wp14:editId="3EED9142">
            <wp:extent cx="5939790" cy="7680960"/>
            <wp:effectExtent l="0" t="0" r="3810" b="0"/>
            <wp:docPr id="3" name="Picture 3" descr="C:\Users\CHUNB\Desktop\FDA-3911_508_R1_v9 _FINAL_DRAFTw_Page_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UNB\Desktop\FDA-3911_508_R1_v9 _FINAL_DRAFTw_Page_1.tif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7680960"/>
                    </a:xfrm>
                    <a:prstGeom prst="rect">
                      <a:avLst/>
                    </a:prstGeom>
                    <a:noFill/>
                    <a:ln>
                      <a:noFill/>
                    </a:ln>
                  </pic:spPr>
                </pic:pic>
              </a:graphicData>
            </a:graphic>
          </wp:inline>
        </w:drawing>
      </w:r>
    </w:p>
    <w:p w:rsidR="003F285E" w:rsidRDefault="00DF2C27" w:rsidP="00B3224E">
      <w:pPr>
        <w:rPr>
          <w:color w:val="auto"/>
        </w:rPr>
      </w:pPr>
      <w:r>
        <w:rPr>
          <w:noProof/>
          <w:color w:val="auto"/>
        </w:rPr>
        <w:lastRenderedPageBreak/>
        <w:drawing>
          <wp:inline distT="0" distB="0" distL="0" distR="0" wp14:anchorId="3AEA5BD5" wp14:editId="4BD1BF76">
            <wp:extent cx="5939790" cy="7680960"/>
            <wp:effectExtent l="0" t="0" r="3810" b="0"/>
            <wp:docPr id="4" name="Picture 4" descr="C:\Users\CHUNB\Desktop\FDA-3911_508_R1_v9 _FINAL_DRAFTw_Page_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UNB\Desktop\FDA-3911_508_R1_v9 _FINAL_DRAFTw_Page_2.tif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9790" cy="7680960"/>
                    </a:xfrm>
                    <a:prstGeom prst="rect">
                      <a:avLst/>
                    </a:prstGeom>
                    <a:noFill/>
                    <a:ln>
                      <a:noFill/>
                    </a:ln>
                  </pic:spPr>
                </pic:pic>
              </a:graphicData>
            </a:graphic>
          </wp:inline>
        </w:drawing>
      </w:r>
    </w:p>
    <w:p w:rsidR="003F285E" w:rsidRDefault="003F285E" w:rsidP="00B3224E">
      <w:pPr>
        <w:rPr>
          <w:color w:val="auto"/>
        </w:rPr>
      </w:pPr>
    </w:p>
    <w:p w:rsidR="003F285E" w:rsidRDefault="003F285E" w:rsidP="00B3224E">
      <w:pPr>
        <w:rPr>
          <w:color w:val="auto"/>
        </w:rPr>
      </w:pPr>
    </w:p>
    <w:p w:rsidR="003F285E" w:rsidRDefault="00E32CA5" w:rsidP="00B3224E">
      <w:pPr>
        <w:rPr>
          <w:color w:val="auto"/>
        </w:rPr>
      </w:pPr>
      <w:r>
        <w:rPr>
          <w:noProof/>
          <w:color w:val="auto"/>
        </w:rPr>
        <w:lastRenderedPageBreak/>
        <w:drawing>
          <wp:inline distT="0" distB="0" distL="0" distR="0">
            <wp:extent cx="5932805" cy="7687310"/>
            <wp:effectExtent l="0" t="0" r="0" b="8890"/>
            <wp:docPr id="9" name="Picture 9" descr="C:\Users\CHUNB\Desktop\FDA-3911_draft_instr supplmnt_r1_v4_Page_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UNB\Desktop\FDA-3911_draft_instr supplmnt_r1_v4_Page_1.tif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2805" cy="7687310"/>
                    </a:xfrm>
                    <a:prstGeom prst="rect">
                      <a:avLst/>
                    </a:prstGeom>
                    <a:noFill/>
                    <a:ln>
                      <a:noFill/>
                    </a:ln>
                  </pic:spPr>
                </pic:pic>
              </a:graphicData>
            </a:graphic>
          </wp:inline>
        </w:drawing>
      </w:r>
      <w:r>
        <w:rPr>
          <w:noProof/>
          <w:color w:val="auto"/>
        </w:rPr>
        <w:lastRenderedPageBreak/>
        <w:drawing>
          <wp:inline distT="0" distB="0" distL="0" distR="0">
            <wp:extent cx="5932805" cy="7687310"/>
            <wp:effectExtent l="0" t="0" r="0" b="8890"/>
            <wp:docPr id="10" name="Picture 10" descr="C:\Users\CHUNB\Desktop\FDA-3911_draft_instr supplmnt_r1_v4_Page_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UNB\Desktop\FDA-3911_draft_instr supplmnt_r1_v4_Page_2.tif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2805" cy="7687310"/>
                    </a:xfrm>
                    <a:prstGeom prst="rect">
                      <a:avLst/>
                    </a:prstGeom>
                    <a:noFill/>
                    <a:ln>
                      <a:noFill/>
                    </a:ln>
                  </pic:spPr>
                </pic:pic>
              </a:graphicData>
            </a:graphic>
          </wp:inline>
        </w:drawing>
      </w:r>
      <w:r>
        <w:rPr>
          <w:noProof/>
          <w:color w:val="auto"/>
        </w:rPr>
        <w:lastRenderedPageBreak/>
        <w:drawing>
          <wp:inline distT="0" distB="0" distL="0" distR="0">
            <wp:extent cx="5932805" cy="7687310"/>
            <wp:effectExtent l="0" t="0" r="0" b="8890"/>
            <wp:docPr id="11" name="Picture 11" descr="C:\Users\CHUNB\Desktop\FDA-3911_draft_instr supplmnt_r1_v4_Page_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UNB\Desktop\FDA-3911_draft_instr supplmnt_r1_v4_Page_3.tif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2805" cy="7687310"/>
                    </a:xfrm>
                    <a:prstGeom prst="rect">
                      <a:avLst/>
                    </a:prstGeom>
                    <a:noFill/>
                    <a:ln>
                      <a:noFill/>
                    </a:ln>
                  </pic:spPr>
                </pic:pic>
              </a:graphicData>
            </a:graphic>
          </wp:inline>
        </w:drawing>
      </w:r>
    </w:p>
    <w:p w:rsidR="00E17832" w:rsidRDefault="00E17832" w:rsidP="00B3224E">
      <w:pPr>
        <w:rPr>
          <w:color w:val="auto"/>
        </w:rPr>
      </w:pPr>
    </w:p>
    <w:p w:rsidR="00E17832" w:rsidRDefault="00E17832" w:rsidP="00B3224E">
      <w:pPr>
        <w:rPr>
          <w:noProof/>
          <w:color w:val="auto"/>
        </w:rPr>
      </w:pPr>
    </w:p>
    <w:sectPr w:rsidR="00E17832" w:rsidSect="00842F85">
      <w:headerReference w:type="default" r:id="rId35"/>
      <w:footerReference w:type="default" r:id="rId36"/>
      <w:pgSz w:w="12240" w:h="15840" w:code="1"/>
      <w:pgMar w:top="1440" w:right="1440" w:bottom="1440" w:left="1440" w:header="720" w:footer="720" w:gutter="0"/>
      <w:lnNumType w:countBy="1" w:restart="continuou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5C2" w:rsidRDefault="004465C2">
      <w:r>
        <w:separator/>
      </w:r>
    </w:p>
  </w:endnote>
  <w:endnote w:type="continuationSeparator" w:id="0">
    <w:p w:rsidR="004465C2" w:rsidRDefault="004465C2">
      <w:r>
        <w:continuationSeparator/>
      </w:r>
    </w:p>
  </w:endnote>
  <w:endnote w:type="continuationNotice" w:id="1">
    <w:p w:rsidR="004465C2" w:rsidRDefault="004465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047" w:rsidRDefault="00A34047" w:rsidP="00E92214">
    <w:pPr>
      <w:pStyle w:val="Footer"/>
    </w:pPr>
  </w:p>
  <w:p w:rsidR="00A34047" w:rsidRDefault="00A340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047" w:rsidRDefault="00A3404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047" w:rsidRPr="00AD2B20" w:rsidRDefault="00A34047">
    <w:pPr>
      <w:pStyle w:val="Footer"/>
      <w:rPr>
        <w:sz w:val="20"/>
      </w:rPr>
    </w:pPr>
    <w:r w:rsidRPr="00D34F0D">
      <w:rPr>
        <w:sz w:val="20"/>
      </w:rPr>
      <w:t xml:space="preserve">* Insofar as section IV.B of this guidance sets forth the process by which trading partners must terminate notifications of illegitimate product </w:t>
    </w:r>
    <w:r>
      <w:rPr>
        <w:sz w:val="20"/>
      </w:rPr>
      <w:t xml:space="preserve">and products with a high risk of illegitimacy </w:t>
    </w:r>
    <w:r w:rsidRPr="00D34F0D">
      <w:rPr>
        <w:sz w:val="20"/>
      </w:rPr>
      <w:t xml:space="preserve">in consultation with FDA, it </w:t>
    </w:r>
    <w:r>
      <w:rPr>
        <w:sz w:val="20"/>
      </w:rPr>
      <w:t xml:space="preserve">has </w:t>
    </w:r>
    <w:r w:rsidRPr="00D34F0D">
      <w:rPr>
        <w:sz w:val="20"/>
      </w:rPr>
      <w:t>binding effect.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584638"/>
      <w:docPartObj>
        <w:docPartGallery w:val="Page Numbers (Bottom of Page)"/>
        <w:docPartUnique/>
      </w:docPartObj>
    </w:sdtPr>
    <w:sdtEndPr>
      <w:rPr>
        <w:noProof/>
      </w:rPr>
    </w:sdtEndPr>
    <w:sdtContent>
      <w:p w:rsidR="00A34047" w:rsidRDefault="00A34047" w:rsidP="001F7934">
        <w:pPr>
          <w:pStyle w:val="Footer"/>
        </w:pPr>
      </w:p>
      <w:p w:rsidR="00A34047" w:rsidRPr="00E92214" w:rsidRDefault="00A34047" w:rsidP="001F7934">
        <w:pPr>
          <w:pStyle w:val="Footer"/>
          <w:rPr>
            <w:sz w:val="20"/>
          </w:rPr>
        </w:pPr>
        <w:r w:rsidRPr="00D34F0D">
          <w:rPr>
            <w:sz w:val="20"/>
          </w:rPr>
          <w:t xml:space="preserve">* Insofar as section IV.B of this guidance sets forth the process by which trading partners must terminate notifications of illegitimate product </w:t>
        </w:r>
        <w:r>
          <w:rPr>
            <w:sz w:val="20"/>
          </w:rPr>
          <w:t xml:space="preserve">and products with a high risk of illegitimacy </w:t>
        </w:r>
        <w:r w:rsidRPr="00D34F0D">
          <w:rPr>
            <w:sz w:val="20"/>
          </w:rPr>
          <w:t xml:space="preserve">in consultation with FDA, it </w:t>
        </w:r>
        <w:r>
          <w:rPr>
            <w:sz w:val="20"/>
          </w:rPr>
          <w:t xml:space="preserve">has </w:t>
        </w:r>
        <w:r w:rsidRPr="00D34F0D">
          <w:rPr>
            <w:sz w:val="20"/>
          </w:rPr>
          <w:t>binding effect.</w:t>
        </w:r>
      </w:p>
      <w:p w:rsidR="00A34047" w:rsidRPr="001F7934" w:rsidRDefault="00A34047" w:rsidP="001F7934">
        <w:pPr>
          <w:pStyle w:val="Footer"/>
          <w:jc w:val="center"/>
        </w:pPr>
        <w:r>
          <w:fldChar w:fldCharType="begin"/>
        </w:r>
        <w:r>
          <w:instrText xml:space="preserve"> PAGE   \* MERGEFORMAT </w:instrText>
        </w:r>
        <w:r>
          <w:fldChar w:fldCharType="separate"/>
        </w:r>
        <w:r w:rsidR="00E470D4">
          <w:rPr>
            <w:noProof/>
          </w:rPr>
          <w:t>15</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94488"/>
      <w:docPartObj>
        <w:docPartGallery w:val="Page Numbers (Bottom of Page)"/>
        <w:docPartUnique/>
      </w:docPartObj>
    </w:sdtPr>
    <w:sdtEndPr>
      <w:rPr>
        <w:noProof/>
      </w:rPr>
    </w:sdtEndPr>
    <w:sdtContent>
      <w:p w:rsidR="00A34047" w:rsidRDefault="00A34047" w:rsidP="00E92214">
        <w:pPr>
          <w:pStyle w:val="Footer"/>
        </w:pPr>
        <w:r w:rsidRPr="00A2502C">
          <w:rPr>
            <w:sz w:val="20"/>
          </w:rPr>
          <w:t>* Insofar as section IV.B of this guidance sets forth the process by which trading partners must terminate notifications of illegitimate product in consultation with FDA, it will have binding effect upon finalization.</w:t>
        </w:r>
      </w:p>
      <w:p w:rsidR="00A34047" w:rsidRPr="00E92214" w:rsidRDefault="00A34047" w:rsidP="00E92214">
        <w:pPr>
          <w:pStyle w:val="Footer"/>
          <w:jc w:val="center"/>
        </w:pPr>
        <w:r>
          <w:fldChar w:fldCharType="begin"/>
        </w:r>
        <w:r>
          <w:instrText xml:space="preserve"> PAGE   \* MERGEFORMAT </w:instrText>
        </w:r>
        <w:r>
          <w:fldChar w:fldCharType="separate"/>
        </w:r>
        <w:r w:rsidR="00E470D4">
          <w:rPr>
            <w:noProof/>
          </w:rPr>
          <w:t>16</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047" w:rsidRDefault="00A34047" w:rsidP="00544B8C">
    <w:pPr>
      <w:pStyle w:val="Footer"/>
      <w:rPr>
        <w:sz w:val="20"/>
      </w:rPr>
    </w:pPr>
    <w:r w:rsidRPr="00A2502C">
      <w:rPr>
        <w:sz w:val="20"/>
      </w:rPr>
      <w:t>* Insofar as section IV.B of this guidance sets forth the process by which trading partners must terminate notifications of illegitimate product in consultation with FDA, it will have binding effect upon finalization.</w:t>
    </w:r>
  </w:p>
  <w:sdt>
    <w:sdtPr>
      <w:id w:val="1535004438"/>
      <w:docPartObj>
        <w:docPartGallery w:val="Page Numbers (Bottom of Page)"/>
        <w:docPartUnique/>
      </w:docPartObj>
    </w:sdtPr>
    <w:sdtEndPr>
      <w:rPr>
        <w:noProof/>
      </w:rPr>
    </w:sdtEndPr>
    <w:sdtContent>
      <w:p w:rsidR="00A34047" w:rsidRDefault="00A34047">
        <w:pPr>
          <w:pStyle w:val="Footer"/>
          <w:jc w:val="center"/>
        </w:pPr>
        <w:r>
          <w:fldChar w:fldCharType="begin"/>
        </w:r>
        <w:r>
          <w:instrText xml:space="preserve"> PAGE   \* MERGEFORMAT </w:instrText>
        </w:r>
        <w:r>
          <w:fldChar w:fldCharType="separate"/>
        </w:r>
        <w:r w:rsidR="00E470D4">
          <w:rPr>
            <w:noProof/>
          </w:rPr>
          <w:t>20</w:t>
        </w:r>
        <w:r>
          <w:rPr>
            <w:noProof/>
          </w:rPr>
          <w:fldChar w:fldCharType="end"/>
        </w:r>
      </w:p>
    </w:sdtContent>
  </w:sdt>
  <w:p w:rsidR="00A34047" w:rsidRPr="005829DA" w:rsidRDefault="00A34047" w:rsidP="005829DA">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5C2" w:rsidRDefault="004465C2">
      <w:r>
        <w:separator/>
      </w:r>
    </w:p>
  </w:footnote>
  <w:footnote w:type="continuationSeparator" w:id="0">
    <w:p w:rsidR="004465C2" w:rsidRDefault="004465C2">
      <w:r>
        <w:continuationSeparator/>
      </w:r>
    </w:p>
  </w:footnote>
  <w:footnote w:type="continuationNotice" w:id="1">
    <w:p w:rsidR="004465C2" w:rsidRDefault="004465C2"/>
  </w:footnote>
  <w:footnote w:id="2">
    <w:p w:rsidR="00A34047" w:rsidRDefault="00A34047">
      <w:pPr>
        <w:pStyle w:val="FootnoteText"/>
      </w:pPr>
      <w:r>
        <w:rPr>
          <w:rStyle w:val="FootnoteReference"/>
        </w:rPr>
        <w:footnoteRef/>
      </w:r>
      <w:r>
        <w:t xml:space="preserve"> This guidance has been prepared by the Office of Compliance in the Center for Drug Evaluation and Research (CDER) in cooperation with the Center for Biologics Evaluation and Research (CBER) and the Office of Regulatory Affairs (ORA) at the Food and Drug Administration. </w:t>
      </w:r>
    </w:p>
  </w:footnote>
  <w:footnote w:id="3">
    <w:p w:rsidR="00A34047" w:rsidRDefault="00A34047" w:rsidP="000051CC">
      <w:pPr>
        <w:pStyle w:val="FootnoteText"/>
      </w:pPr>
      <w:r>
        <w:rPr>
          <w:rStyle w:val="FootnoteReference"/>
        </w:rPr>
        <w:footnoteRef/>
      </w:r>
      <w:r>
        <w:t xml:space="preserve"> Congress gave FDA authority to implement through binding guidance the process for terminating notifications of illegitimate product in consultation with FDA.  Thus, the discussion of the termination process in section IV has binding effect.</w:t>
      </w:r>
    </w:p>
  </w:footnote>
  <w:footnote w:id="4">
    <w:p w:rsidR="00A34047" w:rsidRPr="009D3575" w:rsidRDefault="00A34047">
      <w:pPr>
        <w:pStyle w:val="FootnoteText"/>
      </w:pPr>
      <w:r>
        <w:rPr>
          <w:rStyle w:val="FootnoteReference"/>
        </w:rPr>
        <w:footnoteRef/>
      </w:r>
      <w:r>
        <w:t xml:space="preserve"> </w:t>
      </w:r>
      <w:r w:rsidRPr="008865A3">
        <w:t xml:space="preserve">For this guidance, </w:t>
      </w:r>
      <w:r w:rsidRPr="008865A3">
        <w:rPr>
          <w:i/>
        </w:rPr>
        <w:t>trading partner</w:t>
      </w:r>
      <w:r w:rsidRPr="008865A3">
        <w:t xml:space="preserve"> is defined </w:t>
      </w:r>
      <w:r>
        <w:t xml:space="preserve">as described </w:t>
      </w:r>
      <w:r w:rsidRPr="008865A3">
        <w:t>in section 581(23)(A) of the Federal Food, Drug, and Cosmetic Act</w:t>
      </w:r>
      <w:r>
        <w:t xml:space="preserve"> (21 U.S.C. 30eee(23)(A)),</w:t>
      </w:r>
      <w:r w:rsidRPr="008865A3">
        <w:t xml:space="preserve"> and refers to a manufacturer, repackager, wholesale distributor, or dispenser.</w:t>
      </w:r>
      <w:r>
        <w:t xml:space="preserve">  For purposes of this guidance, </w:t>
      </w:r>
      <w:r>
        <w:rPr>
          <w:i/>
        </w:rPr>
        <w:t>trading partner</w:t>
      </w:r>
      <w:r>
        <w:t xml:space="preserve"> does not refer to a third-party logistics provider (3PL) as defined at section 581(23)(B) of the FD&amp;C Act (21 U.S.C. 360eee(23)(B)), though FDA encourages 3PLs to follow the recommendations in this guidance to the extent relevant to the 3PL’s operations.</w:t>
      </w:r>
    </w:p>
  </w:footnote>
  <w:footnote w:id="5">
    <w:p w:rsidR="00A34047" w:rsidRDefault="00A34047" w:rsidP="00CA4D36">
      <w:pPr>
        <w:pStyle w:val="FootnoteText"/>
      </w:pPr>
      <w:r>
        <w:rPr>
          <w:rStyle w:val="FootnoteReference"/>
        </w:rPr>
        <w:footnoteRef/>
      </w:r>
      <w:r>
        <w:t xml:space="preserve"> Section 582 of the FD&amp;C Act gives FDA authority to issue binding guidance on the process for terminating notifications of illegitimate product.  Specifically, section 582(h)(2)(A) states that FDA “shall issue a guidance document to aid trading partners in the identification of a suspect product and notification termination.  Such guidance document shall . . . set forth the process by which manufacturers, repackagers, wholesale distributors, and dispensers shall terminate notifications in consultation with the Secretary regarding illegitimate product . . . .”</w:t>
      </w:r>
    </w:p>
  </w:footnote>
  <w:footnote w:id="6">
    <w:p w:rsidR="00A34047" w:rsidRDefault="00A34047">
      <w:pPr>
        <w:pStyle w:val="FootnoteText"/>
      </w:pPr>
      <w:r>
        <w:rPr>
          <w:rStyle w:val="FootnoteReference"/>
        </w:rPr>
        <w:footnoteRef/>
      </w:r>
      <w:r>
        <w:t xml:space="preserve"> For additional definitions applicable to this guidance, please refer to section 581 of the FD&amp;C Act.</w:t>
      </w:r>
    </w:p>
  </w:footnote>
  <w:footnote w:id="7">
    <w:p w:rsidR="00A34047" w:rsidRDefault="00A34047">
      <w:pPr>
        <w:pStyle w:val="FootnoteText"/>
      </w:pPr>
      <w:r>
        <w:rPr>
          <w:rStyle w:val="FootnoteReference"/>
        </w:rPr>
        <w:footnoteRef/>
      </w:r>
      <w:r>
        <w:t xml:space="preserve"> O</w:t>
      </w:r>
      <w:r w:rsidRPr="007659CF">
        <w:rPr>
          <w:szCs w:val="24"/>
        </w:rPr>
        <w:t>r</w:t>
      </w:r>
      <w:r>
        <w:rPr>
          <w:szCs w:val="24"/>
        </w:rPr>
        <w:t>,</w:t>
      </w:r>
      <w:r w:rsidRPr="007659CF">
        <w:rPr>
          <w:szCs w:val="24"/>
        </w:rPr>
        <w:t xml:space="preserve"> </w:t>
      </w:r>
      <w:r w:rsidRPr="00850B2B">
        <w:rPr>
          <w:szCs w:val="24"/>
        </w:rPr>
        <w:t xml:space="preserve">for products distributed solely in </w:t>
      </w:r>
      <w:r>
        <w:rPr>
          <w:szCs w:val="24"/>
        </w:rPr>
        <w:t xml:space="preserve">the </w:t>
      </w:r>
      <w:r w:rsidRPr="00850B2B">
        <w:rPr>
          <w:szCs w:val="24"/>
        </w:rPr>
        <w:t>Commonwealth of Puerto Rico or in a Territory where the predominant language is Spanish</w:t>
      </w:r>
      <w:r>
        <w:rPr>
          <w:szCs w:val="24"/>
        </w:rPr>
        <w:t xml:space="preserve">, </w:t>
      </w:r>
      <w:r w:rsidRPr="007659CF">
        <w:rPr>
          <w:szCs w:val="24"/>
        </w:rPr>
        <w:t>“Solamente Rx”.</w:t>
      </w:r>
      <w:r w:rsidRPr="00EB519B">
        <w:t xml:space="preserve"> </w:t>
      </w:r>
      <w:r>
        <w:t xml:space="preserve"> 21 CFR 201.16</w:t>
      </w:r>
    </w:p>
  </w:footnote>
  <w:footnote w:id="8">
    <w:p w:rsidR="00A34047" w:rsidRDefault="00A34047" w:rsidP="00B23FA8">
      <w:pPr>
        <w:pStyle w:val="FootnoteText"/>
      </w:pPr>
      <w:r>
        <w:rPr>
          <w:rStyle w:val="FootnoteReference"/>
        </w:rPr>
        <w:footnoteRef/>
      </w:r>
      <w:r>
        <w:t xml:space="preserve"> </w:t>
      </w:r>
      <w:r>
        <w:rPr>
          <w:szCs w:val="24"/>
        </w:rPr>
        <w:t>E</w:t>
      </w:r>
      <w:r w:rsidRPr="007659CF">
        <w:t xml:space="preserve">xcept for products </w:t>
      </w:r>
      <w:r w:rsidRPr="007659CF">
        <w:rPr>
          <w:szCs w:val="24"/>
        </w:rPr>
        <w:t>distributed solely in the Commonwealth of Puerto Rico or in a Territory where the predominant language is one other than English</w:t>
      </w:r>
      <w:r>
        <w:rPr>
          <w:szCs w:val="24"/>
        </w:rPr>
        <w:t xml:space="preserve">. </w:t>
      </w:r>
      <w:r>
        <w:t xml:space="preserve"> 21 CFR 201.15 (c)(1)</w:t>
      </w:r>
    </w:p>
  </w:footnote>
  <w:footnote w:id="9">
    <w:p w:rsidR="00A34047" w:rsidRPr="00850B2B" w:rsidRDefault="00A34047" w:rsidP="00B23FA8">
      <w:pPr>
        <w:pStyle w:val="FootnoteText"/>
        <w:rPr>
          <w:i/>
        </w:rPr>
      </w:pPr>
      <w:r>
        <w:rPr>
          <w:rStyle w:val="FootnoteReference"/>
        </w:rPr>
        <w:footnoteRef/>
      </w:r>
      <w:r>
        <w:t xml:space="preserve"> </w:t>
      </w:r>
      <w:r>
        <w:rPr>
          <w:szCs w:val="24"/>
        </w:rPr>
        <w:t>E</w:t>
      </w:r>
      <w:r w:rsidRPr="007659CF">
        <w:rPr>
          <w:szCs w:val="24"/>
        </w:rPr>
        <w:t>xcept for products distributed solely in the Commonwealth of Puerto Rico or in a Territory where the predominant language is one other than English</w:t>
      </w:r>
      <w:r>
        <w:rPr>
          <w:szCs w:val="24"/>
        </w:rPr>
        <w:t xml:space="preserve">. </w:t>
      </w:r>
      <w:r>
        <w:rPr>
          <w:i/>
        </w:rPr>
        <w:t xml:space="preserve"> Id.</w:t>
      </w:r>
    </w:p>
  </w:footnote>
  <w:footnote w:id="10">
    <w:p w:rsidR="00956B9F" w:rsidRDefault="00956B9F">
      <w:pPr>
        <w:pStyle w:val="FootnoteText"/>
      </w:pPr>
      <w:r>
        <w:rPr>
          <w:rStyle w:val="FootnoteReference"/>
        </w:rPr>
        <w:footnoteRef/>
      </w:r>
      <w:r>
        <w:t xml:space="preserve"> </w:t>
      </w:r>
      <w:r w:rsidRPr="00956B9F">
        <w:rPr>
          <w:color w:val="auto"/>
        </w:rPr>
        <w:t>This section of the guidance is being distributed for comment purposes only.</w:t>
      </w:r>
    </w:p>
  </w:footnote>
  <w:footnote w:id="11">
    <w:p w:rsidR="00A34047" w:rsidRPr="000B511D" w:rsidRDefault="00A34047" w:rsidP="00F43AF8">
      <w:pPr>
        <w:pStyle w:val="FootnoteText"/>
      </w:pPr>
      <w:r w:rsidRPr="000B511D">
        <w:rPr>
          <w:rStyle w:val="FootnoteReference"/>
          <w:color w:val="auto"/>
        </w:rPr>
        <w:footnoteRef/>
      </w:r>
      <w:r w:rsidRPr="000B511D">
        <w:rPr>
          <w:color w:val="auto"/>
        </w:rPr>
        <w:t xml:space="preserve"> FDA reserves authority to articulate additional </w:t>
      </w:r>
      <w:r>
        <w:rPr>
          <w:color w:val="auto"/>
        </w:rPr>
        <w:t xml:space="preserve">“other </w:t>
      </w:r>
      <w:r w:rsidRPr="000B511D">
        <w:rPr>
          <w:color w:val="auto"/>
        </w:rPr>
        <w:t>high risk</w:t>
      </w:r>
      <w:r>
        <w:rPr>
          <w:color w:val="auto"/>
        </w:rPr>
        <w:t>[</w:t>
      </w:r>
      <w:r w:rsidRPr="000B511D">
        <w:rPr>
          <w:color w:val="auto"/>
        </w:rPr>
        <w:t>s</w:t>
      </w:r>
      <w:r>
        <w:rPr>
          <w:color w:val="auto"/>
        </w:rPr>
        <w:t>]”</w:t>
      </w:r>
      <w:r w:rsidRPr="000B511D">
        <w:rPr>
          <w:color w:val="auto"/>
        </w:rPr>
        <w:t xml:space="preserve"> in subsequent guidance. </w:t>
      </w:r>
      <w:r>
        <w:rPr>
          <w:color w:val="auto"/>
        </w:rPr>
        <w:t xml:space="preserve"> </w:t>
      </w:r>
    </w:p>
  </w:footnote>
  <w:footnote w:id="12">
    <w:p w:rsidR="00A34047" w:rsidRDefault="00A34047">
      <w:pPr>
        <w:pStyle w:val="FootnoteText"/>
      </w:pPr>
      <w:r>
        <w:rPr>
          <w:rStyle w:val="FootnoteReference"/>
        </w:rPr>
        <w:footnoteRef/>
      </w:r>
      <w:r>
        <w:t xml:space="preserve"> As described above, this section of the guidance document is binding.</w:t>
      </w:r>
    </w:p>
  </w:footnote>
  <w:footnote w:id="13">
    <w:p w:rsidR="00A34047" w:rsidRDefault="00A34047" w:rsidP="00453633">
      <w:pPr>
        <w:pStyle w:val="FootnoteText"/>
      </w:pPr>
      <w:r>
        <w:rPr>
          <w:rStyle w:val="FootnoteReference"/>
        </w:rPr>
        <w:footnoteRef/>
      </w:r>
      <w:r>
        <w:t xml:space="preserve"> FD&amp;C Act § 582(b)(4)(iv), (c)(4)(B)(iv), (d)(4)(B)(iv), and (e)(4)(B)(iv).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047" w:rsidRDefault="00A34047">
    <w:pPr>
      <w:pStyle w:val="Header"/>
    </w:pPr>
    <w:r>
      <w:rPr>
        <w:noProof/>
      </w:rPr>
      <mc:AlternateContent>
        <mc:Choice Requires="wps">
          <w:drawing>
            <wp:anchor distT="0" distB="0" distL="114300" distR="114300" simplePos="0" relativeHeight="251657216" behindDoc="0" locked="0" layoutInCell="0" allowOverlap="1" wp14:anchorId="4377F49B" wp14:editId="6BEFC5DB">
              <wp:simplePos x="0" y="0"/>
              <wp:positionH relativeFrom="column">
                <wp:posOffset>71755</wp:posOffset>
              </wp:positionH>
              <wp:positionV relativeFrom="paragraph">
                <wp:posOffset>488950</wp:posOffset>
              </wp:positionV>
              <wp:extent cx="59436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38.5pt" to="473.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NrJ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" o:allowincell="f" strokeweight="2.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047" w:rsidRDefault="00A340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047" w:rsidRDefault="00A34047">
    <w:pPr>
      <w:pStyle w:val="Header"/>
      <w:spacing w:after="120"/>
      <w:jc w:val="center"/>
      <w:rPr>
        <w:b/>
        <w:i/>
      </w:rPr>
    </w:pPr>
    <w:r>
      <w:rPr>
        <w:b/>
        <w:i/>
      </w:rPr>
      <w:t>Contains Nonbinding Recommendations*</w:t>
    </w:r>
  </w:p>
  <w:p w:rsidR="00A34047" w:rsidRDefault="00A34047">
    <w:pPr>
      <w:pStyle w:val="Header"/>
      <w:spacing w:after="120"/>
      <w:jc w:val="center"/>
      <w:rPr>
        <w: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047" w:rsidRDefault="00A34047">
    <w:pPr>
      <w:pStyle w:val="Header"/>
      <w:spacing w:after="120"/>
      <w:jc w:val="center"/>
      <w:rPr>
        <w:b/>
        <w:i/>
      </w:rPr>
    </w:pPr>
    <w:r>
      <w:rPr>
        <w:b/>
        <w:i/>
      </w:rPr>
      <w:t>Contains Nonbinding Recommendations*</w:t>
    </w:r>
  </w:p>
  <w:p w:rsidR="00A34047" w:rsidRDefault="00A34047">
    <w:pPr>
      <w:pStyle w:val="Header"/>
      <w:spacing w:after="120"/>
      <w:jc w:val="center"/>
      <w:rPr>
        <w:i/>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047" w:rsidRDefault="00A34047">
    <w:pPr>
      <w:pStyle w:val="Header"/>
      <w:spacing w:after="120"/>
      <w:jc w:val="center"/>
      <w:rPr>
        <w:b/>
        <w:i/>
      </w:rPr>
    </w:pPr>
    <w:r>
      <w:rPr>
        <w:b/>
        <w:i/>
      </w:rPr>
      <w:t>Contains Nonbinding Recommendations*</w:t>
    </w:r>
  </w:p>
  <w:p w:rsidR="00A34047" w:rsidRDefault="00A34047">
    <w:pPr>
      <w:pStyle w:val="Header"/>
      <w:spacing w:after="120"/>
      <w:jc w:val="center"/>
      <w:rPr>
        <w: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2B46"/>
    <w:multiLevelType w:val="hybridMultilevel"/>
    <w:tmpl w:val="5BBCC07A"/>
    <w:lvl w:ilvl="0" w:tplc="303E304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B194A"/>
    <w:multiLevelType w:val="hybridMultilevel"/>
    <w:tmpl w:val="6810B3D8"/>
    <w:lvl w:ilvl="0" w:tplc="E0E0B5B2">
      <w:start w:val="1"/>
      <w:numFmt w:val="bullet"/>
      <w:lvlText w:val="­"/>
      <w:lvlJc w:val="left"/>
      <w:pPr>
        <w:ind w:left="1800" w:hanging="360"/>
      </w:pPr>
      <w:rPr>
        <w:rFonts w:ascii="Courier New" w:hAnsi="Courier New" w:hint="default"/>
      </w:rPr>
    </w:lvl>
    <w:lvl w:ilvl="1" w:tplc="E0E0B5B2">
      <w:start w:val="1"/>
      <w:numFmt w:val="bullet"/>
      <w:lvlText w:val="­"/>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9AB2390"/>
    <w:multiLevelType w:val="hybridMultilevel"/>
    <w:tmpl w:val="EECC90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363651"/>
    <w:multiLevelType w:val="hybridMultilevel"/>
    <w:tmpl w:val="48622ED6"/>
    <w:lvl w:ilvl="0" w:tplc="249241D0">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901C1"/>
    <w:multiLevelType w:val="hybridMultilevel"/>
    <w:tmpl w:val="583A3E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D5265"/>
    <w:multiLevelType w:val="hybridMultilevel"/>
    <w:tmpl w:val="AC06F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D90AAF"/>
    <w:multiLevelType w:val="hybridMultilevel"/>
    <w:tmpl w:val="2B3C0EE4"/>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7">
    <w:nsid w:val="150932CE"/>
    <w:multiLevelType w:val="hybridMultilevel"/>
    <w:tmpl w:val="6C22A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49532B"/>
    <w:multiLevelType w:val="hybridMultilevel"/>
    <w:tmpl w:val="3B80F2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89D72C6"/>
    <w:multiLevelType w:val="hybridMultilevel"/>
    <w:tmpl w:val="80C470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8A6FD1"/>
    <w:multiLevelType w:val="hybridMultilevel"/>
    <w:tmpl w:val="C28266D6"/>
    <w:lvl w:ilvl="0" w:tplc="46045B58">
      <w:start w:val="1"/>
      <w:numFmt w:val="decimal"/>
      <w:lvlText w:val="%1)"/>
      <w:lvlJc w:val="left"/>
      <w:pPr>
        <w:ind w:left="1185" w:hanging="91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20C7334F"/>
    <w:multiLevelType w:val="hybridMultilevel"/>
    <w:tmpl w:val="9274E900"/>
    <w:lvl w:ilvl="0" w:tplc="986AB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D56D42"/>
    <w:multiLevelType w:val="hybridMultilevel"/>
    <w:tmpl w:val="FEA80CE2"/>
    <w:lvl w:ilvl="0" w:tplc="7DEE9B28">
      <w:start w:val="1"/>
      <w:numFmt w:val="upperLetter"/>
      <w:lvlText w:val="%1."/>
      <w:lvlJc w:val="left"/>
      <w:pPr>
        <w:ind w:left="6030" w:hanging="108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5D32ECC"/>
    <w:multiLevelType w:val="hybridMultilevel"/>
    <w:tmpl w:val="031EF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5D287B"/>
    <w:multiLevelType w:val="hybridMultilevel"/>
    <w:tmpl w:val="6BD2E4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8276F86"/>
    <w:multiLevelType w:val="hybridMultilevel"/>
    <w:tmpl w:val="9274E900"/>
    <w:lvl w:ilvl="0" w:tplc="986AB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967EC4"/>
    <w:multiLevelType w:val="hybridMultilevel"/>
    <w:tmpl w:val="AB382604"/>
    <w:lvl w:ilvl="0" w:tplc="F698B30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nsid w:val="39547CFA"/>
    <w:multiLevelType w:val="hybridMultilevel"/>
    <w:tmpl w:val="E96C63DA"/>
    <w:lvl w:ilvl="0" w:tplc="79B46F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8273631"/>
    <w:multiLevelType w:val="hybridMultilevel"/>
    <w:tmpl w:val="6A5A6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2BB1DE9"/>
    <w:multiLevelType w:val="hybridMultilevel"/>
    <w:tmpl w:val="7D92B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C331ED"/>
    <w:multiLevelType w:val="hybridMultilevel"/>
    <w:tmpl w:val="ECA86DDC"/>
    <w:lvl w:ilvl="0" w:tplc="04090001">
      <w:start w:val="1"/>
      <w:numFmt w:val="bullet"/>
      <w:lvlText w:val=""/>
      <w:lvlJc w:val="left"/>
      <w:pPr>
        <w:ind w:left="720" w:hanging="360"/>
      </w:pPr>
      <w:rPr>
        <w:rFonts w:ascii="Symbol" w:hAnsi="Symbol" w:hint="default"/>
      </w:rPr>
    </w:lvl>
    <w:lvl w:ilvl="1" w:tplc="E0E0B5B2">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D306DF"/>
    <w:multiLevelType w:val="hybridMultilevel"/>
    <w:tmpl w:val="D2C8DDE4"/>
    <w:lvl w:ilvl="0" w:tplc="E608481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06422E3"/>
    <w:multiLevelType w:val="hybridMultilevel"/>
    <w:tmpl w:val="4184B4DC"/>
    <w:lvl w:ilvl="0" w:tplc="0409000F">
      <w:start w:val="1"/>
      <w:numFmt w:val="decimal"/>
      <w:lvlText w:val="%1."/>
      <w:lvlJc w:val="left"/>
      <w:pPr>
        <w:ind w:left="1080" w:hanging="360"/>
      </w:pPr>
      <w:rPr>
        <w:rFonts w:hint="default"/>
      </w:rPr>
    </w:lvl>
    <w:lvl w:ilvl="1" w:tplc="E0E0B5B2">
      <w:start w:val="1"/>
      <w:numFmt w:val="bullet"/>
      <w:lvlText w:val="­"/>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88055E4"/>
    <w:multiLevelType w:val="hybridMultilevel"/>
    <w:tmpl w:val="A30A6152"/>
    <w:lvl w:ilvl="0" w:tplc="A37E8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B87B83"/>
    <w:multiLevelType w:val="hybridMultilevel"/>
    <w:tmpl w:val="F01261B2"/>
    <w:lvl w:ilvl="0" w:tplc="04090001">
      <w:start w:val="1"/>
      <w:numFmt w:val="bullet"/>
      <w:lvlText w:val=""/>
      <w:lvlJc w:val="left"/>
      <w:pPr>
        <w:ind w:left="1080" w:hanging="360"/>
      </w:pPr>
      <w:rPr>
        <w:rFonts w:ascii="Symbol" w:hAnsi="Symbol" w:hint="default"/>
      </w:rPr>
    </w:lvl>
    <w:lvl w:ilvl="1" w:tplc="E0E0B5B2">
      <w:start w:val="1"/>
      <w:numFmt w:val="bullet"/>
      <w:lvlText w:val="­"/>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C205F06"/>
    <w:multiLevelType w:val="hybridMultilevel"/>
    <w:tmpl w:val="F496DD72"/>
    <w:lvl w:ilvl="0" w:tplc="DF64C472">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0E775D"/>
    <w:multiLevelType w:val="hybridMultilevel"/>
    <w:tmpl w:val="D7C08330"/>
    <w:lvl w:ilvl="0" w:tplc="04090001">
      <w:start w:val="1"/>
      <w:numFmt w:val="bullet"/>
      <w:lvlText w:val=""/>
      <w:lvlJc w:val="left"/>
      <w:pPr>
        <w:ind w:left="720" w:hanging="360"/>
      </w:pPr>
      <w:rPr>
        <w:rFonts w:ascii="Symbol" w:hAnsi="Symbol" w:hint="default"/>
      </w:rPr>
    </w:lvl>
    <w:lvl w:ilvl="1" w:tplc="E0E0B5B2">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D01FF8"/>
    <w:multiLevelType w:val="hybridMultilevel"/>
    <w:tmpl w:val="2C5AE7A8"/>
    <w:lvl w:ilvl="0" w:tplc="750CC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6"/>
  </w:num>
  <w:num w:numId="3">
    <w:abstractNumId w:val="24"/>
  </w:num>
  <w:num w:numId="4">
    <w:abstractNumId w:val="20"/>
  </w:num>
  <w:num w:numId="5">
    <w:abstractNumId w:val="1"/>
  </w:num>
  <w:num w:numId="6">
    <w:abstractNumId w:val="14"/>
  </w:num>
  <w:num w:numId="7">
    <w:abstractNumId w:val="3"/>
  </w:num>
  <w:num w:numId="8">
    <w:abstractNumId w:val="10"/>
  </w:num>
  <w:num w:numId="9">
    <w:abstractNumId w:val="12"/>
  </w:num>
  <w:num w:numId="10">
    <w:abstractNumId w:val="16"/>
  </w:num>
  <w:num w:numId="11">
    <w:abstractNumId w:val="21"/>
  </w:num>
  <w:num w:numId="12">
    <w:abstractNumId w:val="5"/>
  </w:num>
  <w:num w:numId="13">
    <w:abstractNumId w:val="17"/>
  </w:num>
  <w:num w:numId="14">
    <w:abstractNumId w:val="23"/>
  </w:num>
  <w:num w:numId="15">
    <w:abstractNumId w:val="0"/>
  </w:num>
  <w:num w:numId="16">
    <w:abstractNumId w:val="11"/>
  </w:num>
  <w:num w:numId="17">
    <w:abstractNumId w:val="2"/>
  </w:num>
  <w:num w:numId="18">
    <w:abstractNumId w:val="19"/>
  </w:num>
  <w:num w:numId="19">
    <w:abstractNumId w:val="25"/>
  </w:num>
  <w:num w:numId="20">
    <w:abstractNumId w:val="6"/>
  </w:num>
  <w:num w:numId="21">
    <w:abstractNumId w:val="15"/>
  </w:num>
  <w:num w:numId="22">
    <w:abstractNumId w:val="9"/>
  </w:num>
  <w:num w:numId="23">
    <w:abstractNumId w:val="13"/>
  </w:num>
  <w:num w:numId="24">
    <w:abstractNumId w:val="27"/>
  </w:num>
  <w:num w:numId="25">
    <w:abstractNumId w:val="22"/>
  </w:num>
  <w:num w:numId="26">
    <w:abstractNumId w:val="7"/>
  </w:num>
  <w:num w:numId="27">
    <w:abstractNumId w:val="1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B69"/>
    <w:rsid w:val="00000A11"/>
    <w:rsid w:val="000024AB"/>
    <w:rsid w:val="000051CC"/>
    <w:rsid w:val="0000570A"/>
    <w:rsid w:val="00010E0F"/>
    <w:rsid w:val="000117F5"/>
    <w:rsid w:val="000119D6"/>
    <w:rsid w:val="00012F7B"/>
    <w:rsid w:val="00013F7A"/>
    <w:rsid w:val="000148BD"/>
    <w:rsid w:val="000179BF"/>
    <w:rsid w:val="00022A44"/>
    <w:rsid w:val="0002358C"/>
    <w:rsid w:val="00023659"/>
    <w:rsid w:val="00023E7E"/>
    <w:rsid w:val="00025E65"/>
    <w:rsid w:val="00025FEF"/>
    <w:rsid w:val="00026757"/>
    <w:rsid w:val="00026B11"/>
    <w:rsid w:val="0003748F"/>
    <w:rsid w:val="0004082C"/>
    <w:rsid w:val="00041163"/>
    <w:rsid w:val="00041274"/>
    <w:rsid w:val="000455F7"/>
    <w:rsid w:val="00046706"/>
    <w:rsid w:val="000476CE"/>
    <w:rsid w:val="00051CDD"/>
    <w:rsid w:val="000525F3"/>
    <w:rsid w:val="00052FFD"/>
    <w:rsid w:val="000576B1"/>
    <w:rsid w:val="00057C43"/>
    <w:rsid w:val="00060606"/>
    <w:rsid w:val="000660F2"/>
    <w:rsid w:val="000712DF"/>
    <w:rsid w:val="00072068"/>
    <w:rsid w:val="00075C02"/>
    <w:rsid w:val="00075C5E"/>
    <w:rsid w:val="000816B1"/>
    <w:rsid w:val="00082003"/>
    <w:rsid w:val="00082FEB"/>
    <w:rsid w:val="00084FAD"/>
    <w:rsid w:val="00085899"/>
    <w:rsid w:val="0008785A"/>
    <w:rsid w:val="000917AE"/>
    <w:rsid w:val="000917C6"/>
    <w:rsid w:val="00092087"/>
    <w:rsid w:val="000933F1"/>
    <w:rsid w:val="0009738B"/>
    <w:rsid w:val="00097784"/>
    <w:rsid w:val="000A226A"/>
    <w:rsid w:val="000A4757"/>
    <w:rsid w:val="000A50DD"/>
    <w:rsid w:val="000A6009"/>
    <w:rsid w:val="000A7DC3"/>
    <w:rsid w:val="000A7E5C"/>
    <w:rsid w:val="000B1A1F"/>
    <w:rsid w:val="000B2522"/>
    <w:rsid w:val="000B511D"/>
    <w:rsid w:val="000B5781"/>
    <w:rsid w:val="000B6231"/>
    <w:rsid w:val="000B6D01"/>
    <w:rsid w:val="000B6DE6"/>
    <w:rsid w:val="000C0163"/>
    <w:rsid w:val="000C05AC"/>
    <w:rsid w:val="000C3931"/>
    <w:rsid w:val="000C4756"/>
    <w:rsid w:val="000C7D57"/>
    <w:rsid w:val="000D0505"/>
    <w:rsid w:val="000D24D9"/>
    <w:rsid w:val="000D6A09"/>
    <w:rsid w:val="000D7E7F"/>
    <w:rsid w:val="000E1707"/>
    <w:rsid w:val="000E1A17"/>
    <w:rsid w:val="000E2552"/>
    <w:rsid w:val="000E32B8"/>
    <w:rsid w:val="000E468D"/>
    <w:rsid w:val="000E6810"/>
    <w:rsid w:val="000F0DCB"/>
    <w:rsid w:val="000F285C"/>
    <w:rsid w:val="00101F75"/>
    <w:rsid w:val="00103AB3"/>
    <w:rsid w:val="00104BA3"/>
    <w:rsid w:val="00106EA8"/>
    <w:rsid w:val="00107E65"/>
    <w:rsid w:val="001149CB"/>
    <w:rsid w:val="001155B5"/>
    <w:rsid w:val="00115664"/>
    <w:rsid w:val="00116B3D"/>
    <w:rsid w:val="00116DA8"/>
    <w:rsid w:val="00120883"/>
    <w:rsid w:val="00121390"/>
    <w:rsid w:val="0012268B"/>
    <w:rsid w:val="0012503B"/>
    <w:rsid w:val="0012710C"/>
    <w:rsid w:val="00130124"/>
    <w:rsid w:val="00133881"/>
    <w:rsid w:val="00135E15"/>
    <w:rsid w:val="00135EDE"/>
    <w:rsid w:val="00135FB2"/>
    <w:rsid w:val="00137131"/>
    <w:rsid w:val="00137447"/>
    <w:rsid w:val="001409BC"/>
    <w:rsid w:val="00142D58"/>
    <w:rsid w:val="0014300C"/>
    <w:rsid w:val="001435CB"/>
    <w:rsid w:val="001435DD"/>
    <w:rsid w:val="001438BC"/>
    <w:rsid w:val="001444F7"/>
    <w:rsid w:val="00145F60"/>
    <w:rsid w:val="001509B5"/>
    <w:rsid w:val="00151235"/>
    <w:rsid w:val="0015311C"/>
    <w:rsid w:val="0015341E"/>
    <w:rsid w:val="00153706"/>
    <w:rsid w:val="00156341"/>
    <w:rsid w:val="00156BF4"/>
    <w:rsid w:val="00157E39"/>
    <w:rsid w:val="001607DA"/>
    <w:rsid w:val="0016557B"/>
    <w:rsid w:val="00167ECC"/>
    <w:rsid w:val="001715AC"/>
    <w:rsid w:val="001746F0"/>
    <w:rsid w:val="00176035"/>
    <w:rsid w:val="00176890"/>
    <w:rsid w:val="00176FCC"/>
    <w:rsid w:val="00180692"/>
    <w:rsid w:val="001806D2"/>
    <w:rsid w:val="00182F5E"/>
    <w:rsid w:val="00182FD8"/>
    <w:rsid w:val="0018376A"/>
    <w:rsid w:val="0018475D"/>
    <w:rsid w:val="00187ED2"/>
    <w:rsid w:val="00190758"/>
    <w:rsid w:val="00193EB2"/>
    <w:rsid w:val="001A0E8C"/>
    <w:rsid w:val="001A1CF4"/>
    <w:rsid w:val="001A46CE"/>
    <w:rsid w:val="001A4C0E"/>
    <w:rsid w:val="001A569F"/>
    <w:rsid w:val="001B0AAE"/>
    <w:rsid w:val="001B1571"/>
    <w:rsid w:val="001B211E"/>
    <w:rsid w:val="001B7499"/>
    <w:rsid w:val="001C3AF0"/>
    <w:rsid w:val="001C4801"/>
    <w:rsid w:val="001C4AA7"/>
    <w:rsid w:val="001C7617"/>
    <w:rsid w:val="001D1E68"/>
    <w:rsid w:val="001D3D99"/>
    <w:rsid w:val="001D5271"/>
    <w:rsid w:val="001D6091"/>
    <w:rsid w:val="001D6744"/>
    <w:rsid w:val="001D6FCD"/>
    <w:rsid w:val="001D75C2"/>
    <w:rsid w:val="001E1211"/>
    <w:rsid w:val="001E424A"/>
    <w:rsid w:val="001E4C43"/>
    <w:rsid w:val="001E54D6"/>
    <w:rsid w:val="001E6700"/>
    <w:rsid w:val="001E6FE0"/>
    <w:rsid w:val="001F3229"/>
    <w:rsid w:val="001F4FF3"/>
    <w:rsid w:val="001F70D7"/>
    <w:rsid w:val="001F7934"/>
    <w:rsid w:val="002005ED"/>
    <w:rsid w:val="0020131D"/>
    <w:rsid w:val="00202A87"/>
    <w:rsid w:val="00206135"/>
    <w:rsid w:val="002069F6"/>
    <w:rsid w:val="002075E2"/>
    <w:rsid w:val="0021186A"/>
    <w:rsid w:val="00217482"/>
    <w:rsid w:val="00217B4C"/>
    <w:rsid w:val="00220EF6"/>
    <w:rsid w:val="00224240"/>
    <w:rsid w:val="00226E1F"/>
    <w:rsid w:val="00227E4F"/>
    <w:rsid w:val="0023250E"/>
    <w:rsid w:val="00232AE1"/>
    <w:rsid w:val="00233424"/>
    <w:rsid w:val="002348DD"/>
    <w:rsid w:val="00236C9B"/>
    <w:rsid w:val="0024190A"/>
    <w:rsid w:val="0024203C"/>
    <w:rsid w:val="002426AE"/>
    <w:rsid w:val="00242F05"/>
    <w:rsid w:val="00244385"/>
    <w:rsid w:val="0024670A"/>
    <w:rsid w:val="002503C2"/>
    <w:rsid w:val="00250D2C"/>
    <w:rsid w:val="00251C95"/>
    <w:rsid w:val="0025270C"/>
    <w:rsid w:val="00260740"/>
    <w:rsid w:val="00260F72"/>
    <w:rsid w:val="00261438"/>
    <w:rsid w:val="00261E47"/>
    <w:rsid w:val="00262B1D"/>
    <w:rsid w:val="0026385F"/>
    <w:rsid w:val="0026456B"/>
    <w:rsid w:val="002648E9"/>
    <w:rsid w:val="00265427"/>
    <w:rsid w:val="00265ADF"/>
    <w:rsid w:val="002664A0"/>
    <w:rsid w:val="0027106A"/>
    <w:rsid w:val="002715AC"/>
    <w:rsid w:val="002717D6"/>
    <w:rsid w:val="002731E3"/>
    <w:rsid w:val="00274576"/>
    <w:rsid w:val="002752CB"/>
    <w:rsid w:val="002759D5"/>
    <w:rsid w:val="00277D7F"/>
    <w:rsid w:val="002804C8"/>
    <w:rsid w:val="00281311"/>
    <w:rsid w:val="002822DE"/>
    <w:rsid w:val="00285465"/>
    <w:rsid w:val="00285FBF"/>
    <w:rsid w:val="00287E63"/>
    <w:rsid w:val="00287FD2"/>
    <w:rsid w:val="00291859"/>
    <w:rsid w:val="0029202D"/>
    <w:rsid w:val="00294723"/>
    <w:rsid w:val="002957A5"/>
    <w:rsid w:val="00295CFF"/>
    <w:rsid w:val="00296BEB"/>
    <w:rsid w:val="002A040A"/>
    <w:rsid w:val="002A0919"/>
    <w:rsid w:val="002A12DE"/>
    <w:rsid w:val="002A1776"/>
    <w:rsid w:val="002A46E4"/>
    <w:rsid w:val="002A4AF8"/>
    <w:rsid w:val="002A5404"/>
    <w:rsid w:val="002A5AFE"/>
    <w:rsid w:val="002B0D7E"/>
    <w:rsid w:val="002B72E5"/>
    <w:rsid w:val="002B74C8"/>
    <w:rsid w:val="002B7647"/>
    <w:rsid w:val="002B7ED0"/>
    <w:rsid w:val="002C24BA"/>
    <w:rsid w:val="002C6A10"/>
    <w:rsid w:val="002C7A3A"/>
    <w:rsid w:val="002C7FA2"/>
    <w:rsid w:val="002D09C9"/>
    <w:rsid w:val="002D2AFC"/>
    <w:rsid w:val="002D2D8A"/>
    <w:rsid w:val="002D3276"/>
    <w:rsid w:val="002D3999"/>
    <w:rsid w:val="002D3B8F"/>
    <w:rsid w:val="002D7964"/>
    <w:rsid w:val="002E05CE"/>
    <w:rsid w:val="002E2E2D"/>
    <w:rsid w:val="002F0F29"/>
    <w:rsid w:val="002F16B4"/>
    <w:rsid w:val="002F190D"/>
    <w:rsid w:val="002F392F"/>
    <w:rsid w:val="002F4C97"/>
    <w:rsid w:val="002F71AB"/>
    <w:rsid w:val="002F76D3"/>
    <w:rsid w:val="00300661"/>
    <w:rsid w:val="0030144D"/>
    <w:rsid w:val="0030273D"/>
    <w:rsid w:val="003027D8"/>
    <w:rsid w:val="003041F0"/>
    <w:rsid w:val="00304CC2"/>
    <w:rsid w:val="00306901"/>
    <w:rsid w:val="003112B8"/>
    <w:rsid w:val="00312683"/>
    <w:rsid w:val="00313C1F"/>
    <w:rsid w:val="003165AB"/>
    <w:rsid w:val="00320819"/>
    <w:rsid w:val="00322989"/>
    <w:rsid w:val="00335235"/>
    <w:rsid w:val="00335A7B"/>
    <w:rsid w:val="00335D2C"/>
    <w:rsid w:val="0033644E"/>
    <w:rsid w:val="00337E9B"/>
    <w:rsid w:val="00340C93"/>
    <w:rsid w:val="00340CA6"/>
    <w:rsid w:val="00341B14"/>
    <w:rsid w:val="003428B9"/>
    <w:rsid w:val="00343604"/>
    <w:rsid w:val="00346108"/>
    <w:rsid w:val="003502EA"/>
    <w:rsid w:val="00350466"/>
    <w:rsid w:val="003516C9"/>
    <w:rsid w:val="00353558"/>
    <w:rsid w:val="00355172"/>
    <w:rsid w:val="003562E1"/>
    <w:rsid w:val="00357DE9"/>
    <w:rsid w:val="0036074B"/>
    <w:rsid w:val="0036115B"/>
    <w:rsid w:val="00362140"/>
    <w:rsid w:val="00362329"/>
    <w:rsid w:val="003640A5"/>
    <w:rsid w:val="003646C1"/>
    <w:rsid w:val="00366EAB"/>
    <w:rsid w:val="00371C23"/>
    <w:rsid w:val="0037283D"/>
    <w:rsid w:val="003737CF"/>
    <w:rsid w:val="00376630"/>
    <w:rsid w:val="003801A0"/>
    <w:rsid w:val="00380E93"/>
    <w:rsid w:val="00380F37"/>
    <w:rsid w:val="003814D4"/>
    <w:rsid w:val="00384362"/>
    <w:rsid w:val="003932FB"/>
    <w:rsid w:val="003957FC"/>
    <w:rsid w:val="003979A3"/>
    <w:rsid w:val="003A1D05"/>
    <w:rsid w:val="003A667D"/>
    <w:rsid w:val="003B0874"/>
    <w:rsid w:val="003B2C82"/>
    <w:rsid w:val="003B5237"/>
    <w:rsid w:val="003B5E93"/>
    <w:rsid w:val="003B6347"/>
    <w:rsid w:val="003B65CC"/>
    <w:rsid w:val="003B79DE"/>
    <w:rsid w:val="003C3C9E"/>
    <w:rsid w:val="003C587D"/>
    <w:rsid w:val="003D0B2A"/>
    <w:rsid w:val="003D148F"/>
    <w:rsid w:val="003D3B15"/>
    <w:rsid w:val="003E018E"/>
    <w:rsid w:val="003E0BFF"/>
    <w:rsid w:val="003E0C7F"/>
    <w:rsid w:val="003E49B4"/>
    <w:rsid w:val="003F12DB"/>
    <w:rsid w:val="003F1BAD"/>
    <w:rsid w:val="003F285E"/>
    <w:rsid w:val="003F3B35"/>
    <w:rsid w:val="003F5281"/>
    <w:rsid w:val="003F7FDB"/>
    <w:rsid w:val="00401C28"/>
    <w:rsid w:val="00403B7E"/>
    <w:rsid w:val="0040467D"/>
    <w:rsid w:val="00405C9E"/>
    <w:rsid w:val="0040767E"/>
    <w:rsid w:val="0041045E"/>
    <w:rsid w:val="00410B76"/>
    <w:rsid w:val="004157F5"/>
    <w:rsid w:val="00415D36"/>
    <w:rsid w:val="004203F0"/>
    <w:rsid w:val="00422197"/>
    <w:rsid w:val="0042521D"/>
    <w:rsid w:val="00426647"/>
    <w:rsid w:val="00427F26"/>
    <w:rsid w:val="0043102E"/>
    <w:rsid w:val="00433080"/>
    <w:rsid w:val="00441DD6"/>
    <w:rsid w:val="004465C2"/>
    <w:rsid w:val="00453633"/>
    <w:rsid w:val="00454B86"/>
    <w:rsid w:val="0045709B"/>
    <w:rsid w:val="004602F3"/>
    <w:rsid w:val="0046076E"/>
    <w:rsid w:val="00460A32"/>
    <w:rsid w:val="00461DEA"/>
    <w:rsid w:val="0046439B"/>
    <w:rsid w:val="00465858"/>
    <w:rsid w:val="00466B19"/>
    <w:rsid w:val="00467A50"/>
    <w:rsid w:val="004701BE"/>
    <w:rsid w:val="0047425E"/>
    <w:rsid w:val="0047459A"/>
    <w:rsid w:val="004759C4"/>
    <w:rsid w:val="00477EBA"/>
    <w:rsid w:val="00481C99"/>
    <w:rsid w:val="00483152"/>
    <w:rsid w:val="00485105"/>
    <w:rsid w:val="0049080A"/>
    <w:rsid w:val="004916ED"/>
    <w:rsid w:val="0049362D"/>
    <w:rsid w:val="00494456"/>
    <w:rsid w:val="004963EB"/>
    <w:rsid w:val="004A1952"/>
    <w:rsid w:val="004A2BF9"/>
    <w:rsid w:val="004A4934"/>
    <w:rsid w:val="004A78FD"/>
    <w:rsid w:val="004B062A"/>
    <w:rsid w:val="004B3E50"/>
    <w:rsid w:val="004B79AA"/>
    <w:rsid w:val="004B7F93"/>
    <w:rsid w:val="004C0B63"/>
    <w:rsid w:val="004C0E12"/>
    <w:rsid w:val="004C1363"/>
    <w:rsid w:val="004C1552"/>
    <w:rsid w:val="004C1C7A"/>
    <w:rsid w:val="004C29F0"/>
    <w:rsid w:val="004C2DD1"/>
    <w:rsid w:val="004C418F"/>
    <w:rsid w:val="004D183E"/>
    <w:rsid w:val="004D196D"/>
    <w:rsid w:val="004D4218"/>
    <w:rsid w:val="004D50D4"/>
    <w:rsid w:val="004D7806"/>
    <w:rsid w:val="004E101C"/>
    <w:rsid w:val="004E15C9"/>
    <w:rsid w:val="004E33CB"/>
    <w:rsid w:val="004F1CE1"/>
    <w:rsid w:val="004F3E18"/>
    <w:rsid w:val="004F450E"/>
    <w:rsid w:val="004F5CF4"/>
    <w:rsid w:val="004F7C10"/>
    <w:rsid w:val="005031B9"/>
    <w:rsid w:val="00503248"/>
    <w:rsid w:val="00503C28"/>
    <w:rsid w:val="00503E62"/>
    <w:rsid w:val="005045ED"/>
    <w:rsid w:val="005103FE"/>
    <w:rsid w:val="00511734"/>
    <w:rsid w:val="005133BB"/>
    <w:rsid w:val="00513B84"/>
    <w:rsid w:val="00522F4F"/>
    <w:rsid w:val="00523EC3"/>
    <w:rsid w:val="00523FFD"/>
    <w:rsid w:val="00524348"/>
    <w:rsid w:val="00524593"/>
    <w:rsid w:val="005252C9"/>
    <w:rsid w:val="0052538F"/>
    <w:rsid w:val="00525D3E"/>
    <w:rsid w:val="00527084"/>
    <w:rsid w:val="005277FB"/>
    <w:rsid w:val="00530A69"/>
    <w:rsid w:val="00531145"/>
    <w:rsid w:val="00532A1C"/>
    <w:rsid w:val="00533124"/>
    <w:rsid w:val="005401A9"/>
    <w:rsid w:val="00540386"/>
    <w:rsid w:val="00543EAA"/>
    <w:rsid w:val="00544B8C"/>
    <w:rsid w:val="00544D80"/>
    <w:rsid w:val="00547395"/>
    <w:rsid w:val="005515E6"/>
    <w:rsid w:val="00552384"/>
    <w:rsid w:val="0055319A"/>
    <w:rsid w:val="00555EDD"/>
    <w:rsid w:val="00563265"/>
    <w:rsid w:val="00563799"/>
    <w:rsid w:val="00564997"/>
    <w:rsid w:val="00564F87"/>
    <w:rsid w:val="005668B1"/>
    <w:rsid w:val="00566C2B"/>
    <w:rsid w:val="0057068D"/>
    <w:rsid w:val="00571C75"/>
    <w:rsid w:val="00573716"/>
    <w:rsid w:val="005829DA"/>
    <w:rsid w:val="00585714"/>
    <w:rsid w:val="00586516"/>
    <w:rsid w:val="00587B3C"/>
    <w:rsid w:val="005908D7"/>
    <w:rsid w:val="00591FC8"/>
    <w:rsid w:val="005922DC"/>
    <w:rsid w:val="00592FD5"/>
    <w:rsid w:val="005938ED"/>
    <w:rsid w:val="00593E3C"/>
    <w:rsid w:val="005943CC"/>
    <w:rsid w:val="00594561"/>
    <w:rsid w:val="00594FD7"/>
    <w:rsid w:val="00596229"/>
    <w:rsid w:val="005A14DF"/>
    <w:rsid w:val="005A43F8"/>
    <w:rsid w:val="005A6059"/>
    <w:rsid w:val="005A7829"/>
    <w:rsid w:val="005B0887"/>
    <w:rsid w:val="005B2569"/>
    <w:rsid w:val="005B2DD6"/>
    <w:rsid w:val="005B3C24"/>
    <w:rsid w:val="005B3F3F"/>
    <w:rsid w:val="005B43BA"/>
    <w:rsid w:val="005B4A3E"/>
    <w:rsid w:val="005B5CDF"/>
    <w:rsid w:val="005B7386"/>
    <w:rsid w:val="005C008D"/>
    <w:rsid w:val="005C450A"/>
    <w:rsid w:val="005C461D"/>
    <w:rsid w:val="005C6DEE"/>
    <w:rsid w:val="005C78B2"/>
    <w:rsid w:val="005C7D7B"/>
    <w:rsid w:val="005D0CE5"/>
    <w:rsid w:val="005D203E"/>
    <w:rsid w:val="005D2311"/>
    <w:rsid w:val="005D4207"/>
    <w:rsid w:val="005E0F09"/>
    <w:rsid w:val="005E25F6"/>
    <w:rsid w:val="005F1FD9"/>
    <w:rsid w:val="005F2C2A"/>
    <w:rsid w:val="005F411B"/>
    <w:rsid w:val="005F46B6"/>
    <w:rsid w:val="005F7AD2"/>
    <w:rsid w:val="00602B0A"/>
    <w:rsid w:val="00603867"/>
    <w:rsid w:val="006045BA"/>
    <w:rsid w:val="006049B6"/>
    <w:rsid w:val="0060508D"/>
    <w:rsid w:val="00605A7F"/>
    <w:rsid w:val="00606D9F"/>
    <w:rsid w:val="006076D1"/>
    <w:rsid w:val="00610D26"/>
    <w:rsid w:val="00610F9B"/>
    <w:rsid w:val="00611C5D"/>
    <w:rsid w:val="006139C2"/>
    <w:rsid w:val="00613D90"/>
    <w:rsid w:val="006146C4"/>
    <w:rsid w:val="00614A10"/>
    <w:rsid w:val="00614CCE"/>
    <w:rsid w:val="006153EC"/>
    <w:rsid w:val="006168A7"/>
    <w:rsid w:val="00617931"/>
    <w:rsid w:val="00620633"/>
    <w:rsid w:val="006228E3"/>
    <w:rsid w:val="00622A26"/>
    <w:rsid w:val="006260B9"/>
    <w:rsid w:val="006269C6"/>
    <w:rsid w:val="00627888"/>
    <w:rsid w:val="006305CC"/>
    <w:rsid w:val="00630C86"/>
    <w:rsid w:val="00634286"/>
    <w:rsid w:val="00634326"/>
    <w:rsid w:val="00635E67"/>
    <w:rsid w:val="00643249"/>
    <w:rsid w:val="00650B8B"/>
    <w:rsid w:val="00653D78"/>
    <w:rsid w:val="00654284"/>
    <w:rsid w:val="00657379"/>
    <w:rsid w:val="00660C08"/>
    <w:rsid w:val="00664C7E"/>
    <w:rsid w:val="006704AB"/>
    <w:rsid w:val="00674D0A"/>
    <w:rsid w:val="0067711B"/>
    <w:rsid w:val="006816EE"/>
    <w:rsid w:val="00682FCE"/>
    <w:rsid w:val="006840B6"/>
    <w:rsid w:val="006912F4"/>
    <w:rsid w:val="00693C22"/>
    <w:rsid w:val="00693FAE"/>
    <w:rsid w:val="006966F2"/>
    <w:rsid w:val="006A0A50"/>
    <w:rsid w:val="006A0BD8"/>
    <w:rsid w:val="006B0D6C"/>
    <w:rsid w:val="006B14A2"/>
    <w:rsid w:val="006B2B77"/>
    <w:rsid w:val="006B4A6B"/>
    <w:rsid w:val="006B4DBA"/>
    <w:rsid w:val="006B67D3"/>
    <w:rsid w:val="006B69A4"/>
    <w:rsid w:val="006C147D"/>
    <w:rsid w:val="006C3C99"/>
    <w:rsid w:val="006D16A6"/>
    <w:rsid w:val="006D2964"/>
    <w:rsid w:val="006D6CE0"/>
    <w:rsid w:val="006E048B"/>
    <w:rsid w:val="006E2E35"/>
    <w:rsid w:val="006E4143"/>
    <w:rsid w:val="006F263F"/>
    <w:rsid w:val="006F6E0F"/>
    <w:rsid w:val="00701EBF"/>
    <w:rsid w:val="0070204A"/>
    <w:rsid w:val="007021D6"/>
    <w:rsid w:val="007022DC"/>
    <w:rsid w:val="00703E0C"/>
    <w:rsid w:val="00704629"/>
    <w:rsid w:val="0071240C"/>
    <w:rsid w:val="00713BC2"/>
    <w:rsid w:val="00713D76"/>
    <w:rsid w:val="00714654"/>
    <w:rsid w:val="00714B3C"/>
    <w:rsid w:val="00715074"/>
    <w:rsid w:val="00715A82"/>
    <w:rsid w:val="007212D0"/>
    <w:rsid w:val="00725439"/>
    <w:rsid w:val="00727612"/>
    <w:rsid w:val="0073082A"/>
    <w:rsid w:val="00732886"/>
    <w:rsid w:val="007357B6"/>
    <w:rsid w:val="00737E85"/>
    <w:rsid w:val="007415C2"/>
    <w:rsid w:val="00744ECB"/>
    <w:rsid w:val="0074515D"/>
    <w:rsid w:val="0074599F"/>
    <w:rsid w:val="00746714"/>
    <w:rsid w:val="00746A7B"/>
    <w:rsid w:val="00746F3A"/>
    <w:rsid w:val="00747548"/>
    <w:rsid w:val="00747E2A"/>
    <w:rsid w:val="007511AB"/>
    <w:rsid w:val="00751633"/>
    <w:rsid w:val="00751ABB"/>
    <w:rsid w:val="0075214D"/>
    <w:rsid w:val="007536A1"/>
    <w:rsid w:val="007549C3"/>
    <w:rsid w:val="00761209"/>
    <w:rsid w:val="00764670"/>
    <w:rsid w:val="00764928"/>
    <w:rsid w:val="00765B78"/>
    <w:rsid w:val="00767571"/>
    <w:rsid w:val="00767905"/>
    <w:rsid w:val="00770C06"/>
    <w:rsid w:val="00771B5C"/>
    <w:rsid w:val="00773F70"/>
    <w:rsid w:val="00775A92"/>
    <w:rsid w:val="00777267"/>
    <w:rsid w:val="0077729B"/>
    <w:rsid w:val="007820A6"/>
    <w:rsid w:val="00782BC2"/>
    <w:rsid w:val="00782ECC"/>
    <w:rsid w:val="0078668B"/>
    <w:rsid w:val="00793BB6"/>
    <w:rsid w:val="00793F45"/>
    <w:rsid w:val="00795100"/>
    <w:rsid w:val="007A1EAD"/>
    <w:rsid w:val="007A28F7"/>
    <w:rsid w:val="007A364E"/>
    <w:rsid w:val="007A47C3"/>
    <w:rsid w:val="007A59D0"/>
    <w:rsid w:val="007A5D48"/>
    <w:rsid w:val="007A5E8F"/>
    <w:rsid w:val="007A61A4"/>
    <w:rsid w:val="007A7451"/>
    <w:rsid w:val="007B2695"/>
    <w:rsid w:val="007B5024"/>
    <w:rsid w:val="007B6413"/>
    <w:rsid w:val="007C1067"/>
    <w:rsid w:val="007C1B09"/>
    <w:rsid w:val="007C2638"/>
    <w:rsid w:val="007C3C1E"/>
    <w:rsid w:val="007C4749"/>
    <w:rsid w:val="007C7A1D"/>
    <w:rsid w:val="007D2AF5"/>
    <w:rsid w:val="007D6B01"/>
    <w:rsid w:val="007D70AA"/>
    <w:rsid w:val="007D71CE"/>
    <w:rsid w:val="007E04DB"/>
    <w:rsid w:val="007E1778"/>
    <w:rsid w:val="007E40A2"/>
    <w:rsid w:val="007F15C3"/>
    <w:rsid w:val="007F2629"/>
    <w:rsid w:val="007F3D41"/>
    <w:rsid w:val="00802358"/>
    <w:rsid w:val="00803AC7"/>
    <w:rsid w:val="00804CD1"/>
    <w:rsid w:val="0080612A"/>
    <w:rsid w:val="00807600"/>
    <w:rsid w:val="00810B44"/>
    <w:rsid w:val="00811D1F"/>
    <w:rsid w:val="00811F67"/>
    <w:rsid w:val="008137AB"/>
    <w:rsid w:val="008146E4"/>
    <w:rsid w:val="00815CAC"/>
    <w:rsid w:val="00815FAE"/>
    <w:rsid w:val="00824879"/>
    <w:rsid w:val="00826207"/>
    <w:rsid w:val="00830271"/>
    <w:rsid w:val="00830365"/>
    <w:rsid w:val="00830FA2"/>
    <w:rsid w:val="00831771"/>
    <w:rsid w:val="00833FC4"/>
    <w:rsid w:val="00834321"/>
    <w:rsid w:val="00835DD6"/>
    <w:rsid w:val="0083669A"/>
    <w:rsid w:val="00842F64"/>
    <w:rsid w:val="00842F85"/>
    <w:rsid w:val="00843DE8"/>
    <w:rsid w:val="008444BF"/>
    <w:rsid w:val="008446BB"/>
    <w:rsid w:val="00846264"/>
    <w:rsid w:val="008469E1"/>
    <w:rsid w:val="00852939"/>
    <w:rsid w:val="00853DD1"/>
    <w:rsid w:val="008547D4"/>
    <w:rsid w:val="00857646"/>
    <w:rsid w:val="0086059B"/>
    <w:rsid w:val="00861371"/>
    <w:rsid w:val="00864B2A"/>
    <w:rsid w:val="0086645F"/>
    <w:rsid w:val="00867AE8"/>
    <w:rsid w:val="00872070"/>
    <w:rsid w:val="00873C6B"/>
    <w:rsid w:val="008865A3"/>
    <w:rsid w:val="0088692E"/>
    <w:rsid w:val="0089138D"/>
    <w:rsid w:val="00892C15"/>
    <w:rsid w:val="00892EF7"/>
    <w:rsid w:val="00895BD1"/>
    <w:rsid w:val="00897AC5"/>
    <w:rsid w:val="008A0151"/>
    <w:rsid w:val="008A474A"/>
    <w:rsid w:val="008A6D85"/>
    <w:rsid w:val="008A7A9B"/>
    <w:rsid w:val="008A7FB1"/>
    <w:rsid w:val="008B268C"/>
    <w:rsid w:val="008B29F5"/>
    <w:rsid w:val="008B768B"/>
    <w:rsid w:val="008C0F92"/>
    <w:rsid w:val="008C2E5B"/>
    <w:rsid w:val="008C6C8C"/>
    <w:rsid w:val="008D0B1A"/>
    <w:rsid w:val="008D18F7"/>
    <w:rsid w:val="008D2004"/>
    <w:rsid w:val="008D2F8C"/>
    <w:rsid w:val="008D3BBB"/>
    <w:rsid w:val="008D57FC"/>
    <w:rsid w:val="008D5B71"/>
    <w:rsid w:val="008E0717"/>
    <w:rsid w:val="008E12C9"/>
    <w:rsid w:val="008E13D4"/>
    <w:rsid w:val="008E2DB0"/>
    <w:rsid w:val="008E360A"/>
    <w:rsid w:val="008E4B69"/>
    <w:rsid w:val="008E635E"/>
    <w:rsid w:val="008E67D0"/>
    <w:rsid w:val="008F102F"/>
    <w:rsid w:val="008F20CC"/>
    <w:rsid w:val="008F20D2"/>
    <w:rsid w:val="008F2C2A"/>
    <w:rsid w:val="008F344C"/>
    <w:rsid w:val="008F59C7"/>
    <w:rsid w:val="008F6DD0"/>
    <w:rsid w:val="0090207D"/>
    <w:rsid w:val="00904825"/>
    <w:rsid w:val="00906738"/>
    <w:rsid w:val="009069F7"/>
    <w:rsid w:val="00910565"/>
    <w:rsid w:val="00910969"/>
    <w:rsid w:val="00911808"/>
    <w:rsid w:val="00916790"/>
    <w:rsid w:val="00917E7F"/>
    <w:rsid w:val="0092182E"/>
    <w:rsid w:val="009219AD"/>
    <w:rsid w:val="00927CA6"/>
    <w:rsid w:val="00934670"/>
    <w:rsid w:val="00934F77"/>
    <w:rsid w:val="00934FA5"/>
    <w:rsid w:val="00935A65"/>
    <w:rsid w:val="0093622E"/>
    <w:rsid w:val="00936502"/>
    <w:rsid w:val="00944F90"/>
    <w:rsid w:val="009518BA"/>
    <w:rsid w:val="009523DF"/>
    <w:rsid w:val="0095400B"/>
    <w:rsid w:val="00956B9F"/>
    <w:rsid w:val="009575A2"/>
    <w:rsid w:val="00960234"/>
    <w:rsid w:val="009614F8"/>
    <w:rsid w:val="0096322B"/>
    <w:rsid w:val="00963B85"/>
    <w:rsid w:val="0096439E"/>
    <w:rsid w:val="00964767"/>
    <w:rsid w:val="009679EE"/>
    <w:rsid w:val="0097571F"/>
    <w:rsid w:val="00977755"/>
    <w:rsid w:val="0098010E"/>
    <w:rsid w:val="00981523"/>
    <w:rsid w:val="00982891"/>
    <w:rsid w:val="00984824"/>
    <w:rsid w:val="009849D9"/>
    <w:rsid w:val="00986B22"/>
    <w:rsid w:val="00995999"/>
    <w:rsid w:val="00997222"/>
    <w:rsid w:val="009A0EF4"/>
    <w:rsid w:val="009A2528"/>
    <w:rsid w:val="009A2CA0"/>
    <w:rsid w:val="009A36B5"/>
    <w:rsid w:val="009A641E"/>
    <w:rsid w:val="009B23F7"/>
    <w:rsid w:val="009B3105"/>
    <w:rsid w:val="009B601A"/>
    <w:rsid w:val="009B64B2"/>
    <w:rsid w:val="009B6E9B"/>
    <w:rsid w:val="009B6ED3"/>
    <w:rsid w:val="009C0B02"/>
    <w:rsid w:val="009C1B89"/>
    <w:rsid w:val="009C1D8A"/>
    <w:rsid w:val="009C3CC0"/>
    <w:rsid w:val="009C4399"/>
    <w:rsid w:val="009C47FF"/>
    <w:rsid w:val="009C6DD9"/>
    <w:rsid w:val="009D2B3C"/>
    <w:rsid w:val="009D3575"/>
    <w:rsid w:val="009D4268"/>
    <w:rsid w:val="009D5597"/>
    <w:rsid w:val="009D725F"/>
    <w:rsid w:val="009D7838"/>
    <w:rsid w:val="009E2D40"/>
    <w:rsid w:val="009E4240"/>
    <w:rsid w:val="009E6C75"/>
    <w:rsid w:val="009E7643"/>
    <w:rsid w:val="009F084C"/>
    <w:rsid w:val="009F3516"/>
    <w:rsid w:val="009F4C41"/>
    <w:rsid w:val="009F4F9C"/>
    <w:rsid w:val="009F64DC"/>
    <w:rsid w:val="009F657C"/>
    <w:rsid w:val="009F683E"/>
    <w:rsid w:val="009F6E8D"/>
    <w:rsid w:val="00A00F67"/>
    <w:rsid w:val="00A0179E"/>
    <w:rsid w:val="00A02D5F"/>
    <w:rsid w:val="00A04D88"/>
    <w:rsid w:val="00A04F15"/>
    <w:rsid w:val="00A06B84"/>
    <w:rsid w:val="00A0732A"/>
    <w:rsid w:val="00A0751C"/>
    <w:rsid w:val="00A13AE3"/>
    <w:rsid w:val="00A17DB0"/>
    <w:rsid w:val="00A203D0"/>
    <w:rsid w:val="00A21F9E"/>
    <w:rsid w:val="00A23581"/>
    <w:rsid w:val="00A24D2C"/>
    <w:rsid w:val="00A314D7"/>
    <w:rsid w:val="00A31519"/>
    <w:rsid w:val="00A31D4E"/>
    <w:rsid w:val="00A34047"/>
    <w:rsid w:val="00A3507D"/>
    <w:rsid w:val="00A356B5"/>
    <w:rsid w:val="00A3676E"/>
    <w:rsid w:val="00A36E7C"/>
    <w:rsid w:val="00A3775C"/>
    <w:rsid w:val="00A3798A"/>
    <w:rsid w:val="00A417D5"/>
    <w:rsid w:val="00A41CD7"/>
    <w:rsid w:val="00A42364"/>
    <w:rsid w:val="00A42B0A"/>
    <w:rsid w:val="00A4328A"/>
    <w:rsid w:val="00A44F9A"/>
    <w:rsid w:val="00A45DD3"/>
    <w:rsid w:val="00A51342"/>
    <w:rsid w:val="00A51913"/>
    <w:rsid w:val="00A57142"/>
    <w:rsid w:val="00A573AD"/>
    <w:rsid w:val="00A61AA2"/>
    <w:rsid w:val="00A63496"/>
    <w:rsid w:val="00A64B87"/>
    <w:rsid w:val="00A65855"/>
    <w:rsid w:val="00A6631E"/>
    <w:rsid w:val="00A7262F"/>
    <w:rsid w:val="00A73117"/>
    <w:rsid w:val="00A80108"/>
    <w:rsid w:val="00A83BF3"/>
    <w:rsid w:val="00A860BD"/>
    <w:rsid w:val="00A86C9D"/>
    <w:rsid w:val="00A878F9"/>
    <w:rsid w:val="00A921BD"/>
    <w:rsid w:val="00A955A2"/>
    <w:rsid w:val="00A95B5D"/>
    <w:rsid w:val="00A97B16"/>
    <w:rsid w:val="00AA073C"/>
    <w:rsid w:val="00AA1927"/>
    <w:rsid w:val="00AA1B7C"/>
    <w:rsid w:val="00AA1C1E"/>
    <w:rsid w:val="00AA41B7"/>
    <w:rsid w:val="00AA472B"/>
    <w:rsid w:val="00AA494F"/>
    <w:rsid w:val="00AA4A20"/>
    <w:rsid w:val="00AA5C4E"/>
    <w:rsid w:val="00AA60DC"/>
    <w:rsid w:val="00AA6FB6"/>
    <w:rsid w:val="00AB1AB4"/>
    <w:rsid w:val="00AB1B67"/>
    <w:rsid w:val="00AB49B4"/>
    <w:rsid w:val="00AB68FC"/>
    <w:rsid w:val="00AB7BD3"/>
    <w:rsid w:val="00AC09BB"/>
    <w:rsid w:val="00AC0F73"/>
    <w:rsid w:val="00AC4F48"/>
    <w:rsid w:val="00AC5981"/>
    <w:rsid w:val="00AC6801"/>
    <w:rsid w:val="00AD0F80"/>
    <w:rsid w:val="00AD1B01"/>
    <w:rsid w:val="00AD227F"/>
    <w:rsid w:val="00AD2B20"/>
    <w:rsid w:val="00AD3CC3"/>
    <w:rsid w:val="00AD47D5"/>
    <w:rsid w:val="00AD5931"/>
    <w:rsid w:val="00AD5AEB"/>
    <w:rsid w:val="00AD7D67"/>
    <w:rsid w:val="00AE1A26"/>
    <w:rsid w:val="00AE3F38"/>
    <w:rsid w:val="00AE4874"/>
    <w:rsid w:val="00AE5203"/>
    <w:rsid w:val="00AE56BD"/>
    <w:rsid w:val="00AE5C3F"/>
    <w:rsid w:val="00AE7964"/>
    <w:rsid w:val="00AF179F"/>
    <w:rsid w:val="00AF28B7"/>
    <w:rsid w:val="00AF4E16"/>
    <w:rsid w:val="00AF5890"/>
    <w:rsid w:val="00AF74A5"/>
    <w:rsid w:val="00AF7502"/>
    <w:rsid w:val="00B00E8F"/>
    <w:rsid w:val="00B012A4"/>
    <w:rsid w:val="00B034C2"/>
    <w:rsid w:val="00B067EA"/>
    <w:rsid w:val="00B06CBB"/>
    <w:rsid w:val="00B101F1"/>
    <w:rsid w:val="00B10CFC"/>
    <w:rsid w:val="00B14F98"/>
    <w:rsid w:val="00B15E9D"/>
    <w:rsid w:val="00B173C4"/>
    <w:rsid w:val="00B21974"/>
    <w:rsid w:val="00B23FA8"/>
    <w:rsid w:val="00B26116"/>
    <w:rsid w:val="00B31F15"/>
    <w:rsid w:val="00B3224E"/>
    <w:rsid w:val="00B34EAA"/>
    <w:rsid w:val="00B36170"/>
    <w:rsid w:val="00B3646E"/>
    <w:rsid w:val="00B4241F"/>
    <w:rsid w:val="00B43264"/>
    <w:rsid w:val="00B43707"/>
    <w:rsid w:val="00B44B99"/>
    <w:rsid w:val="00B45516"/>
    <w:rsid w:val="00B46A47"/>
    <w:rsid w:val="00B509F0"/>
    <w:rsid w:val="00B50EA4"/>
    <w:rsid w:val="00B5102E"/>
    <w:rsid w:val="00B51D29"/>
    <w:rsid w:val="00B5327E"/>
    <w:rsid w:val="00B53CBE"/>
    <w:rsid w:val="00B53ECD"/>
    <w:rsid w:val="00B54513"/>
    <w:rsid w:val="00B54BA7"/>
    <w:rsid w:val="00B5562B"/>
    <w:rsid w:val="00B61704"/>
    <w:rsid w:val="00B6357C"/>
    <w:rsid w:val="00B63AFF"/>
    <w:rsid w:val="00B64554"/>
    <w:rsid w:val="00B64F77"/>
    <w:rsid w:val="00B65F63"/>
    <w:rsid w:val="00B72363"/>
    <w:rsid w:val="00B7522C"/>
    <w:rsid w:val="00B82686"/>
    <w:rsid w:val="00B84FF1"/>
    <w:rsid w:val="00B90315"/>
    <w:rsid w:val="00B93A82"/>
    <w:rsid w:val="00B94214"/>
    <w:rsid w:val="00B96452"/>
    <w:rsid w:val="00B97312"/>
    <w:rsid w:val="00BA0FDB"/>
    <w:rsid w:val="00BA16B6"/>
    <w:rsid w:val="00BA324F"/>
    <w:rsid w:val="00BB0B95"/>
    <w:rsid w:val="00BB1C54"/>
    <w:rsid w:val="00BB2337"/>
    <w:rsid w:val="00BB2AFD"/>
    <w:rsid w:val="00BB4F4F"/>
    <w:rsid w:val="00BB67EE"/>
    <w:rsid w:val="00BB7ED7"/>
    <w:rsid w:val="00BC3557"/>
    <w:rsid w:val="00BC4FC7"/>
    <w:rsid w:val="00BC5DC0"/>
    <w:rsid w:val="00BC6E42"/>
    <w:rsid w:val="00BC733C"/>
    <w:rsid w:val="00BD187D"/>
    <w:rsid w:val="00BD2330"/>
    <w:rsid w:val="00BD2333"/>
    <w:rsid w:val="00BE054E"/>
    <w:rsid w:val="00BE0D0D"/>
    <w:rsid w:val="00BE1109"/>
    <w:rsid w:val="00BE23B0"/>
    <w:rsid w:val="00BE292A"/>
    <w:rsid w:val="00BE50DD"/>
    <w:rsid w:val="00BE5682"/>
    <w:rsid w:val="00BE58A6"/>
    <w:rsid w:val="00BF0EA1"/>
    <w:rsid w:val="00BF15CC"/>
    <w:rsid w:val="00BF197C"/>
    <w:rsid w:val="00BF1D07"/>
    <w:rsid w:val="00BF1E56"/>
    <w:rsid w:val="00BF25D6"/>
    <w:rsid w:val="00BF2CDF"/>
    <w:rsid w:val="00BF4FE6"/>
    <w:rsid w:val="00BF5846"/>
    <w:rsid w:val="00BF6652"/>
    <w:rsid w:val="00BF6814"/>
    <w:rsid w:val="00C0140D"/>
    <w:rsid w:val="00C017BB"/>
    <w:rsid w:val="00C04967"/>
    <w:rsid w:val="00C06697"/>
    <w:rsid w:val="00C07254"/>
    <w:rsid w:val="00C11394"/>
    <w:rsid w:val="00C134C0"/>
    <w:rsid w:val="00C1391C"/>
    <w:rsid w:val="00C16028"/>
    <w:rsid w:val="00C175D6"/>
    <w:rsid w:val="00C2226C"/>
    <w:rsid w:val="00C2458F"/>
    <w:rsid w:val="00C260CD"/>
    <w:rsid w:val="00C27220"/>
    <w:rsid w:val="00C311B0"/>
    <w:rsid w:val="00C367BE"/>
    <w:rsid w:val="00C40984"/>
    <w:rsid w:val="00C42BFB"/>
    <w:rsid w:val="00C43E67"/>
    <w:rsid w:val="00C441D1"/>
    <w:rsid w:val="00C4551B"/>
    <w:rsid w:val="00C47602"/>
    <w:rsid w:val="00C476BE"/>
    <w:rsid w:val="00C503FF"/>
    <w:rsid w:val="00C5087B"/>
    <w:rsid w:val="00C52330"/>
    <w:rsid w:val="00C5310F"/>
    <w:rsid w:val="00C54E7A"/>
    <w:rsid w:val="00C566C5"/>
    <w:rsid w:val="00C60589"/>
    <w:rsid w:val="00C64F7E"/>
    <w:rsid w:val="00C70F69"/>
    <w:rsid w:val="00C73C1C"/>
    <w:rsid w:val="00C73C49"/>
    <w:rsid w:val="00C76CC3"/>
    <w:rsid w:val="00C81C81"/>
    <w:rsid w:val="00C82B95"/>
    <w:rsid w:val="00C866C3"/>
    <w:rsid w:val="00C90937"/>
    <w:rsid w:val="00C9149C"/>
    <w:rsid w:val="00C933CD"/>
    <w:rsid w:val="00C95ECF"/>
    <w:rsid w:val="00CA14B1"/>
    <w:rsid w:val="00CA1A48"/>
    <w:rsid w:val="00CA30BC"/>
    <w:rsid w:val="00CA3CCB"/>
    <w:rsid w:val="00CA4D36"/>
    <w:rsid w:val="00CA53BA"/>
    <w:rsid w:val="00CA552A"/>
    <w:rsid w:val="00CA6755"/>
    <w:rsid w:val="00CB275A"/>
    <w:rsid w:val="00CB510E"/>
    <w:rsid w:val="00CB5C6A"/>
    <w:rsid w:val="00CC1385"/>
    <w:rsid w:val="00CC1FE4"/>
    <w:rsid w:val="00CC4A33"/>
    <w:rsid w:val="00CC4B9C"/>
    <w:rsid w:val="00CD0F11"/>
    <w:rsid w:val="00CD20B8"/>
    <w:rsid w:val="00CD3527"/>
    <w:rsid w:val="00CD6D28"/>
    <w:rsid w:val="00CE0DDC"/>
    <w:rsid w:val="00CE0F9F"/>
    <w:rsid w:val="00CE2C34"/>
    <w:rsid w:val="00CE4044"/>
    <w:rsid w:val="00CE5D4C"/>
    <w:rsid w:val="00CE7FA5"/>
    <w:rsid w:val="00CF30A7"/>
    <w:rsid w:val="00CF331F"/>
    <w:rsid w:val="00CF3608"/>
    <w:rsid w:val="00CF5E74"/>
    <w:rsid w:val="00CF66F4"/>
    <w:rsid w:val="00CF6808"/>
    <w:rsid w:val="00CF740E"/>
    <w:rsid w:val="00CF7A00"/>
    <w:rsid w:val="00CF7ED8"/>
    <w:rsid w:val="00D01008"/>
    <w:rsid w:val="00D01EF5"/>
    <w:rsid w:val="00D02114"/>
    <w:rsid w:val="00D03B7E"/>
    <w:rsid w:val="00D047C2"/>
    <w:rsid w:val="00D0614B"/>
    <w:rsid w:val="00D10CF0"/>
    <w:rsid w:val="00D11B79"/>
    <w:rsid w:val="00D11C64"/>
    <w:rsid w:val="00D13674"/>
    <w:rsid w:val="00D13B8C"/>
    <w:rsid w:val="00D166E8"/>
    <w:rsid w:val="00D17B7C"/>
    <w:rsid w:val="00D17DD2"/>
    <w:rsid w:val="00D226BB"/>
    <w:rsid w:val="00D22729"/>
    <w:rsid w:val="00D242CE"/>
    <w:rsid w:val="00D247BF"/>
    <w:rsid w:val="00D26264"/>
    <w:rsid w:val="00D30290"/>
    <w:rsid w:val="00D312F6"/>
    <w:rsid w:val="00D31A5C"/>
    <w:rsid w:val="00D32732"/>
    <w:rsid w:val="00D32FA2"/>
    <w:rsid w:val="00D345AE"/>
    <w:rsid w:val="00D34BAA"/>
    <w:rsid w:val="00D34F0D"/>
    <w:rsid w:val="00D36989"/>
    <w:rsid w:val="00D36B40"/>
    <w:rsid w:val="00D36D1A"/>
    <w:rsid w:val="00D37448"/>
    <w:rsid w:val="00D40188"/>
    <w:rsid w:val="00D4220E"/>
    <w:rsid w:val="00D44C8B"/>
    <w:rsid w:val="00D52FF4"/>
    <w:rsid w:val="00D54C33"/>
    <w:rsid w:val="00D60BEC"/>
    <w:rsid w:val="00D60EC0"/>
    <w:rsid w:val="00D61D55"/>
    <w:rsid w:val="00D627B6"/>
    <w:rsid w:val="00D7176D"/>
    <w:rsid w:val="00D72FA8"/>
    <w:rsid w:val="00D76473"/>
    <w:rsid w:val="00D7747F"/>
    <w:rsid w:val="00D82199"/>
    <w:rsid w:val="00D84DD8"/>
    <w:rsid w:val="00D85E05"/>
    <w:rsid w:val="00D863ED"/>
    <w:rsid w:val="00D91684"/>
    <w:rsid w:val="00D922BC"/>
    <w:rsid w:val="00D9358D"/>
    <w:rsid w:val="00D93FD7"/>
    <w:rsid w:val="00D9451E"/>
    <w:rsid w:val="00DA031A"/>
    <w:rsid w:val="00DA2496"/>
    <w:rsid w:val="00DA3B13"/>
    <w:rsid w:val="00DA484D"/>
    <w:rsid w:val="00DA6AC9"/>
    <w:rsid w:val="00DA6C6C"/>
    <w:rsid w:val="00DA6C9D"/>
    <w:rsid w:val="00DA75D4"/>
    <w:rsid w:val="00DB0CE0"/>
    <w:rsid w:val="00DB24C9"/>
    <w:rsid w:val="00DB2922"/>
    <w:rsid w:val="00DB5B1A"/>
    <w:rsid w:val="00DB6A52"/>
    <w:rsid w:val="00DB74BC"/>
    <w:rsid w:val="00DC2170"/>
    <w:rsid w:val="00DC4E2D"/>
    <w:rsid w:val="00DD23DA"/>
    <w:rsid w:val="00DD5055"/>
    <w:rsid w:val="00DD55CC"/>
    <w:rsid w:val="00DD68B7"/>
    <w:rsid w:val="00DD6952"/>
    <w:rsid w:val="00DE2F86"/>
    <w:rsid w:val="00DE36D9"/>
    <w:rsid w:val="00DE4D8E"/>
    <w:rsid w:val="00DE5AB9"/>
    <w:rsid w:val="00DE5C16"/>
    <w:rsid w:val="00DE653D"/>
    <w:rsid w:val="00DF03B7"/>
    <w:rsid w:val="00DF125F"/>
    <w:rsid w:val="00DF1435"/>
    <w:rsid w:val="00DF2C27"/>
    <w:rsid w:val="00DF420C"/>
    <w:rsid w:val="00DF441F"/>
    <w:rsid w:val="00DF4497"/>
    <w:rsid w:val="00DF6062"/>
    <w:rsid w:val="00DF6682"/>
    <w:rsid w:val="00DF68F5"/>
    <w:rsid w:val="00E0370F"/>
    <w:rsid w:val="00E04E8F"/>
    <w:rsid w:val="00E06128"/>
    <w:rsid w:val="00E06602"/>
    <w:rsid w:val="00E1088E"/>
    <w:rsid w:val="00E14B24"/>
    <w:rsid w:val="00E159EA"/>
    <w:rsid w:val="00E17832"/>
    <w:rsid w:val="00E21AA4"/>
    <w:rsid w:val="00E22131"/>
    <w:rsid w:val="00E22164"/>
    <w:rsid w:val="00E24D06"/>
    <w:rsid w:val="00E25CFA"/>
    <w:rsid w:val="00E3046D"/>
    <w:rsid w:val="00E313EB"/>
    <w:rsid w:val="00E315D8"/>
    <w:rsid w:val="00E322F5"/>
    <w:rsid w:val="00E32CA5"/>
    <w:rsid w:val="00E3568D"/>
    <w:rsid w:val="00E367DB"/>
    <w:rsid w:val="00E43BBE"/>
    <w:rsid w:val="00E470D4"/>
    <w:rsid w:val="00E478CA"/>
    <w:rsid w:val="00E53257"/>
    <w:rsid w:val="00E545ED"/>
    <w:rsid w:val="00E547C9"/>
    <w:rsid w:val="00E555D1"/>
    <w:rsid w:val="00E56D4E"/>
    <w:rsid w:val="00E5733C"/>
    <w:rsid w:val="00E60987"/>
    <w:rsid w:val="00E633FA"/>
    <w:rsid w:val="00E64A49"/>
    <w:rsid w:val="00E64E78"/>
    <w:rsid w:val="00E67B7B"/>
    <w:rsid w:val="00E73FBA"/>
    <w:rsid w:val="00E746A8"/>
    <w:rsid w:val="00E75F38"/>
    <w:rsid w:val="00E8005C"/>
    <w:rsid w:val="00E80CFC"/>
    <w:rsid w:val="00E8167A"/>
    <w:rsid w:val="00E8521D"/>
    <w:rsid w:val="00E8574F"/>
    <w:rsid w:val="00E85F14"/>
    <w:rsid w:val="00E8697C"/>
    <w:rsid w:val="00E9082B"/>
    <w:rsid w:val="00E919ED"/>
    <w:rsid w:val="00E92214"/>
    <w:rsid w:val="00E9252B"/>
    <w:rsid w:val="00E92C09"/>
    <w:rsid w:val="00E9671E"/>
    <w:rsid w:val="00E96FCC"/>
    <w:rsid w:val="00E978B6"/>
    <w:rsid w:val="00EA1BCF"/>
    <w:rsid w:val="00EA5289"/>
    <w:rsid w:val="00EA64AA"/>
    <w:rsid w:val="00EB04B5"/>
    <w:rsid w:val="00EB1C0D"/>
    <w:rsid w:val="00EB4DB2"/>
    <w:rsid w:val="00EB4E48"/>
    <w:rsid w:val="00EB519B"/>
    <w:rsid w:val="00EB5D92"/>
    <w:rsid w:val="00EB5E43"/>
    <w:rsid w:val="00EB60EF"/>
    <w:rsid w:val="00EB6301"/>
    <w:rsid w:val="00EB7325"/>
    <w:rsid w:val="00EC04E3"/>
    <w:rsid w:val="00EC2885"/>
    <w:rsid w:val="00EC6218"/>
    <w:rsid w:val="00ED0D54"/>
    <w:rsid w:val="00ED1D6A"/>
    <w:rsid w:val="00ED3ABE"/>
    <w:rsid w:val="00ED40A7"/>
    <w:rsid w:val="00ED4214"/>
    <w:rsid w:val="00ED43B7"/>
    <w:rsid w:val="00ED7765"/>
    <w:rsid w:val="00EE0477"/>
    <w:rsid w:val="00EE3823"/>
    <w:rsid w:val="00EE5DF1"/>
    <w:rsid w:val="00EE64B9"/>
    <w:rsid w:val="00EF67F0"/>
    <w:rsid w:val="00EF740C"/>
    <w:rsid w:val="00F007E1"/>
    <w:rsid w:val="00F05029"/>
    <w:rsid w:val="00F0722F"/>
    <w:rsid w:val="00F10243"/>
    <w:rsid w:val="00F1093B"/>
    <w:rsid w:val="00F11592"/>
    <w:rsid w:val="00F1232C"/>
    <w:rsid w:val="00F12C23"/>
    <w:rsid w:val="00F12DAD"/>
    <w:rsid w:val="00F131FE"/>
    <w:rsid w:val="00F1342A"/>
    <w:rsid w:val="00F1369D"/>
    <w:rsid w:val="00F13C76"/>
    <w:rsid w:val="00F13D40"/>
    <w:rsid w:val="00F16D6D"/>
    <w:rsid w:val="00F17D42"/>
    <w:rsid w:val="00F2083A"/>
    <w:rsid w:val="00F20C5D"/>
    <w:rsid w:val="00F21556"/>
    <w:rsid w:val="00F23056"/>
    <w:rsid w:val="00F2330E"/>
    <w:rsid w:val="00F23D69"/>
    <w:rsid w:val="00F2591B"/>
    <w:rsid w:val="00F26DC8"/>
    <w:rsid w:val="00F3063B"/>
    <w:rsid w:val="00F3103D"/>
    <w:rsid w:val="00F32260"/>
    <w:rsid w:val="00F33438"/>
    <w:rsid w:val="00F35185"/>
    <w:rsid w:val="00F35378"/>
    <w:rsid w:val="00F36487"/>
    <w:rsid w:val="00F4082D"/>
    <w:rsid w:val="00F410E8"/>
    <w:rsid w:val="00F4229A"/>
    <w:rsid w:val="00F42EF3"/>
    <w:rsid w:val="00F43AF8"/>
    <w:rsid w:val="00F4685C"/>
    <w:rsid w:val="00F47002"/>
    <w:rsid w:val="00F56D6F"/>
    <w:rsid w:val="00F60EC1"/>
    <w:rsid w:val="00F6100B"/>
    <w:rsid w:val="00F61B5B"/>
    <w:rsid w:val="00F6462B"/>
    <w:rsid w:val="00F67C96"/>
    <w:rsid w:val="00F70816"/>
    <w:rsid w:val="00F71ACC"/>
    <w:rsid w:val="00F73512"/>
    <w:rsid w:val="00F82965"/>
    <w:rsid w:val="00F838DA"/>
    <w:rsid w:val="00F84093"/>
    <w:rsid w:val="00F849E9"/>
    <w:rsid w:val="00F86088"/>
    <w:rsid w:val="00F8680A"/>
    <w:rsid w:val="00F87215"/>
    <w:rsid w:val="00F91EAA"/>
    <w:rsid w:val="00F932E8"/>
    <w:rsid w:val="00F9395D"/>
    <w:rsid w:val="00F947B5"/>
    <w:rsid w:val="00F96500"/>
    <w:rsid w:val="00F96ECC"/>
    <w:rsid w:val="00FA08FF"/>
    <w:rsid w:val="00FA0FF3"/>
    <w:rsid w:val="00FA3F7A"/>
    <w:rsid w:val="00FA4942"/>
    <w:rsid w:val="00FA6EB7"/>
    <w:rsid w:val="00FB035F"/>
    <w:rsid w:val="00FB0669"/>
    <w:rsid w:val="00FB3E93"/>
    <w:rsid w:val="00FB4920"/>
    <w:rsid w:val="00FB4C8A"/>
    <w:rsid w:val="00FC037D"/>
    <w:rsid w:val="00FC15F6"/>
    <w:rsid w:val="00FC34FC"/>
    <w:rsid w:val="00FC65CC"/>
    <w:rsid w:val="00FD0B83"/>
    <w:rsid w:val="00FD3073"/>
    <w:rsid w:val="00FD32E2"/>
    <w:rsid w:val="00FD5D4A"/>
    <w:rsid w:val="00FD6830"/>
    <w:rsid w:val="00FD6DBB"/>
    <w:rsid w:val="00FD77A2"/>
    <w:rsid w:val="00FE010F"/>
    <w:rsid w:val="00FE2FEB"/>
    <w:rsid w:val="00FE3215"/>
    <w:rsid w:val="00FE3C73"/>
    <w:rsid w:val="00FE632D"/>
    <w:rsid w:val="00FE64A4"/>
    <w:rsid w:val="00FE6F9D"/>
    <w:rsid w:val="00FF08E4"/>
    <w:rsid w:val="00FF1D5A"/>
    <w:rsid w:val="00FF2073"/>
    <w:rsid w:val="00FF30E0"/>
    <w:rsid w:val="00FF377D"/>
    <w:rsid w:val="00FF516F"/>
    <w:rsid w:val="00FF6657"/>
    <w:rsid w:val="00FF6BCB"/>
    <w:rsid w:val="00FF6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Normal"/>
    <w:link w:val="Heading1Char"/>
    <w:qFormat/>
    <w:pPr>
      <w:keepNext/>
      <w:outlineLvl w:val="0"/>
    </w:pPr>
    <w:rPr>
      <w:b/>
      <w:caps/>
    </w:rPr>
  </w:style>
  <w:style w:type="paragraph" w:styleId="Heading2">
    <w:name w:val="heading 2"/>
    <w:basedOn w:val="Normal"/>
    <w:next w:val="Normal"/>
    <w:qFormat/>
    <w:pPr>
      <w:keepNext/>
      <w:ind w:left="720"/>
      <w:outlineLvl w:val="1"/>
    </w:pPr>
    <w:rPr>
      <w:b/>
    </w:rPr>
  </w:style>
  <w:style w:type="paragraph" w:styleId="Heading3">
    <w:name w:val="heading 3"/>
    <w:basedOn w:val="Normal"/>
    <w:next w:val="Normal"/>
    <w:qFormat/>
    <w:pPr>
      <w:keepNext/>
      <w:ind w:left="720"/>
      <w:outlineLvl w:val="2"/>
    </w:pPr>
    <w:rPr>
      <w:i/>
    </w:rPr>
  </w:style>
  <w:style w:type="paragraph" w:styleId="Heading4">
    <w:name w:val="heading 4"/>
    <w:basedOn w:val="Normal"/>
    <w:next w:val="Normal"/>
    <w:qFormat/>
    <w:pPr>
      <w:keepNext/>
      <w:ind w:left="1440"/>
      <w:outlineLvl w:val="3"/>
    </w:pPr>
  </w:style>
  <w:style w:type="paragraph" w:styleId="Heading5">
    <w:name w:val="heading 5"/>
    <w:basedOn w:val="Normal"/>
    <w:next w:val="Normal"/>
    <w:qFormat/>
    <w:pPr>
      <w:ind w:left="1440"/>
      <w:outlineLvl w:val="4"/>
    </w:pPr>
  </w:style>
  <w:style w:type="paragraph" w:styleId="Heading6">
    <w:name w:val="heading 6"/>
    <w:basedOn w:val="Normal"/>
    <w:next w:val="Normal"/>
    <w:qFormat/>
    <w:pPr>
      <w:ind w:left="1440"/>
      <w:outlineLvl w:val="5"/>
    </w:pPr>
    <w:rPr>
      <w:sz w:val="20"/>
    </w:rPr>
  </w:style>
  <w:style w:type="paragraph" w:styleId="Heading7">
    <w:name w:val="heading 7"/>
    <w:basedOn w:val="Normal"/>
    <w:next w:val="Normal"/>
    <w:qFormat/>
    <w:pPr>
      <w:ind w:left="1440"/>
      <w:outlineLvl w:val="6"/>
    </w:pPr>
    <w:rPr>
      <w:sz w:val="20"/>
    </w:rPr>
  </w:style>
  <w:style w:type="paragraph" w:styleId="Heading8">
    <w:name w:val="heading 8"/>
    <w:basedOn w:val="Normal"/>
    <w:next w:val="Normal"/>
    <w:qFormat/>
    <w:pPr>
      <w:ind w:left="1440"/>
      <w:outlineLvl w:val="7"/>
    </w:pPr>
    <w:rPr>
      <w:sz w:val="20"/>
    </w:rPr>
  </w:style>
  <w:style w:type="paragraph" w:styleId="Heading9">
    <w:name w:val="heading 9"/>
    <w:basedOn w:val="Normal"/>
    <w:next w:val="Normal"/>
    <w:qFormat/>
    <w:pPr>
      <w:ind w:left="144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5">
    <w:name w:val="toc 5"/>
    <w:basedOn w:val="Heading5"/>
    <w:next w:val="Normal"/>
    <w:semiHidden/>
    <w:pPr>
      <w:keepNext/>
      <w:widowControl w:val="0"/>
      <w:tabs>
        <w:tab w:val="left" w:pos="720"/>
        <w:tab w:val="right" w:leader="dot" w:pos="9350"/>
      </w:tabs>
      <w:ind w:left="720"/>
    </w:pPr>
    <w:rPr>
      <w:b/>
      <w:caps/>
      <w:noProof/>
    </w:rPr>
  </w:style>
  <w:style w:type="paragraph" w:styleId="TOC1">
    <w:name w:val="toc 1"/>
    <w:basedOn w:val="Heading1"/>
    <w:next w:val="Normal"/>
    <w:uiPriority w:val="39"/>
    <w:pPr>
      <w:keepNext w:val="0"/>
      <w:tabs>
        <w:tab w:val="left" w:pos="720"/>
        <w:tab w:val="right" w:leader="dot" w:pos="9350"/>
      </w:tabs>
      <w:spacing w:after="120"/>
      <w:outlineLvl w:val="9"/>
    </w:pPr>
    <w:rPr>
      <w:noProof/>
    </w:rPr>
  </w:style>
  <w:style w:type="paragraph" w:styleId="TOC2">
    <w:name w:val="toc 2"/>
    <w:basedOn w:val="Heading2"/>
    <w:next w:val="Normal"/>
    <w:uiPriority w:val="39"/>
    <w:pPr>
      <w:keepNext w:val="0"/>
      <w:tabs>
        <w:tab w:val="left" w:pos="720"/>
        <w:tab w:val="right" w:leader="dot" w:pos="9350"/>
      </w:tabs>
      <w:spacing w:line="360" w:lineRule="auto"/>
      <w:ind w:left="245"/>
      <w:outlineLvl w:val="9"/>
    </w:pPr>
    <w:rPr>
      <w:noProof/>
      <w:sz w:val="22"/>
    </w:rPr>
  </w:style>
  <w:style w:type="paragraph" w:styleId="TOC3">
    <w:name w:val="toc 3"/>
    <w:basedOn w:val="Heading3"/>
    <w:next w:val="Normal"/>
    <w:uiPriority w:val="39"/>
    <w:pPr>
      <w:keepNext w:val="0"/>
      <w:tabs>
        <w:tab w:val="left" w:pos="720"/>
        <w:tab w:val="right" w:leader="dot" w:pos="9350"/>
      </w:tabs>
      <w:ind w:left="475"/>
      <w:outlineLvl w:val="9"/>
    </w:pPr>
    <w:rPr>
      <w:noProof/>
      <w:sz w:val="22"/>
    </w:rPr>
  </w:style>
  <w:style w:type="paragraph" w:styleId="TOC4">
    <w:name w:val="toc 4"/>
    <w:basedOn w:val="Heading4"/>
    <w:next w:val="Normal"/>
    <w:semiHidden/>
    <w:pPr>
      <w:keepNext w:val="0"/>
      <w:tabs>
        <w:tab w:val="left" w:pos="720"/>
        <w:tab w:val="right" w:leader="dot" w:pos="9350"/>
      </w:tabs>
      <w:ind w:left="720"/>
      <w:outlineLvl w:val="9"/>
    </w:pPr>
    <w:rPr>
      <w:noProof/>
      <w:sz w:val="22"/>
    </w:rPr>
  </w:style>
  <w:style w:type="paragraph" w:styleId="TOC6">
    <w:name w:val="toc 6"/>
    <w:basedOn w:val="Heading6"/>
    <w:next w:val="Normal"/>
    <w:semiHidden/>
    <w:pPr>
      <w:ind w:left="720"/>
    </w:pPr>
  </w:style>
  <w:style w:type="paragraph" w:styleId="TOC7">
    <w:name w:val="toc 7"/>
    <w:basedOn w:val="Heading7"/>
    <w:next w:val="Normal"/>
    <w:semiHidden/>
    <w:pPr>
      <w:ind w:left="720"/>
    </w:pPr>
  </w:style>
  <w:style w:type="paragraph" w:styleId="TOC8">
    <w:name w:val="toc 8"/>
    <w:basedOn w:val="Heading8"/>
    <w:next w:val="Normal"/>
    <w:semiHidden/>
    <w:pPr>
      <w:ind w:left="720"/>
    </w:pPr>
  </w:style>
  <w:style w:type="paragraph" w:styleId="TOC9">
    <w:name w:val="toc 9"/>
    <w:basedOn w:val="Heading9"/>
    <w:next w:val="Normal"/>
    <w:semiHidden/>
    <w:pPr>
      <w:ind w:left="720"/>
    </w:pPr>
  </w:style>
  <w:style w:type="paragraph" w:styleId="Title">
    <w:name w:val="Title"/>
    <w:basedOn w:val="Normal"/>
    <w:link w:val="TitleChar"/>
    <w:qFormat/>
    <w:pPr>
      <w:jc w:val="center"/>
    </w:pPr>
    <w:rPr>
      <w:sz w:val="96"/>
    </w:r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rFonts w:ascii="Times New Roman" w:hAnsi="Times New Roman"/>
      <w:vertAlign w:val="superscript"/>
    </w:rPr>
  </w:style>
  <w:style w:type="character" w:styleId="PageNumber">
    <w:name w:val="page number"/>
    <w:rPr>
      <w:rFonts w:ascii="Times New Roman" w:hAnsi="Times New Roman"/>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style>
  <w:style w:type="character" w:styleId="LineNumber">
    <w:name w:val="line number"/>
    <w:basedOn w:val="DefaultParagraphFont"/>
  </w:style>
  <w:style w:type="paragraph" w:customStyle="1" w:styleId="box">
    <w:name w:val="box"/>
    <w:basedOn w:val="BodyText"/>
    <w:pPr>
      <w:pBdr>
        <w:top w:val="thinThickThinSmallGap" w:sz="24" w:space="1" w:color="auto"/>
        <w:left w:val="thinThickThinSmallGap" w:sz="24" w:space="4" w:color="auto"/>
        <w:bottom w:val="thinThickThinSmallGap" w:sz="24" w:space="1" w:color="auto"/>
        <w:right w:val="thinThickThinSmallGap" w:sz="24" w:space="4" w:color="auto"/>
      </w:pBdr>
    </w:pPr>
    <w:rPr>
      <w:sz w:val="22"/>
    </w:rPr>
  </w:style>
  <w:style w:type="character" w:styleId="Hyperlink">
    <w:name w:val="Hyperlink"/>
    <w:rsid w:val="00153706"/>
    <w:rPr>
      <w:color w:val="0000FF"/>
      <w:u w:val="single"/>
    </w:rPr>
  </w:style>
  <w:style w:type="character" w:customStyle="1" w:styleId="Heading1Char">
    <w:name w:val="Heading 1 Char"/>
    <w:link w:val="Heading1"/>
    <w:rsid w:val="000B2522"/>
    <w:rPr>
      <w:b/>
      <w:caps/>
      <w:color w:val="000000"/>
      <w:sz w:val="24"/>
      <w:lang w:val="en-US" w:eastAsia="en-US" w:bidi="ar-SA"/>
    </w:rPr>
  </w:style>
  <w:style w:type="paragraph" w:styleId="BalloonText">
    <w:name w:val="Balloon Text"/>
    <w:basedOn w:val="Normal"/>
    <w:link w:val="BalloonTextChar"/>
    <w:rsid w:val="002069F6"/>
    <w:rPr>
      <w:rFonts w:ascii="Tahoma" w:hAnsi="Tahoma" w:cs="Tahoma"/>
      <w:sz w:val="16"/>
      <w:szCs w:val="16"/>
    </w:rPr>
  </w:style>
  <w:style w:type="character" w:customStyle="1" w:styleId="BalloonTextChar">
    <w:name w:val="Balloon Text Char"/>
    <w:link w:val="BalloonText"/>
    <w:rsid w:val="002069F6"/>
    <w:rPr>
      <w:rFonts w:ascii="Tahoma" w:hAnsi="Tahoma" w:cs="Tahoma"/>
      <w:color w:val="000000"/>
      <w:sz w:val="16"/>
      <w:szCs w:val="16"/>
    </w:rPr>
  </w:style>
  <w:style w:type="character" w:styleId="CommentReference">
    <w:name w:val="annotation reference"/>
    <w:uiPriority w:val="99"/>
    <w:rsid w:val="00F2083A"/>
    <w:rPr>
      <w:sz w:val="16"/>
      <w:szCs w:val="16"/>
    </w:rPr>
  </w:style>
  <w:style w:type="paragraph" w:styleId="CommentText">
    <w:name w:val="annotation text"/>
    <w:basedOn w:val="Normal"/>
    <w:link w:val="CommentTextChar"/>
    <w:uiPriority w:val="99"/>
    <w:rsid w:val="00F2083A"/>
    <w:rPr>
      <w:sz w:val="20"/>
    </w:rPr>
  </w:style>
  <w:style w:type="character" w:customStyle="1" w:styleId="CommentTextChar">
    <w:name w:val="Comment Text Char"/>
    <w:link w:val="CommentText"/>
    <w:uiPriority w:val="99"/>
    <w:rsid w:val="00F2083A"/>
    <w:rPr>
      <w:color w:val="000000"/>
    </w:rPr>
  </w:style>
  <w:style w:type="paragraph" w:styleId="CommentSubject">
    <w:name w:val="annotation subject"/>
    <w:basedOn w:val="CommentText"/>
    <w:next w:val="CommentText"/>
    <w:link w:val="CommentSubjectChar"/>
    <w:rsid w:val="00F2083A"/>
    <w:rPr>
      <w:b/>
      <w:bCs/>
    </w:rPr>
  </w:style>
  <w:style w:type="character" w:customStyle="1" w:styleId="CommentSubjectChar">
    <w:name w:val="Comment Subject Char"/>
    <w:link w:val="CommentSubject"/>
    <w:rsid w:val="00F2083A"/>
    <w:rPr>
      <w:b/>
      <w:bCs/>
      <w:color w:val="000000"/>
    </w:rPr>
  </w:style>
  <w:style w:type="paragraph" w:styleId="Revision">
    <w:name w:val="Revision"/>
    <w:hidden/>
    <w:uiPriority w:val="99"/>
    <w:semiHidden/>
    <w:rsid w:val="00650B8B"/>
    <w:rPr>
      <w:color w:val="000000"/>
      <w:sz w:val="24"/>
    </w:rPr>
  </w:style>
  <w:style w:type="paragraph" w:styleId="ListParagraph">
    <w:name w:val="List Paragraph"/>
    <w:basedOn w:val="Normal"/>
    <w:uiPriority w:val="34"/>
    <w:qFormat/>
    <w:rsid w:val="00E8521D"/>
    <w:pPr>
      <w:ind w:left="720"/>
    </w:pPr>
  </w:style>
  <w:style w:type="character" w:styleId="FollowedHyperlink">
    <w:name w:val="FollowedHyperlink"/>
    <w:rsid w:val="00BD187D"/>
    <w:rPr>
      <w:color w:val="800080"/>
      <w:u w:val="single"/>
    </w:rPr>
  </w:style>
  <w:style w:type="character" w:customStyle="1" w:styleId="FootnoteTextChar">
    <w:name w:val="Footnote Text Char"/>
    <w:basedOn w:val="DefaultParagraphFont"/>
    <w:link w:val="FootnoteText"/>
    <w:uiPriority w:val="99"/>
    <w:semiHidden/>
    <w:rsid w:val="0049080A"/>
    <w:rPr>
      <w:color w:val="000000"/>
    </w:rPr>
  </w:style>
  <w:style w:type="character" w:customStyle="1" w:styleId="FooterChar">
    <w:name w:val="Footer Char"/>
    <w:basedOn w:val="DefaultParagraphFont"/>
    <w:link w:val="Footer"/>
    <w:uiPriority w:val="99"/>
    <w:rsid w:val="00544B8C"/>
    <w:rPr>
      <w:color w:val="000000"/>
      <w:sz w:val="24"/>
    </w:rPr>
  </w:style>
  <w:style w:type="character" w:customStyle="1" w:styleId="TitleChar">
    <w:name w:val="Title Char"/>
    <w:basedOn w:val="DefaultParagraphFont"/>
    <w:link w:val="Title"/>
    <w:rsid w:val="008C6C8C"/>
    <w:rPr>
      <w:color w:val="000000"/>
      <w:sz w:val="9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Normal"/>
    <w:link w:val="Heading1Char"/>
    <w:qFormat/>
    <w:pPr>
      <w:keepNext/>
      <w:outlineLvl w:val="0"/>
    </w:pPr>
    <w:rPr>
      <w:b/>
      <w:caps/>
    </w:rPr>
  </w:style>
  <w:style w:type="paragraph" w:styleId="Heading2">
    <w:name w:val="heading 2"/>
    <w:basedOn w:val="Normal"/>
    <w:next w:val="Normal"/>
    <w:qFormat/>
    <w:pPr>
      <w:keepNext/>
      <w:ind w:left="720"/>
      <w:outlineLvl w:val="1"/>
    </w:pPr>
    <w:rPr>
      <w:b/>
    </w:rPr>
  </w:style>
  <w:style w:type="paragraph" w:styleId="Heading3">
    <w:name w:val="heading 3"/>
    <w:basedOn w:val="Normal"/>
    <w:next w:val="Normal"/>
    <w:qFormat/>
    <w:pPr>
      <w:keepNext/>
      <w:ind w:left="720"/>
      <w:outlineLvl w:val="2"/>
    </w:pPr>
    <w:rPr>
      <w:i/>
    </w:rPr>
  </w:style>
  <w:style w:type="paragraph" w:styleId="Heading4">
    <w:name w:val="heading 4"/>
    <w:basedOn w:val="Normal"/>
    <w:next w:val="Normal"/>
    <w:qFormat/>
    <w:pPr>
      <w:keepNext/>
      <w:ind w:left="1440"/>
      <w:outlineLvl w:val="3"/>
    </w:pPr>
  </w:style>
  <w:style w:type="paragraph" w:styleId="Heading5">
    <w:name w:val="heading 5"/>
    <w:basedOn w:val="Normal"/>
    <w:next w:val="Normal"/>
    <w:qFormat/>
    <w:pPr>
      <w:ind w:left="1440"/>
      <w:outlineLvl w:val="4"/>
    </w:pPr>
  </w:style>
  <w:style w:type="paragraph" w:styleId="Heading6">
    <w:name w:val="heading 6"/>
    <w:basedOn w:val="Normal"/>
    <w:next w:val="Normal"/>
    <w:qFormat/>
    <w:pPr>
      <w:ind w:left="1440"/>
      <w:outlineLvl w:val="5"/>
    </w:pPr>
    <w:rPr>
      <w:sz w:val="20"/>
    </w:rPr>
  </w:style>
  <w:style w:type="paragraph" w:styleId="Heading7">
    <w:name w:val="heading 7"/>
    <w:basedOn w:val="Normal"/>
    <w:next w:val="Normal"/>
    <w:qFormat/>
    <w:pPr>
      <w:ind w:left="1440"/>
      <w:outlineLvl w:val="6"/>
    </w:pPr>
    <w:rPr>
      <w:sz w:val="20"/>
    </w:rPr>
  </w:style>
  <w:style w:type="paragraph" w:styleId="Heading8">
    <w:name w:val="heading 8"/>
    <w:basedOn w:val="Normal"/>
    <w:next w:val="Normal"/>
    <w:qFormat/>
    <w:pPr>
      <w:ind w:left="1440"/>
      <w:outlineLvl w:val="7"/>
    </w:pPr>
    <w:rPr>
      <w:sz w:val="20"/>
    </w:rPr>
  </w:style>
  <w:style w:type="paragraph" w:styleId="Heading9">
    <w:name w:val="heading 9"/>
    <w:basedOn w:val="Normal"/>
    <w:next w:val="Normal"/>
    <w:qFormat/>
    <w:pPr>
      <w:ind w:left="144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5">
    <w:name w:val="toc 5"/>
    <w:basedOn w:val="Heading5"/>
    <w:next w:val="Normal"/>
    <w:semiHidden/>
    <w:pPr>
      <w:keepNext/>
      <w:widowControl w:val="0"/>
      <w:tabs>
        <w:tab w:val="left" w:pos="720"/>
        <w:tab w:val="right" w:leader="dot" w:pos="9350"/>
      </w:tabs>
      <w:ind w:left="720"/>
    </w:pPr>
    <w:rPr>
      <w:b/>
      <w:caps/>
      <w:noProof/>
    </w:rPr>
  </w:style>
  <w:style w:type="paragraph" w:styleId="TOC1">
    <w:name w:val="toc 1"/>
    <w:basedOn w:val="Heading1"/>
    <w:next w:val="Normal"/>
    <w:uiPriority w:val="39"/>
    <w:pPr>
      <w:keepNext w:val="0"/>
      <w:tabs>
        <w:tab w:val="left" w:pos="720"/>
        <w:tab w:val="right" w:leader="dot" w:pos="9350"/>
      </w:tabs>
      <w:spacing w:after="120"/>
      <w:outlineLvl w:val="9"/>
    </w:pPr>
    <w:rPr>
      <w:noProof/>
    </w:rPr>
  </w:style>
  <w:style w:type="paragraph" w:styleId="TOC2">
    <w:name w:val="toc 2"/>
    <w:basedOn w:val="Heading2"/>
    <w:next w:val="Normal"/>
    <w:uiPriority w:val="39"/>
    <w:pPr>
      <w:keepNext w:val="0"/>
      <w:tabs>
        <w:tab w:val="left" w:pos="720"/>
        <w:tab w:val="right" w:leader="dot" w:pos="9350"/>
      </w:tabs>
      <w:spacing w:line="360" w:lineRule="auto"/>
      <w:ind w:left="245"/>
      <w:outlineLvl w:val="9"/>
    </w:pPr>
    <w:rPr>
      <w:noProof/>
      <w:sz w:val="22"/>
    </w:rPr>
  </w:style>
  <w:style w:type="paragraph" w:styleId="TOC3">
    <w:name w:val="toc 3"/>
    <w:basedOn w:val="Heading3"/>
    <w:next w:val="Normal"/>
    <w:uiPriority w:val="39"/>
    <w:pPr>
      <w:keepNext w:val="0"/>
      <w:tabs>
        <w:tab w:val="left" w:pos="720"/>
        <w:tab w:val="right" w:leader="dot" w:pos="9350"/>
      </w:tabs>
      <w:ind w:left="475"/>
      <w:outlineLvl w:val="9"/>
    </w:pPr>
    <w:rPr>
      <w:noProof/>
      <w:sz w:val="22"/>
    </w:rPr>
  </w:style>
  <w:style w:type="paragraph" w:styleId="TOC4">
    <w:name w:val="toc 4"/>
    <w:basedOn w:val="Heading4"/>
    <w:next w:val="Normal"/>
    <w:semiHidden/>
    <w:pPr>
      <w:keepNext w:val="0"/>
      <w:tabs>
        <w:tab w:val="left" w:pos="720"/>
        <w:tab w:val="right" w:leader="dot" w:pos="9350"/>
      </w:tabs>
      <w:ind w:left="720"/>
      <w:outlineLvl w:val="9"/>
    </w:pPr>
    <w:rPr>
      <w:noProof/>
      <w:sz w:val="22"/>
    </w:rPr>
  </w:style>
  <w:style w:type="paragraph" w:styleId="TOC6">
    <w:name w:val="toc 6"/>
    <w:basedOn w:val="Heading6"/>
    <w:next w:val="Normal"/>
    <w:semiHidden/>
    <w:pPr>
      <w:ind w:left="720"/>
    </w:pPr>
  </w:style>
  <w:style w:type="paragraph" w:styleId="TOC7">
    <w:name w:val="toc 7"/>
    <w:basedOn w:val="Heading7"/>
    <w:next w:val="Normal"/>
    <w:semiHidden/>
    <w:pPr>
      <w:ind w:left="720"/>
    </w:pPr>
  </w:style>
  <w:style w:type="paragraph" w:styleId="TOC8">
    <w:name w:val="toc 8"/>
    <w:basedOn w:val="Heading8"/>
    <w:next w:val="Normal"/>
    <w:semiHidden/>
    <w:pPr>
      <w:ind w:left="720"/>
    </w:pPr>
  </w:style>
  <w:style w:type="paragraph" w:styleId="TOC9">
    <w:name w:val="toc 9"/>
    <w:basedOn w:val="Heading9"/>
    <w:next w:val="Normal"/>
    <w:semiHidden/>
    <w:pPr>
      <w:ind w:left="720"/>
    </w:pPr>
  </w:style>
  <w:style w:type="paragraph" w:styleId="Title">
    <w:name w:val="Title"/>
    <w:basedOn w:val="Normal"/>
    <w:link w:val="TitleChar"/>
    <w:qFormat/>
    <w:pPr>
      <w:jc w:val="center"/>
    </w:pPr>
    <w:rPr>
      <w:sz w:val="96"/>
    </w:r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rFonts w:ascii="Times New Roman" w:hAnsi="Times New Roman"/>
      <w:vertAlign w:val="superscript"/>
    </w:rPr>
  </w:style>
  <w:style w:type="character" w:styleId="PageNumber">
    <w:name w:val="page number"/>
    <w:rPr>
      <w:rFonts w:ascii="Times New Roman" w:hAnsi="Times New Roman"/>
    </w:r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style>
  <w:style w:type="character" w:styleId="LineNumber">
    <w:name w:val="line number"/>
    <w:basedOn w:val="DefaultParagraphFont"/>
  </w:style>
  <w:style w:type="paragraph" w:customStyle="1" w:styleId="box">
    <w:name w:val="box"/>
    <w:basedOn w:val="BodyText"/>
    <w:pPr>
      <w:pBdr>
        <w:top w:val="thinThickThinSmallGap" w:sz="24" w:space="1" w:color="auto"/>
        <w:left w:val="thinThickThinSmallGap" w:sz="24" w:space="4" w:color="auto"/>
        <w:bottom w:val="thinThickThinSmallGap" w:sz="24" w:space="1" w:color="auto"/>
        <w:right w:val="thinThickThinSmallGap" w:sz="24" w:space="4" w:color="auto"/>
      </w:pBdr>
    </w:pPr>
    <w:rPr>
      <w:sz w:val="22"/>
    </w:rPr>
  </w:style>
  <w:style w:type="character" w:styleId="Hyperlink">
    <w:name w:val="Hyperlink"/>
    <w:rsid w:val="00153706"/>
    <w:rPr>
      <w:color w:val="0000FF"/>
      <w:u w:val="single"/>
    </w:rPr>
  </w:style>
  <w:style w:type="character" w:customStyle="1" w:styleId="Heading1Char">
    <w:name w:val="Heading 1 Char"/>
    <w:link w:val="Heading1"/>
    <w:rsid w:val="000B2522"/>
    <w:rPr>
      <w:b/>
      <w:caps/>
      <w:color w:val="000000"/>
      <w:sz w:val="24"/>
      <w:lang w:val="en-US" w:eastAsia="en-US" w:bidi="ar-SA"/>
    </w:rPr>
  </w:style>
  <w:style w:type="paragraph" w:styleId="BalloonText">
    <w:name w:val="Balloon Text"/>
    <w:basedOn w:val="Normal"/>
    <w:link w:val="BalloonTextChar"/>
    <w:rsid w:val="002069F6"/>
    <w:rPr>
      <w:rFonts w:ascii="Tahoma" w:hAnsi="Tahoma" w:cs="Tahoma"/>
      <w:sz w:val="16"/>
      <w:szCs w:val="16"/>
    </w:rPr>
  </w:style>
  <w:style w:type="character" w:customStyle="1" w:styleId="BalloonTextChar">
    <w:name w:val="Balloon Text Char"/>
    <w:link w:val="BalloonText"/>
    <w:rsid w:val="002069F6"/>
    <w:rPr>
      <w:rFonts w:ascii="Tahoma" w:hAnsi="Tahoma" w:cs="Tahoma"/>
      <w:color w:val="000000"/>
      <w:sz w:val="16"/>
      <w:szCs w:val="16"/>
    </w:rPr>
  </w:style>
  <w:style w:type="character" w:styleId="CommentReference">
    <w:name w:val="annotation reference"/>
    <w:uiPriority w:val="99"/>
    <w:rsid w:val="00F2083A"/>
    <w:rPr>
      <w:sz w:val="16"/>
      <w:szCs w:val="16"/>
    </w:rPr>
  </w:style>
  <w:style w:type="paragraph" w:styleId="CommentText">
    <w:name w:val="annotation text"/>
    <w:basedOn w:val="Normal"/>
    <w:link w:val="CommentTextChar"/>
    <w:uiPriority w:val="99"/>
    <w:rsid w:val="00F2083A"/>
    <w:rPr>
      <w:sz w:val="20"/>
    </w:rPr>
  </w:style>
  <w:style w:type="character" w:customStyle="1" w:styleId="CommentTextChar">
    <w:name w:val="Comment Text Char"/>
    <w:link w:val="CommentText"/>
    <w:uiPriority w:val="99"/>
    <w:rsid w:val="00F2083A"/>
    <w:rPr>
      <w:color w:val="000000"/>
    </w:rPr>
  </w:style>
  <w:style w:type="paragraph" w:styleId="CommentSubject">
    <w:name w:val="annotation subject"/>
    <w:basedOn w:val="CommentText"/>
    <w:next w:val="CommentText"/>
    <w:link w:val="CommentSubjectChar"/>
    <w:rsid w:val="00F2083A"/>
    <w:rPr>
      <w:b/>
      <w:bCs/>
    </w:rPr>
  </w:style>
  <w:style w:type="character" w:customStyle="1" w:styleId="CommentSubjectChar">
    <w:name w:val="Comment Subject Char"/>
    <w:link w:val="CommentSubject"/>
    <w:rsid w:val="00F2083A"/>
    <w:rPr>
      <w:b/>
      <w:bCs/>
      <w:color w:val="000000"/>
    </w:rPr>
  </w:style>
  <w:style w:type="paragraph" w:styleId="Revision">
    <w:name w:val="Revision"/>
    <w:hidden/>
    <w:uiPriority w:val="99"/>
    <w:semiHidden/>
    <w:rsid w:val="00650B8B"/>
    <w:rPr>
      <w:color w:val="000000"/>
      <w:sz w:val="24"/>
    </w:rPr>
  </w:style>
  <w:style w:type="paragraph" w:styleId="ListParagraph">
    <w:name w:val="List Paragraph"/>
    <w:basedOn w:val="Normal"/>
    <w:uiPriority w:val="34"/>
    <w:qFormat/>
    <w:rsid w:val="00E8521D"/>
    <w:pPr>
      <w:ind w:left="720"/>
    </w:pPr>
  </w:style>
  <w:style w:type="character" w:styleId="FollowedHyperlink">
    <w:name w:val="FollowedHyperlink"/>
    <w:rsid w:val="00BD187D"/>
    <w:rPr>
      <w:color w:val="800080"/>
      <w:u w:val="single"/>
    </w:rPr>
  </w:style>
  <w:style w:type="character" w:customStyle="1" w:styleId="FootnoteTextChar">
    <w:name w:val="Footnote Text Char"/>
    <w:basedOn w:val="DefaultParagraphFont"/>
    <w:link w:val="FootnoteText"/>
    <w:uiPriority w:val="99"/>
    <w:semiHidden/>
    <w:rsid w:val="0049080A"/>
    <w:rPr>
      <w:color w:val="000000"/>
    </w:rPr>
  </w:style>
  <w:style w:type="character" w:customStyle="1" w:styleId="FooterChar">
    <w:name w:val="Footer Char"/>
    <w:basedOn w:val="DefaultParagraphFont"/>
    <w:link w:val="Footer"/>
    <w:uiPriority w:val="99"/>
    <w:rsid w:val="00544B8C"/>
    <w:rPr>
      <w:color w:val="000000"/>
      <w:sz w:val="24"/>
    </w:rPr>
  </w:style>
  <w:style w:type="character" w:customStyle="1" w:styleId="TitleChar">
    <w:name w:val="Title Char"/>
    <w:basedOn w:val="DefaultParagraphFont"/>
    <w:link w:val="Title"/>
    <w:rsid w:val="008C6C8C"/>
    <w:rPr>
      <w:color w:val="000000"/>
      <w:sz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007158">
      <w:bodyDiv w:val="1"/>
      <w:marLeft w:val="0"/>
      <w:marRight w:val="0"/>
      <w:marTop w:val="0"/>
      <w:marBottom w:val="0"/>
      <w:divBdr>
        <w:top w:val="none" w:sz="0" w:space="0" w:color="auto"/>
        <w:left w:val="none" w:sz="0" w:space="0" w:color="auto"/>
        <w:bottom w:val="none" w:sz="0" w:space="0" w:color="auto"/>
        <w:right w:val="none" w:sz="0" w:space="0" w:color="auto"/>
      </w:divBdr>
    </w:div>
    <w:div w:id="1103765987">
      <w:bodyDiv w:val="1"/>
      <w:marLeft w:val="0"/>
      <w:marRight w:val="0"/>
      <w:marTop w:val="0"/>
      <w:marBottom w:val="0"/>
      <w:divBdr>
        <w:top w:val="none" w:sz="0" w:space="0" w:color="auto"/>
        <w:left w:val="none" w:sz="0" w:space="0" w:color="auto"/>
        <w:bottom w:val="none" w:sz="0" w:space="0" w:color="auto"/>
        <w:right w:val="none" w:sz="0" w:space="0" w:color="auto"/>
      </w:divBdr>
    </w:div>
    <w:div w:id="1273395304">
      <w:bodyDiv w:val="1"/>
      <w:marLeft w:val="0"/>
      <w:marRight w:val="0"/>
      <w:marTop w:val="0"/>
      <w:marBottom w:val="0"/>
      <w:divBdr>
        <w:top w:val="none" w:sz="0" w:space="0" w:color="auto"/>
        <w:left w:val="none" w:sz="0" w:space="0" w:color="auto"/>
        <w:bottom w:val="none" w:sz="0" w:space="0" w:color="auto"/>
        <w:right w:val="none" w:sz="0" w:space="0" w:color="auto"/>
      </w:divBdr>
    </w:div>
    <w:div w:id="1543135516">
      <w:bodyDiv w:val="1"/>
      <w:marLeft w:val="0"/>
      <w:marRight w:val="0"/>
      <w:marTop w:val="0"/>
      <w:marBottom w:val="0"/>
      <w:divBdr>
        <w:top w:val="none" w:sz="0" w:space="0" w:color="auto"/>
        <w:left w:val="none" w:sz="0" w:space="0" w:color="auto"/>
        <w:bottom w:val="none" w:sz="0" w:space="0" w:color="auto"/>
        <w:right w:val="none" w:sz="0" w:space="0" w:color="auto"/>
      </w:divBdr>
      <w:divsChild>
        <w:div w:id="421339943">
          <w:marLeft w:val="0"/>
          <w:marRight w:val="0"/>
          <w:marTop w:val="0"/>
          <w:marBottom w:val="0"/>
          <w:divBdr>
            <w:top w:val="none" w:sz="0" w:space="0" w:color="auto"/>
            <w:left w:val="none" w:sz="0" w:space="0" w:color="auto"/>
            <w:bottom w:val="none" w:sz="0" w:space="0" w:color="auto"/>
            <w:right w:val="none" w:sz="0" w:space="0" w:color="auto"/>
          </w:divBdr>
        </w:div>
        <w:div w:id="501700952">
          <w:marLeft w:val="0"/>
          <w:marRight w:val="0"/>
          <w:marTop w:val="0"/>
          <w:marBottom w:val="0"/>
          <w:divBdr>
            <w:top w:val="none" w:sz="0" w:space="0" w:color="auto"/>
            <w:left w:val="none" w:sz="0" w:space="0" w:color="auto"/>
            <w:bottom w:val="none" w:sz="0" w:space="0" w:color="auto"/>
            <w:right w:val="none" w:sz="0" w:space="0" w:color="auto"/>
          </w:divBdr>
        </w:div>
        <w:div w:id="513954123">
          <w:marLeft w:val="0"/>
          <w:marRight w:val="0"/>
          <w:marTop w:val="0"/>
          <w:marBottom w:val="0"/>
          <w:divBdr>
            <w:top w:val="none" w:sz="0" w:space="0" w:color="auto"/>
            <w:left w:val="none" w:sz="0" w:space="0" w:color="auto"/>
            <w:bottom w:val="none" w:sz="0" w:space="0" w:color="auto"/>
            <w:right w:val="none" w:sz="0" w:space="0" w:color="auto"/>
          </w:divBdr>
        </w:div>
        <w:div w:id="854610767">
          <w:marLeft w:val="0"/>
          <w:marRight w:val="0"/>
          <w:marTop w:val="0"/>
          <w:marBottom w:val="0"/>
          <w:divBdr>
            <w:top w:val="none" w:sz="0" w:space="0" w:color="auto"/>
            <w:left w:val="none" w:sz="0" w:space="0" w:color="auto"/>
            <w:bottom w:val="none" w:sz="0" w:space="0" w:color="auto"/>
            <w:right w:val="none" w:sz="0" w:space="0" w:color="auto"/>
          </w:divBdr>
        </w:div>
      </w:divsChild>
    </w:div>
    <w:div w:id="1682733218">
      <w:bodyDiv w:val="1"/>
      <w:marLeft w:val="0"/>
      <w:marRight w:val="0"/>
      <w:marTop w:val="0"/>
      <w:marBottom w:val="0"/>
      <w:divBdr>
        <w:top w:val="none" w:sz="0" w:space="0" w:color="auto"/>
        <w:left w:val="none" w:sz="0" w:space="0" w:color="auto"/>
        <w:bottom w:val="none" w:sz="0" w:space="0" w:color="auto"/>
        <w:right w:val="none" w:sz="0" w:space="0" w:color="auto"/>
      </w:divBdr>
    </w:div>
    <w:div w:id="1751848118">
      <w:bodyDiv w:val="1"/>
      <w:marLeft w:val="0"/>
      <w:marRight w:val="0"/>
      <w:marTop w:val="0"/>
      <w:marBottom w:val="0"/>
      <w:divBdr>
        <w:top w:val="none" w:sz="0" w:space="0" w:color="auto"/>
        <w:left w:val="none" w:sz="0" w:space="0" w:color="auto"/>
        <w:bottom w:val="none" w:sz="0" w:space="0" w:color="auto"/>
        <w:right w:val="none" w:sz="0" w:space="0" w:color="auto"/>
      </w:divBdr>
    </w:div>
    <w:div w:id="1856310540">
      <w:bodyDiv w:val="1"/>
      <w:marLeft w:val="0"/>
      <w:marRight w:val="0"/>
      <w:marTop w:val="0"/>
      <w:marBottom w:val="0"/>
      <w:divBdr>
        <w:top w:val="none" w:sz="0" w:space="0" w:color="auto"/>
        <w:left w:val="none" w:sz="0" w:space="0" w:color="auto"/>
        <w:bottom w:val="none" w:sz="0" w:space="0" w:color="auto"/>
        <w:right w:val="none" w:sz="0" w:space="0" w:color="auto"/>
      </w:divBdr>
      <w:divsChild>
        <w:div w:id="117259457">
          <w:marLeft w:val="0"/>
          <w:marRight w:val="0"/>
          <w:marTop w:val="0"/>
          <w:marBottom w:val="0"/>
          <w:divBdr>
            <w:top w:val="none" w:sz="0" w:space="0" w:color="auto"/>
            <w:left w:val="none" w:sz="0" w:space="0" w:color="auto"/>
            <w:bottom w:val="none" w:sz="0" w:space="0" w:color="auto"/>
            <w:right w:val="none" w:sz="0" w:space="0" w:color="auto"/>
          </w:divBdr>
        </w:div>
        <w:div w:id="355154367">
          <w:marLeft w:val="0"/>
          <w:marRight w:val="0"/>
          <w:marTop w:val="0"/>
          <w:marBottom w:val="0"/>
          <w:divBdr>
            <w:top w:val="none" w:sz="0" w:space="0" w:color="auto"/>
            <w:left w:val="none" w:sz="0" w:space="0" w:color="auto"/>
            <w:bottom w:val="none" w:sz="0" w:space="0" w:color="auto"/>
            <w:right w:val="none" w:sz="0" w:space="0" w:color="auto"/>
          </w:divBdr>
        </w:div>
        <w:div w:id="1201169862">
          <w:marLeft w:val="0"/>
          <w:marRight w:val="0"/>
          <w:marTop w:val="0"/>
          <w:marBottom w:val="0"/>
          <w:divBdr>
            <w:top w:val="none" w:sz="0" w:space="0" w:color="auto"/>
            <w:left w:val="none" w:sz="0" w:space="0" w:color="auto"/>
            <w:bottom w:val="none" w:sz="0" w:space="0" w:color="auto"/>
            <w:right w:val="none" w:sz="0" w:space="0" w:color="auto"/>
          </w:divBdr>
        </w:div>
        <w:div w:id="1329751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http://www.accessdata.fda.gov/scripts/cder/email/drugnotification.cfm" TargetMode="External"/><Relationship Id="rId3" Type="http://schemas.openxmlformats.org/officeDocument/2006/relationships/customXml" Target="../customXml/item3.xml"/><Relationship Id="rId21" Type="http://schemas.openxmlformats.org/officeDocument/2006/relationships/hyperlink" Target="http://www.fda.gov/BiologicsBloodVaccines/SafetyAvailability/Shortages/default.htm" TargetMode="External"/><Relationship Id="rId34" Type="http://schemas.openxmlformats.org/officeDocument/2006/relationships/image" Target="media/image5.tif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www.accessdata.fda.gov/scripts/cder/email/drugnotification.cfm" TargetMode="External"/><Relationship Id="rId33" Type="http://schemas.openxmlformats.org/officeDocument/2006/relationships/image" Target="media/image4.tif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cod@fda.hhs.gov" TargetMode="External"/><Relationship Id="rId20" Type="http://schemas.openxmlformats.org/officeDocument/2006/relationships/footer" Target="foot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da.gov/iceci/criminalinvestigations/ucm182888.htm" TargetMode="External"/><Relationship Id="rId32" Type="http://schemas.openxmlformats.org/officeDocument/2006/relationships/image" Target="media/image3.tiff"/><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da.gov/Drugs/GuidanceComplianceRegulatoryInformation/Guidances/default.htm" TargetMode="External"/><Relationship Id="rId23" Type="http://schemas.openxmlformats.org/officeDocument/2006/relationships/hyperlink" Target="http://www.fda.gov/drugs/resourcesforyou/consumers/buyingusingmedicinesafely/counterfeitmedicine/default.htm" TargetMode="External"/><Relationship Id="rId28" Type="http://schemas.openxmlformats.org/officeDocument/2006/relationships/footer" Target="footer4.xml"/><Relationship Id="rId36"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2.tif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fda.gov/Drugs/DrugSafety/DrugShortages/ucm050792.htm" TargetMode="External"/><Relationship Id="rId27" Type="http://schemas.openxmlformats.org/officeDocument/2006/relationships/header" Target="header4.xml"/><Relationship Id="rId30" Type="http://schemas.openxmlformats.org/officeDocument/2006/relationships/image" Target="media/image1.tiff"/><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02D61FD2BE249847F2B26FAFBB04B" ma:contentTypeVersion="0" ma:contentTypeDescription="Create a new document." ma:contentTypeScope="" ma:versionID="e70c930ea50cc4d797b45e38bf1dc563">
  <xsd:schema xmlns:xsd="http://www.w3.org/2001/XMLSchema" xmlns:xs="http://www.w3.org/2001/XMLSchema" xmlns:p="http://schemas.microsoft.com/office/2006/metadata/properties" xmlns:ns2="9841a54d-413c-4d42-ab6a-9d4c4124c593" targetNamespace="http://schemas.microsoft.com/office/2006/metadata/properties" ma:root="true" ma:fieldsID="a8b3e68dda8f106e726664c1e9d586e4" ns2:_="">
    <xsd:import namespace="9841a54d-413c-4d42-ab6a-9d4c4124c59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1a54d-413c-4d42-ab6a-9d4c4124c59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841a54d-413c-4d42-ab6a-9d4c4124c593">5DSXHXMHUDXD-25-37</_dlc_DocId>
    <_dlc_DocIdUrl xmlns="9841a54d-413c-4d42-ab6a-9d4c4124c593">
      <Url>http://sharepoint.fda.gov/orgs/CDER-ODSIR/DSCSA/DSCSADrug_Notifications/_layouts/DocIdRedir.aspx?ID=5DSXHXMHUDXD-25-37</Url>
      <Description>5DSXHXMHUDXD-25-37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FE7FA-387B-48D8-9DFF-54AAF39FA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1a54d-413c-4d42-ab6a-9d4c4124c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E9E714-2FC0-4C54-872A-36CFAA086F37}">
  <ds:schemaRefs>
    <ds:schemaRef ds:uri="http://schemas.microsoft.com/sharepoint/events"/>
  </ds:schemaRefs>
</ds:datastoreItem>
</file>

<file path=customXml/itemProps3.xml><?xml version="1.0" encoding="utf-8"?>
<ds:datastoreItem xmlns:ds="http://schemas.openxmlformats.org/officeDocument/2006/customXml" ds:itemID="{7EDE6D51-84CC-43E3-9765-107F2791DB44}">
  <ds:schemaRefs>
    <ds:schemaRef ds:uri="http://schemas.microsoft.com/sharepoint/v3/contenttype/forms"/>
  </ds:schemaRefs>
</ds:datastoreItem>
</file>

<file path=customXml/itemProps4.xml><?xml version="1.0" encoding="utf-8"?>
<ds:datastoreItem xmlns:ds="http://schemas.openxmlformats.org/officeDocument/2006/customXml" ds:itemID="{BDE3B1F9-3321-43CE-8CB0-AE733DD36693}">
  <ds:schemaRefs>
    <ds:schemaRef ds:uri="http://schemas.microsoft.com/office/2006/metadata/properties"/>
    <ds:schemaRef ds:uri="http://purl.org/dc/elements/1.1/"/>
    <ds:schemaRef ds:uri="http://www.w3.org/XML/1998/namespac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9841a54d-413c-4d42-ab6a-9d4c4124c593"/>
    <ds:schemaRef ds:uri="http://purl.org/dc/dcmitype/"/>
  </ds:schemaRefs>
</ds:datastoreItem>
</file>

<file path=customXml/itemProps5.xml><?xml version="1.0" encoding="utf-8"?>
<ds:datastoreItem xmlns:ds="http://schemas.openxmlformats.org/officeDocument/2006/customXml" ds:itemID="{688B85F5-83E6-4B40-AD5B-31E767868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6158</Words>
  <Characters>36092</Characters>
  <Application>Microsoft Office Word</Application>
  <DocSecurity>4</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42166</CharactersWithSpaces>
  <SharedDoc>false</SharedDoc>
  <HLinks>
    <vt:vector size="54" baseType="variant">
      <vt:variant>
        <vt:i4>1835084</vt:i4>
      </vt:variant>
      <vt:variant>
        <vt:i4>69</vt:i4>
      </vt:variant>
      <vt:variant>
        <vt:i4>0</vt:i4>
      </vt:variant>
      <vt:variant>
        <vt:i4>5</vt:i4>
      </vt:variant>
      <vt:variant>
        <vt:lpwstr>http://www.accessdata.fda.gov/scripts/cder/email/drugnotification.cfm</vt:lpwstr>
      </vt:variant>
      <vt:variant>
        <vt:lpwstr/>
      </vt:variant>
      <vt:variant>
        <vt:i4>1835084</vt:i4>
      </vt:variant>
      <vt:variant>
        <vt:i4>66</vt:i4>
      </vt:variant>
      <vt:variant>
        <vt:i4>0</vt:i4>
      </vt:variant>
      <vt:variant>
        <vt:i4>5</vt:i4>
      </vt:variant>
      <vt:variant>
        <vt:lpwstr>http://www.accessdata.fda.gov/scripts/cder/email/drugnotification.cfm</vt:lpwstr>
      </vt:variant>
      <vt:variant>
        <vt:lpwstr/>
      </vt:variant>
      <vt:variant>
        <vt:i4>1310800</vt:i4>
      </vt:variant>
      <vt:variant>
        <vt:i4>63</vt:i4>
      </vt:variant>
      <vt:variant>
        <vt:i4>0</vt:i4>
      </vt:variant>
      <vt:variant>
        <vt:i4>5</vt:i4>
      </vt:variant>
      <vt:variant>
        <vt:lpwstr>http://www.fda.gov/iceci/criminalinvestigations/ucm182888.htm</vt:lpwstr>
      </vt:variant>
      <vt:variant>
        <vt:lpwstr/>
      </vt:variant>
      <vt:variant>
        <vt:i4>4325443</vt:i4>
      </vt:variant>
      <vt:variant>
        <vt:i4>60</vt:i4>
      </vt:variant>
      <vt:variant>
        <vt:i4>0</vt:i4>
      </vt:variant>
      <vt:variant>
        <vt:i4>5</vt:i4>
      </vt:variant>
      <vt:variant>
        <vt:lpwstr>http://www.fda.gov/drugs/resourcesforyou/consumers/buyingusingmedicinesafely/counterfeitmedicine/default.htm</vt:lpwstr>
      </vt:variant>
      <vt:variant>
        <vt:lpwstr/>
      </vt:variant>
      <vt:variant>
        <vt:i4>2359333</vt:i4>
      </vt:variant>
      <vt:variant>
        <vt:i4>57</vt:i4>
      </vt:variant>
      <vt:variant>
        <vt:i4>0</vt:i4>
      </vt:variant>
      <vt:variant>
        <vt:i4>5</vt:i4>
      </vt:variant>
      <vt:variant>
        <vt:lpwstr>http://www.fda.gov/Drugs/DrugSafety/DrugShortages/ucm050792.htm</vt:lpwstr>
      </vt:variant>
      <vt:variant>
        <vt:lpwstr/>
      </vt:variant>
      <vt:variant>
        <vt:i4>7340150</vt:i4>
      </vt:variant>
      <vt:variant>
        <vt:i4>54</vt:i4>
      </vt:variant>
      <vt:variant>
        <vt:i4>0</vt:i4>
      </vt:variant>
      <vt:variant>
        <vt:i4>5</vt:i4>
      </vt:variant>
      <vt:variant>
        <vt:lpwstr>http://www.fda.gov/BiologicsBloodVaccines/SafetyAvailability/Shortages/default.htm</vt:lpwstr>
      </vt:variant>
      <vt:variant>
        <vt:lpwstr/>
      </vt:variant>
      <vt:variant>
        <vt:i4>3080241</vt:i4>
      </vt:variant>
      <vt:variant>
        <vt:i4>6</vt:i4>
      </vt:variant>
      <vt:variant>
        <vt:i4>0</vt:i4>
      </vt:variant>
      <vt:variant>
        <vt:i4>5</vt:i4>
      </vt:variant>
      <vt:variant>
        <vt:lpwstr>http://www.fda.gov/BiologicsBloodVaccines/GuidanceComplianceRegulatoryInformation/Guidances/default.htm</vt:lpwstr>
      </vt:variant>
      <vt:variant>
        <vt:lpwstr/>
      </vt:variant>
      <vt:variant>
        <vt:i4>3014719</vt:i4>
      </vt:variant>
      <vt:variant>
        <vt:i4>3</vt:i4>
      </vt:variant>
      <vt:variant>
        <vt:i4>0</vt:i4>
      </vt:variant>
      <vt:variant>
        <vt:i4>5</vt:i4>
      </vt:variant>
      <vt:variant>
        <vt:lpwstr>http://www.fda.gov/Drugs/GuidanceComplianceRegulatoryInformation/Guidances/default.htm</vt:lpwstr>
      </vt:variant>
      <vt:variant>
        <vt:lpwstr/>
      </vt:variant>
      <vt:variant>
        <vt:i4>2818151</vt:i4>
      </vt:variant>
      <vt:variant>
        <vt:i4>0</vt:i4>
      </vt:variant>
      <vt:variant>
        <vt:i4>0</vt:i4>
      </vt:variant>
      <vt:variant>
        <vt:i4>5</vt:i4>
      </vt:variant>
      <vt:variant>
        <vt:lpwstr>http://www.regulations.gov/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2015-09-04T16:45:00Z</dcterms:created>
  <dcterms:modified xsi:type="dcterms:W3CDTF">2015-09-04T16:45:00Z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0x01010004A02D61FD2BE249847F2B26FAFBB04B</vt:lpwstr>
  </property>
  <property fmtid="{D5CDD505-2E9C-101B-9397-08002B2CF9AE}" pid="3" name="_dlc_DocIdItemGuid">
    <vt:lpwstr>0d590d15-2c9c-40da-92b8-4cbbba989357</vt:lpwstr>
  </property>
  <property fmtid="{D5CDD505-2E9C-101B-9397-08002B2CF9AE}" pid="4" name="_NewReviewCycle">
    <vt:lpwstr/>
  </property>
</Properties>
</file>