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49" w:rsidRDefault="002E5249" w:rsidP="002E5249">
      <w:pPr>
        <w:pStyle w:val="NormalWeb"/>
        <w:spacing w:before="0" w:beforeAutospacing="0" w:after="0" w:afterAutospacing="0"/>
        <w:jc w:val="center"/>
        <w:rPr>
          <w:b/>
        </w:rPr>
      </w:pPr>
      <w:r w:rsidRPr="009674E4">
        <w:rPr>
          <w:b/>
        </w:rPr>
        <w:t>A</w:t>
      </w:r>
      <w:r>
        <w:rPr>
          <w:b/>
        </w:rPr>
        <w:t>ttachment G:</w:t>
      </w:r>
    </w:p>
    <w:p w:rsidR="002E5249" w:rsidRDefault="002E5249" w:rsidP="002E5249">
      <w:pPr>
        <w:pStyle w:val="NormalWeb"/>
        <w:spacing w:before="0" w:beforeAutospacing="0" w:after="0" w:afterAutospacing="0"/>
        <w:jc w:val="center"/>
        <w:rPr>
          <w:b/>
        </w:rPr>
      </w:pPr>
    </w:p>
    <w:p w:rsidR="002E5249" w:rsidRDefault="002E5249" w:rsidP="002E5249">
      <w:pPr>
        <w:pStyle w:val="NormalWeb"/>
        <w:spacing w:before="0" w:beforeAutospacing="0" w:after="0" w:afterAutospacing="0"/>
        <w:jc w:val="center"/>
        <w:rPr>
          <w:b/>
        </w:rPr>
      </w:pPr>
      <w:r>
        <w:rPr>
          <w:b/>
        </w:rPr>
        <w:t xml:space="preserve">Informed Consent </w:t>
      </w:r>
    </w:p>
    <w:p w:rsidR="002E5249" w:rsidRPr="00A96177" w:rsidRDefault="002E5249"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46719F" w:rsidRDefault="0046719F" w:rsidP="002E5249">
      <w:pPr>
        <w:widowControl w:val="0"/>
        <w:jc w:val="center"/>
        <w:rPr>
          <w:b/>
          <w:color w:val="000000" w:themeColor="text1"/>
          <w:sz w:val="24"/>
          <w:szCs w:val="24"/>
        </w:rPr>
      </w:pPr>
    </w:p>
    <w:p w:rsidR="00366E07" w:rsidRDefault="00366E07"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Pr="00366E07" w:rsidRDefault="00DA4119" w:rsidP="00DA4119">
      <w:pPr>
        <w:widowControl w:val="0"/>
        <w:rPr>
          <w:b/>
          <w:color w:val="000000" w:themeColor="text1"/>
          <w:sz w:val="24"/>
          <w:szCs w:val="24"/>
        </w:rPr>
      </w:pPr>
    </w:p>
    <w:p w:rsidR="00366E07" w:rsidRDefault="00366E07" w:rsidP="00DA4119">
      <w:pPr>
        <w:widowControl w:val="0"/>
        <w:jc w:val="right"/>
        <w:rPr>
          <w:b/>
          <w:color w:val="000000" w:themeColor="text1"/>
          <w:sz w:val="24"/>
          <w:szCs w:val="24"/>
        </w:rPr>
      </w:pPr>
      <w:r w:rsidRPr="00366E07">
        <w:rPr>
          <w:b/>
          <w:color w:val="000000" w:themeColor="text1"/>
          <w:sz w:val="24"/>
          <w:szCs w:val="24"/>
        </w:rPr>
        <w:t xml:space="preserve">                                                                                                                                                </w:t>
      </w:r>
    </w:p>
    <w:p w:rsidR="00366E07" w:rsidRPr="00366E07" w:rsidRDefault="00DA4119" w:rsidP="00DA4119">
      <w:pPr>
        <w:widowControl w:val="0"/>
        <w:jc w:val="center"/>
        <w:rPr>
          <w:b/>
          <w:color w:val="000000" w:themeColor="text1"/>
          <w:sz w:val="24"/>
          <w:szCs w:val="24"/>
        </w:rPr>
      </w:pPr>
      <w:r>
        <w:rPr>
          <w:b/>
          <w:color w:val="000000" w:themeColor="text1"/>
          <w:sz w:val="24"/>
          <w:szCs w:val="24"/>
        </w:rPr>
        <w:t xml:space="preserve">                                                 </w:t>
      </w:r>
    </w:p>
    <w:p w:rsidR="00366E07" w:rsidRDefault="00366E07" w:rsidP="00DA4119">
      <w:pPr>
        <w:widowControl w:val="0"/>
        <w:jc w:val="right"/>
        <w:rPr>
          <w:b/>
          <w:color w:val="000000" w:themeColor="text1"/>
          <w:sz w:val="24"/>
          <w:szCs w:val="24"/>
        </w:rPr>
      </w:pPr>
      <w:r w:rsidRPr="00366E07">
        <w:rPr>
          <w:b/>
          <w:color w:val="000000" w:themeColor="text1"/>
          <w:sz w:val="24"/>
          <w:szCs w:val="24"/>
        </w:rPr>
        <w:t xml:space="preserve">                                                                                                                                                 </w:t>
      </w:r>
    </w:p>
    <w:p w:rsidR="00366E07" w:rsidRDefault="00366E07" w:rsidP="002E5249">
      <w:pPr>
        <w:widowControl w:val="0"/>
        <w:jc w:val="center"/>
        <w:rPr>
          <w:b/>
          <w:color w:val="000000" w:themeColor="text1"/>
          <w:sz w:val="24"/>
          <w:szCs w:val="24"/>
        </w:rPr>
      </w:pPr>
    </w:p>
    <w:p w:rsidR="00366E07" w:rsidRDefault="00366E07" w:rsidP="002E5249">
      <w:pPr>
        <w:widowControl w:val="0"/>
        <w:jc w:val="center"/>
        <w:rPr>
          <w:b/>
          <w:color w:val="000000" w:themeColor="text1"/>
          <w:sz w:val="24"/>
          <w:szCs w:val="24"/>
        </w:rPr>
      </w:pPr>
    </w:p>
    <w:p w:rsidR="00DA4119" w:rsidRDefault="00DA4119" w:rsidP="00DA4119">
      <w:pPr>
        <w:widowControl w:val="0"/>
        <w:rPr>
          <w:b/>
          <w:color w:val="000000" w:themeColor="text1"/>
          <w:sz w:val="24"/>
          <w:szCs w:val="24"/>
        </w:rPr>
      </w:pPr>
    </w:p>
    <w:p w:rsidR="00DA4119" w:rsidRDefault="00DA4119" w:rsidP="00DA4119">
      <w:pPr>
        <w:widowControl w:val="0"/>
        <w:rPr>
          <w:b/>
          <w:color w:val="000000" w:themeColor="text1"/>
          <w:sz w:val="24"/>
          <w:szCs w:val="24"/>
        </w:rPr>
      </w:pPr>
    </w:p>
    <w:p w:rsidR="00DA4119" w:rsidRPr="000F1AF2" w:rsidRDefault="00DA4119" w:rsidP="00715D4D">
      <w:pPr>
        <w:widowControl w:val="0"/>
        <w:jc w:val="right"/>
        <w:rPr>
          <w:color w:val="000000" w:themeColor="text1"/>
          <w:sz w:val="18"/>
          <w:szCs w:val="18"/>
        </w:rPr>
      </w:pPr>
      <w:bookmarkStart w:id="0" w:name="_GoBack"/>
      <w:r w:rsidRPr="000F1AF2">
        <w:rPr>
          <w:color w:val="000000" w:themeColor="text1"/>
          <w:sz w:val="18"/>
          <w:szCs w:val="18"/>
        </w:rPr>
        <w:lastRenderedPageBreak/>
        <w:t xml:space="preserve">                                       Form Approved</w:t>
      </w:r>
    </w:p>
    <w:p w:rsidR="00DA4119" w:rsidRPr="000F1AF2" w:rsidRDefault="00DA4119" w:rsidP="00715D4D">
      <w:pPr>
        <w:widowControl w:val="0"/>
        <w:jc w:val="right"/>
        <w:rPr>
          <w:color w:val="000000" w:themeColor="text1"/>
          <w:sz w:val="18"/>
          <w:szCs w:val="18"/>
        </w:rPr>
      </w:pPr>
      <w:r w:rsidRPr="000F1AF2">
        <w:rPr>
          <w:color w:val="000000" w:themeColor="text1"/>
          <w:sz w:val="18"/>
          <w:szCs w:val="18"/>
        </w:rPr>
        <w:t xml:space="preserve">                                             OMB No.0920-0949</w:t>
      </w:r>
    </w:p>
    <w:p w:rsidR="00DA4119" w:rsidRPr="000F1AF2" w:rsidRDefault="00DA4119" w:rsidP="00715D4D">
      <w:pPr>
        <w:widowControl w:val="0"/>
        <w:jc w:val="right"/>
        <w:rPr>
          <w:color w:val="000000" w:themeColor="text1"/>
          <w:sz w:val="18"/>
          <w:szCs w:val="18"/>
        </w:rPr>
      </w:pPr>
      <w:r w:rsidRPr="000F1AF2">
        <w:rPr>
          <w:color w:val="000000" w:themeColor="text1"/>
          <w:sz w:val="18"/>
          <w:szCs w:val="18"/>
        </w:rPr>
        <w:t xml:space="preserve">                                                 Exp. Date </w:t>
      </w:r>
      <w:r w:rsidR="004A7ADF">
        <w:rPr>
          <w:color w:val="000000" w:themeColor="text1"/>
          <w:sz w:val="18"/>
          <w:szCs w:val="18"/>
        </w:rPr>
        <w:t>xx/xx/</w:t>
      </w:r>
      <w:proofErr w:type="spellStart"/>
      <w:r w:rsidR="004A7ADF">
        <w:rPr>
          <w:color w:val="000000" w:themeColor="text1"/>
          <w:sz w:val="18"/>
          <w:szCs w:val="18"/>
        </w:rPr>
        <w:t>xxxx</w:t>
      </w:r>
      <w:proofErr w:type="spellEnd"/>
    </w:p>
    <w:bookmarkEnd w:id="0"/>
    <w:p w:rsidR="00DA4119" w:rsidRDefault="00DA4119" w:rsidP="002E5249">
      <w:pPr>
        <w:widowControl w:val="0"/>
        <w:jc w:val="center"/>
        <w:rPr>
          <w:b/>
          <w:color w:val="000000" w:themeColor="text1"/>
          <w:sz w:val="24"/>
          <w:szCs w:val="24"/>
        </w:rPr>
      </w:pPr>
    </w:p>
    <w:p w:rsidR="00DA4119" w:rsidRDefault="00DA4119" w:rsidP="002E5249">
      <w:pPr>
        <w:widowControl w:val="0"/>
        <w:jc w:val="center"/>
        <w:rPr>
          <w:b/>
          <w:color w:val="000000" w:themeColor="text1"/>
          <w:sz w:val="24"/>
          <w:szCs w:val="24"/>
        </w:rPr>
      </w:pPr>
    </w:p>
    <w:p w:rsidR="002E5249" w:rsidRPr="00A96177" w:rsidRDefault="00DA4119" w:rsidP="002E5249">
      <w:pPr>
        <w:widowControl w:val="0"/>
        <w:jc w:val="center"/>
        <w:rPr>
          <w:b/>
          <w:color w:val="000000" w:themeColor="text1"/>
          <w:sz w:val="24"/>
          <w:szCs w:val="24"/>
        </w:rPr>
      </w:pPr>
      <w:r>
        <w:rPr>
          <w:b/>
          <w:color w:val="000000" w:themeColor="text1"/>
          <w:sz w:val="24"/>
          <w:szCs w:val="24"/>
        </w:rPr>
        <w:t xml:space="preserve"> </w:t>
      </w:r>
      <w:r w:rsidR="002E5249" w:rsidRPr="00A96177">
        <w:rPr>
          <w:b/>
          <w:color w:val="000000" w:themeColor="text1"/>
          <w:sz w:val="24"/>
          <w:szCs w:val="24"/>
        </w:rPr>
        <w:t xml:space="preserve">INFORMED CONSENT TO PARTICIPATE IN A LEADING </w:t>
      </w:r>
      <w:r w:rsidR="00366E07">
        <w:rPr>
          <w:b/>
          <w:color w:val="000000" w:themeColor="text1"/>
          <w:sz w:val="24"/>
          <w:szCs w:val="24"/>
        </w:rPr>
        <w:t>INDIC</w:t>
      </w:r>
      <w:r w:rsidR="002E5249" w:rsidRPr="00A96177">
        <w:rPr>
          <w:b/>
          <w:color w:val="000000" w:themeColor="text1"/>
          <w:sz w:val="24"/>
          <w:szCs w:val="24"/>
        </w:rPr>
        <w:t>BENCHMARKING RESEARCH PROJECT</w:t>
      </w:r>
    </w:p>
    <w:p w:rsidR="002E5249" w:rsidRPr="00A96177" w:rsidRDefault="002E5249" w:rsidP="002E5249">
      <w:pPr>
        <w:widowControl w:val="0"/>
        <w:rPr>
          <w:color w:val="000000" w:themeColor="text1"/>
        </w:rPr>
      </w:pPr>
    </w:p>
    <w:p w:rsidR="002E5249" w:rsidRPr="00A96177" w:rsidRDefault="002E5249" w:rsidP="002E5249">
      <w:pPr>
        <w:shd w:val="clear" w:color="auto" w:fill="FFFFFF"/>
        <w:rPr>
          <w:color w:val="000000" w:themeColor="text1"/>
          <w:sz w:val="22"/>
          <w:szCs w:val="22"/>
        </w:rPr>
      </w:pPr>
      <w:r w:rsidRPr="00A96177">
        <w:rPr>
          <w:color w:val="000000" w:themeColor="text1"/>
          <w:sz w:val="22"/>
          <w:szCs w:val="22"/>
        </w:rPr>
        <w:t xml:space="preserve">We would like to invite you to participate in a project being conducted by the University </w:t>
      </w:r>
      <w:proofErr w:type="gramStart"/>
      <w:r w:rsidRPr="00A96177">
        <w:rPr>
          <w:color w:val="000000" w:themeColor="text1"/>
          <w:sz w:val="22"/>
          <w:szCs w:val="22"/>
        </w:rPr>
        <w:t>of Texas School of</w:t>
      </w:r>
      <w:proofErr w:type="gramEnd"/>
      <w:r w:rsidRPr="00A96177">
        <w:rPr>
          <w:color w:val="000000" w:themeColor="text1"/>
          <w:sz w:val="22"/>
          <w:szCs w:val="22"/>
        </w:rPr>
        <w:t xml:space="preserve"> Public Health (UTSPH).  The project is sponsored by the National Institute for Occupational Safety and Health (NIOSH) and the Ohio Bureau of Workers’ Compensation (OBWC).</w:t>
      </w:r>
    </w:p>
    <w:p w:rsidR="002E5249" w:rsidRPr="00A96177" w:rsidRDefault="002E5249" w:rsidP="002E5249">
      <w:pPr>
        <w:shd w:val="clear" w:color="auto" w:fill="FFFFFF"/>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The project’s purpose is to </w:t>
      </w:r>
      <w:r>
        <w:rPr>
          <w:color w:val="000000" w:themeColor="text1"/>
          <w:sz w:val="22"/>
          <w:szCs w:val="22"/>
        </w:rPr>
        <w:t>identify</w:t>
      </w:r>
      <w:r w:rsidRPr="008C5FF4">
        <w:rPr>
          <w:color w:val="000000" w:themeColor="text1"/>
          <w:sz w:val="22"/>
          <w:szCs w:val="22"/>
        </w:rPr>
        <w:t xml:space="preserve"> safety and health practices </w:t>
      </w:r>
      <w:r>
        <w:rPr>
          <w:color w:val="000000" w:themeColor="text1"/>
          <w:sz w:val="22"/>
          <w:szCs w:val="22"/>
        </w:rPr>
        <w:t>that reduce</w:t>
      </w:r>
      <w:r w:rsidRPr="008C5FF4">
        <w:rPr>
          <w:color w:val="000000" w:themeColor="text1"/>
          <w:sz w:val="22"/>
          <w:szCs w:val="22"/>
        </w:rPr>
        <w:t xml:space="preserve"> workers’ compensation claims </w:t>
      </w:r>
      <w:r>
        <w:rPr>
          <w:color w:val="000000" w:themeColor="text1"/>
          <w:sz w:val="22"/>
          <w:szCs w:val="22"/>
        </w:rPr>
        <w:t xml:space="preserve">and costs </w:t>
      </w:r>
      <w:r w:rsidRPr="008C5FF4">
        <w:rPr>
          <w:color w:val="000000" w:themeColor="text1"/>
          <w:sz w:val="22"/>
          <w:szCs w:val="22"/>
        </w:rPr>
        <w:t>for Ohio</w:t>
      </w:r>
      <w:r>
        <w:rPr>
          <w:color w:val="000000" w:themeColor="text1"/>
          <w:sz w:val="22"/>
          <w:szCs w:val="22"/>
        </w:rPr>
        <w:t xml:space="preserve"> </w:t>
      </w:r>
      <w:r w:rsidRPr="008C5FF4">
        <w:rPr>
          <w:color w:val="000000" w:themeColor="text1"/>
          <w:sz w:val="22"/>
          <w:szCs w:val="22"/>
        </w:rPr>
        <w:t>wholesale and retail trade companies</w:t>
      </w:r>
      <w:r>
        <w:rPr>
          <w:color w:val="000000" w:themeColor="text1"/>
          <w:sz w:val="22"/>
          <w:szCs w:val="22"/>
        </w:rPr>
        <w:t xml:space="preserve">. </w:t>
      </w:r>
      <w:r w:rsidRPr="008C5FF4">
        <w:rPr>
          <w:color w:val="000000" w:themeColor="text1"/>
          <w:sz w:val="22"/>
          <w:szCs w:val="22"/>
        </w:rPr>
        <w:t xml:space="preserve"> Identifying safety and health practices associated with reduced claims and costs allows employers to better manage safety and health for improved outcomes.  If you agree to participate:</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pStyle w:val="ListParagraph"/>
        <w:widowControl w:val="0"/>
        <w:numPr>
          <w:ilvl w:val="0"/>
          <w:numId w:val="15"/>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You will be asked to complete a </w:t>
      </w:r>
      <w:r w:rsidRPr="008C5FF4">
        <w:rPr>
          <w:b/>
          <w:color w:val="000000" w:themeColor="text1"/>
          <w:sz w:val="22"/>
          <w:szCs w:val="22"/>
          <w:u w:val="single"/>
        </w:rPr>
        <w:t>12 minute survey</w:t>
      </w:r>
      <w:r w:rsidRPr="008C5FF4">
        <w:rPr>
          <w:color w:val="000000" w:themeColor="text1"/>
          <w:sz w:val="22"/>
          <w:szCs w:val="22"/>
        </w:rPr>
        <w:t xml:space="preserve"> about your company’s safety and health practices and a little about your work background and general company information. </w:t>
      </w:r>
    </w:p>
    <w:p w:rsidR="002E5249" w:rsidRPr="008C5FF4" w:rsidRDefault="002E5249" w:rsidP="002E5249">
      <w:pPr>
        <w:widowControl w:val="0"/>
        <w:numPr>
          <w:ilvl w:val="0"/>
          <w:numId w:val="15"/>
        </w:numPr>
        <w:shd w:val="clear" w:color="auto" w:fill="FFFFFF"/>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bCs/>
          <w:color w:val="000000" w:themeColor="text1"/>
          <w:sz w:val="22"/>
          <w:szCs w:val="22"/>
        </w:rPr>
        <w:t xml:space="preserve">Individual surveys will not be shared with OBWC. </w:t>
      </w:r>
    </w:p>
    <w:p w:rsidR="002E5249" w:rsidRPr="008C5FF4" w:rsidRDefault="002E5249" w:rsidP="002E5249">
      <w:pPr>
        <w:widowControl w:val="0"/>
        <w:numPr>
          <w:ilvl w:val="0"/>
          <w:numId w:val="15"/>
        </w:numPr>
        <w:shd w:val="clear" w:color="auto" w:fill="FFFFFF"/>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The survey data will be compared to past and future workers’ compensation data. Company data will be anonymously pooled with other companies to identify the safety and health practices most likely to reduce workers’ compensation losses. </w:t>
      </w:r>
    </w:p>
    <w:p w:rsidR="002E5249" w:rsidRDefault="002E5249" w:rsidP="002E5249">
      <w:pPr>
        <w:pStyle w:val="ListParagraph"/>
        <w:widowControl w:val="0"/>
        <w:numPr>
          <w:ilvl w:val="0"/>
          <w:numId w:val="15"/>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There is </w:t>
      </w:r>
      <w:r>
        <w:rPr>
          <w:color w:val="000000" w:themeColor="text1"/>
          <w:sz w:val="22"/>
          <w:szCs w:val="22"/>
        </w:rPr>
        <w:t>little</w:t>
      </w:r>
      <w:r w:rsidRPr="008C5FF4">
        <w:rPr>
          <w:color w:val="000000" w:themeColor="text1"/>
          <w:sz w:val="22"/>
          <w:szCs w:val="22"/>
        </w:rPr>
        <w:t xml:space="preserve"> anticipated risk to you from filling out the survey. </w:t>
      </w:r>
      <w:r w:rsidRPr="008C5FF4">
        <w:rPr>
          <w:b/>
          <w:color w:val="000000" w:themeColor="text1"/>
          <w:sz w:val="22"/>
          <w:szCs w:val="22"/>
          <w:u w:val="single"/>
        </w:rPr>
        <w:t>Your name and your company’s name will not be disclosed in any UTSPH, NIOSH or OBWC reports.</w:t>
      </w:r>
      <w:r w:rsidRPr="008C5FF4">
        <w:rPr>
          <w:color w:val="000000" w:themeColor="text1"/>
          <w:sz w:val="22"/>
          <w:szCs w:val="22"/>
        </w:rPr>
        <w:t xml:space="preserve"> Data will be treated in a secure manner and will be protected to the extent provided by law. </w:t>
      </w:r>
    </w:p>
    <w:p w:rsidR="002E5249" w:rsidRPr="00BD54F9" w:rsidRDefault="002E5249" w:rsidP="002E5249">
      <w:pPr>
        <w:pStyle w:val="ListParagraph"/>
        <w:widowControl w:val="0"/>
        <w:numPr>
          <w:ilvl w:val="0"/>
          <w:numId w:val="15"/>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Pr>
          <w:color w:val="000000" w:themeColor="text1"/>
          <w:sz w:val="22"/>
          <w:szCs w:val="22"/>
        </w:rPr>
        <w:t xml:space="preserve">We will ask you to complete a follow-up survey in one year. </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Your participation is voluntary and you may withdraw at any time without consequence to you or your company.</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The new information gained is expected to improve our understanding of the safety and health practices that best prevent injuries and illnesses. There are no immediate direct benefits to you personally from participating.</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 xml:space="preserve">If you have questions about this study, contact David Gimeno at the University </w:t>
      </w:r>
      <w:proofErr w:type="gramStart"/>
      <w:r w:rsidRPr="008C5FF4">
        <w:rPr>
          <w:color w:val="000000" w:themeColor="text1"/>
          <w:sz w:val="22"/>
          <w:szCs w:val="22"/>
        </w:rPr>
        <w:t>of Texas School of</w:t>
      </w:r>
      <w:proofErr w:type="gramEnd"/>
      <w:r w:rsidRPr="008C5FF4">
        <w:rPr>
          <w:color w:val="000000" w:themeColor="text1"/>
          <w:sz w:val="22"/>
          <w:szCs w:val="22"/>
        </w:rPr>
        <w:t xml:space="preserve"> Public Health (UTSPH).  If you have questions about your rights as a member of this study, contact UT Compliance Hotline at 1-888-472-9868, </w:t>
      </w:r>
      <w:hyperlink r:id="rId8" w:history="1">
        <w:r w:rsidRPr="008C5FF4">
          <w:rPr>
            <w:rStyle w:val="Hyperlink"/>
            <w:color w:val="000000" w:themeColor="text1"/>
            <w:sz w:val="22"/>
            <w:szCs w:val="22"/>
          </w:rPr>
          <w:t>www.uthouston.edu/compliance/reporting-issues/hotline.htm</w:t>
        </w:r>
      </w:hyperlink>
      <w:r w:rsidRPr="008C5FF4">
        <w:rPr>
          <w:color w:val="000000" w:themeColor="text1"/>
          <w:sz w:val="22"/>
          <w:szCs w:val="22"/>
        </w:rPr>
        <w:t>, or</w:t>
      </w:r>
      <w:r w:rsidR="006F7155">
        <w:rPr>
          <w:color w:val="000000" w:themeColor="text1"/>
          <w:sz w:val="22"/>
          <w:szCs w:val="22"/>
        </w:rPr>
        <w:t xml:space="preserve"> NIOSH </w:t>
      </w:r>
      <w:r w:rsidRPr="008C5FF4">
        <w:rPr>
          <w:color w:val="000000" w:themeColor="text1"/>
          <w:sz w:val="22"/>
          <w:szCs w:val="22"/>
        </w:rPr>
        <w:t xml:space="preserve">at 513-533-8222, </w:t>
      </w:r>
      <w:hyperlink r:id="rId9" w:history="1">
        <w:r w:rsidR="00694C8F" w:rsidRPr="00AA5FCD">
          <w:rPr>
            <w:rStyle w:val="Hyperlink"/>
            <w:sz w:val="22"/>
            <w:szCs w:val="22"/>
          </w:rPr>
          <w:t>cin-hsrb@cdc.gov</w:t>
        </w:r>
      </w:hyperlink>
      <w:r w:rsidR="00694C8F">
        <w:rPr>
          <w:color w:val="000000" w:themeColor="text1"/>
          <w:sz w:val="22"/>
          <w:szCs w:val="22"/>
        </w:rPr>
        <w:t>.</w:t>
      </w: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noProof/>
          <w:color w:val="000000" w:themeColor="text1"/>
          <w:sz w:val="22"/>
          <w:szCs w:val="22"/>
        </w:rPr>
        <w:drawing>
          <wp:anchor distT="0" distB="0" distL="114300" distR="114300" simplePos="0" relativeHeight="251660288" behindDoc="1" locked="0" layoutInCell="1" allowOverlap="1" wp14:anchorId="22821F10" wp14:editId="74EE70AA">
            <wp:simplePos x="0" y="0"/>
            <wp:positionH relativeFrom="column">
              <wp:posOffset>3197501</wp:posOffset>
            </wp:positionH>
            <wp:positionV relativeFrom="paragraph">
              <wp:posOffset>83185</wp:posOffset>
            </wp:positionV>
            <wp:extent cx="1552575" cy="933450"/>
            <wp:effectExtent l="0" t="0" r="9525" b="0"/>
            <wp:wrapNone/>
            <wp:docPr id="8" name="Picture 8" descr="Description: https://iwhca.us2.qualtrics.com/CP/Graphic.php?IM=IM_9oU8Rq9XHuvQ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s://iwhca.us2.qualtrics.com/CP/Graphic.php?IM=IM_9oU8Rq9XHuvQmb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933450"/>
                    </a:xfrm>
                    <a:prstGeom prst="rect">
                      <a:avLst/>
                    </a:prstGeom>
                    <a:noFill/>
                    <a:ln>
                      <a:noFill/>
                    </a:ln>
                  </pic:spPr>
                </pic:pic>
              </a:graphicData>
            </a:graphic>
          </wp:anchor>
        </w:drawing>
      </w:r>
    </w:p>
    <w:p w:rsidR="002E5249" w:rsidRPr="008C5FF4" w:rsidRDefault="002E5249" w:rsidP="002E5249">
      <w:pPr>
        <w:widowControl w:val="0"/>
        <w:tabs>
          <w:tab w:val="left" w:pos="-1080"/>
          <w:tab w:val="left" w:pos="-720"/>
          <w:tab w:val="left" w:pos="-18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color w:val="000000" w:themeColor="text1"/>
          <w:sz w:val="22"/>
          <w:szCs w:val="22"/>
        </w:rPr>
      </w:pPr>
      <w:r w:rsidRPr="008C5FF4">
        <w:rPr>
          <w:color w:val="000000" w:themeColor="text1"/>
          <w:sz w:val="22"/>
          <w:szCs w:val="22"/>
        </w:rPr>
        <w:t>Thank you,</w:t>
      </w:r>
    </w:p>
    <w:p w:rsidR="002E5249" w:rsidRPr="008C5FF4" w:rsidRDefault="002E5249" w:rsidP="002E5249">
      <w:pPr>
        <w:widowControl w:val="0"/>
        <w:tabs>
          <w:tab w:val="left" w:pos="-1080"/>
          <w:tab w:val="left" w:pos="-720"/>
          <w:tab w:val="left" w:pos="-18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color w:val="000000" w:themeColor="text1"/>
          <w:sz w:val="22"/>
          <w:szCs w:val="22"/>
        </w:rPr>
      </w:pPr>
    </w:p>
    <w:p w:rsidR="002E5249" w:rsidRPr="008C5FF4" w:rsidRDefault="002E5249" w:rsidP="002E5249">
      <w:pPr>
        <w:widowControl w:val="0"/>
        <w:tabs>
          <w:tab w:val="left" w:pos="-1080"/>
          <w:tab w:val="left" w:pos="-720"/>
          <w:tab w:val="left" w:pos="-18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rFonts w:ascii="Arial" w:hAnsi="Arial" w:cs="Arial"/>
          <w:color w:val="000000" w:themeColor="text1"/>
        </w:rPr>
      </w:pPr>
    </w:p>
    <w:p w:rsidR="002E5249" w:rsidRPr="008C5FF4" w:rsidRDefault="002E5249" w:rsidP="002E524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color w:val="000000" w:themeColor="text1"/>
        </w:rPr>
      </w:pPr>
    </w:p>
    <w:tbl>
      <w:tblPr>
        <w:tblStyle w:val="TableGrid"/>
        <w:tblW w:w="95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4"/>
        <w:gridCol w:w="4423"/>
      </w:tblGrid>
      <w:tr w:rsidR="002E5249" w:rsidRPr="008C5FF4" w:rsidTr="004604B3">
        <w:trPr>
          <w:trHeight w:val="1764"/>
          <w:jc w:val="center"/>
        </w:trPr>
        <w:tc>
          <w:tcPr>
            <w:tcW w:w="5144" w:type="dxa"/>
          </w:tcPr>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tc>
        <w:tc>
          <w:tcPr>
            <w:tcW w:w="4423" w:type="dxa"/>
          </w:tcPr>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David Gimeno, Ph.D.</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UTSPH</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7411 John Smith Drive, Suite 1120</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San Antonio, TX 78229</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210-562-5500</w:t>
            </w:r>
          </w:p>
          <w:p w:rsidR="002E5249" w:rsidRPr="008C5FF4" w:rsidRDefault="002E5249"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8C5FF4">
              <w:rPr>
                <w:color w:val="000000" w:themeColor="text1"/>
                <w:sz w:val="22"/>
                <w:szCs w:val="22"/>
              </w:rPr>
              <w:t>David.</w:t>
            </w:r>
            <w:r>
              <w:rPr>
                <w:color w:val="000000" w:themeColor="text1"/>
                <w:sz w:val="22"/>
                <w:szCs w:val="22"/>
              </w:rPr>
              <w:t>G</w:t>
            </w:r>
            <w:r w:rsidRPr="008C5FF4">
              <w:rPr>
                <w:color w:val="000000" w:themeColor="text1"/>
                <w:sz w:val="22"/>
                <w:szCs w:val="22"/>
              </w:rPr>
              <w:t>imeno@uth.tmc.edu</w:t>
            </w:r>
          </w:p>
        </w:tc>
      </w:tr>
    </w:tbl>
    <w:p w:rsidR="00184010" w:rsidRPr="00DA4119" w:rsidRDefault="00184010" w:rsidP="00184010">
      <w:pPr>
        <w:tabs>
          <w:tab w:val="left" w:pos="106"/>
          <w:tab w:val="left" w:pos="586"/>
          <w:tab w:val="left" w:pos="1066"/>
          <w:tab w:val="left" w:pos="1546"/>
          <w:tab w:val="left" w:pos="1786"/>
          <w:tab w:val="left" w:pos="2386"/>
          <w:tab w:val="left" w:pos="2986"/>
          <w:tab w:val="left" w:pos="3586"/>
          <w:tab w:val="left" w:pos="4186"/>
          <w:tab w:val="left" w:pos="6226"/>
        </w:tabs>
        <w:rPr>
          <w:sz w:val="18"/>
          <w:szCs w:val="18"/>
        </w:rPr>
      </w:pPr>
    </w:p>
    <w:p w:rsidR="00184010" w:rsidRPr="00DA4119" w:rsidRDefault="00DA4119" w:rsidP="003C529F">
      <w:pPr>
        <w:pStyle w:val="NormalWeb"/>
        <w:spacing w:before="0" w:beforeAutospacing="0" w:after="0" w:afterAutospacing="0"/>
        <w:jc w:val="center"/>
        <w:rPr>
          <w:sz w:val="18"/>
          <w:szCs w:val="18"/>
        </w:rPr>
      </w:pPr>
      <w:r w:rsidRPr="00DA4119">
        <w:rPr>
          <w:sz w:val="18"/>
          <w:szCs w:val="18"/>
        </w:rPr>
        <w:t>Public reporting burden of this collection of information is estimated to average</w:t>
      </w:r>
      <w:r>
        <w:rPr>
          <w:sz w:val="18"/>
          <w:szCs w:val="18"/>
        </w:rPr>
        <w:t>1</w:t>
      </w:r>
      <w:r w:rsidRPr="00DA4119">
        <w:rPr>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0949</w:t>
      </w:r>
      <w:r w:rsidRPr="00DA4119">
        <w:rPr>
          <w:sz w:val="18"/>
          <w:szCs w:val="18"/>
        </w:rPr>
        <w:t>).</w:t>
      </w:r>
    </w:p>
    <w:sectPr w:rsidR="00184010" w:rsidRPr="00DA4119" w:rsidSect="006C09E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0A2" w:rsidRDefault="003950A2" w:rsidP="00F23221">
      <w:r>
        <w:separator/>
      </w:r>
    </w:p>
  </w:endnote>
  <w:endnote w:type="continuationSeparator" w:id="0">
    <w:p w:rsidR="003950A2" w:rsidRDefault="003950A2"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0A2" w:rsidRDefault="003950A2" w:rsidP="00F23221">
      <w:r>
        <w:separator/>
      </w:r>
    </w:p>
  </w:footnote>
  <w:footnote w:type="continuationSeparator" w:id="0">
    <w:p w:rsidR="003950A2" w:rsidRDefault="003950A2"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E07" w:rsidRDefault="00F23221" w:rsidP="00366E07">
    <w:pPr>
      <w:pStyle w:val="Header"/>
    </w:pPr>
    <w:r>
      <w:t xml:space="preserve">                                                                                                                               </w:t>
    </w:r>
    <w:r w:rsidR="00FF6D83">
      <w:t xml:space="preserve">                  </w:t>
    </w:r>
  </w:p>
  <w:p w:rsidR="00F23221" w:rsidRDefault="00F23221" w:rsidP="00F23221">
    <w:pPr>
      <w:pStyle w:val="Header"/>
    </w:pPr>
    <w:r>
      <w:ptab w:relativeTo="margin" w:alignment="right" w:leader="none"/>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87710F"/>
    <w:multiLevelType w:val="hybridMultilevel"/>
    <w:tmpl w:val="5E322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9" w15:restartNumberingAfterBreak="0">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2" w15:restartNumberingAfterBreak="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4"/>
  </w:num>
  <w:num w:numId="2">
    <w:abstractNumId w:val="4"/>
  </w:num>
  <w:num w:numId="3">
    <w:abstractNumId w:val="7"/>
  </w:num>
  <w:num w:numId="4">
    <w:abstractNumId w:val="5"/>
  </w:num>
  <w:num w:numId="5">
    <w:abstractNumId w:val="9"/>
  </w:num>
  <w:num w:numId="6">
    <w:abstractNumId w:val="11"/>
  </w:num>
  <w:num w:numId="7">
    <w:abstractNumId w:val="13"/>
  </w:num>
  <w:num w:numId="8">
    <w:abstractNumId w:val="10"/>
  </w:num>
  <w:num w:numId="9">
    <w:abstractNumId w:val="1"/>
  </w:num>
  <w:num w:numId="10">
    <w:abstractNumId w:val="12"/>
  </w:num>
  <w:num w:numId="11">
    <w:abstractNumId w:val="6"/>
  </w:num>
  <w:num w:numId="12">
    <w:abstractNumId w:val="3"/>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7A"/>
    <w:rsid w:val="00050C79"/>
    <w:rsid w:val="000716E4"/>
    <w:rsid w:val="00097A88"/>
    <w:rsid w:val="000A3F31"/>
    <w:rsid w:val="000B7A2E"/>
    <w:rsid w:val="000F1AF2"/>
    <w:rsid w:val="001032C1"/>
    <w:rsid w:val="00184010"/>
    <w:rsid w:val="001D3C22"/>
    <w:rsid w:val="00200D72"/>
    <w:rsid w:val="002A337A"/>
    <w:rsid w:val="002E5249"/>
    <w:rsid w:val="00366E07"/>
    <w:rsid w:val="003950A2"/>
    <w:rsid w:val="003B0B44"/>
    <w:rsid w:val="003C529F"/>
    <w:rsid w:val="004145E7"/>
    <w:rsid w:val="0046719F"/>
    <w:rsid w:val="004A7ADF"/>
    <w:rsid w:val="004D0B4F"/>
    <w:rsid w:val="004D2791"/>
    <w:rsid w:val="00500EB4"/>
    <w:rsid w:val="00694C8F"/>
    <w:rsid w:val="006C09E9"/>
    <w:rsid w:val="006E1938"/>
    <w:rsid w:val="006F7155"/>
    <w:rsid w:val="00715D4D"/>
    <w:rsid w:val="0073052F"/>
    <w:rsid w:val="008D0466"/>
    <w:rsid w:val="00917968"/>
    <w:rsid w:val="00A716DF"/>
    <w:rsid w:val="00AD2E4F"/>
    <w:rsid w:val="00C03543"/>
    <w:rsid w:val="00CA708F"/>
    <w:rsid w:val="00CF2E33"/>
    <w:rsid w:val="00D90037"/>
    <w:rsid w:val="00DA4119"/>
    <w:rsid w:val="00DF6E07"/>
    <w:rsid w:val="00E124C1"/>
    <w:rsid w:val="00EA2339"/>
    <w:rsid w:val="00F2322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338D7A7-3C18-402D-984E-FB169EBC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uiPriority w:val="99"/>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 w:type="table" w:styleId="TableGrid">
    <w:name w:val="Table Grid"/>
    <w:basedOn w:val="TableNormal"/>
    <w:uiPriority w:val="59"/>
    <w:rsid w:val="002E5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basedOn w:val="DefaultParagraphFont"/>
    <w:rsid w:val="002E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houston.edu/compliance/reporting-issues/hotlin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in-hsr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E6BD6-12E3-4E35-A38D-ED54ACE5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srw3</dc:creator>
  <cp:lastModifiedBy>Wurzelbacher, Steven J. (CDC/NIOSH/DSHEFS)</cp:lastModifiedBy>
  <cp:revision>8</cp:revision>
  <dcterms:created xsi:type="dcterms:W3CDTF">2015-09-23T17:18:00Z</dcterms:created>
  <dcterms:modified xsi:type="dcterms:W3CDTF">2015-09-23T17:20:00Z</dcterms:modified>
</cp:coreProperties>
</file>