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31" w:rsidRPr="00DB7312" w:rsidRDefault="00A83131" w:rsidP="00A83131">
      <w:pPr>
        <w:spacing w:after="0" w:line="312" w:lineRule="atLeast"/>
        <w:rPr>
          <w:rFonts w:eastAsia="Times New Roman" w:cstheme="minorHAnsi"/>
          <w:b/>
          <w:bCs/>
          <w:color w:val="000000"/>
          <w:sz w:val="20"/>
          <w:szCs w:val="20"/>
        </w:rPr>
      </w:pPr>
      <w:r w:rsidRPr="00DB7312">
        <w:rPr>
          <w:rFonts w:eastAsia="Times New Roman" w:cstheme="minorHAnsi"/>
          <w:b/>
          <w:bCs/>
          <w:color w:val="000000"/>
          <w:sz w:val="20"/>
          <w:szCs w:val="20"/>
        </w:rPr>
        <w:t xml:space="preserve">Attachment </w:t>
      </w:r>
      <w:r w:rsidR="002579DF" w:rsidRPr="00DB7312">
        <w:rPr>
          <w:rFonts w:eastAsia="Times New Roman" w:cstheme="minorHAnsi"/>
          <w:b/>
          <w:bCs/>
          <w:color w:val="000000"/>
          <w:sz w:val="20"/>
          <w:szCs w:val="20"/>
        </w:rPr>
        <w:t>1</w:t>
      </w:r>
      <w:r w:rsidRPr="00DB7312">
        <w:rPr>
          <w:rFonts w:eastAsia="Times New Roman" w:cstheme="minorHAnsi"/>
          <w:b/>
          <w:bCs/>
          <w:color w:val="000000"/>
          <w:sz w:val="20"/>
          <w:szCs w:val="20"/>
        </w:rPr>
        <w:t xml:space="preserve"> </w:t>
      </w:r>
      <w:r w:rsidR="00104884" w:rsidRPr="00DB7312">
        <w:rPr>
          <w:rFonts w:eastAsia="Times New Roman" w:cstheme="minorHAnsi"/>
          <w:b/>
          <w:bCs/>
          <w:color w:val="000000"/>
          <w:sz w:val="20"/>
          <w:szCs w:val="20"/>
        </w:rPr>
        <w:t>–</w:t>
      </w:r>
      <w:r w:rsidRPr="00DB7312">
        <w:rPr>
          <w:rFonts w:eastAsia="Times New Roman" w:cstheme="minorHAnsi"/>
          <w:b/>
          <w:bCs/>
          <w:color w:val="000000"/>
          <w:sz w:val="20"/>
          <w:szCs w:val="20"/>
        </w:rPr>
        <w:t xml:space="preserve"> </w:t>
      </w:r>
      <w:r w:rsidR="00104884" w:rsidRPr="00DB7312">
        <w:rPr>
          <w:rFonts w:eastAsia="Times New Roman" w:cstheme="minorHAnsi"/>
          <w:b/>
          <w:bCs/>
          <w:color w:val="000000"/>
          <w:sz w:val="20"/>
          <w:szCs w:val="20"/>
        </w:rPr>
        <w:t xml:space="preserve">MEPS-HC </w:t>
      </w:r>
      <w:r w:rsidR="007733A8" w:rsidRPr="00DB7312">
        <w:rPr>
          <w:rFonts w:eastAsia="Times New Roman" w:cstheme="minorHAnsi"/>
          <w:b/>
          <w:bCs/>
          <w:color w:val="000000"/>
          <w:sz w:val="20"/>
          <w:szCs w:val="20"/>
        </w:rPr>
        <w:t xml:space="preserve">Section Summary and </w:t>
      </w:r>
      <w:r w:rsidR="00104884" w:rsidRPr="00DB7312">
        <w:rPr>
          <w:rFonts w:eastAsia="Times New Roman" w:cstheme="minorHAnsi"/>
          <w:b/>
          <w:bCs/>
          <w:color w:val="000000"/>
          <w:sz w:val="20"/>
          <w:szCs w:val="20"/>
        </w:rPr>
        <w:t>Chang</w:t>
      </w:r>
      <w:bookmarkStart w:id="0" w:name="_GoBack"/>
      <w:bookmarkEnd w:id="0"/>
      <w:r w:rsidR="00104884" w:rsidRPr="00DB7312">
        <w:rPr>
          <w:rFonts w:eastAsia="Times New Roman" w:cstheme="minorHAnsi"/>
          <w:b/>
          <w:bCs/>
          <w:color w:val="000000"/>
          <w:sz w:val="20"/>
          <w:szCs w:val="20"/>
        </w:rPr>
        <w:t>es</w:t>
      </w:r>
    </w:p>
    <w:p w:rsidR="00A83131" w:rsidRPr="00DB7312" w:rsidRDefault="00A83131" w:rsidP="00A83131">
      <w:pPr>
        <w:spacing w:after="0" w:line="312" w:lineRule="atLeast"/>
        <w:rPr>
          <w:rFonts w:eastAsia="Times New Roman" w:cstheme="minorHAnsi"/>
          <w:b/>
          <w:bCs/>
          <w:color w:val="000000"/>
          <w:sz w:val="20"/>
          <w:szCs w:val="20"/>
        </w:rPr>
      </w:pPr>
    </w:p>
    <w:p w:rsidR="00A83131" w:rsidRDefault="00A83131" w:rsidP="00A83131">
      <w:pPr>
        <w:spacing w:after="0" w:line="312" w:lineRule="atLeast"/>
        <w:rPr>
          <w:rFonts w:eastAsia="Times New Roman" w:cstheme="minorHAnsi"/>
          <w:bCs/>
          <w:color w:val="000000"/>
          <w:sz w:val="20"/>
          <w:szCs w:val="20"/>
        </w:rPr>
      </w:pPr>
      <w:r w:rsidRPr="00DB7312">
        <w:rPr>
          <w:rFonts w:eastAsia="Times New Roman" w:cstheme="minorHAnsi"/>
          <w:b/>
          <w:bCs/>
          <w:color w:val="000000"/>
          <w:sz w:val="20"/>
          <w:szCs w:val="20"/>
        </w:rPr>
        <w:t xml:space="preserve">Summary of questionnaire sections </w:t>
      </w:r>
      <w:r w:rsidR="00104884" w:rsidRPr="00DB7312">
        <w:rPr>
          <w:rFonts w:eastAsia="Times New Roman" w:cstheme="minorHAnsi"/>
          <w:b/>
          <w:bCs/>
          <w:color w:val="000000"/>
          <w:sz w:val="20"/>
          <w:szCs w:val="20"/>
        </w:rPr>
        <w:t>and changes for the MEPS-HC since the previous OMB clearance</w:t>
      </w:r>
      <w:r w:rsidR="00F237A4" w:rsidRPr="00F564F0">
        <w:rPr>
          <w:rFonts w:eastAsia="Times New Roman" w:cstheme="minorHAnsi"/>
          <w:bCs/>
          <w:color w:val="000000"/>
          <w:sz w:val="20"/>
          <w:szCs w:val="20"/>
        </w:rPr>
        <w:t xml:space="preserve">.  </w:t>
      </w:r>
      <w:r w:rsidR="004E3C84">
        <w:rPr>
          <w:rFonts w:eastAsia="Times New Roman" w:cstheme="minorHAnsi"/>
          <w:bCs/>
          <w:color w:val="000000"/>
          <w:sz w:val="20"/>
          <w:szCs w:val="20"/>
        </w:rPr>
        <w:t xml:space="preserve">The only update to </w:t>
      </w:r>
      <w:r w:rsidR="00F564F0" w:rsidRPr="00F564F0">
        <w:rPr>
          <w:rFonts w:eastAsia="Times New Roman" w:cstheme="minorHAnsi"/>
          <w:bCs/>
          <w:color w:val="000000"/>
          <w:sz w:val="20"/>
          <w:szCs w:val="20"/>
        </w:rPr>
        <w:t>the MEPS instrument</w:t>
      </w:r>
      <w:r w:rsidR="0048536B">
        <w:rPr>
          <w:rFonts w:eastAsia="Times New Roman" w:cstheme="minorHAnsi"/>
          <w:bCs/>
          <w:color w:val="000000"/>
          <w:sz w:val="20"/>
          <w:szCs w:val="20"/>
        </w:rPr>
        <w:t xml:space="preserve"> since the last OMB clearance </w:t>
      </w:r>
      <w:r w:rsidR="004E3C84">
        <w:rPr>
          <w:rFonts w:eastAsia="Times New Roman" w:cstheme="minorHAnsi"/>
          <w:bCs/>
          <w:color w:val="000000"/>
          <w:sz w:val="20"/>
          <w:szCs w:val="20"/>
        </w:rPr>
        <w:t>in early 2015 has to do with measures related to</w:t>
      </w:r>
      <w:r w:rsidR="00F564F0" w:rsidRPr="00F564F0">
        <w:rPr>
          <w:rFonts w:eastAsia="Times New Roman" w:cstheme="minorHAnsi"/>
          <w:bCs/>
          <w:color w:val="000000"/>
          <w:sz w:val="20"/>
          <w:szCs w:val="20"/>
        </w:rPr>
        <w:t xml:space="preserve"> the A</w:t>
      </w:r>
      <w:r w:rsidR="00E652D7">
        <w:rPr>
          <w:rFonts w:eastAsia="Times New Roman" w:cstheme="minorHAnsi"/>
          <w:bCs/>
          <w:color w:val="000000"/>
          <w:sz w:val="20"/>
          <w:szCs w:val="20"/>
        </w:rPr>
        <w:t>ffordable Care Act (A</w:t>
      </w:r>
      <w:r w:rsidR="00F564F0" w:rsidRPr="00F564F0">
        <w:rPr>
          <w:rFonts w:eastAsia="Times New Roman" w:cstheme="minorHAnsi"/>
          <w:bCs/>
          <w:color w:val="000000"/>
          <w:sz w:val="20"/>
          <w:szCs w:val="20"/>
        </w:rPr>
        <w:t>CA</w:t>
      </w:r>
      <w:r w:rsidR="00E652D7">
        <w:rPr>
          <w:rFonts w:eastAsia="Times New Roman" w:cstheme="minorHAnsi"/>
          <w:bCs/>
          <w:color w:val="000000"/>
          <w:sz w:val="20"/>
          <w:szCs w:val="20"/>
        </w:rPr>
        <w:t>)</w:t>
      </w:r>
      <w:r w:rsidR="00F564F0" w:rsidRPr="00F564F0">
        <w:rPr>
          <w:rFonts w:eastAsia="Times New Roman" w:cstheme="minorHAnsi"/>
          <w:bCs/>
          <w:color w:val="000000"/>
          <w:sz w:val="20"/>
          <w:szCs w:val="20"/>
        </w:rPr>
        <w:t xml:space="preserve">.  </w:t>
      </w:r>
      <w:r w:rsidR="004E3C84">
        <w:rPr>
          <w:rFonts w:eastAsia="Times New Roman" w:cstheme="minorHAnsi"/>
          <w:bCs/>
          <w:color w:val="000000"/>
          <w:sz w:val="20"/>
          <w:szCs w:val="20"/>
        </w:rPr>
        <w:t>Specifically, we expanded the universe of persons eligible to answer two questions already part of the MEPS instrument.  These two items are identified in the table below.    Below the table</w:t>
      </w:r>
      <w:r w:rsidR="00F564F0" w:rsidRPr="00F564F0">
        <w:rPr>
          <w:rFonts w:eastAsia="Times New Roman" w:cstheme="minorHAnsi"/>
          <w:bCs/>
          <w:color w:val="000000"/>
          <w:sz w:val="20"/>
          <w:szCs w:val="20"/>
        </w:rPr>
        <w:t>, t</w:t>
      </w:r>
      <w:r w:rsidR="00F237A4" w:rsidRPr="00F564F0">
        <w:rPr>
          <w:rFonts w:eastAsia="Times New Roman" w:cstheme="minorHAnsi"/>
          <w:bCs/>
          <w:color w:val="000000"/>
          <w:sz w:val="20"/>
          <w:szCs w:val="20"/>
        </w:rPr>
        <w:t>he</w:t>
      </w:r>
      <w:r w:rsidR="00F237A4" w:rsidRPr="00DB7312">
        <w:rPr>
          <w:rFonts w:eastAsia="Times New Roman" w:cstheme="minorHAnsi"/>
          <w:bCs/>
          <w:color w:val="000000"/>
          <w:sz w:val="20"/>
          <w:szCs w:val="20"/>
        </w:rPr>
        <w:t xml:space="preserve"> </w:t>
      </w:r>
      <w:r w:rsidR="004E3C84">
        <w:rPr>
          <w:rFonts w:eastAsia="Times New Roman" w:cstheme="minorHAnsi"/>
          <w:bCs/>
          <w:color w:val="000000"/>
          <w:sz w:val="20"/>
          <w:szCs w:val="20"/>
        </w:rPr>
        <w:t xml:space="preserve">remaining </w:t>
      </w:r>
      <w:r w:rsidR="00F237A4" w:rsidRPr="00DB7312">
        <w:rPr>
          <w:rFonts w:eastAsia="Times New Roman" w:cstheme="minorHAnsi"/>
          <w:bCs/>
          <w:color w:val="000000"/>
          <w:sz w:val="20"/>
          <w:szCs w:val="20"/>
        </w:rPr>
        <w:t>sections are listed in alphabetical order.</w:t>
      </w:r>
      <w:r w:rsidR="00663024">
        <w:rPr>
          <w:rFonts w:eastAsia="Times New Roman" w:cstheme="minorHAnsi"/>
          <w:bCs/>
          <w:color w:val="000000"/>
          <w:sz w:val="20"/>
          <w:szCs w:val="20"/>
        </w:rPr>
        <w:t xml:space="preserve">  However, no changes were made to any other section of the instrument since the last OMB submission. </w:t>
      </w:r>
    </w:p>
    <w:p w:rsidR="00F564F0" w:rsidRDefault="00F564F0" w:rsidP="00A83131">
      <w:pPr>
        <w:spacing w:after="0" w:line="312" w:lineRule="atLeast"/>
        <w:rPr>
          <w:rFonts w:eastAsia="Times New Roman" w:cstheme="minorHAnsi"/>
          <w:bCs/>
          <w:color w:val="000000"/>
          <w:sz w:val="20"/>
          <w:szCs w:val="20"/>
        </w:rPr>
      </w:pPr>
    </w:p>
    <w:p w:rsidR="00F564F0" w:rsidRDefault="00F564F0" w:rsidP="00F564F0">
      <w:pPr>
        <w:spacing w:after="0"/>
        <w:rPr>
          <w:rFonts w:eastAsia="Times New Roman" w:cstheme="minorHAnsi"/>
          <w:b/>
          <w:bCs/>
          <w:color w:val="000000"/>
          <w:sz w:val="20"/>
          <w:szCs w:val="20"/>
        </w:rPr>
      </w:pPr>
      <w:r>
        <w:rPr>
          <w:rFonts w:eastAsia="Times New Roman" w:cstheme="minorHAnsi"/>
          <w:b/>
          <w:bCs/>
          <w:color w:val="000000"/>
          <w:sz w:val="20"/>
          <w:szCs w:val="20"/>
        </w:rPr>
        <w:t xml:space="preserve">Questions </w:t>
      </w:r>
      <w:r w:rsidR="00682248">
        <w:rPr>
          <w:rFonts w:eastAsia="Times New Roman" w:cstheme="minorHAnsi"/>
          <w:b/>
          <w:bCs/>
          <w:color w:val="000000"/>
          <w:sz w:val="20"/>
          <w:szCs w:val="20"/>
        </w:rPr>
        <w:t>updated in</w:t>
      </w:r>
      <w:r>
        <w:rPr>
          <w:rFonts w:eastAsia="Times New Roman" w:cstheme="minorHAnsi"/>
          <w:b/>
          <w:bCs/>
          <w:color w:val="000000"/>
          <w:sz w:val="20"/>
          <w:szCs w:val="20"/>
        </w:rPr>
        <w:t xml:space="preserve"> the MEPS instrument </w:t>
      </w:r>
      <w:r w:rsidR="00682248">
        <w:rPr>
          <w:rFonts w:eastAsia="Times New Roman" w:cstheme="minorHAnsi"/>
          <w:b/>
          <w:bCs/>
          <w:color w:val="000000"/>
          <w:sz w:val="20"/>
          <w:szCs w:val="20"/>
        </w:rPr>
        <w:t xml:space="preserve">- </w:t>
      </w:r>
      <w:r>
        <w:rPr>
          <w:rFonts w:eastAsia="Times New Roman" w:cstheme="minorHAnsi"/>
          <w:b/>
          <w:bCs/>
          <w:color w:val="000000"/>
          <w:sz w:val="20"/>
          <w:szCs w:val="20"/>
        </w:rPr>
        <w:t>related to the ACA</w:t>
      </w:r>
    </w:p>
    <w:tbl>
      <w:tblPr>
        <w:tblStyle w:val="TableGrid"/>
        <w:tblW w:w="0" w:type="auto"/>
        <w:tblCellMar>
          <w:left w:w="115" w:type="dxa"/>
          <w:bottom w:w="115" w:type="dxa"/>
          <w:right w:w="115" w:type="dxa"/>
        </w:tblCellMar>
        <w:tblLook w:val="04A0" w:firstRow="1" w:lastRow="0" w:firstColumn="1" w:lastColumn="0" w:noHBand="0" w:noVBand="1"/>
      </w:tblPr>
      <w:tblGrid>
        <w:gridCol w:w="1055"/>
        <w:gridCol w:w="4119"/>
        <w:gridCol w:w="2681"/>
        <w:gridCol w:w="2790"/>
      </w:tblGrid>
      <w:tr w:rsidR="00663024" w:rsidRPr="00CE72BC" w:rsidTr="00663024">
        <w:trPr>
          <w:trHeight w:val="359"/>
          <w:tblHeader/>
        </w:trPr>
        <w:tc>
          <w:tcPr>
            <w:tcW w:w="1055" w:type="dxa"/>
            <w:vAlign w:val="center"/>
          </w:tcPr>
          <w:p w:rsidR="00663024" w:rsidRPr="00CE72BC" w:rsidRDefault="00663024"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4119" w:type="dxa"/>
            <w:vAlign w:val="center"/>
          </w:tcPr>
          <w:p w:rsidR="00663024" w:rsidRPr="00CE72BC" w:rsidRDefault="00663024"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r>
              <w:rPr>
                <w:rFonts w:eastAsia="Times New Roman" w:cstheme="minorHAnsi"/>
                <w:b/>
                <w:color w:val="000000"/>
                <w:sz w:val="18"/>
                <w:szCs w:val="18"/>
              </w:rPr>
              <w:t>/Source</w:t>
            </w:r>
          </w:p>
        </w:tc>
        <w:tc>
          <w:tcPr>
            <w:tcW w:w="2681" w:type="dxa"/>
          </w:tcPr>
          <w:p w:rsidR="00663024" w:rsidRPr="00CE72BC" w:rsidRDefault="00663024" w:rsidP="008052A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Previous Population</w:t>
            </w:r>
          </w:p>
        </w:tc>
        <w:tc>
          <w:tcPr>
            <w:tcW w:w="2790" w:type="dxa"/>
          </w:tcPr>
          <w:p w:rsidR="00663024" w:rsidRDefault="00663024" w:rsidP="008052A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Expanded Population</w:t>
            </w:r>
          </w:p>
        </w:tc>
      </w:tr>
      <w:tr w:rsidR="000922A3" w:rsidRPr="00CE72BC" w:rsidTr="00663024">
        <w:tblPrEx>
          <w:tblCellMar>
            <w:left w:w="108" w:type="dxa"/>
            <w:bottom w:w="0" w:type="dxa"/>
            <w:right w:w="108" w:type="dxa"/>
          </w:tblCellMar>
        </w:tblPrEx>
        <w:trPr>
          <w:trHeight w:val="116"/>
        </w:trPr>
        <w:tc>
          <w:tcPr>
            <w:tcW w:w="1055" w:type="dxa"/>
          </w:tcPr>
          <w:p w:rsidR="000922A3" w:rsidRPr="00CE72BC" w:rsidRDefault="000922A3" w:rsidP="0048536B">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RJ08AA</w:t>
            </w:r>
          </w:p>
        </w:tc>
        <w:tc>
          <w:tcPr>
            <w:tcW w:w="4119" w:type="dxa"/>
          </w:tcPr>
          <w:p w:rsidR="000922A3" w:rsidRPr="00CE72BC" w:rsidRDefault="000922A3" w:rsidP="00655EFB">
            <w:pPr>
              <w:rPr>
                <w:rFonts w:eastAsia="Times New Roman" w:cstheme="minorHAnsi"/>
                <w:color w:val="000000"/>
                <w:sz w:val="18"/>
                <w:szCs w:val="18"/>
              </w:rPr>
            </w:pPr>
            <w:r>
              <w:rPr>
                <w:rFonts w:ascii="Segoe UI" w:hAnsi="Segoe UI" w:cs="Segoe UI"/>
                <w:color w:val="444444"/>
                <w:sz w:val="20"/>
                <w:szCs w:val="20"/>
              </w:rPr>
              <w:t>{Were/Was} {you/{PERSON}} offered health insurance through {ESTABLISHMENT}?</w:t>
            </w:r>
            <w:r>
              <w:rPr>
                <w:rFonts w:ascii="Segoe UI" w:hAnsi="Segoe UI" w:cs="Segoe UI"/>
                <w:color w:val="444444"/>
                <w:sz w:val="20"/>
                <w:szCs w:val="20"/>
              </w:rPr>
              <w:br/>
            </w:r>
            <w:r>
              <w:rPr>
                <w:rFonts w:ascii="Segoe UI" w:hAnsi="Segoe UI" w:cs="Segoe UI"/>
                <w:color w:val="444444"/>
                <w:sz w:val="20"/>
                <w:szCs w:val="20"/>
              </w:rPr>
              <w:br/>
            </w:r>
            <w:r>
              <w:rPr>
                <w:rFonts w:ascii="Segoe UI" w:hAnsi="Segoe UI" w:cs="Segoe UI"/>
                <w:color w:val="444444"/>
                <w:sz w:val="20"/>
                <w:szCs w:val="20"/>
              </w:rPr>
              <w:br/>
            </w:r>
            <w:r>
              <w:rPr>
                <w:sz w:val="18"/>
                <w:szCs w:val="18"/>
              </w:rPr>
              <w:t>Source: Existing MEPS question</w:t>
            </w:r>
          </w:p>
        </w:tc>
        <w:tc>
          <w:tcPr>
            <w:tcW w:w="2681" w:type="dxa"/>
          </w:tcPr>
          <w:p w:rsidR="000922A3" w:rsidRPr="00C55F65" w:rsidRDefault="000922A3" w:rsidP="002D7D3A">
            <w:pPr>
              <w:rPr>
                <w:rFonts w:ascii="Calibri" w:eastAsiaTheme="minorHAnsi" w:hAnsi="Calibri"/>
                <w:sz w:val="18"/>
                <w:szCs w:val="18"/>
              </w:rPr>
            </w:pPr>
            <w:r w:rsidRPr="00C55F65">
              <w:rPr>
                <w:sz w:val="18"/>
                <w:szCs w:val="18"/>
              </w:rPr>
              <w:t xml:space="preserve">All person-job pairs created in previous round where the person still works at a job that did not offer health insurance previously and the person still does not receive insurance in the current round from that job. </w:t>
            </w:r>
          </w:p>
        </w:tc>
        <w:tc>
          <w:tcPr>
            <w:tcW w:w="2790" w:type="dxa"/>
          </w:tcPr>
          <w:p w:rsidR="000922A3" w:rsidRPr="00C55F65" w:rsidRDefault="000922A3" w:rsidP="002D7D3A">
            <w:pPr>
              <w:rPr>
                <w:rFonts w:ascii="Calibri" w:eastAsiaTheme="minorHAnsi" w:hAnsi="Calibri"/>
                <w:sz w:val="18"/>
                <w:szCs w:val="18"/>
              </w:rPr>
            </w:pPr>
            <w:r w:rsidRPr="00C55F65">
              <w:rPr>
                <w:sz w:val="18"/>
                <w:szCs w:val="18"/>
              </w:rPr>
              <w:t>Will now also ask for:</w:t>
            </w:r>
          </w:p>
          <w:p w:rsidR="000922A3" w:rsidRPr="00C55F65" w:rsidRDefault="000922A3" w:rsidP="002D7D3A">
            <w:pPr>
              <w:pStyle w:val="ListParagraph"/>
              <w:numPr>
                <w:ilvl w:val="0"/>
                <w:numId w:val="2"/>
              </w:numPr>
              <w:ind w:left="360"/>
              <w:rPr>
                <w:sz w:val="18"/>
                <w:szCs w:val="18"/>
              </w:rPr>
            </w:pPr>
            <w:r w:rsidRPr="00C55F65">
              <w:rPr>
                <w:sz w:val="18"/>
                <w:szCs w:val="18"/>
              </w:rPr>
              <w:t xml:space="preserve">Person-job pairs continued from a previous round, but insurance through that job stopped in the previous round </w:t>
            </w:r>
          </w:p>
          <w:p w:rsidR="000922A3" w:rsidRPr="00C55F65" w:rsidRDefault="000922A3" w:rsidP="002D7D3A">
            <w:pPr>
              <w:pStyle w:val="ListParagraph"/>
              <w:numPr>
                <w:ilvl w:val="0"/>
                <w:numId w:val="2"/>
              </w:numPr>
              <w:ind w:left="360"/>
              <w:rPr>
                <w:rFonts w:eastAsia="Times New Roman"/>
                <w:sz w:val="18"/>
                <w:szCs w:val="18"/>
              </w:rPr>
            </w:pPr>
            <w:r w:rsidRPr="00C55F65">
              <w:rPr>
                <w:sz w:val="18"/>
                <w:szCs w:val="18"/>
              </w:rPr>
              <w:t>Person-job pairs continued from a previous round, and the person was offered insurance through this job in a previous round, but it was not taken</w:t>
            </w:r>
          </w:p>
        </w:tc>
      </w:tr>
      <w:tr w:rsidR="000922A3" w:rsidRPr="00CE72BC" w:rsidTr="00663024">
        <w:tblPrEx>
          <w:tblCellMar>
            <w:left w:w="108" w:type="dxa"/>
            <w:bottom w:w="0" w:type="dxa"/>
            <w:right w:w="108" w:type="dxa"/>
          </w:tblCellMar>
        </w:tblPrEx>
        <w:trPr>
          <w:trHeight w:val="116"/>
        </w:trPr>
        <w:tc>
          <w:tcPr>
            <w:tcW w:w="1055" w:type="dxa"/>
          </w:tcPr>
          <w:p w:rsidR="000922A3" w:rsidRPr="00CE72BC" w:rsidRDefault="000922A3" w:rsidP="0048536B">
            <w:pPr>
              <w:tabs>
                <w:tab w:val="left" w:pos="360"/>
                <w:tab w:val="left" w:pos="1440"/>
              </w:tabs>
              <w:rPr>
                <w:rFonts w:eastAsia="Times New Roman" w:cstheme="minorHAnsi"/>
                <w:color w:val="000000"/>
                <w:sz w:val="18"/>
                <w:szCs w:val="18"/>
              </w:rPr>
            </w:pPr>
            <w:r>
              <w:rPr>
                <w:rFonts w:ascii="Segoe UI" w:hAnsi="Segoe UI" w:cs="Segoe UI"/>
                <w:color w:val="444444"/>
                <w:sz w:val="20"/>
                <w:szCs w:val="20"/>
              </w:rPr>
              <w:t>RJ08AAA:</w:t>
            </w:r>
          </w:p>
        </w:tc>
        <w:tc>
          <w:tcPr>
            <w:tcW w:w="4119" w:type="dxa"/>
          </w:tcPr>
          <w:p w:rsidR="000922A3" w:rsidRDefault="000922A3" w:rsidP="00655EFB">
            <w:pPr>
              <w:rPr>
                <w:rFonts w:cs="Courier New"/>
                <w:sz w:val="18"/>
                <w:szCs w:val="18"/>
              </w:rPr>
            </w:pPr>
            <w:r>
              <w:rPr>
                <w:rFonts w:ascii="Segoe UI" w:hAnsi="Segoe UI" w:cs="Segoe UI"/>
                <w:color w:val="444444"/>
                <w:sz w:val="20"/>
                <w:szCs w:val="20"/>
              </w:rPr>
              <w:t>Was health insurance offered to any employees at {ESTABLISHMENT}?</w:t>
            </w:r>
          </w:p>
          <w:p w:rsidR="000922A3" w:rsidRDefault="000922A3" w:rsidP="00422606">
            <w:pPr>
              <w:tabs>
                <w:tab w:val="left" w:pos="360"/>
                <w:tab w:val="left" w:pos="1440"/>
              </w:tabs>
              <w:rPr>
                <w:rFonts w:eastAsia="Times New Roman" w:cstheme="minorHAnsi"/>
                <w:color w:val="000000"/>
                <w:sz w:val="18"/>
                <w:szCs w:val="18"/>
              </w:rPr>
            </w:pPr>
          </w:p>
          <w:p w:rsidR="000922A3" w:rsidRPr="00CE72BC" w:rsidRDefault="000922A3" w:rsidP="00422606">
            <w:pPr>
              <w:tabs>
                <w:tab w:val="left" w:pos="360"/>
                <w:tab w:val="left" w:pos="1440"/>
              </w:tabs>
              <w:rPr>
                <w:rFonts w:eastAsia="Times New Roman" w:cstheme="minorHAnsi"/>
                <w:color w:val="000000"/>
                <w:sz w:val="18"/>
                <w:szCs w:val="18"/>
              </w:rPr>
            </w:pPr>
            <w:r>
              <w:rPr>
                <w:sz w:val="18"/>
                <w:szCs w:val="18"/>
              </w:rPr>
              <w:t>Source: Existing MEPS question</w:t>
            </w:r>
          </w:p>
        </w:tc>
        <w:tc>
          <w:tcPr>
            <w:tcW w:w="2681" w:type="dxa"/>
          </w:tcPr>
          <w:p w:rsidR="000922A3" w:rsidRPr="002F21F4" w:rsidRDefault="000922A3" w:rsidP="002D7D3A">
            <w:pPr>
              <w:spacing w:line="240" w:lineRule="atLeast"/>
              <w:rPr>
                <w:sz w:val="18"/>
                <w:szCs w:val="18"/>
              </w:rPr>
            </w:pPr>
            <w:r>
              <w:rPr>
                <w:rFonts w:eastAsia="Times New Roman" w:cstheme="minorHAnsi"/>
                <w:color w:val="000000"/>
                <w:sz w:val="18"/>
                <w:szCs w:val="18"/>
              </w:rPr>
              <w:t>All ‘No’ responses to RJ08AA</w:t>
            </w:r>
          </w:p>
        </w:tc>
        <w:tc>
          <w:tcPr>
            <w:tcW w:w="2790" w:type="dxa"/>
          </w:tcPr>
          <w:p w:rsidR="000922A3" w:rsidRDefault="000922A3" w:rsidP="002D7D3A">
            <w:pPr>
              <w:spacing w:line="240" w:lineRule="atLeast"/>
              <w:rPr>
                <w:sz w:val="18"/>
                <w:szCs w:val="18"/>
              </w:rPr>
            </w:pPr>
            <w:r>
              <w:rPr>
                <w:rFonts w:eastAsia="Times New Roman" w:cstheme="minorHAnsi"/>
                <w:color w:val="000000"/>
                <w:sz w:val="18"/>
                <w:szCs w:val="18"/>
              </w:rPr>
              <w:t xml:space="preserve">All ‘No’ responses to RJ08AA </w:t>
            </w:r>
            <w:r w:rsidRPr="00663024">
              <w:rPr>
                <w:rFonts w:eastAsia="Times New Roman" w:cstheme="minorHAnsi"/>
                <w:i/>
                <w:color w:val="000000"/>
                <w:sz w:val="18"/>
                <w:szCs w:val="18"/>
              </w:rPr>
              <w:t>(consistent with previously followed skip logic)</w:t>
            </w:r>
          </w:p>
        </w:tc>
      </w:tr>
    </w:tbl>
    <w:p w:rsidR="00F564F0" w:rsidRPr="00DB7312" w:rsidRDefault="00F564F0" w:rsidP="00A83131">
      <w:pPr>
        <w:spacing w:after="0" w:line="312" w:lineRule="atLeast"/>
        <w:rPr>
          <w:rFonts w:eastAsia="Times New Roman" w:cstheme="minorHAnsi"/>
          <w:color w:val="000000"/>
          <w:sz w:val="20"/>
          <w:szCs w:val="20"/>
        </w:rPr>
      </w:pPr>
    </w:p>
    <w:p w:rsidR="00A83131" w:rsidRPr="00DB7312" w:rsidRDefault="00A20CF4" w:rsidP="00A83131">
      <w:pPr>
        <w:spacing w:after="0" w:line="312" w:lineRule="atLeast"/>
        <w:rPr>
          <w:rFonts w:eastAsia="Times New Roman" w:cstheme="minorHAnsi"/>
          <w:color w:val="000000"/>
          <w:sz w:val="20"/>
          <w:szCs w:val="20"/>
        </w:rPr>
      </w:pPr>
      <w:r>
        <w:rPr>
          <w:rFonts w:eastAsia="Times New Roman" w:cstheme="minorHAnsi"/>
          <w:color w:val="000000"/>
          <w:sz w:val="20"/>
          <w:szCs w:val="20"/>
        </w:rPr>
        <w:pict>
          <v:rect id="_x0000_i1025" style="width:0;height:.75pt" o:hralign="center" o:hrstd="t" o:hr="t" fillcolor="#aca899" stroked="f"/>
        </w:pict>
      </w:r>
    </w:p>
    <w:p w:rsidR="004C4254"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MEPS-HC questionnaires for Rounds 1–5 consist of many individual sections. Listed below is a brief description of each section, including changes that have been </w:t>
      </w:r>
      <w:r w:rsidR="007733A8" w:rsidRPr="00DB7312">
        <w:rPr>
          <w:rFonts w:eastAsia="Times New Roman" w:cstheme="minorHAnsi"/>
          <w:color w:val="000000"/>
          <w:sz w:val="20"/>
          <w:szCs w:val="20"/>
        </w:rPr>
        <w:t xml:space="preserve">made </w:t>
      </w:r>
      <w:r w:rsidR="00104884" w:rsidRPr="00DB7312">
        <w:rPr>
          <w:rFonts w:eastAsia="Times New Roman" w:cstheme="minorHAnsi"/>
          <w:color w:val="000000"/>
          <w:sz w:val="20"/>
          <w:szCs w:val="20"/>
        </w:rPr>
        <w:t>since the last OMB clearance</w:t>
      </w:r>
      <w:r w:rsidRPr="00DB7312">
        <w:rPr>
          <w:rFonts w:eastAsia="Times New Roman" w:cstheme="minorHAnsi"/>
          <w:color w:val="000000"/>
          <w:sz w:val="20"/>
          <w:szCs w:val="20"/>
        </w:rPr>
        <w:t xml:space="preserve">. </w:t>
      </w:r>
    </w:p>
    <w:p w:rsidR="004C4254" w:rsidRDefault="00A83131" w:rsidP="004C4254">
      <w:pPr>
        <w:spacing w:after="0"/>
        <w:rPr>
          <w:rFonts w:eastAsia="Times New Roman" w:cstheme="minorHAnsi"/>
          <w:b/>
          <w:bCs/>
          <w:color w:val="000000"/>
          <w:sz w:val="20"/>
          <w:szCs w:val="20"/>
        </w:rPr>
      </w:pPr>
      <w:r w:rsidRPr="00CE72BC">
        <w:rPr>
          <w:rFonts w:eastAsia="Times New Roman" w:cstheme="minorHAnsi"/>
          <w:b/>
          <w:bCs/>
          <w:color w:val="000000"/>
          <w:sz w:val="20"/>
          <w:szCs w:val="20"/>
        </w:rPr>
        <w:t>Access to Care (AC)</w:t>
      </w:r>
    </w:p>
    <w:p w:rsidR="00104884" w:rsidRDefault="00A83131" w:rsidP="00655EFB">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supplemental </w:t>
      </w:r>
      <w:r w:rsidRPr="00341F9C">
        <w:rPr>
          <w:rFonts w:eastAsia="Times New Roman" w:cstheme="minorHAnsi"/>
          <w:bCs/>
          <w:color w:val="000000"/>
          <w:sz w:val="20"/>
          <w:szCs w:val="20"/>
        </w:rPr>
        <w:t>section</w:t>
      </w:r>
      <w:r w:rsidRPr="00DB7312">
        <w:rPr>
          <w:rFonts w:eastAsia="Times New Roman" w:cstheme="minorHAnsi"/>
          <w:color w:val="000000"/>
          <w:sz w:val="20"/>
          <w:szCs w:val="20"/>
        </w:rPr>
        <w:t>, asked in Rounds 2 and 4, identifies whether each household member has a medical provider who provides the usual source of care (USC), reasons why members without a USC do not have a USC, various aspects of satisfaction with usual care providers, and problems a household may have experienced in obtaining needed health care. </w:t>
      </w:r>
      <w:r w:rsidR="00F237A4" w:rsidRPr="00DB7312">
        <w:rPr>
          <w:rFonts w:eastAsia="Times New Roman" w:cstheme="minorHAnsi"/>
          <w:color w:val="000000"/>
          <w:sz w:val="20"/>
          <w:szCs w:val="20"/>
        </w:rPr>
        <w:t>I</w:t>
      </w:r>
      <w:r w:rsidRPr="00DB7312">
        <w:rPr>
          <w:rFonts w:eastAsia="Times New Roman" w:cstheme="minorHAnsi"/>
          <w:color w:val="000000"/>
          <w:sz w:val="20"/>
          <w:szCs w:val="20"/>
        </w:rPr>
        <w:t xml:space="preserve">t </w:t>
      </w:r>
      <w:r w:rsidR="00F237A4" w:rsidRPr="00DB7312">
        <w:rPr>
          <w:rFonts w:eastAsia="Times New Roman" w:cstheme="minorHAnsi"/>
          <w:color w:val="000000"/>
          <w:sz w:val="20"/>
          <w:szCs w:val="20"/>
        </w:rPr>
        <w:t xml:space="preserve">also includes questions </w:t>
      </w:r>
      <w:r w:rsidRPr="00DB7312">
        <w:rPr>
          <w:rFonts w:eastAsia="Times New Roman" w:cstheme="minorHAnsi"/>
          <w:color w:val="000000"/>
          <w:sz w:val="20"/>
          <w:szCs w:val="20"/>
        </w:rPr>
        <w:t>on possible language barri</w:t>
      </w:r>
      <w:r w:rsidR="00F237A4" w:rsidRPr="00DB7312">
        <w:rPr>
          <w:rFonts w:eastAsia="Times New Roman" w:cstheme="minorHAnsi"/>
          <w:color w:val="000000"/>
          <w:sz w:val="20"/>
          <w:szCs w:val="20"/>
        </w:rPr>
        <w:t>ers to health care and specific</w:t>
      </w:r>
      <w:r w:rsidRPr="00DB7312">
        <w:rPr>
          <w:rFonts w:eastAsia="Times New Roman" w:cstheme="minorHAnsi"/>
          <w:color w:val="000000"/>
          <w:sz w:val="20"/>
          <w:szCs w:val="20"/>
        </w:rPr>
        <w:t xml:space="preserve"> problems any household member </w:t>
      </w:r>
      <w:r w:rsidR="00F237A4" w:rsidRPr="00DB7312">
        <w:rPr>
          <w:rFonts w:eastAsia="Times New Roman" w:cstheme="minorHAnsi"/>
          <w:color w:val="000000"/>
          <w:sz w:val="20"/>
          <w:szCs w:val="20"/>
        </w:rPr>
        <w:t xml:space="preserve">may have </w:t>
      </w:r>
      <w:r w:rsidRPr="00DB7312">
        <w:rPr>
          <w:rFonts w:eastAsia="Times New Roman" w:cstheme="minorHAnsi"/>
          <w:color w:val="000000"/>
          <w:sz w:val="20"/>
          <w:szCs w:val="20"/>
        </w:rPr>
        <w:t>experienced in obtaining needed health, dental, or pr</w:t>
      </w:r>
      <w:r w:rsidR="00F237A4" w:rsidRPr="00DB7312">
        <w:rPr>
          <w:rFonts w:eastAsia="Times New Roman" w:cstheme="minorHAnsi"/>
          <w:color w:val="000000"/>
          <w:sz w:val="20"/>
          <w:szCs w:val="20"/>
        </w:rPr>
        <w:t>escription medicine care</w:t>
      </w:r>
      <w:r w:rsidRPr="00DB7312">
        <w:rPr>
          <w:rFonts w:eastAsia="Times New Roman" w:cstheme="minorHAnsi"/>
          <w:color w:val="000000"/>
          <w:sz w:val="20"/>
          <w:szCs w:val="20"/>
        </w:rPr>
        <w:t xml:space="preserv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C4254" w:rsidRDefault="003E6413" w:rsidP="004C4254">
      <w:pPr>
        <w:spacing w:after="0"/>
        <w:rPr>
          <w:rFonts w:eastAsia="Times New Roman" w:cstheme="minorHAnsi"/>
          <w:b/>
          <w:bCs/>
          <w:color w:val="000000"/>
          <w:sz w:val="20"/>
          <w:szCs w:val="20"/>
        </w:rPr>
      </w:pPr>
      <w:r w:rsidRPr="004A2B7D">
        <w:rPr>
          <w:rFonts w:eastAsia="Times New Roman" w:cstheme="minorHAnsi"/>
          <w:b/>
          <w:bCs/>
          <w:color w:val="000000"/>
          <w:sz w:val="20"/>
          <w:szCs w:val="20"/>
        </w:rPr>
        <w:t>Adult Self-Administered Questionnaire (Adult SAQ)</w:t>
      </w:r>
      <w:r w:rsidR="004C4254">
        <w:rPr>
          <w:rFonts w:eastAsia="Times New Roman" w:cstheme="minorHAnsi"/>
          <w:b/>
          <w:bCs/>
          <w:color w:val="000000"/>
          <w:sz w:val="20"/>
          <w:szCs w:val="20"/>
        </w:rPr>
        <w:t xml:space="preserve"> </w:t>
      </w:r>
    </w:p>
    <w:p w:rsidR="003E6413" w:rsidRDefault="003E6413" w:rsidP="00341F9C">
      <w:pPr>
        <w:spacing w:line="240" w:lineRule="auto"/>
        <w:rPr>
          <w:rFonts w:eastAsia="Times New Roman" w:cstheme="minorHAnsi"/>
          <w:bCs/>
          <w:color w:val="000000"/>
          <w:sz w:val="20"/>
          <w:szCs w:val="20"/>
        </w:rPr>
      </w:pPr>
      <w:r w:rsidRPr="00DB7312">
        <w:rPr>
          <w:rFonts w:eastAsia="Times New Roman" w:cstheme="minorHAnsi"/>
          <w:bCs/>
          <w:color w:val="000000"/>
          <w:sz w:val="20"/>
          <w:szCs w:val="20"/>
        </w:rPr>
        <w:t xml:space="preserve">A brief self-administered questionnaire (SAQ) will be used to collect self-reported (rather than through household proxy) information on health status, health </w:t>
      </w:r>
      <w:r w:rsidRPr="00341F9C">
        <w:rPr>
          <w:rFonts w:eastAsia="Times New Roman" w:cstheme="minorHAnsi"/>
          <w:color w:val="000000"/>
          <w:sz w:val="20"/>
          <w:szCs w:val="20"/>
        </w:rPr>
        <w:t>opinions</w:t>
      </w:r>
      <w:r w:rsidRPr="00DB7312">
        <w:rPr>
          <w:rFonts w:eastAsia="Times New Roman" w:cstheme="minorHAnsi"/>
          <w:bCs/>
          <w:color w:val="000000"/>
          <w:sz w:val="20"/>
          <w:szCs w:val="20"/>
        </w:rPr>
        <w:t xml:space="preserve"> and satisfaction with health care for adults 18 and older.  The satisfaction with health care items are a subset of items from the Consumer Assessment of Healthcare Providers and Systems (CAHPS).  The health status items are the Short Form 12 Version 2 (SF-12 version 2), which has been widely used as a measure of self-reported health status in the United States, the Kessler Index (K6) of non-specific psychological distress, and the Patient Health Questionnaire (PHQ-2)</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C4254" w:rsidRDefault="00D94606"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t>Assets (AS)</w:t>
      </w:r>
      <w:r w:rsidR="004C4254">
        <w:rPr>
          <w:rFonts w:eastAsia="Times New Roman" w:cstheme="minorHAnsi"/>
          <w:color w:val="000000"/>
          <w:sz w:val="20"/>
          <w:szCs w:val="20"/>
        </w:rPr>
        <w:t xml:space="preserve"> </w:t>
      </w:r>
    </w:p>
    <w:p w:rsidR="00D94606"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To supplement financial data collected in the Income section, the Assets supplemental section, asked in Round 5, asks about household members' real estate, businesses, vehicles, investments, other assets, and debts.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C4254" w:rsidRDefault="00A83131" w:rsidP="00EE542D">
      <w:pPr>
        <w:keepNext/>
        <w:keepLines/>
        <w:spacing w:after="0"/>
        <w:rPr>
          <w:rFonts w:eastAsia="Times New Roman" w:cstheme="minorHAnsi"/>
          <w:b/>
          <w:bCs/>
          <w:color w:val="000000"/>
          <w:sz w:val="20"/>
          <w:szCs w:val="20"/>
        </w:rPr>
      </w:pPr>
      <w:r w:rsidRPr="00DB7312">
        <w:rPr>
          <w:rFonts w:eastAsia="Times New Roman" w:cstheme="minorHAnsi"/>
          <w:b/>
          <w:bCs/>
          <w:color w:val="000000"/>
          <w:sz w:val="20"/>
          <w:szCs w:val="20"/>
        </w:rPr>
        <w:lastRenderedPageBreak/>
        <w:t>Calendar Section (CA)</w:t>
      </w:r>
      <w:r w:rsidR="004C4254">
        <w:rPr>
          <w:rFonts w:eastAsia="Times New Roman" w:cstheme="minorHAnsi"/>
          <w:b/>
          <w:bCs/>
          <w:color w:val="000000"/>
          <w:sz w:val="20"/>
          <w:szCs w:val="20"/>
        </w:rPr>
        <w:t xml:space="preserve"> </w:t>
      </w:r>
    </w:p>
    <w:p w:rsidR="005B1F4A" w:rsidRDefault="00A83131" w:rsidP="00EE542D">
      <w:pPr>
        <w:keepNext/>
        <w:keepLines/>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monitors the use of a health events calendar provided to the respondent during the MEPS pre-contact interview for use in recording visits to medical providers and medical places. This information determines the household's path through the sections of the questionnaire that collect information on medical events.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E3C84" w:rsidRDefault="004E3C84" w:rsidP="005612EA">
      <w:pPr>
        <w:spacing w:after="0"/>
        <w:rPr>
          <w:rFonts w:eastAsia="Times New Roman" w:cstheme="minorHAnsi"/>
          <w:b/>
          <w:bCs/>
          <w:color w:val="000000"/>
          <w:sz w:val="20"/>
          <w:szCs w:val="20"/>
        </w:rPr>
      </w:pPr>
    </w:p>
    <w:p w:rsidR="004C4254" w:rsidRPr="00CE72BC" w:rsidRDefault="00D94606"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Charge Payment (CP)</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Charge Payment section tracks total charges and sources of payment for medical events reported in earlier sections. The section obtains specific information for each medical event reported on total charges, copayments, out-of-pocket payments, insurance payments, reimbursements, discounts, disallowed amounts, balance due, and other sources of payment. Additionally, it clarifies how prescription medicine claims are processed</w:t>
      </w:r>
      <w:r w:rsidR="001130C2" w:rsidRPr="00CE72BC">
        <w:rPr>
          <w:rFonts w:eastAsia="Times New Roman" w:cstheme="minorHAnsi"/>
          <w:color w:val="000000"/>
          <w:sz w:val="20"/>
          <w:szCs w:val="20"/>
        </w:rPr>
        <w:t>, including q</w:t>
      </w:r>
      <w:r w:rsidRPr="00CE72BC">
        <w:rPr>
          <w:rFonts w:eastAsia="Times New Roman" w:cstheme="minorHAnsi"/>
          <w:color w:val="000000"/>
          <w:sz w:val="20"/>
          <w:szCs w:val="20"/>
        </w:rPr>
        <w:t>uestions about third party payers for prescription me</w:t>
      </w:r>
      <w:r w:rsidR="001130C2" w:rsidRPr="00CE72BC">
        <w:rPr>
          <w:rFonts w:eastAsia="Times New Roman" w:cstheme="minorHAnsi"/>
          <w:color w:val="000000"/>
          <w:sz w:val="20"/>
          <w:szCs w:val="20"/>
        </w:rPr>
        <w:t>dicines</w:t>
      </w:r>
      <w:r w:rsidRPr="00CE72BC">
        <w:rPr>
          <w:rFonts w:eastAsia="Times New Roman" w:cstheme="minorHAnsi"/>
          <w:color w:val="000000"/>
          <w:sz w:val="20"/>
          <w:szCs w:val="20"/>
        </w:rPr>
        <w:t xml:space="preserv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55EFB" w:rsidRDefault="00655EFB" w:rsidP="005612EA">
      <w:pPr>
        <w:spacing w:after="0"/>
        <w:rPr>
          <w:rFonts w:eastAsia="Times New Roman" w:cstheme="minorHAnsi"/>
          <w:b/>
          <w:bCs/>
          <w:color w:val="000000"/>
          <w:sz w:val="20"/>
          <w:szCs w:val="20"/>
        </w:rPr>
      </w:pPr>
    </w:p>
    <w:p w:rsidR="004C4254"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Child Preventive Health (CS)</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This supplemental section, asked in Rounds 2 and 4, collects information on general health status, special health care needs, potential behavioral problems, accessibility to health care, preventative care, height, and weight of any child in the family</w:t>
      </w:r>
      <w:r w:rsidR="005F1649" w:rsidRPr="00CE72BC">
        <w:rPr>
          <w:rFonts w:eastAsia="Times New Roman" w:cstheme="minorHAnsi"/>
          <w:color w:val="000000"/>
          <w:sz w:val="20"/>
          <w:szCs w:val="20"/>
        </w:rPr>
        <w:t>.</w:t>
      </w:r>
      <w:r w:rsidRPr="00CE72BC">
        <w:rPr>
          <w:rFonts w:eastAsia="Times New Roman" w:cstheme="minorHAnsi"/>
          <w:color w:val="000000"/>
          <w:sz w:val="20"/>
          <w:szCs w:val="20"/>
        </w:rPr>
        <w:t xml:space="preserv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55EFB" w:rsidRDefault="00655EFB" w:rsidP="005612EA">
      <w:pPr>
        <w:spacing w:after="0"/>
        <w:rPr>
          <w:rFonts w:eastAsia="Times New Roman" w:cstheme="minorHAnsi"/>
          <w:b/>
          <w:bCs/>
          <w:color w:val="000000"/>
          <w:sz w:val="20"/>
          <w:szCs w:val="20"/>
        </w:rPr>
      </w:pPr>
    </w:p>
    <w:p w:rsidR="0098712B"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Closing (CL)</w:t>
      </w:r>
    </w:p>
    <w:p w:rsidR="00DF37B3" w:rsidRPr="00CE72BC" w:rsidRDefault="00DF37B3" w:rsidP="00341F9C">
      <w:pPr>
        <w:spacing w:line="240" w:lineRule="auto"/>
        <w:rPr>
          <w:rFonts w:eastAsia="Times New Roman" w:cstheme="minorHAnsi"/>
          <w:b/>
          <w:bCs/>
          <w:color w:val="000000"/>
          <w:sz w:val="20"/>
          <w:szCs w:val="20"/>
        </w:rPr>
      </w:pPr>
      <w:r w:rsidRPr="00CE72BC">
        <w:rPr>
          <w:rFonts w:eastAsia="Times New Roman" w:cstheme="minorHAnsi"/>
          <w:color w:val="000000"/>
          <w:sz w:val="20"/>
          <w:szCs w:val="20"/>
        </w:rPr>
        <w:t>At the end of each round</w:t>
      </w:r>
      <w:r w:rsidR="00A83131" w:rsidRPr="00CE72BC">
        <w:rPr>
          <w:rFonts w:eastAsia="Times New Roman" w:cstheme="minorHAnsi"/>
          <w:color w:val="000000"/>
          <w:sz w:val="20"/>
          <w:szCs w:val="20"/>
        </w:rPr>
        <w:t>s interview, participants are asked to provide written authorization for the MEPS to collect additional information from the medical providers, insurance providers, and employers identified throughout each interview. The Closing section facilitates the completion of authorization forms for each unique person-provider pair and each unique person-establishment pair. During subsequent rounds of data colle</w:t>
      </w:r>
      <w:r w:rsidR="005F1649" w:rsidRPr="00CE72BC">
        <w:rPr>
          <w:rFonts w:eastAsia="Times New Roman" w:cstheme="minorHAnsi"/>
          <w:color w:val="000000"/>
          <w:sz w:val="20"/>
          <w:szCs w:val="20"/>
        </w:rPr>
        <w:t>ction, the MEPS-</w:t>
      </w:r>
      <w:r w:rsidR="00A83131" w:rsidRPr="00CE72BC">
        <w:rPr>
          <w:rFonts w:eastAsia="Times New Roman" w:cstheme="minorHAnsi"/>
          <w:color w:val="000000"/>
          <w:sz w:val="20"/>
          <w:szCs w:val="20"/>
        </w:rPr>
        <w:t>MPC on the medical visits directly from medical providers based on the authorization specified in these forms. This section also prompts the distribution of the Self Administered Questionnaire (SAQ) and Diabetes Care Survey (DCS). In addition, this section verifies the contact information for the household for use in the next interview and accounts for memory aids that were used by the household membe</w:t>
      </w:r>
      <w:r w:rsidRPr="00CE72BC">
        <w:rPr>
          <w:rFonts w:eastAsia="Times New Roman" w:cstheme="minorHAnsi"/>
          <w:color w:val="000000"/>
          <w:sz w:val="20"/>
          <w:szCs w:val="20"/>
        </w:rPr>
        <w:t>rs throughout the current round</w:t>
      </w:r>
      <w:r w:rsidR="00A83131" w:rsidRPr="00CE72BC">
        <w:rPr>
          <w:rFonts w:eastAsia="Times New Roman" w:cstheme="minorHAnsi"/>
          <w:color w:val="000000"/>
          <w:sz w:val="20"/>
          <w:szCs w:val="20"/>
        </w:rPr>
        <w:t>s interview. </w:t>
      </w:r>
    </w:p>
    <w:p w:rsidR="004E3C84" w:rsidRDefault="004E3C84" w:rsidP="004E3C84">
      <w:pPr>
        <w:spacing w:line="240" w:lineRule="auto"/>
        <w:rPr>
          <w:rFonts w:eastAsia="Times New Roman" w:cstheme="minorHAnsi"/>
          <w:b/>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55EFB" w:rsidRDefault="00655EFB" w:rsidP="005612EA">
      <w:pPr>
        <w:spacing w:after="0"/>
        <w:rPr>
          <w:rFonts w:eastAsia="Times New Roman" w:cstheme="minorHAnsi"/>
          <w:b/>
          <w:bCs/>
          <w:color w:val="000000"/>
          <w:sz w:val="20"/>
          <w:szCs w:val="20"/>
        </w:rPr>
      </w:pPr>
    </w:p>
    <w:p w:rsidR="00EB63B3" w:rsidRPr="00CE72BC" w:rsidRDefault="00D94606"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Condition Enumeration (CE)</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Condition Enumeration section first obtains a summary assessment of each person's physical and mental health. It then identifies specific physical and mental health conditions, accidents, or injuries affecting each person. Using this information, this section creates a roster of conditions and health problems reported for each family member. Later in the interview, this roster links with health care utilization and disability day information.  </w:t>
      </w:r>
    </w:p>
    <w:p w:rsidR="00032B34" w:rsidRDefault="004E3C84" w:rsidP="00032B34">
      <w:pPr>
        <w:spacing w:line="240" w:lineRule="auto"/>
        <w:rPr>
          <w:rFonts w:eastAsia="Times New Roman" w:cstheme="minorHAnsi"/>
          <w:b/>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032B34" w:rsidRDefault="00032B34" w:rsidP="00032B34">
      <w:pPr>
        <w:spacing w:line="240" w:lineRule="auto"/>
        <w:rPr>
          <w:rFonts w:eastAsia="Times New Roman" w:cstheme="minorHAnsi"/>
          <w:b/>
          <w:bCs/>
          <w:color w:val="000000"/>
          <w:sz w:val="20"/>
          <w:szCs w:val="20"/>
        </w:rPr>
      </w:pPr>
    </w:p>
    <w:p w:rsidR="00341F9C" w:rsidRPr="00CE72BC" w:rsidRDefault="00A83131" w:rsidP="00032B34">
      <w:pPr>
        <w:spacing w:line="240" w:lineRule="auto"/>
        <w:rPr>
          <w:rFonts w:eastAsia="Times New Roman" w:cstheme="minorHAnsi"/>
          <w:b/>
          <w:bCs/>
          <w:color w:val="000000"/>
          <w:sz w:val="20"/>
          <w:szCs w:val="20"/>
        </w:rPr>
      </w:pPr>
      <w:r w:rsidRPr="00CE72BC">
        <w:rPr>
          <w:rFonts w:eastAsia="Times New Roman" w:cstheme="minorHAnsi"/>
          <w:b/>
          <w:bCs/>
          <w:color w:val="000000"/>
          <w:sz w:val="20"/>
          <w:szCs w:val="20"/>
        </w:rPr>
        <w:t>Conditions (CN)</w:t>
      </w:r>
    </w:p>
    <w:p w:rsidR="000F338F" w:rsidRPr="00CE72BC" w:rsidRDefault="00A83131" w:rsidP="00770D79">
      <w:pPr>
        <w:spacing w:line="240" w:lineRule="auto"/>
        <w:rPr>
          <w:rFonts w:eastAsia="Times New Roman" w:cstheme="minorHAnsi"/>
          <w:b/>
          <w:color w:val="000000"/>
          <w:sz w:val="20"/>
          <w:szCs w:val="20"/>
        </w:rPr>
      </w:pPr>
      <w:r w:rsidRPr="00CE72BC">
        <w:rPr>
          <w:rFonts w:eastAsia="Times New Roman" w:cstheme="minorHAnsi"/>
          <w:color w:val="000000"/>
          <w:sz w:val="20"/>
          <w:szCs w:val="20"/>
        </w:rPr>
        <w:t xml:space="preserve">This section collects additional information about physical and mental health conditions identified through medical events or disability days. It obtains further details on each condition on each person's medical condition roster to determine if it was due to an accident or injury and whether it is on a priority list of conditions. If the condition is an accident or injury or a priority condition, subsequent questions ask whether a medical person has been consulted about the condition, when the condition was first noticed, the condition's severity, the current status of the condition, and any treatments received.  </w:t>
      </w:r>
      <w:r w:rsidR="00750EB8" w:rsidRPr="00CE72BC">
        <w:rPr>
          <w:rFonts w:eastAsia="Times New Roman" w:cstheme="minorHAnsi"/>
          <w:b/>
          <w:color w:val="000000"/>
          <w:sz w:val="20"/>
          <w:szCs w:val="20"/>
        </w:rPr>
        <w:tab/>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55EFB" w:rsidRDefault="00655EFB" w:rsidP="005612EA">
      <w:pPr>
        <w:spacing w:after="0"/>
        <w:rPr>
          <w:rFonts w:eastAsia="Times New Roman" w:cstheme="minorHAnsi"/>
          <w:b/>
          <w:bCs/>
          <w:color w:val="000000"/>
          <w:sz w:val="20"/>
          <w:szCs w:val="20"/>
        </w:rPr>
      </w:pPr>
    </w:p>
    <w:p w:rsidR="00341F9C" w:rsidRPr="00CE72BC" w:rsidRDefault="00D94606" w:rsidP="00EE542D">
      <w:pPr>
        <w:keepNext/>
        <w:keepLines/>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Dental Care (DN)</w:t>
      </w:r>
    </w:p>
    <w:p w:rsidR="00D94606" w:rsidRPr="00CE72BC" w:rsidRDefault="00D94606" w:rsidP="00EE542D">
      <w:pPr>
        <w:keepNext/>
        <w:keepLines/>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Dental Care section obtains details on the nature of any dental care visit, type of dental care provider, treatments and services performed, and prescribed medicines.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341F9C" w:rsidRPr="00CE72BC" w:rsidRDefault="003E6413" w:rsidP="005612EA">
      <w:pPr>
        <w:spacing w:after="0"/>
        <w:rPr>
          <w:rFonts w:cstheme="minorHAnsi"/>
          <w:b/>
          <w:sz w:val="20"/>
          <w:szCs w:val="20"/>
        </w:rPr>
      </w:pPr>
      <w:r w:rsidRPr="00CE72BC">
        <w:rPr>
          <w:rFonts w:cstheme="minorHAnsi"/>
          <w:b/>
          <w:sz w:val="20"/>
          <w:szCs w:val="20"/>
        </w:rPr>
        <w:t xml:space="preserve">Diabetes Care </w:t>
      </w:r>
      <w:r w:rsidRPr="00CE72BC">
        <w:rPr>
          <w:rFonts w:eastAsia="Times New Roman" w:cstheme="minorHAnsi"/>
          <w:b/>
          <w:bCs/>
          <w:color w:val="000000"/>
          <w:sz w:val="20"/>
          <w:szCs w:val="20"/>
        </w:rPr>
        <w:t>Self</w:t>
      </w:r>
      <w:r w:rsidRPr="00CE72BC">
        <w:rPr>
          <w:rFonts w:cstheme="minorHAnsi"/>
          <w:b/>
          <w:sz w:val="20"/>
          <w:szCs w:val="20"/>
        </w:rPr>
        <w:t>-Administered Questionnaire (Diabetes SAQ)</w:t>
      </w:r>
    </w:p>
    <w:p w:rsidR="00F34CCE" w:rsidRPr="00CE72BC" w:rsidRDefault="00682248" w:rsidP="00341F9C">
      <w:pPr>
        <w:spacing w:line="240" w:lineRule="auto"/>
        <w:rPr>
          <w:rFonts w:eastAsia="Times New Roman" w:cstheme="minorHAnsi"/>
          <w:color w:val="000000"/>
          <w:sz w:val="20"/>
          <w:szCs w:val="20"/>
        </w:rPr>
      </w:pPr>
      <w:r>
        <w:rPr>
          <w:rFonts w:eastAsia="Times New Roman" w:cstheme="minorHAnsi"/>
          <w:color w:val="000000"/>
          <w:sz w:val="20"/>
          <w:szCs w:val="20"/>
        </w:rPr>
        <w:t>A brief self-</w:t>
      </w:r>
      <w:r w:rsidR="00F34CCE" w:rsidRPr="00CE72BC">
        <w:rPr>
          <w:rFonts w:eastAsia="Times New Roman" w:cstheme="minorHAnsi"/>
          <w:color w:val="000000"/>
          <w:sz w:val="20"/>
          <w:szCs w:val="20"/>
        </w:rPr>
        <w:t>administered paper-and-pencil questionnaire on the quality of diabetes care is administered once a year (during round 3 and 5) to persons identified as having diabetes. 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and the last time the respondent had his or her blood cholesterol checked and whether the diabetes has caused kidney or eye problems.  Respondents are also asked if their diabetes is being treated with diet, oral medications or insulin.</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B44A52"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Disability Days (DD)</w:t>
      </w:r>
    </w:p>
    <w:p w:rsidR="005576DC" w:rsidRPr="00CE72BC" w:rsidRDefault="00A83131" w:rsidP="00341F9C">
      <w:pPr>
        <w:spacing w:line="240" w:lineRule="auto"/>
        <w:rPr>
          <w:rFonts w:cstheme="minorHAnsi"/>
          <w:b/>
          <w:sz w:val="20"/>
          <w:szCs w:val="20"/>
        </w:rPr>
      </w:pPr>
      <w:r w:rsidRPr="00CE72BC">
        <w:rPr>
          <w:rFonts w:eastAsia="Times New Roman" w:cstheme="minorHAnsi"/>
          <w:color w:val="000000"/>
          <w:sz w:val="20"/>
          <w:szCs w:val="20"/>
        </w:rPr>
        <w:t>The Disability Days section assesses the impact of any physical illness, injury, or mental or emotional problem on household members' attendance at work or school. These questions specify how many days of work or school were missed, for what health condition they were missed, and how many days were missed because of someone else's illness, injury, or health care needs.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55EFB" w:rsidRDefault="00655EFB" w:rsidP="005612EA">
      <w:pPr>
        <w:spacing w:after="0"/>
        <w:rPr>
          <w:rFonts w:eastAsia="Times New Roman" w:cstheme="minorHAnsi"/>
          <w:b/>
          <w:bCs/>
          <w:color w:val="000000"/>
          <w:sz w:val="20"/>
          <w:szCs w:val="20"/>
        </w:rPr>
      </w:pPr>
    </w:p>
    <w:p w:rsidR="00C30802"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Emergency Room (ER)</w:t>
      </w:r>
    </w:p>
    <w:p w:rsidR="00762966" w:rsidRPr="00CE72BC" w:rsidRDefault="00D94606" w:rsidP="00762966">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Emergency Room section obtains information on the health conditions requiring emergency room care, medical services provided, any surgical procedures performed, prescribed medicines, and the physicians and surgeons providing emergency room care. This section collects physicians and surgeons who are not already on the provider roster.  </w:t>
      </w:r>
      <w:r w:rsidRPr="00CE72BC">
        <w:rPr>
          <w:rFonts w:eastAsia="Times New Roman" w:cstheme="minorHAnsi"/>
          <w:color w:val="000000"/>
          <w:sz w:val="20"/>
          <w:szCs w:val="20"/>
        </w:rPr>
        <w:tab/>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256A5" w:rsidRPr="00CE72BC" w:rsidRDefault="00D94606" w:rsidP="00CE72BC">
      <w:pPr>
        <w:rPr>
          <w:rFonts w:eastAsia="Times New Roman" w:cstheme="minorHAnsi"/>
          <w:b/>
          <w:bCs/>
          <w:color w:val="000000"/>
          <w:sz w:val="20"/>
          <w:szCs w:val="20"/>
        </w:rPr>
      </w:pPr>
      <w:r w:rsidRPr="00CE72BC">
        <w:rPr>
          <w:rFonts w:eastAsia="Times New Roman" w:cstheme="minorHAnsi"/>
          <w:b/>
          <w:bCs/>
          <w:color w:val="000000"/>
          <w:sz w:val="20"/>
          <w:szCs w:val="20"/>
        </w:rPr>
        <w:t>Employment (EM)</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Employment section covers questions about each person's employment or self-employment status. For jobs identified, this section asks questions to obtain contact information for each employer. For several types of jobs, questions are asked about type of business or industry, firm size, how long the person has worked at each job, whether health insurance was offered, hours worked, and job titles or main duties. For persons who are currently employed, questions ask about periods of unpaid leave at their job. For those not currently working, questions ask about previous jobs and the reasons for not working.</w:t>
      </w:r>
      <w:r w:rsidR="00C11349" w:rsidRPr="00CE72BC">
        <w:rPr>
          <w:rFonts w:eastAsia="Times New Roman" w:cstheme="minorHAnsi"/>
          <w:color w:val="000000"/>
          <w:sz w:val="20"/>
          <w:szCs w:val="20"/>
        </w:rPr>
        <w:t xml:space="preserve"> </w:t>
      </w:r>
      <w:r w:rsidRPr="00CE72BC">
        <w:rPr>
          <w:rFonts w:eastAsia="Times New Roman" w:cstheme="minorHAnsi"/>
          <w:color w:val="000000"/>
          <w:sz w:val="20"/>
          <w:szCs w:val="20"/>
        </w:rPr>
        <w:t xml:space="preserve"> Questions </w:t>
      </w:r>
      <w:r w:rsidR="00C11349" w:rsidRPr="00CE72BC">
        <w:rPr>
          <w:rFonts w:eastAsia="Times New Roman" w:cstheme="minorHAnsi"/>
          <w:color w:val="000000"/>
          <w:sz w:val="20"/>
          <w:szCs w:val="20"/>
        </w:rPr>
        <w:t xml:space="preserve">are asked </w:t>
      </w:r>
      <w:r w:rsidRPr="00CE72BC">
        <w:rPr>
          <w:rFonts w:eastAsia="Times New Roman" w:cstheme="minorHAnsi"/>
          <w:color w:val="000000"/>
          <w:sz w:val="20"/>
          <w:szCs w:val="20"/>
        </w:rPr>
        <w:t>about whether the person's job was temporary or seasonal</w:t>
      </w:r>
      <w:r w:rsidR="00C11349" w:rsidRPr="00CE72BC">
        <w:rPr>
          <w:rFonts w:eastAsia="Times New Roman" w:cstheme="minorHAnsi"/>
          <w:color w:val="000000"/>
          <w:sz w:val="20"/>
          <w:szCs w:val="20"/>
        </w:rPr>
        <w:t xml:space="preserve">, as well as </w:t>
      </w:r>
      <w:r w:rsidRPr="00CE72BC">
        <w:rPr>
          <w:rFonts w:eastAsia="Times New Roman" w:cstheme="minorHAnsi"/>
          <w:color w:val="000000"/>
          <w:sz w:val="20"/>
          <w:szCs w:val="20"/>
        </w:rPr>
        <w:t>questions about health insurance, including whether it was offered to the person, whether it was offered to any employee, and why the person was not e</w:t>
      </w:r>
      <w:r w:rsidR="00C11349" w:rsidRPr="00CE72BC">
        <w:rPr>
          <w:rFonts w:eastAsia="Times New Roman" w:cstheme="minorHAnsi"/>
          <w:color w:val="000000"/>
          <w:sz w:val="20"/>
          <w:szCs w:val="20"/>
        </w:rPr>
        <w:t>ligible</w:t>
      </w:r>
      <w:r w:rsidRPr="00CE72BC">
        <w:rPr>
          <w:rFonts w:eastAsia="Times New Roman" w:cstheme="minorHAnsi"/>
          <w:color w:val="000000"/>
          <w:sz w:val="20"/>
          <w:szCs w:val="20"/>
        </w:rPr>
        <w:t xml:space="preserve">. </w:t>
      </w:r>
      <w:r w:rsidR="00C11349" w:rsidRPr="00CE72BC">
        <w:rPr>
          <w:rFonts w:eastAsia="Times New Roman" w:cstheme="minorHAnsi"/>
          <w:color w:val="000000"/>
          <w:sz w:val="20"/>
          <w:szCs w:val="20"/>
        </w:rPr>
        <w:t>Informed consent is obtained</w:t>
      </w:r>
      <w:r w:rsidRPr="00CE72BC">
        <w:rPr>
          <w:rFonts w:eastAsia="Times New Roman" w:cstheme="minorHAnsi"/>
          <w:color w:val="000000"/>
          <w:sz w:val="20"/>
          <w:szCs w:val="20"/>
        </w:rPr>
        <w:t xml:space="preserve"> regarding contacting employers who provide health insurance.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D445A"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Employment Wage (EW)</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Employment Wage section collects detailed information about the wage structure for all non-self employed, current jobs identified in the previous Employment (EM) section.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D445A"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Event Driver (ED)</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Event Driver verifies and modifies information entered in the Provider Probes, Event Roster, and Provider Roster sections. It also provides an opportunity to add new medical events throughout the interview if the respondent recalls an event after completing the Provider Probes section.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256A5" w:rsidRPr="00CE72BC" w:rsidRDefault="00D94606" w:rsidP="00EE542D">
      <w:pPr>
        <w:keepNext/>
        <w:keepLines/>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Event Roster (EV)</w:t>
      </w:r>
    </w:p>
    <w:p w:rsidR="00D94606" w:rsidRPr="00CE72BC" w:rsidRDefault="00D94606" w:rsidP="00EE542D">
      <w:pPr>
        <w:keepNext/>
        <w:keepLines/>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Probes continue in this section for additional detail on event dates, type of event, and type of provider. This section creates a roster displaying this information as it is linked to each person. The Event Roster links to further sections that collect more detailed data on each specific type of event and then the charge and payment for each event.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82248" w:rsidRDefault="00682248" w:rsidP="005612EA">
      <w:pPr>
        <w:spacing w:after="0"/>
        <w:rPr>
          <w:rFonts w:eastAsia="Times New Roman" w:cstheme="minorHAnsi"/>
          <w:b/>
          <w:bCs/>
          <w:color w:val="000000"/>
          <w:sz w:val="20"/>
          <w:szCs w:val="20"/>
        </w:rPr>
      </w:pPr>
    </w:p>
    <w:p w:rsidR="006256A5"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Flat Fee (FF)</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Flat Fee section functions as a subsection of Charge Payment (CP). It captures information on those types of medical payment arrangements that charge a grouped amount, or flat fee, for multiple visits or services.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6256A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Health Insurance (HX)</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Health Insurance section collects information about private health insurance obtained through an employer, direct purchase private insurance plans, and public health insurance programs. It identifies the household members covered by health insurance, type of plan, name of each plan, nature of coverage under each plan, duration of coverage, and who pays various costs for the policy premiums. It also identifies the household members not covered by health insurance. For employer-sponsored coverage, this section creates a link to job characteristics collected in the Employment (EM) section of the questionnaire. For individuals who are uninsured at the beginning of the year, the section collects information on the length of time they have been uninsured. For private insurance policies, it obtains information on employer-related coverage and non-employer-related coverage (i.e., purchased through a group, association, school, small business group, insurance company, etc.). The Health Insurance section also collects information for public insurance on Medicare, Medicaid/SCHIP, Medicaid waiver programs, CHAMPUS/CHAMPVA (now TRICARE/CHAMPVA), and other government programs.  </w:t>
      </w:r>
      <w:r w:rsidR="00C402DA" w:rsidRPr="00CE72BC">
        <w:rPr>
          <w:rFonts w:eastAsia="Times New Roman" w:cstheme="minorHAnsi"/>
          <w:color w:val="000000"/>
          <w:sz w:val="20"/>
          <w:szCs w:val="20"/>
        </w:rPr>
        <w:t>Questions</w:t>
      </w:r>
      <w:r w:rsidRPr="00CE72BC">
        <w:rPr>
          <w:rFonts w:eastAsia="Times New Roman" w:cstheme="minorHAnsi"/>
          <w:color w:val="000000"/>
          <w:sz w:val="20"/>
          <w:szCs w:val="20"/>
        </w:rPr>
        <w:t xml:space="preserve"> related to whether the insurance will cover part of the cost of an ou</w:t>
      </w:r>
      <w:r w:rsidR="00C402DA" w:rsidRPr="00CE72BC">
        <w:rPr>
          <w:rFonts w:eastAsia="Times New Roman" w:cstheme="minorHAnsi"/>
          <w:color w:val="000000"/>
          <w:sz w:val="20"/>
          <w:szCs w:val="20"/>
        </w:rPr>
        <w:t>t-of-network provider are asked</w:t>
      </w:r>
      <w:r w:rsidRPr="00CE72BC">
        <w:rPr>
          <w:rFonts w:eastAsia="Times New Roman" w:cstheme="minorHAnsi"/>
          <w:color w:val="000000"/>
          <w:sz w:val="20"/>
          <w:szCs w:val="20"/>
        </w:rPr>
        <w:t xml:space="preserv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340105"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Health Status (HE)</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Hea</w:t>
      </w:r>
      <w:r w:rsidR="004B705A" w:rsidRPr="00CE72BC">
        <w:rPr>
          <w:rFonts w:eastAsia="Times New Roman" w:cstheme="minorHAnsi"/>
          <w:color w:val="000000"/>
          <w:sz w:val="20"/>
          <w:szCs w:val="20"/>
        </w:rPr>
        <w:t xml:space="preserve">lth Status section </w:t>
      </w:r>
      <w:r w:rsidRPr="00CE72BC">
        <w:rPr>
          <w:rFonts w:eastAsia="Times New Roman" w:cstheme="minorHAnsi"/>
          <w:color w:val="000000"/>
          <w:sz w:val="20"/>
          <w:szCs w:val="20"/>
        </w:rPr>
        <w:t>assess</w:t>
      </w:r>
      <w:r w:rsidR="004B705A" w:rsidRPr="00CE72BC">
        <w:rPr>
          <w:rFonts w:eastAsia="Times New Roman" w:cstheme="minorHAnsi"/>
          <w:color w:val="000000"/>
          <w:sz w:val="20"/>
          <w:szCs w:val="20"/>
        </w:rPr>
        <w:t>es</w:t>
      </w:r>
      <w:r w:rsidRPr="00CE72BC">
        <w:rPr>
          <w:rFonts w:eastAsia="Times New Roman" w:cstheme="minorHAnsi"/>
          <w:color w:val="000000"/>
          <w:sz w:val="20"/>
          <w:szCs w:val="20"/>
        </w:rPr>
        <w:t xml:space="preserve"> the physical and mental health status for both children and adults. Specific areas assessed </w:t>
      </w:r>
      <w:r w:rsidR="004B705A" w:rsidRPr="00CE72BC">
        <w:rPr>
          <w:rFonts w:eastAsia="Times New Roman" w:cstheme="minorHAnsi"/>
          <w:color w:val="000000"/>
          <w:sz w:val="20"/>
          <w:szCs w:val="20"/>
        </w:rPr>
        <w:t>include</w:t>
      </w:r>
      <w:r w:rsidRPr="00CE72BC">
        <w:rPr>
          <w:rFonts w:eastAsia="Times New Roman" w:cstheme="minorHAnsi"/>
          <w:color w:val="000000"/>
          <w:sz w:val="20"/>
          <w:szCs w:val="20"/>
        </w:rPr>
        <w:t xml:space="preserve"> limitations in activities of daily living (ADLs) and instrumental activities of daily living (IADLs), the use of health aids, physical limitations, activity limitations, mental impairments, vision impairments, and hearing difficulties. For children, this section obtains additional informa</w:t>
      </w:r>
      <w:r w:rsidR="004B705A" w:rsidRPr="00CE72BC">
        <w:rPr>
          <w:rFonts w:eastAsia="Times New Roman" w:cstheme="minorHAnsi"/>
          <w:color w:val="000000"/>
          <w:sz w:val="20"/>
          <w:szCs w:val="20"/>
        </w:rPr>
        <w:t>tion on</w:t>
      </w:r>
      <w:r w:rsidRPr="00CE72BC">
        <w:rPr>
          <w:rFonts w:eastAsia="Times New Roman" w:cstheme="minorHAnsi"/>
          <w:color w:val="000000"/>
          <w:sz w:val="20"/>
          <w:szCs w:val="20"/>
        </w:rPr>
        <w:t xml:space="preserve"> participation in special education or therapy services, gen</w:t>
      </w:r>
      <w:r w:rsidR="004B705A" w:rsidRPr="00CE72BC">
        <w:rPr>
          <w:rFonts w:eastAsia="Times New Roman" w:cstheme="minorHAnsi"/>
          <w:color w:val="000000"/>
          <w:sz w:val="20"/>
          <w:szCs w:val="20"/>
        </w:rPr>
        <w:t xml:space="preserve">eral health status, height, </w:t>
      </w:r>
      <w:r w:rsidRPr="00CE72BC">
        <w:rPr>
          <w:rFonts w:eastAsia="Times New Roman" w:cstheme="minorHAnsi"/>
          <w:color w:val="000000"/>
          <w:sz w:val="20"/>
          <w:szCs w:val="20"/>
        </w:rPr>
        <w:t>weight</w:t>
      </w:r>
      <w:r w:rsidR="004B705A" w:rsidRPr="00CE72BC">
        <w:rPr>
          <w:rFonts w:eastAsia="Times New Roman" w:cstheme="minorHAnsi"/>
          <w:color w:val="000000"/>
          <w:sz w:val="20"/>
          <w:szCs w:val="20"/>
        </w:rPr>
        <w:t xml:space="preserve"> and child care</w:t>
      </w:r>
      <w:r w:rsidRPr="00CE72BC">
        <w:rPr>
          <w:rFonts w:eastAsia="Times New Roman" w:cstheme="minorHAnsi"/>
          <w:color w:val="000000"/>
          <w:sz w:val="20"/>
          <w:szCs w:val="20"/>
        </w:rPr>
        <w:t xml:space="preserve">.  </w:t>
      </w:r>
      <w:r w:rsidR="001F3D6E" w:rsidRPr="00CE72BC">
        <w:rPr>
          <w:rFonts w:eastAsia="Times New Roman" w:cstheme="minorHAnsi"/>
          <w:color w:val="000000"/>
          <w:sz w:val="20"/>
          <w:szCs w:val="20"/>
        </w:rPr>
        <w:t>Also included are q</w:t>
      </w:r>
      <w:r w:rsidRPr="00CE72BC">
        <w:rPr>
          <w:rFonts w:eastAsia="Times New Roman" w:cstheme="minorHAnsi"/>
          <w:color w:val="000000"/>
          <w:sz w:val="20"/>
          <w:szCs w:val="20"/>
        </w:rPr>
        <w:t>uestions assessing whether a person has had difficulty with or has required supervision for at least 3 months w</w:t>
      </w:r>
      <w:r w:rsidR="004B705A" w:rsidRPr="00CE72BC">
        <w:rPr>
          <w:rFonts w:eastAsia="Times New Roman" w:cstheme="minorHAnsi"/>
          <w:color w:val="000000"/>
          <w:sz w:val="20"/>
          <w:szCs w:val="20"/>
        </w:rPr>
        <w:t>hen performing daily activities.</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032B34" w:rsidRDefault="00032B34" w:rsidP="005612EA">
      <w:pPr>
        <w:spacing w:after="0"/>
        <w:rPr>
          <w:rFonts w:eastAsia="Times New Roman" w:cstheme="minorHAnsi"/>
          <w:b/>
          <w:bCs/>
          <w:color w:val="000000"/>
          <w:sz w:val="20"/>
          <w:szCs w:val="20"/>
        </w:rPr>
      </w:pPr>
    </w:p>
    <w:p w:rsidR="001E6B23" w:rsidRPr="00CE72BC" w:rsidRDefault="00A83131"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Home Health (HH)</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For those persons using home health care, the Home Health section obtains information on the types of health care workers providing home health services, reasons for home health care, the nature of home health services provided, frequency of visits, length per visits, and duration of visits. </w:t>
      </w:r>
    </w:p>
    <w:p w:rsidR="005D286C" w:rsidRPr="00CE72BC" w:rsidRDefault="00D104CA" w:rsidP="00341F9C">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032B34" w:rsidRDefault="00032B34" w:rsidP="005612EA">
      <w:pPr>
        <w:spacing w:after="0"/>
        <w:rPr>
          <w:rFonts w:eastAsia="Times New Roman" w:cstheme="minorHAnsi"/>
          <w:b/>
          <w:bCs/>
          <w:color w:val="000000"/>
          <w:sz w:val="20"/>
          <w:szCs w:val="20"/>
        </w:rPr>
      </w:pPr>
    </w:p>
    <w:p w:rsidR="0086190C"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Hospital Stay (HS)</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Hospital Stay section obtains details on the length of stay, reasons or conditions requiring hospitalization, surgical procedures performed, medicines prescribed at discharge, and the physicians and surgeons providing hospital care. This section collects physicians and surgeons who are not already on the provider roster.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5E69A2" w:rsidRPr="00CE72BC" w:rsidRDefault="005E69A2" w:rsidP="005E69A2">
      <w:pPr>
        <w:tabs>
          <w:tab w:val="left" w:pos="360"/>
          <w:tab w:val="left" w:pos="1440"/>
        </w:tabs>
        <w:rPr>
          <w:rFonts w:eastAsia="Times New Roman" w:cstheme="minorHAnsi"/>
          <w:b/>
          <w:bCs/>
          <w:color w:val="000000"/>
          <w:sz w:val="20"/>
          <w:szCs w:val="20"/>
        </w:rPr>
      </w:pPr>
    </w:p>
    <w:p w:rsidR="00DD292E" w:rsidRPr="00CE72BC" w:rsidRDefault="005E69A2" w:rsidP="00032B34">
      <w:pPr>
        <w:keepNext/>
        <w:keepLines/>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Income (IN)</w:t>
      </w:r>
    </w:p>
    <w:p w:rsidR="005E69A2" w:rsidRPr="00CE72BC" w:rsidRDefault="005E69A2" w:rsidP="00032B34">
      <w:pPr>
        <w:keepNext/>
        <w:keepLines/>
        <w:spacing w:line="240" w:lineRule="auto"/>
        <w:rPr>
          <w:rFonts w:eastAsia="Times New Roman" w:cstheme="minorHAnsi"/>
          <w:color w:val="000000"/>
          <w:sz w:val="20"/>
          <w:szCs w:val="20"/>
        </w:rPr>
      </w:pPr>
      <w:r w:rsidRPr="00CE72BC">
        <w:rPr>
          <w:rFonts w:eastAsia="Times New Roman" w:cstheme="minorHAnsi"/>
          <w:color w:val="000000"/>
          <w:sz w:val="20"/>
          <w:szCs w:val="20"/>
        </w:rPr>
        <w:t>This supplemental section, asked in Rounds 3 and 5, collects information about the household members'</w:t>
      </w:r>
      <w:r w:rsidR="00203815" w:rsidRPr="00CE72BC">
        <w:rPr>
          <w:rFonts w:eastAsia="Times New Roman" w:cstheme="minorHAnsi"/>
          <w:color w:val="000000"/>
          <w:sz w:val="20"/>
          <w:szCs w:val="20"/>
        </w:rPr>
        <w:t xml:space="preserve"> income and</w:t>
      </w:r>
      <w:r w:rsidRPr="00CE72BC">
        <w:rPr>
          <w:rFonts w:eastAsia="Times New Roman" w:cstheme="minorHAnsi"/>
          <w:color w:val="000000"/>
          <w:sz w:val="20"/>
          <w:szCs w:val="20"/>
        </w:rPr>
        <w:t xml:space="preserve"> Federal income tax filing status, specifically about itemized deductions for health insurance premiums, tax credits, wages, other private income sources, and public assistance income.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5E69A2" w:rsidRPr="00CE72BC" w:rsidRDefault="005E69A2" w:rsidP="005E69A2">
      <w:pPr>
        <w:tabs>
          <w:tab w:val="left" w:pos="360"/>
          <w:tab w:val="left" w:pos="1440"/>
        </w:tabs>
        <w:rPr>
          <w:rFonts w:eastAsia="Times New Roman" w:cstheme="minorHAnsi"/>
          <w:b/>
          <w:bCs/>
          <w:color w:val="000000"/>
          <w:sz w:val="20"/>
          <w:szCs w:val="20"/>
        </w:rPr>
      </w:pPr>
    </w:p>
    <w:p w:rsidR="00DE290A"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Managed Care (MC)</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determines whether household members are covered under a private managed care plan. The section groups the types of coverage as either HMO, other type of managed care plan, or non-managed care plan based on questions about the characteristics of the insurance plan.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5E69A2" w:rsidRPr="00CE72BC" w:rsidRDefault="005E69A2" w:rsidP="00104884">
      <w:pPr>
        <w:tabs>
          <w:tab w:val="left" w:pos="360"/>
          <w:tab w:val="left" w:pos="1440"/>
        </w:tabs>
        <w:rPr>
          <w:rFonts w:eastAsia="Times New Roman" w:cstheme="minorHAnsi"/>
          <w:b/>
          <w:bCs/>
          <w:color w:val="000000"/>
          <w:sz w:val="20"/>
          <w:szCs w:val="20"/>
        </w:rPr>
      </w:pPr>
    </w:p>
    <w:p w:rsidR="00006F2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Medical Provider Visits (MV)</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Medical Provider Visits section obtains details on the nature of any contacts or visits, the type of provide</w:t>
      </w:r>
      <w:r w:rsidR="00203815" w:rsidRPr="00CE72BC">
        <w:rPr>
          <w:rFonts w:eastAsia="Times New Roman" w:cstheme="minorHAnsi"/>
          <w:color w:val="000000"/>
          <w:sz w:val="20"/>
          <w:szCs w:val="20"/>
        </w:rPr>
        <w:t>r,</w:t>
      </w:r>
      <w:r w:rsidRPr="00CE72BC">
        <w:rPr>
          <w:rFonts w:eastAsia="Times New Roman" w:cstheme="minorHAnsi"/>
          <w:color w:val="000000"/>
          <w:sz w:val="20"/>
          <w:szCs w:val="20"/>
        </w:rPr>
        <w:t xml:space="preserve"> health conditions requiring medical provider services, treatments and services performed, surgical procedures, and prescribed medicines. This section also probes for any follow up or repeat visits that cost the same amount as the original visit.  </w:t>
      </w:r>
      <w:r w:rsidR="00203815" w:rsidRPr="00CE72BC">
        <w:rPr>
          <w:rFonts w:eastAsia="Times New Roman" w:cstheme="minorHAnsi"/>
          <w:color w:val="000000"/>
          <w:sz w:val="20"/>
          <w:szCs w:val="20"/>
        </w:rPr>
        <w:t>Questions are asked about</w:t>
      </w:r>
      <w:r w:rsidRPr="00CE72BC">
        <w:rPr>
          <w:rFonts w:eastAsia="Times New Roman" w:cstheme="minorHAnsi"/>
          <w:color w:val="000000"/>
          <w:sz w:val="20"/>
          <w:szCs w:val="20"/>
        </w:rPr>
        <w:t xml:space="preserve"> the medical provider's specialty and the medical provider's place type (e.g., managed care plan center or doctor's office).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4E3C84" w:rsidRDefault="004E3C84" w:rsidP="005612EA">
      <w:pPr>
        <w:spacing w:after="0"/>
        <w:rPr>
          <w:rFonts w:eastAsia="Times New Roman" w:cstheme="minorHAnsi"/>
          <w:b/>
          <w:bCs/>
          <w:color w:val="000000"/>
          <w:sz w:val="20"/>
          <w:szCs w:val="20"/>
        </w:rPr>
      </w:pPr>
    </w:p>
    <w:p w:rsidR="00CE41BA"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Old Employment/ Private Related Insurance (OE)</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For RU members that still hold the same job in Rounds 2 through 5 that was reported during the previous round as providing health insurance, this section collects information about the continuation of insurance coverage. </w:t>
      </w:r>
      <w:r w:rsidR="00A92D57" w:rsidRPr="00CE72BC">
        <w:rPr>
          <w:rFonts w:eastAsia="Times New Roman" w:cstheme="minorHAnsi"/>
          <w:color w:val="000000"/>
          <w:sz w:val="20"/>
          <w:szCs w:val="20"/>
        </w:rPr>
        <w:t>Included are</w:t>
      </w:r>
      <w:r w:rsidRPr="00CE72BC">
        <w:rPr>
          <w:rFonts w:eastAsia="Times New Roman" w:cstheme="minorHAnsi"/>
          <w:color w:val="000000"/>
          <w:sz w:val="20"/>
          <w:szCs w:val="20"/>
        </w:rPr>
        <w:t xml:space="preserve"> questions about whether the policyholder was responsible for any amount of the charge, whether there was an additional name for the insurance, and payments to out-of-network providers were added.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5E69A2" w:rsidRPr="00CE72BC" w:rsidRDefault="005E69A2" w:rsidP="005E69A2">
      <w:pPr>
        <w:tabs>
          <w:tab w:val="left" w:pos="360"/>
          <w:tab w:val="left" w:pos="1440"/>
        </w:tabs>
        <w:rPr>
          <w:rFonts w:eastAsia="Times New Roman" w:cstheme="minorHAnsi"/>
          <w:b/>
          <w:bCs/>
          <w:color w:val="000000"/>
          <w:sz w:val="20"/>
          <w:szCs w:val="20"/>
        </w:rPr>
      </w:pPr>
    </w:p>
    <w:p w:rsidR="003B6116"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Old Public Related Insurance (PR)</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For RU members who were covered during the previous round by Medicare, Medicaid/SCHIP, CHAMPUS/CHAMPVA (now TRICARE/CHAMPVA), or other state or local government sponsored programs, this section collects information about the continuation of coverage provided through these public programs.  </w:t>
      </w:r>
    </w:p>
    <w:p w:rsidR="00682248" w:rsidRPr="00CE72BC" w:rsidRDefault="00682248" w:rsidP="00682248">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5E69A2" w:rsidRPr="00CE72BC" w:rsidRDefault="005E69A2" w:rsidP="00104884">
      <w:pPr>
        <w:tabs>
          <w:tab w:val="left" w:pos="360"/>
          <w:tab w:val="left" w:pos="1440"/>
        </w:tabs>
        <w:rPr>
          <w:rFonts w:eastAsia="Times New Roman" w:cstheme="minorHAnsi"/>
          <w:b/>
          <w:bCs/>
          <w:color w:val="000000"/>
          <w:sz w:val="20"/>
          <w:szCs w:val="20"/>
        </w:rPr>
      </w:pPr>
    </w:p>
    <w:p w:rsidR="002474A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Other Medical Expenses (OM)</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serves to direct the CAPI program to other sections in cases where respondents report expenses for glasses or contact lenses or for insulin and other diabetic equipment or supplies.  </w:t>
      </w:r>
    </w:p>
    <w:p w:rsidR="005E69A2" w:rsidRDefault="005E69A2" w:rsidP="005E69A2">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r>
      <w:r w:rsidR="00093515" w:rsidRPr="00CE72BC">
        <w:rPr>
          <w:rFonts w:eastAsia="Times New Roman" w:cstheme="minorHAnsi"/>
          <w:b/>
          <w:color w:val="000000"/>
          <w:sz w:val="20"/>
          <w:szCs w:val="20"/>
        </w:rPr>
        <w:t>None</w:t>
      </w:r>
    </w:p>
    <w:p w:rsidR="00032B34" w:rsidRPr="00CE72BC" w:rsidRDefault="00032B34" w:rsidP="005E69A2">
      <w:pPr>
        <w:tabs>
          <w:tab w:val="left" w:pos="360"/>
          <w:tab w:val="left" w:pos="1440"/>
        </w:tabs>
        <w:rPr>
          <w:rFonts w:eastAsia="Times New Roman" w:cstheme="minorHAnsi"/>
          <w:b/>
          <w:bCs/>
          <w:color w:val="000000"/>
          <w:sz w:val="20"/>
          <w:szCs w:val="20"/>
        </w:rPr>
      </w:pPr>
    </w:p>
    <w:p w:rsidR="00093515" w:rsidRPr="00CE72BC" w:rsidRDefault="005E69A2" w:rsidP="00032B34">
      <w:pPr>
        <w:keepNext/>
        <w:keepLines/>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Outpatient Department (OP)</w:t>
      </w:r>
    </w:p>
    <w:p w:rsidR="005E69A2" w:rsidRDefault="005E69A2" w:rsidP="00032B34">
      <w:pPr>
        <w:keepNext/>
        <w:keepLines/>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If any outpatient visits were made during the reference period, this section obtains details on the nature of the contact, type of care received, health conditions requiring outpatient services, treatments and services performed, surgical procedures, prescribed medicines, and the physicians and surgeons providing outpatient services. This section collects physicians and surgeons who are not already on the provider roster. It also probes for any follow up or repeat visits that cost the same amount as the original outpatient visit.  </w:t>
      </w:r>
    </w:p>
    <w:p w:rsidR="00682248" w:rsidRPr="00CE72BC" w:rsidRDefault="00682248" w:rsidP="00032B34">
      <w:pPr>
        <w:keepNext/>
        <w:keepLines/>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032B34" w:rsidRDefault="00032B34" w:rsidP="005612EA">
      <w:pPr>
        <w:spacing w:after="0"/>
        <w:rPr>
          <w:rFonts w:eastAsia="Times New Roman" w:cstheme="minorHAnsi"/>
          <w:b/>
          <w:bCs/>
          <w:color w:val="000000"/>
          <w:sz w:val="20"/>
          <w:szCs w:val="20"/>
        </w:rPr>
      </w:pPr>
    </w:p>
    <w:p w:rsidR="008B4681"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Overall Structure of Employment (EM-O)</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Because most private health insurance is provided through employment, the MEPS interview collects detailed information on jobs held by each person in the household aged 16 or older. This section functions to direct the CAPI program through the loop of employment-related questions for each person 16 or older.</w:t>
      </w:r>
    </w:p>
    <w:p w:rsidR="008B4681" w:rsidRPr="00CE72BC" w:rsidRDefault="008B4681" w:rsidP="008B4681">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032B34" w:rsidRDefault="00032B34" w:rsidP="00CE41BA">
      <w:pPr>
        <w:spacing w:after="0"/>
        <w:rPr>
          <w:rFonts w:eastAsia="Times New Roman" w:cstheme="minorHAnsi"/>
          <w:b/>
          <w:bCs/>
          <w:color w:val="000000"/>
          <w:sz w:val="20"/>
          <w:szCs w:val="20"/>
        </w:rPr>
      </w:pPr>
    </w:p>
    <w:p w:rsidR="00CE41BA" w:rsidRPr="00CE72BC" w:rsidRDefault="005E69A2" w:rsidP="00CE41BA">
      <w:pPr>
        <w:spacing w:after="0"/>
        <w:rPr>
          <w:rFonts w:eastAsia="Times New Roman" w:cstheme="minorHAnsi"/>
          <w:color w:val="000000"/>
          <w:sz w:val="20"/>
          <w:szCs w:val="20"/>
        </w:rPr>
      </w:pPr>
      <w:r w:rsidRPr="00CE72BC">
        <w:rPr>
          <w:rFonts w:eastAsia="Times New Roman" w:cstheme="minorHAnsi"/>
          <w:b/>
          <w:bCs/>
          <w:color w:val="000000"/>
          <w:sz w:val="20"/>
          <w:szCs w:val="20"/>
        </w:rPr>
        <w:t>Prescribed Medicines (PM)</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Prescribed Medicines section obtains details on prescribed medicines reported in earlier medical events sections as well as additional prescriptions reported in this section. Questions determine whether free pharmaceutical samples were obtained, the specific health problems for which the medicine was prescribed, the number of refills obtained during the reference period, the first date of use of each medicine, and the name and address of the pharmacy that filled each prescription.  </w:t>
      </w:r>
    </w:p>
    <w:p w:rsidR="005D286C" w:rsidRPr="00CE72BC" w:rsidRDefault="00735120" w:rsidP="00341F9C">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032B34" w:rsidRDefault="00032B34" w:rsidP="005612EA">
      <w:pPr>
        <w:spacing w:after="0"/>
        <w:rPr>
          <w:rFonts w:eastAsia="Times New Roman" w:cstheme="minorHAnsi"/>
          <w:b/>
          <w:bCs/>
          <w:color w:val="000000"/>
          <w:sz w:val="20"/>
          <w:szCs w:val="20"/>
        </w:rPr>
      </w:pPr>
    </w:p>
    <w:p w:rsidR="00485C1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Preventive Care (AP)</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Preventive Care supplemental section, asked in Round 3 and 5, gathers information on any preventive care received. Questions ask about frequency of dental and physical check-ups, flu shots, and other preventative health exams.  </w:t>
      </w:r>
    </w:p>
    <w:p w:rsidR="004E3C84" w:rsidRPr="00CE72BC" w:rsidRDefault="004E3C84" w:rsidP="004E3C84">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032B34" w:rsidRDefault="00032B34" w:rsidP="005612EA">
      <w:pPr>
        <w:spacing w:after="0"/>
        <w:rPr>
          <w:rFonts w:eastAsia="Times New Roman" w:cstheme="minorHAnsi"/>
          <w:b/>
          <w:bCs/>
          <w:color w:val="000000"/>
          <w:sz w:val="20"/>
          <w:szCs w:val="20"/>
        </w:rPr>
      </w:pPr>
    </w:p>
    <w:p w:rsidR="00086519"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Priority Conditions (Quality Supplement) (PC)</w:t>
      </w:r>
    </w:p>
    <w:p w:rsidR="005E69A2" w:rsidRPr="00CE72BC" w:rsidRDefault="005E69A2" w:rsidP="005E69A2">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The Priority Conditions sect</w:t>
      </w:r>
      <w:r w:rsidR="00086519" w:rsidRPr="00CE72BC">
        <w:rPr>
          <w:rFonts w:eastAsia="Times New Roman" w:cstheme="minorHAnsi"/>
          <w:color w:val="000000"/>
          <w:sz w:val="20"/>
          <w:szCs w:val="20"/>
        </w:rPr>
        <w:t>ion collects information about diabetes</w:t>
      </w:r>
      <w:r w:rsidR="004D20A4" w:rsidRPr="00CE72BC">
        <w:rPr>
          <w:rFonts w:eastAsia="Times New Roman" w:cstheme="minorHAnsi"/>
          <w:color w:val="000000"/>
          <w:sz w:val="20"/>
          <w:szCs w:val="20"/>
        </w:rPr>
        <w:t xml:space="preserve"> and</w:t>
      </w:r>
      <w:r w:rsidR="00086519" w:rsidRPr="00CE72BC">
        <w:rPr>
          <w:rFonts w:eastAsia="Times New Roman" w:cstheme="minorHAnsi"/>
          <w:color w:val="000000"/>
          <w:sz w:val="20"/>
          <w:szCs w:val="20"/>
        </w:rPr>
        <w:t xml:space="preserve"> </w:t>
      </w:r>
      <w:r w:rsidRPr="00CE72BC">
        <w:rPr>
          <w:rFonts w:eastAsia="Times New Roman" w:cstheme="minorHAnsi"/>
          <w:color w:val="000000"/>
          <w:sz w:val="20"/>
          <w:szCs w:val="20"/>
        </w:rPr>
        <w:t xml:space="preserve">asthma. This is a supplemental section asked in Rounds 3 and 5. </w:t>
      </w:r>
    </w:p>
    <w:p w:rsidR="005D286C" w:rsidRPr="00CE72BC" w:rsidRDefault="00735120" w:rsidP="005E69A2">
      <w:pPr>
        <w:tabs>
          <w:tab w:val="left" w:pos="360"/>
          <w:tab w:val="left" w:pos="1440"/>
        </w:tabs>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032B34" w:rsidRDefault="00032B34" w:rsidP="005612EA">
      <w:pPr>
        <w:spacing w:after="0"/>
        <w:rPr>
          <w:rFonts w:eastAsia="Times New Roman" w:cstheme="minorHAnsi"/>
          <w:b/>
          <w:bCs/>
          <w:color w:val="000000"/>
          <w:sz w:val="20"/>
          <w:szCs w:val="20"/>
        </w:rPr>
      </w:pPr>
    </w:p>
    <w:p w:rsidR="00086519"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Priority Conditions Enumeration (PE)</w:t>
      </w:r>
    </w:p>
    <w:p w:rsidR="005E69A2" w:rsidRPr="00CE72BC" w:rsidRDefault="000B72D4"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Priority Conditions Enumeration section includes questions which obtain a summary assessment of each person's physical and mental health. Additionally, information is collected about a select group of medical conditions including attention deficit hyperactivity disorder, attention deficit disorder, diabetes, asthma, high cholesterol, hypertension, coronary heart disease, angina, heart attacks, other heart disorders, strokes, emphysema, chronic bronchitis, cancer, joint pain, and arthritis. Using this information, this section creates a roster of conditions and health problems reported for each family member. Later in the interview, this roster links with health care utilization and disability day information. </w:t>
      </w:r>
      <w:r w:rsidR="005E69A2" w:rsidRPr="00CE72BC">
        <w:rPr>
          <w:rFonts w:eastAsia="Times New Roman" w:cstheme="minorHAnsi"/>
          <w:color w:val="000000"/>
          <w:sz w:val="20"/>
          <w:szCs w:val="20"/>
        </w:rPr>
        <w:t xml:space="preserve">  </w:t>
      </w:r>
    </w:p>
    <w:p w:rsidR="005D286C" w:rsidRPr="00CE72BC" w:rsidRDefault="00735120" w:rsidP="00341F9C">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912DF2" w:rsidRPr="00CE72BC" w:rsidRDefault="00912DF2" w:rsidP="00086519">
      <w:pPr>
        <w:tabs>
          <w:tab w:val="left" w:pos="360"/>
          <w:tab w:val="left" w:pos="1440"/>
        </w:tabs>
        <w:spacing w:after="0"/>
        <w:rPr>
          <w:rFonts w:eastAsia="Times New Roman" w:cstheme="minorHAnsi"/>
          <w:b/>
          <w:bCs/>
          <w:color w:val="000000"/>
          <w:sz w:val="20"/>
          <w:szCs w:val="20"/>
        </w:rPr>
      </w:pPr>
    </w:p>
    <w:p w:rsidR="00086519"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Private Health Insurance Detail (HP)</w:t>
      </w:r>
    </w:p>
    <w:p w:rsidR="005576D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collects additional detail on each private health insurance policy, including the name of the insurance company, the policyholder of each plan identified, and the household members covered by each policy. Informed consent information regarding contacting employers who provide health insurance </w:t>
      </w:r>
      <w:r w:rsidR="00C058C6" w:rsidRPr="00CE72BC">
        <w:rPr>
          <w:rFonts w:eastAsia="Times New Roman" w:cstheme="minorHAnsi"/>
          <w:color w:val="000000"/>
          <w:sz w:val="20"/>
          <w:szCs w:val="20"/>
        </w:rPr>
        <w:t>is obtained</w:t>
      </w:r>
      <w:r w:rsidRPr="00CE72BC">
        <w:rPr>
          <w:rFonts w:eastAsia="Times New Roman" w:cstheme="minorHAnsi"/>
          <w:color w:val="000000"/>
          <w:sz w:val="20"/>
          <w:szCs w:val="20"/>
        </w:rPr>
        <w:t xml:space="preserve">. </w:t>
      </w:r>
    </w:p>
    <w:p w:rsidR="00044445" w:rsidRPr="00CE72BC" w:rsidRDefault="00044445" w:rsidP="00044445">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682248">
        <w:rPr>
          <w:rFonts w:eastAsia="Times New Roman" w:cstheme="minorHAnsi"/>
          <w:b/>
          <w:color w:val="000000"/>
          <w:sz w:val="20"/>
          <w:szCs w:val="20"/>
        </w:rPr>
        <w:t>Changes:</w:t>
      </w:r>
      <w:r w:rsidR="00682248">
        <w:rPr>
          <w:rFonts w:eastAsia="Times New Roman" w:cstheme="minorHAnsi"/>
          <w:b/>
          <w:color w:val="000000"/>
          <w:sz w:val="20"/>
          <w:szCs w:val="20"/>
        </w:rPr>
        <w:tab/>
        <w:t>None</w:t>
      </w:r>
    </w:p>
    <w:p w:rsidR="00086519" w:rsidRPr="00CE72BC" w:rsidRDefault="00086519" w:rsidP="00032B34">
      <w:pPr>
        <w:tabs>
          <w:tab w:val="left" w:pos="360"/>
          <w:tab w:val="left" w:pos="1440"/>
        </w:tabs>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br/>
      </w:r>
      <w:r w:rsidR="006932F2" w:rsidRPr="00CE72BC">
        <w:rPr>
          <w:rFonts w:eastAsia="Times New Roman" w:cstheme="minorHAnsi"/>
          <w:b/>
          <w:bCs/>
          <w:color w:val="000000"/>
          <w:sz w:val="20"/>
          <w:szCs w:val="20"/>
        </w:rPr>
        <w:t>Provider Directory (PD)</w:t>
      </w:r>
    </w:p>
    <w:p w:rsidR="006932F2" w:rsidRPr="00CE72BC" w:rsidRDefault="006932F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Provider Directory section compiles a directory of all medical persons and medical facilities reported by MEPS respondents. It clarifies the relationship of each medical provider to the person's insurance plan and verifies the name, address, and telephone number of the provider.  </w:t>
      </w:r>
    </w:p>
    <w:p w:rsidR="00682248" w:rsidRPr="00CE72BC" w:rsidRDefault="00682248" w:rsidP="00682248">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032B34" w:rsidRDefault="00180CA1" w:rsidP="00032B34">
      <w:pPr>
        <w:spacing w:after="0"/>
        <w:rPr>
          <w:rFonts w:eastAsia="Times New Roman" w:cstheme="minorHAnsi"/>
          <w:b/>
          <w:bCs/>
          <w:color w:val="000000"/>
          <w:sz w:val="20"/>
          <w:szCs w:val="20"/>
        </w:rPr>
      </w:pPr>
      <w:r w:rsidRPr="00CE72BC">
        <w:rPr>
          <w:rFonts w:eastAsia="Times New Roman" w:cstheme="minorHAnsi"/>
          <w:b/>
          <w:bCs/>
          <w:color w:val="000000"/>
          <w:sz w:val="20"/>
          <w:szCs w:val="20"/>
        </w:rPr>
        <w:t>Provider Probes (PP)</w:t>
      </w:r>
    </w:p>
    <w:p w:rsidR="00180CA1" w:rsidRPr="00CE72BC" w:rsidRDefault="00180CA1" w:rsidP="00032B34">
      <w:pPr>
        <w:rPr>
          <w:rFonts w:eastAsia="Times New Roman" w:cstheme="minorHAnsi"/>
          <w:color w:val="000000"/>
          <w:sz w:val="20"/>
          <w:szCs w:val="20"/>
        </w:rPr>
      </w:pPr>
      <w:r w:rsidRPr="00CE72BC">
        <w:rPr>
          <w:rFonts w:eastAsia="Times New Roman" w:cstheme="minorHAnsi"/>
          <w:color w:val="000000"/>
          <w:sz w:val="20"/>
          <w:szCs w:val="20"/>
        </w:rPr>
        <w:t xml:space="preserve">The Provider Probes section collects the information required to create a medical event in the database, i.e., the type of event, the person incurring the event, the health care provider, and the date(s) of the event. This section links with the Event Roster, Provider Roster, and Event Driver sections.  </w:t>
      </w:r>
      <w:r w:rsidR="0016219C" w:rsidRPr="00CE72BC">
        <w:rPr>
          <w:rFonts w:eastAsia="Times New Roman" w:cstheme="minorHAnsi"/>
          <w:color w:val="000000"/>
          <w:sz w:val="20"/>
          <w:szCs w:val="20"/>
        </w:rPr>
        <w:t>Included are</w:t>
      </w:r>
      <w:r w:rsidRPr="00CE72BC">
        <w:rPr>
          <w:rFonts w:eastAsia="Times New Roman" w:cstheme="minorHAnsi"/>
          <w:color w:val="000000"/>
          <w:sz w:val="20"/>
          <w:szCs w:val="20"/>
        </w:rPr>
        <w:t xml:space="preserve"> questions about independent labs/testing facilities and alte</w:t>
      </w:r>
      <w:r w:rsidR="0016219C" w:rsidRPr="00CE72BC">
        <w:rPr>
          <w:rFonts w:eastAsia="Times New Roman" w:cstheme="minorHAnsi"/>
          <w:color w:val="000000"/>
          <w:sz w:val="20"/>
          <w:szCs w:val="20"/>
        </w:rPr>
        <w:t>rnative care</w:t>
      </w:r>
      <w:r w:rsidRPr="00CE72BC">
        <w:rPr>
          <w:rFonts w:eastAsia="Times New Roman" w:cstheme="minorHAnsi"/>
          <w:color w:val="000000"/>
          <w:sz w:val="20"/>
          <w:szCs w:val="20"/>
        </w:rPr>
        <w:t xml:space="preserve">. </w:t>
      </w:r>
    </w:p>
    <w:p w:rsidR="00682248" w:rsidRPr="00CE72BC" w:rsidRDefault="00682248" w:rsidP="00682248">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7F3104" w:rsidRPr="00CE72BC" w:rsidRDefault="009127A3"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br/>
      </w:r>
      <w:r w:rsidR="00F541D6" w:rsidRPr="00CE72BC">
        <w:rPr>
          <w:rFonts w:eastAsia="Times New Roman" w:cstheme="minorHAnsi"/>
          <w:b/>
          <w:bCs/>
          <w:color w:val="000000"/>
          <w:sz w:val="20"/>
          <w:szCs w:val="20"/>
        </w:rPr>
        <w:t>Provider Roster (PV)</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creates a roster to display the name and street address of each provider and/or facility associated with each person's medical events detailed in the Event Roster. This information is strictly confidential.  </w:t>
      </w:r>
    </w:p>
    <w:p w:rsidR="00534C06" w:rsidRPr="00CE72BC" w:rsidRDefault="00F541D6" w:rsidP="00534C06">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534C06"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032B34" w:rsidRDefault="00032B34" w:rsidP="005612EA">
      <w:pPr>
        <w:spacing w:after="0"/>
        <w:rPr>
          <w:rFonts w:eastAsia="Times New Roman" w:cstheme="minorHAnsi"/>
          <w:b/>
          <w:bCs/>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RU Information Screen (RS)</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To assist in conducting subsequent interviews, the interviewer records helpful information in this section, such as special instructions, special problems, locating directions, difficulties with the CAPI administration, and whether the household moved.  </w:t>
      </w:r>
    </w:p>
    <w:p w:rsidR="00473791" w:rsidRPr="00CE72BC" w:rsidRDefault="00473791" w:rsidP="00473791">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032B34" w:rsidRDefault="00032B34" w:rsidP="005612EA">
      <w:pPr>
        <w:spacing w:after="0"/>
        <w:rPr>
          <w:rFonts w:eastAsia="Times New Roman" w:cstheme="minorHAnsi"/>
          <w:b/>
          <w:bCs/>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Reenumeration-A (RE-A)</w:t>
      </w:r>
    </w:p>
    <w:p w:rsidR="00F541D6"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Reenumeration refers to the process of collecting </w:t>
      </w:r>
      <w:r w:rsidRPr="00CE72BC">
        <w:rPr>
          <w:rFonts w:eastAsia="Times New Roman" w:cstheme="minorHAnsi"/>
          <w:bCs/>
          <w:color w:val="000000"/>
          <w:sz w:val="20"/>
          <w:szCs w:val="20"/>
        </w:rPr>
        <w:t>eligibility and demographic data</w:t>
      </w:r>
      <w:r w:rsidRPr="00CE72BC">
        <w:rPr>
          <w:rFonts w:eastAsia="Times New Roman" w:cstheme="minorHAnsi"/>
          <w:color w:val="000000"/>
          <w:sz w:val="20"/>
          <w:szCs w:val="20"/>
        </w:rPr>
        <w:t xml:space="preserve"> on each person associated with a household participating in MEPS. The Reenumeration section has two parts, Reenumeration-A and Reenumeration-B. RE-A -- Reenumeration-A Part A includes questions RE01 through RE75, which identify and define the eligibility status for each person and family unit living within each MEPS sampled household, as well as any family members who are temporarily living away from the household. Part A identifies the reference period for each family unit and the person that serves as the primary respondent for the family is identified. It also obtains age, gender, and marital status for each person.  </w:t>
      </w:r>
    </w:p>
    <w:p w:rsidR="00270EDC" w:rsidRPr="00CE72BC" w:rsidRDefault="00270EDC" w:rsidP="00270EDC">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111F32" w:rsidRPr="00CE72BC" w:rsidRDefault="00111F32" w:rsidP="007F3104">
      <w:pPr>
        <w:tabs>
          <w:tab w:val="left" w:pos="360"/>
          <w:tab w:val="left" w:pos="1440"/>
        </w:tabs>
        <w:spacing w:after="0"/>
        <w:rPr>
          <w:rFonts w:eastAsia="Times New Roman" w:cstheme="minorHAnsi"/>
          <w:b/>
          <w:bCs/>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Reenumeration-B (RE-B)</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Reenumeration-B Part B of the Reenumeration section includes questions RE76 through RE112. This section details how family members are related to one another and the size of the family unit. Race, ethnicity, educational attainment, and military status for each person are specified.  </w:t>
      </w:r>
    </w:p>
    <w:p w:rsidR="003E0996" w:rsidRPr="00CE72BC" w:rsidRDefault="003E0996" w:rsidP="003E0996">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FA4597" w:rsidRPr="00CE72BC" w:rsidRDefault="00FA4597" w:rsidP="007F3104">
      <w:pPr>
        <w:tabs>
          <w:tab w:val="left" w:pos="360"/>
          <w:tab w:val="left" w:pos="1440"/>
        </w:tabs>
        <w:spacing w:after="0"/>
        <w:rPr>
          <w:rFonts w:eastAsia="Times New Roman" w:cstheme="minorHAnsi"/>
          <w:b/>
          <w:bCs/>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Review of Employment Information (RJ)</w:t>
      </w:r>
    </w:p>
    <w:p w:rsidR="00F4119F" w:rsidRDefault="00F541D6" w:rsidP="00227B98">
      <w:pPr>
        <w:spacing w:line="240" w:lineRule="auto"/>
        <w:rPr>
          <w:rFonts w:eastAsia="Times New Roman" w:cstheme="minorHAnsi"/>
          <w:color w:val="000000"/>
          <w:sz w:val="20"/>
          <w:szCs w:val="20"/>
        </w:rPr>
      </w:pPr>
      <w:r w:rsidRPr="00CE72BC">
        <w:rPr>
          <w:rFonts w:eastAsia="Times New Roman" w:cstheme="minorHAnsi"/>
          <w:color w:val="000000"/>
          <w:sz w:val="20"/>
          <w:szCs w:val="20"/>
        </w:rPr>
        <w:t>In Rounds 2 through 5, the Review of Employment Information reviews employment information for any current job identified during the previous round. It collects updated information on job status, salary where changes in wages occur, full- or part-time work, health insurance benefits, and size of employment establishment if the jobholder is self employed. Questions</w:t>
      </w:r>
      <w:r w:rsidR="001E27EB" w:rsidRPr="00CE72BC">
        <w:rPr>
          <w:rFonts w:eastAsia="Times New Roman" w:cstheme="minorHAnsi"/>
          <w:color w:val="000000"/>
          <w:sz w:val="20"/>
          <w:szCs w:val="20"/>
        </w:rPr>
        <w:t xml:space="preserve"> are asked</w:t>
      </w:r>
      <w:r w:rsidRPr="00CE72BC">
        <w:rPr>
          <w:rFonts w:eastAsia="Times New Roman" w:cstheme="minorHAnsi"/>
          <w:color w:val="000000"/>
          <w:sz w:val="20"/>
          <w:szCs w:val="20"/>
        </w:rPr>
        <w:t xml:space="preserve"> about whether the person's job was temporary or s</w:t>
      </w:r>
      <w:r w:rsidR="001E27EB" w:rsidRPr="00CE72BC">
        <w:rPr>
          <w:rFonts w:eastAsia="Times New Roman" w:cstheme="minorHAnsi"/>
          <w:color w:val="000000"/>
          <w:sz w:val="20"/>
          <w:szCs w:val="20"/>
        </w:rPr>
        <w:t>easonal, and a</w:t>
      </w:r>
      <w:r w:rsidRPr="00CE72BC">
        <w:rPr>
          <w:rFonts w:eastAsia="Times New Roman" w:cstheme="minorHAnsi"/>
          <w:color w:val="000000"/>
          <w:sz w:val="20"/>
          <w:szCs w:val="20"/>
        </w:rPr>
        <w:t>dditional questions</w:t>
      </w:r>
      <w:r w:rsidR="001E27EB" w:rsidRPr="00CE72BC">
        <w:rPr>
          <w:rFonts w:eastAsia="Times New Roman" w:cstheme="minorHAnsi"/>
          <w:color w:val="000000"/>
          <w:sz w:val="20"/>
          <w:szCs w:val="20"/>
        </w:rPr>
        <w:t xml:space="preserve"> are asked</w:t>
      </w:r>
      <w:r w:rsidRPr="00CE72BC">
        <w:rPr>
          <w:rFonts w:eastAsia="Times New Roman" w:cstheme="minorHAnsi"/>
          <w:color w:val="000000"/>
          <w:sz w:val="20"/>
          <w:szCs w:val="20"/>
        </w:rPr>
        <w:t xml:space="preserve"> about health insurance, including whether it was offered to the person, whether it was offered to any employee, and why the person was not eligible</w:t>
      </w:r>
      <w:r w:rsidR="001E27EB" w:rsidRPr="00CE72BC">
        <w:rPr>
          <w:rFonts w:eastAsia="Times New Roman" w:cstheme="minorHAnsi"/>
          <w:color w:val="000000"/>
          <w:sz w:val="20"/>
          <w:szCs w:val="20"/>
        </w:rPr>
        <w:t>.</w:t>
      </w:r>
      <w:r w:rsidR="00326C3A" w:rsidRPr="00CE72BC">
        <w:rPr>
          <w:rFonts w:eastAsia="Times New Roman" w:cstheme="minorHAnsi"/>
          <w:color w:val="000000"/>
          <w:sz w:val="20"/>
          <w:szCs w:val="20"/>
        </w:rPr>
        <w:tab/>
      </w:r>
    </w:p>
    <w:p w:rsidR="003E0996" w:rsidRPr="00CE72BC" w:rsidRDefault="003E0996" w:rsidP="003E0996">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r>
      <w:r w:rsidR="00270EDC">
        <w:rPr>
          <w:rFonts w:eastAsia="Times New Roman" w:cstheme="minorHAnsi"/>
          <w:b/>
          <w:color w:val="000000"/>
          <w:sz w:val="20"/>
          <w:szCs w:val="20"/>
        </w:rPr>
        <w:t>See those reported in ACA section at top of document</w:t>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Satisfaction with Health Plan (SP)</w:t>
      </w:r>
    </w:p>
    <w:p w:rsidR="00F541D6"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Satisfaction with Health Plan section collects satisfaction information for private insurance, Medigap, Medicare managed care programs, Medicaid/SCHIP, and TRICARE insurance. The information collected includes ease of access to medical care, need to seek approval for medical treatments and delays in care experienced while waiting for approval, ease of access to understandable plan information and repercussions of poor access, need to complete paperwork and problems filling out paperwork, and an overall rating of the health plan. </w:t>
      </w:r>
    </w:p>
    <w:p w:rsidR="003E0996" w:rsidRPr="00CE72BC" w:rsidRDefault="003E0996" w:rsidP="003E0996">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7F3104" w:rsidRPr="00CE72BC" w:rsidRDefault="009127A3"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br/>
      </w:r>
      <w:r w:rsidR="00A83131" w:rsidRPr="00CE72BC">
        <w:rPr>
          <w:rFonts w:eastAsia="Times New Roman" w:cstheme="minorHAnsi"/>
          <w:b/>
          <w:bCs/>
          <w:color w:val="000000"/>
          <w:sz w:val="20"/>
          <w:szCs w:val="20"/>
        </w:rPr>
        <w:t>Time Period Covered Detail (HQ)</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clarifies the timeframe for which each person was covered by each reported health insurance policy. It links to the Health Insurance (HX), Private Health Insurance Detail (HP), and Old Public Related Insurance (PR) sections.  </w:t>
      </w:r>
    </w:p>
    <w:p w:rsidR="003E0996" w:rsidRPr="00CE72BC" w:rsidRDefault="003E0996" w:rsidP="003E0996">
      <w:pPr>
        <w:spacing w:line="240" w:lineRule="auto"/>
        <w:rPr>
          <w:rFonts w:eastAsia="Times New Roman" w:cstheme="minorHAnsi"/>
          <w:color w:val="000000"/>
          <w:sz w:val="20"/>
          <w:szCs w:val="20"/>
        </w:rPr>
      </w:pPr>
      <w:r>
        <w:rPr>
          <w:rFonts w:eastAsia="Times New Roman" w:cstheme="minorHAnsi"/>
          <w:b/>
          <w:color w:val="000000"/>
          <w:sz w:val="20"/>
          <w:szCs w:val="20"/>
        </w:rPr>
        <w:t xml:space="preserve">         Changes:</w:t>
      </w:r>
      <w:r>
        <w:rPr>
          <w:rFonts w:eastAsia="Times New Roman" w:cstheme="minorHAnsi"/>
          <w:b/>
          <w:color w:val="000000"/>
          <w:sz w:val="20"/>
          <w:szCs w:val="20"/>
        </w:rPr>
        <w:tab/>
        <w:t>None</w:t>
      </w:r>
    </w:p>
    <w:p w:rsidR="0098446B" w:rsidRDefault="0098446B" w:rsidP="003F50E3">
      <w:pPr>
        <w:tabs>
          <w:tab w:val="left" w:pos="360"/>
          <w:tab w:val="left" w:pos="1440"/>
        </w:tabs>
        <w:rPr>
          <w:rFonts w:eastAsia="Times New Roman" w:cstheme="minorHAnsi"/>
          <w:b/>
          <w:color w:val="000000"/>
          <w:sz w:val="20"/>
          <w:szCs w:val="20"/>
        </w:rPr>
      </w:pPr>
    </w:p>
    <w:p w:rsidR="0098446B" w:rsidRPr="0098446B" w:rsidRDefault="0098446B" w:rsidP="0098446B">
      <w:pPr>
        <w:rPr>
          <w:rFonts w:cs="Times New Roman"/>
          <w:b/>
          <w:bCs/>
          <w:sz w:val="20"/>
          <w:szCs w:val="20"/>
        </w:rPr>
      </w:pPr>
      <w:r w:rsidRPr="0098446B">
        <w:rPr>
          <w:rFonts w:cs="Times New Roman"/>
          <w:b/>
          <w:bCs/>
          <w:sz w:val="20"/>
          <w:szCs w:val="20"/>
        </w:rPr>
        <w:t>Method of Collection:</w:t>
      </w:r>
    </w:p>
    <w:p w:rsidR="0098446B" w:rsidRPr="0098446B" w:rsidRDefault="0098446B" w:rsidP="0098446B">
      <w:pPr>
        <w:outlineLvl w:val="0"/>
        <w:rPr>
          <w:rFonts w:cs="Times New Roman"/>
          <w:bCs/>
          <w:sz w:val="20"/>
          <w:szCs w:val="20"/>
        </w:rPr>
      </w:pPr>
      <w:r w:rsidRPr="0098446B">
        <w:rPr>
          <w:rFonts w:cs="Times New Roman"/>
          <w:bCs/>
          <w:sz w:val="20"/>
          <w:szCs w:val="20"/>
        </w:rPr>
        <w:t>There are no changes to the current data collection methods.</w:t>
      </w:r>
    </w:p>
    <w:p w:rsidR="00032B34" w:rsidRDefault="00032B34" w:rsidP="0098446B">
      <w:pPr>
        <w:outlineLvl w:val="0"/>
        <w:rPr>
          <w:rFonts w:cs="Times New Roman"/>
          <w:b/>
          <w:bCs/>
          <w:sz w:val="20"/>
          <w:szCs w:val="20"/>
        </w:rPr>
      </w:pPr>
    </w:p>
    <w:p w:rsidR="0098446B" w:rsidRPr="0098446B" w:rsidRDefault="0098446B" w:rsidP="0098446B">
      <w:pPr>
        <w:outlineLvl w:val="0"/>
        <w:rPr>
          <w:rFonts w:cs="Times New Roman"/>
          <w:b/>
          <w:bCs/>
          <w:sz w:val="20"/>
          <w:szCs w:val="20"/>
        </w:rPr>
      </w:pPr>
      <w:r w:rsidRPr="0098446B">
        <w:rPr>
          <w:rFonts w:cs="Times New Roman"/>
          <w:b/>
          <w:bCs/>
          <w:sz w:val="20"/>
          <w:szCs w:val="20"/>
        </w:rPr>
        <w:t>Estimated Annual Respondent Burden:</w:t>
      </w:r>
    </w:p>
    <w:p w:rsidR="0098446B" w:rsidRPr="0098446B" w:rsidRDefault="0098446B" w:rsidP="0098446B">
      <w:pPr>
        <w:rPr>
          <w:rFonts w:cs="Times New Roman"/>
          <w:bCs/>
          <w:sz w:val="20"/>
          <w:szCs w:val="20"/>
        </w:rPr>
      </w:pPr>
      <w:r w:rsidRPr="0098446B">
        <w:rPr>
          <w:rFonts w:cs="Times New Roman"/>
          <w:bCs/>
          <w:sz w:val="20"/>
          <w:szCs w:val="20"/>
        </w:rPr>
        <w:t>There are no changes to the current burden estimates.</w:t>
      </w:r>
    </w:p>
    <w:p w:rsidR="00032B34" w:rsidRDefault="00032B34" w:rsidP="0098446B">
      <w:pPr>
        <w:rPr>
          <w:rFonts w:cs="Times New Roman"/>
          <w:b/>
          <w:bCs/>
          <w:sz w:val="20"/>
          <w:szCs w:val="20"/>
        </w:rPr>
      </w:pPr>
    </w:p>
    <w:p w:rsidR="0098446B" w:rsidRPr="0098446B" w:rsidRDefault="0098446B" w:rsidP="0098446B">
      <w:pPr>
        <w:rPr>
          <w:rFonts w:cs="Times New Roman"/>
          <w:b/>
          <w:bCs/>
          <w:sz w:val="20"/>
          <w:szCs w:val="20"/>
        </w:rPr>
      </w:pPr>
      <w:r w:rsidRPr="0098446B">
        <w:rPr>
          <w:rFonts w:cs="Times New Roman"/>
          <w:b/>
          <w:bCs/>
          <w:sz w:val="20"/>
          <w:szCs w:val="20"/>
        </w:rPr>
        <w:t>Estimated Annual Costs to the Federal Government:</w:t>
      </w:r>
    </w:p>
    <w:p w:rsidR="0098446B" w:rsidRPr="0098446B" w:rsidRDefault="0098446B" w:rsidP="0098446B">
      <w:pPr>
        <w:rPr>
          <w:rFonts w:cs="Times New Roman"/>
          <w:bCs/>
          <w:sz w:val="20"/>
          <w:szCs w:val="20"/>
        </w:rPr>
      </w:pPr>
      <w:r w:rsidRPr="0098446B">
        <w:rPr>
          <w:rFonts w:cs="Times New Roman"/>
          <w:bCs/>
          <w:sz w:val="20"/>
          <w:szCs w:val="20"/>
        </w:rPr>
        <w:t>There are no changes to the current cost estimates.</w:t>
      </w:r>
    </w:p>
    <w:p w:rsidR="0098446B" w:rsidRPr="00857C34" w:rsidRDefault="0098446B" w:rsidP="003F50E3">
      <w:pPr>
        <w:tabs>
          <w:tab w:val="left" w:pos="360"/>
          <w:tab w:val="left" w:pos="1440"/>
        </w:tabs>
        <w:rPr>
          <w:rFonts w:eastAsia="Times New Roman" w:cstheme="minorHAnsi"/>
          <w:b/>
          <w:bCs/>
          <w:color w:val="000000"/>
          <w:sz w:val="20"/>
          <w:szCs w:val="20"/>
        </w:rPr>
      </w:pPr>
    </w:p>
    <w:sectPr w:rsidR="0098446B" w:rsidRPr="00857C34" w:rsidSect="0098712B">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15619"/>
    <w:multiLevelType w:val="hybridMultilevel"/>
    <w:tmpl w:val="436E3C0A"/>
    <w:lvl w:ilvl="0" w:tplc="2E388888">
      <w:start w:val="1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31"/>
    <w:rsid w:val="00002DE5"/>
    <w:rsid w:val="00006F2E"/>
    <w:rsid w:val="00013711"/>
    <w:rsid w:val="00030E2E"/>
    <w:rsid w:val="00032B34"/>
    <w:rsid w:val="00044445"/>
    <w:rsid w:val="0004674A"/>
    <w:rsid w:val="0005187D"/>
    <w:rsid w:val="00056D88"/>
    <w:rsid w:val="00086519"/>
    <w:rsid w:val="000872F9"/>
    <w:rsid w:val="000922A3"/>
    <w:rsid w:val="00093515"/>
    <w:rsid w:val="00097208"/>
    <w:rsid w:val="000B72D4"/>
    <w:rsid w:val="000C1010"/>
    <w:rsid w:val="000C7BC1"/>
    <w:rsid w:val="000F338F"/>
    <w:rsid w:val="000F6FCE"/>
    <w:rsid w:val="00104884"/>
    <w:rsid w:val="00111F32"/>
    <w:rsid w:val="001130C2"/>
    <w:rsid w:val="001307A8"/>
    <w:rsid w:val="00157FDF"/>
    <w:rsid w:val="00161C57"/>
    <w:rsid w:val="0016219C"/>
    <w:rsid w:val="0017427C"/>
    <w:rsid w:val="00180CA1"/>
    <w:rsid w:val="001B133F"/>
    <w:rsid w:val="001C0581"/>
    <w:rsid w:val="001E1D61"/>
    <w:rsid w:val="001E27EB"/>
    <w:rsid w:val="001E6B23"/>
    <w:rsid w:val="001F3D6E"/>
    <w:rsid w:val="00203815"/>
    <w:rsid w:val="00227B98"/>
    <w:rsid w:val="0023765C"/>
    <w:rsid w:val="002474A5"/>
    <w:rsid w:val="002579DF"/>
    <w:rsid w:val="00264364"/>
    <w:rsid w:val="00270EDC"/>
    <w:rsid w:val="002C36E4"/>
    <w:rsid w:val="002E4CE4"/>
    <w:rsid w:val="00320DAE"/>
    <w:rsid w:val="00326C3A"/>
    <w:rsid w:val="00340105"/>
    <w:rsid w:val="00341F9C"/>
    <w:rsid w:val="00383B05"/>
    <w:rsid w:val="00387073"/>
    <w:rsid w:val="003B434A"/>
    <w:rsid w:val="003B6116"/>
    <w:rsid w:val="003D0B9C"/>
    <w:rsid w:val="003D70A1"/>
    <w:rsid w:val="003E0996"/>
    <w:rsid w:val="003E1724"/>
    <w:rsid w:val="003E6413"/>
    <w:rsid w:val="003F1B61"/>
    <w:rsid w:val="003F50E3"/>
    <w:rsid w:val="003F67BF"/>
    <w:rsid w:val="00413A03"/>
    <w:rsid w:val="00422606"/>
    <w:rsid w:val="00452227"/>
    <w:rsid w:val="004677FF"/>
    <w:rsid w:val="00473791"/>
    <w:rsid w:val="0048536B"/>
    <w:rsid w:val="00485C1E"/>
    <w:rsid w:val="00494F30"/>
    <w:rsid w:val="004A2B7D"/>
    <w:rsid w:val="004A38C9"/>
    <w:rsid w:val="004A7FBF"/>
    <w:rsid w:val="004B705A"/>
    <w:rsid w:val="004C3F22"/>
    <w:rsid w:val="004C4254"/>
    <w:rsid w:val="004C43CE"/>
    <w:rsid w:val="004C5730"/>
    <w:rsid w:val="004D20A4"/>
    <w:rsid w:val="004D445A"/>
    <w:rsid w:val="004E3C84"/>
    <w:rsid w:val="00512563"/>
    <w:rsid w:val="005144A0"/>
    <w:rsid w:val="005241AC"/>
    <w:rsid w:val="00534C06"/>
    <w:rsid w:val="005471CF"/>
    <w:rsid w:val="005576DC"/>
    <w:rsid w:val="005612EA"/>
    <w:rsid w:val="005922D2"/>
    <w:rsid w:val="00593FFC"/>
    <w:rsid w:val="00595CB0"/>
    <w:rsid w:val="005A4F7A"/>
    <w:rsid w:val="005B1F4A"/>
    <w:rsid w:val="005B6D22"/>
    <w:rsid w:val="005D286C"/>
    <w:rsid w:val="005D3CF6"/>
    <w:rsid w:val="005E69A2"/>
    <w:rsid w:val="005F0FB4"/>
    <w:rsid w:val="005F1649"/>
    <w:rsid w:val="005F75E2"/>
    <w:rsid w:val="00604E1E"/>
    <w:rsid w:val="00606AB5"/>
    <w:rsid w:val="0061787C"/>
    <w:rsid w:val="006256A5"/>
    <w:rsid w:val="00627445"/>
    <w:rsid w:val="006318F2"/>
    <w:rsid w:val="00647618"/>
    <w:rsid w:val="00655EFB"/>
    <w:rsid w:val="00657D40"/>
    <w:rsid w:val="00663024"/>
    <w:rsid w:val="00677753"/>
    <w:rsid w:val="00682248"/>
    <w:rsid w:val="0068252A"/>
    <w:rsid w:val="006932F2"/>
    <w:rsid w:val="00695756"/>
    <w:rsid w:val="006B4AA7"/>
    <w:rsid w:val="006B5389"/>
    <w:rsid w:val="006E373C"/>
    <w:rsid w:val="007034A4"/>
    <w:rsid w:val="00705C03"/>
    <w:rsid w:val="007154E0"/>
    <w:rsid w:val="007161F6"/>
    <w:rsid w:val="00726D8B"/>
    <w:rsid w:val="00733E2C"/>
    <w:rsid w:val="00733ECA"/>
    <w:rsid w:val="00735120"/>
    <w:rsid w:val="00743D02"/>
    <w:rsid w:val="00750EB8"/>
    <w:rsid w:val="00762966"/>
    <w:rsid w:val="00770A10"/>
    <w:rsid w:val="00770D79"/>
    <w:rsid w:val="007733A8"/>
    <w:rsid w:val="00792C67"/>
    <w:rsid w:val="00796F9C"/>
    <w:rsid w:val="007B7679"/>
    <w:rsid w:val="007E2394"/>
    <w:rsid w:val="007F3104"/>
    <w:rsid w:val="008052A2"/>
    <w:rsid w:val="008142D4"/>
    <w:rsid w:val="00815A82"/>
    <w:rsid w:val="00833F3A"/>
    <w:rsid w:val="00850031"/>
    <w:rsid w:val="00857C34"/>
    <w:rsid w:val="0086190C"/>
    <w:rsid w:val="00891943"/>
    <w:rsid w:val="008B4681"/>
    <w:rsid w:val="008B7A73"/>
    <w:rsid w:val="008C5762"/>
    <w:rsid w:val="008D40CF"/>
    <w:rsid w:val="008E0903"/>
    <w:rsid w:val="008E38D0"/>
    <w:rsid w:val="00900359"/>
    <w:rsid w:val="009127A3"/>
    <w:rsid w:val="00912DF2"/>
    <w:rsid w:val="00933853"/>
    <w:rsid w:val="0094573F"/>
    <w:rsid w:val="00953E32"/>
    <w:rsid w:val="00961750"/>
    <w:rsid w:val="0098446B"/>
    <w:rsid w:val="0098712B"/>
    <w:rsid w:val="009A4D78"/>
    <w:rsid w:val="009A53DF"/>
    <w:rsid w:val="009D23A1"/>
    <w:rsid w:val="009D54B8"/>
    <w:rsid w:val="009D5AE4"/>
    <w:rsid w:val="009F2F3A"/>
    <w:rsid w:val="00A00381"/>
    <w:rsid w:val="00A01A17"/>
    <w:rsid w:val="00A173DD"/>
    <w:rsid w:val="00A20CF4"/>
    <w:rsid w:val="00A45AE2"/>
    <w:rsid w:val="00A54416"/>
    <w:rsid w:val="00A551A9"/>
    <w:rsid w:val="00A60DB7"/>
    <w:rsid w:val="00A66F59"/>
    <w:rsid w:val="00A807CF"/>
    <w:rsid w:val="00A83131"/>
    <w:rsid w:val="00A92D57"/>
    <w:rsid w:val="00A92EBA"/>
    <w:rsid w:val="00AE22E4"/>
    <w:rsid w:val="00AF7B2C"/>
    <w:rsid w:val="00B03A30"/>
    <w:rsid w:val="00B0686D"/>
    <w:rsid w:val="00B12BFB"/>
    <w:rsid w:val="00B32843"/>
    <w:rsid w:val="00B373AF"/>
    <w:rsid w:val="00B44A52"/>
    <w:rsid w:val="00B46511"/>
    <w:rsid w:val="00B93375"/>
    <w:rsid w:val="00BA0257"/>
    <w:rsid w:val="00BA4243"/>
    <w:rsid w:val="00BC543E"/>
    <w:rsid w:val="00BF15B9"/>
    <w:rsid w:val="00C058C6"/>
    <w:rsid w:val="00C11349"/>
    <w:rsid w:val="00C122FA"/>
    <w:rsid w:val="00C23150"/>
    <w:rsid w:val="00C30802"/>
    <w:rsid w:val="00C402DA"/>
    <w:rsid w:val="00C72063"/>
    <w:rsid w:val="00C92853"/>
    <w:rsid w:val="00CB670A"/>
    <w:rsid w:val="00CE41BA"/>
    <w:rsid w:val="00CE72BC"/>
    <w:rsid w:val="00CF7C3B"/>
    <w:rsid w:val="00D00CC0"/>
    <w:rsid w:val="00D104CA"/>
    <w:rsid w:val="00D1737F"/>
    <w:rsid w:val="00D44565"/>
    <w:rsid w:val="00D74471"/>
    <w:rsid w:val="00D94606"/>
    <w:rsid w:val="00D96001"/>
    <w:rsid w:val="00DA33A1"/>
    <w:rsid w:val="00DA3549"/>
    <w:rsid w:val="00DA5728"/>
    <w:rsid w:val="00DB59F3"/>
    <w:rsid w:val="00DB7312"/>
    <w:rsid w:val="00DD1BAD"/>
    <w:rsid w:val="00DD292E"/>
    <w:rsid w:val="00DE290A"/>
    <w:rsid w:val="00DE4CDF"/>
    <w:rsid w:val="00DF1DFA"/>
    <w:rsid w:val="00DF37B3"/>
    <w:rsid w:val="00E056CE"/>
    <w:rsid w:val="00E210B5"/>
    <w:rsid w:val="00E354FF"/>
    <w:rsid w:val="00E61914"/>
    <w:rsid w:val="00E652D7"/>
    <w:rsid w:val="00E74E2F"/>
    <w:rsid w:val="00E77126"/>
    <w:rsid w:val="00E80130"/>
    <w:rsid w:val="00E83588"/>
    <w:rsid w:val="00E918F6"/>
    <w:rsid w:val="00EA3FB4"/>
    <w:rsid w:val="00EB4DF3"/>
    <w:rsid w:val="00EB63B3"/>
    <w:rsid w:val="00EC1807"/>
    <w:rsid w:val="00EE13E9"/>
    <w:rsid w:val="00EE1E68"/>
    <w:rsid w:val="00EE542D"/>
    <w:rsid w:val="00EE5467"/>
    <w:rsid w:val="00EF455F"/>
    <w:rsid w:val="00F05124"/>
    <w:rsid w:val="00F12213"/>
    <w:rsid w:val="00F237A4"/>
    <w:rsid w:val="00F259E3"/>
    <w:rsid w:val="00F34CCE"/>
    <w:rsid w:val="00F374BD"/>
    <w:rsid w:val="00F4119F"/>
    <w:rsid w:val="00F541D6"/>
    <w:rsid w:val="00F564F0"/>
    <w:rsid w:val="00F75B85"/>
    <w:rsid w:val="00FA2BD0"/>
    <w:rsid w:val="00FA4597"/>
    <w:rsid w:val="00FC1CB2"/>
    <w:rsid w:val="00FC7D10"/>
    <w:rsid w:val="00FD0325"/>
    <w:rsid w:val="00FD3775"/>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 w:type="paragraph" w:styleId="ListParagraph">
    <w:name w:val="List Paragraph"/>
    <w:basedOn w:val="Normal"/>
    <w:uiPriority w:val="34"/>
    <w:qFormat/>
    <w:rsid w:val="00663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 w:type="paragraph" w:styleId="ListParagraph">
    <w:name w:val="List Paragraph"/>
    <w:basedOn w:val="Normal"/>
    <w:uiPriority w:val="34"/>
    <w:qFormat/>
    <w:rsid w:val="00663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7DC2-2EFD-4799-A227-C1C8A90E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3477</Words>
  <Characters>19820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2</cp:revision>
  <cp:lastPrinted>2015-01-22T14:35:00Z</cp:lastPrinted>
  <dcterms:created xsi:type="dcterms:W3CDTF">2015-09-09T19:48:00Z</dcterms:created>
  <dcterms:modified xsi:type="dcterms:W3CDTF">2015-09-09T19:48:00Z</dcterms:modified>
</cp:coreProperties>
</file>