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ABCCE" w14:textId="77777777" w:rsidR="00222634" w:rsidRDefault="00222634">
      <w:pPr>
        <w:jc w:val="center"/>
      </w:pPr>
      <w:bookmarkStart w:id="0" w:name="_GoBack"/>
      <w:bookmarkEnd w:id="0"/>
      <w:r>
        <w:rPr>
          <w:b/>
          <w:i/>
          <w:sz w:val="32"/>
        </w:rPr>
        <w:t>Supporting Statement for Paperwork Reduction Act Submissions</w:t>
      </w:r>
    </w:p>
    <w:p w14:paraId="31F9EBA6" w14:textId="77777777" w:rsidR="00222634" w:rsidRDefault="00222634">
      <w:pPr>
        <w:jc w:val="center"/>
      </w:pPr>
    </w:p>
    <w:p w14:paraId="5BD21DB7" w14:textId="77777777" w:rsidR="00A77C1D" w:rsidRPr="00A77C1D" w:rsidRDefault="00A77C1D">
      <w:pPr>
        <w:pStyle w:val="Heading1"/>
        <w:rPr>
          <w:bCs/>
          <w:sz w:val="22"/>
          <w:szCs w:val="22"/>
        </w:rPr>
      </w:pPr>
      <w:r w:rsidRPr="00A77C1D">
        <w:rPr>
          <w:bCs/>
          <w:sz w:val="22"/>
          <w:szCs w:val="22"/>
        </w:rPr>
        <w:t>Site Investigation for Suppliers of Durable Medical Equipment, Prosthetics, Orthotics and Supplies (DMEPOS)</w:t>
      </w:r>
    </w:p>
    <w:p w14:paraId="26CACA3A" w14:textId="77777777" w:rsidR="00222634" w:rsidRPr="00606F3C" w:rsidRDefault="00ED2BB3">
      <w:pPr>
        <w:pStyle w:val="Heading1"/>
      </w:pPr>
      <w:r w:rsidRPr="00606F3C">
        <w:t xml:space="preserve">and Supporting Regulations in 42 C.F.R. </w:t>
      </w:r>
      <w:r w:rsidR="003254C7">
        <w:t xml:space="preserve">§ </w:t>
      </w:r>
      <w:r w:rsidRPr="00606F3C">
        <w:t>424.57</w:t>
      </w:r>
    </w:p>
    <w:p w14:paraId="4CBCD741" w14:textId="77777777" w:rsidR="00DF03FF" w:rsidRDefault="00DF03FF">
      <w:pPr>
        <w:jc w:val="both"/>
      </w:pPr>
    </w:p>
    <w:p w14:paraId="039ABDB2" w14:textId="77777777" w:rsidR="00F24C17" w:rsidRDefault="00F24C17">
      <w:pPr>
        <w:jc w:val="both"/>
      </w:pPr>
    </w:p>
    <w:p w14:paraId="626C0A69" w14:textId="77777777" w:rsidR="00222634" w:rsidRDefault="00222634" w:rsidP="00EB3437">
      <w:pPr>
        <w:pStyle w:val="Heading2"/>
      </w:pPr>
      <w:r>
        <w:t>BACKGROUND</w:t>
      </w:r>
    </w:p>
    <w:p w14:paraId="65D8598D" w14:textId="77777777" w:rsidR="00222634" w:rsidRDefault="00222634" w:rsidP="00EB3437">
      <w:pPr>
        <w:pStyle w:val="Header"/>
        <w:tabs>
          <w:tab w:val="clear" w:pos="4320"/>
          <w:tab w:val="clear" w:pos="8640"/>
        </w:tabs>
      </w:pPr>
    </w:p>
    <w:p w14:paraId="37F05648" w14:textId="5DE1F98B" w:rsidR="00CC2B24" w:rsidRPr="003B72A7" w:rsidRDefault="00DF03FF" w:rsidP="00C02CC1">
      <w:pPr>
        <w:rPr>
          <w:szCs w:val="24"/>
        </w:rPr>
      </w:pPr>
      <w:r w:rsidRPr="00DF03FF">
        <w:rPr>
          <w:szCs w:val="24"/>
        </w:rPr>
        <w:t>CMS enroll</w:t>
      </w:r>
      <w:r w:rsidR="00242F91">
        <w:rPr>
          <w:szCs w:val="24"/>
        </w:rPr>
        <w:t>s</w:t>
      </w:r>
      <w:r w:rsidRPr="00DF03FF">
        <w:rPr>
          <w:szCs w:val="24"/>
        </w:rPr>
        <w:t xml:space="preserve"> </w:t>
      </w:r>
      <w:r w:rsidR="00A03292">
        <w:rPr>
          <w:szCs w:val="24"/>
        </w:rPr>
        <w:t xml:space="preserve">suppliers of </w:t>
      </w:r>
      <w:r w:rsidR="00242F91" w:rsidRPr="00DF03FF">
        <w:rPr>
          <w:szCs w:val="24"/>
        </w:rPr>
        <w:t>durable medical equipment, prosthetics, orthotics, and supplies (DMEPOS</w:t>
      </w:r>
      <w:r w:rsidR="00242F91">
        <w:rPr>
          <w:szCs w:val="24"/>
        </w:rPr>
        <w:t>)</w:t>
      </w:r>
      <w:r w:rsidR="00242F91" w:rsidRPr="00DF03FF">
        <w:rPr>
          <w:szCs w:val="24"/>
        </w:rPr>
        <w:t xml:space="preserve"> </w:t>
      </w:r>
      <w:r w:rsidRPr="00DF03FF">
        <w:rPr>
          <w:szCs w:val="24"/>
        </w:rPr>
        <w:t xml:space="preserve">into the Medicare program </w:t>
      </w:r>
      <w:r w:rsidR="00242F91">
        <w:rPr>
          <w:szCs w:val="24"/>
        </w:rPr>
        <w:t>via</w:t>
      </w:r>
      <w:r w:rsidRPr="00DF03FF">
        <w:rPr>
          <w:szCs w:val="24"/>
        </w:rPr>
        <w:t xml:space="preserve"> a uniform application</w:t>
      </w:r>
      <w:r w:rsidR="00242F91">
        <w:rPr>
          <w:szCs w:val="24"/>
        </w:rPr>
        <w:t xml:space="preserve">, the CMS 855S.  </w:t>
      </w:r>
      <w:r w:rsidRPr="00DF03FF">
        <w:rPr>
          <w:szCs w:val="24"/>
        </w:rPr>
        <w:t>Implementation of enhanced procedures for verifying the enrollment information has improved the enrollment process</w:t>
      </w:r>
      <w:r w:rsidR="00242F91">
        <w:rPr>
          <w:szCs w:val="24"/>
        </w:rPr>
        <w:t xml:space="preserve"> as well as identified and prevented fraudulent DMEPOS suppliers from entering the Medicare program</w:t>
      </w:r>
      <w:r w:rsidRPr="00DF03FF">
        <w:rPr>
          <w:szCs w:val="24"/>
        </w:rPr>
        <w:t>.  As part of this process, verification of compliance with supplier standards is necessary.  The primary function of the site investigation form is to provide a standardized, uniform tool to gather information from a DMEPOS supplier that tells us whether it meets certain qualifications to be a DMEPOS supplier (as found in 42 C</w:t>
      </w:r>
      <w:r w:rsidR="00242F91">
        <w:rPr>
          <w:szCs w:val="24"/>
        </w:rPr>
        <w:t>FR</w:t>
      </w:r>
      <w:r w:rsidRPr="00DF03FF">
        <w:rPr>
          <w:szCs w:val="24"/>
        </w:rPr>
        <w:t xml:space="preserve"> § 424.57(c)) and where it practices or renders its services. </w:t>
      </w:r>
      <w:r w:rsidR="002B768A">
        <w:rPr>
          <w:szCs w:val="24"/>
        </w:rPr>
        <w:t xml:space="preserve"> </w:t>
      </w:r>
      <w:r w:rsidR="001F769C">
        <w:rPr>
          <w:szCs w:val="24"/>
        </w:rPr>
        <w:t xml:space="preserve">This </w:t>
      </w:r>
      <w:r w:rsidR="002B768A" w:rsidRPr="00DF03FF">
        <w:rPr>
          <w:szCs w:val="24"/>
        </w:rPr>
        <w:t xml:space="preserve">site investigation form </w:t>
      </w:r>
      <w:r w:rsidR="001F769C">
        <w:rPr>
          <w:szCs w:val="24"/>
        </w:rPr>
        <w:t xml:space="preserve">also aides </w:t>
      </w:r>
      <w:r w:rsidR="002B768A" w:rsidRPr="00DF03FF">
        <w:rPr>
          <w:szCs w:val="24"/>
        </w:rPr>
        <w:t>the Medicare contractor (the National Supplier Clearinghouse</w:t>
      </w:r>
      <w:r w:rsidR="002B768A">
        <w:rPr>
          <w:szCs w:val="24"/>
        </w:rPr>
        <w:t xml:space="preserve"> Medicare Administrative Contractor (NSC MAC)</w:t>
      </w:r>
      <w:r w:rsidR="002B768A" w:rsidRPr="00DF03FF">
        <w:rPr>
          <w:szCs w:val="24"/>
        </w:rPr>
        <w:t xml:space="preserve"> and/or its subcontractors) in verifying compliance with the required supplier standards found in 42 </w:t>
      </w:r>
      <w:smartTag w:uri="urn:schemas-microsoft-com:office:smarttags" w:element="stockticker">
        <w:r w:rsidR="002B768A" w:rsidRPr="00DF03FF">
          <w:rPr>
            <w:szCs w:val="24"/>
          </w:rPr>
          <w:t>CFR</w:t>
        </w:r>
      </w:smartTag>
      <w:r w:rsidR="002B768A" w:rsidRPr="00DF03FF">
        <w:rPr>
          <w:szCs w:val="24"/>
        </w:rPr>
        <w:t xml:space="preserve"> § 424.57(c).  </w:t>
      </w:r>
      <w:r w:rsidR="002B768A">
        <w:rPr>
          <w:szCs w:val="24"/>
        </w:rPr>
        <w:t xml:space="preserve">This site investigation form collects the same information as its </w:t>
      </w:r>
      <w:r w:rsidR="00CC2B24">
        <w:rPr>
          <w:szCs w:val="24"/>
        </w:rPr>
        <w:t>predecessor</w:t>
      </w:r>
      <w:r w:rsidR="002B768A">
        <w:rPr>
          <w:szCs w:val="24"/>
        </w:rPr>
        <w:t xml:space="preserve">, with </w:t>
      </w:r>
      <w:r w:rsidR="00A03292">
        <w:rPr>
          <w:szCs w:val="24"/>
        </w:rPr>
        <w:t>no</w:t>
      </w:r>
      <w:r w:rsidR="002B768A">
        <w:rPr>
          <w:szCs w:val="24"/>
        </w:rPr>
        <w:t xml:space="preserve"> exception</w:t>
      </w:r>
      <w:r w:rsidR="00A03292">
        <w:rPr>
          <w:szCs w:val="24"/>
        </w:rPr>
        <w:t>s.</w:t>
      </w:r>
      <w:r w:rsidR="00CC2B24">
        <w:rPr>
          <w:szCs w:val="24"/>
        </w:rPr>
        <w:t xml:space="preserve">  </w:t>
      </w:r>
      <w:r w:rsidR="00A03292">
        <w:rPr>
          <w:color w:val="000000"/>
          <w:szCs w:val="24"/>
        </w:rPr>
        <w:t>All</w:t>
      </w:r>
      <w:r w:rsidR="00CC2B24">
        <w:rPr>
          <w:szCs w:val="24"/>
        </w:rPr>
        <w:t xml:space="preserve"> information collected on this site investigation</w:t>
      </w:r>
      <w:r w:rsidR="00C02CC1">
        <w:rPr>
          <w:szCs w:val="24"/>
        </w:rPr>
        <w:t xml:space="preserve"> remains unchanged</w:t>
      </w:r>
      <w:r w:rsidR="00A03292">
        <w:rPr>
          <w:szCs w:val="24"/>
        </w:rPr>
        <w:t>.</w:t>
      </w:r>
    </w:p>
    <w:p w14:paraId="1A2ADCC1" w14:textId="77777777" w:rsidR="00F24C17" w:rsidRPr="00DF03FF" w:rsidRDefault="00F24C17" w:rsidP="00EB3437">
      <w:pPr>
        <w:rPr>
          <w:szCs w:val="24"/>
        </w:rPr>
      </w:pPr>
    </w:p>
    <w:p w14:paraId="79638E5C" w14:textId="77777777" w:rsidR="008265A4" w:rsidRDefault="008265A4" w:rsidP="00EB3437">
      <w:pPr>
        <w:rPr>
          <w:b/>
          <w:u w:val="single"/>
        </w:rPr>
      </w:pPr>
    </w:p>
    <w:p w14:paraId="7B594CBD" w14:textId="77777777" w:rsidR="00222634" w:rsidRPr="00F24C17" w:rsidRDefault="00222634" w:rsidP="00EB3437">
      <w:pPr>
        <w:rPr>
          <w:b/>
          <w:u w:val="single"/>
        </w:rPr>
      </w:pPr>
      <w:r w:rsidRPr="00F24C17">
        <w:rPr>
          <w:b/>
          <w:u w:val="single"/>
        </w:rPr>
        <w:t>JUSTIFICATION</w:t>
      </w:r>
    </w:p>
    <w:p w14:paraId="2BE1EF77" w14:textId="77777777" w:rsidR="00222634" w:rsidRPr="00DF03FF" w:rsidRDefault="00222634" w:rsidP="00EB3437">
      <w:pPr>
        <w:rPr>
          <w:i/>
        </w:rPr>
      </w:pPr>
    </w:p>
    <w:p w14:paraId="15AC6500" w14:textId="77777777" w:rsidR="00222634" w:rsidRPr="00F24C17" w:rsidRDefault="00222634" w:rsidP="00EB3437">
      <w:pPr>
        <w:pStyle w:val="1"/>
        <w:numPr>
          <w:ilvl w:val="0"/>
          <w:numId w:val="5"/>
        </w:numPr>
        <w:tabs>
          <w:tab w:val="left" w:pos="-1440"/>
        </w:tabs>
        <w:rPr>
          <w:u w:val="single"/>
        </w:rPr>
      </w:pPr>
      <w:r w:rsidRPr="00F24C17">
        <w:rPr>
          <w:u w:val="single"/>
        </w:rPr>
        <w:t>Need and Legal Basis</w:t>
      </w:r>
    </w:p>
    <w:p w14:paraId="11AB7064" w14:textId="77777777" w:rsidR="00222634" w:rsidRPr="000052BC" w:rsidRDefault="00222634" w:rsidP="00EB3437"/>
    <w:p w14:paraId="7903796D" w14:textId="77777777" w:rsidR="00600AF6" w:rsidRDefault="00600AF6" w:rsidP="004C59FC">
      <w:pPr>
        <w:ind w:left="360"/>
      </w:pPr>
      <w:r w:rsidRPr="00600AF6">
        <w:t xml:space="preserve">42 CFR § 424.57 outlines special payment rules for items furnished by DMEPOS suppliers and issuance of DMEPOS supplier Medicare billing numbers.  Section 424.57 states that Medicare does not issue a billing number to a supplier unless it meets all </w:t>
      </w:r>
      <w:r w:rsidR="00861F64">
        <w:t>30</w:t>
      </w:r>
      <w:r w:rsidRPr="00600AF6">
        <w:t xml:space="preserve"> standards outlined in that subpart.  The site inspection verifies that the standards are met by the supplier.</w:t>
      </w:r>
      <w:r w:rsidR="00D56E35">
        <w:t xml:space="preserve">  The site inspection form allows inspectors to verify the information in a concise, uniform manner.</w:t>
      </w:r>
    </w:p>
    <w:p w14:paraId="15564748" w14:textId="77777777" w:rsidR="003B72A7" w:rsidRDefault="003B72A7" w:rsidP="004C59FC">
      <w:pPr>
        <w:ind w:left="360"/>
      </w:pPr>
    </w:p>
    <w:p w14:paraId="29F95239" w14:textId="77777777" w:rsidR="003B72A7" w:rsidRPr="00861F64" w:rsidRDefault="003B72A7" w:rsidP="003B72A7">
      <w:pPr>
        <w:widowControl/>
        <w:autoSpaceDE w:val="0"/>
        <w:autoSpaceDN w:val="0"/>
        <w:adjustRightInd w:val="0"/>
        <w:spacing w:after="200"/>
        <w:ind w:left="360"/>
        <w:rPr>
          <w:snapToGrid/>
          <w:color w:val="000000"/>
          <w:szCs w:val="24"/>
        </w:rPr>
      </w:pPr>
      <w:r>
        <w:t xml:space="preserve">42 CFR </w:t>
      </w:r>
      <w:r w:rsidRPr="00600AF6">
        <w:t>§ 424.57</w:t>
      </w:r>
      <w:r>
        <w:t>(d)</w:t>
      </w:r>
      <w:r w:rsidRPr="003B72A7">
        <w:rPr>
          <w:snapToGrid/>
          <w:color w:val="000000"/>
          <w:szCs w:val="24"/>
        </w:rPr>
        <w:t xml:space="preserve"> </w:t>
      </w:r>
      <w:r>
        <w:rPr>
          <w:snapToGrid/>
          <w:color w:val="000000"/>
          <w:szCs w:val="24"/>
        </w:rPr>
        <w:t>states that CM</w:t>
      </w:r>
      <w:r w:rsidRPr="00861F64">
        <w:rPr>
          <w:snapToGrid/>
          <w:color w:val="000000"/>
          <w:szCs w:val="24"/>
        </w:rPr>
        <w:t>S will revoke a supplier's billing privileges if t</w:t>
      </w:r>
      <w:r>
        <w:rPr>
          <w:snapToGrid/>
          <w:color w:val="000000"/>
          <w:szCs w:val="24"/>
        </w:rPr>
        <w:t>he supplier</w:t>
      </w:r>
      <w:r w:rsidRPr="00861F64">
        <w:rPr>
          <w:snapToGrid/>
          <w:color w:val="000000"/>
          <w:szCs w:val="24"/>
        </w:rPr>
        <w:t xml:space="preserve"> is found not to meet the standards in paragraphs (b) and (c) of this section. </w:t>
      </w:r>
    </w:p>
    <w:p w14:paraId="5CD42FF8" w14:textId="77777777" w:rsidR="003B72A7" w:rsidRPr="00861F64" w:rsidRDefault="003B72A7" w:rsidP="003B72A7">
      <w:pPr>
        <w:ind w:left="360"/>
        <w:rPr>
          <w:szCs w:val="24"/>
        </w:rPr>
      </w:pPr>
      <w:r>
        <w:t xml:space="preserve">42 CFR </w:t>
      </w:r>
      <w:r w:rsidRPr="00600AF6">
        <w:t>§ 424.57</w:t>
      </w:r>
      <w:r w:rsidRPr="00861F64">
        <w:rPr>
          <w:snapToGrid/>
          <w:color w:val="000000"/>
          <w:szCs w:val="24"/>
        </w:rPr>
        <w:t xml:space="preserve">(e) </w:t>
      </w:r>
      <w:r>
        <w:rPr>
          <w:snapToGrid/>
          <w:color w:val="000000"/>
          <w:szCs w:val="24"/>
        </w:rPr>
        <w:t>states a</w:t>
      </w:r>
      <w:r w:rsidRPr="00861F64">
        <w:rPr>
          <w:snapToGrid/>
          <w:color w:val="000000"/>
          <w:szCs w:val="24"/>
        </w:rPr>
        <w:t xml:space="preserve"> supplier must renew its application for billing privileges every 3 years after the billing privileges are first granted. (Each supplier must complete a new application for billing privileges 3 years after its last renewal of privileges.)</w:t>
      </w:r>
    </w:p>
    <w:p w14:paraId="53412013" w14:textId="77777777" w:rsidR="00600AF6" w:rsidRDefault="00600AF6" w:rsidP="00EB3437"/>
    <w:p w14:paraId="047850B9" w14:textId="77777777" w:rsidR="00222634" w:rsidRDefault="00222634" w:rsidP="004C59FC">
      <w:pPr>
        <w:ind w:left="360"/>
      </w:pPr>
      <w:r w:rsidRPr="00600AF6">
        <w:t>Sections 1814(a) and 1833(e) of the Act require the submission of information necessary to determine the amounts due to a provider or other person.</w:t>
      </w:r>
      <w:r w:rsidR="00604DEE" w:rsidRPr="00600AF6">
        <w:t xml:space="preserve">  To fulfill this requirement, CMS must collect information on any </w:t>
      </w:r>
      <w:r w:rsidR="009A5A23">
        <w:t xml:space="preserve">DMEPOS </w:t>
      </w:r>
      <w:r w:rsidR="00604DEE" w:rsidRPr="00600AF6">
        <w:t xml:space="preserve">supplier who submits a claim to Medicare or who applies for a Medicare billing number before allowing the supplier to enroll.  </w:t>
      </w:r>
      <w:r w:rsidR="008408AB">
        <w:t xml:space="preserve">This information must, minimally, clearly identify the provider and its' place of business as required by the Budget Reconciliation Act of 1985 (P.L. 99-272) [42 U.S.C. § 9202(g)] and provide all necessary documentation to show they are qualified to perform the services for which they are billing.  </w:t>
      </w:r>
      <w:r w:rsidR="00D56E35">
        <w:t xml:space="preserve">The site inspection form allows </w:t>
      </w:r>
      <w:r w:rsidR="00D56E35">
        <w:lastRenderedPageBreak/>
        <w:t xml:space="preserve">inspectors to verify the information using </w:t>
      </w:r>
      <w:r w:rsidR="009A5A23">
        <w:t xml:space="preserve">a </w:t>
      </w:r>
      <w:r w:rsidR="00D56E35">
        <w:t xml:space="preserve">standardized </w:t>
      </w:r>
      <w:r w:rsidR="009A5A23">
        <w:t xml:space="preserve">information collection </w:t>
      </w:r>
      <w:r w:rsidR="00D56E35">
        <w:t>methodology.</w:t>
      </w:r>
    </w:p>
    <w:p w14:paraId="16BD7831" w14:textId="77777777" w:rsidR="00600AF6" w:rsidRPr="00600AF6" w:rsidRDefault="00600AF6" w:rsidP="00600AF6"/>
    <w:p w14:paraId="7DB89F01" w14:textId="77777777" w:rsidR="00222634" w:rsidRDefault="00222634" w:rsidP="004C59FC">
      <w:pPr>
        <w:ind w:left="360"/>
      </w:pPr>
      <w:r w:rsidRPr="00604DEE">
        <w:t xml:space="preserve">Section 1834(j) of the Act states that no payment may be made for items furnished by a supplier of durable medical equipment, prosthetics, and supplies (DMEPOS) unless that supplier obtains, and renews at such intervals as we may require, a billing number.  In order to issue </w:t>
      </w:r>
      <w:r w:rsidR="00492E6B" w:rsidRPr="00604DEE">
        <w:t xml:space="preserve">or renew </w:t>
      </w:r>
      <w:r w:rsidRPr="00604DEE">
        <w:t xml:space="preserve">a billing number, we need to </w:t>
      </w:r>
      <w:r w:rsidR="00492E6B" w:rsidRPr="00604DEE">
        <w:t>verify</w:t>
      </w:r>
      <w:r w:rsidR="00600AF6">
        <w:t xml:space="preserve">, via a site inspection, </w:t>
      </w:r>
      <w:r w:rsidR="00492E6B" w:rsidRPr="00604DEE">
        <w:t xml:space="preserve">the information </w:t>
      </w:r>
      <w:r w:rsidRPr="00604DEE">
        <w:t>collect</w:t>
      </w:r>
      <w:r w:rsidR="00492E6B" w:rsidRPr="00604DEE">
        <w:t xml:space="preserve">ed from the </w:t>
      </w:r>
      <w:r w:rsidRPr="00604DEE">
        <w:t>supplier</w:t>
      </w:r>
      <w:r w:rsidR="00604DEE" w:rsidRPr="00604DEE">
        <w:t xml:space="preserve"> on the initial application for enrollment and the application for re</w:t>
      </w:r>
      <w:r w:rsidR="00D80015">
        <w:t>validation</w:t>
      </w:r>
      <w:r w:rsidRPr="00604DEE">
        <w:t>.</w:t>
      </w:r>
    </w:p>
    <w:p w14:paraId="2EB8D3D6" w14:textId="77777777" w:rsidR="00861F64" w:rsidRDefault="00861F64" w:rsidP="00861F64">
      <w:pPr>
        <w:jc w:val="both"/>
        <w:rPr>
          <w:snapToGrid/>
          <w:color w:val="000000"/>
          <w:szCs w:val="24"/>
        </w:rPr>
      </w:pPr>
    </w:p>
    <w:p w14:paraId="03A396EE" w14:textId="77777777" w:rsidR="003B72A7" w:rsidRPr="003B72A7" w:rsidRDefault="003B72A7" w:rsidP="003B72A7">
      <w:pPr>
        <w:ind w:left="360"/>
        <w:rPr>
          <w:szCs w:val="24"/>
        </w:rPr>
      </w:pPr>
      <w:r w:rsidRPr="003B72A7">
        <w:rPr>
          <w:szCs w:val="24"/>
        </w:rPr>
        <w:t>Section 1833(q) of the Social Security Act requires that all physicians and non-physician practitioners that meet the definitions at section 1861(r) and 1842(b)(18)(C) be uniquely identified for all claims for services that are ordered or referred.</w:t>
      </w:r>
    </w:p>
    <w:p w14:paraId="35E1E84D" w14:textId="77777777" w:rsidR="00C02CC1" w:rsidRPr="00604DEE" w:rsidRDefault="00C02CC1" w:rsidP="004C59FC">
      <w:pPr>
        <w:ind w:left="360"/>
      </w:pPr>
    </w:p>
    <w:p w14:paraId="3699A285" w14:textId="77777777" w:rsidR="00222634" w:rsidRPr="00F24C17" w:rsidRDefault="00F24C17" w:rsidP="00EB3437">
      <w:pPr>
        <w:numPr>
          <w:ilvl w:val="0"/>
          <w:numId w:val="5"/>
        </w:numPr>
        <w:tabs>
          <w:tab w:val="left" w:pos="-1440"/>
        </w:tabs>
        <w:rPr>
          <w:u w:val="single"/>
        </w:rPr>
      </w:pPr>
      <w:r w:rsidRPr="00F24C17">
        <w:rPr>
          <w:u w:val="single"/>
        </w:rPr>
        <w:t>Information Users</w:t>
      </w:r>
    </w:p>
    <w:p w14:paraId="3EFCAC45" w14:textId="77777777" w:rsidR="00222634" w:rsidRDefault="00222634" w:rsidP="00EB3437">
      <w:pPr>
        <w:pStyle w:val="Header"/>
        <w:tabs>
          <w:tab w:val="clear" w:pos="4320"/>
          <w:tab w:val="clear" w:pos="8640"/>
        </w:tabs>
      </w:pPr>
    </w:p>
    <w:p w14:paraId="7E69B8BE" w14:textId="77777777" w:rsidR="00DF03FF" w:rsidRDefault="00222634" w:rsidP="004C59FC">
      <w:pPr>
        <w:ind w:left="360"/>
      </w:pPr>
      <w:r>
        <w:t xml:space="preserve">This </w:t>
      </w:r>
      <w:r w:rsidR="00DF03FF">
        <w:t xml:space="preserve">form is used by the </w:t>
      </w:r>
      <w:r w:rsidR="00C02CC1">
        <w:t>NSC MAC</w:t>
      </w:r>
      <w:r w:rsidR="00DF03FF">
        <w:t xml:space="preserve"> and its subcontractor on site visits to verify compliance with required DMEPOS supplier standards.  The subcontractor collects the information from the supplier through an interview and forwards it to the </w:t>
      </w:r>
      <w:r w:rsidR="00C02CC1">
        <w:t>NSC MAC</w:t>
      </w:r>
      <w:r w:rsidR="00DF03FF">
        <w:t xml:space="preserve"> for evaluation.</w:t>
      </w:r>
    </w:p>
    <w:p w14:paraId="38E13D85" w14:textId="77777777" w:rsidR="00222634" w:rsidRDefault="00DF03FF" w:rsidP="00EB3437">
      <w:r>
        <w:t xml:space="preserve"> </w:t>
      </w:r>
    </w:p>
    <w:p w14:paraId="3401F1C2" w14:textId="77777777" w:rsidR="00222634" w:rsidRPr="00F24C17" w:rsidRDefault="00F24C17" w:rsidP="00EB3437">
      <w:pPr>
        <w:numPr>
          <w:ilvl w:val="0"/>
          <w:numId w:val="5"/>
        </w:numPr>
        <w:tabs>
          <w:tab w:val="left" w:pos="-1440"/>
        </w:tabs>
        <w:rPr>
          <w:u w:val="single"/>
        </w:rPr>
      </w:pPr>
      <w:r w:rsidRPr="00F24C17">
        <w:rPr>
          <w:u w:val="single"/>
        </w:rPr>
        <w:t>Use of Information Technology</w:t>
      </w:r>
    </w:p>
    <w:p w14:paraId="49A45C2B" w14:textId="77777777" w:rsidR="00222634" w:rsidRDefault="00222634" w:rsidP="00EB3437">
      <w:pPr>
        <w:pStyle w:val="Header"/>
        <w:tabs>
          <w:tab w:val="clear" w:pos="4320"/>
          <w:tab w:val="clear" w:pos="8640"/>
        </w:tabs>
      </w:pPr>
    </w:p>
    <w:p w14:paraId="4170BC68" w14:textId="77777777" w:rsidR="00DF03FF" w:rsidRDefault="00DF03FF" w:rsidP="004C59FC">
      <w:pPr>
        <w:ind w:left="360"/>
      </w:pPr>
      <w:r>
        <w:t>This form does not lend itself to the use of improved information techn</w:t>
      </w:r>
      <w:r w:rsidR="00F24C17">
        <w:t>ology</w:t>
      </w:r>
      <w:r>
        <w:t xml:space="preserve">, as all the site </w:t>
      </w:r>
      <w:r w:rsidR="00CE25B4">
        <w:t>inspections</w:t>
      </w:r>
      <w:r>
        <w:t xml:space="preserve"> must be individually performed.  </w:t>
      </w:r>
    </w:p>
    <w:p w14:paraId="1CF8B302" w14:textId="77777777" w:rsidR="00222634" w:rsidRDefault="00222634" w:rsidP="00EB3437"/>
    <w:p w14:paraId="0BF8034F" w14:textId="77777777" w:rsidR="00222634" w:rsidRPr="00F24C17" w:rsidRDefault="00222634" w:rsidP="00EB3437">
      <w:pPr>
        <w:numPr>
          <w:ilvl w:val="0"/>
          <w:numId w:val="5"/>
        </w:numPr>
        <w:tabs>
          <w:tab w:val="left" w:pos="-1440"/>
        </w:tabs>
        <w:rPr>
          <w:u w:val="single"/>
        </w:rPr>
      </w:pPr>
      <w:r w:rsidRPr="00F24C17">
        <w:rPr>
          <w:u w:val="single"/>
        </w:rPr>
        <w:t xml:space="preserve">Duplication </w:t>
      </w:r>
      <w:r w:rsidR="00F24C17" w:rsidRPr="00F24C17">
        <w:rPr>
          <w:u w:val="single"/>
        </w:rPr>
        <w:t>of Efforts</w:t>
      </w:r>
    </w:p>
    <w:p w14:paraId="44A3AE4A" w14:textId="77777777" w:rsidR="00222634" w:rsidRDefault="00222634" w:rsidP="00EB3437"/>
    <w:p w14:paraId="56621663" w14:textId="77777777" w:rsidR="009A5A23" w:rsidRDefault="000E7C68" w:rsidP="004C59FC">
      <w:pPr>
        <w:ind w:left="360"/>
      </w:pPr>
      <w:r>
        <w:t xml:space="preserve">The site visit </w:t>
      </w:r>
      <w:r w:rsidR="009A5A23">
        <w:t xml:space="preserve">form </w:t>
      </w:r>
      <w:r>
        <w:t xml:space="preserve">is intended to validate the </w:t>
      </w:r>
      <w:r w:rsidR="009A5A23">
        <w:t>information provided by a DMEPOS supplier</w:t>
      </w:r>
      <w:r>
        <w:t xml:space="preserve"> on the </w:t>
      </w:r>
      <w:smartTag w:uri="urn:schemas-microsoft-com:office:smarttags" w:element="stockticker">
        <w:r>
          <w:t>CMS</w:t>
        </w:r>
      </w:smartTag>
      <w:r>
        <w:t xml:space="preserve"> 855S application</w:t>
      </w:r>
      <w:r w:rsidR="009A5A23">
        <w:t>.</w:t>
      </w:r>
    </w:p>
    <w:p w14:paraId="0C01B513" w14:textId="77777777" w:rsidR="00222634" w:rsidRDefault="000E7C68" w:rsidP="00EB3437">
      <w:r>
        <w:t xml:space="preserve"> </w:t>
      </w:r>
    </w:p>
    <w:p w14:paraId="388C5CF7" w14:textId="77777777" w:rsidR="00222634" w:rsidRPr="00F24C17" w:rsidRDefault="00222634" w:rsidP="00EB3437">
      <w:pPr>
        <w:numPr>
          <w:ilvl w:val="0"/>
          <w:numId w:val="5"/>
        </w:numPr>
        <w:rPr>
          <w:u w:val="single"/>
        </w:rPr>
      </w:pPr>
      <w:r w:rsidRPr="00F24C17">
        <w:rPr>
          <w:u w:val="single"/>
        </w:rPr>
        <w:t>Small Business</w:t>
      </w:r>
      <w:r w:rsidR="00F24C17" w:rsidRPr="00F24C17">
        <w:rPr>
          <w:u w:val="single"/>
        </w:rPr>
        <w:t>es</w:t>
      </w:r>
    </w:p>
    <w:p w14:paraId="7BD73902" w14:textId="77777777" w:rsidR="00222634" w:rsidRDefault="00222634" w:rsidP="00EB3437"/>
    <w:p w14:paraId="0AB2F44C" w14:textId="77777777" w:rsidR="004C59FC" w:rsidRDefault="009A5A23" w:rsidP="004C59FC">
      <w:pPr>
        <w:ind w:left="360"/>
      </w:pPr>
      <w:r>
        <w:t>Thi</w:t>
      </w:r>
      <w:r w:rsidR="00222634">
        <w:t xml:space="preserve">s form will affect </w:t>
      </w:r>
      <w:r>
        <w:t>sm</w:t>
      </w:r>
      <w:r w:rsidR="000E7C68">
        <w:t>all businesses</w:t>
      </w:r>
      <w:r>
        <w:t>; however, DMEPOS suppliers</w:t>
      </w:r>
      <w:r w:rsidR="000E7C68">
        <w:t xml:space="preserve"> </w:t>
      </w:r>
      <w:r>
        <w:t xml:space="preserve">have always been required to provide </w:t>
      </w:r>
      <w:smartTag w:uri="urn:schemas-microsoft-com:office:smarttags" w:element="stockticker">
        <w:r>
          <w:t>CMS</w:t>
        </w:r>
      </w:smartTag>
      <w:r>
        <w:t xml:space="preserve"> with documentation to verify information collected on the </w:t>
      </w:r>
      <w:smartTag w:uri="urn:schemas-microsoft-com:office:smarttags" w:element="stockticker">
        <w:r>
          <w:t>CMS</w:t>
        </w:r>
      </w:smartTag>
      <w:r>
        <w:t xml:space="preserve"> 855S application</w:t>
      </w:r>
      <w:r w:rsidR="00C02CC1">
        <w:t>, including site investigations,</w:t>
      </w:r>
      <w:r>
        <w:t xml:space="preserve"> as a condition of enrollment.  Accordingly, </w:t>
      </w:r>
      <w:r w:rsidR="000E7C68">
        <w:t xml:space="preserve">the impact </w:t>
      </w:r>
      <w:r>
        <w:t>is</w:t>
      </w:r>
      <w:r w:rsidR="000E7C68">
        <w:t xml:space="preserve"> minimal – </w:t>
      </w:r>
      <w:smartTag w:uri="urn:schemas-microsoft-com:office:smarttags" w:element="stockticker">
        <w:r w:rsidR="000E7C68">
          <w:t>CMS</w:t>
        </w:r>
      </w:smartTag>
      <w:r w:rsidR="000E7C68">
        <w:t xml:space="preserve"> carries the burden of the cost; the supplier must allocate a small amount of time to this effort. </w:t>
      </w:r>
    </w:p>
    <w:p w14:paraId="0E52B0C0" w14:textId="77777777" w:rsidR="00222634" w:rsidRDefault="000E7C68" w:rsidP="004C59FC">
      <w:pPr>
        <w:ind w:left="360"/>
      </w:pPr>
      <w:r>
        <w:t xml:space="preserve"> </w:t>
      </w:r>
    </w:p>
    <w:p w14:paraId="15535E84" w14:textId="77777777" w:rsidR="00222634" w:rsidRPr="00F24C17" w:rsidRDefault="00222634" w:rsidP="00EB3437">
      <w:pPr>
        <w:numPr>
          <w:ilvl w:val="0"/>
          <w:numId w:val="5"/>
        </w:numPr>
        <w:tabs>
          <w:tab w:val="left" w:pos="-1440"/>
        </w:tabs>
        <w:rPr>
          <w:u w:val="single"/>
        </w:rPr>
      </w:pPr>
      <w:r w:rsidRPr="00F24C17">
        <w:rPr>
          <w:u w:val="single"/>
        </w:rPr>
        <w:t>Less Frequent Collection</w:t>
      </w:r>
    </w:p>
    <w:p w14:paraId="3A5D9A3D" w14:textId="77777777" w:rsidR="00222634" w:rsidRDefault="00222634" w:rsidP="00EB3437"/>
    <w:p w14:paraId="33F2D70D" w14:textId="77777777" w:rsidR="000E7C68" w:rsidRDefault="000E7C68" w:rsidP="004C59FC">
      <w:pPr>
        <w:ind w:left="360"/>
      </w:pPr>
      <w:r>
        <w:t xml:space="preserve">This information is collected only as needed.  It is necessary for verification of </w:t>
      </w:r>
      <w:r w:rsidR="00222634">
        <w:t>enrollment</w:t>
      </w:r>
      <w:r>
        <w:t xml:space="preserve"> information.  It will be collected upon initial enrollment, re</w:t>
      </w:r>
      <w:r w:rsidR="00644B87">
        <w:t>validation</w:t>
      </w:r>
      <w:r>
        <w:t xml:space="preserve"> (currently every three years) and </w:t>
      </w:r>
      <w:r w:rsidR="009A5A23">
        <w:t xml:space="preserve">when the </w:t>
      </w:r>
      <w:r w:rsidR="00C02CC1">
        <w:t>NSC MAC</w:t>
      </w:r>
      <w:r w:rsidR="009A5A23">
        <w:t xml:space="preserve"> conducts unannounced site visits</w:t>
      </w:r>
      <w:r w:rsidR="00644B87">
        <w:t xml:space="preserve"> in accordance with special fraud initiatives</w:t>
      </w:r>
      <w:r w:rsidR="009A5A23">
        <w:t xml:space="preserve">.  </w:t>
      </w:r>
      <w:r w:rsidR="001259E3">
        <w:t>If it w</w:t>
      </w:r>
      <w:r>
        <w:t xml:space="preserve">ere collected less frequently, </w:t>
      </w:r>
      <w:smartTag w:uri="urn:schemas-microsoft-com:office:smarttags" w:element="stockticker">
        <w:r>
          <w:t>CMS</w:t>
        </w:r>
      </w:smartTag>
      <w:r>
        <w:t xml:space="preserve"> would not be able to determine the legitimacy of the </w:t>
      </w:r>
      <w:r w:rsidR="00644B87">
        <w:t xml:space="preserve">DMEPOS </w:t>
      </w:r>
      <w:r>
        <w:t xml:space="preserve">suppliers in the </w:t>
      </w:r>
      <w:r w:rsidR="00222634">
        <w:t>Medicare program</w:t>
      </w:r>
      <w:r>
        <w:t>.</w:t>
      </w:r>
    </w:p>
    <w:p w14:paraId="0630CCBE" w14:textId="77777777" w:rsidR="00222634" w:rsidRDefault="000E7C68" w:rsidP="00EB3437">
      <w:r>
        <w:t xml:space="preserve"> </w:t>
      </w:r>
    </w:p>
    <w:p w14:paraId="192B3F49" w14:textId="77777777" w:rsidR="00222634" w:rsidRPr="00F24C17" w:rsidRDefault="00222634" w:rsidP="00EB3437">
      <w:pPr>
        <w:numPr>
          <w:ilvl w:val="0"/>
          <w:numId w:val="5"/>
        </w:numPr>
        <w:rPr>
          <w:u w:val="single"/>
        </w:rPr>
      </w:pPr>
      <w:r w:rsidRPr="00F24C17">
        <w:rPr>
          <w:u w:val="single"/>
        </w:rPr>
        <w:t>Special Circumstances</w:t>
      </w:r>
    </w:p>
    <w:p w14:paraId="2B279815" w14:textId="77777777" w:rsidR="00222634" w:rsidRDefault="00222634" w:rsidP="00EB3437"/>
    <w:p w14:paraId="290218D3" w14:textId="77777777" w:rsidR="001F55A2" w:rsidRPr="001F55A2" w:rsidRDefault="009A5A23" w:rsidP="004C59FC">
      <w:pPr>
        <w:ind w:firstLine="360"/>
      </w:pPr>
      <w:r>
        <w:t>There are no special circumstances associated with this collection.</w:t>
      </w:r>
      <w:r w:rsidR="001F55A2" w:rsidRPr="001F55A2">
        <w:t xml:space="preserve"> </w:t>
      </w:r>
    </w:p>
    <w:p w14:paraId="507F1D29" w14:textId="77777777" w:rsidR="001F55A2" w:rsidRPr="001F55A2" w:rsidRDefault="001F55A2" w:rsidP="00EB3437"/>
    <w:p w14:paraId="378E84D0" w14:textId="77777777" w:rsidR="00222634" w:rsidRPr="00F24C17" w:rsidRDefault="00222634" w:rsidP="00EB3437">
      <w:pPr>
        <w:numPr>
          <w:ilvl w:val="0"/>
          <w:numId w:val="5"/>
        </w:numPr>
        <w:tabs>
          <w:tab w:val="left" w:pos="-1440"/>
        </w:tabs>
        <w:rPr>
          <w:u w:val="single"/>
        </w:rPr>
      </w:pPr>
      <w:r w:rsidRPr="00F24C17">
        <w:rPr>
          <w:u w:val="single"/>
        </w:rPr>
        <w:t>Federal Register Notice/Outside Consultation</w:t>
      </w:r>
    </w:p>
    <w:p w14:paraId="7189EE02" w14:textId="77777777" w:rsidR="00222634" w:rsidRDefault="00222634" w:rsidP="00EB3437"/>
    <w:p w14:paraId="0EE16EE9" w14:textId="47C1F87A" w:rsidR="001F769C" w:rsidRDefault="001F769C" w:rsidP="00EB3437">
      <w:pPr>
        <w:rPr>
          <w:szCs w:val="24"/>
        </w:rPr>
      </w:pPr>
      <w:r>
        <w:rPr>
          <w:szCs w:val="24"/>
        </w:rPr>
        <w:t>A 60 day Federal Register notice was published on January 16, 2015 (80 FR 2430).  No comments were received.</w:t>
      </w:r>
    </w:p>
    <w:p w14:paraId="75548A83" w14:textId="77777777" w:rsidR="009A5A23" w:rsidRDefault="009A5A23" w:rsidP="00EB3437"/>
    <w:p w14:paraId="4752B388" w14:textId="77777777" w:rsidR="00222634" w:rsidRPr="00F24C17" w:rsidRDefault="00222634" w:rsidP="00EB3437">
      <w:pPr>
        <w:numPr>
          <w:ilvl w:val="0"/>
          <w:numId w:val="5"/>
        </w:numPr>
        <w:tabs>
          <w:tab w:val="left" w:pos="-1440"/>
        </w:tabs>
        <w:rPr>
          <w:u w:val="single"/>
        </w:rPr>
      </w:pPr>
      <w:r w:rsidRPr="00F24C17">
        <w:rPr>
          <w:u w:val="single"/>
        </w:rPr>
        <w:t>Payment</w:t>
      </w:r>
      <w:r w:rsidR="00F24C17" w:rsidRPr="00F24C17">
        <w:rPr>
          <w:u w:val="single"/>
        </w:rPr>
        <w:t>s</w:t>
      </w:r>
      <w:r w:rsidRPr="00F24C17">
        <w:rPr>
          <w:u w:val="single"/>
        </w:rPr>
        <w:t>/Gift</w:t>
      </w:r>
      <w:r w:rsidR="00F24C17" w:rsidRPr="00F24C17">
        <w:rPr>
          <w:u w:val="single"/>
        </w:rPr>
        <w:t>s</w:t>
      </w:r>
      <w:r w:rsidRPr="00F24C17">
        <w:rPr>
          <w:u w:val="single"/>
        </w:rPr>
        <w:t xml:space="preserve"> to Respondents</w:t>
      </w:r>
    </w:p>
    <w:p w14:paraId="4ABE50A2" w14:textId="77777777" w:rsidR="00222634" w:rsidRDefault="00222634" w:rsidP="00EB3437"/>
    <w:p w14:paraId="022823BB" w14:textId="77777777" w:rsidR="00222634" w:rsidRDefault="00F24C17" w:rsidP="004C59FC">
      <w:pPr>
        <w:ind w:firstLine="360"/>
      </w:pPr>
      <w:r>
        <w:t>There are n</w:t>
      </w:r>
      <w:r w:rsidR="00222634">
        <w:t>o payment</w:t>
      </w:r>
      <w:r>
        <w:t>s</w:t>
      </w:r>
      <w:r w:rsidR="00222634">
        <w:t xml:space="preserve"> or gifts to respondents.</w:t>
      </w:r>
    </w:p>
    <w:p w14:paraId="58EF7E58" w14:textId="77777777" w:rsidR="004C59FC" w:rsidRDefault="004C59FC" w:rsidP="00EB3437"/>
    <w:p w14:paraId="76CEE5C3" w14:textId="77777777" w:rsidR="004C59FC" w:rsidRDefault="004C59FC" w:rsidP="00EB3437"/>
    <w:p w14:paraId="7A515AFA" w14:textId="77777777" w:rsidR="00222634" w:rsidRPr="00F24C17" w:rsidRDefault="00222634" w:rsidP="00EB3437">
      <w:pPr>
        <w:numPr>
          <w:ilvl w:val="0"/>
          <w:numId w:val="5"/>
        </w:numPr>
        <w:rPr>
          <w:u w:val="single"/>
        </w:rPr>
      </w:pPr>
      <w:r w:rsidRPr="00F24C17">
        <w:rPr>
          <w:u w:val="single"/>
        </w:rPr>
        <w:t>Confidentiality</w:t>
      </w:r>
    </w:p>
    <w:p w14:paraId="1E1C33D1" w14:textId="77777777" w:rsidR="00222634" w:rsidRDefault="00F24C17" w:rsidP="004C59FC">
      <w:pPr>
        <w:ind w:left="360"/>
      </w:pPr>
      <w:r>
        <w:t>CMS will comply with all Privacy Act, Freedom of Information laws and regulations that apply to this collection.</w:t>
      </w:r>
      <w:r w:rsidR="00311FCE">
        <w:t xml:space="preserve"> </w:t>
      </w:r>
      <w:r w:rsidR="00222634">
        <w:t xml:space="preserve"> Privileged or confidential commercial or financial information is protected from public disclosure by Federal law 5 U.S.C. 522(b)(4) and Executive Order 12600.</w:t>
      </w:r>
    </w:p>
    <w:p w14:paraId="3AFC8A4E" w14:textId="77777777" w:rsidR="00222634" w:rsidRDefault="00222634" w:rsidP="00EB3437"/>
    <w:p w14:paraId="0552A0B7" w14:textId="77777777" w:rsidR="00222634" w:rsidRPr="00F24C17" w:rsidRDefault="00222634" w:rsidP="00EB3437">
      <w:pPr>
        <w:numPr>
          <w:ilvl w:val="0"/>
          <w:numId w:val="5"/>
        </w:numPr>
        <w:tabs>
          <w:tab w:val="left" w:pos="-1440"/>
        </w:tabs>
        <w:rPr>
          <w:u w:val="single"/>
        </w:rPr>
      </w:pPr>
      <w:r w:rsidRPr="00F24C17">
        <w:rPr>
          <w:u w:val="single"/>
        </w:rPr>
        <w:t>Sensitive Questions</w:t>
      </w:r>
    </w:p>
    <w:p w14:paraId="4DEC3FCE" w14:textId="77777777" w:rsidR="00222634" w:rsidRDefault="00222634" w:rsidP="00EB3437"/>
    <w:p w14:paraId="7B58ABEE" w14:textId="77777777" w:rsidR="00222634" w:rsidRDefault="00222634" w:rsidP="004C59FC">
      <w:pPr>
        <w:ind w:firstLine="360"/>
      </w:pPr>
      <w:r>
        <w:t>There are no questions of a sensitive nature associated with th</w:t>
      </w:r>
      <w:r w:rsidR="00F24C17">
        <w:t>e</w:t>
      </w:r>
      <w:r>
        <w:t>s</w:t>
      </w:r>
      <w:r w:rsidR="00F24C17">
        <w:t>e</w:t>
      </w:r>
      <w:r>
        <w:t xml:space="preserve"> requ</w:t>
      </w:r>
      <w:r w:rsidR="00F24C17">
        <w:t>irements</w:t>
      </w:r>
      <w:r>
        <w:t>.</w:t>
      </w:r>
    </w:p>
    <w:p w14:paraId="13C8D175" w14:textId="77777777" w:rsidR="00222634" w:rsidRDefault="00222634" w:rsidP="00EB3437"/>
    <w:p w14:paraId="1A18430F" w14:textId="77777777" w:rsidR="00222634" w:rsidRPr="00606F3C" w:rsidRDefault="00222634" w:rsidP="00EB3437">
      <w:pPr>
        <w:numPr>
          <w:ilvl w:val="0"/>
          <w:numId w:val="5"/>
        </w:numPr>
        <w:rPr>
          <w:u w:val="single"/>
        </w:rPr>
      </w:pPr>
      <w:r w:rsidRPr="00606F3C">
        <w:rPr>
          <w:u w:val="single"/>
        </w:rPr>
        <w:t>Burden Estimate</w:t>
      </w:r>
      <w:r w:rsidR="00606F3C" w:rsidRPr="00606F3C">
        <w:rPr>
          <w:u w:val="single"/>
        </w:rPr>
        <w:t>s</w:t>
      </w:r>
      <w:r w:rsidRPr="00606F3C">
        <w:rPr>
          <w:u w:val="single"/>
        </w:rPr>
        <w:t xml:space="preserve"> (</w:t>
      </w:r>
      <w:r w:rsidR="00606F3C" w:rsidRPr="00606F3C">
        <w:rPr>
          <w:u w:val="single"/>
        </w:rPr>
        <w:t>H</w:t>
      </w:r>
      <w:r w:rsidRPr="00606F3C">
        <w:rPr>
          <w:u w:val="single"/>
        </w:rPr>
        <w:t>ours</w:t>
      </w:r>
      <w:r w:rsidR="00606F3C" w:rsidRPr="00606F3C">
        <w:rPr>
          <w:u w:val="single"/>
        </w:rPr>
        <w:t xml:space="preserve"> &amp; Wages</w:t>
      </w:r>
      <w:r w:rsidRPr="00606F3C">
        <w:rPr>
          <w:u w:val="single"/>
        </w:rPr>
        <w:t>)</w:t>
      </w:r>
    </w:p>
    <w:p w14:paraId="2FD149DA" w14:textId="77777777" w:rsidR="00222634" w:rsidRDefault="00222634" w:rsidP="00EB3437"/>
    <w:p w14:paraId="0B0AFAE7" w14:textId="77777777" w:rsidR="005E15DC" w:rsidRDefault="00222634" w:rsidP="009A5A23">
      <w:pPr>
        <w:ind w:left="360"/>
      </w:pPr>
      <w:r>
        <w:t>The total annual hour burden for</w:t>
      </w:r>
      <w:r w:rsidR="00311FCE">
        <w:t xml:space="preserve"> DMEPOS</w:t>
      </w:r>
      <w:r>
        <w:t xml:space="preserve"> </w:t>
      </w:r>
      <w:r w:rsidR="00311FCE">
        <w:t xml:space="preserve">suppliers is </w:t>
      </w:r>
      <w:r w:rsidR="005E15DC">
        <w:t xml:space="preserve">15,000 hours.  </w:t>
      </w:r>
      <w:r w:rsidR="00311FCE">
        <w:t>This is based</w:t>
      </w:r>
      <w:r w:rsidR="005E15DC">
        <w:t xml:space="preserve"> on an estimate of 30 minutes to complete the interview for the approximately 30,000 DMEPOS suppliers visited per year.  </w:t>
      </w:r>
    </w:p>
    <w:p w14:paraId="3F482711" w14:textId="77777777" w:rsidR="009A5A23" w:rsidRDefault="009A5A23" w:rsidP="00EB3437"/>
    <w:p w14:paraId="4E0F8507" w14:textId="77777777" w:rsidR="005E15DC" w:rsidRDefault="005E15DC" w:rsidP="009A5A23">
      <w:pPr>
        <w:ind w:left="360"/>
      </w:pPr>
      <w:r>
        <w:t xml:space="preserve">There is no monetary cost to the suppliers, as the </w:t>
      </w:r>
      <w:r w:rsidR="00C02CC1">
        <w:t>NSC MAC</w:t>
      </w:r>
      <w:r>
        <w:t xml:space="preserve"> or its subcontractor completes the form.</w:t>
      </w:r>
    </w:p>
    <w:p w14:paraId="446F2CD1" w14:textId="77777777" w:rsidR="005E15DC" w:rsidRDefault="005E15DC" w:rsidP="00EB3437"/>
    <w:p w14:paraId="78172E81" w14:textId="77777777" w:rsidR="00222634" w:rsidRPr="00F24C17" w:rsidRDefault="00F24C17" w:rsidP="00EB3437">
      <w:pPr>
        <w:numPr>
          <w:ilvl w:val="0"/>
          <w:numId w:val="5"/>
        </w:numPr>
        <w:tabs>
          <w:tab w:val="left" w:pos="-1440"/>
        </w:tabs>
        <w:rPr>
          <w:u w:val="single"/>
        </w:rPr>
      </w:pPr>
      <w:r w:rsidRPr="00F24C17">
        <w:rPr>
          <w:u w:val="single"/>
        </w:rPr>
        <w:t xml:space="preserve">Capital </w:t>
      </w:r>
      <w:r w:rsidR="00222634" w:rsidRPr="00F24C17">
        <w:rPr>
          <w:u w:val="single"/>
        </w:rPr>
        <w:t>Cost</w:t>
      </w:r>
      <w:r w:rsidRPr="00F24C17">
        <w:rPr>
          <w:u w:val="single"/>
        </w:rPr>
        <w:t>s</w:t>
      </w:r>
    </w:p>
    <w:p w14:paraId="2C60103D" w14:textId="77777777" w:rsidR="00222634" w:rsidRDefault="00222634" w:rsidP="00EB3437">
      <w:pPr>
        <w:pStyle w:val="Header"/>
        <w:tabs>
          <w:tab w:val="clear" w:pos="4320"/>
          <w:tab w:val="clear" w:pos="8640"/>
        </w:tabs>
      </w:pPr>
    </w:p>
    <w:p w14:paraId="7C5BB3EC" w14:textId="77777777" w:rsidR="00222634" w:rsidRDefault="00222634" w:rsidP="009A5A23">
      <w:pPr>
        <w:tabs>
          <w:tab w:val="left" w:pos="90"/>
        </w:tabs>
        <w:ind w:left="360"/>
      </w:pPr>
      <w:r>
        <w:t xml:space="preserve">There </w:t>
      </w:r>
      <w:r w:rsidR="00F24C17">
        <w:t>are</w:t>
      </w:r>
      <w:r w:rsidR="00EB3DBD">
        <w:t xml:space="preserve"> no capital cost</w:t>
      </w:r>
      <w:r w:rsidR="00F24C17">
        <w:t>s</w:t>
      </w:r>
      <w:r>
        <w:t xml:space="preserve"> </w:t>
      </w:r>
      <w:r w:rsidR="00F24C17">
        <w:t>to the respondents</w:t>
      </w:r>
      <w:r>
        <w:t>.</w:t>
      </w:r>
    </w:p>
    <w:p w14:paraId="651254AD" w14:textId="77777777" w:rsidR="00222634" w:rsidRDefault="00222634" w:rsidP="00EB3437"/>
    <w:p w14:paraId="0B475914" w14:textId="77777777" w:rsidR="00222634" w:rsidRPr="00F24C17" w:rsidRDefault="00222634" w:rsidP="00EB3437">
      <w:pPr>
        <w:pStyle w:val="Header"/>
        <w:numPr>
          <w:ilvl w:val="0"/>
          <w:numId w:val="5"/>
        </w:numPr>
        <w:tabs>
          <w:tab w:val="clear" w:pos="4320"/>
          <w:tab w:val="clear" w:pos="8640"/>
        </w:tabs>
        <w:rPr>
          <w:u w:val="single"/>
        </w:rPr>
      </w:pPr>
      <w:r w:rsidRPr="00F24C17">
        <w:rPr>
          <w:u w:val="single"/>
        </w:rPr>
        <w:t>Cost to Federal Government</w:t>
      </w:r>
    </w:p>
    <w:p w14:paraId="4B30FAC7" w14:textId="77777777" w:rsidR="00222634" w:rsidRPr="005E15DC" w:rsidRDefault="00222634" w:rsidP="00EB3437"/>
    <w:p w14:paraId="31118C12" w14:textId="77777777" w:rsidR="00606F3C" w:rsidRDefault="00606F3C" w:rsidP="009A5A23">
      <w:pPr>
        <w:ind w:left="360"/>
      </w:pPr>
      <w:r>
        <w:t>There is no additional cost to the Federal government.  Site investigations will be completed in the normal course of Federal duties.</w:t>
      </w:r>
      <w:r w:rsidR="005710C1">
        <w:t xml:space="preserve">  Currently, the cost is approximately $225 per site investigation.</w:t>
      </w:r>
    </w:p>
    <w:p w14:paraId="093757F9" w14:textId="77777777" w:rsidR="005E15DC" w:rsidRPr="005E15DC" w:rsidRDefault="00606F3C" w:rsidP="00EB3437">
      <w:r w:rsidRPr="005E15DC">
        <w:t xml:space="preserve"> </w:t>
      </w:r>
    </w:p>
    <w:p w14:paraId="2B369F3C" w14:textId="77777777" w:rsidR="00222634" w:rsidRPr="00F24C17" w:rsidRDefault="00222634" w:rsidP="00EB3437">
      <w:pPr>
        <w:numPr>
          <w:ilvl w:val="0"/>
          <w:numId w:val="5"/>
        </w:numPr>
        <w:tabs>
          <w:tab w:val="left" w:pos="-1440"/>
        </w:tabs>
      </w:pPr>
      <w:r w:rsidRPr="00F24C17">
        <w:rPr>
          <w:u w:val="single"/>
        </w:rPr>
        <w:t xml:space="preserve">Changes </w:t>
      </w:r>
      <w:r w:rsidR="00F24C17" w:rsidRPr="00F24C17">
        <w:rPr>
          <w:u w:val="single"/>
        </w:rPr>
        <w:t>to</w:t>
      </w:r>
      <w:r w:rsidRPr="00F24C17">
        <w:rPr>
          <w:u w:val="single"/>
        </w:rPr>
        <w:t xml:space="preserve"> Burden</w:t>
      </w:r>
    </w:p>
    <w:p w14:paraId="698787FA" w14:textId="77777777" w:rsidR="00222634" w:rsidRDefault="00222634" w:rsidP="00EB3437"/>
    <w:p w14:paraId="0F787118" w14:textId="77777777" w:rsidR="00222634" w:rsidRDefault="00222634" w:rsidP="009A5A23">
      <w:pPr>
        <w:pStyle w:val="Header"/>
        <w:tabs>
          <w:tab w:val="clear" w:pos="4320"/>
          <w:tab w:val="clear" w:pos="8640"/>
        </w:tabs>
        <w:ind w:left="360"/>
      </w:pPr>
      <w:r>
        <w:t xml:space="preserve">This notification </w:t>
      </w:r>
      <w:r w:rsidR="00644B87">
        <w:t>maintains</w:t>
      </w:r>
      <w:r>
        <w:t xml:space="preserve"> the</w:t>
      </w:r>
      <w:r w:rsidR="005E15DC">
        <w:t xml:space="preserve"> current burden </w:t>
      </w:r>
      <w:r w:rsidR="00644B87">
        <w:t>of</w:t>
      </w:r>
      <w:r>
        <w:t xml:space="preserve"> 1</w:t>
      </w:r>
      <w:r w:rsidR="005E15DC">
        <w:t>5</w:t>
      </w:r>
      <w:r>
        <w:t xml:space="preserve">,000 hours annually.  </w:t>
      </w:r>
    </w:p>
    <w:p w14:paraId="1A974F15" w14:textId="77777777" w:rsidR="006B2AC0" w:rsidRDefault="006B2AC0" w:rsidP="00EB3437">
      <w:pPr>
        <w:pStyle w:val="Header"/>
        <w:tabs>
          <w:tab w:val="clear" w:pos="4320"/>
          <w:tab w:val="clear" w:pos="8640"/>
        </w:tabs>
      </w:pPr>
    </w:p>
    <w:p w14:paraId="39C1964C" w14:textId="77777777" w:rsidR="00222634" w:rsidRPr="00F24C17" w:rsidRDefault="00222634" w:rsidP="00EB3437">
      <w:pPr>
        <w:numPr>
          <w:ilvl w:val="0"/>
          <w:numId w:val="5"/>
        </w:numPr>
        <w:tabs>
          <w:tab w:val="left" w:pos="-1440"/>
        </w:tabs>
        <w:rPr>
          <w:u w:val="single"/>
        </w:rPr>
      </w:pPr>
      <w:r w:rsidRPr="00F24C17">
        <w:rPr>
          <w:u w:val="single"/>
        </w:rPr>
        <w:t>Publication/Tabulation</w:t>
      </w:r>
      <w:r w:rsidR="00F24C17" w:rsidRPr="00F24C17">
        <w:rPr>
          <w:u w:val="single"/>
        </w:rPr>
        <w:t xml:space="preserve"> Dates</w:t>
      </w:r>
    </w:p>
    <w:p w14:paraId="52AFA7E4" w14:textId="77777777" w:rsidR="00222634" w:rsidRDefault="00222634" w:rsidP="00EB3437"/>
    <w:p w14:paraId="37C8BE34" w14:textId="77777777" w:rsidR="00222634" w:rsidRDefault="00222634" w:rsidP="009A5A23">
      <w:pPr>
        <w:ind w:left="360"/>
      </w:pPr>
      <w:r>
        <w:t>There are no plans to publish or tabulate the information collected.</w:t>
      </w:r>
    </w:p>
    <w:p w14:paraId="2B35ABB5" w14:textId="77777777" w:rsidR="00222634" w:rsidRDefault="00222634" w:rsidP="00EB3437"/>
    <w:p w14:paraId="4508F7ED" w14:textId="77777777" w:rsidR="00222634" w:rsidRPr="00F24C17" w:rsidRDefault="00222634" w:rsidP="00EB3437">
      <w:pPr>
        <w:numPr>
          <w:ilvl w:val="0"/>
          <w:numId w:val="5"/>
        </w:numPr>
        <w:rPr>
          <w:u w:val="single"/>
        </w:rPr>
      </w:pPr>
      <w:r w:rsidRPr="00F24C17">
        <w:rPr>
          <w:u w:val="single"/>
        </w:rPr>
        <w:t>Expiration Date</w:t>
      </w:r>
    </w:p>
    <w:p w14:paraId="041C0948" w14:textId="77777777" w:rsidR="00222634" w:rsidRDefault="00222634" w:rsidP="00EB3437"/>
    <w:p w14:paraId="429CBBE3" w14:textId="77777777" w:rsidR="00F24C17" w:rsidRDefault="00F24C17" w:rsidP="009A5A23">
      <w:pPr>
        <w:tabs>
          <w:tab w:val="left" w:pos="360"/>
        </w:tabs>
        <w:ind w:left="360"/>
      </w:pPr>
      <w:r>
        <w:t xml:space="preserve">We </w:t>
      </w:r>
      <w:r w:rsidR="007D5C45">
        <w:t xml:space="preserve">are planning on </w:t>
      </w:r>
      <w:r>
        <w:t>display</w:t>
      </w:r>
      <w:r w:rsidR="007D5C45">
        <w:t>ing</w:t>
      </w:r>
      <w:r>
        <w:t xml:space="preserve"> the </w:t>
      </w:r>
      <w:r w:rsidR="0022601A">
        <w:t xml:space="preserve">revision approval </w:t>
      </w:r>
      <w:r>
        <w:t>date</w:t>
      </w:r>
      <w:r w:rsidR="0022601A">
        <w:t xml:space="preserve"> and the expiration date</w:t>
      </w:r>
      <w:r>
        <w:t>.</w:t>
      </w:r>
    </w:p>
    <w:p w14:paraId="11E0DE2A" w14:textId="77777777" w:rsidR="00222634" w:rsidRDefault="00F24C17" w:rsidP="00EB3437">
      <w:r>
        <w:t xml:space="preserve"> </w:t>
      </w:r>
    </w:p>
    <w:p w14:paraId="7AB7BDE8" w14:textId="77777777" w:rsidR="00222634" w:rsidRPr="00F24C17" w:rsidRDefault="00222634" w:rsidP="00EB3437">
      <w:pPr>
        <w:numPr>
          <w:ilvl w:val="0"/>
          <w:numId w:val="5"/>
        </w:numPr>
        <w:tabs>
          <w:tab w:val="left" w:pos="-1440"/>
        </w:tabs>
        <w:rPr>
          <w:u w:val="single"/>
        </w:rPr>
      </w:pPr>
      <w:r w:rsidRPr="00F24C17">
        <w:rPr>
          <w:u w:val="single"/>
        </w:rPr>
        <w:t>Certification Statement</w:t>
      </w:r>
    </w:p>
    <w:p w14:paraId="75FD6683" w14:textId="77777777" w:rsidR="00222634" w:rsidRDefault="00222634" w:rsidP="00EB3437"/>
    <w:p w14:paraId="1552ABE6" w14:textId="77777777" w:rsidR="006B2AC0" w:rsidRDefault="00222634" w:rsidP="009A5A23">
      <w:pPr>
        <w:ind w:left="360"/>
      </w:pPr>
      <w:r>
        <w:t>The</w:t>
      </w:r>
      <w:r w:rsidR="006B2AC0">
        <w:t>re are no exceptions to the certification statement.</w:t>
      </w:r>
    </w:p>
    <w:p w14:paraId="1F995738" w14:textId="77777777" w:rsidR="00EB3437" w:rsidRDefault="00EB3437" w:rsidP="00EB3437"/>
    <w:p w14:paraId="58B3CFD1" w14:textId="77777777" w:rsidR="00222634" w:rsidRPr="004C59FC" w:rsidRDefault="004C59FC" w:rsidP="004C59FC">
      <w:pPr>
        <w:rPr>
          <w:b/>
          <w:u w:val="single"/>
        </w:rPr>
      </w:pPr>
      <w:r w:rsidRPr="004C59FC">
        <w:rPr>
          <w:b/>
          <w:u w:val="single"/>
        </w:rPr>
        <w:t>B.</w:t>
      </w:r>
      <w:r w:rsidR="006B2AC0" w:rsidRPr="004C59FC">
        <w:rPr>
          <w:b/>
          <w:u w:val="single"/>
        </w:rPr>
        <w:t xml:space="preserve"> </w:t>
      </w:r>
      <w:r w:rsidRPr="004C59FC">
        <w:rPr>
          <w:b/>
          <w:u w:val="single"/>
        </w:rPr>
        <w:t xml:space="preserve"> </w:t>
      </w:r>
      <w:r w:rsidR="00222634" w:rsidRPr="004C59FC">
        <w:rPr>
          <w:b/>
          <w:u w:val="single"/>
        </w:rPr>
        <w:t>COLLECTIONS OF INFORMATION EMPLOYING STATISTICAL METHODS</w:t>
      </w:r>
    </w:p>
    <w:p w14:paraId="053861EA" w14:textId="77777777" w:rsidR="00222634" w:rsidRDefault="00F24C17" w:rsidP="004C59FC">
      <w:pPr>
        <w:ind w:left="360"/>
      </w:pPr>
      <w:r>
        <w:t>N/A</w:t>
      </w:r>
    </w:p>
    <w:p w14:paraId="5F111171" w14:textId="77777777" w:rsidR="006B2AC0" w:rsidRDefault="006B2AC0" w:rsidP="004C59FC">
      <w:pPr>
        <w:jc w:val="center"/>
      </w:pPr>
      <w:r>
        <w:br w:type="page"/>
      </w:r>
      <w:r>
        <w:rPr>
          <w:b/>
          <w:i/>
          <w:sz w:val="32"/>
        </w:rPr>
        <w:lastRenderedPageBreak/>
        <w:t>Supporting Statement for Paperwork Reduction Act Submissions</w:t>
      </w:r>
    </w:p>
    <w:p w14:paraId="2CD7082C" w14:textId="77777777" w:rsidR="006B2AC0" w:rsidRDefault="006B2AC0" w:rsidP="006B2AC0">
      <w:pPr>
        <w:jc w:val="center"/>
      </w:pPr>
    </w:p>
    <w:p w14:paraId="50615DF2" w14:textId="77777777" w:rsidR="006B2AC0" w:rsidRDefault="006B2AC0" w:rsidP="006B2AC0">
      <w:pPr>
        <w:pStyle w:val="Heading1"/>
      </w:pPr>
      <w:r>
        <w:t xml:space="preserve">Site Investigation – Durable Medical Equipment (DME) Supplier Location </w:t>
      </w:r>
    </w:p>
    <w:p w14:paraId="425DDE36" w14:textId="77777777" w:rsidR="006B2AC0" w:rsidRDefault="006B2AC0" w:rsidP="006B2AC0">
      <w:pPr>
        <w:pStyle w:val="Heading1"/>
      </w:pPr>
      <w:r>
        <w:t xml:space="preserve">and Supporting Regulations in 42 C.F.R. </w:t>
      </w:r>
      <w:r w:rsidR="003254C7">
        <w:t xml:space="preserve">§ </w:t>
      </w:r>
      <w:r>
        <w:t>424.57</w:t>
      </w:r>
    </w:p>
    <w:p w14:paraId="26229A88" w14:textId="77777777" w:rsidR="006B2AC0" w:rsidRDefault="006B2AC0" w:rsidP="006B2AC0"/>
    <w:p w14:paraId="188F0FE0" w14:textId="77777777" w:rsidR="006B2AC0" w:rsidRPr="006B2AC0" w:rsidRDefault="006B2AC0" w:rsidP="006B2AC0">
      <w:pPr>
        <w:jc w:val="center"/>
        <w:rPr>
          <w:b/>
          <w:u w:val="single"/>
        </w:rPr>
      </w:pPr>
      <w:r w:rsidRPr="006B2AC0">
        <w:rPr>
          <w:b/>
          <w:u w:val="single"/>
        </w:rPr>
        <w:t>ATTACHMENT A</w:t>
      </w:r>
    </w:p>
    <w:p w14:paraId="4360CE41" w14:textId="77777777" w:rsidR="00861F64" w:rsidRDefault="00861F64" w:rsidP="00861F64">
      <w:pPr>
        <w:pStyle w:val="Default"/>
        <w:ind w:left="1440"/>
        <w:rPr>
          <w:rFonts w:ascii="Times New Roman" w:hAnsi="Times New Roman" w:cs="Times New Roman"/>
          <w:snapToGrid w:val="0"/>
          <w:color w:val="auto"/>
          <w:szCs w:val="20"/>
        </w:rPr>
      </w:pPr>
    </w:p>
    <w:p w14:paraId="73D57132" w14:textId="77777777" w:rsidR="00861F64" w:rsidRDefault="00EB3437" w:rsidP="00861F64">
      <w:pPr>
        <w:pStyle w:val="Default"/>
        <w:ind w:left="360"/>
      </w:pPr>
      <w:r w:rsidRPr="00EB3437">
        <w:rPr>
          <w:b/>
        </w:rPr>
        <w:t xml:space="preserve">Below is an abbreviated version of the supplier standards every Medicare DMEPOS supplier must meet in order to obtain and retain billing privileges. These standards, in their entirety, are listed in 42 C.F.R. 424.57(c). </w:t>
      </w:r>
      <w:r w:rsidRPr="00EB3437">
        <w:rPr>
          <w:b/>
        </w:rPr>
        <w:br/>
      </w:r>
    </w:p>
    <w:p w14:paraId="5E648658" w14:textId="77777777" w:rsidR="00861F64" w:rsidRDefault="00861F64" w:rsidP="00861F64">
      <w:pPr>
        <w:pStyle w:val="Default"/>
        <w:ind w:left="360"/>
      </w:pPr>
    </w:p>
    <w:p w14:paraId="5182CF7C"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 A supplier must be in compliance with all applicable Federal and</w:t>
      </w:r>
      <w:r>
        <w:rPr>
          <w:rFonts w:ascii="Times New Roman" w:hAnsi="Times New Roman" w:cs="Times New Roman"/>
        </w:rPr>
        <w:t xml:space="preserve"> State licensure and regulatory r</w:t>
      </w:r>
      <w:r w:rsidRPr="00861F64">
        <w:rPr>
          <w:rFonts w:ascii="Times New Roman" w:hAnsi="Times New Roman" w:cs="Times New Roman"/>
        </w:rPr>
        <w:t xml:space="preserve">equirements and cannot contract with an individual or entity to provide licensed services. </w:t>
      </w:r>
    </w:p>
    <w:p w14:paraId="225EA902" w14:textId="77777777" w:rsidR="00861F64" w:rsidRPr="00861F64" w:rsidRDefault="00861F64" w:rsidP="00861F64">
      <w:pPr>
        <w:pStyle w:val="Default"/>
        <w:ind w:left="360" w:hanging="360"/>
        <w:rPr>
          <w:rFonts w:ascii="Times New Roman" w:hAnsi="Times New Roman" w:cs="Times New Roman"/>
        </w:rPr>
      </w:pPr>
    </w:p>
    <w:p w14:paraId="248666DA"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provide complete and accurate information on the DMEPOS supplier application. Any changes to this information must be reported to the National Supplier Clearinghouse within 30 days. </w:t>
      </w:r>
    </w:p>
    <w:p w14:paraId="53248AB7" w14:textId="77777777" w:rsidR="00861F64" w:rsidRPr="00861F64" w:rsidRDefault="00861F64" w:rsidP="00861F64">
      <w:pPr>
        <w:pStyle w:val="Default"/>
        <w:ind w:left="360" w:hanging="360"/>
        <w:rPr>
          <w:rFonts w:ascii="Times New Roman" w:hAnsi="Times New Roman" w:cs="Times New Roman"/>
        </w:rPr>
      </w:pPr>
    </w:p>
    <w:p w14:paraId="3BEA804C"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An authorized individual (one whose signature is binding) must sign the application for billing privileges. </w:t>
      </w:r>
    </w:p>
    <w:p w14:paraId="2E48BA14" w14:textId="77777777" w:rsidR="00861F64" w:rsidRPr="00861F64" w:rsidRDefault="00861F64" w:rsidP="00861F64">
      <w:pPr>
        <w:pStyle w:val="Default"/>
        <w:ind w:left="360" w:hanging="360"/>
        <w:rPr>
          <w:rFonts w:ascii="Times New Roman" w:hAnsi="Times New Roman" w:cs="Times New Roman"/>
        </w:rPr>
      </w:pPr>
    </w:p>
    <w:p w14:paraId="37175C45"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fill orders from its own inventory, or must contract with other companies for the purchase of items necessary to fill the order. A supplier may not contract with any entity that is currently excluded from the Medicare program, any State health care programs, or from any other Federal procurement or non-procurement programs. </w:t>
      </w:r>
    </w:p>
    <w:p w14:paraId="163B9617" w14:textId="77777777" w:rsidR="00861F64" w:rsidRPr="00861F64" w:rsidRDefault="00861F64" w:rsidP="00861F64">
      <w:pPr>
        <w:pStyle w:val="Default"/>
        <w:ind w:left="360" w:hanging="360"/>
        <w:rPr>
          <w:rFonts w:ascii="Times New Roman" w:hAnsi="Times New Roman" w:cs="Times New Roman"/>
        </w:rPr>
      </w:pPr>
    </w:p>
    <w:p w14:paraId="06F9ADBA"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advise beneficiaries that they may rent or purchase inexpensive or routinely purchased durable medical equipment, and of the purchase option for capped rental equipment. </w:t>
      </w:r>
    </w:p>
    <w:p w14:paraId="338A62FB" w14:textId="77777777" w:rsidR="00861F64" w:rsidRPr="00861F64" w:rsidRDefault="00861F64" w:rsidP="00861F64">
      <w:pPr>
        <w:pStyle w:val="Default"/>
        <w:ind w:left="360" w:hanging="360"/>
        <w:rPr>
          <w:rFonts w:ascii="Times New Roman" w:hAnsi="Times New Roman" w:cs="Times New Roman"/>
        </w:rPr>
      </w:pPr>
    </w:p>
    <w:p w14:paraId="5F0409AE"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notify beneficiaries of warranty coverage and honor all warranties under applicable State law, and repair or replace free of charge Medicare covered items that are under warranty. </w:t>
      </w:r>
    </w:p>
    <w:p w14:paraId="38F43187" w14:textId="77777777" w:rsidR="00861F64" w:rsidRPr="00861F64" w:rsidRDefault="00861F64" w:rsidP="00861F64">
      <w:pPr>
        <w:pStyle w:val="Default"/>
        <w:ind w:left="360" w:hanging="360"/>
        <w:rPr>
          <w:rFonts w:ascii="Times New Roman" w:hAnsi="Times New Roman" w:cs="Times New Roman"/>
        </w:rPr>
      </w:pPr>
    </w:p>
    <w:p w14:paraId="0B1CCF4E"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maintain a physical facility on an appropriate site. This standard requires that the location is accessible to the public and staffed during posted hours of business. The location must be at least 200 square feet and contain space for storing records. </w:t>
      </w:r>
    </w:p>
    <w:p w14:paraId="6B498CD8" w14:textId="77777777" w:rsidR="00861F64" w:rsidRPr="00861F64" w:rsidRDefault="00861F64" w:rsidP="00861F64">
      <w:pPr>
        <w:pStyle w:val="Default"/>
        <w:ind w:left="360" w:hanging="360"/>
        <w:rPr>
          <w:rFonts w:ascii="Times New Roman" w:hAnsi="Times New Roman" w:cs="Times New Roman"/>
        </w:rPr>
      </w:pPr>
    </w:p>
    <w:p w14:paraId="7FAD2C6E"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permit CMS, or its agents to conduct on-site inspections to ascertain the supplier’s compliance with these standards. The supplier location must be accessible to beneficiaries during reasonable business hours, and must maintain a visible sign and posted hours of operation. </w:t>
      </w:r>
    </w:p>
    <w:p w14:paraId="318E82CE" w14:textId="77777777" w:rsidR="00861F64" w:rsidRPr="00861F64" w:rsidRDefault="00861F64" w:rsidP="00861F64">
      <w:pPr>
        <w:pStyle w:val="Default"/>
        <w:ind w:left="360" w:hanging="360"/>
        <w:rPr>
          <w:rFonts w:ascii="Times New Roman" w:hAnsi="Times New Roman" w:cs="Times New Roman"/>
        </w:rPr>
      </w:pPr>
    </w:p>
    <w:p w14:paraId="433CE2A4"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maintain a primary business telephone listed under the name of the business in a local directory or a toll free number available through directory assistance. The exclusive use of </w:t>
      </w:r>
      <w:r w:rsidRPr="00861F64">
        <w:rPr>
          <w:rFonts w:ascii="Times New Roman" w:hAnsi="Times New Roman" w:cs="Times New Roman"/>
        </w:rPr>
        <w:lastRenderedPageBreak/>
        <w:t xml:space="preserve">a beeper, answering machine, answering service or cell phone during posted business hours is prohibited. </w:t>
      </w:r>
    </w:p>
    <w:p w14:paraId="11CF8433" w14:textId="77777777" w:rsidR="00861F64" w:rsidRPr="00861F64" w:rsidRDefault="00861F64" w:rsidP="00861F64">
      <w:pPr>
        <w:pStyle w:val="Default"/>
        <w:ind w:left="360" w:hanging="360"/>
        <w:rPr>
          <w:rFonts w:ascii="Times New Roman" w:hAnsi="Times New Roman" w:cs="Times New Roman"/>
        </w:rPr>
      </w:pPr>
    </w:p>
    <w:p w14:paraId="610F4B1A"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have comprehensive liability insurance in the amount of at least $300,000 that covers both the supplier’s place of business and all customers and employees of the supplier. If the supplier manufactures its own items, this insurance must also cover product liability and completed operations. </w:t>
      </w:r>
    </w:p>
    <w:p w14:paraId="22C11597" w14:textId="77777777" w:rsidR="00861F64" w:rsidRPr="00861F64" w:rsidRDefault="00861F64" w:rsidP="00861F64">
      <w:pPr>
        <w:pStyle w:val="Default"/>
        <w:ind w:left="360" w:hanging="360"/>
        <w:rPr>
          <w:rFonts w:ascii="Times New Roman" w:hAnsi="Times New Roman" w:cs="Times New Roman"/>
        </w:rPr>
      </w:pPr>
    </w:p>
    <w:p w14:paraId="6465FFF8"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agree not to initiate telephone contact with beneficiaries, with a few exceptions allowed. This standard prohibits suppliers from contacting a Medicare beneficiary based on a physician’s oral order unless an exception applies. </w:t>
      </w:r>
    </w:p>
    <w:p w14:paraId="3819BD30" w14:textId="77777777" w:rsidR="00861F64" w:rsidRPr="00861F64" w:rsidRDefault="00861F64" w:rsidP="00861F64">
      <w:pPr>
        <w:pStyle w:val="Default"/>
        <w:ind w:left="360" w:hanging="360"/>
        <w:rPr>
          <w:rFonts w:ascii="Times New Roman" w:hAnsi="Times New Roman" w:cs="Times New Roman"/>
        </w:rPr>
      </w:pPr>
    </w:p>
    <w:p w14:paraId="4E7BAA16"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is responsible for delivery and must instruct beneficiaries on use of Medicare covered items, and maintain proof of delivery. </w:t>
      </w:r>
    </w:p>
    <w:p w14:paraId="7938EB0D" w14:textId="77777777" w:rsidR="00861F64" w:rsidRPr="00861F64" w:rsidRDefault="00861F64" w:rsidP="00861F64">
      <w:pPr>
        <w:pStyle w:val="Default"/>
        <w:ind w:left="360" w:hanging="360"/>
        <w:rPr>
          <w:rFonts w:ascii="Times New Roman" w:hAnsi="Times New Roman" w:cs="Times New Roman"/>
        </w:rPr>
      </w:pPr>
    </w:p>
    <w:p w14:paraId="179E427E"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answer questions and respond to complaints of beneficiaries, and maintain documentation of such contacts. </w:t>
      </w:r>
    </w:p>
    <w:p w14:paraId="2D699D7D" w14:textId="77777777" w:rsidR="00861F64" w:rsidRPr="00861F64" w:rsidRDefault="00861F64" w:rsidP="00861F64">
      <w:pPr>
        <w:pStyle w:val="Default"/>
        <w:ind w:left="360" w:hanging="360"/>
        <w:rPr>
          <w:rFonts w:ascii="Times New Roman" w:hAnsi="Times New Roman" w:cs="Times New Roman"/>
        </w:rPr>
      </w:pPr>
    </w:p>
    <w:p w14:paraId="47CB835A"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maintain and replace at no charge or repair directly, or through a service contract with another company, Medicare-covered items it has rented to beneficiaries. </w:t>
      </w:r>
    </w:p>
    <w:p w14:paraId="657ADD59" w14:textId="77777777" w:rsidR="00861F64" w:rsidRPr="00861F64" w:rsidRDefault="00861F64" w:rsidP="00861F64">
      <w:pPr>
        <w:pStyle w:val="Default"/>
        <w:ind w:left="360" w:hanging="360"/>
        <w:rPr>
          <w:rFonts w:ascii="Times New Roman" w:hAnsi="Times New Roman" w:cs="Times New Roman"/>
        </w:rPr>
      </w:pPr>
    </w:p>
    <w:p w14:paraId="358A8E60"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accept returns of substandard (less than full quality for the particular item) or unsuitable items (inappropriate for the beneficiary at the time it was fitted and rented or sold) from beneficiaries. </w:t>
      </w:r>
    </w:p>
    <w:p w14:paraId="1F84DA0F" w14:textId="77777777" w:rsidR="00861F64" w:rsidRPr="00861F64" w:rsidRDefault="00861F64" w:rsidP="00861F64">
      <w:pPr>
        <w:pStyle w:val="Default"/>
        <w:ind w:left="360" w:hanging="360"/>
        <w:rPr>
          <w:rFonts w:ascii="Times New Roman" w:hAnsi="Times New Roman" w:cs="Times New Roman"/>
        </w:rPr>
      </w:pPr>
    </w:p>
    <w:p w14:paraId="46AE3B7A"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disclose these supplier standards to each beneficiary to whom it supplies a Medicare-covered item. </w:t>
      </w:r>
    </w:p>
    <w:p w14:paraId="252CA2D8" w14:textId="77777777" w:rsidR="00861F64" w:rsidRPr="00861F64" w:rsidRDefault="00861F64" w:rsidP="00861F64">
      <w:pPr>
        <w:pStyle w:val="Default"/>
        <w:ind w:left="360" w:hanging="360"/>
        <w:rPr>
          <w:rFonts w:ascii="Times New Roman" w:hAnsi="Times New Roman" w:cs="Times New Roman"/>
        </w:rPr>
      </w:pPr>
    </w:p>
    <w:p w14:paraId="3C70050C"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disclose to the government any person having ownership, financial, or control interest in the supplier. </w:t>
      </w:r>
    </w:p>
    <w:p w14:paraId="307E6943" w14:textId="77777777" w:rsidR="00861F64" w:rsidRPr="00861F64" w:rsidRDefault="00861F64" w:rsidP="00861F64">
      <w:pPr>
        <w:pStyle w:val="Default"/>
        <w:ind w:left="360" w:hanging="360"/>
        <w:rPr>
          <w:rFonts w:ascii="Times New Roman" w:hAnsi="Times New Roman" w:cs="Times New Roman"/>
        </w:rPr>
      </w:pPr>
    </w:p>
    <w:p w14:paraId="7C990940"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not convey or reassign a supplier number; i.e., the supplier may not sell or allow another entity to use its Medicare billing number. </w:t>
      </w:r>
    </w:p>
    <w:p w14:paraId="1604DB42" w14:textId="77777777" w:rsidR="00861F64" w:rsidRPr="00861F64" w:rsidRDefault="00861F64" w:rsidP="00861F64">
      <w:pPr>
        <w:pStyle w:val="Default"/>
        <w:ind w:left="360" w:hanging="360"/>
        <w:rPr>
          <w:rFonts w:ascii="Times New Roman" w:hAnsi="Times New Roman" w:cs="Times New Roman"/>
        </w:rPr>
      </w:pPr>
    </w:p>
    <w:p w14:paraId="535C21F5"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have a complaint resolution protocol established to address beneficiary complaints that relate to these standards. A record of these complaints must be maintained at the physical facility. </w:t>
      </w:r>
    </w:p>
    <w:p w14:paraId="108F8993" w14:textId="77777777" w:rsidR="00861F64" w:rsidRPr="00861F64" w:rsidRDefault="00861F64" w:rsidP="00861F64">
      <w:pPr>
        <w:pStyle w:val="Default"/>
        <w:ind w:left="360" w:hanging="360"/>
        <w:rPr>
          <w:rFonts w:ascii="Times New Roman" w:hAnsi="Times New Roman" w:cs="Times New Roman"/>
        </w:rPr>
      </w:pPr>
    </w:p>
    <w:p w14:paraId="6D9D9082"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Complaint records must include: the name, address, telephone number and health insurance claim number of the beneficiary, a summary of the complaint, and any actions taken to resolve it. </w:t>
      </w:r>
    </w:p>
    <w:p w14:paraId="50BDCFB3" w14:textId="77777777" w:rsidR="00861F64" w:rsidRPr="00861F64" w:rsidRDefault="00861F64" w:rsidP="00861F64">
      <w:pPr>
        <w:pStyle w:val="Default"/>
        <w:ind w:left="360" w:hanging="360"/>
        <w:rPr>
          <w:rFonts w:ascii="Times New Roman" w:hAnsi="Times New Roman" w:cs="Times New Roman"/>
        </w:rPr>
      </w:pPr>
    </w:p>
    <w:p w14:paraId="1CD5E544"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agree to furnish CMS any information required by the Medicare statute and implementing regulations. </w:t>
      </w:r>
    </w:p>
    <w:p w14:paraId="54C91002" w14:textId="77777777" w:rsidR="00861F64" w:rsidRPr="00861F64" w:rsidRDefault="00861F64" w:rsidP="00861F64">
      <w:pPr>
        <w:pStyle w:val="Default"/>
        <w:ind w:left="360" w:hanging="360"/>
        <w:rPr>
          <w:rFonts w:ascii="Times New Roman" w:hAnsi="Times New Roman" w:cs="Times New Roman"/>
        </w:rPr>
      </w:pPr>
    </w:p>
    <w:p w14:paraId="4078004E"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All suppliers must be accredited by a CMS-approved accreditation organization in order to receive and retain a supplier billing number. The accreditation must indicate the specific </w:t>
      </w:r>
      <w:r w:rsidRPr="00861F64">
        <w:rPr>
          <w:rFonts w:ascii="Times New Roman" w:hAnsi="Times New Roman" w:cs="Times New Roman"/>
        </w:rPr>
        <w:lastRenderedPageBreak/>
        <w:t xml:space="preserve">products and services, for which the supplier is accredited in order for the supplier to receive payment of those specific products and services (except for certain exempt pharmaceuticals). </w:t>
      </w:r>
      <w:r w:rsidRPr="00861F64">
        <w:rPr>
          <w:rFonts w:ascii="Times New Roman" w:hAnsi="Times New Roman" w:cs="Times New Roman"/>
          <w:i/>
          <w:iCs/>
        </w:rPr>
        <w:t xml:space="preserve">Implementation Date - October 1, 2009 </w:t>
      </w:r>
    </w:p>
    <w:p w14:paraId="56B09989" w14:textId="77777777" w:rsidR="00861F64" w:rsidRPr="00861F64" w:rsidRDefault="00861F64" w:rsidP="00861F64">
      <w:pPr>
        <w:pStyle w:val="Default"/>
        <w:ind w:left="360" w:hanging="360"/>
        <w:rPr>
          <w:rFonts w:ascii="Times New Roman" w:hAnsi="Times New Roman" w:cs="Times New Roman"/>
        </w:rPr>
      </w:pPr>
    </w:p>
    <w:p w14:paraId="4FFEF782"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All suppliers must notify their accreditation organization when a new DMEPOS location is opened. </w:t>
      </w:r>
    </w:p>
    <w:p w14:paraId="036A0ECC" w14:textId="77777777" w:rsidR="00861F64" w:rsidRPr="00861F64" w:rsidRDefault="00861F64" w:rsidP="00861F64">
      <w:pPr>
        <w:pStyle w:val="Default"/>
        <w:ind w:left="360" w:hanging="360"/>
        <w:rPr>
          <w:rFonts w:ascii="Times New Roman" w:hAnsi="Times New Roman" w:cs="Times New Roman"/>
        </w:rPr>
      </w:pPr>
    </w:p>
    <w:p w14:paraId="16C6500D"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All supplier locations, whether owned or subcontracted, must meet the DMEPOS quality standards and be separately accredited in order to bill Medicare. </w:t>
      </w:r>
    </w:p>
    <w:p w14:paraId="50F9AF14" w14:textId="77777777" w:rsidR="00861F64" w:rsidRPr="00861F64" w:rsidRDefault="00861F64" w:rsidP="00861F64">
      <w:pPr>
        <w:pStyle w:val="Default"/>
        <w:ind w:left="360" w:hanging="360"/>
        <w:rPr>
          <w:rFonts w:ascii="Times New Roman" w:hAnsi="Times New Roman" w:cs="Times New Roman"/>
        </w:rPr>
      </w:pPr>
    </w:p>
    <w:p w14:paraId="15BE807D"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All suppliers must disclose upon enrollment all products and services, including the addition of new product lines for which they are seeking accreditation. </w:t>
      </w:r>
    </w:p>
    <w:p w14:paraId="4853F64E" w14:textId="77777777" w:rsidR="00861F64" w:rsidRPr="00861F64" w:rsidRDefault="00861F64" w:rsidP="00861F64">
      <w:pPr>
        <w:pStyle w:val="Default"/>
        <w:ind w:left="360" w:hanging="360"/>
        <w:rPr>
          <w:rFonts w:ascii="Times New Roman" w:hAnsi="Times New Roman" w:cs="Times New Roman"/>
        </w:rPr>
      </w:pPr>
    </w:p>
    <w:p w14:paraId="581CDF55"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Must meet the surety bond requirements specified in 42 C.F.R. 424.57(c). </w:t>
      </w:r>
      <w:r w:rsidRPr="00861F64">
        <w:rPr>
          <w:rFonts w:ascii="Times New Roman" w:hAnsi="Times New Roman" w:cs="Times New Roman"/>
          <w:i/>
          <w:iCs/>
        </w:rPr>
        <w:t xml:space="preserve">Implementation date- May 4, 2009 </w:t>
      </w:r>
    </w:p>
    <w:p w14:paraId="66B0A747" w14:textId="77777777" w:rsidR="00861F64" w:rsidRPr="00861F64" w:rsidRDefault="00861F64" w:rsidP="00861F64">
      <w:pPr>
        <w:pStyle w:val="Default"/>
        <w:ind w:left="360" w:hanging="360"/>
        <w:rPr>
          <w:rFonts w:ascii="Times New Roman" w:hAnsi="Times New Roman" w:cs="Times New Roman"/>
        </w:rPr>
      </w:pPr>
    </w:p>
    <w:p w14:paraId="220E421C"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obtain oxygen from a state- licensed oxygen supplier. </w:t>
      </w:r>
    </w:p>
    <w:p w14:paraId="180AF48E" w14:textId="77777777" w:rsidR="00861F64" w:rsidRPr="00861F64" w:rsidRDefault="00861F64" w:rsidP="00861F64">
      <w:pPr>
        <w:pStyle w:val="Default"/>
        <w:ind w:left="360" w:hanging="360"/>
        <w:rPr>
          <w:rFonts w:ascii="Times New Roman" w:hAnsi="Times New Roman" w:cs="Times New Roman"/>
        </w:rPr>
      </w:pPr>
    </w:p>
    <w:p w14:paraId="7754B0E4"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maintain ordering and referring documentation consistent with provisions found in 42 C.F.R. 424.516(f). </w:t>
      </w:r>
    </w:p>
    <w:p w14:paraId="07131BB5" w14:textId="77777777" w:rsidR="00861F64" w:rsidRPr="00861F64" w:rsidRDefault="00861F64" w:rsidP="00861F64">
      <w:pPr>
        <w:pStyle w:val="Default"/>
        <w:ind w:left="360" w:hanging="360"/>
        <w:rPr>
          <w:rFonts w:ascii="Times New Roman" w:hAnsi="Times New Roman" w:cs="Times New Roman"/>
        </w:rPr>
      </w:pPr>
    </w:p>
    <w:p w14:paraId="031AB26B"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DMEPOS suppliers are prohibited from sharing a practice location with certain other Medicare providers and suppliers. </w:t>
      </w:r>
    </w:p>
    <w:p w14:paraId="323B672C" w14:textId="77777777" w:rsidR="00861F64" w:rsidRPr="00861F64" w:rsidRDefault="00861F64" w:rsidP="00861F64">
      <w:pPr>
        <w:pStyle w:val="Default"/>
        <w:ind w:left="360" w:hanging="360"/>
        <w:rPr>
          <w:rFonts w:ascii="Times New Roman" w:hAnsi="Times New Roman" w:cs="Times New Roman"/>
        </w:rPr>
      </w:pPr>
    </w:p>
    <w:p w14:paraId="2BF1D496" w14:textId="77777777"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DMEPOS suppliers must remain open to the public for a minimum of 30 hours per week with certain exceptions. </w:t>
      </w:r>
    </w:p>
    <w:p w14:paraId="7775418D" w14:textId="77777777" w:rsidR="00861F64" w:rsidRPr="00861F64" w:rsidRDefault="00861F64" w:rsidP="00861F64">
      <w:pPr>
        <w:pStyle w:val="Default"/>
        <w:rPr>
          <w:rFonts w:ascii="Times New Roman" w:hAnsi="Times New Roman" w:cs="Times New Roman"/>
        </w:rPr>
      </w:pPr>
    </w:p>
    <w:p w14:paraId="6860ADDD" w14:textId="77777777" w:rsidR="00861F64" w:rsidRDefault="00861F64" w:rsidP="00861F64">
      <w:pPr>
        <w:widowControl/>
        <w:autoSpaceDE w:val="0"/>
        <w:autoSpaceDN w:val="0"/>
        <w:adjustRightInd w:val="0"/>
        <w:spacing w:after="200"/>
        <w:rPr>
          <w:snapToGrid/>
          <w:color w:val="000000"/>
          <w:szCs w:val="24"/>
        </w:rPr>
      </w:pPr>
    </w:p>
    <w:sectPr w:rsidR="00861F64" w:rsidSect="004C59FC">
      <w:footerReference w:type="even" r:id="rId8"/>
      <w:footerReference w:type="default" r:id="rId9"/>
      <w:endnotePr>
        <w:numFmt w:val="decimal"/>
      </w:endnotePr>
      <w:type w:val="continuous"/>
      <w:pgSz w:w="12240" w:h="15840"/>
      <w:pgMar w:top="1440" w:right="1080" w:bottom="1440" w:left="108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9D548" w14:textId="77777777" w:rsidR="00572E40" w:rsidRDefault="00572E40">
      <w:r>
        <w:separator/>
      </w:r>
    </w:p>
  </w:endnote>
  <w:endnote w:type="continuationSeparator" w:id="0">
    <w:p w14:paraId="3C8ACD3C" w14:textId="77777777" w:rsidR="00572E40" w:rsidRDefault="0057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64898" w14:textId="77777777" w:rsidR="009A5B9E" w:rsidRDefault="00E606C9" w:rsidP="00CE25B4">
    <w:pPr>
      <w:pStyle w:val="Footer"/>
      <w:framePr w:wrap="around" w:vAnchor="text" w:hAnchor="margin" w:xAlign="right" w:y="1"/>
      <w:rPr>
        <w:rStyle w:val="PageNumber"/>
      </w:rPr>
    </w:pPr>
    <w:r>
      <w:rPr>
        <w:rStyle w:val="PageNumber"/>
      </w:rPr>
      <w:fldChar w:fldCharType="begin"/>
    </w:r>
    <w:r w:rsidR="009A5B9E">
      <w:rPr>
        <w:rStyle w:val="PageNumber"/>
      </w:rPr>
      <w:instrText xml:space="preserve">PAGE  </w:instrText>
    </w:r>
    <w:r>
      <w:rPr>
        <w:rStyle w:val="PageNumber"/>
      </w:rPr>
      <w:fldChar w:fldCharType="separate"/>
    </w:r>
    <w:r w:rsidR="009A5B9E">
      <w:rPr>
        <w:rStyle w:val="PageNumber"/>
        <w:noProof/>
      </w:rPr>
      <w:t>7</w:t>
    </w:r>
    <w:r>
      <w:rPr>
        <w:rStyle w:val="PageNumber"/>
      </w:rPr>
      <w:fldChar w:fldCharType="end"/>
    </w:r>
  </w:p>
  <w:p w14:paraId="41DBB2E1" w14:textId="77777777" w:rsidR="009A5B9E" w:rsidRDefault="009A5B9E" w:rsidP="00CE25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C0D04" w14:textId="77777777" w:rsidR="009A5B9E" w:rsidRDefault="00E606C9" w:rsidP="00CE25B4">
    <w:pPr>
      <w:pStyle w:val="Footer"/>
      <w:framePr w:wrap="around" w:vAnchor="text" w:hAnchor="margin" w:xAlign="right" w:y="1"/>
      <w:rPr>
        <w:rStyle w:val="PageNumber"/>
      </w:rPr>
    </w:pPr>
    <w:r>
      <w:rPr>
        <w:rStyle w:val="PageNumber"/>
      </w:rPr>
      <w:fldChar w:fldCharType="begin"/>
    </w:r>
    <w:r w:rsidR="009A5B9E">
      <w:rPr>
        <w:rStyle w:val="PageNumber"/>
      </w:rPr>
      <w:instrText xml:space="preserve">PAGE  </w:instrText>
    </w:r>
    <w:r>
      <w:rPr>
        <w:rStyle w:val="PageNumber"/>
      </w:rPr>
      <w:fldChar w:fldCharType="separate"/>
    </w:r>
    <w:r w:rsidR="00205B77">
      <w:rPr>
        <w:rStyle w:val="PageNumber"/>
        <w:noProof/>
      </w:rPr>
      <w:t>1</w:t>
    </w:r>
    <w:r>
      <w:rPr>
        <w:rStyle w:val="PageNumber"/>
      </w:rPr>
      <w:fldChar w:fldCharType="end"/>
    </w:r>
  </w:p>
  <w:p w14:paraId="6FAC24DF" w14:textId="77777777" w:rsidR="009A5B9E" w:rsidRDefault="009A5B9E" w:rsidP="00CE25B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7F2C3" w14:textId="77777777" w:rsidR="00572E40" w:rsidRDefault="00572E40">
      <w:r>
        <w:separator/>
      </w:r>
    </w:p>
  </w:footnote>
  <w:footnote w:type="continuationSeparator" w:id="0">
    <w:p w14:paraId="4C0BC8F0" w14:textId="77777777" w:rsidR="00572E40" w:rsidRDefault="00572E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C7D1EFA"/>
    <w:multiLevelType w:val="hybridMultilevel"/>
    <w:tmpl w:val="4FB6A2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54728CC"/>
    <w:multiLevelType w:val="hybridMultilevel"/>
    <w:tmpl w:val="698CBC28"/>
    <w:lvl w:ilvl="0" w:tplc="7C22AE1E">
      <w:start w:val="22"/>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686E53"/>
    <w:multiLevelType w:val="hybridMultilevel"/>
    <w:tmpl w:val="49940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45B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7246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1D6B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F73A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483E64"/>
    <w:multiLevelType w:val="hybridMultilevel"/>
    <w:tmpl w:val="965CC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8B4B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4F70685"/>
    <w:multiLevelType w:val="hybridMultilevel"/>
    <w:tmpl w:val="ABB85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756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85247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4091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7A34D39"/>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18" w15:restartNumberingAfterBreak="0">
    <w:nsid w:val="28A75B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A984E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D6072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E5F2686"/>
    <w:multiLevelType w:val="hybridMultilevel"/>
    <w:tmpl w:val="5EA2F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0D43A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26" w15:restartNumberingAfterBreak="0">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EA71FED"/>
    <w:multiLevelType w:val="hybridMultilevel"/>
    <w:tmpl w:val="0648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9" w15:restartNumberingAfterBreak="0">
    <w:nsid w:val="4F9A0A53"/>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30" w15:restartNumberingAfterBreak="0">
    <w:nsid w:val="518057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55A2F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AA958C7"/>
    <w:multiLevelType w:val="hybridMultilevel"/>
    <w:tmpl w:val="021088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2911E0"/>
    <w:multiLevelType w:val="singleLevel"/>
    <w:tmpl w:val="FD5EB570"/>
    <w:lvl w:ilvl="0">
      <w:start w:val="1"/>
      <w:numFmt w:val="upperLetter"/>
      <w:pStyle w:val="Heading2"/>
      <w:lvlText w:val="%1."/>
      <w:lvlJc w:val="left"/>
      <w:pPr>
        <w:tabs>
          <w:tab w:val="num" w:pos="360"/>
        </w:tabs>
        <w:ind w:left="360" w:hanging="360"/>
      </w:pPr>
      <w:rPr>
        <w:rFonts w:ascii="Times New Roman" w:hAnsi="Times New Roman" w:hint="default"/>
        <w:b/>
        <w:i w:val="0"/>
        <w:sz w:val="24"/>
      </w:rPr>
    </w:lvl>
  </w:abstractNum>
  <w:abstractNum w:abstractNumId="35" w15:restartNumberingAfterBreak="0">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BC23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7F842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F59BA2E"/>
    <w:multiLevelType w:val="hybridMultilevel"/>
    <w:tmpl w:val="43BEA6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lvlOverride w:ilvl="0">
      <w:startOverride w:val="1"/>
      <w:lvl w:ilvl="0">
        <w:start w:val="1"/>
        <w:numFmt w:val="decimal"/>
        <w:pStyle w:val="1"/>
        <w:lvlText w:val="%1."/>
        <w:lvlJc w:val="left"/>
      </w:lvl>
    </w:lvlOverride>
  </w:num>
  <w:num w:numId="2">
    <w:abstractNumId w:val="34"/>
  </w:num>
  <w:num w:numId="3">
    <w:abstractNumId w:val="17"/>
  </w:num>
  <w:num w:numId="4">
    <w:abstractNumId w:val="29"/>
  </w:num>
  <w:num w:numId="5">
    <w:abstractNumId w:val="28"/>
  </w:num>
  <w:num w:numId="6">
    <w:abstractNumId w:val="25"/>
  </w:num>
  <w:num w:numId="7">
    <w:abstractNumId w:val="19"/>
  </w:num>
  <w:num w:numId="8">
    <w:abstractNumId w:val="14"/>
  </w:num>
  <w:num w:numId="9">
    <w:abstractNumId w:val="7"/>
  </w:num>
  <w:num w:numId="10">
    <w:abstractNumId w:val="20"/>
  </w:num>
  <w:num w:numId="11">
    <w:abstractNumId w:val="10"/>
  </w:num>
  <w:num w:numId="12">
    <w:abstractNumId w:val="31"/>
  </w:num>
  <w:num w:numId="13">
    <w:abstractNumId w:val="37"/>
  </w:num>
  <w:num w:numId="14">
    <w:abstractNumId w:val="22"/>
  </w:num>
  <w:num w:numId="15">
    <w:abstractNumId w:val="32"/>
  </w:num>
  <w:num w:numId="16">
    <w:abstractNumId w:val="35"/>
  </w:num>
  <w:num w:numId="17">
    <w:abstractNumId w:val="26"/>
  </w:num>
  <w:num w:numId="18">
    <w:abstractNumId w:val="8"/>
  </w:num>
  <w:num w:numId="19">
    <w:abstractNumId w:val="23"/>
  </w:num>
  <w:num w:numId="20">
    <w:abstractNumId w:val="9"/>
  </w:num>
  <w:num w:numId="21">
    <w:abstractNumId w:val="16"/>
  </w:num>
  <w:num w:numId="22">
    <w:abstractNumId w:val="36"/>
  </w:num>
  <w:num w:numId="23">
    <w:abstractNumId w:val="4"/>
  </w:num>
  <w:num w:numId="24">
    <w:abstractNumId w:val="24"/>
  </w:num>
  <w:num w:numId="25">
    <w:abstractNumId w:val="38"/>
  </w:num>
  <w:num w:numId="26">
    <w:abstractNumId w:val="15"/>
  </w:num>
  <w:num w:numId="27">
    <w:abstractNumId w:val="6"/>
  </w:num>
  <w:num w:numId="28">
    <w:abstractNumId w:val="30"/>
  </w:num>
  <w:num w:numId="29">
    <w:abstractNumId w:val="12"/>
  </w:num>
  <w:num w:numId="30">
    <w:abstractNumId w:val="18"/>
  </w:num>
  <w:num w:numId="31">
    <w:abstractNumId w:val="33"/>
  </w:num>
  <w:num w:numId="32">
    <w:abstractNumId w:val="3"/>
  </w:num>
  <w:num w:numId="33">
    <w:abstractNumId w:val="0"/>
  </w:num>
  <w:num w:numId="34">
    <w:abstractNumId w:val="39"/>
  </w:num>
  <w:num w:numId="35">
    <w:abstractNumId w:val="11"/>
  </w:num>
  <w:num w:numId="36">
    <w:abstractNumId w:val="21"/>
  </w:num>
  <w:num w:numId="37">
    <w:abstractNumId w:val="5"/>
  </w:num>
  <w:num w:numId="38">
    <w:abstractNumId w:val="1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19F"/>
    <w:rsid w:val="000052BC"/>
    <w:rsid w:val="00060196"/>
    <w:rsid w:val="0008419F"/>
    <w:rsid w:val="000E7C68"/>
    <w:rsid w:val="001222AC"/>
    <w:rsid w:val="001259E3"/>
    <w:rsid w:val="001442E0"/>
    <w:rsid w:val="00177F5A"/>
    <w:rsid w:val="001A4D33"/>
    <w:rsid w:val="001A6F99"/>
    <w:rsid w:val="001B05BE"/>
    <w:rsid w:val="001C26E3"/>
    <w:rsid w:val="001E269B"/>
    <w:rsid w:val="001F55A2"/>
    <w:rsid w:val="001F769C"/>
    <w:rsid w:val="00205B77"/>
    <w:rsid w:val="00222634"/>
    <w:rsid w:val="0022601A"/>
    <w:rsid w:val="00242F91"/>
    <w:rsid w:val="0024548A"/>
    <w:rsid w:val="00264131"/>
    <w:rsid w:val="00293E98"/>
    <w:rsid w:val="002B768A"/>
    <w:rsid w:val="002E3FD1"/>
    <w:rsid w:val="00311FCE"/>
    <w:rsid w:val="003254C7"/>
    <w:rsid w:val="003B72A7"/>
    <w:rsid w:val="00422070"/>
    <w:rsid w:val="0048193E"/>
    <w:rsid w:val="00491A29"/>
    <w:rsid w:val="00492E6B"/>
    <w:rsid w:val="004C59FC"/>
    <w:rsid w:val="004E57B7"/>
    <w:rsid w:val="005315BA"/>
    <w:rsid w:val="005710C1"/>
    <w:rsid w:val="00572E40"/>
    <w:rsid w:val="005D369D"/>
    <w:rsid w:val="005E15DC"/>
    <w:rsid w:val="00600AF6"/>
    <w:rsid w:val="00604DEE"/>
    <w:rsid w:val="00606F3C"/>
    <w:rsid w:val="00644B87"/>
    <w:rsid w:val="00684937"/>
    <w:rsid w:val="006B2AC0"/>
    <w:rsid w:val="006D1566"/>
    <w:rsid w:val="00782AF4"/>
    <w:rsid w:val="007B3388"/>
    <w:rsid w:val="007D5C45"/>
    <w:rsid w:val="00804C3E"/>
    <w:rsid w:val="008265A4"/>
    <w:rsid w:val="008408AB"/>
    <w:rsid w:val="00851426"/>
    <w:rsid w:val="00861F64"/>
    <w:rsid w:val="009045AD"/>
    <w:rsid w:val="009164A6"/>
    <w:rsid w:val="00933299"/>
    <w:rsid w:val="0098796F"/>
    <w:rsid w:val="00997C54"/>
    <w:rsid w:val="009A5A23"/>
    <w:rsid w:val="009A5B9E"/>
    <w:rsid w:val="00A03292"/>
    <w:rsid w:val="00A64930"/>
    <w:rsid w:val="00A717B6"/>
    <w:rsid w:val="00A77C1D"/>
    <w:rsid w:val="00A80BFE"/>
    <w:rsid w:val="00AA05E4"/>
    <w:rsid w:val="00AB6280"/>
    <w:rsid w:val="00B00738"/>
    <w:rsid w:val="00BB5203"/>
    <w:rsid w:val="00C02CC1"/>
    <w:rsid w:val="00CB085F"/>
    <w:rsid w:val="00CC2B24"/>
    <w:rsid w:val="00CD7BF8"/>
    <w:rsid w:val="00CE25B4"/>
    <w:rsid w:val="00D56E35"/>
    <w:rsid w:val="00D71C0D"/>
    <w:rsid w:val="00D80015"/>
    <w:rsid w:val="00DC28B2"/>
    <w:rsid w:val="00DF03FF"/>
    <w:rsid w:val="00DF38CA"/>
    <w:rsid w:val="00E174EA"/>
    <w:rsid w:val="00E343AF"/>
    <w:rsid w:val="00E53D38"/>
    <w:rsid w:val="00E5681E"/>
    <w:rsid w:val="00E606C9"/>
    <w:rsid w:val="00EB3437"/>
    <w:rsid w:val="00EB3DBD"/>
    <w:rsid w:val="00ED2BB3"/>
    <w:rsid w:val="00F24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6A9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AC0"/>
    <w:pPr>
      <w:widowControl w:val="0"/>
    </w:pPr>
    <w:rPr>
      <w:snapToGrid w:val="0"/>
      <w:sz w:val="24"/>
    </w:rPr>
  </w:style>
  <w:style w:type="paragraph" w:styleId="Heading1">
    <w:name w:val="heading 1"/>
    <w:basedOn w:val="Normal"/>
    <w:next w:val="Normal"/>
    <w:qFormat/>
    <w:rsid w:val="001B05BE"/>
    <w:pPr>
      <w:keepNext/>
      <w:tabs>
        <w:tab w:val="center" w:pos="4680"/>
      </w:tabs>
      <w:jc w:val="center"/>
      <w:outlineLvl w:val="0"/>
    </w:pPr>
    <w:rPr>
      <w:i/>
    </w:rPr>
  </w:style>
  <w:style w:type="paragraph" w:styleId="Heading2">
    <w:name w:val="heading 2"/>
    <w:basedOn w:val="Normal"/>
    <w:next w:val="Normal"/>
    <w:qFormat/>
    <w:rsid w:val="001B05BE"/>
    <w:pPr>
      <w:keepNext/>
      <w:numPr>
        <w:numId w:val="2"/>
      </w:numPr>
      <w:tabs>
        <w:tab w:val="left" w:pos="-1440"/>
      </w:tabs>
      <w:outlineLvl w:val="1"/>
    </w:pPr>
    <w:rPr>
      <w:b/>
      <w:u w:val="single"/>
    </w:rPr>
  </w:style>
  <w:style w:type="paragraph" w:styleId="Heading3">
    <w:name w:val="heading 3"/>
    <w:basedOn w:val="Normal"/>
    <w:next w:val="Normal"/>
    <w:qFormat/>
    <w:rsid w:val="001B05BE"/>
    <w:pPr>
      <w:keepNext/>
      <w:outlineLvl w:val="2"/>
    </w:pPr>
    <w:rPr>
      <w:b/>
    </w:rPr>
  </w:style>
  <w:style w:type="paragraph" w:styleId="Heading4">
    <w:name w:val="heading 4"/>
    <w:basedOn w:val="Normal"/>
    <w:next w:val="Normal"/>
    <w:qFormat/>
    <w:rsid w:val="001B05B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B05BE"/>
  </w:style>
  <w:style w:type="paragraph" w:customStyle="1" w:styleId="1">
    <w:name w:val="1"/>
    <w:aliases w:val="2,3"/>
    <w:basedOn w:val="Normal"/>
    <w:rsid w:val="001B05BE"/>
    <w:pPr>
      <w:numPr>
        <w:numId w:val="1"/>
      </w:numPr>
      <w:ind w:left="720" w:hanging="720"/>
    </w:pPr>
  </w:style>
  <w:style w:type="paragraph" w:styleId="Header">
    <w:name w:val="header"/>
    <w:basedOn w:val="Normal"/>
    <w:rsid w:val="001B05BE"/>
    <w:pPr>
      <w:tabs>
        <w:tab w:val="center" w:pos="4320"/>
        <w:tab w:val="right" w:pos="8640"/>
      </w:tabs>
    </w:pPr>
  </w:style>
  <w:style w:type="paragraph" w:styleId="Footer">
    <w:name w:val="footer"/>
    <w:basedOn w:val="Normal"/>
    <w:rsid w:val="001B05BE"/>
    <w:pPr>
      <w:tabs>
        <w:tab w:val="center" w:pos="4320"/>
        <w:tab w:val="right" w:pos="8640"/>
      </w:tabs>
    </w:pPr>
  </w:style>
  <w:style w:type="character" w:styleId="PageNumber">
    <w:name w:val="page number"/>
    <w:basedOn w:val="DefaultParagraphFont"/>
    <w:rsid w:val="001B05BE"/>
  </w:style>
  <w:style w:type="character" w:styleId="Hyperlink">
    <w:name w:val="Hyperlink"/>
    <w:basedOn w:val="DefaultParagraphFont"/>
    <w:rsid w:val="00EB3437"/>
    <w:rPr>
      <w:color w:val="0000FF"/>
      <w:u w:val="single"/>
    </w:rPr>
  </w:style>
  <w:style w:type="paragraph" w:styleId="BalloonText">
    <w:name w:val="Balloon Text"/>
    <w:basedOn w:val="Normal"/>
    <w:semiHidden/>
    <w:rsid w:val="001222AC"/>
    <w:rPr>
      <w:rFonts w:ascii="Tahoma" w:hAnsi="Tahoma" w:cs="Tahoma"/>
      <w:sz w:val="16"/>
      <w:szCs w:val="16"/>
    </w:rPr>
  </w:style>
  <w:style w:type="paragraph" w:customStyle="1" w:styleId="Default">
    <w:name w:val="Default"/>
    <w:rsid w:val="00A717B6"/>
    <w:pPr>
      <w:autoSpaceDE w:val="0"/>
      <w:autoSpaceDN w:val="0"/>
      <w:adjustRightInd w:val="0"/>
    </w:pPr>
    <w:rPr>
      <w:rFonts w:ascii="Arial" w:hAnsi="Arial" w:cs="Arial"/>
      <w:color w:val="000000"/>
      <w:sz w:val="24"/>
      <w:szCs w:val="24"/>
    </w:rPr>
  </w:style>
  <w:style w:type="paragraph" w:styleId="ListParagraph">
    <w:name w:val="List Paragraph"/>
    <w:basedOn w:val="Default"/>
    <w:next w:val="Default"/>
    <w:uiPriority w:val="99"/>
    <w:qFormat/>
    <w:rsid w:val="00A717B6"/>
    <w:rPr>
      <w:color w:val="auto"/>
    </w:rPr>
  </w:style>
  <w:style w:type="paragraph" w:styleId="BodyTextIndent3">
    <w:name w:val="Body Text Indent 3"/>
    <w:basedOn w:val="Default"/>
    <w:next w:val="Default"/>
    <w:link w:val="BodyTextIndent3Char"/>
    <w:uiPriority w:val="99"/>
    <w:rsid w:val="00A717B6"/>
    <w:rPr>
      <w:color w:val="auto"/>
    </w:rPr>
  </w:style>
  <w:style w:type="character" w:customStyle="1" w:styleId="BodyTextIndent3Char">
    <w:name w:val="Body Text Indent 3 Char"/>
    <w:basedOn w:val="DefaultParagraphFont"/>
    <w:link w:val="BodyTextIndent3"/>
    <w:uiPriority w:val="99"/>
    <w:rsid w:val="00A717B6"/>
    <w:rPr>
      <w:rFonts w:ascii="Arial" w:hAnsi="Arial" w:cs="Arial"/>
      <w:sz w:val="24"/>
      <w:szCs w:val="24"/>
    </w:rPr>
  </w:style>
  <w:style w:type="paragraph" w:customStyle="1" w:styleId="Default1">
    <w:name w:val="Default1"/>
    <w:basedOn w:val="Default"/>
    <w:next w:val="Default"/>
    <w:uiPriority w:val="99"/>
    <w:rsid w:val="00A717B6"/>
    <w:rPr>
      <w:color w:val="auto"/>
    </w:rPr>
  </w:style>
  <w:style w:type="paragraph" w:styleId="BodyTextIndent">
    <w:name w:val="Body Text Indent"/>
    <w:basedOn w:val="Normal"/>
    <w:link w:val="BodyTextIndentChar"/>
    <w:rsid w:val="00861F64"/>
    <w:pPr>
      <w:spacing w:after="120"/>
      <w:ind w:left="360"/>
    </w:pPr>
  </w:style>
  <w:style w:type="character" w:customStyle="1" w:styleId="BodyTextIndentChar">
    <w:name w:val="Body Text Indent Char"/>
    <w:basedOn w:val="DefaultParagraphFont"/>
    <w:link w:val="BodyTextIndent"/>
    <w:rsid w:val="00861F64"/>
    <w:rPr>
      <w:snapToGrid w:val="0"/>
      <w:sz w:val="24"/>
    </w:rPr>
  </w:style>
  <w:style w:type="character" w:styleId="CommentReference">
    <w:name w:val="annotation reference"/>
    <w:basedOn w:val="DefaultParagraphFont"/>
    <w:semiHidden/>
    <w:unhideWhenUsed/>
    <w:rsid w:val="00D71C0D"/>
    <w:rPr>
      <w:sz w:val="16"/>
      <w:szCs w:val="16"/>
    </w:rPr>
  </w:style>
  <w:style w:type="paragraph" w:styleId="CommentText">
    <w:name w:val="annotation text"/>
    <w:basedOn w:val="Normal"/>
    <w:link w:val="CommentTextChar"/>
    <w:semiHidden/>
    <w:unhideWhenUsed/>
    <w:rsid w:val="00D71C0D"/>
    <w:rPr>
      <w:sz w:val="20"/>
    </w:rPr>
  </w:style>
  <w:style w:type="character" w:customStyle="1" w:styleId="CommentTextChar">
    <w:name w:val="Comment Text Char"/>
    <w:basedOn w:val="DefaultParagraphFont"/>
    <w:link w:val="CommentText"/>
    <w:semiHidden/>
    <w:rsid w:val="00D71C0D"/>
    <w:rPr>
      <w:snapToGrid w:val="0"/>
    </w:rPr>
  </w:style>
  <w:style w:type="paragraph" w:styleId="CommentSubject">
    <w:name w:val="annotation subject"/>
    <w:basedOn w:val="CommentText"/>
    <w:next w:val="CommentText"/>
    <w:link w:val="CommentSubjectChar"/>
    <w:semiHidden/>
    <w:unhideWhenUsed/>
    <w:rsid w:val="00D71C0D"/>
    <w:rPr>
      <w:b/>
      <w:bCs/>
    </w:rPr>
  </w:style>
  <w:style w:type="character" w:customStyle="1" w:styleId="CommentSubjectChar">
    <w:name w:val="Comment Subject Char"/>
    <w:basedOn w:val="CommentTextChar"/>
    <w:link w:val="CommentSubject"/>
    <w:semiHidden/>
    <w:rsid w:val="00D71C0D"/>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72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28A6-44B6-4555-BB44-2AE94C345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2016-04-07T14:43:00Z</dcterms:created>
  <dcterms:modified xsi:type="dcterms:W3CDTF">2016-04-07T14:43:00Z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1098819433</vt:i4>
  </property>
  <property fmtid="{D5CDD505-2E9C-101B-9397-08002B2CF9AE}" pid="3" name="_NewReviewCycle">
    <vt:lpwstr/>
  </property>
  <property fmtid="{D5CDD505-2E9C-101B-9397-08002B2CF9AE}" pid="4" name="_PreviousAdHocReviewCycleID">
    <vt:i4>1110883169</vt:i4>
  </property>
</Properties>
</file>