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5D99" w:rsidRDefault="00311FC1" w:rsidP="00D62B5A">
      <w:pPr>
        <w:spacing w:line="216" w:lineRule="auto"/>
        <w:jc w:val="center"/>
        <w:outlineLvl w:val="0"/>
        <w:rPr>
          <w:sz w:val="28"/>
          <w:szCs w:val="28"/>
        </w:rPr>
      </w:pPr>
      <w:r>
        <w:rPr>
          <w:sz w:val="28"/>
          <w:szCs w:val="28"/>
        </w:rPr>
        <w:t>Revisions to Form CMS-</w:t>
      </w:r>
      <w:r w:rsidR="000F0057">
        <w:rPr>
          <w:sz w:val="28"/>
          <w:szCs w:val="28"/>
        </w:rPr>
        <w:t>2552-</w:t>
      </w:r>
      <w:r w:rsidR="00712D55">
        <w:rPr>
          <w:sz w:val="28"/>
          <w:szCs w:val="28"/>
        </w:rPr>
        <w:t>10</w:t>
      </w:r>
      <w:r>
        <w:rPr>
          <w:sz w:val="28"/>
          <w:szCs w:val="28"/>
        </w:rPr>
        <w:t xml:space="preserve"> </w:t>
      </w:r>
      <w:r w:rsidR="000F0057">
        <w:rPr>
          <w:sz w:val="28"/>
          <w:szCs w:val="28"/>
        </w:rPr>
        <w:t xml:space="preserve">HOSPITAL </w:t>
      </w:r>
      <w:r w:rsidR="00205047">
        <w:rPr>
          <w:sz w:val="28"/>
          <w:szCs w:val="28"/>
        </w:rPr>
        <w:t xml:space="preserve">AND HOSPITAL HEALTH CARE COMPLEX </w:t>
      </w:r>
      <w:r w:rsidR="000F0057">
        <w:rPr>
          <w:sz w:val="28"/>
          <w:szCs w:val="28"/>
        </w:rPr>
        <w:t>COST REPORT</w:t>
      </w:r>
      <w:r w:rsidR="00715D99" w:rsidRPr="00311FC1">
        <w:rPr>
          <w:sz w:val="28"/>
          <w:szCs w:val="28"/>
        </w:rPr>
        <w:t xml:space="preserve"> </w:t>
      </w:r>
    </w:p>
    <w:p w:rsidR="00DB64DD" w:rsidRPr="004A15D5" w:rsidRDefault="00DB64DD" w:rsidP="00D62B5A">
      <w:pPr>
        <w:spacing w:line="216" w:lineRule="auto"/>
        <w:jc w:val="center"/>
        <w:outlineLvl w:val="0"/>
        <w:rPr>
          <w:b/>
          <w:u w:val="single"/>
        </w:rPr>
      </w:pPr>
    </w:p>
    <w:p w:rsidR="00031CC8" w:rsidRDefault="00DB64DD" w:rsidP="00D62B5A">
      <w:pPr>
        <w:spacing w:line="216" w:lineRule="auto"/>
      </w:pPr>
      <w:r w:rsidRPr="00DB64DD">
        <w:t>Th</w:t>
      </w:r>
      <w:r w:rsidR="00397600">
        <w:t>e</w:t>
      </w:r>
      <w:r w:rsidRPr="00DB64DD">
        <w:t xml:space="preserve"> revision</w:t>
      </w:r>
      <w:r w:rsidR="006B50FC">
        <w:t>s</w:t>
      </w:r>
      <w:r w:rsidR="00397600">
        <w:t xml:space="preserve"> to the Form CMS-2552-10</w:t>
      </w:r>
      <w:r w:rsidRPr="00DB64DD">
        <w:t xml:space="preserve"> </w:t>
      </w:r>
      <w:r w:rsidR="006B50FC">
        <w:t>are</w:t>
      </w:r>
      <w:r w:rsidRPr="00DB64DD">
        <w:t xml:space="preserve"> </w:t>
      </w:r>
      <w:r w:rsidR="00031CC8">
        <w:t>two-fold:</w:t>
      </w:r>
    </w:p>
    <w:p w:rsidR="00031CC8" w:rsidRDefault="00031CC8" w:rsidP="00D62B5A">
      <w:pPr>
        <w:spacing w:line="216" w:lineRule="auto"/>
      </w:pPr>
    </w:p>
    <w:p w:rsidR="00031CC8" w:rsidRDefault="00397600" w:rsidP="00031CC8">
      <w:pPr>
        <w:numPr>
          <w:ilvl w:val="0"/>
          <w:numId w:val="16"/>
        </w:numPr>
        <w:spacing w:line="216" w:lineRule="auto"/>
        <w:ind w:right="828"/>
      </w:pPr>
      <w:r>
        <w:t>New worksheets for the</w:t>
      </w:r>
      <w:r w:rsidR="00031CC8">
        <w:t xml:space="preserve"> hospital-based federally qualified health center (FQHC) </w:t>
      </w:r>
      <w:r w:rsidR="00DB64DD" w:rsidRPr="00DB64DD">
        <w:t xml:space="preserve">to </w:t>
      </w:r>
      <w:r w:rsidR="00696E5A" w:rsidRPr="00696E5A">
        <w:t xml:space="preserve">comply with §10501(i)(3)(A) of </w:t>
      </w:r>
      <w:r w:rsidR="00696E5A" w:rsidRPr="0005041F">
        <w:t>the Patient Protection and Affordable Care Act (ACA)</w:t>
      </w:r>
      <w:r w:rsidR="00696E5A" w:rsidRPr="00696E5A">
        <w:t>, codified in section 1834(o) of the Act</w:t>
      </w:r>
      <w:r w:rsidR="00696E5A">
        <w:t>,</w:t>
      </w:r>
      <w:r w:rsidR="00D204B6" w:rsidRPr="00696E5A">
        <w:t xml:space="preserve"> </w:t>
      </w:r>
      <w:r w:rsidR="00031CC8" w:rsidRPr="00696E5A">
        <w:t xml:space="preserve">requiring FQHCs </w:t>
      </w:r>
      <w:r w:rsidR="00D204B6" w:rsidRPr="00696E5A">
        <w:t xml:space="preserve">to maintain separate </w:t>
      </w:r>
      <w:r w:rsidR="005C544B" w:rsidRPr="00696E5A">
        <w:t>statistical records</w:t>
      </w:r>
      <w:r w:rsidR="005C544B">
        <w:t xml:space="preserve"> for proper determination of cost</w:t>
      </w:r>
      <w:r w:rsidR="00031CC8">
        <w:t>s</w:t>
      </w:r>
      <w:r w:rsidR="005C544B">
        <w:t xml:space="preserve"> payable under the Medicare program.</w:t>
      </w:r>
      <w:r w:rsidR="00DB64DD" w:rsidRPr="00DB64DD">
        <w:t xml:space="preserve">  </w:t>
      </w:r>
    </w:p>
    <w:p w:rsidR="00031CC8" w:rsidRDefault="00397600" w:rsidP="00031CC8">
      <w:pPr>
        <w:numPr>
          <w:ilvl w:val="0"/>
          <w:numId w:val="16"/>
        </w:numPr>
        <w:spacing w:line="216" w:lineRule="auto"/>
        <w:ind w:right="828"/>
      </w:pPr>
      <w:r>
        <w:t xml:space="preserve">New worksheets for </w:t>
      </w:r>
      <w:r w:rsidR="00031CC8">
        <w:t xml:space="preserve">the hospital-based hospice to collect data to facilitate payment reform mandated by </w:t>
      </w:r>
      <w:r w:rsidR="00696E5A">
        <w:t>§</w:t>
      </w:r>
      <w:r w:rsidR="00031CC8" w:rsidRPr="0005041F">
        <w:t xml:space="preserve">3132 of </w:t>
      </w:r>
      <w:r w:rsidR="00205047">
        <w:t xml:space="preserve">the </w:t>
      </w:r>
      <w:r w:rsidR="00031CC8" w:rsidRPr="0005041F">
        <w:t>ACA</w:t>
      </w:r>
      <w:r w:rsidR="005C544B">
        <w:t xml:space="preserve">.  </w:t>
      </w:r>
    </w:p>
    <w:p w:rsidR="00031CC8" w:rsidRDefault="00031CC8" w:rsidP="00D62B5A">
      <w:pPr>
        <w:spacing w:line="216" w:lineRule="auto"/>
      </w:pPr>
    </w:p>
    <w:p w:rsidR="00DB64DD" w:rsidRDefault="005C544B" w:rsidP="00D62B5A">
      <w:pPr>
        <w:spacing w:line="216" w:lineRule="auto"/>
      </w:pPr>
      <w:r>
        <w:t>T</w:t>
      </w:r>
      <w:r w:rsidR="00F5133A">
        <w:t xml:space="preserve">he overall burden to providers </w:t>
      </w:r>
      <w:r w:rsidR="00205047">
        <w:t>is estimated to remain unchanged as the proposed worksheets supersede worksheets currently in the cost report</w:t>
      </w:r>
      <w:r w:rsidR="00A82DD4">
        <w:t>.</w:t>
      </w:r>
    </w:p>
    <w:p w:rsidR="005C544B" w:rsidRPr="00A82DD4" w:rsidRDefault="005C544B" w:rsidP="00D62B5A">
      <w:pPr>
        <w:spacing w:line="216" w:lineRule="auto"/>
      </w:pPr>
    </w:p>
    <w:p w:rsidR="0049676B" w:rsidRDefault="00F276EB" w:rsidP="00D62B5A">
      <w:pPr>
        <w:spacing w:line="216" w:lineRule="auto"/>
        <w:ind w:right="48"/>
        <w:rPr>
          <w:b/>
        </w:rPr>
      </w:pPr>
      <w:r>
        <w:rPr>
          <w:b/>
        </w:rPr>
        <w:t>C</w:t>
      </w:r>
      <w:r w:rsidR="0049676B" w:rsidRPr="00A702BB">
        <w:rPr>
          <w:b/>
        </w:rPr>
        <w:t>hanges</w:t>
      </w:r>
    </w:p>
    <w:tbl>
      <w:tblPr>
        <w:tblW w:w="14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28"/>
        <w:gridCol w:w="1530"/>
        <w:gridCol w:w="1440"/>
        <w:gridCol w:w="1170"/>
        <w:gridCol w:w="1710"/>
        <w:gridCol w:w="1710"/>
        <w:gridCol w:w="5130"/>
        <w:gridCol w:w="1080"/>
      </w:tblGrid>
      <w:tr w:rsidR="00F5133A" w:rsidRPr="00F5133A" w:rsidTr="00031CC8">
        <w:trPr>
          <w:trHeight w:val="512"/>
        </w:trPr>
        <w:tc>
          <w:tcPr>
            <w:tcW w:w="828" w:type="dxa"/>
            <w:vAlign w:val="bottom"/>
          </w:tcPr>
          <w:p w:rsidR="00F5133A" w:rsidRPr="00F5133A" w:rsidRDefault="00F5133A" w:rsidP="00D62B5A">
            <w:pPr>
              <w:spacing w:line="216" w:lineRule="auto"/>
              <w:ind w:right="48"/>
              <w:jc w:val="center"/>
              <w:rPr>
                <w:b/>
              </w:rPr>
            </w:pPr>
            <w:r w:rsidRPr="00F5133A">
              <w:rPr>
                <w:b/>
              </w:rPr>
              <w:t>Issue #</w:t>
            </w:r>
          </w:p>
        </w:tc>
        <w:tc>
          <w:tcPr>
            <w:tcW w:w="1530" w:type="dxa"/>
            <w:vAlign w:val="bottom"/>
          </w:tcPr>
          <w:p w:rsidR="00F5133A" w:rsidRPr="00F5133A" w:rsidRDefault="00F5133A" w:rsidP="00D62B5A">
            <w:pPr>
              <w:spacing w:line="216" w:lineRule="auto"/>
              <w:jc w:val="center"/>
              <w:rPr>
                <w:b/>
              </w:rPr>
            </w:pPr>
            <w:r w:rsidRPr="00F5133A">
              <w:rPr>
                <w:b/>
              </w:rPr>
              <w:t>Instructions</w:t>
            </w:r>
          </w:p>
          <w:p w:rsidR="00F5133A" w:rsidRPr="00F5133A" w:rsidRDefault="00F5133A" w:rsidP="00D62B5A">
            <w:pPr>
              <w:spacing w:line="216" w:lineRule="auto"/>
              <w:jc w:val="center"/>
              <w:rPr>
                <w:b/>
              </w:rPr>
            </w:pPr>
            <w:r w:rsidRPr="00F5133A">
              <w:rPr>
                <w:b/>
              </w:rPr>
              <w:t>Page #</w:t>
            </w:r>
          </w:p>
        </w:tc>
        <w:tc>
          <w:tcPr>
            <w:tcW w:w="1440" w:type="dxa"/>
            <w:vAlign w:val="bottom"/>
          </w:tcPr>
          <w:p w:rsidR="00F5133A" w:rsidRPr="00F5133A" w:rsidRDefault="00F5133A" w:rsidP="00D62B5A">
            <w:pPr>
              <w:spacing w:line="216" w:lineRule="auto"/>
              <w:ind w:right="48"/>
              <w:jc w:val="center"/>
              <w:rPr>
                <w:b/>
              </w:rPr>
            </w:pPr>
            <w:r w:rsidRPr="00F5133A">
              <w:rPr>
                <w:b/>
              </w:rPr>
              <w:t>Form</w:t>
            </w:r>
          </w:p>
          <w:p w:rsidR="00F5133A" w:rsidRPr="00F5133A" w:rsidRDefault="00F5133A" w:rsidP="00D62B5A">
            <w:pPr>
              <w:spacing w:line="216" w:lineRule="auto"/>
              <w:ind w:right="48"/>
              <w:jc w:val="center"/>
              <w:rPr>
                <w:b/>
              </w:rPr>
            </w:pPr>
            <w:r w:rsidRPr="00F5133A">
              <w:rPr>
                <w:b/>
              </w:rPr>
              <w:t>Page #</w:t>
            </w:r>
          </w:p>
        </w:tc>
        <w:tc>
          <w:tcPr>
            <w:tcW w:w="1170" w:type="dxa"/>
            <w:vAlign w:val="bottom"/>
          </w:tcPr>
          <w:p w:rsidR="00F5133A" w:rsidRPr="00F5133A" w:rsidRDefault="00F5133A" w:rsidP="00D62B5A">
            <w:pPr>
              <w:spacing w:line="216" w:lineRule="auto"/>
              <w:ind w:right="48"/>
              <w:jc w:val="center"/>
              <w:rPr>
                <w:b/>
              </w:rPr>
            </w:pPr>
            <w:r w:rsidRPr="00F5133A">
              <w:rPr>
                <w:b/>
              </w:rPr>
              <w:t>Section</w:t>
            </w:r>
          </w:p>
        </w:tc>
        <w:tc>
          <w:tcPr>
            <w:tcW w:w="1710" w:type="dxa"/>
            <w:vAlign w:val="bottom"/>
          </w:tcPr>
          <w:p w:rsidR="00F5133A" w:rsidRPr="00F5133A" w:rsidRDefault="00F5133A" w:rsidP="002D5847">
            <w:pPr>
              <w:spacing w:line="216" w:lineRule="auto"/>
              <w:ind w:right="48"/>
              <w:jc w:val="center"/>
              <w:rPr>
                <w:b/>
              </w:rPr>
            </w:pPr>
            <w:r w:rsidRPr="00F5133A">
              <w:rPr>
                <w:b/>
              </w:rPr>
              <w:t>Old Package</w:t>
            </w:r>
            <w:r w:rsidR="002D5847">
              <w:rPr>
                <w:b/>
              </w:rPr>
              <w:t xml:space="preserve"> </w:t>
            </w:r>
            <w:r w:rsidRPr="00F5133A">
              <w:rPr>
                <w:b/>
              </w:rPr>
              <w:t>Form</w:t>
            </w:r>
            <w:r w:rsidR="002D5847">
              <w:rPr>
                <w:b/>
              </w:rPr>
              <w:t xml:space="preserve"> </w:t>
            </w:r>
            <w:r w:rsidRPr="00F5133A">
              <w:rPr>
                <w:b/>
              </w:rPr>
              <w:t>CMS</w:t>
            </w:r>
            <w:r w:rsidR="00D62B5A">
              <w:rPr>
                <w:b/>
              </w:rPr>
              <w:noBreakHyphen/>
            </w:r>
            <w:r w:rsidRPr="00F5133A">
              <w:rPr>
                <w:b/>
              </w:rPr>
              <w:t>2552</w:t>
            </w:r>
            <w:r w:rsidR="00D62B5A">
              <w:rPr>
                <w:b/>
              </w:rPr>
              <w:noBreakHyphen/>
            </w:r>
            <w:r w:rsidR="004A15D5">
              <w:rPr>
                <w:b/>
              </w:rPr>
              <w:t>10</w:t>
            </w:r>
          </w:p>
        </w:tc>
        <w:tc>
          <w:tcPr>
            <w:tcW w:w="1710" w:type="dxa"/>
            <w:vAlign w:val="bottom"/>
          </w:tcPr>
          <w:p w:rsidR="00F5133A" w:rsidRPr="00F5133A" w:rsidRDefault="00F5133A" w:rsidP="002D5847">
            <w:pPr>
              <w:spacing w:line="216" w:lineRule="auto"/>
              <w:ind w:right="48"/>
              <w:jc w:val="center"/>
              <w:rPr>
                <w:b/>
              </w:rPr>
            </w:pPr>
            <w:r w:rsidRPr="00F5133A">
              <w:rPr>
                <w:b/>
              </w:rPr>
              <w:t>New</w:t>
            </w:r>
            <w:r w:rsidR="002D5847">
              <w:rPr>
                <w:b/>
              </w:rPr>
              <w:t xml:space="preserve"> </w:t>
            </w:r>
            <w:r w:rsidRPr="00F5133A">
              <w:rPr>
                <w:b/>
              </w:rPr>
              <w:t>Package</w:t>
            </w:r>
            <w:r w:rsidR="002D5847">
              <w:rPr>
                <w:b/>
              </w:rPr>
              <w:t xml:space="preserve"> </w:t>
            </w:r>
            <w:r w:rsidRPr="00F5133A">
              <w:rPr>
                <w:b/>
              </w:rPr>
              <w:t>Form</w:t>
            </w:r>
            <w:r w:rsidR="002D5847">
              <w:rPr>
                <w:b/>
              </w:rPr>
              <w:t xml:space="preserve"> </w:t>
            </w:r>
            <w:r w:rsidRPr="00F5133A">
              <w:rPr>
                <w:b/>
              </w:rPr>
              <w:t>CMS</w:t>
            </w:r>
            <w:r w:rsidR="00D62B5A">
              <w:rPr>
                <w:b/>
              </w:rPr>
              <w:noBreakHyphen/>
            </w:r>
            <w:r w:rsidRPr="00F5133A">
              <w:rPr>
                <w:b/>
              </w:rPr>
              <w:t>2552</w:t>
            </w:r>
            <w:r w:rsidR="00D62B5A">
              <w:rPr>
                <w:b/>
              </w:rPr>
              <w:noBreakHyphen/>
            </w:r>
            <w:r w:rsidRPr="00F5133A">
              <w:rPr>
                <w:b/>
              </w:rPr>
              <w:t>10</w:t>
            </w:r>
          </w:p>
        </w:tc>
        <w:tc>
          <w:tcPr>
            <w:tcW w:w="5130" w:type="dxa"/>
            <w:vAlign w:val="bottom"/>
          </w:tcPr>
          <w:p w:rsidR="002D5847" w:rsidRDefault="00F5133A" w:rsidP="00D62B5A">
            <w:pPr>
              <w:spacing w:line="216" w:lineRule="auto"/>
              <w:ind w:right="48"/>
              <w:jc w:val="center"/>
              <w:rPr>
                <w:b/>
              </w:rPr>
            </w:pPr>
            <w:r w:rsidRPr="00F5133A">
              <w:rPr>
                <w:b/>
              </w:rPr>
              <w:t xml:space="preserve">Reason for the Change </w:t>
            </w:r>
            <w:r w:rsidR="002D5847">
              <w:rPr>
                <w:b/>
              </w:rPr>
              <w:t>/</w:t>
            </w:r>
          </w:p>
          <w:p w:rsidR="00F5133A" w:rsidRPr="00F5133A" w:rsidRDefault="00F5133A" w:rsidP="00D62B5A">
            <w:pPr>
              <w:spacing w:line="216" w:lineRule="auto"/>
              <w:ind w:right="48"/>
              <w:jc w:val="center"/>
              <w:rPr>
                <w:b/>
              </w:rPr>
            </w:pPr>
            <w:r w:rsidRPr="00F5133A">
              <w:rPr>
                <w:b/>
              </w:rPr>
              <w:t>Application of the instructions and accompanying worksheets</w:t>
            </w:r>
          </w:p>
        </w:tc>
        <w:tc>
          <w:tcPr>
            <w:tcW w:w="1080" w:type="dxa"/>
            <w:vAlign w:val="bottom"/>
          </w:tcPr>
          <w:p w:rsidR="00F5133A" w:rsidRPr="00F5133A" w:rsidRDefault="00F5133A" w:rsidP="00D62B5A">
            <w:pPr>
              <w:spacing w:line="216" w:lineRule="auto"/>
              <w:ind w:right="48"/>
              <w:jc w:val="center"/>
              <w:rPr>
                <w:b/>
              </w:rPr>
            </w:pPr>
            <w:r w:rsidRPr="00F5133A">
              <w:rPr>
                <w:b/>
              </w:rPr>
              <w:t>Burden</w:t>
            </w:r>
          </w:p>
          <w:p w:rsidR="00F5133A" w:rsidRPr="00F5133A" w:rsidRDefault="00F5133A" w:rsidP="00D62B5A">
            <w:pPr>
              <w:spacing w:line="216" w:lineRule="auto"/>
              <w:ind w:right="48"/>
              <w:jc w:val="center"/>
              <w:rPr>
                <w:b/>
              </w:rPr>
            </w:pPr>
            <w:r w:rsidRPr="00F5133A">
              <w:rPr>
                <w:b/>
              </w:rPr>
              <w:t>Effect</w:t>
            </w:r>
          </w:p>
        </w:tc>
      </w:tr>
      <w:tr w:rsidR="008B2848" w:rsidRPr="00C23093" w:rsidTr="00031CC8">
        <w:tc>
          <w:tcPr>
            <w:tcW w:w="828" w:type="dxa"/>
          </w:tcPr>
          <w:p w:rsidR="008B2848" w:rsidRPr="00C23093" w:rsidRDefault="00E62858" w:rsidP="00E62858">
            <w:pPr>
              <w:spacing w:line="216" w:lineRule="auto"/>
              <w:ind w:right="48"/>
            </w:pPr>
            <w:r>
              <w:t>1</w:t>
            </w:r>
          </w:p>
        </w:tc>
        <w:tc>
          <w:tcPr>
            <w:tcW w:w="1530" w:type="dxa"/>
          </w:tcPr>
          <w:p w:rsidR="008B2848" w:rsidRDefault="008B2848" w:rsidP="00D62B5A">
            <w:pPr>
              <w:spacing w:line="216" w:lineRule="auto"/>
            </w:pPr>
            <w:r>
              <w:t>40-73</w:t>
            </w:r>
          </w:p>
        </w:tc>
        <w:tc>
          <w:tcPr>
            <w:tcW w:w="1440" w:type="dxa"/>
          </w:tcPr>
          <w:p w:rsidR="008B2848" w:rsidRDefault="008B2848" w:rsidP="00D62B5A">
            <w:pPr>
              <w:spacing w:line="216" w:lineRule="auto"/>
              <w:ind w:right="48"/>
            </w:pPr>
            <w:r>
              <w:t>40-521</w:t>
            </w:r>
          </w:p>
        </w:tc>
        <w:tc>
          <w:tcPr>
            <w:tcW w:w="1170" w:type="dxa"/>
          </w:tcPr>
          <w:p w:rsidR="008B2848" w:rsidRPr="00C23093" w:rsidRDefault="008B2848" w:rsidP="00D62B5A">
            <w:pPr>
              <w:spacing w:line="216" w:lineRule="auto"/>
              <w:ind w:right="48"/>
            </w:pPr>
            <w:r>
              <w:t>4010</w:t>
            </w:r>
          </w:p>
        </w:tc>
        <w:tc>
          <w:tcPr>
            <w:tcW w:w="1710" w:type="dxa"/>
          </w:tcPr>
          <w:p w:rsidR="008B2848" w:rsidRPr="00C23093" w:rsidRDefault="008B2848" w:rsidP="00D62B5A">
            <w:pPr>
              <w:spacing w:line="216" w:lineRule="auto"/>
              <w:ind w:right="48"/>
            </w:pPr>
            <w:r>
              <w:t>S-8</w:t>
            </w:r>
          </w:p>
        </w:tc>
        <w:tc>
          <w:tcPr>
            <w:tcW w:w="1710" w:type="dxa"/>
          </w:tcPr>
          <w:p w:rsidR="008B2848" w:rsidRPr="00C23093" w:rsidRDefault="008B2848" w:rsidP="00D62B5A">
            <w:pPr>
              <w:spacing w:line="216" w:lineRule="auto"/>
              <w:ind w:right="48"/>
            </w:pPr>
            <w:r>
              <w:t>S-8</w:t>
            </w:r>
          </w:p>
        </w:tc>
        <w:tc>
          <w:tcPr>
            <w:tcW w:w="5130" w:type="dxa"/>
          </w:tcPr>
          <w:p w:rsidR="008B2848" w:rsidRDefault="008B2848" w:rsidP="001B0A7B">
            <w:pPr>
              <w:tabs>
                <w:tab w:val="left" w:pos="475"/>
                <w:tab w:val="left" w:pos="950"/>
                <w:tab w:val="left" w:pos="1425"/>
                <w:tab w:val="left" w:pos="1900"/>
                <w:tab w:val="left" w:pos="2376"/>
                <w:tab w:val="left" w:pos="2851"/>
                <w:tab w:val="left" w:pos="3326"/>
                <w:tab w:val="left" w:pos="3801"/>
                <w:tab w:val="left" w:pos="4276"/>
                <w:tab w:val="left" w:pos="4752"/>
                <w:tab w:val="left" w:pos="5227"/>
                <w:tab w:val="left" w:pos="5702"/>
                <w:tab w:val="left" w:pos="6177"/>
                <w:tab w:val="left" w:pos="6652"/>
                <w:tab w:val="left" w:pos="7128"/>
                <w:tab w:val="left" w:pos="7603"/>
                <w:tab w:val="left" w:pos="8078"/>
                <w:tab w:val="left" w:pos="8553"/>
                <w:tab w:val="left" w:pos="9028"/>
              </w:tabs>
              <w:spacing w:line="216" w:lineRule="auto"/>
              <w:jc w:val="both"/>
            </w:pPr>
            <w:r w:rsidRPr="008B2848">
              <w:t xml:space="preserve">Effective for cost reporting periods beginning on and after October 1, 2014, </w:t>
            </w:r>
            <w:r w:rsidR="001B0A7B">
              <w:t>hospital</w:t>
            </w:r>
            <w:r w:rsidRPr="008B2848">
              <w:t>-based FQHCs will no longer complete the Worksheet S-8</w:t>
            </w:r>
            <w:r w:rsidR="00183ED2">
              <w:t>.</w:t>
            </w:r>
          </w:p>
        </w:tc>
        <w:tc>
          <w:tcPr>
            <w:tcW w:w="1080" w:type="dxa"/>
          </w:tcPr>
          <w:p w:rsidR="008B2848" w:rsidRPr="00C23093" w:rsidRDefault="00D204B6" w:rsidP="002D5847">
            <w:pPr>
              <w:spacing w:line="216" w:lineRule="auto"/>
              <w:ind w:right="48"/>
              <w:jc w:val="center"/>
            </w:pPr>
            <w:r>
              <w:t>N/A</w:t>
            </w:r>
          </w:p>
        </w:tc>
      </w:tr>
      <w:tr w:rsidR="00F5133A" w:rsidRPr="00C23093" w:rsidTr="00031CC8">
        <w:tc>
          <w:tcPr>
            <w:tcW w:w="828" w:type="dxa"/>
          </w:tcPr>
          <w:p w:rsidR="00F5133A" w:rsidRPr="00C23093" w:rsidRDefault="00E62858" w:rsidP="00D62B5A">
            <w:pPr>
              <w:spacing w:line="216" w:lineRule="auto"/>
              <w:ind w:right="48"/>
            </w:pPr>
            <w:r>
              <w:t>2</w:t>
            </w:r>
          </w:p>
        </w:tc>
        <w:tc>
          <w:tcPr>
            <w:tcW w:w="1530" w:type="dxa"/>
          </w:tcPr>
          <w:p w:rsidR="00603568" w:rsidRDefault="00F5133A" w:rsidP="00D62B5A">
            <w:pPr>
              <w:spacing w:line="216" w:lineRule="auto"/>
            </w:pPr>
            <w:r>
              <w:t>40-</w:t>
            </w:r>
            <w:r w:rsidR="00710FBF">
              <w:t>74</w:t>
            </w:r>
            <w:r w:rsidR="00031CC8">
              <w:t xml:space="preserve"> </w:t>
            </w:r>
            <w:r w:rsidR="00105355">
              <w:t>-</w:t>
            </w:r>
          </w:p>
          <w:p w:rsidR="00F5133A" w:rsidRPr="00C23093" w:rsidRDefault="00F5133A" w:rsidP="00D62B5A">
            <w:pPr>
              <w:spacing w:line="216" w:lineRule="auto"/>
            </w:pPr>
            <w:r>
              <w:t>40-</w:t>
            </w:r>
            <w:r w:rsidR="00710FBF">
              <w:t>76.2</w:t>
            </w:r>
          </w:p>
        </w:tc>
        <w:tc>
          <w:tcPr>
            <w:tcW w:w="1440" w:type="dxa"/>
          </w:tcPr>
          <w:p w:rsidR="00F5133A" w:rsidRPr="00C23093" w:rsidRDefault="00F5133A" w:rsidP="00183ED2">
            <w:pPr>
              <w:spacing w:line="216" w:lineRule="auto"/>
              <w:ind w:right="48"/>
            </w:pPr>
            <w:r>
              <w:t>40-5</w:t>
            </w:r>
            <w:r w:rsidR="00183ED2">
              <w:t>22</w:t>
            </w:r>
          </w:p>
        </w:tc>
        <w:tc>
          <w:tcPr>
            <w:tcW w:w="1170" w:type="dxa"/>
          </w:tcPr>
          <w:p w:rsidR="00F5133A" w:rsidRPr="00C23093" w:rsidRDefault="00F5133A" w:rsidP="00183ED2">
            <w:pPr>
              <w:spacing w:line="216" w:lineRule="auto"/>
              <w:ind w:right="48"/>
            </w:pPr>
            <w:r w:rsidRPr="00C23093">
              <w:t>40</w:t>
            </w:r>
            <w:r w:rsidR="00BA2BB5">
              <w:t>11</w:t>
            </w:r>
            <w:r w:rsidR="00031CC8">
              <w:t xml:space="preserve">.1 </w:t>
            </w:r>
            <w:r w:rsidR="00105355">
              <w:t>-</w:t>
            </w:r>
            <w:r w:rsidR="00D62B5A">
              <w:t xml:space="preserve"> </w:t>
            </w:r>
            <w:r w:rsidR="00710FBF">
              <w:t>4011.</w:t>
            </w:r>
            <w:r w:rsidR="00183ED2">
              <w:t>4</w:t>
            </w:r>
          </w:p>
        </w:tc>
        <w:tc>
          <w:tcPr>
            <w:tcW w:w="1710" w:type="dxa"/>
          </w:tcPr>
          <w:p w:rsidR="00F5133A" w:rsidRPr="00C23093" w:rsidRDefault="00F5133A" w:rsidP="00E11E58">
            <w:pPr>
              <w:spacing w:line="216" w:lineRule="auto"/>
              <w:ind w:right="48"/>
            </w:pPr>
            <w:r w:rsidRPr="00C23093">
              <w:t>S</w:t>
            </w:r>
            <w:r w:rsidR="00BA2BB5">
              <w:t xml:space="preserve">-9, Parts I </w:t>
            </w:r>
            <w:r w:rsidR="00183ED2">
              <w:t xml:space="preserve">and </w:t>
            </w:r>
            <w:r w:rsidR="00BA2BB5">
              <w:t>II</w:t>
            </w:r>
            <w:r w:rsidRPr="00C23093">
              <w:tab/>
            </w:r>
          </w:p>
        </w:tc>
        <w:tc>
          <w:tcPr>
            <w:tcW w:w="1710" w:type="dxa"/>
          </w:tcPr>
          <w:p w:rsidR="00BA2BB5" w:rsidRPr="00C23093" w:rsidRDefault="00F5133A" w:rsidP="00183ED2">
            <w:pPr>
              <w:spacing w:line="216" w:lineRule="auto"/>
              <w:ind w:right="48"/>
            </w:pPr>
            <w:r w:rsidRPr="00C23093">
              <w:t>S</w:t>
            </w:r>
            <w:r w:rsidR="008B2848">
              <w:t>-9</w:t>
            </w:r>
            <w:r w:rsidRPr="00C23093">
              <w:t>, Parts I, II</w:t>
            </w:r>
            <w:r w:rsidR="00BA2BB5">
              <w:t>,</w:t>
            </w:r>
            <w:r>
              <w:t xml:space="preserve"> </w:t>
            </w:r>
            <w:r w:rsidRPr="00C23093">
              <w:t>III</w:t>
            </w:r>
            <w:r w:rsidR="00BA2BB5">
              <w:t xml:space="preserve"> </w:t>
            </w:r>
            <w:r w:rsidR="00183ED2">
              <w:t xml:space="preserve">and </w:t>
            </w:r>
            <w:r w:rsidR="00BA2BB5">
              <w:t>IV</w:t>
            </w:r>
          </w:p>
        </w:tc>
        <w:tc>
          <w:tcPr>
            <w:tcW w:w="5130" w:type="dxa"/>
          </w:tcPr>
          <w:p w:rsidR="00C644E4" w:rsidRPr="00C23093" w:rsidRDefault="001B1864" w:rsidP="00A12B61">
            <w:pPr>
              <w:tabs>
                <w:tab w:val="left" w:pos="475"/>
                <w:tab w:val="left" w:pos="950"/>
                <w:tab w:val="left" w:pos="1425"/>
                <w:tab w:val="left" w:pos="1900"/>
                <w:tab w:val="left" w:pos="2376"/>
                <w:tab w:val="left" w:pos="2851"/>
                <w:tab w:val="left" w:pos="3326"/>
                <w:tab w:val="left" w:pos="3801"/>
                <w:tab w:val="left" w:pos="4276"/>
                <w:tab w:val="left" w:pos="4752"/>
                <w:tab w:val="left" w:pos="5227"/>
                <w:tab w:val="left" w:pos="5702"/>
                <w:tab w:val="left" w:pos="6177"/>
                <w:tab w:val="left" w:pos="6652"/>
                <w:tab w:val="left" w:pos="7128"/>
                <w:tab w:val="left" w:pos="7603"/>
                <w:tab w:val="left" w:pos="8078"/>
                <w:tab w:val="left" w:pos="8553"/>
                <w:tab w:val="left" w:pos="9028"/>
              </w:tabs>
              <w:spacing w:line="216" w:lineRule="auto"/>
              <w:jc w:val="both"/>
            </w:pPr>
            <w:r>
              <w:t xml:space="preserve">Effective for cost reporting periods beginning on or after </w:t>
            </w:r>
            <w:r w:rsidR="008B2848">
              <w:t xml:space="preserve">October 1, </w:t>
            </w:r>
            <w:r w:rsidR="008B2848">
              <w:t>201</w:t>
            </w:r>
            <w:r w:rsidR="00A12B61">
              <w:t>5</w:t>
            </w:r>
            <w:r>
              <w:t xml:space="preserve">, </w:t>
            </w:r>
            <w:r w:rsidR="003A212A">
              <w:t>hospital</w:t>
            </w:r>
            <w:r>
              <w:t>-based</w:t>
            </w:r>
            <w:r w:rsidR="008B2848">
              <w:t xml:space="preserve"> </w:t>
            </w:r>
            <w:r>
              <w:t>hospices w</w:t>
            </w:r>
            <w:r w:rsidR="003A212A">
              <w:t>ill no longer complete Parts I and</w:t>
            </w:r>
            <w:r>
              <w:t xml:space="preserve"> II</w:t>
            </w:r>
            <w:r w:rsidR="003A212A">
              <w:t>, but</w:t>
            </w:r>
            <w:r>
              <w:t xml:space="preserve"> will complete </w:t>
            </w:r>
            <w:r w:rsidR="00F5133A" w:rsidRPr="00C23093">
              <w:t>Part</w:t>
            </w:r>
            <w:r w:rsidR="008B2848">
              <w:t xml:space="preserve">s </w:t>
            </w:r>
            <w:r w:rsidR="00BA2BB5">
              <w:t xml:space="preserve">III </w:t>
            </w:r>
            <w:r w:rsidR="003A212A">
              <w:t>and</w:t>
            </w:r>
            <w:r w:rsidR="00BA2BB5">
              <w:t xml:space="preserve"> IV</w:t>
            </w:r>
            <w:r w:rsidR="003A212A">
              <w:t>.</w:t>
            </w:r>
          </w:p>
        </w:tc>
        <w:tc>
          <w:tcPr>
            <w:tcW w:w="1080" w:type="dxa"/>
          </w:tcPr>
          <w:p w:rsidR="00F5133A" w:rsidRPr="00C23093" w:rsidRDefault="00D204B6" w:rsidP="002D5847">
            <w:pPr>
              <w:spacing w:line="216" w:lineRule="auto"/>
              <w:ind w:right="48"/>
              <w:jc w:val="center"/>
            </w:pPr>
            <w:r>
              <w:t>N/A</w:t>
            </w:r>
          </w:p>
        </w:tc>
      </w:tr>
      <w:tr w:rsidR="00F5133A" w:rsidRPr="00C23093" w:rsidTr="00031CC8">
        <w:trPr>
          <w:trHeight w:val="1457"/>
        </w:trPr>
        <w:tc>
          <w:tcPr>
            <w:tcW w:w="828" w:type="dxa"/>
          </w:tcPr>
          <w:p w:rsidR="00F5133A" w:rsidRPr="00C23093" w:rsidRDefault="00E62858" w:rsidP="00D62B5A">
            <w:pPr>
              <w:spacing w:line="216" w:lineRule="auto"/>
              <w:ind w:right="48"/>
            </w:pPr>
            <w:r>
              <w:t>3</w:t>
            </w:r>
          </w:p>
        </w:tc>
        <w:tc>
          <w:tcPr>
            <w:tcW w:w="1530" w:type="dxa"/>
          </w:tcPr>
          <w:p w:rsidR="000320D4" w:rsidRDefault="00F5133A" w:rsidP="000320D4">
            <w:pPr>
              <w:spacing w:line="216" w:lineRule="auto"/>
              <w:ind w:right="48"/>
            </w:pPr>
            <w:r>
              <w:t>40-</w:t>
            </w:r>
            <w:r w:rsidR="00A241A3">
              <w:t>73.1</w:t>
            </w:r>
            <w:r w:rsidR="00183ED2">
              <w:t xml:space="preserve"> </w:t>
            </w:r>
            <w:r w:rsidR="000320D4">
              <w:t xml:space="preserve">- </w:t>
            </w:r>
          </w:p>
          <w:p w:rsidR="00F5133A" w:rsidRPr="00C23093" w:rsidRDefault="00F5133A" w:rsidP="000320D4">
            <w:pPr>
              <w:spacing w:line="216" w:lineRule="auto"/>
              <w:ind w:right="48"/>
            </w:pPr>
            <w:r>
              <w:t>40-</w:t>
            </w:r>
            <w:r w:rsidR="00A241A3">
              <w:t>73.</w:t>
            </w:r>
            <w:r w:rsidR="00183ED2">
              <w:t>5</w:t>
            </w:r>
          </w:p>
        </w:tc>
        <w:tc>
          <w:tcPr>
            <w:tcW w:w="1440" w:type="dxa"/>
          </w:tcPr>
          <w:p w:rsidR="00F5133A" w:rsidRPr="00C23093" w:rsidRDefault="00F5133A" w:rsidP="00183ED2">
            <w:pPr>
              <w:spacing w:line="216" w:lineRule="auto"/>
              <w:ind w:right="48"/>
            </w:pPr>
            <w:r>
              <w:t>40-5</w:t>
            </w:r>
            <w:r w:rsidR="00A241A3">
              <w:t>23.1</w:t>
            </w:r>
            <w:r w:rsidR="00D62B5A">
              <w:t xml:space="preserve"> </w:t>
            </w:r>
            <w:r>
              <w:t>-</w:t>
            </w:r>
            <w:r w:rsidR="00D62B5A">
              <w:t xml:space="preserve"> </w:t>
            </w:r>
            <w:r>
              <w:t>40-5</w:t>
            </w:r>
            <w:r w:rsidR="00A241A3">
              <w:t>23.</w:t>
            </w:r>
            <w:r w:rsidR="00183ED2">
              <w:t>3</w:t>
            </w:r>
          </w:p>
        </w:tc>
        <w:tc>
          <w:tcPr>
            <w:tcW w:w="1170" w:type="dxa"/>
          </w:tcPr>
          <w:p w:rsidR="00F5133A" w:rsidRPr="00C23093" w:rsidRDefault="00F5133A" w:rsidP="00183ED2">
            <w:pPr>
              <w:spacing w:line="216" w:lineRule="auto"/>
              <w:ind w:right="48"/>
            </w:pPr>
            <w:r w:rsidRPr="00C23093">
              <w:t>40</w:t>
            </w:r>
            <w:r w:rsidR="00A241A3">
              <w:t>10.</w:t>
            </w:r>
            <w:r w:rsidR="00183ED2">
              <w:t>1 -4010.4</w:t>
            </w:r>
          </w:p>
        </w:tc>
        <w:tc>
          <w:tcPr>
            <w:tcW w:w="1710" w:type="dxa"/>
          </w:tcPr>
          <w:p w:rsidR="00F5133A" w:rsidRPr="00C23093" w:rsidRDefault="00F5133A" w:rsidP="00D62B5A">
            <w:pPr>
              <w:spacing w:line="216" w:lineRule="auto"/>
              <w:ind w:right="48"/>
            </w:pPr>
            <w:r w:rsidRPr="00C23093">
              <w:t>S-</w:t>
            </w:r>
            <w:r w:rsidR="00A241A3">
              <w:t>8</w:t>
            </w:r>
          </w:p>
        </w:tc>
        <w:tc>
          <w:tcPr>
            <w:tcW w:w="1710" w:type="dxa"/>
          </w:tcPr>
          <w:p w:rsidR="00F5133A" w:rsidRPr="00C23093" w:rsidRDefault="00F5133A" w:rsidP="00183ED2">
            <w:pPr>
              <w:spacing w:line="216" w:lineRule="auto"/>
              <w:ind w:right="48"/>
            </w:pPr>
            <w:r w:rsidRPr="00C23093">
              <w:t>S-</w:t>
            </w:r>
            <w:r w:rsidR="00A241A3">
              <w:t>11</w:t>
            </w:r>
            <w:r w:rsidRPr="00C23093">
              <w:t>,</w:t>
            </w:r>
            <w:r w:rsidR="00D62B5A">
              <w:t xml:space="preserve"> </w:t>
            </w:r>
            <w:r w:rsidRPr="00C23093">
              <w:t>Part</w:t>
            </w:r>
            <w:r w:rsidR="00A241A3">
              <w:t>s</w:t>
            </w:r>
            <w:r w:rsidRPr="00C23093">
              <w:t xml:space="preserve"> I</w:t>
            </w:r>
            <w:r w:rsidR="00031CC8">
              <w:t>, II,</w:t>
            </w:r>
            <w:r w:rsidR="00E62858">
              <w:t xml:space="preserve"> </w:t>
            </w:r>
            <w:r w:rsidR="00183ED2">
              <w:t>and</w:t>
            </w:r>
            <w:r w:rsidR="00031CC8">
              <w:t xml:space="preserve"> III</w:t>
            </w:r>
          </w:p>
        </w:tc>
        <w:tc>
          <w:tcPr>
            <w:tcW w:w="5130" w:type="dxa"/>
          </w:tcPr>
          <w:p w:rsidR="00C644E4" w:rsidRPr="00C23093" w:rsidRDefault="00A241A3" w:rsidP="006B50FC">
            <w:pPr>
              <w:spacing w:line="216" w:lineRule="auto"/>
              <w:ind w:right="48"/>
              <w:jc w:val="both"/>
            </w:pPr>
            <w:r w:rsidRPr="00A241A3">
              <w:t xml:space="preserve">The statistics reported on this worksheet pertain to </w:t>
            </w:r>
            <w:r w:rsidR="001B0A7B">
              <w:t>hospital</w:t>
            </w:r>
            <w:r w:rsidRPr="00A241A3">
              <w:t xml:space="preserve">-based FQHCs that meet the requirements set forth in 42 CFR 413.65(n).  These worksheets </w:t>
            </w:r>
            <w:r w:rsidR="006B50FC">
              <w:t xml:space="preserve">supersede Worksheet S-8 for FQHCs only and </w:t>
            </w:r>
            <w:r w:rsidRPr="00A241A3">
              <w:t xml:space="preserve">are effective for cost reporting periods beginning on or after October 1, 2014. </w:t>
            </w:r>
          </w:p>
        </w:tc>
        <w:tc>
          <w:tcPr>
            <w:tcW w:w="1080" w:type="dxa"/>
          </w:tcPr>
          <w:p w:rsidR="00F5133A" w:rsidRPr="00C23093" w:rsidRDefault="00D204B6" w:rsidP="002D5847">
            <w:pPr>
              <w:spacing w:line="216" w:lineRule="auto"/>
              <w:ind w:right="48"/>
              <w:jc w:val="center"/>
            </w:pPr>
            <w:r>
              <w:t>N/A</w:t>
            </w:r>
          </w:p>
        </w:tc>
      </w:tr>
      <w:tr w:rsidR="00693C99" w:rsidRPr="00C23093" w:rsidTr="00031CC8">
        <w:trPr>
          <w:trHeight w:val="1457"/>
        </w:trPr>
        <w:tc>
          <w:tcPr>
            <w:tcW w:w="828" w:type="dxa"/>
          </w:tcPr>
          <w:p w:rsidR="00693C99" w:rsidRDefault="00693C99" w:rsidP="00503D13">
            <w:pPr>
              <w:spacing w:line="216" w:lineRule="auto"/>
              <w:ind w:right="48"/>
            </w:pPr>
            <w:r>
              <w:t>4</w:t>
            </w:r>
          </w:p>
        </w:tc>
        <w:tc>
          <w:tcPr>
            <w:tcW w:w="1530" w:type="dxa"/>
          </w:tcPr>
          <w:p w:rsidR="00693C99" w:rsidRDefault="00693C99" w:rsidP="00503D13">
            <w:pPr>
              <w:spacing w:line="216" w:lineRule="auto"/>
              <w:ind w:right="48"/>
            </w:pPr>
            <w:r>
              <w:t xml:space="preserve">40-280 </w:t>
            </w:r>
            <w:r w:rsidR="00105355">
              <w:t>-</w:t>
            </w:r>
            <w:r>
              <w:t xml:space="preserve"> </w:t>
            </w:r>
          </w:p>
          <w:p w:rsidR="00693C99" w:rsidRDefault="00693C99" w:rsidP="00503D13">
            <w:pPr>
              <w:spacing w:line="216" w:lineRule="auto"/>
            </w:pPr>
            <w:r>
              <w:t>40-288</w:t>
            </w:r>
          </w:p>
        </w:tc>
        <w:tc>
          <w:tcPr>
            <w:tcW w:w="1440" w:type="dxa"/>
          </w:tcPr>
          <w:p w:rsidR="00693C99" w:rsidRDefault="00183ED2" w:rsidP="00503D13">
            <w:pPr>
              <w:spacing w:line="216" w:lineRule="auto"/>
              <w:ind w:right="48"/>
            </w:pPr>
            <w:r>
              <w:t>40-659 - 40-663</w:t>
            </w:r>
          </w:p>
        </w:tc>
        <w:tc>
          <w:tcPr>
            <w:tcW w:w="1170" w:type="dxa"/>
          </w:tcPr>
          <w:p w:rsidR="00693C99" w:rsidRDefault="00693C99" w:rsidP="00503D13">
            <w:pPr>
              <w:spacing w:line="216" w:lineRule="auto"/>
              <w:ind w:right="48"/>
            </w:pPr>
            <w:r>
              <w:t>4066</w:t>
            </w:r>
            <w:r w:rsidR="00183ED2">
              <w:t xml:space="preserve"> - 4070</w:t>
            </w:r>
          </w:p>
        </w:tc>
        <w:tc>
          <w:tcPr>
            <w:tcW w:w="1710" w:type="dxa"/>
          </w:tcPr>
          <w:p w:rsidR="00693C99" w:rsidRDefault="00693C99" w:rsidP="00503D13">
            <w:pPr>
              <w:spacing w:line="216" w:lineRule="auto"/>
              <w:ind w:right="48"/>
            </w:pPr>
            <w:r>
              <w:t xml:space="preserve">M-1, M-2, </w:t>
            </w:r>
          </w:p>
          <w:p w:rsidR="00693C99" w:rsidRPr="00C23093" w:rsidRDefault="00693C99" w:rsidP="00503D13">
            <w:pPr>
              <w:spacing w:line="216" w:lineRule="auto"/>
              <w:ind w:right="48"/>
            </w:pPr>
            <w:r>
              <w:t>M-3, M-4</w:t>
            </w:r>
            <w:r w:rsidR="004E22DA">
              <w:t>,</w:t>
            </w:r>
            <w:r>
              <w:t xml:space="preserve"> and M-5</w:t>
            </w:r>
          </w:p>
        </w:tc>
        <w:tc>
          <w:tcPr>
            <w:tcW w:w="1710" w:type="dxa"/>
          </w:tcPr>
          <w:p w:rsidR="00693C99" w:rsidRDefault="00693C99" w:rsidP="00503D13">
            <w:pPr>
              <w:spacing w:line="216" w:lineRule="auto"/>
              <w:ind w:right="48"/>
            </w:pPr>
            <w:r>
              <w:t xml:space="preserve">M-1, M-2, </w:t>
            </w:r>
          </w:p>
          <w:p w:rsidR="00693C99" w:rsidRDefault="00693C99" w:rsidP="00503D13">
            <w:pPr>
              <w:spacing w:line="216" w:lineRule="auto"/>
              <w:ind w:right="48"/>
            </w:pPr>
            <w:r>
              <w:t>M-3, M-4</w:t>
            </w:r>
            <w:r w:rsidR="00183ED2">
              <w:t>,</w:t>
            </w:r>
            <w:r>
              <w:t xml:space="preserve"> and M-5</w:t>
            </w:r>
          </w:p>
        </w:tc>
        <w:tc>
          <w:tcPr>
            <w:tcW w:w="5130" w:type="dxa"/>
          </w:tcPr>
          <w:p w:rsidR="00693C99" w:rsidRDefault="00693C99" w:rsidP="00503D13">
            <w:pPr>
              <w:tabs>
                <w:tab w:val="left" w:pos="475"/>
                <w:tab w:val="left" w:pos="950"/>
                <w:tab w:val="left" w:pos="1425"/>
                <w:tab w:val="left" w:pos="1900"/>
                <w:tab w:val="left" w:pos="2376"/>
                <w:tab w:val="left" w:pos="2851"/>
                <w:tab w:val="left" w:pos="3326"/>
                <w:tab w:val="left" w:pos="3801"/>
                <w:tab w:val="left" w:pos="4276"/>
                <w:tab w:val="left" w:pos="4752"/>
                <w:tab w:val="left" w:pos="5227"/>
                <w:tab w:val="left" w:pos="5702"/>
                <w:tab w:val="left" w:pos="6177"/>
                <w:tab w:val="left" w:pos="6652"/>
                <w:tab w:val="left" w:pos="7128"/>
                <w:tab w:val="left" w:pos="7603"/>
                <w:tab w:val="left" w:pos="8078"/>
                <w:tab w:val="left" w:pos="8553"/>
                <w:tab w:val="left" w:pos="9028"/>
              </w:tabs>
              <w:spacing w:line="216" w:lineRule="auto"/>
              <w:ind w:left="-18" w:firstLine="18"/>
              <w:jc w:val="both"/>
            </w:pPr>
            <w:r>
              <w:t xml:space="preserve">Changes to worksheet include:  </w:t>
            </w:r>
          </w:p>
          <w:p w:rsidR="00693C99" w:rsidRDefault="00693C99" w:rsidP="00503D13">
            <w:pPr>
              <w:numPr>
                <w:ilvl w:val="0"/>
                <w:numId w:val="17"/>
              </w:numPr>
              <w:tabs>
                <w:tab w:val="left" w:pos="342"/>
                <w:tab w:val="left" w:pos="1425"/>
                <w:tab w:val="left" w:pos="1900"/>
                <w:tab w:val="left" w:pos="2376"/>
                <w:tab w:val="left" w:pos="2851"/>
                <w:tab w:val="left" w:pos="3326"/>
                <w:tab w:val="left" w:pos="3801"/>
                <w:tab w:val="left" w:pos="4276"/>
                <w:tab w:val="left" w:pos="4752"/>
                <w:tab w:val="left" w:pos="5227"/>
                <w:tab w:val="left" w:pos="5702"/>
                <w:tab w:val="left" w:pos="6177"/>
                <w:tab w:val="left" w:pos="6652"/>
                <w:tab w:val="left" w:pos="7128"/>
                <w:tab w:val="left" w:pos="7603"/>
                <w:tab w:val="left" w:pos="8078"/>
                <w:tab w:val="left" w:pos="8553"/>
                <w:tab w:val="left" w:pos="9028"/>
              </w:tabs>
              <w:spacing w:line="216" w:lineRule="auto"/>
              <w:ind w:left="342"/>
              <w:jc w:val="both"/>
            </w:pPr>
            <w:r>
              <w:t>Minor changes to reiterate that these form</w:t>
            </w:r>
            <w:r w:rsidR="00105355">
              <w:t>s</w:t>
            </w:r>
            <w:r>
              <w:t xml:space="preserve"> no longer apply to hospital-based FQHC</w:t>
            </w:r>
            <w:r w:rsidR="00105355">
              <w:t>s</w:t>
            </w:r>
            <w:r>
              <w:t>.</w:t>
            </w:r>
          </w:p>
          <w:p w:rsidR="00693C99" w:rsidRDefault="00693C99" w:rsidP="00503D13">
            <w:pPr>
              <w:numPr>
                <w:ilvl w:val="0"/>
                <w:numId w:val="17"/>
              </w:numPr>
              <w:tabs>
                <w:tab w:val="left" w:pos="342"/>
                <w:tab w:val="left" w:pos="1425"/>
                <w:tab w:val="left" w:pos="1900"/>
                <w:tab w:val="left" w:pos="2376"/>
                <w:tab w:val="left" w:pos="2851"/>
                <w:tab w:val="left" w:pos="3326"/>
                <w:tab w:val="left" w:pos="3801"/>
                <w:tab w:val="left" w:pos="4276"/>
                <w:tab w:val="left" w:pos="4752"/>
                <w:tab w:val="left" w:pos="5227"/>
                <w:tab w:val="left" w:pos="5702"/>
                <w:tab w:val="left" w:pos="6177"/>
                <w:tab w:val="left" w:pos="6652"/>
                <w:tab w:val="left" w:pos="7128"/>
                <w:tab w:val="left" w:pos="7603"/>
                <w:tab w:val="left" w:pos="8078"/>
                <w:tab w:val="left" w:pos="8553"/>
                <w:tab w:val="left" w:pos="9028"/>
              </w:tabs>
              <w:spacing w:line="216" w:lineRule="auto"/>
              <w:ind w:left="342"/>
              <w:jc w:val="both"/>
            </w:pPr>
            <w:r>
              <w:t>Minor changes to forms and instructions to comply with</w:t>
            </w:r>
            <w:r w:rsidRPr="003A212A">
              <w:t xml:space="preserve"> the regulations at 42 CFR 413.78(a)</w:t>
            </w:r>
            <w:r>
              <w:t>,</w:t>
            </w:r>
            <w:r w:rsidRPr="003A212A">
              <w:t xml:space="preserve"> </w:t>
            </w:r>
            <w:r>
              <w:t>to ensure</w:t>
            </w:r>
            <w:r w:rsidRPr="003A212A">
              <w:t xml:space="preserve"> </w:t>
            </w:r>
            <w:r>
              <w:t xml:space="preserve">that </w:t>
            </w:r>
            <w:r w:rsidRPr="003A212A">
              <w:t xml:space="preserve">no separate </w:t>
            </w:r>
            <w:r>
              <w:t xml:space="preserve">GME </w:t>
            </w:r>
            <w:r w:rsidRPr="003A212A">
              <w:t xml:space="preserve">payment is </w:t>
            </w:r>
            <w:r>
              <w:t>calculated for</w:t>
            </w:r>
            <w:r w:rsidRPr="003A212A">
              <w:t xml:space="preserve"> the hospital-b</w:t>
            </w:r>
            <w:r>
              <w:t>ased RHC or FQHC</w:t>
            </w:r>
            <w:r w:rsidRPr="003A212A">
              <w:t xml:space="preserve">.  </w:t>
            </w:r>
          </w:p>
        </w:tc>
        <w:tc>
          <w:tcPr>
            <w:tcW w:w="1080" w:type="dxa"/>
          </w:tcPr>
          <w:p w:rsidR="00693C99" w:rsidRDefault="00105355" w:rsidP="002D5847">
            <w:pPr>
              <w:spacing w:line="216" w:lineRule="auto"/>
              <w:ind w:right="48"/>
              <w:jc w:val="center"/>
            </w:pPr>
            <w:r>
              <w:t>N/A</w:t>
            </w:r>
          </w:p>
        </w:tc>
      </w:tr>
    </w:tbl>
    <w:p w:rsidR="004A15D5" w:rsidRDefault="004A15D5" w:rsidP="00D62B5A">
      <w:pPr>
        <w:spacing w:line="216" w:lineRule="auto"/>
      </w:pPr>
    </w:p>
    <w:p w:rsidR="004A15D5" w:rsidRDefault="004A15D5" w:rsidP="00D62B5A">
      <w:pPr>
        <w:spacing w:line="216" w:lineRule="auto"/>
      </w:pPr>
    </w:p>
    <w:p w:rsidR="0044553E" w:rsidRDefault="0044553E">
      <w:r>
        <w:br w:type="page"/>
      </w:r>
    </w:p>
    <w:p w:rsidR="00693C99" w:rsidRDefault="00693C99" w:rsidP="00D62B5A">
      <w:pPr>
        <w:spacing w:line="216" w:lineRule="auto"/>
      </w:pPr>
    </w:p>
    <w:p w:rsidR="004A15D5" w:rsidRDefault="004A15D5" w:rsidP="00D62B5A">
      <w:pPr>
        <w:spacing w:line="216" w:lineRule="auto"/>
      </w:pPr>
    </w:p>
    <w:tbl>
      <w:tblPr>
        <w:tblW w:w="14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28"/>
        <w:gridCol w:w="1530"/>
        <w:gridCol w:w="1440"/>
        <w:gridCol w:w="1170"/>
        <w:gridCol w:w="1710"/>
        <w:gridCol w:w="1710"/>
        <w:gridCol w:w="5130"/>
        <w:gridCol w:w="1080"/>
      </w:tblGrid>
      <w:tr w:rsidR="00031CC8" w:rsidRPr="00F5133A" w:rsidTr="002D5847">
        <w:trPr>
          <w:trHeight w:val="512"/>
        </w:trPr>
        <w:tc>
          <w:tcPr>
            <w:tcW w:w="828" w:type="dxa"/>
            <w:vAlign w:val="bottom"/>
          </w:tcPr>
          <w:p w:rsidR="00031CC8" w:rsidRPr="00F5133A" w:rsidRDefault="00031CC8" w:rsidP="00DE6B03">
            <w:pPr>
              <w:spacing w:line="216" w:lineRule="auto"/>
              <w:ind w:right="48"/>
              <w:jc w:val="center"/>
              <w:rPr>
                <w:b/>
              </w:rPr>
            </w:pPr>
            <w:r w:rsidRPr="00F5133A">
              <w:rPr>
                <w:b/>
              </w:rPr>
              <w:t>Issue #</w:t>
            </w:r>
          </w:p>
        </w:tc>
        <w:tc>
          <w:tcPr>
            <w:tcW w:w="1530" w:type="dxa"/>
            <w:vAlign w:val="bottom"/>
          </w:tcPr>
          <w:p w:rsidR="00031CC8" w:rsidRPr="00F5133A" w:rsidRDefault="00031CC8" w:rsidP="00DE6B03">
            <w:pPr>
              <w:spacing w:line="216" w:lineRule="auto"/>
              <w:jc w:val="center"/>
              <w:rPr>
                <w:b/>
              </w:rPr>
            </w:pPr>
            <w:r w:rsidRPr="00F5133A">
              <w:rPr>
                <w:b/>
              </w:rPr>
              <w:t>Instructions</w:t>
            </w:r>
          </w:p>
          <w:p w:rsidR="00031CC8" w:rsidRPr="00F5133A" w:rsidRDefault="00031CC8" w:rsidP="00DE6B03">
            <w:pPr>
              <w:spacing w:line="216" w:lineRule="auto"/>
              <w:jc w:val="center"/>
              <w:rPr>
                <w:b/>
              </w:rPr>
            </w:pPr>
            <w:r w:rsidRPr="00F5133A">
              <w:rPr>
                <w:b/>
              </w:rPr>
              <w:t>Page #</w:t>
            </w:r>
          </w:p>
        </w:tc>
        <w:tc>
          <w:tcPr>
            <w:tcW w:w="1440" w:type="dxa"/>
            <w:vAlign w:val="bottom"/>
          </w:tcPr>
          <w:p w:rsidR="00031CC8" w:rsidRPr="00F5133A" w:rsidRDefault="00031CC8" w:rsidP="00DE6B03">
            <w:pPr>
              <w:spacing w:line="216" w:lineRule="auto"/>
              <w:ind w:right="48"/>
              <w:jc w:val="center"/>
              <w:rPr>
                <w:b/>
              </w:rPr>
            </w:pPr>
            <w:r w:rsidRPr="00F5133A">
              <w:rPr>
                <w:b/>
              </w:rPr>
              <w:t>Form</w:t>
            </w:r>
          </w:p>
          <w:p w:rsidR="00031CC8" w:rsidRPr="00F5133A" w:rsidRDefault="00031CC8" w:rsidP="00DE6B03">
            <w:pPr>
              <w:spacing w:line="216" w:lineRule="auto"/>
              <w:ind w:right="48"/>
              <w:jc w:val="center"/>
              <w:rPr>
                <w:b/>
              </w:rPr>
            </w:pPr>
            <w:r w:rsidRPr="00F5133A">
              <w:rPr>
                <w:b/>
              </w:rPr>
              <w:t>Page #</w:t>
            </w:r>
          </w:p>
        </w:tc>
        <w:tc>
          <w:tcPr>
            <w:tcW w:w="1170" w:type="dxa"/>
            <w:vAlign w:val="bottom"/>
          </w:tcPr>
          <w:p w:rsidR="00031CC8" w:rsidRPr="00F5133A" w:rsidRDefault="00031CC8" w:rsidP="00DE6B03">
            <w:pPr>
              <w:spacing w:line="216" w:lineRule="auto"/>
              <w:ind w:right="48"/>
              <w:jc w:val="center"/>
              <w:rPr>
                <w:b/>
              </w:rPr>
            </w:pPr>
            <w:r w:rsidRPr="00F5133A">
              <w:rPr>
                <w:b/>
              </w:rPr>
              <w:t>Section</w:t>
            </w:r>
          </w:p>
        </w:tc>
        <w:tc>
          <w:tcPr>
            <w:tcW w:w="1710" w:type="dxa"/>
            <w:vAlign w:val="bottom"/>
          </w:tcPr>
          <w:p w:rsidR="00031CC8" w:rsidRDefault="00031CC8" w:rsidP="00DE6B03">
            <w:pPr>
              <w:spacing w:line="216" w:lineRule="auto"/>
              <w:ind w:right="48"/>
              <w:jc w:val="center"/>
              <w:rPr>
                <w:b/>
              </w:rPr>
            </w:pPr>
            <w:r w:rsidRPr="00F5133A">
              <w:rPr>
                <w:b/>
              </w:rPr>
              <w:t>Old Package</w:t>
            </w:r>
            <w:r w:rsidR="002D5847">
              <w:rPr>
                <w:b/>
              </w:rPr>
              <w:t xml:space="preserve"> </w:t>
            </w:r>
            <w:r w:rsidRPr="00F5133A">
              <w:rPr>
                <w:b/>
              </w:rPr>
              <w:t>Form</w:t>
            </w:r>
          </w:p>
          <w:p w:rsidR="00031CC8" w:rsidRPr="00F5133A" w:rsidRDefault="00031CC8" w:rsidP="00DE6B03">
            <w:pPr>
              <w:spacing w:line="216" w:lineRule="auto"/>
              <w:ind w:right="48"/>
              <w:jc w:val="center"/>
              <w:rPr>
                <w:b/>
              </w:rPr>
            </w:pPr>
            <w:r w:rsidRPr="00F5133A">
              <w:rPr>
                <w:b/>
              </w:rPr>
              <w:t>CMS</w:t>
            </w:r>
            <w:r>
              <w:rPr>
                <w:b/>
              </w:rPr>
              <w:noBreakHyphen/>
            </w:r>
            <w:r w:rsidRPr="00F5133A">
              <w:rPr>
                <w:b/>
              </w:rPr>
              <w:t>2552</w:t>
            </w:r>
            <w:r>
              <w:rPr>
                <w:b/>
              </w:rPr>
              <w:noBreakHyphen/>
              <w:t>10</w:t>
            </w:r>
          </w:p>
        </w:tc>
        <w:tc>
          <w:tcPr>
            <w:tcW w:w="1710" w:type="dxa"/>
            <w:vAlign w:val="bottom"/>
          </w:tcPr>
          <w:p w:rsidR="00031CC8" w:rsidRPr="00F5133A" w:rsidRDefault="00031CC8" w:rsidP="002D5847">
            <w:pPr>
              <w:spacing w:line="216" w:lineRule="auto"/>
              <w:ind w:right="48"/>
              <w:jc w:val="center"/>
              <w:rPr>
                <w:b/>
              </w:rPr>
            </w:pPr>
            <w:r w:rsidRPr="00F5133A">
              <w:rPr>
                <w:b/>
              </w:rPr>
              <w:t>New</w:t>
            </w:r>
            <w:r w:rsidR="002D5847">
              <w:rPr>
                <w:b/>
              </w:rPr>
              <w:t xml:space="preserve"> </w:t>
            </w:r>
            <w:r w:rsidRPr="00F5133A">
              <w:rPr>
                <w:b/>
              </w:rPr>
              <w:t>Package</w:t>
            </w:r>
            <w:r w:rsidR="002D5847">
              <w:rPr>
                <w:b/>
              </w:rPr>
              <w:t xml:space="preserve"> </w:t>
            </w:r>
            <w:r w:rsidRPr="00F5133A">
              <w:rPr>
                <w:b/>
              </w:rPr>
              <w:t>Form</w:t>
            </w:r>
            <w:r w:rsidR="002D5847">
              <w:rPr>
                <w:b/>
              </w:rPr>
              <w:t xml:space="preserve"> </w:t>
            </w:r>
            <w:r w:rsidRPr="00F5133A">
              <w:rPr>
                <w:b/>
              </w:rPr>
              <w:t>CMS</w:t>
            </w:r>
            <w:r>
              <w:rPr>
                <w:b/>
              </w:rPr>
              <w:noBreakHyphen/>
            </w:r>
            <w:r w:rsidRPr="00F5133A">
              <w:rPr>
                <w:b/>
              </w:rPr>
              <w:t>2552</w:t>
            </w:r>
            <w:r>
              <w:rPr>
                <w:b/>
              </w:rPr>
              <w:noBreakHyphen/>
            </w:r>
            <w:r w:rsidRPr="00F5133A">
              <w:rPr>
                <w:b/>
              </w:rPr>
              <w:t>10</w:t>
            </w:r>
          </w:p>
        </w:tc>
        <w:tc>
          <w:tcPr>
            <w:tcW w:w="5130" w:type="dxa"/>
            <w:vAlign w:val="bottom"/>
          </w:tcPr>
          <w:p w:rsidR="002D5847" w:rsidRDefault="00031CC8" w:rsidP="00DE6B03">
            <w:pPr>
              <w:spacing w:line="216" w:lineRule="auto"/>
              <w:ind w:right="48"/>
              <w:jc w:val="center"/>
              <w:rPr>
                <w:b/>
              </w:rPr>
            </w:pPr>
            <w:r w:rsidRPr="00F5133A">
              <w:rPr>
                <w:b/>
              </w:rPr>
              <w:t xml:space="preserve">Reason for the Change </w:t>
            </w:r>
            <w:r w:rsidR="002D5847">
              <w:rPr>
                <w:b/>
              </w:rPr>
              <w:t>/</w:t>
            </w:r>
          </w:p>
          <w:p w:rsidR="00031CC8" w:rsidRPr="00F5133A" w:rsidRDefault="00031CC8" w:rsidP="00DE6B03">
            <w:pPr>
              <w:spacing w:line="216" w:lineRule="auto"/>
              <w:ind w:right="48"/>
              <w:jc w:val="center"/>
              <w:rPr>
                <w:b/>
              </w:rPr>
            </w:pPr>
            <w:r w:rsidRPr="00F5133A">
              <w:rPr>
                <w:b/>
              </w:rPr>
              <w:t>Application of the instructions and accompanying worksheets</w:t>
            </w:r>
          </w:p>
        </w:tc>
        <w:tc>
          <w:tcPr>
            <w:tcW w:w="1080" w:type="dxa"/>
            <w:vAlign w:val="bottom"/>
          </w:tcPr>
          <w:p w:rsidR="00031CC8" w:rsidRPr="00F5133A" w:rsidRDefault="00031CC8" w:rsidP="00DE6B03">
            <w:pPr>
              <w:spacing w:line="216" w:lineRule="auto"/>
              <w:ind w:right="48"/>
              <w:jc w:val="center"/>
              <w:rPr>
                <w:b/>
              </w:rPr>
            </w:pPr>
            <w:r w:rsidRPr="00F5133A">
              <w:rPr>
                <w:b/>
              </w:rPr>
              <w:t>Burden</w:t>
            </w:r>
          </w:p>
          <w:p w:rsidR="00031CC8" w:rsidRPr="00F5133A" w:rsidRDefault="00031CC8" w:rsidP="00DE6B03">
            <w:pPr>
              <w:spacing w:line="216" w:lineRule="auto"/>
              <w:ind w:right="48"/>
              <w:jc w:val="center"/>
              <w:rPr>
                <w:b/>
              </w:rPr>
            </w:pPr>
            <w:r w:rsidRPr="00F5133A">
              <w:rPr>
                <w:b/>
              </w:rPr>
              <w:t>Effect</w:t>
            </w:r>
          </w:p>
        </w:tc>
      </w:tr>
      <w:tr w:rsidR="00FD55DA" w:rsidRPr="00C23093" w:rsidTr="002D5847">
        <w:tc>
          <w:tcPr>
            <w:tcW w:w="828" w:type="dxa"/>
          </w:tcPr>
          <w:p w:rsidR="00FD55DA" w:rsidRDefault="00693C99" w:rsidP="00693C99">
            <w:pPr>
              <w:spacing w:line="216" w:lineRule="auto"/>
              <w:ind w:right="48"/>
            </w:pPr>
            <w:r>
              <w:t>5</w:t>
            </w:r>
          </w:p>
        </w:tc>
        <w:tc>
          <w:tcPr>
            <w:tcW w:w="1530" w:type="dxa"/>
          </w:tcPr>
          <w:p w:rsidR="00EC6F62" w:rsidRDefault="00105355" w:rsidP="00D62B5A">
            <w:pPr>
              <w:spacing w:line="216" w:lineRule="auto"/>
            </w:pPr>
            <w:r>
              <w:t>40-290 -</w:t>
            </w:r>
          </w:p>
          <w:p w:rsidR="00FD55DA" w:rsidRDefault="00EC6F62" w:rsidP="00D62B5A">
            <w:pPr>
              <w:spacing w:line="216" w:lineRule="auto"/>
            </w:pPr>
            <w:r>
              <w:t>40-299</w:t>
            </w:r>
          </w:p>
        </w:tc>
        <w:tc>
          <w:tcPr>
            <w:tcW w:w="1440" w:type="dxa"/>
          </w:tcPr>
          <w:p w:rsidR="00FD55DA" w:rsidRDefault="00031CC8" w:rsidP="00D62B5A">
            <w:pPr>
              <w:spacing w:line="216" w:lineRule="auto"/>
              <w:ind w:right="48"/>
            </w:pPr>
            <w:r>
              <w:t>40-665</w:t>
            </w:r>
            <w:r w:rsidR="00183ED2">
              <w:t xml:space="preserve"> </w:t>
            </w:r>
            <w:r w:rsidR="00105355">
              <w:t>-</w:t>
            </w:r>
          </w:p>
          <w:p w:rsidR="001A613B" w:rsidRDefault="001A613B" w:rsidP="00D62B5A">
            <w:pPr>
              <w:spacing w:line="216" w:lineRule="auto"/>
              <w:ind w:right="48"/>
            </w:pPr>
            <w:r>
              <w:t>40-669</w:t>
            </w:r>
          </w:p>
        </w:tc>
        <w:tc>
          <w:tcPr>
            <w:tcW w:w="1170" w:type="dxa"/>
          </w:tcPr>
          <w:p w:rsidR="00FD55DA" w:rsidRDefault="00EC6F62" w:rsidP="00183ED2">
            <w:pPr>
              <w:spacing w:line="216" w:lineRule="auto"/>
              <w:ind w:right="48"/>
            </w:pPr>
            <w:r>
              <w:t>407</w:t>
            </w:r>
            <w:r w:rsidR="00183ED2">
              <w:t>1 -4071.4</w:t>
            </w:r>
          </w:p>
        </w:tc>
        <w:tc>
          <w:tcPr>
            <w:tcW w:w="1710" w:type="dxa"/>
          </w:tcPr>
          <w:p w:rsidR="00105355" w:rsidRDefault="00105355" w:rsidP="00105355">
            <w:pPr>
              <w:spacing w:line="216" w:lineRule="auto"/>
              <w:ind w:right="48"/>
            </w:pPr>
            <w:r>
              <w:t xml:space="preserve">M-1, M-2, </w:t>
            </w:r>
          </w:p>
          <w:p w:rsidR="00FD55DA" w:rsidRPr="00C23093" w:rsidRDefault="00105355" w:rsidP="00105355">
            <w:pPr>
              <w:spacing w:line="216" w:lineRule="auto"/>
              <w:ind w:right="48"/>
            </w:pPr>
            <w:r>
              <w:t>M-3, M-4</w:t>
            </w:r>
            <w:r w:rsidR="00183ED2">
              <w:t>,</w:t>
            </w:r>
            <w:r>
              <w:t xml:space="preserve"> and M-5</w:t>
            </w:r>
          </w:p>
        </w:tc>
        <w:tc>
          <w:tcPr>
            <w:tcW w:w="1710" w:type="dxa"/>
          </w:tcPr>
          <w:p w:rsidR="001A613B" w:rsidRDefault="001A613B" w:rsidP="002D5847">
            <w:pPr>
              <w:spacing w:line="216" w:lineRule="auto"/>
              <w:ind w:right="48"/>
            </w:pPr>
            <w:r>
              <w:t>N-1, N-2, N-3,</w:t>
            </w:r>
            <w:r w:rsidR="002D5847">
              <w:t xml:space="preserve"> </w:t>
            </w:r>
            <w:r>
              <w:t>N-4, and N-5</w:t>
            </w:r>
          </w:p>
        </w:tc>
        <w:tc>
          <w:tcPr>
            <w:tcW w:w="5130" w:type="dxa"/>
          </w:tcPr>
          <w:p w:rsidR="00105355" w:rsidRDefault="001A613B" w:rsidP="00E62858">
            <w:pPr>
              <w:tabs>
                <w:tab w:val="left" w:pos="475"/>
                <w:tab w:val="left" w:pos="950"/>
                <w:tab w:val="left" w:pos="1425"/>
                <w:tab w:val="left" w:pos="1900"/>
                <w:tab w:val="left" w:pos="2376"/>
                <w:tab w:val="left" w:pos="2851"/>
                <w:tab w:val="left" w:pos="3326"/>
                <w:tab w:val="left" w:pos="3801"/>
                <w:tab w:val="left" w:pos="4276"/>
                <w:tab w:val="left" w:pos="4752"/>
                <w:tab w:val="left" w:pos="5227"/>
                <w:tab w:val="left" w:pos="5702"/>
                <w:tab w:val="left" w:pos="6177"/>
                <w:tab w:val="left" w:pos="6652"/>
                <w:tab w:val="left" w:pos="7128"/>
                <w:tab w:val="left" w:pos="7603"/>
                <w:tab w:val="left" w:pos="8078"/>
                <w:tab w:val="left" w:pos="8553"/>
                <w:tab w:val="left" w:pos="9028"/>
              </w:tabs>
              <w:spacing w:line="216" w:lineRule="auto"/>
              <w:ind w:left="-18" w:firstLine="18"/>
              <w:jc w:val="both"/>
            </w:pPr>
            <w:r>
              <w:t>New worksheets</w:t>
            </w:r>
            <w:r w:rsidR="00B10F75">
              <w:t xml:space="preserve"> and instructions</w:t>
            </w:r>
            <w:r>
              <w:t xml:space="preserve"> for the </w:t>
            </w:r>
          </w:p>
          <w:p w:rsidR="00FD55DA" w:rsidRDefault="001B0A7B" w:rsidP="00E62858">
            <w:pPr>
              <w:tabs>
                <w:tab w:val="left" w:pos="475"/>
                <w:tab w:val="left" w:pos="950"/>
                <w:tab w:val="left" w:pos="1425"/>
                <w:tab w:val="left" w:pos="1900"/>
                <w:tab w:val="left" w:pos="2376"/>
                <w:tab w:val="left" w:pos="2851"/>
                <w:tab w:val="left" w:pos="3326"/>
                <w:tab w:val="left" w:pos="3801"/>
                <w:tab w:val="left" w:pos="4276"/>
                <w:tab w:val="left" w:pos="4752"/>
                <w:tab w:val="left" w:pos="5227"/>
                <w:tab w:val="left" w:pos="5702"/>
                <w:tab w:val="left" w:pos="6177"/>
                <w:tab w:val="left" w:pos="6652"/>
                <w:tab w:val="left" w:pos="7128"/>
                <w:tab w:val="left" w:pos="7603"/>
                <w:tab w:val="left" w:pos="8078"/>
                <w:tab w:val="left" w:pos="8553"/>
                <w:tab w:val="left" w:pos="9028"/>
              </w:tabs>
              <w:spacing w:line="216" w:lineRule="auto"/>
              <w:ind w:left="-18" w:firstLine="18"/>
              <w:jc w:val="both"/>
            </w:pPr>
            <w:r>
              <w:t>hospital</w:t>
            </w:r>
            <w:r w:rsidR="001A613B">
              <w:t>-based FQHC</w:t>
            </w:r>
            <w:r w:rsidR="002D5847">
              <w:t xml:space="preserve"> </w:t>
            </w:r>
            <w:r w:rsidR="001A613B" w:rsidRPr="001A613B">
              <w:t xml:space="preserve">for cost reporting periods beginning </w:t>
            </w:r>
            <w:r w:rsidR="00365130">
              <w:t>on or after</w:t>
            </w:r>
            <w:r w:rsidR="001A613B" w:rsidRPr="001A613B">
              <w:t xml:space="preserve"> October</w:t>
            </w:r>
            <w:r w:rsidR="002D5847">
              <w:t> </w:t>
            </w:r>
            <w:r w:rsidR="00365130">
              <w:t>1, 2014</w:t>
            </w:r>
            <w:r w:rsidR="00E62858">
              <w:t>.</w:t>
            </w:r>
          </w:p>
        </w:tc>
        <w:tc>
          <w:tcPr>
            <w:tcW w:w="1080" w:type="dxa"/>
          </w:tcPr>
          <w:p w:rsidR="00FD55DA" w:rsidRDefault="00D204B6" w:rsidP="002D5847">
            <w:pPr>
              <w:spacing w:line="216" w:lineRule="auto"/>
              <w:ind w:right="48"/>
              <w:jc w:val="center"/>
            </w:pPr>
            <w:r>
              <w:t>N/A</w:t>
            </w:r>
          </w:p>
        </w:tc>
      </w:tr>
      <w:tr w:rsidR="001A613B" w:rsidRPr="00C23093" w:rsidTr="002D5847">
        <w:tc>
          <w:tcPr>
            <w:tcW w:w="828" w:type="dxa"/>
          </w:tcPr>
          <w:p w:rsidR="001A613B" w:rsidRDefault="00693C99" w:rsidP="00D62B5A">
            <w:pPr>
              <w:spacing w:line="216" w:lineRule="auto"/>
              <w:ind w:right="48"/>
            </w:pPr>
            <w:r>
              <w:t>6</w:t>
            </w:r>
          </w:p>
        </w:tc>
        <w:tc>
          <w:tcPr>
            <w:tcW w:w="1530" w:type="dxa"/>
          </w:tcPr>
          <w:p w:rsidR="001A613B" w:rsidRDefault="00105355" w:rsidP="00D62B5A">
            <w:pPr>
              <w:spacing w:line="216" w:lineRule="auto"/>
            </w:pPr>
            <w:r>
              <w:t>40-300 -</w:t>
            </w:r>
          </w:p>
          <w:p w:rsidR="001A613B" w:rsidRDefault="001A613B" w:rsidP="00D62B5A">
            <w:pPr>
              <w:spacing w:line="216" w:lineRule="auto"/>
            </w:pPr>
            <w:r>
              <w:t>40-313</w:t>
            </w:r>
          </w:p>
        </w:tc>
        <w:tc>
          <w:tcPr>
            <w:tcW w:w="1440" w:type="dxa"/>
          </w:tcPr>
          <w:p w:rsidR="00042598" w:rsidRDefault="001A613B" w:rsidP="00183ED2">
            <w:pPr>
              <w:spacing w:line="216" w:lineRule="auto"/>
              <w:ind w:right="48"/>
            </w:pPr>
            <w:r>
              <w:t>40-670</w:t>
            </w:r>
            <w:r w:rsidR="00031CC8">
              <w:t xml:space="preserve"> </w:t>
            </w:r>
            <w:r w:rsidR="00105355">
              <w:t>-</w:t>
            </w:r>
            <w:r w:rsidR="00031CC8">
              <w:t xml:space="preserve"> </w:t>
            </w:r>
            <w:r w:rsidR="00042598">
              <w:t>40-6</w:t>
            </w:r>
            <w:r w:rsidR="00183ED2">
              <w:t>82</w:t>
            </w:r>
          </w:p>
        </w:tc>
        <w:tc>
          <w:tcPr>
            <w:tcW w:w="1170" w:type="dxa"/>
          </w:tcPr>
          <w:p w:rsidR="001A613B" w:rsidRDefault="00042598" w:rsidP="00D62B5A">
            <w:pPr>
              <w:spacing w:line="216" w:lineRule="auto"/>
              <w:ind w:right="48"/>
            </w:pPr>
            <w:r>
              <w:t>4072</w:t>
            </w:r>
            <w:r w:rsidR="00183ED2">
              <w:t xml:space="preserve"> - 4072.5</w:t>
            </w:r>
          </w:p>
        </w:tc>
        <w:tc>
          <w:tcPr>
            <w:tcW w:w="1710" w:type="dxa"/>
          </w:tcPr>
          <w:p w:rsidR="002D5847" w:rsidRDefault="00042598" w:rsidP="002D5847">
            <w:pPr>
              <w:spacing w:line="216" w:lineRule="auto"/>
              <w:ind w:right="48"/>
            </w:pPr>
            <w:r>
              <w:t>K</w:t>
            </w:r>
            <w:r w:rsidR="00031CC8">
              <w:t>;</w:t>
            </w:r>
            <w:r>
              <w:t xml:space="preserve"> K-1</w:t>
            </w:r>
            <w:r w:rsidR="00031CC8">
              <w:t>;</w:t>
            </w:r>
            <w:r>
              <w:t xml:space="preserve"> K-2</w:t>
            </w:r>
            <w:r w:rsidR="00031CC8">
              <w:t>;</w:t>
            </w:r>
            <w:r>
              <w:t xml:space="preserve"> K-3</w:t>
            </w:r>
            <w:r w:rsidR="00031CC8">
              <w:t>;</w:t>
            </w:r>
            <w:r>
              <w:t xml:space="preserve"> K-4, Part</w:t>
            </w:r>
            <w:r w:rsidR="00031CC8">
              <w:t> </w:t>
            </w:r>
            <w:r>
              <w:t>I &amp; II</w:t>
            </w:r>
            <w:r w:rsidR="00031CC8">
              <w:t>;</w:t>
            </w:r>
          </w:p>
          <w:p w:rsidR="00042598" w:rsidRPr="00C23093" w:rsidRDefault="00042598" w:rsidP="002D5847">
            <w:pPr>
              <w:spacing w:line="216" w:lineRule="auto"/>
              <w:ind w:right="48"/>
            </w:pPr>
            <w:r>
              <w:t>K</w:t>
            </w:r>
            <w:r w:rsidR="002D5847">
              <w:t>-</w:t>
            </w:r>
            <w:r>
              <w:t>5, Parts I</w:t>
            </w:r>
            <w:r w:rsidR="00031CC8">
              <w:t xml:space="preserve">, II, &amp; </w:t>
            </w:r>
            <w:r>
              <w:t>III</w:t>
            </w:r>
            <w:r w:rsidR="00031CC8">
              <w:t xml:space="preserve">; </w:t>
            </w:r>
            <w:r>
              <w:t>and K-6</w:t>
            </w:r>
          </w:p>
        </w:tc>
        <w:tc>
          <w:tcPr>
            <w:tcW w:w="1710" w:type="dxa"/>
          </w:tcPr>
          <w:p w:rsidR="00042598" w:rsidRDefault="00042598" w:rsidP="00D62B5A">
            <w:pPr>
              <w:spacing w:line="216" w:lineRule="auto"/>
              <w:ind w:right="48"/>
            </w:pPr>
            <w:r>
              <w:t>O</w:t>
            </w:r>
            <w:r w:rsidR="00031CC8">
              <w:t>;</w:t>
            </w:r>
            <w:r>
              <w:t xml:space="preserve"> O-1</w:t>
            </w:r>
            <w:r w:rsidR="00031CC8">
              <w:t>;</w:t>
            </w:r>
            <w:r>
              <w:t xml:space="preserve"> O-2</w:t>
            </w:r>
            <w:r w:rsidR="00031CC8">
              <w:t>;</w:t>
            </w:r>
            <w:r w:rsidR="002D5847">
              <w:t xml:space="preserve"> </w:t>
            </w:r>
            <w:r>
              <w:t>O-3</w:t>
            </w:r>
            <w:r w:rsidR="00031CC8">
              <w:t>;</w:t>
            </w:r>
            <w:r>
              <w:t xml:space="preserve"> O-4</w:t>
            </w:r>
            <w:r w:rsidR="00031CC8">
              <w:t>;</w:t>
            </w:r>
            <w:r>
              <w:t xml:space="preserve"> O-5</w:t>
            </w:r>
            <w:r w:rsidR="00031CC8">
              <w:t>;</w:t>
            </w:r>
            <w:r>
              <w:t xml:space="preserve"> O-6, Parts I &amp; II</w:t>
            </w:r>
            <w:r w:rsidR="00031CC8">
              <w:t>;</w:t>
            </w:r>
            <w:r>
              <w:t xml:space="preserve"> O-7</w:t>
            </w:r>
            <w:r w:rsidR="00031CC8">
              <w:t>;</w:t>
            </w:r>
            <w:r>
              <w:t xml:space="preserve"> and</w:t>
            </w:r>
          </w:p>
          <w:p w:rsidR="00042598" w:rsidRDefault="00042598" w:rsidP="00D62B5A">
            <w:pPr>
              <w:spacing w:line="216" w:lineRule="auto"/>
              <w:ind w:right="48"/>
            </w:pPr>
            <w:r>
              <w:t>O-8</w:t>
            </w:r>
          </w:p>
        </w:tc>
        <w:tc>
          <w:tcPr>
            <w:tcW w:w="5130" w:type="dxa"/>
          </w:tcPr>
          <w:p w:rsidR="001A613B" w:rsidRDefault="0005041F" w:rsidP="00B10F75">
            <w:pPr>
              <w:tabs>
                <w:tab w:val="left" w:pos="475"/>
                <w:tab w:val="left" w:pos="950"/>
                <w:tab w:val="left" w:pos="1425"/>
                <w:tab w:val="left" w:pos="1900"/>
                <w:tab w:val="left" w:pos="2376"/>
                <w:tab w:val="left" w:pos="2851"/>
                <w:tab w:val="left" w:pos="3326"/>
                <w:tab w:val="left" w:pos="3801"/>
                <w:tab w:val="left" w:pos="4276"/>
                <w:tab w:val="left" w:pos="4752"/>
                <w:tab w:val="left" w:pos="5227"/>
                <w:tab w:val="left" w:pos="5702"/>
                <w:tab w:val="left" w:pos="6177"/>
                <w:tab w:val="left" w:pos="6652"/>
                <w:tab w:val="left" w:pos="7128"/>
                <w:tab w:val="left" w:pos="7603"/>
                <w:tab w:val="left" w:pos="8078"/>
                <w:tab w:val="left" w:pos="8553"/>
                <w:tab w:val="left" w:pos="9028"/>
              </w:tabs>
              <w:spacing w:line="216" w:lineRule="auto"/>
              <w:ind w:left="-18" w:firstLine="18"/>
              <w:jc w:val="both"/>
            </w:pPr>
            <w:r w:rsidRPr="0005041F">
              <w:t xml:space="preserve">The forms </w:t>
            </w:r>
            <w:r>
              <w:t xml:space="preserve">and instructions are revised in </w:t>
            </w:r>
            <w:r w:rsidR="005C544B">
              <w:t xml:space="preserve">   </w:t>
            </w:r>
            <w:r w:rsidRPr="0005041F">
              <w:t>accordance with the statutory requirement for hospice payment reform in §3132 of the ACA</w:t>
            </w:r>
            <w:r>
              <w:t xml:space="preserve">.  These forms replace the </w:t>
            </w:r>
            <w:r w:rsidR="003A212A">
              <w:t xml:space="preserve">Worksheet </w:t>
            </w:r>
            <w:r>
              <w:t xml:space="preserve">K </w:t>
            </w:r>
            <w:r w:rsidR="003A212A">
              <w:t xml:space="preserve">series </w:t>
            </w:r>
            <w:r>
              <w:t>forms</w:t>
            </w:r>
            <w:r w:rsidR="00A12B61">
              <w:t xml:space="preserve"> and are effective for cost reporting periods beginning on or after October 1, 2015</w:t>
            </w:r>
            <w:r>
              <w:t>.</w:t>
            </w:r>
          </w:p>
        </w:tc>
        <w:tc>
          <w:tcPr>
            <w:tcW w:w="1080" w:type="dxa"/>
          </w:tcPr>
          <w:p w:rsidR="001A613B" w:rsidRDefault="00D204B6" w:rsidP="002D5847">
            <w:pPr>
              <w:spacing w:line="216" w:lineRule="auto"/>
              <w:ind w:right="48"/>
              <w:jc w:val="center"/>
            </w:pPr>
            <w:r>
              <w:t>N/A</w:t>
            </w:r>
          </w:p>
        </w:tc>
      </w:tr>
    </w:tbl>
    <w:p w:rsidR="00C644E4" w:rsidRDefault="00C644E4" w:rsidP="00D62B5A">
      <w:pPr>
        <w:spacing w:line="216" w:lineRule="auto"/>
      </w:pPr>
    </w:p>
    <w:p w:rsidR="00C644E4" w:rsidRDefault="00C644E4" w:rsidP="00D62B5A">
      <w:pPr>
        <w:spacing w:line="216" w:lineRule="auto"/>
      </w:pPr>
    </w:p>
    <w:p w:rsidR="00FD55DA" w:rsidRDefault="00FD55DA" w:rsidP="00D62B5A">
      <w:pPr>
        <w:spacing w:line="216" w:lineRule="auto"/>
      </w:pPr>
    </w:p>
    <w:p w:rsidR="00CD07F7" w:rsidRDefault="00CD07F7" w:rsidP="00D62B5A">
      <w:pPr>
        <w:tabs>
          <w:tab w:val="left" w:pos="0"/>
          <w:tab w:val="left" w:pos="432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216" w:lineRule="auto"/>
        <w:ind w:left="432"/>
      </w:pPr>
      <w:bookmarkStart w:id="0" w:name="_GoBack"/>
      <w:bookmarkEnd w:id="0"/>
    </w:p>
    <w:sectPr w:rsidR="00CD07F7" w:rsidSect="00F5133A">
      <w:footerReference w:type="even" r:id="rId9"/>
      <w:footerReference w:type="default" r:id="rId10"/>
      <w:pgSz w:w="15840" w:h="12240" w:orient="landscape" w:code="1"/>
      <w:pgMar w:top="720" w:right="432" w:bottom="720" w:left="720" w:header="144" w:footer="288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E485C" w:rsidRDefault="00FE485C">
      <w:r>
        <w:separator/>
      </w:r>
    </w:p>
  </w:endnote>
  <w:endnote w:type="continuationSeparator" w:id="0">
    <w:p w:rsidR="00FE485C" w:rsidRDefault="00FE48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5390E" w:rsidRDefault="00A5390E" w:rsidP="00E8362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A5390E" w:rsidRDefault="00A5390E" w:rsidP="00C54C74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5390E" w:rsidRDefault="00A5390E" w:rsidP="00E8362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C15A9D">
      <w:rPr>
        <w:rStyle w:val="PageNumber"/>
        <w:noProof/>
      </w:rPr>
      <w:t>1</w:t>
    </w:r>
    <w:r>
      <w:rPr>
        <w:rStyle w:val="PageNumber"/>
      </w:rPr>
      <w:fldChar w:fldCharType="end"/>
    </w:r>
  </w:p>
  <w:p w:rsidR="00A5390E" w:rsidRDefault="00A5390E" w:rsidP="00C54C74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E485C" w:rsidRDefault="00FE485C">
      <w:r>
        <w:separator/>
      </w:r>
    </w:p>
  </w:footnote>
  <w:footnote w:type="continuationSeparator" w:id="0">
    <w:p w:rsidR="00FE485C" w:rsidRDefault="00FE485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74272A"/>
    <w:multiLevelType w:val="multilevel"/>
    <w:tmpl w:val="D08879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B5551E9"/>
    <w:multiLevelType w:val="multilevel"/>
    <w:tmpl w:val="D08879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D0D402D"/>
    <w:multiLevelType w:val="hybridMultilevel"/>
    <w:tmpl w:val="6274992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89F0F33"/>
    <w:multiLevelType w:val="multilevel"/>
    <w:tmpl w:val="D8F27096"/>
    <w:lvl w:ilvl="0">
      <w:start w:val="1"/>
      <w:numFmt w:val="decimal"/>
      <w:lvlText w:val="%1."/>
      <w:lvlJc w:val="left"/>
      <w:pPr>
        <w:tabs>
          <w:tab w:val="num" w:pos="432"/>
        </w:tabs>
        <w:ind w:left="720" w:hanging="432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2E720D1B"/>
    <w:multiLevelType w:val="hybridMultilevel"/>
    <w:tmpl w:val="C9A2E634"/>
    <w:lvl w:ilvl="0" w:tplc="6D3887D2">
      <w:start w:val="1"/>
      <w:numFmt w:val="decimal"/>
      <w:lvlText w:val="%1."/>
      <w:lvlJc w:val="left"/>
      <w:pPr>
        <w:tabs>
          <w:tab w:val="num" w:pos="432"/>
        </w:tabs>
        <w:ind w:left="720" w:hanging="432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3861322D"/>
    <w:multiLevelType w:val="hybridMultilevel"/>
    <w:tmpl w:val="6744F544"/>
    <w:lvl w:ilvl="0" w:tplc="6D3887D2">
      <w:start w:val="1"/>
      <w:numFmt w:val="decimal"/>
      <w:lvlText w:val="%1."/>
      <w:lvlJc w:val="left"/>
      <w:pPr>
        <w:tabs>
          <w:tab w:val="num" w:pos="432"/>
        </w:tabs>
        <w:ind w:left="720" w:hanging="432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39D3261E"/>
    <w:multiLevelType w:val="hybridMultilevel"/>
    <w:tmpl w:val="F4E81C66"/>
    <w:lvl w:ilvl="0" w:tplc="04090015">
      <w:start w:val="2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4A124FD4"/>
    <w:multiLevelType w:val="hybridMultilevel"/>
    <w:tmpl w:val="8EE21CA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4BF946D4"/>
    <w:multiLevelType w:val="hybridMultilevel"/>
    <w:tmpl w:val="F4C85E88"/>
    <w:lvl w:ilvl="0" w:tplc="0409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4FDF7314"/>
    <w:multiLevelType w:val="hybridMultilevel"/>
    <w:tmpl w:val="D4149558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51F43880"/>
    <w:multiLevelType w:val="multilevel"/>
    <w:tmpl w:val="6A3E4CD4"/>
    <w:lvl w:ilvl="0">
      <w:start w:val="1"/>
      <w:numFmt w:val="decimal"/>
      <w:lvlText w:val="%1."/>
      <w:lvlJc w:val="left"/>
      <w:pPr>
        <w:tabs>
          <w:tab w:val="num" w:pos="432"/>
        </w:tabs>
        <w:ind w:left="720" w:hanging="432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54E351B8"/>
    <w:multiLevelType w:val="hybridMultilevel"/>
    <w:tmpl w:val="7E18EEF2"/>
    <w:lvl w:ilvl="0" w:tplc="04090015">
      <w:start w:val="2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56845CC0"/>
    <w:multiLevelType w:val="multilevel"/>
    <w:tmpl w:val="FABEF7C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56BB1EDF"/>
    <w:multiLevelType w:val="hybridMultilevel"/>
    <w:tmpl w:val="50FEA0B2"/>
    <w:lvl w:ilvl="0" w:tplc="040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60073B37"/>
    <w:multiLevelType w:val="hybridMultilevel"/>
    <w:tmpl w:val="59FEC4C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AA629A6"/>
    <w:multiLevelType w:val="hybridMultilevel"/>
    <w:tmpl w:val="52B8B83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744670B9"/>
    <w:multiLevelType w:val="hybridMultilevel"/>
    <w:tmpl w:val="638A2FF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9"/>
  </w:num>
  <w:num w:numId="3">
    <w:abstractNumId w:val="12"/>
  </w:num>
  <w:num w:numId="4">
    <w:abstractNumId w:val="4"/>
  </w:num>
  <w:num w:numId="5">
    <w:abstractNumId w:val="1"/>
  </w:num>
  <w:num w:numId="6">
    <w:abstractNumId w:val="0"/>
  </w:num>
  <w:num w:numId="7">
    <w:abstractNumId w:val="10"/>
  </w:num>
  <w:num w:numId="8">
    <w:abstractNumId w:val="11"/>
  </w:num>
  <w:num w:numId="9">
    <w:abstractNumId w:val="6"/>
  </w:num>
  <w:num w:numId="10">
    <w:abstractNumId w:val="5"/>
  </w:num>
  <w:num w:numId="11">
    <w:abstractNumId w:val="3"/>
  </w:num>
  <w:num w:numId="12">
    <w:abstractNumId w:val="13"/>
  </w:num>
  <w:num w:numId="13">
    <w:abstractNumId w:val="16"/>
  </w:num>
  <w:num w:numId="14">
    <w:abstractNumId w:val="7"/>
  </w:num>
  <w:num w:numId="15">
    <w:abstractNumId w:val="15"/>
  </w:num>
  <w:num w:numId="16">
    <w:abstractNumId w:val="2"/>
  </w:num>
  <w:num w:numId="17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rawingGridVerticalSpacing w:val="163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4EEA"/>
    <w:rsid w:val="00013CCA"/>
    <w:rsid w:val="00031CC8"/>
    <w:rsid w:val="000320D4"/>
    <w:rsid w:val="00042598"/>
    <w:rsid w:val="00043897"/>
    <w:rsid w:val="0005041F"/>
    <w:rsid w:val="0006447B"/>
    <w:rsid w:val="00091F45"/>
    <w:rsid w:val="000B3220"/>
    <w:rsid w:val="000B726E"/>
    <w:rsid w:val="000C217B"/>
    <w:rsid w:val="000C3942"/>
    <w:rsid w:val="000C61E1"/>
    <w:rsid w:val="000E0AB5"/>
    <w:rsid w:val="000F0057"/>
    <w:rsid w:val="000F7617"/>
    <w:rsid w:val="00105355"/>
    <w:rsid w:val="00114DD0"/>
    <w:rsid w:val="00121078"/>
    <w:rsid w:val="00157576"/>
    <w:rsid w:val="00157CA6"/>
    <w:rsid w:val="00166556"/>
    <w:rsid w:val="00171C26"/>
    <w:rsid w:val="00176A64"/>
    <w:rsid w:val="00183ED2"/>
    <w:rsid w:val="00192AE3"/>
    <w:rsid w:val="001A4F41"/>
    <w:rsid w:val="001A5C37"/>
    <w:rsid w:val="001A613B"/>
    <w:rsid w:val="001A6690"/>
    <w:rsid w:val="001B0A7B"/>
    <w:rsid w:val="001B1864"/>
    <w:rsid w:val="001B4F43"/>
    <w:rsid w:val="001C15FB"/>
    <w:rsid w:val="001C1C6E"/>
    <w:rsid w:val="001D49E2"/>
    <w:rsid w:val="001E386E"/>
    <w:rsid w:val="001E4809"/>
    <w:rsid w:val="001F2DDB"/>
    <w:rsid w:val="001F76BD"/>
    <w:rsid w:val="00202D06"/>
    <w:rsid w:val="00205047"/>
    <w:rsid w:val="0020708C"/>
    <w:rsid w:val="0021101C"/>
    <w:rsid w:val="00211E6D"/>
    <w:rsid w:val="0021282A"/>
    <w:rsid w:val="00215BB6"/>
    <w:rsid w:val="00233827"/>
    <w:rsid w:val="00234617"/>
    <w:rsid w:val="00243460"/>
    <w:rsid w:val="002447F1"/>
    <w:rsid w:val="00252CD9"/>
    <w:rsid w:val="00255216"/>
    <w:rsid w:val="00262ED4"/>
    <w:rsid w:val="00274B91"/>
    <w:rsid w:val="002760BE"/>
    <w:rsid w:val="00276B17"/>
    <w:rsid w:val="0029280D"/>
    <w:rsid w:val="002A7497"/>
    <w:rsid w:val="002B425B"/>
    <w:rsid w:val="002B4FDE"/>
    <w:rsid w:val="002B7DF1"/>
    <w:rsid w:val="002C5057"/>
    <w:rsid w:val="002D21A4"/>
    <w:rsid w:val="002D5847"/>
    <w:rsid w:val="002F12B0"/>
    <w:rsid w:val="002F53D1"/>
    <w:rsid w:val="00311FC1"/>
    <w:rsid w:val="00323AAF"/>
    <w:rsid w:val="0032611E"/>
    <w:rsid w:val="00350D1A"/>
    <w:rsid w:val="003552EF"/>
    <w:rsid w:val="003621DB"/>
    <w:rsid w:val="00365130"/>
    <w:rsid w:val="00372335"/>
    <w:rsid w:val="0037239C"/>
    <w:rsid w:val="00384606"/>
    <w:rsid w:val="00394A01"/>
    <w:rsid w:val="00396251"/>
    <w:rsid w:val="00397600"/>
    <w:rsid w:val="003A1D55"/>
    <w:rsid w:val="003A212A"/>
    <w:rsid w:val="003A3B67"/>
    <w:rsid w:val="003B435A"/>
    <w:rsid w:val="003C5B38"/>
    <w:rsid w:val="003D1ECB"/>
    <w:rsid w:val="003E0A6E"/>
    <w:rsid w:val="003E7913"/>
    <w:rsid w:val="00401149"/>
    <w:rsid w:val="00412ADC"/>
    <w:rsid w:val="00416936"/>
    <w:rsid w:val="00416FE9"/>
    <w:rsid w:val="00417408"/>
    <w:rsid w:val="00422EF7"/>
    <w:rsid w:val="00430C62"/>
    <w:rsid w:val="004314C6"/>
    <w:rsid w:val="00437BE0"/>
    <w:rsid w:val="0044065A"/>
    <w:rsid w:val="00440E9E"/>
    <w:rsid w:val="0044553E"/>
    <w:rsid w:val="00455140"/>
    <w:rsid w:val="0046571A"/>
    <w:rsid w:val="00466EC5"/>
    <w:rsid w:val="0048541B"/>
    <w:rsid w:val="0049676B"/>
    <w:rsid w:val="004A0595"/>
    <w:rsid w:val="004A15D5"/>
    <w:rsid w:val="004A357C"/>
    <w:rsid w:val="004A6ABB"/>
    <w:rsid w:val="004B4B32"/>
    <w:rsid w:val="004E22DA"/>
    <w:rsid w:val="004F7635"/>
    <w:rsid w:val="0050161B"/>
    <w:rsid w:val="00501BBD"/>
    <w:rsid w:val="00506557"/>
    <w:rsid w:val="00507B64"/>
    <w:rsid w:val="005108B1"/>
    <w:rsid w:val="00511C76"/>
    <w:rsid w:val="0051414B"/>
    <w:rsid w:val="00531F0C"/>
    <w:rsid w:val="005353C2"/>
    <w:rsid w:val="005401A8"/>
    <w:rsid w:val="00576BAB"/>
    <w:rsid w:val="005871A0"/>
    <w:rsid w:val="0059663F"/>
    <w:rsid w:val="005B2D1B"/>
    <w:rsid w:val="005B6CC8"/>
    <w:rsid w:val="005B781D"/>
    <w:rsid w:val="005C076D"/>
    <w:rsid w:val="005C544B"/>
    <w:rsid w:val="005D1AE1"/>
    <w:rsid w:val="005E12D4"/>
    <w:rsid w:val="005F382E"/>
    <w:rsid w:val="005F7D0A"/>
    <w:rsid w:val="00600256"/>
    <w:rsid w:val="00603568"/>
    <w:rsid w:val="00616F9E"/>
    <w:rsid w:val="00617911"/>
    <w:rsid w:val="006215BA"/>
    <w:rsid w:val="00627949"/>
    <w:rsid w:val="00632E5C"/>
    <w:rsid w:val="006333FA"/>
    <w:rsid w:val="00634127"/>
    <w:rsid w:val="00645975"/>
    <w:rsid w:val="0067204A"/>
    <w:rsid w:val="006758F6"/>
    <w:rsid w:val="00675953"/>
    <w:rsid w:val="00681D13"/>
    <w:rsid w:val="0068479F"/>
    <w:rsid w:val="00693C99"/>
    <w:rsid w:val="006961A0"/>
    <w:rsid w:val="00696E5A"/>
    <w:rsid w:val="006A57F8"/>
    <w:rsid w:val="006A71C9"/>
    <w:rsid w:val="006B50FC"/>
    <w:rsid w:val="006D578A"/>
    <w:rsid w:val="006E0252"/>
    <w:rsid w:val="006E0BFD"/>
    <w:rsid w:val="006F28D0"/>
    <w:rsid w:val="007027A8"/>
    <w:rsid w:val="007068E0"/>
    <w:rsid w:val="00710FBF"/>
    <w:rsid w:val="00712D55"/>
    <w:rsid w:val="00715D99"/>
    <w:rsid w:val="007349A7"/>
    <w:rsid w:val="00735FE4"/>
    <w:rsid w:val="00736D41"/>
    <w:rsid w:val="007412F5"/>
    <w:rsid w:val="00743FD0"/>
    <w:rsid w:val="00753D54"/>
    <w:rsid w:val="00763C8C"/>
    <w:rsid w:val="00763ED2"/>
    <w:rsid w:val="0078094D"/>
    <w:rsid w:val="00780B81"/>
    <w:rsid w:val="00781A30"/>
    <w:rsid w:val="00786A47"/>
    <w:rsid w:val="0079322A"/>
    <w:rsid w:val="007A0ADE"/>
    <w:rsid w:val="007A272B"/>
    <w:rsid w:val="007D0B7F"/>
    <w:rsid w:val="007D7C13"/>
    <w:rsid w:val="007E4EEA"/>
    <w:rsid w:val="007E6684"/>
    <w:rsid w:val="007F04DF"/>
    <w:rsid w:val="008058F1"/>
    <w:rsid w:val="00807EEA"/>
    <w:rsid w:val="00813E55"/>
    <w:rsid w:val="00832AF3"/>
    <w:rsid w:val="008519A5"/>
    <w:rsid w:val="00856B79"/>
    <w:rsid w:val="008570D4"/>
    <w:rsid w:val="00865BB7"/>
    <w:rsid w:val="00884952"/>
    <w:rsid w:val="00885C54"/>
    <w:rsid w:val="008863EA"/>
    <w:rsid w:val="00892FD9"/>
    <w:rsid w:val="008A0C1C"/>
    <w:rsid w:val="008A7A73"/>
    <w:rsid w:val="008B2848"/>
    <w:rsid w:val="008B6718"/>
    <w:rsid w:val="008C0C39"/>
    <w:rsid w:val="008D4BDA"/>
    <w:rsid w:val="008D5F9B"/>
    <w:rsid w:val="008E0AC4"/>
    <w:rsid w:val="008F7C5F"/>
    <w:rsid w:val="00906F92"/>
    <w:rsid w:val="00917069"/>
    <w:rsid w:val="009263BB"/>
    <w:rsid w:val="00946A17"/>
    <w:rsid w:val="00972277"/>
    <w:rsid w:val="00974647"/>
    <w:rsid w:val="009847D6"/>
    <w:rsid w:val="00990347"/>
    <w:rsid w:val="00994C73"/>
    <w:rsid w:val="0099553E"/>
    <w:rsid w:val="009958CE"/>
    <w:rsid w:val="009B37D5"/>
    <w:rsid w:val="009B45C0"/>
    <w:rsid w:val="009C41A2"/>
    <w:rsid w:val="009C5F18"/>
    <w:rsid w:val="009D63E1"/>
    <w:rsid w:val="009E1EEF"/>
    <w:rsid w:val="00A0018D"/>
    <w:rsid w:val="00A023DC"/>
    <w:rsid w:val="00A113F7"/>
    <w:rsid w:val="00A12B61"/>
    <w:rsid w:val="00A241A3"/>
    <w:rsid w:val="00A274ED"/>
    <w:rsid w:val="00A4089F"/>
    <w:rsid w:val="00A5390E"/>
    <w:rsid w:val="00A702BB"/>
    <w:rsid w:val="00A71F4F"/>
    <w:rsid w:val="00A82DD4"/>
    <w:rsid w:val="00A96EAB"/>
    <w:rsid w:val="00A971C3"/>
    <w:rsid w:val="00AA1C64"/>
    <w:rsid w:val="00AB4D2A"/>
    <w:rsid w:val="00AC63BD"/>
    <w:rsid w:val="00AD0E70"/>
    <w:rsid w:val="00AE0BC5"/>
    <w:rsid w:val="00AE7BE4"/>
    <w:rsid w:val="00AF4EE0"/>
    <w:rsid w:val="00AF56B7"/>
    <w:rsid w:val="00AF5C10"/>
    <w:rsid w:val="00AF5DEA"/>
    <w:rsid w:val="00B10F75"/>
    <w:rsid w:val="00B16FBC"/>
    <w:rsid w:val="00B31D58"/>
    <w:rsid w:val="00B36698"/>
    <w:rsid w:val="00B445D6"/>
    <w:rsid w:val="00B5751A"/>
    <w:rsid w:val="00B67AA8"/>
    <w:rsid w:val="00B72305"/>
    <w:rsid w:val="00B75E59"/>
    <w:rsid w:val="00B816B1"/>
    <w:rsid w:val="00BA17A2"/>
    <w:rsid w:val="00BA2BB5"/>
    <w:rsid w:val="00BA4167"/>
    <w:rsid w:val="00BA4C71"/>
    <w:rsid w:val="00BC0B5A"/>
    <w:rsid w:val="00BC4B4C"/>
    <w:rsid w:val="00BD1138"/>
    <w:rsid w:val="00BD37BA"/>
    <w:rsid w:val="00BE0559"/>
    <w:rsid w:val="00BF13F4"/>
    <w:rsid w:val="00C00039"/>
    <w:rsid w:val="00C146CA"/>
    <w:rsid w:val="00C15A9D"/>
    <w:rsid w:val="00C23093"/>
    <w:rsid w:val="00C43DB5"/>
    <w:rsid w:val="00C47647"/>
    <w:rsid w:val="00C54C74"/>
    <w:rsid w:val="00C56909"/>
    <w:rsid w:val="00C60595"/>
    <w:rsid w:val="00C644E4"/>
    <w:rsid w:val="00C64BD0"/>
    <w:rsid w:val="00C67093"/>
    <w:rsid w:val="00C72A09"/>
    <w:rsid w:val="00C72AF8"/>
    <w:rsid w:val="00C87E3B"/>
    <w:rsid w:val="00CA7CD3"/>
    <w:rsid w:val="00CB0CD0"/>
    <w:rsid w:val="00CB2A29"/>
    <w:rsid w:val="00CB471A"/>
    <w:rsid w:val="00CD07F7"/>
    <w:rsid w:val="00CD1126"/>
    <w:rsid w:val="00CD5A86"/>
    <w:rsid w:val="00CE63FA"/>
    <w:rsid w:val="00D1442A"/>
    <w:rsid w:val="00D200A9"/>
    <w:rsid w:val="00D204B6"/>
    <w:rsid w:val="00D2148F"/>
    <w:rsid w:val="00D3124A"/>
    <w:rsid w:val="00D31D32"/>
    <w:rsid w:val="00D42C49"/>
    <w:rsid w:val="00D4363E"/>
    <w:rsid w:val="00D62B5A"/>
    <w:rsid w:val="00D66B3C"/>
    <w:rsid w:val="00D67821"/>
    <w:rsid w:val="00D91560"/>
    <w:rsid w:val="00DA2C44"/>
    <w:rsid w:val="00DA4F6F"/>
    <w:rsid w:val="00DA7DB9"/>
    <w:rsid w:val="00DB64DD"/>
    <w:rsid w:val="00E11297"/>
    <w:rsid w:val="00E11E58"/>
    <w:rsid w:val="00E1352C"/>
    <w:rsid w:val="00E36C9D"/>
    <w:rsid w:val="00E441C6"/>
    <w:rsid w:val="00E540AE"/>
    <w:rsid w:val="00E5540E"/>
    <w:rsid w:val="00E61363"/>
    <w:rsid w:val="00E62858"/>
    <w:rsid w:val="00E7727A"/>
    <w:rsid w:val="00E83628"/>
    <w:rsid w:val="00E92417"/>
    <w:rsid w:val="00EA14B0"/>
    <w:rsid w:val="00EA386E"/>
    <w:rsid w:val="00EB3D00"/>
    <w:rsid w:val="00EB599C"/>
    <w:rsid w:val="00EC6F62"/>
    <w:rsid w:val="00EC71FB"/>
    <w:rsid w:val="00ED40E3"/>
    <w:rsid w:val="00ED6E69"/>
    <w:rsid w:val="00EE17A4"/>
    <w:rsid w:val="00EF169B"/>
    <w:rsid w:val="00EF6284"/>
    <w:rsid w:val="00EF6ED5"/>
    <w:rsid w:val="00F0376E"/>
    <w:rsid w:val="00F12C98"/>
    <w:rsid w:val="00F14A8D"/>
    <w:rsid w:val="00F22E95"/>
    <w:rsid w:val="00F276EB"/>
    <w:rsid w:val="00F3365D"/>
    <w:rsid w:val="00F50056"/>
    <w:rsid w:val="00F5133A"/>
    <w:rsid w:val="00F72CFC"/>
    <w:rsid w:val="00F7797D"/>
    <w:rsid w:val="00F94FE1"/>
    <w:rsid w:val="00FA12A5"/>
    <w:rsid w:val="00FD0234"/>
    <w:rsid w:val="00FD07C8"/>
    <w:rsid w:val="00FD55DA"/>
    <w:rsid w:val="00FE2CF2"/>
    <w:rsid w:val="00FE485C"/>
    <w:rsid w:val="00FF2B18"/>
    <w:rsid w:val="00FF4CA6"/>
    <w:rsid w:val="00FF58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A15D5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7E4EE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A113F7"/>
    <w:rPr>
      <w:rFonts w:ascii="Tahoma" w:hAnsi="Tahoma" w:cs="Tahoma"/>
      <w:sz w:val="16"/>
      <w:szCs w:val="16"/>
    </w:rPr>
  </w:style>
  <w:style w:type="paragraph" w:styleId="Footer">
    <w:name w:val="footer"/>
    <w:basedOn w:val="Normal"/>
    <w:rsid w:val="00C54C74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C54C74"/>
  </w:style>
  <w:style w:type="paragraph" w:styleId="NormalWeb">
    <w:name w:val="Normal (Web)"/>
    <w:basedOn w:val="Normal"/>
    <w:rsid w:val="00A4089F"/>
    <w:pPr>
      <w:spacing w:before="100" w:beforeAutospacing="1" w:after="100" w:afterAutospacing="1"/>
    </w:pPr>
  </w:style>
  <w:style w:type="paragraph" w:styleId="DocumentMap">
    <w:name w:val="Document Map"/>
    <w:basedOn w:val="Normal"/>
    <w:semiHidden/>
    <w:rsid w:val="00215BB6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Subtitle">
    <w:name w:val="Subtitle"/>
    <w:basedOn w:val="Normal"/>
    <w:link w:val="SubtitleChar"/>
    <w:qFormat/>
    <w:rsid w:val="00DB64DD"/>
    <w:pPr>
      <w:autoSpaceDE w:val="0"/>
      <w:autoSpaceDN w:val="0"/>
      <w:adjustRightInd w:val="0"/>
    </w:pPr>
    <w:rPr>
      <w:szCs w:val="16"/>
      <w:u w:val="single"/>
    </w:rPr>
  </w:style>
  <w:style w:type="character" w:customStyle="1" w:styleId="SubtitleChar">
    <w:name w:val="Subtitle Char"/>
    <w:link w:val="Subtitle"/>
    <w:rsid w:val="00DB64DD"/>
    <w:rPr>
      <w:sz w:val="24"/>
      <w:szCs w:val="16"/>
      <w:u w:val="single"/>
    </w:rPr>
  </w:style>
  <w:style w:type="character" w:styleId="CommentReference">
    <w:name w:val="annotation reference"/>
    <w:basedOn w:val="DefaultParagraphFont"/>
    <w:rsid w:val="00105355"/>
    <w:rPr>
      <w:sz w:val="16"/>
      <w:szCs w:val="16"/>
    </w:rPr>
  </w:style>
  <w:style w:type="paragraph" w:styleId="CommentText">
    <w:name w:val="annotation text"/>
    <w:basedOn w:val="Normal"/>
    <w:link w:val="CommentTextChar"/>
    <w:rsid w:val="0010535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105355"/>
  </w:style>
  <w:style w:type="paragraph" w:styleId="CommentSubject">
    <w:name w:val="annotation subject"/>
    <w:basedOn w:val="CommentText"/>
    <w:next w:val="CommentText"/>
    <w:link w:val="CommentSubjectChar"/>
    <w:rsid w:val="00105355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105355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A15D5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7E4EE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A113F7"/>
    <w:rPr>
      <w:rFonts w:ascii="Tahoma" w:hAnsi="Tahoma" w:cs="Tahoma"/>
      <w:sz w:val="16"/>
      <w:szCs w:val="16"/>
    </w:rPr>
  </w:style>
  <w:style w:type="paragraph" w:styleId="Footer">
    <w:name w:val="footer"/>
    <w:basedOn w:val="Normal"/>
    <w:rsid w:val="00C54C74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C54C74"/>
  </w:style>
  <w:style w:type="paragraph" w:styleId="NormalWeb">
    <w:name w:val="Normal (Web)"/>
    <w:basedOn w:val="Normal"/>
    <w:rsid w:val="00A4089F"/>
    <w:pPr>
      <w:spacing w:before="100" w:beforeAutospacing="1" w:after="100" w:afterAutospacing="1"/>
    </w:pPr>
  </w:style>
  <w:style w:type="paragraph" w:styleId="DocumentMap">
    <w:name w:val="Document Map"/>
    <w:basedOn w:val="Normal"/>
    <w:semiHidden/>
    <w:rsid w:val="00215BB6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Subtitle">
    <w:name w:val="Subtitle"/>
    <w:basedOn w:val="Normal"/>
    <w:link w:val="SubtitleChar"/>
    <w:qFormat/>
    <w:rsid w:val="00DB64DD"/>
    <w:pPr>
      <w:autoSpaceDE w:val="0"/>
      <w:autoSpaceDN w:val="0"/>
      <w:adjustRightInd w:val="0"/>
    </w:pPr>
    <w:rPr>
      <w:szCs w:val="16"/>
      <w:u w:val="single"/>
    </w:rPr>
  </w:style>
  <w:style w:type="character" w:customStyle="1" w:styleId="SubtitleChar">
    <w:name w:val="Subtitle Char"/>
    <w:link w:val="Subtitle"/>
    <w:rsid w:val="00DB64DD"/>
    <w:rPr>
      <w:sz w:val="24"/>
      <w:szCs w:val="16"/>
      <w:u w:val="single"/>
    </w:rPr>
  </w:style>
  <w:style w:type="character" w:styleId="CommentReference">
    <w:name w:val="annotation reference"/>
    <w:basedOn w:val="DefaultParagraphFont"/>
    <w:rsid w:val="00105355"/>
    <w:rPr>
      <w:sz w:val="16"/>
      <w:szCs w:val="16"/>
    </w:rPr>
  </w:style>
  <w:style w:type="paragraph" w:styleId="CommentText">
    <w:name w:val="annotation text"/>
    <w:basedOn w:val="Normal"/>
    <w:link w:val="CommentTextChar"/>
    <w:rsid w:val="0010535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105355"/>
  </w:style>
  <w:style w:type="paragraph" w:styleId="CommentSubject">
    <w:name w:val="annotation subject"/>
    <w:basedOn w:val="CommentText"/>
    <w:next w:val="CommentText"/>
    <w:link w:val="CommentSubjectChar"/>
    <w:rsid w:val="00105355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10535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151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6339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929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68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870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A9C4BB-79C9-45C5-B271-53D3FF3785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507</Words>
  <Characters>2573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Issue #</vt:lpstr>
    </vt:vector>
  </TitlesOfParts>
  <Company>CMS</Company>
  <LinksUpToDate>false</LinksUpToDate>
  <CharactersWithSpaces>3074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Issue #</dc:title>
  <dc:creator>CMS</dc:creator>
  <cp:lastModifiedBy>Darryl Simms</cp:lastModifiedBy>
  <cp:revision>2</cp:revision>
  <cp:lastPrinted>2015-01-13T18:52:00Z</cp:lastPrinted>
  <dcterms:created xsi:type="dcterms:W3CDTF">2015-08-13T20:22:00Z</dcterms:created>
  <dcterms:modified xsi:type="dcterms:W3CDTF">2015-08-13T20:22:00Z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_AdHocReviewCycleID">
    <vt:i4>338020762</vt:i4>
  </property>
  <property fmtid="{D5CDD505-2E9C-101B-9397-08002B2CF9AE}" pid="4" name="_EmailSubject">
    <vt:lpwstr>Hospital Cost Report - FORM CMS-2552-10 - PRA Package for 30 Day Public Comment Period</vt:lpwstr>
  </property>
  <property fmtid="{D5CDD505-2E9C-101B-9397-08002B2CF9AE}" pid="5" name="_AuthorEmail">
    <vt:lpwstr>Darryl.Simms@cms.hhs.gov</vt:lpwstr>
  </property>
  <property fmtid="{D5CDD505-2E9C-101B-9397-08002B2CF9AE}" pid="6" name="_AuthorEmailDisplayName">
    <vt:lpwstr>Simms, Darryl E. (CMS/CM)</vt:lpwstr>
  </property>
  <property fmtid="{D5CDD505-2E9C-101B-9397-08002B2CF9AE}" pid="7" name="_PreviousAdHocReviewCycleID">
    <vt:i4>1842337193</vt:i4>
  </property>
</Properties>
</file>