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E4C57" w14:textId="77777777" w:rsidR="00981BBD" w:rsidRPr="00981BBD" w:rsidRDefault="00981BBD" w:rsidP="00981BBD">
      <w:pPr>
        <w:tabs>
          <w:tab w:val="center" w:pos="4680"/>
        </w:tabs>
        <w:suppressAutoHyphens/>
        <w:rPr>
          <w:rFonts w:ascii="Times New Roman" w:hAnsi="Times New Roman"/>
          <w:sz w:val="22"/>
          <w:szCs w:val="22"/>
        </w:rPr>
      </w:pPr>
      <w:bookmarkStart w:id="0" w:name="_GoBack"/>
      <w:bookmarkEnd w:id="0"/>
      <w:r w:rsidRPr="00981BBD">
        <w:rPr>
          <w:rFonts w:ascii="Times New Roman" w:hAnsi="Times New Roman"/>
          <w:sz w:val="22"/>
          <w:szCs w:val="22"/>
        </w:rPr>
        <w:t>THE SUPPORTING STATEMENT</w:t>
      </w:r>
    </w:p>
    <w:p w14:paraId="428E4C58" w14:textId="77777777" w:rsidR="00981BBD" w:rsidRPr="00981BBD" w:rsidRDefault="00981BBD" w:rsidP="00981BBD">
      <w:pPr>
        <w:tabs>
          <w:tab w:val="left" w:pos="-720"/>
        </w:tabs>
        <w:suppressAutoHyphens/>
        <w:rPr>
          <w:rFonts w:ascii="Times New Roman" w:hAnsi="Times New Roman"/>
          <w:sz w:val="22"/>
          <w:szCs w:val="22"/>
        </w:rPr>
      </w:pPr>
    </w:p>
    <w:p w14:paraId="428E4C59" w14:textId="77777777" w:rsidR="00981BBD" w:rsidRPr="00981BBD" w:rsidRDefault="00981BBD" w:rsidP="00981BBD">
      <w:pPr>
        <w:tabs>
          <w:tab w:val="left" w:pos="-720"/>
        </w:tabs>
        <w:suppressAutoHyphens/>
        <w:rPr>
          <w:rFonts w:ascii="Times New Roman" w:hAnsi="Times New Roman"/>
          <w:sz w:val="22"/>
          <w:szCs w:val="22"/>
        </w:rPr>
      </w:pPr>
    </w:p>
    <w:p w14:paraId="428E4C5A" w14:textId="77777777" w:rsidR="00981BBD" w:rsidRPr="00981BBD" w:rsidRDefault="00981BBD" w:rsidP="00981BBD">
      <w:pPr>
        <w:tabs>
          <w:tab w:val="left" w:pos="-720"/>
        </w:tabs>
        <w:suppressAutoHyphens/>
        <w:rPr>
          <w:rFonts w:ascii="Times New Roman" w:hAnsi="Times New Roman"/>
          <w:sz w:val="22"/>
          <w:szCs w:val="22"/>
        </w:rPr>
      </w:pPr>
      <w:r w:rsidRPr="00981BBD">
        <w:rPr>
          <w:rFonts w:ascii="Times New Roman" w:hAnsi="Times New Roman"/>
          <w:sz w:val="22"/>
          <w:szCs w:val="22"/>
        </w:rPr>
        <w:t>Specific Instructions</w:t>
      </w:r>
    </w:p>
    <w:p w14:paraId="428E4C5B" w14:textId="77777777" w:rsidR="00981BBD" w:rsidRPr="00981BBD" w:rsidRDefault="00981BBD" w:rsidP="00981BBD">
      <w:pPr>
        <w:tabs>
          <w:tab w:val="left" w:pos="-720"/>
        </w:tabs>
        <w:suppressAutoHyphens/>
        <w:rPr>
          <w:rFonts w:ascii="Times New Roman" w:hAnsi="Times New Roman"/>
          <w:sz w:val="22"/>
          <w:szCs w:val="22"/>
        </w:rPr>
      </w:pPr>
    </w:p>
    <w:p w14:paraId="428E4C5C"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bCs/>
          <w:snapToGrid/>
          <w:sz w:val="22"/>
          <w:szCs w:val="22"/>
        </w:rPr>
        <w:t>A. Justification</w:t>
      </w:r>
    </w:p>
    <w:p w14:paraId="428E4C5D"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Circumstances Making the Collection of Information Necessary </w:t>
      </w:r>
    </w:p>
    <w:p w14:paraId="428E4C5E" w14:textId="77777777" w:rsidR="00981BBD" w:rsidRPr="00981BBD" w:rsidRDefault="00981BBD" w:rsidP="00981BBD">
      <w:pPr>
        <w:tabs>
          <w:tab w:val="left" w:pos="-720"/>
          <w:tab w:val="left" w:pos="0"/>
        </w:tabs>
        <w:suppressAutoHyphens/>
        <w:rPr>
          <w:rFonts w:ascii="Times New Roman" w:hAnsi="Times New Roman"/>
          <w:noProof/>
          <w:sz w:val="22"/>
          <w:szCs w:val="22"/>
        </w:rPr>
      </w:pPr>
      <w:r w:rsidRPr="00981BBD">
        <w:rPr>
          <w:rFonts w:ascii="Times New Roman" w:hAnsi="Times New Roman"/>
          <w:noProof/>
          <w:sz w:val="22"/>
          <w:szCs w:val="22"/>
        </w:rPr>
        <w:t>The information collection, Refugee Data Submission System for Formula Funds Allocations, (ORR-5) satisfies the statutory requirements of the Immigration and Nationality Act (INA). Section 412(a)(3) of the Act requires the Director of the Office of Refugee Resettlement (ORR) to make a periodic assessment, based on refugee population and other relevant factors, of the relative needs of refugees for assistance and services and the resources available to meet those needs. This includes compiling and maintaining data on the secondary migration of refugees within the United States after arrival. Further, INA 412(c)(1)(B)states that formula funds shall be allocated based on the total number of refugees, taking into account secondary migration.</w:t>
      </w:r>
    </w:p>
    <w:p w14:paraId="428E4C5F" w14:textId="77777777" w:rsidR="00981BBD" w:rsidRPr="00981BBD" w:rsidRDefault="00981BBD" w:rsidP="00981BBD">
      <w:pPr>
        <w:tabs>
          <w:tab w:val="left" w:pos="-720"/>
          <w:tab w:val="left" w:pos="0"/>
        </w:tabs>
        <w:suppressAutoHyphens/>
        <w:rPr>
          <w:rFonts w:ascii="Times New Roman" w:hAnsi="Times New Roman"/>
          <w:noProof/>
          <w:sz w:val="22"/>
          <w:szCs w:val="22"/>
        </w:rPr>
      </w:pPr>
    </w:p>
    <w:p w14:paraId="428E4C60" w14:textId="77777777" w:rsidR="00981BBD" w:rsidRPr="00981BBD" w:rsidRDefault="00981BBD" w:rsidP="00981BBD">
      <w:pPr>
        <w:tabs>
          <w:tab w:val="left" w:pos="-720"/>
          <w:tab w:val="left" w:pos="0"/>
        </w:tabs>
        <w:suppressAutoHyphens/>
        <w:rPr>
          <w:rFonts w:ascii="Times New Roman" w:hAnsi="Times New Roman"/>
          <w:noProof/>
          <w:sz w:val="22"/>
          <w:szCs w:val="22"/>
        </w:rPr>
      </w:pPr>
      <w:r w:rsidRPr="00981BBD">
        <w:rPr>
          <w:rFonts w:ascii="Times New Roman" w:hAnsi="Times New Roman"/>
          <w:noProof/>
          <w:sz w:val="22"/>
          <w:szCs w:val="22"/>
        </w:rPr>
        <w:t>In order to meet the statutory requirements, ORR requires each state to submit disaggregated individual records containing certain data elements for eligible refugee populations.  ORR uses the data from this information collection  to measure secondary migration for the purposes of formula funds allocation to states.  The submission of individual records via the Refugee Data Submission System for Formula Funds Allocations website is a reliable and secure process for collecting data for the purposes of tracking secondary migration and allocating formula funds.  Data submitted by the States via the secure website are compiled and analyzed by the ORR data contractor for the purpose of refugee formula funds allocation. The contractor also prepares a summary report, which is included in ORR's Annual Report to Congress.</w:t>
      </w:r>
    </w:p>
    <w:p w14:paraId="428E4C61" w14:textId="77777777" w:rsidR="00981BBD" w:rsidRPr="00981BBD" w:rsidRDefault="00981BBD" w:rsidP="00981BBD">
      <w:pPr>
        <w:tabs>
          <w:tab w:val="left" w:pos="-720"/>
          <w:tab w:val="left" w:pos="0"/>
        </w:tabs>
        <w:suppressAutoHyphens/>
        <w:rPr>
          <w:rFonts w:ascii="Times New Roman" w:hAnsi="Times New Roman"/>
          <w:snapToGrid/>
          <w:sz w:val="22"/>
          <w:szCs w:val="22"/>
        </w:rPr>
      </w:pPr>
    </w:p>
    <w:p w14:paraId="428E4C62"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Purpose and Use of the Information Collection </w:t>
      </w:r>
    </w:p>
    <w:p w14:paraId="428E4C63" w14:textId="77777777" w:rsidR="00981BBD" w:rsidRPr="00053ECF" w:rsidRDefault="00981BBD" w:rsidP="00981BBD">
      <w:pPr>
        <w:widowControl/>
        <w:spacing w:before="100" w:beforeAutospacing="1" w:after="100" w:afterAutospacing="1"/>
        <w:rPr>
          <w:rFonts w:ascii="Times New Roman" w:hAnsi="Times New Roman"/>
          <w:sz w:val="22"/>
          <w:szCs w:val="22"/>
        </w:rPr>
      </w:pPr>
      <w:r w:rsidRPr="00981BBD">
        <w:rPr>
          <w:rFonts w:ascii="Times New Roman" w:hAnsi="Times New Roman"/>
          <w:sz w:val="22"/>
          <w:szCs w:val="22"/>
        </w:rPr>
        <w:t>This information collection, which allows States to submit individual records on eligible refugee populations via the Refugee Data Submission System for Formula Funds Allocations website, is a reliable and secure process for collecting data for the purposes of tracking secondary migration and allocating formula funds.  Data submitted by the States via the secure website are compiled and analyzed by the ORR data contractor for the purpose of refugee secondary services formula funds allocation, per a formula described at INA 412(c)(1)(B).</w:t>
      </w:r>
    </w:p>
    <w:p w14:paraId="428E4C64"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Use of Improved Information Technology and Burden Reduction </w:t>
      </w:r>
    </w:p>
    <w:p w14:paraId="428E4C65" w14:textId="77777777" w:rsidR="00981BBD" w:rsidRDefault="00981BBD" w:rsidP="00981BBD">
      <w:pPr>
        <w:widowControl/>
        <w:spacing w:before="100" w:beforeAutospacing="1" w:after="100" w:afterAutospacing="1"/>
        <w:rPr>
          <w:rFonts w:ascii="Times New Roman" w:hAnsi="Times New Roman"/>
          <w:noProof/>
          <w:sz w:val="22"/>
          <w:szCs w:val="22"/>
        </w:rPr>
      </w:pPr>
      <w:r w:rsidRPr="00981BBD">
        <w:rPr>
          <w:rFonts w:ascii="Times New Roman" w:hAnsi="Times New Roman"/>
          <w:noProof/>
          <w:sz w:val="22"/>
          <w:szCs w:val="22"/>
        </w:rPr>
        <w:t>This information collection utilizes improved information technology. The data submission website allows States to upload data files and gives ORR the ability to provide verification to States of receipt of the data, perform front-end editing to reject invalid data immediately after receipt with explanation of reasons for rejection and allow States to resubmit corrected files.  This process ensures that States’ final data submissions are complete and correctly formatted to maximize probability of accurate data matching and formula allocations.  Because the system maximizes accuracy, it reduces burden on respondents. Further, the website itself is secure, and ORR issues usernames and passwords to only two users per State.</w:t>
      </w:r>
    </w:p>
    <w:p w14:paraId="428E4C66" w14:textId="77777777" w:rsidR="00053ECF" w:rsidRDefault="00053ECF" w:rsidP="00981BBD">
      <w:pPr>
        <w:widowControl/>
        <w:spacing w:before="100" w:beforeAutospacing="1" w:after="100" w:afterAutospacing="1"/>
        <w:rPr>
          <w:rFonts w:ascii="Times New Roman" w:hAnsi="Times New Roman"/>
          <w:noProof/>
          <w:sz w:val="22"/>
          <w:szCs w:val="22"/>
        </w:rPr>
      </w:pPr>
    </w:p>
    <w:p w14:paraId="428E4C67" w14:textId="77777777" w:rsidR="00053ECF" w:rsidRPr="00053ECF" w:rsidRDefault="00053ECF" w:rsidP="00981BBD">
      <w:pPr>
        <w:widowControl/>
        <w:spacing w:before="100" w:beforeAutospacing="1" w:after="100" w:afterAutospacing="1"/>
        <w:rPr>
          <w:rFonts w:ascii="Times New Roman" w:hAnsi="Times New Roman"/>
          <w:noProof/>
          <w:sz w:val="22"/>
          <w:szCs w:val="22"/>
        </w:rPr>
      </w:pPr>
    </w:p>
    <w:p w14:paraId="428E4C68"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lastRenderedPageBreak/>
        <w:t xml:space="preserve">Efforts to Identify Duplication and Use of Similar Information </w:t>
      </w:r>
    </w:p>
    <w:p w14:paraId="428E4C69"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noProof/>
          <w:sz w:val="22"/>
          <w:szCs w:val="22"/>
        </w:rPr>
        <w:t>No similar data are available from other sources. Though ORR receives data from many sources on refugee populations present in the U.S., there are no available data that track secondary migration of refugees from the state of initial resettlement. ORR must collect data on these individuals, as well as other populations whose data may be incomplete in our system, directly from grantees.</w:t>
      </w:r>
    </w:p>
    <w:p w14:paraId="428E4C6A"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Impact on Small Businesses or Other Small Entities </w:t>
      </w:r>
    </w:p>
    <w:p w14:paraId="428E4C6B" w14:textId="77777777" w:rsidR="00981BBD" w:rsidRPr="00981BBD" w:rsidRDefault="00981BBD" w:rsidP="00981BBD">
      <w:pPr>
        <w:widowControl/>
        <w:spacing w:before="100" w:beforeAutospacing="1" w:after="100" w:afterAutospacing="1"/>
        <w:ind w:left="1440"/>
        <w:rPr>
          <w:rFonts w:ascii="Times New Roman" w:hAnsi="Times New Roman"/>
          <w:snapToGrid/>
          <w:sz w:val="22"/>
          <w:szCs w:val="22"/>
        </w:rPr>
      </w:pPr>
      <w:proofErr w:type="gramStart"/>
      <w:r w:rsidRPr="00981BBD">
        <w:rPr>
          <w:rFonts w:ascii="Times New Roman" w:hAnsi="Times New Roman"/>
          <w:snapToGrid/>
          <w:sz w:val="22"/>
          <w:szCs w:val="22"/>
        </w:rPr>
        <w:t>None.</w:t>
      </w:r>
      <w:proofErr w:type="gramEnd"/>
    </w:p>
    <w:p w14:paraId="428E4C6C"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Consequences of Collecting the Information Less Frequently </w:t>
      </w:r>
    </w:p>
    <w:p w14:paraId="428E4C6D"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noProof/>
          <w:sz w:val="22"/>
          <w:szCs w:val="22"/>
        </w:rPr>
        <w:t>If information is not collected on an annual basis, ORR will be unable to meet the requirements under INA Secs. 412(a)(3) and (c)(1)(B) to distribute formula funds to assist refugees in obtaining the skills which are necessary for rapid self-sufficiency and to include information in the Annual Report to Congress on secondary information.</w:t>
      </w:r>
    </w:p>
    <w:p w14:paraId="428E4C6E"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Special Circumstances Relating to the Guidelines of 5 CFR 1320.5 </w:t>
      </w:r>
    </w:p>
    <w:p w14:paraId="428E4C6F"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noProof/>
          <w:sz w:val="22"/>
          <w:szCs w:val="22"/>
        </w:rPr>
        <w:t>The Refugee Arrivals Data System, to which data submitted through this information collection is added, is a Privacy Act System of Records.</w:t>
      </w:r>
    </w:p>
    <w:p w14:paraId="428E4C70" w14:textId="77777777" w:rsidR="00053ECF" w:rsidRDefault="00981BBD" w:rsidP="00053ECF">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Comments in Response to the Federal Register Notice and Efforts to Consult Outside the Agency</w:t>
      </w:r>
    </w:p>
    <w:p w14:paraId="26AC52EE" w14:textId="7BAFE7D1" w:rsidR="0016321C" w:rsidRDefault="00C02C6F" w:rsidP="0016321C">
      <w:pPr>
        <w:widowControl/>
        <w:spacing w:before="100" w:beforeAutospacing="1" w:after="100" w:afterAutospacing="1"/>
        <w:ind w:left="1080" w:firstLine="360"/>
        <w:rPr>
          <w:rFonts w:ascii="Times New Roman" w:hAnsi="Times New Roman"/>
          <w:snapToGrid/>
          <w:sz w:val="22"/>
          <w:szCs w:val="22"/>
        </w:rPr>
      </w:pPr>
      <w:r>
        <w:rPr>
          <w:rFonts w:ascii="Times New Roman" w:hAnsi="Times New Roman"/>
          <w:snapToGrid/>
          <w:sz w:val="22"/>
          <w:szCs w:val="22"/>
        </w:rPr>
        <w:t>No comments submitted</w:t>
      </w:r>
      <w:r w:rsidR="0016321C">
        <w:rPr>
          <w:rFonts w:ascii="Times New Roman" w:hAnsi="Times New Roman"/>
          <w:snapToGrid/>
          <w:sz w:val="22"/>
          <w:szCs w:val="22"/>
        </w:rPr>
        <w:t>.</w:t>
      </w:r>
      <w:r>
        <w:rPr>
          <w:rFonts w:ascii="Times New Roman" w:hAnsi="Times New Roman"/>
          <w:snapToGrid/>
          <w:sz w:val="22"/>
          <w:szCs w:val="22"/>
        </w:rPr>
        <w:t xml:space="preserve"> </w:t>
      </w:r>
      <w:r>
        <w:rPr>
          <w:rFonts w:ascii="Times New Roman" w:hAnsi="Times New Roman"/>
          <w:sz w:val="22"/>
          <w:szCs w:val="22"/>
        </w:rPr>
        <w:t>The 60 day notice published July 2, 2015, vol. 80, page 3829.</w:t>
      </w:r>
    </w:p>
    <w:p w14:paraId="428E4C75"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Explanation of Any Payment or Gift to Respondents </w:t>
      </w:r>
    </w:p>
    <w:p w14:paraId="428E4C76"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Not applicable.</w:t>
      </w:r>
    </w:p>
    <w:p w14:paraId="428E4C77"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Assurance of Confidentiality Provided to Respondents </w:t>
      </w:r>
    </w:p>
    <w:p w14:paraId="428E4C78"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sz w:val="22"/>
          <w:szCs w:val="22"/>
        </w:rPr>
        <w:t>The Refugee Arrivals Data System, to which data submitted through this information collection is added, is a Privacy Act System of Records.</w:t>
      </w:r>
    </w:p>
    <w:p w14:paraId="428E4C79"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Justification for Sensitive Questions </w:t>
      </w:r>
    </w:p>
    <w:p w14:paraId="428E4C7A" w14:textId="77777777" w:rsid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Not applicable.</w:t>
      </w:r>
    </w:p>
    <w:p w14:paraId="428E4C7B" w14:textId="77777777" w:rsidR="00981BBD" w:rsidRPr="00053ECF"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Estimates of Annualized Burden Hours and Costs </w:t>
      </w:r>
    </w:p>
    <w:p w14:paraId="428E4C7C" w14:textId="77777777" w:rsidR="00981BBD" w:rsidRPr="00981BBD" w:rsidRDefault="00981BBD" w:rsidP="00981BBD">
      <w:pPr>
        <w:tabs>
          <w:tab w:val="left" w:pos="-720"/>
        </w:tabs>
        <w:suppressAutoHyphens/>
        <w:rPr>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872"/>
        <w:gridCol w:w="1998"/>
        <w:gridCol w:w="1800"/>
        <w:gridCol w:w="1674"/>
        <w:gridCol w:w="1872"/>
      </w:tblGrid>
      <w:tr w:rsidR="00981BBD" w:rsidRPr="00981BBD" w14:paraId="428E4C82" w14:textId="77777777" w:rsidTr="001C1750">
        <w:tc>
          <w:tcPr>
            <w:tcW w:w="1872" w:type="dxa"/>
            <w:tcBorders>
              <w:top w:val="double" w:sz="7" w:space="0" w:color="auto"/>
              <w:left w:val="double" w:sz="7" w:space="0" w:color="auto"/>
            </w:tcBorders>
          </w:tcPr>
          <w:p w14:paraId="428E4C7D" w14:textId="77777777" w:rsidR="00981BBD" w:rsidRPr="00981BBD" w:rsidRDefault="00996849" w:rsidP="001C1750">
            <w:pPr>
              <w:tabs>
                <w:tab w:val="left" w:pos="-720"/>
              </w:tabs>
              <w:suppressAutoHyphens/>
              <w:spacing w:before="90" w:after="54"/>
              <w:rPr>
                <w:rFonts w:ascii="Times New Roman" w:hAnsi="Times New Roman"/>
                <w:sz w:val="22"/>
                <w:szCs w:val="22"/>
              </w:rPr>
            </w:pPr>
            <w:r w:rsidRPr="00981BBD">
              <w:rPr>
                <w:rFonts w:ascii="Times New Roman" w:hAnsi="Times New Roman"/>
                <w:sz w:val="22"/>
                <w:szCs w:val="22"/>
              </w:rPr>
              <w:fldChar w:fldCharType="begin"/>
            </w:r>
            <w:r w:rsidR="00981BBD" w:rsidRPr="00981BBD">
              <w:rPr>
                <w:rFonts w:ascii="Times New Roman" w:hAnsi="Times New Roman"/>
                <w:sz w:val="22"/>
                <w:szCs w:val="22"/>
              </w:rPr>
              <w:instrText xml:space="preserve">PRIVATE </w:instrText>
            </w:r>
            <w:r w:rsidRPr="00981BBD">
              <w:rPr>
                <w:rFonts w:ascii="Times New Roman" w:hAnsi="Times New Roman"/>
                <w:sz w:val="22"/>
                <w:szCs w:val="22"/>
              </w:rPr>
              <w:fldChar w:fldCharType="end"/>
            </w:r>
            <w:r w:rsidR="00981BBD" w:rsidRPr="00981BBD">
              <w:rPr>
                <w:rFonts w:ascii="Times New Roman" w:hAnsi="Times New Roman"/>
                <w:sz w:val="22"/>
                <w:szCs w:val="22"/>
              </w:rPr>
              <w:t>INSTRUMENT</w:t>
            </w:r>
          </w:p>
        </w:tc>
        <w:tc>
          <w:tcPr>
            <w:tcW w:w="1998" w:type="dxa"/>
            <w:tcBorders>
              <w:top w:val="double" w:sz="7" w:space="0" w:color="auto"/>
              <w:left w:val="single" w:sz="7" w:space="0" w:color="auto"/>
            </w:tcBorders>
          </w:tcPr>
          <w:p w14:paraId="428E4C7E" w14:textId="77777777" w:rsidR="00981BBD" w:rsidRPr="00981BBD" w:rsidRDefault="00981BBD" w:rsidP="001C1750">
            <w:pPr>
              <w:tabs>
                <w:tab w:val="left" w:pos="-720"/>
              </w:tabs>
              <w:suppressAutoHyphens/>
              <w:spacing w:before="90" w:after="54"/>
              <w:rPr>
                <w:rFonts w:ascii="Times New Roman" w:hAnsi="Times New Roman"/>
                <w:sz w:val="22"/>
                <w:szCs w:val="22"/>
              </w:rPr>
            </w:pPr>
            <w:r w:rsidRPr="00981BBD">
              <w:rPr>
                <w:rFonts w:ascii="Times New Roman" w:hAnsi="Times New Roman"/>
                <w:sz w:val="22"/>
                <w:szCs w:val="22"/>
              </w:rPr>
              <w:t>NUMBER OF RESPONDENTS</w:t>
            </w:r>
          </w:p>
        </w:tc>
        <w:tc>
          <w:tcPr>
            <w:tcW w:w="1800" w:type="dxa"/>
            <w:tcBorders>
              <w:top w:val="double" w:sz="7" w:space="0" w:color="auto"/>
              <w:left w:val="single" w:sz="7" w:space="0" w:color="auto"/>
            </w:tcBorders>
          </w:tcPr>
          <w:p w14:paraId="428E4C7F" w14:textId="77777777" w:rsidR="00981BBD" w:rsidRPr="00981BBD" w:rsidRDefault="00981BBD" w:rsidP="001C1750">
            <w:pPr>
              <w:tabs>
                <w:tab w:val="left" w:pos="-720"/>
              </w:tabs>
              <w:suppressAutoHyphens/>
              <w:spacing w:before="90" w:after="54"/>
              <w:rPr>
                <w:rFonts w:ascii="Times New Roman" w:hAnsi="Times New Roman"/>
                <w:sz w:val="22"/>
                <w:szCs w:val="22"/>
              </w:rPr>
            </w:pPr>
            <w:r w:rsidRPr="00981BBD">
              <w:rPr>
                <w:rFonts w:ascii="Times New Roman" w:hAnsi="Times New Roman"/>
                <w:sz w:val="22"/>
                <w:szCs w:val="22"/>
              </w:rPr>
              <w:t xml:space="preserve">NUMBER OF RESPONSES PER </w:t>
            </w:r>
            <w:r w:rsidRPr="00981BBD">
              <w:rPr>
                <w:rFonts w:ascii="Times New Roman" w:hAnsi="Times New Roman"/>
                <w:sz w:val="22"/>
                <w:szCs w:val="22"/>
              </w:rPr>
              <w:lastRenderedPageBreak/>
              <w:t>RESPONDENT</w:t>
            </w:r>
          </w:p>
        </w:tc>
        <w:tc>
          <w:tcPr>
            <w:tcW w:w="1674" w:type="dxa"/>
            <w:tcBorders>
              <w:top w:val="double" w:sz="7" w:space="0" w:color="auto"/>
              <w:left w:val="single" w:sz="7" w:space="0" w:color="auto"/>
            </w:tcBorders>
          </w:tcPr>
          <w:p w14:paraId="428E4C80" w14:textId="77777777" w:rsidR="00981BBD" w:rsidRPr="00981BBD" w:rsidRDefault="00981BBD" w:rsidP="001C1750">
            <w:pPr>
              <w:tabs>
                <w:tab w:val="left" w:pos="-720"/>
              </w:tabs>
              <w:suppressAutoHyphens/>
              <w:spacing w:before="90" w:after="54"/>
              <w:rPr>
                <w:rFonts w:ascii="Times New Roman" w:hAnsi="Times New Roman"/>
                <w:sz w:val="22"/>
                <w:szCs w:val="22"/>
              </w:rPr>
            </w:pPr>
            <w:r w:rsidRPr="00981BBD">
              <w:rPr>
                <w:rFonts w:ascii="Times New Roman" w:hAnsi="Times New Roman"/>
                <w:sz w:val="22"/>
                <w:szCs w:val="22"/>
              </w:rPr>
              <w:lastRenderedPageBreak/>
              <w:t xml:space="preserve">AVERAGE BURDEN HOURS PER </w:t>
            </w:r>
            <w:r w:rsidRPr="00981BBD">
              <w:rPr>
                <w:rFonts w:ascii="Times New Roman" w:hAnsi="Times New Roman"/>
                <w:sz w:val="22"/>
                <w:szCs w:val="22"/>
              </w:rPr>
              <w:lastRenderedPageBreak/>
              <w:t>RESPONSE</w:t>
            </w:r>
          </w:p>
        </w:tc>
        <w:tc>
          <w:tcPr>
            <w:tcW w:w="1872" w:type="dxa"/>
            <w:tcBorders>
              <w:top w:val="double" w:sz="7" w:space="0" w:color="auto"/>
              <w:left w:val="single" w:sz="7" w:space="0" w:color="auto"/>
              <w:right w:val="double" w:sz="7" w:space="0" w:color="auto"/>
            </w:tcBorders>
          </w:tcPr>
          <w:p w14:paraId="428E4C81" w14:textId="77777777" w:rsidR="00981BBD" w:rsidRPr="00981BBD" w:rsidRDefault="00981BBD" w:rsidP="001C1750">
            <w:pPr>
              <w:tabs>
                <w:tab w:val="left" w:pos="-720"/>
              </w:tabs>
              <w:suppressAutoHyphens/>
              <w:spacing w:before="90" w:after="54"/>
              <w:rPr>
                <w:rFonts w:ascii="Times New Roman" w:hAnsi="Times New Roman"/>
                <w:sz w:val="22"/>
                <w:szCs w:val="22"/>
              </w:rPr>
            </w:pPr>
            <w:r w:rsidRPr="00981BBD">
              <w:rPr>
                <w:rFonts w:ascii="Times New Roman" w:hAnsi="Times New Roman"/>
                <w:sz w:val="22"/>
                <w:szCs w:val="22"/>
              </w:rPr>
              <w:lastRenderedPageBreak/>
              <w:t>TOTAL BURDEN HOURS</w:t>
            </w:r>
          </w:p>
        </w:tc>
      </w:tr>
      <w:tr w:rsidR="00981BBD" w:rsidRPr="00981BBD" w14:paraId="428E4C88" w14:textId="77777777" w:rsidTr="001C1750">
        <w:tc>
          <w:tcPr>
            <w:tcW w:w="1872" w:type="dxa"/>
            <w:tcBorders>
              <w:top w:val="single" w:sz="7" w:space="0" w:color="auto"/>
              <w:left w:val="double" w:sz="7" w:space="0" w:color="auto"/>
            </w:tcBorders>
          </w:tcPr>
          <w:p w14:paraId="428E4C83" w14:textId="77777777" w:rsidR="00981BBD" w:rsidRPr="00981BBD" w:rsidRDefault="00981BBD" w:rsidP="001C1750">
            <w:pPr>
              <w:tabs>
                <w:tab w:val="left" w:pos="-720"/>
              </w:tabs>
              <w:suppressAutoHyphens/>
              <w:spacing w:before="90" w:after="54"/>
              <w:rPr>
                <w:rFonts w:ascii="Times New Roman" w:hAnsi="Times New Roman"/>
                <w:sz w:val="22"/>
                <w:szCs w:val="22"/>
              </w:rPr>
            </w:pPr>
            <w:r w:rsidRPr="00981BBD">
              <w:rPr>
                <w:rFonts w:ascii="Times New Roman" w:hAnsi="Times New Roman"/>
                <w:sz w:val="22"/>
                <w:szCs w:val="22"/>
              </w:rPr>
              <w:lastRenderedPageBreak/>
              <w:t xml:space="preserve">Secondary Migrant File for Formula Funds Allocations </w:t>
            </w:r>
          </w:p>
        </w:tc>
        <w:tc>
          <w:tcPr>
            <w:tcW w:w="1998" w:type="dxa"/>
            <w:tcBorders>
              <w:top w:val="single" w:sz="7" w:space="0" w:color="auto"/>
              <w:left w:val="single" w:sz="7" w:space="0" w:color="auto"/>
            </w:tcBorders>
          </w:tcPr>
          <w:p w14:paraId="428E4C84"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50</w:t>
            </w:r>
          </w:p>
        </w:tc>
        <w:tc>
          <w:tcPr>
            <w:tcW w:w="1800" w:type="dxa"/>
            <w:tcBorders>
              <w:top w:val="single" w:sz="7" w:space="0" w:color="auto"/>
              <w:left w:val="single" w:sz="7" w:space="0" w:color="auto"/>
            </w:tcBorders>
          </w:tcPr>
          <w:p w14:paraId="428E4C85"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1</w:t>
            </w:r>
          </w:p>
        </w:tc>
        <w:tc>
          <w:tcPr>
            <w:tcW w:w="1674" w:type="dxa"/>
            <w:tcBorders>
              <w:top w:val="single" w:sz="7" w:space="0" w:color="auto"/>
              <w:left w:val="single" w:sz="7" w:space="0" w:color="auto"/>
            </w:tcBorders>
          </w:tcPr>
          <w:p w14:paraId="428E4C86"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6.68</w:t>
            </w:r>
          </w:p>
        </w:tc>
        <w:tc>
          <w:tcPr>
            <w:tcW w:w="1872" w:type="dxa"/>
            <w:tcBorders>
              <w:top w:val="single" w:sz="7" w:space="0" w:color="auto"/>
              <w:left w:val="single" w:sz="7" w:space="0" w:color="auto"/>
              <w:right w:val="double" w:sz="7" w:space="0" w:color="auto"/>
            </w:tcBorders>
          </w:tcPr>
          <w:p w14:paraId="428E4C87"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334</w:t>
            </w:r>
          </w:p>
        </w:tc>
      </w:tr>
      <w:tr w:rsidR="00981BBD" w:rsidRPr="00981BBD" w14:paraId="428E4C8E" w14:textId="77777777" w:rsidTr="001C1750">
        <w:tc>
          <w:tcPr>
            <w:tcW w:w="1872" w:type="dxa"/>
            <w:tcBorders>
              <w:top w:val="single" w:sz="7" w:space="0" w:color="auto"/>
              <w:left w:val="double" w:sz="7" w:space="0" w:color="auto"/>
              <w:bottom w:val="single" w:sz="7" w:space="0" w:color="auto"/>
            </w:tcBorders>
          </w:tcPr>
          <w:p w14:paraId="428E4C89" w14:textId="77777777" w:rsidR="00981BBD" w:rsidRPr="00981BBD" w:rsidRDefault="00053ECF" w:rsidP="001C1750">
            <w:pPr>
              <w:tabs>
                <w:tab w:val="left" w:pos="-720"/>
              </w:tabs>
              <w:suppressAutoHyphens/>
              <w:spacing w:before="90" w:after="54"/>
              <w:rPr>
                <w:rFonts w:ascii="Times New Roman" w:hAnsi="Times New Roman"/>
                <w:sz w:val="22"/>
                <w:szCs w:val="22"/>
              </w:rPr>
            </w:pPr>
            <w:proofErr w:type="spellStart"/>
            <w:r w:rsidRPr="00981BBD">
              <w:rPr>
                <w:rFonts w:ascii="Times New Roman" w:hAnsi="Times New Roman"/>
                <w:sz w:val="22"/>
                <w:szCs w:val="22"/>
              </w:rPr>
              <w:t>Asylees</w:t>
            </w:r>
            <w:proofErr w:type="spellEnd"/>
            <w:r w:rsidR="00981BBD" w:rsidRPr="00981BBD">
              <w:rPr>
                <w:rFonts w:ascii="Times New Roman" w:hAnsi="Times New Roman"/>
                <w:sz w:val="22"/>
                <w:szCs w:val="22"/>
              </w:rPr>
              <w:t xml:space="preserve"> File for Formula Funds Allocations</w:t>
            </w:r>
          </w:p>
        </w:tc>
        <w:tc>
          <w:tcPr>
            <w:tcW w:w="1998" w:type="dxa"/>
            <w:tcBorders>
              <w:top w:val="single" w:sz="7" w:space="0" w:color="auto"/>
              <w:left w:val="single" w:sz="7" w:space="0" w:color="auto"/>
              <w:bottom w:val="single" w:sz="7" w:space="0" w:color="auto"/>
            </w:tcBorders>
          </w:tcPr>
          <w:p w14:paraId="428E4C8A"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50</w:t>
            </w:r>
          </w:p>
        </w:tc>
        <w:tc>
          <w:tcPr>
            <w:tcW w:w="1800" w:type="dxa"/>
            <w:tcBorders>
              <w:top w:val="single" w:sz="7" w:space="0" w:color="auto"/>
              <w:left w:val="single" w:sz="7" w:space="0" w:color="auto"/>
              <w:bottom w:val="single" w:sz="7" w:space="0" w:color="auto"/>
            </w:tcBorders>
          </w:tcPr>
          <w:p w14:paraId="428E4C8B"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1</w:t>
            </w:r>
          </w:p>
        </w:tc>
        <w:tc>
          <w:tcPr>
            <w:tcW w:w="1674" w:type="dxa"/>
            <w:tcBorders>
              <w:top w:val="single" w:sz="7" w:space="0" w:color="auto"/>
              <w:left w:val="single" w:sz="7" w:space="0" w:color="auto"/>
              <w:bottom w:val="single" w:sz="7" w:space="0" w:color="auto"/>
            </w:tcBorders>
          </w:tcPr>
          <w:p w14:paraId="428E4C8C"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6.66</w:t>
            </w:r>
          </w:p>
        </w:tc>
        <w:tc>
          <w:tcPr>
            <w:tcW w:w="1872" w:type="dxa"/>
            <w:tcBorders>
              <w:top w:val="single" w:sz="7" w:space="0" w:color="auto"/>
              <w:left w:val="single" w:sz="7" w:space="0" w:color="auto"/>
              <w:bottom w:val="single" w:sz="7" w:space="0" w:color="auto"/>
              <w:right w:val="double" w:sz="7" w:space="0" w:color="auto"/>
            </w:tcBorders>
          </w:tcPr>
          <w:p w14:paraId="428E4C8D"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333</w:t>
            </w:r>
          </w:p>
        </w:tc>
      </w:tr>
      <w:tr w:rsidR="00981BBD" w:rsidRPr="00981BBD" w14:paraId="428E4C94" w14:textId="77777777" w:rsidTr="001C1750">
        <w:tc>
          <w:tcPr>
            <w:tcW w:w="1872" w:type="dxa"/>
            <w:tcBorders>
              <w:top w:val="single" w:sz="7" w:space="0" w:color="auto"/>
              <w:left w:val="double" w:sz="7" w:space="0" w:color="auto"/>
              <w:bottom w:val="single" w:sz="7" w:space="0" w:color="auto"/>
            </w:tcBorders>
          </w:tcPr>
          <w:p w14:paraId="428E4C8F" w14:textId="77777777" w:rsidR="00981BBD" w:rsidRPr="00981BBD" w:rsidRDefault="00981BBD" w:rsidP="001C1750">
            <w:pPr>
              <w:tabs>
                <w:tab w:val="left" w:pos="-720"/>
              </w:tabs>
              <w:suppressAutoHyphens/>
              <w:spacing w:before="90" w:after="54"/>
              <w:rPr>
                <w:rFonts w:ascii="Times New Roman" w:hAnsi="Times New Roman"/>
                <w:sz w:val="22"/>
                <w:szCs w:val="22"/>
              </w:rPr>
            </w:pPr>
            <w:r w:rsidRPr="00981BBD">
              <w:rPr>
                <w:rFonts w:ascii="Times New Roman" w:hAnsi="Times New Roman"/>
                <w:sz w:val="22"/>
                <w:szCs w:val="22"/>
              </w:rPr>
              <w:t>Entrant File for Formula Funds Allocations</w:t>
            </w:r>
          </w:p>
        </w:tc>
        <w:tc>
          <w:tcPr>
            <w:tcW w:w="1998" w:type="dxa"/>
            <w:tcBorders>
              <w:top w:val="single" w:sz="7" w:space="0" w:color="auto"/>
              <w:left w:val="single" w:sz="7" w:space="0" w:color="auto"/>
              <w:bottom w:val="single" w:sz="7" w:space="0" w:color="auto"/>
            </w:tcBorders>
          </w:tcPr>
          <w:p w14:paraId="428E4C90"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50</w:t>
            </w:r>
          </w:p>
        </w:tc>
        <w:tc>
          <w:tcPr>
            <w:tcW w:w="1800" w:type="dxa"/>
            <w:tcBorders>
              <w:top w:val="single" w:sz="7" w:space="0" w:color="auto"/>
              <w:left w:val="single" w:sz="7" w:space="0" w:color="auto"/>
              <w:bottom w:val="single" w:sz="7" w:space="0" w:color="auto"/>
            </w:tcBorders>
          </w:tcPr>
          <w:p w14:paraId="428E4C91"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1</w:t>
            </w:r>
          </w:p>
        </w:tc>
        <w:tc>
          <w:tcPr>
            <w:tcW w:w="1674" w:type="dxa"/>
            <w:tcBorders>
              <w:top w:val="single" w:sz="7" w:space="0" w:color="auto"/>
              <w:left w:val="single" w:sz="7" w:space="0" w:color="auto"/>
              <w:bottom w:val="single" w:sz="7" w:space="0" w:color="auto"/>
            </w:tcBorders>
          </w:tcPr>
          <w:p w14:paraId="428E4C92"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6.66</w:t>
            </w:r>
          </w:p>
        </w:tc>
        <w:tc>
          <w:tcPr>
            <w:tcW w:w="1872" w:type="dxa"/>
            <w:tcBorders>
              <w:top w:val="single" w:sz="7" w:space="0" w:color="auto"/>
              <w:left w:val="single" w:sz="7" w:space="0" w:color="auto"/>
              <w:bottom w:val="single" w:sz="7" w:space="0" w:color="auto"/>
              <w:right w:val="double" w:sz="7" w:space="0" w:color="auto"/>
            </w:tcBorders>
          </w:tcPr>
          <w:p w14:paraId="428E4C93"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333</w:t>
            </w:r>
          </w:p>
        </w:tc>
      </w:tr>
      <w:tr w:rsidR="00981BBD" w:rsidRPr="00981BBD" w14:paraId="428E4C9A" w14:textId="77777777" w:rsidTr="001C1750">
        <w:tc>
          <w:tcPr>
            <w:tcW w:w="1872" w:type="dxa"/>
            <w:tcBorders>
              <w:top w:val="single" w:sz="7" w:space="0" w:color="auto"/>
              <w:left w:val="double" w:sz="7" w:space="0" w:color="auto"/>
              <w:bottom w:val="double" w:sz="7" w:space="0" w:color="auto"/>
            </w:tcBorders>
          </w:tcPr>
          <w:p w14:paraId="428E4C95" w14:textId="77777777" w:rsidR="00981BBD" w:rsidRPr="00981BBD" w:rsidRDefault="00981BBD" w:rsidP="001C1750">
            <w:pPr>
              <w:tabs>
                <w:tab w:val="left" w:pos="-720"/>
              </w:tabs>
              <w:suppressAutoHyphens/>
              <w:spacing w:before="90" w:after="54"/>
              <w:rPr>
                <w:rFonts w:ascii="Times New Roman" w:hAnsi="Times New Roman"/>
                <w:sz w:val="22"/>
                <w:szCs w:val="22"/>
              </w:rPr>
            </w:pPr>
            <w:r w:rsidRPr="00981BBD">
              <w:rPr>
                <w:rFonts w:ascii="Times New Roman" w:hAnsi="Times New Roman"/>
                <w:sz w:val="22"/>
                <w:szCs w:val="22"/>
              </w:rPr>
              <w:t>TOTAL</w:t>
            </w:r>
          </w:p>
        </w:tc>
        <w:tc>
          <w:tcPr>
            <w:tcW w:w="1998" w:type="dxa"/>
            <w:tcBorders>
              <w:top w:val="single" w:sz="7" w:space="0" w:color="auto"/>
              <w:left w:val="single" w:sz="7" w:space="0" w:color="auto"/>
              <w:bottom w:val="double" w:sz="7" w:space="0" w:color="auto"/>
            </w:tcBorders>
          </w:tcPr>
          <w:p w14:paraId="428E4C96"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p>
        </w:tc>
        <w:tc>
          <w:tcPr>
            <w:tcW w:w="1800" w:type="dxa"/>
            <w:tcBorders>
              <w:top w:val="single" w:sz="7" w:space="0" w:color="auto"/>
              <w:left w:val="single" w:sz="7" w:space="0" w:color="auto"/>
              <w:bottom w:val="double" w:sz="7" w:space="0" w:color="auto"/>
            </w:tcBorders>
          </w:tcPr>
          <w:p w14:paraId="428E4C97"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p>
        </w:tc>
        <w:tc>
          <w:tcPr>
            <w:tcW w:w="1674" w:type="dxa"/>
            <w:tcBorders>
              <w:top w:val="single" w:sz="7" w:space="0" w:color="auto"/>
              <w:left w:val="single" w:sz="7" w:space="0" w:color="auto"/>
              <w:bottom w:val="double" w:sz="7" w:space="0" w:color="auto"/>
            </w:tcBorders>
          </w:tcPr>
          <w:p w14:paraId="428E4C98"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p>
        </w:tc>
        <w:tc>
          <w:tcPr>
            <w:tcW w:w="1872" w:type="dxa"/>
            <w:tcBorders>
              <w:top w:val="single" w:sz="7" w:space="0" w:color="auto"/>
              <w:left w:val="single" w:sz="7" w:space="0" w:color="auto"/>
              <w:bottom w:val="double" w:sz="7" w:space="0" w:color="auto"/>
              <w:right w:val="double" w:sz="7" w:space="0" w:color="auto"/>
            </w:tcBorders>
          </w:tcPr>
          <w:p w14:paraId="428E4C99" w14:textId="77777777" w:rsidR="00981BBD" w:rsidRPr="00981BBD" w:rsidRDefault="00981BBD" w:rsidP="001C1750">
            <w:pPr>
              <w:tabs>
                <w:tab w:val="left" w:pos="-720"/>
              </w:tabs>
              <w:suppressAutoHyphens/>
              <w:spacing w:before="90" w:after="54"/>
              <w:jc w:val="right"/>
              <w:rPr>
                <w:rFonts w:ascii="Times New Roman" w:hAnsi="Times New Roman"/>
                <w:sz w:val="22"/>
                <w:szCs w:val="22"/>
              </w:rPr>
            </w:pPr>
            <w:r w:rsidRPr="00981BBD">
              <w:rPr>
                <w:rFonts w:ascii="Times New Roman" w:hAnsi="Times New Roman"/>
                <w:sz w:val="22"/>
                <w:szCs w:val="22"/>
              </w:rPr>
              <w:t>1,000</w:t>
            </w:r>
          </w:p>
        </w:tc>
      </w:tr>
    </w:tbl>
    <w:p w14:paraId="428E4C9B" w14:textId="77777777" w:rsidR="00981BBD" w:rsidRPr="00981BBD" w:rsidRDefault="00981BBD" w:rsidP="00981BBD">
      <w:pPr>
        <w:tabs>
          <w:tab w:val="left" w:pos="-720"/>
        </w:tabs>
        <w:suppressAutoHyphens/>
        <w:rPr>
          <w:rFonts w:ascii="Times New Roman" w:hAnsi="Times New Roman"/>
          <w:sz w:val="22"/>
          <w:szCs w:val="22"/>
        </w:rPr>
      </w:pPr>
    </w:p>
    <w:p w14:paraId="428E4C9C"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sz w:val="22"/>
          <w:szCs w:val="22"/>
        </w:rPr>
        <w:t xml:space="preserve">Annual Hour Burden is estimated based on ORR's understanding of the data collection methodologies utilized by States to meet this information collection requirement. It is an average, since some States will have a larger burden based on type and number of individuals served, number of grantees, and strategy for gathering data. </w:t>
      </w:r>
      <w:r w:rsidRPr="00981BBD">
        <w:rPr>
          <w:rFonts w:ascii="Times New Roman" w:hAnsi="Times New Roman"/>
          <w:snapToGrid/>
          <w:sz w:val="22"/>
          <w:szCs w:val="22"/>
        </w:rPr>
        <w:t xml:space="preserve">Estimates of Other Total Annual Cost Burden to Respondents and Record Keepers </w:t>
      </w:r>
    </w:p>
    <w:p w14:paraId="428E4C9D"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noProof/>
          <w:sz w:val="22"/>
          <w:szCs w:val="22"/>
        </w:rPr>
        <w:t>No annual marginal cost burden associated with information collection (only costs are associated with the use of existing resources, e.g. staff, PCs, etc.).</w:t>
      </w:r>
    </w:p>
    <w:p w14:paraId="428E4C9E"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Annualized Cost to the Federal Government </w:t>
      </w:r>
    </w:p>
    <w:p w14:paraId="428E4C9F"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noProof/>
          <w:sz w:val="22"/>
          <w:szCs w:val="22"/>
        </w:rPr>
        <w:t>No additional annual cost to Federal Government as a result of this information collection; cost of website submission system development and maintenance is included in existing Refugee Arrivals Data System contract.</w:t>
      </w:r>
    </w:p>
    <w:p w14:paraId="428E4CA0"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Explanation for Program Changes or Adjustments </w:t>
      </w:r>
    </w:p>
    <w:p w14:paraId="428E4CA1" w14:textId="45094572" w:rsidR="00981BBD" w:rsidRPr="00981BBD" w:rsidRDefault="00981BBD" w:rsidP="00981BBD">
      <w:pPr>
        <w:widowControl/>
        <w:spacing w:before="100" w:beforeAutospacing="1" w:after="100" w:afterAutospacing="1"/>
        <w:ind w:left="720"/>
        <w:rPr>
          <w:rFonts w:ascii="Times New Roman" w:hAnsi="Times New Roman"/>
          <w:snapToGrid/>
          <w:sz w:val="22"/>
          <w:szCs w:val="22"/>
        </w:rPr>
      </w:pPr>
      <w:r w:rsidRPr="00981BBD">
        <w:rPr>
          <w:rFonts w:ascii="Times New Roman" w:hAnsi="Times New Roman"/>
          <w:snapToGrid/>
          <w:sz w:val="22"/>
          <w:szCs w:val="22"/>
        </w:rPr>
        <w:t>No change</w:t>
      </w:r>
      <w:r w:rsidR="00DE652A">
        <w:rPr>
          <w:rFonts w:ascii="Times New Roman" w:hAnsi="Times New Roman"/>
          <w:snapToGrid/>
          <w:sz w:val="22"/>
          <w:szCs w:val="22"/>
        </w:rPr>
        <w:t>.</w:t>
      </w:r>
    </w:p>
    <w:p w14:paraId="428E4CA2"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Plans for Tabulation and Publication and Project Time Schedule </w:t>
      </w:r>
    </w:p>
    <w:p w14:paraId="428E4CA3"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sz w:val="22"/>
          <w:szCs w:val="22"/>
        </w:rPr>
        <w:t>Data submitted by the States via the secure website are compiled and analyzed by the ORR data contractor for the purpose of formula funds allocation. The results of the analysis are tabulated and published as part of the Final Notices of Refugee Social Services and Targeted Assistance Formula Allocations. Data submission via the website is slated to be complete by February of each year, with data analysis complete by April and publication of the final notices by mid-summer.</w:t>
      </w:r>
      <w:r w:rsidRPr="00981BBD">
        <w:rPr>
          <w:sz w:val="22"/>
          <w:szCs w:val="22"/>
        </w:rPr>
        <w:t> </w:t>
      </w:r>
      <w:r w:rsidRPr="00981BBD">
        <w:rPr>
          <w:sz w:val="22"/>
          <w:szCs w:val="22"/>
        </w:rPr>
        <w:t> </w:t>
      </w:r>
      <w:r w:rsidRPr="00981BBD">
        <w:rPr>
          <w:sz w:val="22"/>
          <w:szCs w:val="22"/>
        </w:rPr>
        <w:t> </w:t>
      </w:r>
    </w:p>
    <w:p w14:paraId="428E4CA4"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t xml:space="preserve">Reason(s) Display of OMB Expiration Date is Inappropriate </w:t>
      </w:r>
    </w:p>
    <w:p w14:paraId="428E4CA5" w14:textId="77777777" w:rsidR="00981BBD" w:rsidRPr="00981BBD" w:rsidRDefault="00981BBD" w:rsidP="00981BBD">
      <w:pPr>
        <w:widowControl/>
        <w:spacing w:before="100" w:beforeAutospacing="1" w:after="100" w:afterAutospacing="1"/>
        <w:rPr>
          <w:rFonts w:ascii="Times New Roman" w:hAnsi="Times New Roman"/>
          <w:snapToGrid/>
          <w:sz w:val="22"/>
          <w:szCs w:val="22"/>
        </w:rPr>
      </w:pPr>
      <w:r w:rsidRPr="00981BBD">
        <w:rPr>
          <w:rFonts w:ascii="Times New Roman" w:hAnsi="Times New Roman"/>
          <w:noProof/>
          <w:sz w:val="22"/>
          <w:szCs w:val="22"/>
        </w:rPr>
        <w:t>Data submission will be done via a website system, with files directly uploaded to the system. OMB expiration date and disclaimers will be displayed on website home page.</w:t>
      </w:r>
    </w:p>
    <w:p w14:paraId="428E4CA6" w14:textId="77777777" w:rsidR="00981BBD" w:rsidRPr="00981BBD" w:rsidRDefault="00981BBD" w:rsidP="00981BBD">
      <w:pPr>
        <w:widowControl/>
        <w:numPr>
          <w:ilvl w:val="0"/>
          <w:numId w:val="1"/>
        </w:numPr>
        <w:spacing w:before="100" w:beforeAutospacing="1" w:after="100" w:afterAutospacing="1"/>
        <w:rPr>
          <w:rFonts w:ascii="Times New Roman" w:hAnsi="Times New Roman"/>
          <w:snapToGrid/>
          <w:sz w:val="22"/>
          <w:szCs w:val="22"/>
        </w:rPr>
      </w:pPr>
      <w:r w:rsidRPr="00981BBD">
        <w:rPr>
          <w:rFonts w:ascii="Times New Roman" w:hAnsi="Times New Roman"/>
          <w:snapToGrid/>
          <w:sz w:val="22"/>
          <w:szCs w:val="22"/>
        </w:rPr>
        <w:lastRenderedPageBreak/>
        <w:t>Exceptions to Certification for Paperwork Reduction Act Submissions</w:t>
      </w:r>
    </w:p>
    <w:p w14:paraId="428E4CA7" w14:textId="77777777" w:rsidR="00981BBD" w:rsidRPr="00981BBD" w:rsidRDefault="00981BBD" w:rsidP="00981BBD">
      <w:pPr>
        <w:widowControl/>
        <w:spacing w:before="100" w:beforeAutospacing="1" w:after="100" w:afterAutospacing="1"/>
        <w:ind w:firstLine="720"/>
        <w:rPr>
          <w:rFonts w:ascii="Times New Roman" w:hAnsi="Times New Roman"/>
          <w:snapToGrid/>
          <w:sz w:val="22"/>
          <w:szCs w:val="22"/>
        </w:rPr>
      </w:pPr>
      <w:proofErr w:type="gramStart"/>
      <w:r w:rsidRPr="00981BBD">
        <w:rPr>
          <w:rFonts w:ascii="Times New Roman" w:hAnsi="Times New Roman"/>
          <w:snapToGrid/>
          <w:sz w:val="22"/>
          <w:szCs w:val="22"/>
        </w:rPr>
        <w:t>None.</w:t>
      </w:r>
      <w:proofErr w:type="gramEnd"/>
    </w:p>
    <w:p w14:paraId="428E4CA8" w14:textId="77777777" w:rsidR="00F74C3A" w:rsidRPr="00981BBD" w:rsidRDefault="00F74C3A">
      <w:pPr>
        <w:rPr>
          <w:sz w:val="22"/>
          <w:szCs w:val="22"/>
        </w:rPr>
      </w:pPr>
    </w:p>
    <w:sectPr w:rsidR="00F74C3A" w:rsidRPr="00981BBD"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E4CAB" w14:textId="77777777" w:rsidR="006D389C" w:rsidRDefault="006D389C" w:rsidP="00996849">
      <w:r>
        <w:separator/>
      </w:r>
    </w:p>
  </w:endnote>
  <w:endnote w:type="continuationSeparator" w:id="0">
    <w:p w14:paraId="428E4CAC" w14:textId="77777777" w:rsidR="006D389C" w:rsidRDefault="006D389C" w:rsidP="0099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E4CAD" w14:textId="77777777" w:rsidR="00292C53" w:rsidRDefault="00B66CEE">
    <w:pPr>
      <w:spacing w:before="140" w:line="100" w:lineRule="exact"/>
      <w:rPr>
        <w:sz w:val="10"/>
      </w:rPr>
    </w:pPr>
  </w:p>
  <w:p w14:paraId="428E4CAE" w14:textId="77777777" w:rsidR="00292C53" w:rsidRDefault="00B66CEE">
    <w:pPr>
      <w:tabs>
        <w:tab w:val="left" w:pos="-720"/>
      </w:tabs>
      <w:suppressAutoHyphens/>
      <w:rPr>
        <w:sz w:val="24"/>
      </w:rPr>
    </w:pPr>
  </w:p>
  <w:p w14:paraId="428E4CAF" w14:textId="77777777" w:rsidR="00292C53" w:rsidRDefault="00B66CEE">
    <w:pPr>
      <w:tabs>
        <w:tab w:val="left" w:pos="-720"/>
      </w:tabs>
      <w:suppressAutoHyphens/>
      <w:rPr>
        <w:sz w:val="24"/>
      </w:rPr>
    </w:pPr>
    <w:r>
      <w:rPr>
        <w:noProof/>
        <w:snapToGrid/>
      </w:rPr>
      <w:pict w14:anchorId="428E4CB0">
        <v:rect id="_x0000_s1025" style="position:absolute;margin-left:1.5pt;margin-top:12pt;width:465pt;height:12pt;z-index:-251658752;mso-position-horizontal-relative:margin" o:allowincell="f" filled="f" stroked="f" strokeweight="0">
          <v:textbox inset="0,0,0,0">
            <w:txbxContent>
              <w:p w14:paraId="428E4CB1" w14:textId="77777777" w:rsidR="00292C53" w:rsidRDefault="009F677C">
                <w:pPr>
                  <w:tabs>
                    <w:tab w:val="center" w:pos="4650"/>
                  </w:tabs>
                  <w:suppressAutoHyphens/>
                  <w:jc w:val="both"/>
                  <w:rPr>
                    <w:sz w:val="24"/>
                  </w:rPr>
                </w:pPr>
                <w:r>
                  <w:rPr>
                    <w:sz w:val="24"/>
                  </w:rPr>
                  <w:tab/>
                </w:r>
                <w:r w:rsidR="00996849">
                  <w:rPr>
                    <w:sz w:val="24"/>
                  </w:rPr>
                  <w:fldChar w:fldCharType="begin"/>
                </w:r>
                <w:r>
                  <w:rPr>
                    <w:sz w:val="24"/>
                  </w:rPr>
                  <w:instrText>page \* arabic</w:instrText>
                </w:r>
                <w:r w:rsidR="00996849">
                  <w:rPr>
                    <w:sz w:val="24"/>
                  </w:rPr>
                  <w:fldChar w:fldCharType="separate"/>
                </w:r>
                <w:r w:rsidR="00B66CEE">
                  <w:rPr>
                    <w:noProof/>
                    <w:sz w:val="24"/>
                  </w:rPr>
                  <w:t>2</w:t>
                </w:r>
                <w:r w:rsidR="00996849">
                  <w:rPr>
                    <w:sz w:val="24"/>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4CA9" w14:textId="77777777" w:rsidR="006D389C" w:rsidRDefault="006D389C" w:rsidP="00996849">
      <w:r>
        <w:separator/>
      </w:r>
    </w:p>
  </w:footnote>
  <w:footnote w:type="continuationSeparator" w:id="0">
    <w:p w14:paraId="428E4CAA" w14:textId="77777777" w:rsidR="006D389C" w:rsidRDefault="006D389C" w:rsidP="00996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
  <w:rsids>
    <w:rsidRoot w:val="00981BBD"/>
    <w:rsid w:val="00044C80"/>
    <w:rsid w:val="00053ECF"/>
    <w:rsid w:val="0016321C"/>
    <w:rsid w:val="00243891"/>
    <w:rsid w:val="00280CEB"/>
    <w:rsid w:val="004320B2"/>
    <w:rsid w:val="006D389C"/>
    <w:rsid w:val="007905A1"/>
    <w:rsid w:val="00981BBD"/>
    <w:rsid w:val="00996849"/>
    <w:rsid w:val="009F677C"/>
    <w:rsid w:val="00B66CEE"/>
    <w:rsid w:val="00C02C6F"/>
    <w:rsid w:val="00C14C29"/>
    <w:rsid w:val="00C17094"/>
    <w:rsid w:val="00CB63FE"/>
    <w:rsid w:val="00D33618"/>
    <w:rsid w:val="00DE652A"/>
    <w:rsid w:val="00F74C3A"/>
    <w:rsid w:val="00FA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BD"/>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E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quest_x0020_Type xmlns="e059a2d5-a4f8-4fd8-b836-4c9cf26100e7">Reinstatement with change of a previously approved collection</Request_x0020_Type>
    <Content_x0020_Changes xmlns="e059a2d5-a4f8-4fd8-b836-4c9cf26100e7">Yes - Minor Changes</Content_x0020_Changes>
    <OMB_x0020_Control_x0020_Number xmlns="e059a2d5-a4f8-4fd8-b836-4c9cf26100e7">0970-0033</OMB_x0020_Control_x0020_Number>
    <FR_x0020_Title xmlns="e059a2d5-a4f8-4fd8-b836-4c9cf26100e7">Refugee Data Submission System for Formula Funds Allocations</FR_x0020_Title>
    <ACF_x0020_Tracking_x0020_No_x002e_ xmlns="e059a2d5-a4f8-4fd8-b836-4c9cf26100e7">ORR-0055</ACF_x0020_Tracking_x0020_No_x002e_>
    <Description0 xmlns="e059a2d5-a4f8-4fd8-b836-4c9cf26100e7">Reinstatement with change of a previously approved collection</Description0>
  </documentManagement>
</p:properties>
</file>

<file path=customXml/itemProps1.xml><?xml version="1.0" encoding="utf-8"?>
<ds:datastoreItem xmlns:ds="http://schemas.openxmlformats.org/officeDocument/2006/customXml" ds:itemID="{FD5283D3-E93F-43FF-9A9B-79CEFDA76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07CE1-6250-4F23-838B-1658845A6A99}">
  <ds:schemaRefs>
    <ds:schemaRef ds:uri="http://schemas.microsoft.com/sharepoint/v3/contenttype/forms"/>
  </ds:schemaRefs>
</ds:datastoreItem>
</file>

<file path=customXml/itemProps3.xml><?xml version="1.0" encoding="utf-8"?>
<ds:datastoreItem xmlns:ds="http://schemas.openxmlformats.org/officeDocument/2006/customXml" ds:itemID="{BDE5C780-9C1D-4C0A-A30E-C9FAAFD9A28E}">
  <ds:schemaRef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DHHS</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DHHS</dc:creator>
  <cp:lastModifiedBy>DHHS</cp:lastModifiedBy>
  <cp:revision>2</cp:revision>
  <dcterms:created xsi:type="dcterms:W3CDTF">2015-09-09T14:44:00Z</dcterms:created>
  <dcterms:modified xsi:type="dcterms:W3CDTF">2015-09-09T14:44:00Z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