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3EB3D" w14:textId="27D3CE69"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Statement </w:t>
      </w:r>
      <w:r w:rsidR="007851E9">
        <w:rPr>
          <w:b/>
          <w:bCs/>
          <w:sz w:val="32"/>
          <w:szCs w:val="32"/>
        </w:rPr>
        <w:t>A</w:t>
      </w:r>
    </w:p>
    <w:p w14:paraId="7C84E2B8" w14:textId="5EBAB857" w:rsidR="006D549E" w:rsidRPr="006D549E" w:rsidRDefault="006D549E" w:rsidP="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6D549E">
        <w:rPr>
          <w:b/>
          <w:bCs/>
          <w:sz w:val="32"/>
          <w:szCs w:val="32"/>
        </w:rPr>
        <w:t>Earthquake Hazards Program Research and Monitoring</w:t>
      </w:r>
    </w:p>
    <w:p w14:paraId="105F347C" w14:textId="049CC7D5"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6D549E">
        <w:rPr>
          <w:b/>
          <w:bCs/>
          <w:sz w:val="32"/>
          <w:szCs w:val="32"/>
        </w:rPr>
        <w:t>0051</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6AC49AAF"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6D549E">
        <w:rPr>
          <w:sz w:val="24"/>
          <w:szCs w:val="24"/>
        </w:rPr>
        <w:t>None</w:t>
      </w:r>
      <w:r w:rsidR="00097475" w:rsidRPr="00097475">
        <w:rPr>
          <w:color w:val="FF0000"/>
          <w:sz w:val="24"/>
          <w:szCs w:val="24"/>
        </w:rPr>
        <w:t xml:space="preserve">  </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B4FF7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75DC04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AF2DF7"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1F832C1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3EE2D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3E7DC6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3E8E2F" w14:textId="09760E8C" w:rsidR="00082C1C" w:rsidRDefault="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549E">
        <w:rPr>
          <w:sz w:val="24"/>
          <w:szCs w:val="24"/>
        </w:rPr>
        <w:t>The Earthquake Hazards Reduction Act of 1977, Public Law 95-124 (42 USC 7701 et. seq.), most recently amended as Public Law 108-360, authorizes the U. S. Geological Survey (USGS) to support research and regional earthquake monitoring networks through assistance (grants and cooperative agreements). The USGS’s Earthquake Hazards Program (EHP) supports research in earthquake hazards, the physics of earthquakes, and earthquake occurrence in order to provide earth science data and information essential to mitigate earthquake losses and supports operations and maintenance performed by regional monitoring networks as part of EHP’s Advanced National Seismic System (ANSS). The assistance application instructions, specific objectives, and reporting requirements are identified in program announcements posted to Grants.gov.</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A3D484"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64FA">
        <w:rPr>
          <w:sz w:val="24"/>
          <w:szCs w:val="24"/>
        </w:rPr>
        <w:t>Approximately 250 research scientists and engineers from educational institutions, and profit and non-profit organizations submit proposals to acquire funding to support research related to earthquake hazards assessments, earthquake causes and effects and earthquake monitoring.</w:t>
      </w:r>
    </w:p>
    <w:p w14:paraId="4A1C7936"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62DB5E"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64FA">
        <w:rPr>
          <w:sz w:val="24"/>
          <w:szCs w:val="24"/>
        </w:rPr>
        <w:t>The EHP will continue to use the requested information to determine the eligibility of the applicants and as the basis for approval or disapproval of proposed research or network operations. This collection will ensure that sufficient and relevant information is available to evaluate and select applications for funding.  Financial assistance will be awarded following the evaluation and ranking of applications by a review panel familiar with the objectives of the EHP.</w:t>
      </w:r>
    </w:p>
    <w:p w14:paraId="08867B52"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35A7EC"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64FA">
        <w:rPr>
          <w:sz w:val="24"/>
          <w:szCs w:val="24"/>
        </w:rPr>
        <w:t xml:space="preserve">The technical narrative of the proposal for assistance support is needed as the applicant describes the proposed research or network operations and management plan, and peer reviewers subsequently use the narrative to evaluate the research or operations against established EHP criteria. The application’s uniform appearance and assembly are needed to minimize the time required by the bureau to determine applicant eligibility and for review and oversight. Reporting requirements are the minimum required by the OMB Circulars. Final technical reports and annual progress reports are needed for technical monitoring of the projects to assure consistency with the objectives of the program’s legislation. The technical reports have only general format requirements. Re-prints of peer-reviewed articles submitted for publication in journals have been accepted as final technical reports. </w:t>
      </w:r>
    </w:p>
    <w:p w14:paraId="6777C5E0"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5136B5" w14:textId="78EF049A" w:rsidR="00082C1C"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64FA">
        <w:rPr>
          <w:sz w:val="24"/>
          <w:szCs w:val="24"/>
        </w:rPr>
        <w:t>The maximum length of the application is 25 pages. The final technical reports are published in their entirety (maximum of 10 MB, including figures) on the EHP External Support office’s website, part of the USGS website. The final technical report requirement was created in response to the requirement in Public Law 95-124, Section 2, paragraph (8), which states: “Improved mechanisms are needed to translate existing information and research findings into reasonable and usable specifications, criteria, and practices so that individuals, organizations, and governmental units may make informed decisions and take appropriate actions.”</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01CC405C" w:rsidR="00082C1C" w:rsidRDefault="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64FA">
        <w:rPr>
          <w:sz w:val="24"/>
          <w:szCs w:val="24"/>
        </w:rPr>
        <w:t>All applications must be submitted electronically via Grants.gov (http://www.grants.gov). The progress and final reports will be submitted directly to the program office via e-mail (gd-erp-coordinator@usgs.gov) and are posted for public use at earthquake.usgs.gov/research/external.</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04923846" w14:textId="77777777" w:rsidR="006D549E" w:rsidRPr="00082C1C" w:rsidRDefault="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E9CBF08" w14:textId="043872A1" w:rsidR="00295103" w:rsidRDefault="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549E">
        <w:rPr>
          <w:sz w:val="24"/>
          <w:szCs w:val="24"/>
        </w:rPr>
        <w:t>The information is used solely for the purpose of this program and is not duplicated. The subject matter of each application and report are unique to each applicant each year. There is no similar information available which could be used or modified for this purpose.</w:t>
      </w:r>
    </w:p>
    <w:p w14:paraId="4E5971D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57AEDFFF" w:rsidR="00082C1C" w:rsidRDefault="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549E">
        <w:rPr>
          <w:sz w:val="24"/>
          <w:szCs w:val="24"/>
        </w:rPr>
        <w:t xml:space="preserve">The information collection will not significantly impact small businesses or entities. Applicants generally include less than 20 small businesses per year. </w:t>
      </w:r>
      <w:r w:rsidR="00D676AC">
        <w:rPr>
          <w:sz w:val="24"/>
          <w:szCs w:val="24"/>
        </w:rPr>
        <w:t xml:space="preserve">By using a digital submission process, small businesses are spared paper, printing, and mailing costs. </w:t>
      </w:r>
      <w:r w:rsidRPr="006D549E">
        <w:rPr>
          <w:sz w:val="24"/>
          <w:szCs w:val="24"/>
        </w:rPr>
        <w:t>We collect only the minimum information necessary to evaluate applications and ensure that projects are successful and meet the requirements of authorizing statutes and Federal regulations.</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2635C1" w14:textId="73D78C4A" w:rsidR="00082C1C" w:rsidRDefault="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549E">
        <w:rPr>
          <w:sz w:val="24"/>
          <w:szCs w:val="24"/>
        </w:rPr>
        <w:t>Funding for the E</w:t>
      </w:r>
      <w:r w:rsidR="009464FA">
        <w:rPr>
          <w:sz w:val="24"/>
          <w:szCs w:val="24"/>
        </w:rPr>
        <w:t>HP</w:t>
      </w:r>
      <w:r w:rsidRPr="006D549E">
        <w:rPr>
          <w:sz w:val="24"/>
          <w:szCs w:val="24"/>
        </w:rPr>
        <w:t xml:space="preserve"> is appropriated on a fiscal year basis as part of the USGS annual appropriation. The program priorities may change each year as directed by Congress. Consequently, the issuance of announcements and submission of applications must be scheduled no less frequently than annually.</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297BE074" w:rsidR="00082C1C" w:rsidRDefault="006D5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549E">
        <w:rPr>
          <w:sz w:val="24"/>
          <w:szCs w:val="24"/>
        </w:rPr>
        <w:t>There are no circumstances that require us to collect the information in a manner inconsistent with OMB guidelines.</w:t>
      </w:r>
      <w:bookmarkStart w:id="0" w:name="_GoBack"/>
      <w:bookmarkEnd w:id="0"/>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668098" w14:textId="03D301A5"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w:t>
      </w:r>
      <w:r w:rsidR="00A557FA">
        <w:rPr>
          <w:sz w:val="24"/>
          <w:szCs w:val="24"/>
        </w:rPr>
        <w:t xml:space="preserve">Federal Register Notice </w:t>
      </w:r>
      <w:r>
        <w:rPr>
          <w:sz w:val="24"/>
          <w:szCs w:val="24"/>
        </w:rPr>
        <w:t xml:space="preserve">was published </w:t>
      </w:r>
      <w:r w:rsidR="009464FA">
        <w:rPr>
          <w:sz w:val="24"/>
          <w:szCs w:val="24"/>
        </w:rPr>
        <w:t>11</w:t>
      </w:r>
      <w:r>
        <w:rPr>
          <w:sz w:val="24"/>
          <w:szCs w:val="24"/>
        </w:rPr>
        <w:t>/</w:t>
      </w:r>
      <w:r w:rsidR="009464FA">
        <w:rPr>
          <w:sz w:val="24"/>
          <w:szCs w:val="24"/>
        </w:rPr>
        <w:t>5</w:t>
      </w:r>
      <w:r>
        <w:rPr>
          <w:sz w:val="24"/>
          <w:szCs w:val="24"/>
        </w:rPr>
        <w:t>/201</w:t>
      </w:r>
      <w:r w:rsidR="009464FA">
        <w:rPr>
          <w:sz w:val="24"/>
          <w:szCs w:val="24"/>
        </w:rPr>
        <w:t>5</w:t>
      </w:r>
      <w:r w:rsidR="008D6497">
        <w:rPr>
          <w:sz w:val="24"/>
          <w:szCs w:val="24"/>
        </w:rPr>
        <w:t xml:space="preserve"> at </w:t>
      </w:r>
      <w:r w:rsidR="009464FA">
        <w:rPr>
          <w:sz w:val="24"/>
          <w:szCs w:val="24"/>
        </w:rPr>
        <w:t xml:space="preserve">80 </w:t>
      </w:r>
      <w:r>
        <w:rPr>
          <w:sz w:val="24"/>
          <w:szCs w:val="24"/>
        </w:rPr>
        <w:t xml:space="preserve">FR </w:t>
      </w:r>
      <w:r w:rsidR="009464FA">
        <w:rPr>
          <w:sz w:val="24"/>
          <w:szCs w:val="24"/>
        </w:rPr>
        <w:t>68557</w:t>
      </w:r>
      <w:r>
        <w:rPr>
          <w:sz w:val="24"/>
          <w:szCs w:val="24"/>
        </w:rPr>
        <w:t xml:space="preserve">. </w:t>
      </w:r>
      <w:r w:rsidR="00A557FA">
        <w:rPr>
          <w:sz w:val="24"/>
          <w:szCs w:val="24"/>
        </w:rPr>
        <w:t xml:space="preserve"> We received no comments as a result of this notice.</w:t>
      </w: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423084BA" w14:textId="758EF923"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W</w:t>
      </w:r>
      <w:r w:rsidRPr="009464FA">
        <w:rPr>
          <w:sz w:val="24"/>
          <w:szCs w:val="24"/>
        </w:rPr>
        <w:t xml:space="preserve">e solicited ad hoc estimates of times to prepare reports and proposals and general comments on any problems encountered during the proposal submittal period from several past assistance proposers and recipients (see below) to obtain their views on the burden that the grant application and reporting imposes.  The amounts of time needed are reflected in our burden times for reports and proposals.  The feedback we received was primarily about minor problems with the multi-step process to upload proposals into Grants.gov.  </w:t>
      </w:r>
    </w:p>
    <w:p w14:paraId="5A609941"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46E4299B"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464FA">
        <w:rPr>
          <w:sz w:val="24"/>
          <w:szCs w:val="24"/>
        </w:rPr>
        <w:t>Egill Hauksson, California Institute of Technology, Seismological Laboratory</w:t>
      </w:r>
    </w:p>
    <w:p w14:paraId="3A1CF4BA"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464FA">
        <w:rPr>
          <w:sz w:val="24"/>
          <w:szCs w:val="24"/>
        </w:rPr>
        <w:t>12200 E California Blvd, Pasadena, CA 91125   (626) 395-6919</w:t>
      </w:r>
    </w:p>
    <w:p w14:paraId="03E5601C"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1A4D22A"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464FA">
        <w:rPr>
          <w:sz w:val="24"/>
          <w:szCs w:val="24"/>
        </w:rPr>
        <w:t>Chris Wills, California Geological Survey</w:t>
      </w:r>
    </w:p>
    <w:p w14:paraId="7B1F4D60"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464FA">
        <w:rPr>
          <w:sz w:val="24"/>
          <w:szCs w:val="24"/>
        </w:rPr>
        <w:t>801 K Street, Sacramento, CA 95814   (916) 322-1080</w:t>
      </w:r>
    </w:p>
    <w:p w14:paraId="7AE85DF2"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F6919B4" w14:textId="47C9063A"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464FA">
        <w:rPr>
          <w:sz w:val="24"/>
          <w:szCs w:val="24"/>
        </w:rPr>
        <w:t xml:space="preserve">Ivan Wong, Seismic Hazards Group, </w:t>
      </w:r>
      <w:r w:rsidR="0040735A">
        <w:rPr>
          <w:sz w:val="24"/>
          <w:szCs w:val="24"/>
        </w:rPr>
        <w:t>AECOM</w:t>
      </w:r>
    </w:p>
    <w:p w14:paraId="3E0BF3EB" w14:textId="77777777" w:rsidR="009464FA" w:rsidRPr="009464FA" w:rsidRDefault="009464FA" w:rsidP="009464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464FA">
        <w:rPr>
          <w:sz w:val="24"/>
          <w:szCs w:val="24"/>
        </w:rPr>
        <w:t>1333 Broadway, Suite 800, Oakland, CA 94612   (510) 874-3014</w:t>
      </w: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05B49562" w:rsidR="00082C1C" w:rsidRDefault="004073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735A">
        <w:rPr>
          <w:sz w:val="24"/>
          <w:szCs w:val="24"/>
        </w:rPr>
        <w:t>Except for the remuneration of grantees, no payments or gifts are provided to the respondents.</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AA533BF" w14:textId="5149A92D" w:rsidR="00082C1C" w:rsidRDefault="004073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No assurance of confidentiality is provided.</w:t>
      </w:r>
      <w:r w:rsidR="00D676AC">
        <w:rPr>
          <w:sz w:val="24"/>
          <w:szCs w:val="24"/>
        </w:rPr>
        <w:t xml:space="preserve"> The research results and data will be published in scientific journals as stated in the announcement. </w:t>
      </w: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6CBACB" w14:textId="3D882241" w:rsidR="00082C1C" w:rsidRDefault="004073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735A">
        <w:rPr>
          <w:sz w:val="24"/>
          <w:szCs w:val="24"/>
        </w:rPr>
        <w:t>No sensitive questions are asked.</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56D0C729"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CEF252"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 xml:space="preserve">Our estimates, in Table 1 below, are based on our own knowledge plus the outreach described in item 8. </w:t>
      </w:r>
    </w:p>
    <w:p w14:paraId="6F32E923"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26CA25" w14:textId="3AB2C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b/>
          <w:i/>
          <w:sz w:val="24"/>
          <w:szCs w:val="24"/>
        </w:rPr>
        <w:t>Narrative/Proposal Preparation</w:t>
      </w:r>
      <w:r w:rsidRPr="00A1278E">
        <w:rPr>
          <w:sz w:val="24"/>
          <w:szCs w:val="24"/>
        </w:rPr>
        <w:t>: We anticipate that it will take each</w:t>
      </w:r>
      <w:r w:rsidR="00D676AC">
        <w:rPr>
          <w:sz w:val="24"/>
          <w:szCs w:val="24"/>
        </w:rPr>
        <w:t xml:space="preserve"> of the 250</w:t>
      </w:r>
      <w:r w:rsidRPr="00A1278E">
        <w:rPr>
          <w:sz w:val="24"/>
          <w:szCs w:val="24"/>
        </w:rPr>
        <w:t xml:space="preserve"> applicant</w:t>
      </w:r>
      <w:r w:rsidR="00D676AC">
        <w:rPr>
          <w:sz w:val="24"/>
          <w:szCs w:val="24"/>
        </w:rPr>
        <w:t>s</w:t>
      </w:r>
      <w:r w:rsidRPr="00A1278E">
        <w:rPr>
          <w:sz w:val="24"/>
          <w:szCs w:val="24"/>
        </w:rPr>
        <w:t xml:space="preserve"> approximately 45 hours to complete the project narrative and to provide any other relevant supporting documents as a proposal for assistance support (totaling 11,250 hours). </w:t>
      </w:r>
    </w:p>
    <w:p w14:paraId="5E25AC9B"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5B94DE"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A1278E">
        <w:rPr>
          <w:b/>
          <w:i/>
          <w:sz w:val="24"/>
          <w:szCs w:val="24"/>
        </w:rPr>
        <w:t>Final Report Preparation:</w:t>
      </w:r>
      <w:r w:rsidRPr="00A1278E">
        <w:rPr>
          <w:sz w:val="24"/>
          <w:szCs w:val="24"/>
        </w:rPr>
        <w:t xml:space="preserve"> Based on past averages and future projections for this activity, we anticipate awarding an average of 100 grants per year. The 100 award recipients are required to submit either a progress report or a final technical report. We estimate that it will take an average of 12 hours to complete the report (totaling 1,200 hours). </w:t>
      </w:r>
    </w:p>
    <w:p w14:paraId="626AEB54"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6947F8"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We estimate that the total burden for this collection will be 12,450 hours, as shown in Table 1 below (first 4 columns).</w:t>
      </w:r>
    </w:p>
    <w:p w14:paraId="4EFAC74A"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C45B1" w14:textId="62AF427A"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 xml:space="preserve">To estimate the dollar values of burden hours in Table 1, we used data from   </w:t>
      </w:r>
      <w:hyperlink r:id="rId8" w:history="1">
        <w:r w:rsidR="00467F00" w:rsidRPr="00961F43">
          <w:rPr>
            <w:rStyle w:val="Hyperlink"/>
            <w:sz w:val="24"/>
            <w:szCs w:val="24"/>
          </w:rPr>
          <w:t>http://www.bls.gov/oes/current/oes192042.htm</w:t>
        </w:r>
      </w:hyperlink>
      <w:r w:rsidR="00A4046E" w:rsidRPr="00A4046E">
        <w:rPr>
          <w:rStyle w:val="Hyperlink"/>
          <w:color w:val="auto"/>
          <w:sz w:val="24"/>
          <w:szCs w:val="24"/>
        </w:rPr>
        <w:t xml:space="preserve"> (or new release USDL-15-0479 Table 1 </w:t>
      </w:r>
      <w:r w:rsidR="00A4046E" w:rsidRPr="00A4046E">
        <w:rPr>
          <w:rStyle w:val="Hyperlink"/>
          <w:color w:val="auto"/>
          <w:sz w:val="24"/>
          <w:szCs w:val="24"/>
          <w:u w:val="none"/>
        </w:rPr>
        <w:t>“</w:t>
      </w:r>
      <w:r w:rsidR="00A4046E" w:rsidRPr="00A4046E">
        <w:rPr>
          <w:sz w:val="24"/>
          <w:szCs w:val="24"/>
        </w:rPr>
        <w:t>Geoscientists, except hydrologists and geographers”</w:t>
      </w:r>
      <w:r w:rsidR="00A4046E" w:rsidRPr="00A4046E">
        <w:rPr>
          <w:rStyle w:val="Hyperlink"/>
          <w:color w:val="auto"/>
          <w:sz w:val="24"/>
          <w:szCs w:val="24"/>
          <w:u w:val="none"/>
        </w:rPr>
        <w:t>)</w:t>
      </w:r>
      <w:r w:rsidR="00A4046E">
        <w:rPr>
          <w:sz w:val="24"/>
          <w:szCs w:val="24"/>
        </w:rPr>
        <w:t xml:space="preserve"> </w:t>
      </w:r>
      <w:r w:rsidRPr="00A1278E">
        <w:rPr>
          <w:sz w:val="24"/>
          <w:szCs w:val="24"/>
        </w:rPr>
        <w:t>Geoscientist mean hourly wages ($</w:t>
      </w:r>
      <w:r>
        <w:rPr>
          <w:sz w:val="24"/>
          <w:szCs w:val="24"/>
        </w:rPr>
        <w:t>50.67</w:t>
      </w:r>
      <w:r w:rsidRPr="00A1278E">
        <w:rPr>
          <w:sz w:val="24"/>
          <w:szCs w:val="24"/>
        </w:rPr>
        <w:t>) to account for individuals in the private sector.  To account for benefits, we multiplied the mean hourly rate by 1.</w:t>
      </w:r>
      <w:r w:rsidR="00997E8D">
        <w:rPr>
          <w:sz w:val="24"/>
          <w:szCs w:val="24"/>
        </w:rPr>
        <w:t>31</w:t>
      </w:r>
      <w:r w:rsidRPr="00A1278E">
        <w:rPr>
          <w:sz w:val="24"/>
          <w:szCs w:val="24"/>
        </w:rPr>
        <w:t>, for a total of $</w:t>
      </w:r>
      <w:r w:rsidR="00997E8D">
        <w:rPr>
          <w:sz w:val="24"/>
          <w:szCs w:val="24"/>
        </w:rPr>
        <w:t>66.38</w:t>
      </w:r>
      <w:r w:rsidRPr="00A1278E">
        <w:rPr>
          <w:sz w:val="24"/>
          <w:szCs w:val="24"/>
        </w:rPr>
        <w:t>.  We calculated the benefits in accord</w:t>
      </w:r>
      <w:r w:rsidR="00997E8D">
        <w:rPr>
          <w:sz w:val="24"/>
          <w:szCs w:val="24"/>
        </w:rPr>
        <w:t>ance with BLS news release</w:t>
      </w:r>
      <w:r w:rsidRPr="00A1278E">
        <w:rPr>
          <w:sz w:val="24"/>
          <w:szCs w:val="24"/>
        </w:rPr>
        <w:t xml:space="preserve"> </w:t>
      </w:r>
      <w:r w:rsidR="00997E8D" w:rsidRPr="00997E8D">
        <w:rPr>
          <w:sz w:val="24"/>
          <w:szCs w:val="24"/>
        </w:rPr>
        <w:t>USDL-15-</w:t>
      </w:r>
      <w:r w:rsidR="000D39A9">
        <w:rPr>
          <w:sz w:val="24"/>
          <w:szCs w:val="24"/>
        </w:rPr>
        <w:t>2329</w:t>
      </w:r>
      <w:r w:rsidRPr="00A1278E">
        <w:rPr>
          <w:sz w:val="24"/>
          <w:szCs w:val="24"/>
        </w:rPr>
        <w:t xml:space="preserve"> of </w:t>
      </w:r>
      <w:r w:rsidR="000D39A9">
        <w:rPr>
          <w:sz w:val="24"/>
          <w:szCs w:val="24"/>
        </w:rPr>
        <w:t>December</w:t>
      </w:r>
      <w:r w:rsidR="000D39A9" w:rsidRPr="00997E8D">
        <w:rPr>
          <w:sz w:val="24"/>
          <w:szCs w:val="24"/>
        </w:rPr>
        <w:t xml:space="preserve"> </w:t>
      </w:r>
      <w:r w:rsidR="00997E8D" w:rsidRPr="00997E8D">
        <w:rPr>
          <w:sz w:val="24"/>
          <w:szCs w:val="24"/>
        </w:rPr>
        <w:t>9, 2015</w:t>
      </w:r>
      <w:r w:rsidRPr="00A1278E">
        <w:rPr>
          <w:sz w:val="24"/>
          <w:szCs w:val="24"/>
        </w:rPr>
        <w:t xml:space="preserve">. </w:t>
      </w:r>
    </w:p>
    <w:p w14:paraId="22CA48AE"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530996"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1278E">
        <w:rPr>
          <w:b/>
          <w:sz w:val="24"/>
          <w:szCs w:val="24"/>
        </w:rPr>
        <w:t>Table 1. Estimated Dollar Value of Annual Burden Hours</w:t>
      </w:r>
    </w:p>
    <w:p w14:paraId="1DA3992F"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170"/>
        <w:gridCol w:w="1530"/>
        <w:gridCol w:w="1204"/>
        <w:gridCol w:w="1496"/>
        <w:gridCol w:w="1530"/>
      </w:tblGrid>
      <w:tr w:rsidR="00A1278E" w:rsidRPr="00A1278E" w14:paraId="760DA288" w14:textId="77777777" w:rsidTr="003C0595">
        <w:trPr>
          <w:trHeight w:val="1124"/>
        </w:trPr>
        <w:tc>
          <w:tcPr>
            <w:tcW w:w="2358" w:type="dxa"/>
            <w:shd w:val="clear" w:color="auto" w:fill="F2F2F2"/>
            <w:vAlign w:val="center"/>
          </w:tcPr>
          <w:p w14:paraId="283863D0"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lang w:val="en-CA"/>
              </w:rPr>
              <w:t>Activity</w:t>
            </w:r>
          </w:p>
        </w:tc>
        <w:tc>
          <w:tcPr>
            <w:tcW w:w="1170" w:type="dxa"/>
            <w:shd w:val="clear" w:color="auto" w:fill="F2F2F2"/>
            <w:vAlign w:val="center"/>
          </w:tcPr>
          <w:p w14:paraId="1659DDD5"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lang w:val="en-CA"/>
              </w:rPr>
              <w:t>Annual Number of Responses</w:t>
            </w:r>
          </w:p>
        </w:tc>
        <w:tc>
          <w:tcPr>
            <w:tcW w:w="1530" w:type="dxa"/>
            <w:shd w:val="clear" w:color="auto" w:fill="F2F2F2"/>
            <w:vAlign w:val="center"/>
          </w:tcPr>
          <w:p w14:paraId="10A001DC"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lang w:val="en-CA"/>
              </w:rPr>
              <w:t>Estimated Completion Time per Respondent</w:t>
            </w:r>
          </w:p>
        </w:tc>
        <w:tc>
          <w:tcPr>
            <w:tcW w:w="1204" w:type="dxa"/>
            <w:shd w:val="clear" w:color="auto" w:fill="F2F2F2"/>
            <w:vAlign w:val="center"/>
          </w:tcPr>
          <w:p w14:paraId="6574015A"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lang w:val="en-CA"/>
              </w:rPr>
              <w:t>Total Annual Burden Hours</w:t>
            </w:r>
          </w:p>
        </w:tc>
        <w:tc>
          <w:tcPr>
            <w:tcW w:w="1496" w:type="dxa"/>
            <w:shd w:val="clear" w:color="auto" w:fill="F2F2F2"/>
            <w:vAlign w:val="center"/>
          </w:tcPr>
          <w:p w14:paraId="2E64CEE2"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1278E">
              <w:rPr>
                <w:sz w:val="24"/>
                <w:szCs w:val="24"/>
                <w:lang w:val="en-CA"/>
              </w:rPr>
              <w:t>Dollar Value of Burden Hour  [Including Benefits]</w:t>
            </w:r>
          </w:p>
        </w:tc>
        <w:tc>
          <w:tcPr>
            <w:tcW w:w="1530" w:type="dxa"/>
            <w:tcBorders>
              <w:bottom w:val="single" w:sz="4" w:space="0" w:color="auto"/>
            </w:tcBorders>
            <w:shd w:val="clear" w:color="auto" w:fill="F2F2F2"/>
            <w:vAlign w:val="center"/>
          </w:tcPr>
          <w:p w14:paraId="6C61913C"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1278E">
              <w:rPr>
                <w:sz w:val="24"/>
                <w:szCs w:val="24"/>
                <w:lang w:val="en-CA"/>
              </w:rPr>
              <w:t>Total Dollar Value of Annual Burden Hours</w:t>
            </w:r>
          </w:p>
        </w:tc>
      </w:tr>
      <w:tr w:rsidR="00A1278E" w:rsidRPr="00A1278E" w14:paraId="781DFA44" w14:textId="77777777" w:rsidTr="003C0595">
        <w:trPr>
          <w:trHeight w:val="629"/>
        </w:trPr>
        <w:tc>
          <w:tcPr>
            <w:tcW w:w="2358" w:type="dxa"/>
            <w:vAlign w:val="center"/>
          </w:tcPr>
          <w:p w14:paraId="04211F71"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14:paraId="05BFD20D"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1278E">
              <w:rPr>
                <w:sz w:val="24"/>
                <w:szCs w:val="24"/>
                <w:lang w:val="en-CA"/>
              </w:rPr>
              <w:t>Narrative/ Proposal Preparation</w:t>
            </w:r>
          </w:p>
        </w:tc>
        <w:tc>
          <w:tcPr>
            <w:tcW w:w="1170" w:type="dxa"/>
            <w:vAlign w:val="center"/>
          </w:tcPr>
          <w:p w14:paraId="2AE9DF57"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250</w:t>
            </w:r>
          </w:p>
        </w:tc>
        <w:tc>
          <w:tcPr>
            <w:tcW w:w="1530" w:type="dxa"/>
            <w:vAlign w:val="center"/>
          </w:tcPr>
          <w:p w14:paraId="6929E34C"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45 hours</w:t>
            </w:r>
          </w:p>
        </w:tc>
        <w:tc>
          <w:tcPr>
            <w:tcW w:w="1204" w:type="dxa"/>
            <w:vAlign w:val="center"/>
          </w:tcPr>
          <w:p w14:paraId="0701BA85"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11,250</w:t>
            </w:r>
          </w:p>
        </w:tc>
        <w:tc>
          <w:tcPr>
            <w:tcW w:w="1496" w:type="dxa"/>
            <w:vAlign w:val="center"/>
          </w:tcPr>
          <w:p w14:paraId="685D46F9" w14:textId="679BD8B2"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$6</w:t>
            </w:r>
            <w:r w:rsidR="00997E8D">
              <w:rPr>
                <w:sz w:val="24"/>
                <w:szCs w:val="24"/>
              </w:rPr>
              <w:t>6</w:t>
            </w:r>
            <w:r w:rsidRPr="00A1278E">
              <w:rPr>
                <w:sz w:val="24"/>
                <w:szCs w:val="24"/>
              </w:rPr>
              <w:t>.</w:t>
            </w:r>
            <w:r w:rsidR="00997E8D">
              <w:rPr>
                <w:sz w:val="24"/>
                <w:szCs w:val="24"/>
              </w:rPr>
              <w:t>38</w:t>
            </w:r>
          </w:p>
        </w:tc>
        <w:tc>
          <w:tcPr>
            <w:tcW w:w="1530" w:type="dxa"/>
            <w:shd w:val="clear" w:color="auto" w:fill="auto"/>
            <w:vAlign w:val="center"/>
          </w:tcPr>
          <w:p w14:paraId="5D78A34F" w14:textId="2B91B72B" w:rsidR="00A1278E" w:rsidRPr="00A1278E" w:rsidRDefault="00A1278E" w:rsidP="00997E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$7</w:t>
            </w:r>
            <w:r w:rsidR="00997E8D">
              <w:rPr>
                <w:sz w:val="24"/>
                <w:szCs w:val="24"/>
              </w:rPr>
              <w:t>46</w:t>
            </w:r>
            <w:r w:rsidRPr="00A1278E">
              <w:rPr>
                <w:sz w:val="24"/>
                <w:szCs w:val="24"/>
              </w:rPr>
              <w:t>,</w:t>
            </w:r>
            <w:r w:rsidR="00997E8D">
              <w:rPr>
                <w:sz w:val="24"/>
                <w:szCs w:val="24"/>
              </w:rPr>
              <w:t>775</w:t>
            </w:r>
          </w:p>
        </w:tc>
      </w:tr>
      <w:tr w:rsidR="00A1278E" w:rsidRPr="00A1278E" w14:paraId="1B26A081" w14:textId="77777777" w:rsidTr="003C0595">
        <w:trPr>
          <w:trHeight w:val="440"/>
        </w:trPr>
        <w:tc>
          <w:tcPr>
            <w:tcW w:w="2358" w:type="dxa"/>
            <w:vAlign w:val="center"/>
          </w:tcPr>
          <w:p w14:paraId="31170A79" w14:textId="4C501287" w:rsidR="00A1278E" w:rsidRPr="00A1278E" w:rsidRDefault="00A1278E" w:rsidP="00E423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lang w:val="en-CA"/>
              </w:rPr>
              <w:t>Final Reports (or annual progress report)</w:t>
            </w:r>
          </w:p>
        </w:tc>
        <w:tc>
          <w:tcPr>
            <w:tcW w:w="1170" w:type="dxa"/>
            <w:vAlign w:val="center"/>
          </w:tcPr>
          <w:p w14:paraId="5BF9A2E4"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100</w:t>
            </w:r>
          </w:p>
        </w:tc>
        <w:tc>
          <w:tcPr>
            <w:tcW w:w="1530" w:type="dxa"/>
            <w:vAlign w:val="center"/>
          </w:tcPr>
          <w:p w14:paraId="12EAE3FD"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12 hours</w:t>
            </w:r>
          </w:p>
        </w:tc>
        <w:tc>
          <w:tcPr>
            <w:tcW w:w="1204" w:type="dxa"/>
            <w:vAlign w:val="center"/>
          </w:tcPr>
          <w:p w14:paraId="58392E9C"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1200</w:t>
            </w:r>
          </w:p>
        </w:tc>
        <w:tc>
          <w:tcPr>
            <w:tcW w:w="1496" w:type="dxa"/>
            <w:vAlign w:val="center"/>
          </w:tcPr>
          <w:p w14:paraId="24BDFE60" w14:textId="7047D606" w:rsidR="00A1278E" w:rsidRPr="00A1278E" w:rsidRDefault="00A1278E" w:rsidP="00997E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$6</w:t>
            </w:r>
            <w:r w:rsidR="00997E8D">
              <w:rPr>
                <w:sz w:val="24"/>
                <w:szCs w:val="24"/>
              </w:rPr>
              <w:t>6</w:t>
            </w:r>
            <w:r w:rsidRPr="00A1278E">
              <w:rPr>
                <w:sz w:val="24"/>
                <w:szCs w:val="24"/>
              </w:rPr>
              <w:t>.</w:t>
            </w:r>
            <w:r w:rsidR="00997E8D">
              <w:rPr>
                <w:sz w:val="24"/>
                <w:szCs w:val="24"/>
              </w:rPr>
              <w:t>38</w:t>
            </w:r>
          </w:p>
        </w:tc>
        <w:tc>
          <w:tcPr>
            <w:tcW w:w="1530" w:type="dxa"/>
            <w:tcBorders>
              <w:bottom w:val="single" w:sz="4" w:space="0" w:color="auto"/>
            </w:tcBorders>
            <w:shd w:val="clear" w:color="auto" w:fill="auto"/>
            <w:vAlign w:val="center"/>
          </w:tcPr>
          <w:p w14:paraId="27D46B57" w14:textId="38D885FD" w:rsidR="00A1278E" w:rsidRPr="00A1278E" w:rsidRDefault="00A1278E" w:rsidP="00997E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w:t>
            </w:r>
            <w:r w:rsidR="00997E8D">
              <w:rPr>
                <w:sz w:val="24"/>
                <w:szCs w:val="24"/>
              </w:rPr>
              <w:t>79</w:t>
            </w:r>
            <w:r w:rsidRPr="00A1278E">
              <w:rPr>
                <w:sz w:val="24"/>
                <w:szCs w:val="24"/>
              </w:rPr>
              <w:t>,</w:t>
            </w:r>
            <w:r w:rsidR="00997E8D">
              <w:rPr>
                <w:sz w:val="24"/>
                <w:szCs w:val="24"/>
              </w:rPr>
              <w:t>656</w:t>
            </w:r>
          </w:p>
        </w:tc>
      </w:tr>
      <w:tr w:rsidR="00A1278E" w:rsidRPr="00A1278E" w14:paraId="23F50AD6" w14:textId="77777777" w:rsidTr="003C0595">
        <w:trPr>
          <w:trHeight w:val="350"/>
        </w:trPr>
        <w:tc>
          <w:tcPr>
            <w:tcW w:w="2358" w:type="dxa"/>
            <w:vAlign w:val="center"/>
          </w:tcPr>
          <w:p w14:paraId="33E83BAC"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1278E">
              <w:rPr>
                <w:b/>
                <w:sz w:val="24"/>
                <w:szCs w:val="24"/>
              </w:rPr>
              <w:t>Total</w:t>
            </w:r>
          </w:p>
        </w:tc>
        <w:tc>
          <w:tcPr>
            <w:tcW w:w="1170" w:type="dxa"/>
            <w:vAlign w:val="center"/>
          </w:tcPr>
          <w:p w14:paraId="6F4601E9"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350</w:t>
            </w:r>
          </w:p>
        </w:tc>
        <w:tc>
          <w:tcPr>
            <w:tcW w:w="1530" w:type="dxa"/>
            <w:vAlign w:val="center"/>
          </w:tcPr>
          <w:p w14:paraId="6BC42BF9"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204" w:type="dxa"/>
            <w:vAlign w:val="center"/>
          </w:tcPr>
          <w:p w14:paraId="5FD7D1B0"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1278E">
              <w:rPr>
                <w:sz w:val="24"/>
                <w:szCs w:val="24"/>
              </w:rPr>
              <w:t>12,450</w:t>
            </w:r>
          </w:p>
        </w:tc>
        <w:tc>
          <w:tcPr>
            <w:tcW w:w="1496" w:type="dxa"/>
            <w:vAlign w:val="center"/>
          </w:tcPr>
          <w:p w14:paraId="75942BDE"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530" w:type="dxa"/>
            <w:shd w:val="clear" w:color="auto" w:fill="auto"/>
            <w:vAlign w:val="center"/>
          </w:tcPr>
          <w:p w14:paraId="5063E92C" w14:textId="1B4CCF72" w:rsidR="00A1278E" w:rsidRPr="00A1278E" w:rsidRDefault="00997E8D"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$826,431</w:t>
            </w:r>
          </w:p>
        </w:tc>
      </w:tr>
    </w:tbl>
    <w:p w14:paraId="0AAD8305" w14:textId="77777777" w:rsidR="00A1278E" w:rsidRPr="00A1278E" w:rsidRDefault="00A1278E" w:rsidP="00A127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If cost estimates are expected to vary widely, agencies should present ranges of cost burdens and explain the reasons for the variance.  The cost of purchasing or </w:t>
      </w:r>
      <w:r w:rsidRPr="00082C1C">
        <w:rPr>
          <w:b/>
          <w:sz w:val="24"/>
          <w:szCs w:val="24"/>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2E13AAA2" w:rsidR="00082C1C" w:rsidRDefault="004073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735A">
        <w:rPr>
          <w:sz w:val="24"/>
          <w:szCs w:val="24"/>
        </w:rPr>
        <w:t>We have identified no reporting and recordkeeping “non-hour cost” burdens associated with this proposed collection of information.</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C4B39E" w14:textId="4385DC8C" w:rsidR="0060758B" w:rsidRDefault="00295103" w:rsidP="004073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24EA1D1C" w14:textId="77777777" w:rsidR="0040735A" w:rsidRDefault="0040735A" w:rsidP="00337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0320D4" w14:textId="3C04F5DF" w:rsidR="004E3C96" w:rsidRDefault="000F3257" w:rsidP="00337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annual cost to the Federal government is $543,965, composed of salaries and travel expenses. </w:t>
      </w:r>
      <w:r w:rsidR="004E3C96">
        <w:rPr>
          <w:sz w:val="24"/>
          <w:szCs w:val="24"/>
        </w:rPr>
        <w:t xml:space="preserve">Federal </w:t>
      </w:r>
      <w:r>
        <w:rPr>
          <w:sz w:val="24"/>
          <w:szCs w:val="24"/>
        </w:rPr>
        <w:t xml:space="preserve">salaries </w:t>
      </w:r>
      <w:r w:rsidR="004E3C96">
        <w:rPr>
          <w:sz w:val="24"/>
          <w:szCs w:val="24"/>
        </w:rPr>
        <w:t>are based upon the labor rates provided by Office of Personnel Management</w:t>
      </w:r>
      <w:r w:rsidR="00C83EB2">
        <w:rPr>
          <w:sz w:val="24"/>
          <w:szCs w:val="24"/>
        </w:rPr>
        <w:t xml:space="preserve"> for the Washington-Baltimore area</w:t>
      </w:r>
      <w:r w:rsidR="004E3C96">
        <w:rPr>
          <w:sz w:val="24"/>
          <w:szCs w:val="24"/>
        </w:rPr>
        <w:t xml:space="preserve">: </w:t>
      </w:r>
    </w:p>
    <w:p w14:paraId="3DF9B2F3" w14:textId="77777777" w:rsidR="004E3C96" w:rsidRDefault="004E3C96" w:rsidP="004E3C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Based on </w:t>
      </w:r>
      <w:hyperlink r:id="rId9" w:history="1">
        <w:r w:rsidRPr="00BF7526">
          <w:rPr>
            <w:rStyle w:val="Hyperlink"/>
            <w:sz w:val="24"/>
            <w:szCs w:val="24"/>
          </w:rPr>
          <w:t>https://www.opm.gov/policy-data-oversight/pay-leave/salaries-wages/salary-tables/pdf/2015/DCB_h.pdf</w:t>
        </w:r>
      </w:hyperlink>
    </w:p>
    <w:p w14:paraId="78175CA5" w14:textId="13569CC5" w:rsidR="004E3C96" w:rsidRDefault="00C83EB2" w:rsidP="00337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wages provided were multiplied by 1.5 to account for benefits creating the Adjusted Hourly Rate in Table 2 below. </w:t>
      </w:r>
    </w:p>
    <w:p w14:paraId="7EA82313" w14:textId="77777777" w:rsidR="00C83EB2" w:rsidRDefault="00C83EB2" w:rsidP="00337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5C0F838" w14:textId="77777777" w:rsidR="00C83EB2" w:rsidRPr="0040735A" w:rsidRDefault="00C83EB2" w:rsidP="00337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B495BB" w14:textId="77777777" w:rsidR="0041097C" w:rsidRDefault="0041097C">
      <w:r>
        <w:br w:type="page"/>
      </w:r>
    </w:p>
    <w:p w14:paraId="30C24ACB" w14:textId="77777777" w:rsidR="0041097C" w:rsidRPr="00C83EB2" w:rsidRDefault="0041097C" w:rsidP="004109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lastRenderedPageBreak/>
        <w:t>Table 2</w:t>
      </w:r>
      <w:r>
        <w:rPr>
          <w:b/>
          <w:sz w:val="24"/>
          <w:szCs w:val="24"/>
        </w:rPr>
        <w:tab/>
        <w:t>Federal Expenses</w:t>
      </w:r>
    </w:p>
    <w:p w14:paraId="6BE0F921" w14:textId="77777777" w:rsidR="0041097C" w:rsidRDefault="0041097C"/>
    <w:tbl>
      <w:tblPr>
        <w:tblpPr w:leftFromText="180" w:rightFromText="180" w:vertAnchor="text" w:horzAnchor="margin" w:tblpY="880"/>
        <w:tblW w:w="9355" w:type="dxa"/>
        <w:tblLayout w:type="fixed"/>
        <w:tblLook w:val="0000" w:firstRow="0" w:lastRow="0" w:firstColumn="0" w:lastColumn="0" w:noHBand="0" w:noVBand="0"/>
      </w:tblPr>
      <w:tblGrid>
        <w:gridCol w:w="2785"/>
        <w:gridCol w:w="20"/>
        <w:gridCol w:w="6"/>
        <w:gridCol w:w="1144"/>
        <w:gridCol w:w="19"/>
        <w:gridCol w:w="1021"/>
        <w:gridCol w:w="1410"/>
        <w:gridCol w:w="1330"/>
        <w:gridCol w:w="1620"/>
      </w:tblGrid>
      <w:tr w:rsidR="0040735A" w:rsidRPr="0040735A" w14:paraId="3DA73DD5" w14:textId="77777777" w:rsidTr="001963C2">
        <w:trPr>
          <w:trHeight w:val="1313"/>
          <w:tblHeader/>
        </w:trPr>
        <w:tc>
          <w:tcPr>
            <w:tcW w:w="2785" w:type="dxa"/>
            <w:tcBorders>
              <w:top w:val="single" w:sz="4" w:space="0" w:color="auto"/>
              <w:left w:val="single" w:sz="4" w:space="0" w:color="auto"/>
              <w:bottom w:val="single" w:sz="4" w:space="0" w:color="auto"/>
              <w:right w:val="single" w:sz="4" w:space="0" w:color="auto"/>
            </w:tcBorders>
            <w:shd w:val="clear" w:color="auto" w:fill="E0E0E0"/>
            <w:vAlign w:val="center"/>
          </w:tcPr>
          <w:p w14:paraId="446B8966" w14:textId="55443BBD" w:rsidR="0040735A" w:rsidRPr="00997E8D"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997E8D">
              <w:rPr>
                <w:bCs/>
                <w:sz w:val="24"/>
                <w:szCs w:val="24"/>
              </w:rPr>
              <w:t>Position</w:t>
            </w:r>
          </w:p>
        </w:tc>
        <w:tc>
          <w:tcPr>
            <w:tcW w:w="1170" w:type="dxa"/>
            <w:gridSpan w:val="3"/>
            <w:tcBorders>
              <w:top w:val="single" w:sz="4" w:space="0" w:color="auto"/>
              <w:left w:val="nil"/>
              <w:bottom w:val="single" w:sz="4" w:space="0" w:color="auto"/>
              <w:right w:val="single" w:sz="4" w:space="0" w:color="auto"/>
            </w:tcBorders>
            <w:shd w:val="clear" w:color="auto" w:fill="E0E0E0"/>
            <w:vAlign w:val="center"/>
          </w:tcPr>
          <w:p w14:paraId="6C82D9CE" w14:textId="77777777" w:rsidR="0040735A" w:rsidRPr="00997E8D"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997E8D">
              <w:rPr>
                <w:bCs/>
                <w:sz w:val="24"/>
                <w:szCs w:val="24"/>
              </w:rPr>
              <w:t>Grade/</w:t>
            </w:r>
          </w:p>
          <w:p w14:paraId="72EAA62C" w14:textId="77777777" w:rsidR="0040735A" w:rsidRPr="00997E8D"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997E8D">
              <w:rPr>
                <w:bCs/>
                <w:sz w:val="24"/>
                <w:szCs w:val="24"/>
              </w:rPr>
              <w:t>Step</w:t>
            </w:r>
          </w:p>
        </w:tc>
        <w:tc>
          <w:tcPr>
            <w:tcW w:w="1040" w:type="dxa"/>
            <w:gridSpan w:val="2"/>
            <w:tcBorders>
              <w:top w:val="single" w:sz="4" w:space="0" w:color="auto"/>
              <w:left w:val="nil"/>
              <w:bottom w:val="single" w:sz="4" w:space="0" w:color="auto"/>
              <w:right w:val="single" w:sz="4" w:space="0" w:color="auto"/>
            </w:tcBorders>
            <w:shd w:val="clear" w:color="auto" w:fill="E0E0E0"/>
            <w:vAlign w:val="center"/>
          </w:tcPr>
          <w:p w14:paraId="2EF5ED62" w14:textId="719A6B21" w:rsidR="0040735A" w:rsidRPr="00997E8D" w:rsidRDefault="00997E8D"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997E8D">
              <w:rPr>
                <w:bCs/>
                <w:sz w:val="24"/>
                <w:szCs w:val="24"/>
              </w:rPr>
              <w:t>Hourly Rate</w:t>
            </w:r>
          </w:p>
        </w:tc>
        <w:tc>
          <w:tcPr>
            <w:tcW w:w="1410" w:type="dxa"/>
            <w:tcBorders>
              <w:top w:val="single" w:sz="4" w:space="0" w:color="auto"/>
              <w:left w:val="nil"/>
              <w:bottom w:val="single" w:sz="4" w:space="0" w:color="auto"/>
              <w:right w:val="single" w:sz="4" w:space="0" w:color="auto"/>
            </w:tcBorders>
            <w:shd w:val="clear" w:color="auto" w:fill="E0E0E0"/>
            <w:vAlign w:val="center"/>
          </w:tcPr>
          <w:p w14:paraId="25593A2A" w14:textId="264189E7" w:rsidR="000F3257" w:rsidRDefault="000F3257"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p>
          <w:p w14:paraId="48124DEF" w14:textId="6B19220A" w:rsidR="0040735A" w:rsidRPr="00997E8D" w:rsidRDefault="00C83EB2"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bCs/>
                <w:sz w:val="24"/>
                <w:szCs w:val="24"/>
              </w:rPr>
              <w:t>Adjusted Hourly Rate</w:t>
            </w:r>
          </w:p>
        </w:tc>
        <w:tc>
          <w:tcPr>
            <w:tcW w:w="1330" w:type="dxa"/>
            <w:tcBorders>
              <w:top w:val="single" w:sz="4" w:space="0" w:color="auto"/>
              <w:left w:val="nil"/>
              <w:bottom w:val="single" w:sz="4" w:space="0" w:color="auto"/>
              <w:right w:val="single" w:sz="4" w:space="0" w:color="auto"/>
            </w:tcBorders>
            <w:shd w:val="clear" w:color="auto" w:fill="E0E0E0"/>
            <w:vAlign w:val="center"/>
          </w:tcPr>
          <w:p w14:paraId="0144B7E6" w14:textId="77777777" w:rsidR="0040735A" w:rsidRPr="00997E8D"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997E8D">
              <w:rPr>
                <w:bCs/>
                <w:sz w:val="24"/>
                <w:szCs w:val="24"/>
              </w:rPr>
              <w:t>Total Annual Hours</w:t>
            </w:r>
          </w:p>
        </w:tc>
        <w:tc>
          <w:tcPr>
            <w:tcW w:w="1620" w:type="dxa"/>
            <w:tcBorders>
              <w:top w:val="single" w:sz="4" w:space="0" w:color="auto"/>
              <w:left w:val="nil"/>
              <w:bottom w:val="single" w:sz="4" w:space="0" w:color="auto"/>
              <w:right w:val="single" w:sz="4" w:space="0" w:color="auto"/>
            </w:tcBorders>
            <w:shd w:val="clear" w:color="auto" w:fill="E0E0E0"/>
            <w:vAlign w:val="center"/>
          </w:tcPr>
          <w:p w14:paraId="444F9F83" w14:textId="3B543351" w:rsidR="0040735A" w:rsidRPr="00997E8D"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997E8D">
              <w:rPr>
                <w:bCs/>
                <w:sz w:val="24"/>
                <w:szCs w:val="24"/>
              </w:rPr>
              <w:t xml:space="preserve">Annual </w:t>
            </w:r>
            <w:r w:rsidR="004E3C96">
              <w:rPr>
                <w:bCs/>
                <w:sz w:val="24"/>
                <w:szCs w:val="24"/>
              </w:rPr>
              <w:t>Value</w:t>
            </w:r>
          </w:p>
        </w:tc>
      </w:tr>
      <w:tr w:rsidR="0040735A" w:rsidRPr="0040735A" w14:paraId="300F9CD4" w14:textId="77777777" w:rsidTr="001963C2">
        <w:trPr>
          <w:trHeight w:val="395"/>
          <w:tblHead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3FBE021" w14:textId="1864B430"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 xml:space="preserve">Physical </w:t>
            </w:r>
            <w:r w:rsidR="0033730E">
              <w:rPr>
                <w:sz w:val="24"/>
                <w:szCs w:val="24"/>
              </w:rPr>
              <w:t>Scientist</w:t>
            </w:r>
          </w:p>
        </w:tc>
        <w:tc>
          <w:tcPr>
            <w:tcW w:w="1170" w:type="dxa"/>
            <w:gridSpan w:val="3"/>
            <w:tcBorders>
              <w:top w:val="single" w:sz="4" w:space="0" w:color="auto"/>
              <w:left w:val="nil"/>
              <w:bottom w:val="single" w:sz="4" w:space="0" w:color="auto"/>
              <w:right w:val="single" w:sz="4" w:space="0" w:color="auto"/>
            </w:tcBorders>
            <w:shd w:val="clear" w:color="auto" w:fill="auto"/>
            <w:vAlign w:val="center"/>
          </w:tcPr>
          <w:p w14:paraId="00D24455"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14/10</w:t>
            </w:r>
          </w:p>
        </w:tc>
        <w:tc>
          <w:tcPr>
            <w:tcW w:w="1040" w:type="dxa"/>
            <w:gridSpan w:val="2"/>
            <w:tcBorders>
              <w:top w:val="single" w:sz="4" w:space="0" w:color="auto"/>
              <w:left w:val="nil"/>
              <w:bottom w:val="single" w:sz="4" w:space="0" w:color="auto"/>
              <w:right w:val="single" w:sz="4" w:space="0" w:color="auto"/>
            </w:tcBorders>
            <w:shd w:val="clear" w:color="auto" w:fill="auto"/>
            <w:noWrap/>
            <w:vAlign w:val="center"/>
          </w:tcPr>
          <w:p w14:paraId="1D942B66" w14:textId="6D8CE2B1"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$6</w:t>
            </w:r>
            <w:r w:rsidR="001A7C74">
              <w:rPr>
                <w:sz w:val="24"/>
                <w:szCs w:val="24"/>
              </w:rPr>
              <w:t>6.85</w:t>
            </w:r>
            <w:r w:rsidRPr="0040735A">
              <w:rPr>
                <w:sz w:val="24"/>
                <w:szCs w:val="24"/>
              </w:rPr>
              <w:t xml:space="preserve"> </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5851BC93" w14:textId="3D2EE7B8"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$100</w:t>
            </w:r>
            <w:r w:rsidR="0040735A" w:rsidRPr="0040735A">
              <w:rPr>
                <w:sz w:val="24"/>
                <w:szCs w:val="24"/>
              </w:rPr>
              <w:t>.</w:t>
            </w:r>
            <w:r>
              <w:rPr>
                <w:sz w:val="24"/>
                <w:szCs w:val="24"/>
              </w:rPr>
              <w:t>28</w:t>
            </w:r>
          </w:p>
        </w:tc>
        <w:tc>
          <w:tcPr>
            <w:tcW w:w="1330" w:type="dxa"/>
            <w:tcBorders>
              <w:top w:val="single" w:sz="4" w:space="0" w:color="auto"/>
              <w:left w:val="nil"/>
              <w:bottom w:val="single" w:sz="4" w:space="0" w:color="auto"/>
              <w:right w:val="single" w:sz="4" w:space="0" w:color="auto"/>
            </w:tcBorders>
            <w:shd w:val="clear" w:color="auto" w:fill="auto"/>
            <w:vAlign w:val="center"/>
          </w:tcPr>
          <w:p w14:paraId="52BC348C"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1,700</w:t>
            </w:r>
          </w:p>
        </w:tc>
        <w:tc>
          <w:tcPr>
            <w:tcW w:w="1620" w:type="dxa"/>
            <w:tcBorders>
              <w:top w:val="single" w:sz="4" w:space="0" w:color="auto"/>
              <w:left w:val="nil"/>
              <w:bottom w:val="single" w:sz="4" w:space="0" w:color="auto"/>
              <w:right w:val="single" w:sz="4" w:space="0" w:color="auto"/>
            </w:tcBorders>
            <w:shd w:val="clear" w:color="auto" w:fill="auto"/>
            <w:vAlign w:val="center"/>
          </w:tcPr>
          <w:p w14:paraId="1938B8A0" w14:textId="7E433EA4"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$1</w:t>
            </w:r>
            <w:r w:rsidR="001A7C74">
              <w:rPr>
                <w:sz w:val="24"/>
                <w:szCs w:val="24"/>
              </w:rPr>
              <w:t>70</w:t>
            </w:r>
            <w:r w:rsidRPr="0040735A">
              <w:rPr>
                <w:sz w:val="24"/>
                <w:szCs w:val="24"/>
              </w:rPr>
              <w:t>,</w:t>
            </w:r>
            <w:r w:rsidR="00C83EB2">
              <w:rPr>
                <w:sz w:val="24"/>
                <w:szCs w:val="24"/>
              </w:rPr>
              <w:t>476</w:t>
            </w:r>
          </w:p>
        </w:tc>
      </w:tr>
      <w:tr w:rsidR="0040735A" w:rsidRPr="0040735A" w14:paraId="716C0F33" w14:textId="77777777" w:rsidTr="001963C2">
        <w:trPr>
          <w:trHeight w:val="350"/>
          <w:tblHeader/>
        </w:trPr>
        <w:tc>
          <w:tcPr>
            <w:tcW w:w="2785" w:type="dxa"/>
            <w:tcBorders>
              <w:top w:val="single" w:sz="4" w:space="0" w:color="auto"/>
              <w:left w:val="single" w:sz="4" w:space="0" w:color="auto"/>
              <w:bottom w:val="single" w:sz="6" w:space="0" w:color="auto"/>
              <w:right w:val="single" w:sz="4" w:space="0" w:color="auto"/>
            </w:tcBorders>
            <w:shd w:val="clear" w:color="auto" w:fill="auto"/>
            <w:vAlign w:val="center"/>
          </w:tcPr>
          <w:p w14:paraId="62004E86"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Program Analyst</w:t>
            </w:r>
          </w:p>
        </w:tc>
        <w:tc>
          <w:tcPr>
            <w:tcW w:w="1170" w:type="dxa"/>
            <w:gridSpan w:val="3"/>
            <w:tcBorders>
              <w:top w:val="single" w:sz="4" w:space="0" w:color="auto"/>
              <w:left w:val="nil"/>
              <w:bottom w:val="single" w:sz="6" w:space="0" w:color="auto"/>
              <w:right w:val="single" w:sz="4" w:space="0" w:color="auto"/>
            </w:tcBorders>
            <w:shd w:val="clear" w:color="auto" w:fill="auto"/>
            <w:vAlign w:val="center"/>
          </w:tcPr>
          <w:p w14:paraId="40D15EE5" w14:textId="11616703"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9/</w:t>
            </w:r>
            <w:r w:rsidR="001A7C74">
              <w:rPr>
                <w:sz w:val="24"/>
                <w:szCs w:val="24"/>
              </w:rPr>
              <w:t>10</w:t>
            </w:r>
          </w:p>
        </w:tc>
        <w:tc>
          <w:tcPr>
            <w:tcW w:w="1040" w:type="dxa"/>
            <w:gridSpan w:val="2"/>
            <w:tcBorders>
              <w:top w:val="single" w:sz="4" w:space="0" w:color="auto"/>
              <w:left w:val="nil"/>
              <w:bottom w:val="single" w:sz="6" w:space="0" w:color="auto"/>
              <w:right w:val="single" w:sz="4" w:space="0" w:color="auto"/>
            </w:tcBorders>
            <w:shd w:val="clear" w:color="auto" w:fill="auto"/>
            <w:vAlign w:val="center"/>
          </w:tcPr>
          <w:p w14:paraId="3B324677" w14:textId="48578D43"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1A7C74">
              <w:rPr>
                <w:sz w:val="24"/>
                <w:szCs w:val="24"/>
              </w:rPr>
              <w:t>32.81</w:t>
            </w:r>
          </w:p>
        </w:tc>
        <w:tc>
          <w:tcPr>
            <w:tcW w:w="1410" w:type="dxa"/>
            <w:tcBorders>
              <w:top w:val="single" w:sz="4" w:space="0" w:color="auto"/>
              <w:left w:val="nil"/>
              <w:bottom w:val="single" w:sz="6" w:space="0" w:color="auto"/>
              <w:right w:val="single" w:sz="4" w:space="0" w:color="auto"/>
            </w:tcBorders>
            <w:shd w:val="clear" w:color="auto" w:fill="auto"/>
            <w:vAlign w:val="center"/>
          </w:tcPr>
          <w:p w14:paraId="12C623D1" w14:textId="7E211C34"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1A7C74">
              <w:rPr>
                <w:sz w:val="24"/>
                <w:szCs w:val="24"/>
              </w:rPr>
              <w:t>49.22</w:t>
            </w:r>
          </w:p>
        </w:tc>
        <w:tc>
          <w:tcPr>
            <w:tcW w:w="1330" w:type="dxa"/>
            <w:tcBorders>
              <w:top w:val="single" w:sz="4" w:space="0" w:color="auto"/>
              <w:left w:val="nil"/>
              <w:bottom w:val="single" w:sz="6" w:space="0" w:color="auto"/>
              <w:right w:val="single" w:sz="4" w:space="0" w:color="auto"/>
            </w:tcBorders>
            <w:shd w:val="clear" w:color="auto" w:fill="auto"/>
            <w:vAlign w:val="center"/>
          </w:tcPr>
          <w:p w14:paraId="5658C192"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1,700</w:t>
            </w:r>
          </w:p>
        </w:tc>
        <w:tc>
          <w:tcPr>
            <w:tcW w:w="1620" w:type="dxa"/>
            <w:tcBorders>
              <w:top w:val="single" w:sz="4" w:space="0" w:color="auto"/>
              <w:left w:val="nil"/>
              <w:bottom w:val="single" w:sz="6" w:space="0" w:color="auto"/>
              <w:right w:val="single" w:sz="4" w:space="0" w:color="auto"/>
            </w:tcBorders>
            <w:shd w:val="clear" w:color="auto" w:fill="auto"/>
            <w:vAlign w:val="center"/>
          </w:tcPr>
          <w:p w14:paraId="2606E42B" w14:textId="556D4108"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$83,674</w:t>
            </w:r>
          </w:p>
        </w:tc>
      </w:tr>
      <w:tr w:rsidR="0040735A" w:rsidRPr="0040735A" w14:paraId="4EA0DAAE" w14:textId="77777777" w:rsidTr="001963C2">
        <w:trPr>
          <w:trHeight w:val="345"/>
          <w:tblHeader/>
        </w:trPr>
        <w:tc>
          <w:tcPr>
            <w:tcW w:w="2785" w:type="dxa"/>
            <w:tcBorders>
              <w:top w:val="single" w:sz="4" w:space="0" w:color="auto"/>
              <w:left w:val="single" w:sz="4" w:space="0" w:color="auto"/>
              <w:bottom w:val="single" w:sz="6" w:space="0" w:color="auto"/>
              <w:right w:val="single" w:sz="4" w:space="0" w:color="auto"/>
            </w:tcBorders>
            <w:shd w:val="clear" w:color="auto" w:fill="auto"/>
            <w:vAlign w:val="center"/>
          </w:tcPr>
          <w:p w14:paraId="598FFF9A"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Contracting Officer</w:t>
            </w:r>
          </w:p>
        </w:tc>
        <w:tc>
          <w:tcPr>
            <w:tcW w:w="1170" w:type="dxa"/>
            <w:gridSpan w:val="3"/>
            <w:tcBorders>
              <w:top w:val="single" w:sz="4" w:space="0" w:color="auto"/>
              <w:left w:val="nil"/>
              <w:bottom w:val="single" w:sz="6" w:space="0" w:color="auto"/>
              <w:right w:val="single" w:sz="4" w:space="0" w:color="auto"/>
            </w:tcBorders>
            <w:shd w:val="clear" w:color="auto" w:fill="auto"/>
            <w:vAlign w:val="center"/>
          </w:tcPr>
          <w:p w14:paraId="044D9C54"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13/10</w:t>
            </w:r>
          </w:p>
        </w:tc>
        <w:tc>
          <w:tcPr>
            <w:tcW w:w="1040" w:type="dxa"/>
            <w:gridSpan w:val="2"/>
            <w:tcBorders>
              <w:top w:val="single" w:sz="4" w:space="0" w:color="auto"/>
              <w:left w:val="nil"/>
              <w:bottom w:val="single" w:sz="6" w:space="0" w:color="auto"/>
              <w:right w:val="single" w:sz="4" w:space="0" w:color="auto"/>
            </w:tcBorders>
            <w:shd w:val="clear" w:color="auto" w:fill="auto"/>
            <w:vAlign w:val="center"/>
          </w:tcPr>
          <w:p w14:paraId="3072ECC7" w14:textId="428B56A2"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$5</w:t>
            </w:r>
            <w:r w:rsidR="001A7C74">
              <w:rPr>
                <w:sz w:val="24"/>
                <w:szCs w:val="24"/>
              </w:rPr>
              <w:t>6.57</w:t>
            </w:r>
          </w:p>
        </w:tc>
        <w:tc>
          <w:tcPr>
            <w:tcW w:w="1410" w:type="dxa"/>
            <w:tcBorders>
              <w:top w:val="single" w:sz="4" w:space="0" w:color="auto"/>
              <w:left w:val="nil"/>
              <w:bottom w:val="single" w:sz="6" w:space="0" w:color="auto"/>
              <w:right w:val="single" w:sz="4" w:space="0" w:color="auto"/>
            </w:tcBorders>
            <w:shd w:val="clear" w:color="auto" w:fill="auto"/>
            <w:vAlign w:val="center"/>
          </w:tcPr>
          <w:p w14:paraId="43F252DA" w14:textId="419EE59A"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1A7C74">
              <w:rPr>
                <w:sz w:val="24"/>
                <w:szCs w:val="24"/>
              </w:rPr>
              <w:t>84.86</w:t>
            </w:r>
          </w:p>
        </w:tc>
        <w:tc>
          <w:tcPr>
            <w:tcW w:w="1330" w:type="dxa"/>
            <w:tcBorders>
              <w:top w:val="single" w:sz="4" w:space="0" w:color="auto"/>
              <w:left w:val="nil"/>
              <w:bottom w:val="single" w:sz="6" w:space="0" w:color="auto"/>
              <w:right w:val="single" w:sz="4" w:space="0" w:color="auto"/>
            </w:tcBorders>
            <w:shd w:val="clear" w:color="auto" w:fill="auto"/>
            <w:vAlign w:val="center"/>
          </w:tcPr>
          <w:p w14:paraId="426156C1"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900</w:t>
            </w:r>
          </w:p>
        </w:tc>
        <w:tc>
          <w:tcPr>
            <w:tcW w:w="1620" w:type="dxa"/>
            <w:tcBorders>
              <w:top w:val="single" w:sz="4" w:space="0" w:color="auto"/>
              <w:left w:val="nil"/>
              <w:bottom w:val="single" w:sz="6" w:space="0" w:color="auto"/>
              <w:right w:val="single" w:sz="4" w:space="0" w:color="auto"/>
            </w:tcBorders>
            <w:shd w:val="clear" w:color="auto" w:fill="auto"/>
            <w:vAlign w:val="center"/>
          </w:tcPr>
          <w:p w14:paraId="2B49F09F" w14:textId="7E1BC0F6"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$76,374</w:t>
            </w:r>
          </w:p>
        </w:tc>
      </w:tr>
      <w:tr w:rsidR="0040735A" w:rsidRPr="0040735A" w14:paraId="78916008" w14:textId="77777777" w:rsidTr="001963C2">
        <w:trPr>
          <w:trHeight w:val="345"/>
          <w:tblHeader/>
        </w:trPr>
        <w:tc>
          <w:tcPr>
            <w:tcW w:w="6405"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0BF213AA"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Subtotal</w:t>
            </w:r>
          </w:p>
        </w:tc>
        <w:tc>
          <w:tcPr>
            <w:tcW w:w="1330" w:type="dxa"/>
            <w:tcBorders>
              <w:top w:val="single" w:sz="6" w:space="0" w:color="auto"/>
              <w:left w:val="single" w:sz="4" w:space="0" w:color="auto"/>
              <w:bottom w:val="single" w:sz="4" w:space="0" w:color="auto"/>
              <w:right w:val="single" w:sz="4" w:space="0" w:color="auto"/>
            </w:tcBorders>
            <w:shd w:val="clear" w:color="auto" w:fill="auto"/>
            <w:vAlign w:val="center"/>
          </w:tcPr>
          <w:p w14:paraId="60E91B0D"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4,300</w:t>
            </w:r>
          </w:p>
        </w:tc>
        <w:tc>
          <w:tcPr>
            <w:tcW w:w="1620" w:type="dxa"/>
            <w:tcBorders>
              <w:top w:val="single" w:sz="6" w:space="0" w:color="auto"/>
              <w:left w:val="single" w:sz="4" w:space="0" w:color="auto"/>
              <w:bottom w:val="single" w:sz="4" w:space="0" w:color="auto"/>
              <w:right w:val="single" w:sz="4" w:space="0" w:color="auto"/>
            </w:tcBorders>
            <w:shd w:val="clear" w:color="auto" w:fill="auto"/>
            <w:vAlign w:val="center"/>
          </w:tcPr>
          <w:p w14:paraId="69BFA7B3" w14:textId="74C71150"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$330,</w:t>
            </w:r>
            <w:r w:rsidR="00C83EB2">
              <w:rPr>
                <w:b/>
                <w:sz w:val="24"/>
                <w:szCs w:val="24"/>
              </w:rPr>
              <w:t>524</w:t>
            </w:r>
          </w:p>
        </w:tc>
      </w:tr>
      <w:tr w:rsidR="0040735A" w:rsidRPr="0040735A" w14:paraId="792468FB" w14:textId="77777777" w:rsidTr="001963C2">
        <w:trPr>
          <w:trHeight w:val="363"/>
          <w:tblHeader/>
        </w:trPr>
        <w:tc>
          <w:tcPr>
            <w:tcW w:w="3974" w:type="dxa"/>
            <w:gridSpan w:val="5"/>
            <w:tcBorders>
              <w:top w:val="single" w:sz="6" w:space="0" w:color="auto"/>
              <w:left w:val="single" w:sz="4" w:space="0" w:color="auto"/>
              <w:bottom w:val="single" w:sz="4" w:space="0" w:color="auto"/>
            </w:tcBorders>
            <w:shd w:val="clear" w:color="auto" w:fill="auto"/>
            <w:vAlign w:val="center"/>
          </w:tcPr>
          <w:p w14:paraId="7C1E0338"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 xml:space="preserve">10 Regional Topical Coordinators </w:t>
            </w:r>
          </w:p>
        </w:tc>
        <w:tc>
          <w:tcPr>
            <w:tcW w:w="5381" w:type="dxa"/>
            <w:gridSpan w:val="4"/>
            <w:tcBorders>
              <w:top w:val="single" w:sz="6" w:space="0" w:color="auto"/>
              <w:left w:val="nil"/>
              <w:bottom w:val="single" w:sz="4" w:space="0" w:color="auto"/>
              <w:right w:val="single" w:sz="4" w:space="0" w:color="auto"/>
            </w:tcBorders>
            <w:shd w:val="clear" w:color="auto" w:fill="auto"/>
            <w:vAlign w:val="center"/>
          </w:tcPr>
          <w:p w14:paraId="266E8656"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c>
      </w:tr>
      <w:tr w:rsidR="0040735A" w:rsidRPr="0040735A" w14:paraId="498E0D2B" w14:textId="77777777" w:rsidTr="001963C2">
        <w:trPr>
          <w:trHeight w:val="542"/>
          <w:tblHeader/>
        </w:trPr>
        <w:tc>
          <w:tcPr>
            <w:tcW w:w="2805"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04DC59ED"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2 Geologists (120 total annual hours each)</w:t>
            </w:r>
          </w:p>
        </w:tc>
        <w:tc>
          <w:tcPr>
            <w:tcW w:w="1169" w:type="dxa"/>
            <w:gridSpan w:val="3"/>
            <w:tcBorders>
              <w:top w:val="single" w:sz="6" w:space="0" w:color="auto"/>
              <w:left w:val="nil"/>
              <w:bottom w:val="single" w:sz="4" w:space="0" w:color="auto"/>
              <w:right w:val="single" w:sz="4" w:space="0" w:color="auto"/>
            </w:tcBorders>
            <w:shd w:val="clear" w:color="auto" w:fill="auto"/>
            <w:vAlign w:val="center"/>
          </w:tcPr>
          <w:p w14:paraId="14728C94" w14:textId="74D36342"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13/</w:t>
            </w:r>
            <w:r w:rsidR="001A7C74">
              <w:rPr>
                <w:sz w:val="24"/>
                <w:szCs w:val="24"/>
              </w:rPr>
              <w:t>10</w:t>
            </w:r>
          </w:p>
        </w:tc>
        <w:tc>
          <w:tcPr>
            <w:tcW w:w="1021" w:type="dxa"/>
            <w:tcBorders>
              <w:top w:val="single" w:sz="6" w:space="0" w:color="auto"/>
              <w:left w:val="nil"/>
              <w:bottom w:val="single" w:sz="4" w:space="0" w:color="auto"/>
              <w:right w:val="single" w:sz="4" w:space="0" w:color="auto"/>
            </w:tcBorders>
            <w:shd w:val="clear" w:color="auto" w:fill="auto"/>
            <w:vAlign w:val="center"/>
          </w:tcPr>
          <w:p w14:paraId="0987B514" w14:textId="73F8D5FC"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1A7C74">
              <w:rPr>
                <w:sz w:val="24"/>
                <w:szCs w:val="24"/>
              </w:rPr>
              <w:t>56.57</w:t>
            </w:r>
          </w:p>
        </w:tc>
        <w:tc>
          <w:tcPr>
            <w:tcW w:w="1410" w:type="dxa"/>
            <w:tcBorders>
              <w:top w:val="single" w:sz="6" w:space="0" w:color="auto"/>
              <w:left w:val="nil"/>
              <w:bottom w:val="single" w:sz="4" w:space="0" w:color="auto"/>
              <w:right w:val="single" w:sz="4" w:space="0" w:color="auto"/>
            </w:tcBorders>
            <w:shd w:val="clear" w:color="auto" w:fill="auto"/>
            <w:vAlign w:val="center"/>
          </w:tcPr>
          <w:p w14:paraId="363A734B" w14:textId="469499B8"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$84.86</w:t>
            </w:r>
          </w:p>
        </w:tc>
        <w:tc>
          <w:tcPr>
            <w:tcW w:w="1330" w:type="dxa"/>
            <w:tcBorders>
              <w:top w:val="single" w:sz="6" w:space="0" w:color="auto"/>
              <w:left w:val="nil"/>
              <w:bottom w:val="single" w:sz="4" w:space="0" w:color="auto"/>
              <w:right w:val="single" w:sz="4" w:space="0" w:color="auto"/>
            </w:tcBorders>
            <w:shd w:val="clear" w:color="auto" w:fill="auto"/>
            <w:vAlign w:val="center"/>
          </w:tcPr>
          <w:p w14:paraId="7B65D278"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240</w:t>
            </w:r>
          </w:p>
        </w:tc>
        <w:tc>
          <w:tcPr>
            <w:tcW w:w="1620" w:type="dxa"/>
            <w:tcBorders>
              <w:top w:val="single" w:sz="6" w:space="0" w:color="auto"/>
              <w:left w:val="nil"/>
              <w:bottom w:val="single" w:sz="4" w:space="0" w:color="auto"/>
              <w:right w:val="single" w:sz="4" w:space="0" w:color="auto"/>
            </w:tcBorders>
            <w:shd w:val="clear" w:color="auto" w:fill="auto"/>
            <w:vAlign w:val="center"/>
          </w:tcPr>
          <w:p w14:paraId="0C4837B7" w14:textId="6422E13A"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20,366</w:t>
            </w:r>
          </w:p>
        </w:tc>
      </w:tr>
      <w:tr w:rsidR="0040735A" w:rsidRPr="0040735A" w14:paraId="0125B4A8" w14:textId="77777777" w:rsidTr="001963C2">
        <w:trPr>
          <w:trHeight w:val="538"/>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14:paraId="699C1278" w14:textId="77777777" w:rsidR="0040735A" w:rsidRPr="0040735A" w:rsidDel="00775AEB"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 Geologists (120 total annual hours each)</w:t>
            </w:r>
          </w:p>
        </w:tc>
        <w:tc>
          <w:tcPr>
            <w:tcW w:w="1169" w:type="dxa"/>
            <w:gridSpan w:val="3"/>
            <w:tcBorders>
              <w:top w:val="nil"/>
              <w:left w:val="nil"/>
              <w:bottom w:val="single" w:sz="4" w:space="0" w:color="auto"/>
              <w:right w:val="single" w:sz="4" w:space="0" w:color="auto"/>
            </w:tcBorders>
            <w:shd w:val="clear" w:color="auto" w:fill="auto"/>
            <w:vAlign w:val="center"/>
          </w:tcPr>
          <w:p w14:paraId="237D7C5B" w14:textId="7BD40D7E"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14/</w:t>
            </w:r>
            <w:r w:rsidR="001A7C74">
              <w:rPr>
                <w:sz w:val="24"/>
                <w:szCs w:val="24"/>
              </w:rPr>
              <w:t>10</w:t>
            </w:r>
          </w:p>
        </w:tc>
        <w:tc>
          <w:tcPr>
            <w:tcW w:w="1021" w:type="dxa"/>
            <w:tcBorders>
              <w:top w:val="nil"/>
              <w:left w:val="nil"/>
              <w:bottom w:val="single" w:sz="4" w:space="0" w:color="auto"/>
              <w:right w:val="single" w:sz="4" w:space="0" w:color="auto"/>
            </w:tcBorders>
            <w:shd w:val="clear" w:color="auto" w:fill="auto"/>
            <w:vAlign w:val="center"/>
          </w:tcPr>
          <w:p w14:paraId="20188514" w14:textId="2C2955B3"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$66.85</w:t>
            </w:r>
          </w:p>
        </w:tc>
        <w:tc>
          <w:tcPr>
            <w:tcW w:w="1410" w:type="dxa"/>
            <w:tcBorders>
              <w:top w:val="nil"/>
              <w:left w:val="nil"/>
              <w:bottom w:val="single" w:sz="4" w:space="0" w:color="auto"/>
              <w:right w:val="single" w:sz="4" w:space="0" w:color="auto"/>
            </w:tcBorders>
            <w:shd w:val="clear" w:color="auto" w:fill="auto"/>
            <w:vAlign w:val="center"/>
          </w:tcPr>
          <w:p w14:paraId="67B617D2" w14:textId="07B2F72B"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$100.28</w:t>
            </w:r>
          </w:p>
        </w:tc>
        <w:tc>
          <w:tcPr>
            <w:tcW w:w="1330" w:type="dxa"/>
            <w:tcBorders>
              <w:top w:val="nil"/>
              <w:left w:val="nil"/>
              <w:bottom w:val="single" w:sz="4" w:space="0" w:color="auto"/>
              <w:right w:val="single" w:sz="4" w:space="0" w:color="auto"/>
            </w:tcBorders>
            <w:shd w:val="clear" w:color="auto" w:fill="auto"/>
            <w:vAlign w:val="center"/>
          </w:tcPr>
          <w:p w14:paraId="4FBCBF09"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480</w:t>
            </w:r>
          </w:p>
        </w:tc>
        <w:tc>
          <w:tcPr>
            <w:tcW w:w="1620" w:type="dxa"/>
            <w:tcBorders>
              <w:top w:val="nil"/>
              <w:left w:val="nil"/>
              <w:bottom w:val="single" w:sz="4" w:space="0" w:color="auto"/>
              <w:right w:val="single" w:sz="4" w:space="0" w:color="auto"/>
            </w:tcBorders>
            <w:shd w:val="clear" w:color="auto" w:fill="auto"/>
            <w:vAlign w:val="center"/>
          </w:tcPr>
          <w:p w14:paraId="16F99DC1" w14:textId="43D49F01"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w:t>
            </w:r>
            <w:r w:rsidR="0045061F">
              <w:rPr>
                <w:sz w:val="24"/>
                <w:szCs w:val="24"/>
              </w:rPr>
              <w:t>8,134</w:t>
            </w:r>
          </w:p>
        </w:tc>
      </w:tr>
      <w:tr w:rsidR="0040735A" w:rsidRPr="0040735A" w14:paraId="02B7499D" w14:textId="77777777" w:rsidTr="001963C2">
        <w:trPr>
          <w:trHeight w:val="619"/>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14:paraId="1E9045B5"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 Geologists (120 total annual hours each)</w:t>
            </w:r>
          </w:p>
        </w:tc>
        <w:tc>
          <w:tcPr>
            <w:tcW w:w="1169" w:type="dxa"/>
            <w:gridSpan w:val="3"/>
            <w:tcBorders>
              <w:top w:val="nil"/>
              <w:left w:val="nil"/>
              <w:bottom w:val="single" w:sz="4" w:space="0" w:color="auto"/>
              <w:right w:val="single" w:sz="4" w:space="0" w:color="auto"/>
            </w:tcBorders>
            <w:shd w:val="clear" w:color="auto" w:fill="auto"/>
            <w:vAlign w:val="center"/>
          </w:tcPr>
          <w:p w14:paraId="1FCEFED5" w14:textId="28A95893"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15/</w:t>
            </w:r>
            <w:r w:rsidR="001A7C74">
              <w:rPr>
                <w:sz w:val="24"/>
                <w:szCs w:val="24"/>
              </w:rPr>
              <w:t>10</w:t>
            </w:r>
          </w:p>
        </w:tc>
        <w:tc>
          <w:tcPr>
            <w:tcW w:w="1021" w:type="dxa"/>
            <w:tcBorders>
              <w:top w:val="nil"/>
              <w:left w:val="nil"/>
              <w:bottom w:val="single" w:sz="4" w:space="0" w:color="auto"/>
              <w:right w:val="single" w:sz="4" w:space="0" w:color="auto"/>
            </w:tcBorders>
            <w:shd w:val="clear" w:color="auto" w:fill="auto"/>
            <w:vAlign w:val="center"/>
          </w:tcPr>
          <w:p w14:paraId="6312FAB2" w14:textId="5C240248"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$76.04</w:t>
            </w:r>
          </w:p>
        </w:tc>
        <w:tc>
          <w:tcPr>
            <w:tcW w:w="1410" w:type="dxa"/>
            <w:tcBorders>
              <w:top w:val="nil"/>
              <w:left w:val="nil"/>
              <w:bottom w:val="single" w:sz="4" w:space="0" w:color="auto"/>
              <w:right w:val="single" w:sz="4" w:space="0" w:color="auto"/>
            </w:tcBorders>
            <w:shd w:val="clear" w:color="auto" w:fill="auto"/>
            <w:vAlign w:val="center"/>
          </w:tcPr>
          <w:p w14:paraId="6A286188" w14:textId="0B75C1E2"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114.06</w:t>
            </w:r>
          </w:p>
        </w:tc>
        <w:tc>
          <w:tcPr>
            <w:tcW w:w="1330" w:type="dxa"/>
            <w:tcBorders>
              <w:top w:val="nil"/>
              <w:left w:val="nil"/>
              <w:bottom w:val="single" w:sz="4" w:space="0" w:color="auto"/>
              <w:right w:val="single" w:sz="4" w:space="0" w:color="auto"/>
            </w:tcBorders>
            <w:shd w:val="clear" w:color="auto" w:fill="auto"/>
            <w:vAlign w:val="center"/>
          </w:tcPr>
          <w:p w14:paraId="2A327EEA"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480</w:t>
            </w:r>
          </w:p>
        </w:tc>
        <w:tc>
          <w:tcPr>
            <w:tcW w:w="1620" w:type="dxa"/>
            <w:tcBorders>
              <w:top w:val="nil"/>
              <w:left w:val="nil"/>
              <w:bottom w:val="single" w:sz="4" w:space="0" w:color="auto"/>
              <w:right w:val="single" w:sz="4" w:space="0" w:color="auto"/>
            </w:tcBorders>
            <w:shd w:val="clear" w:color="auto" w:fill="auto"/>
            <w:vAlign w:val="center"/>
          </w:tcPr>
          <w:p w14:paraId="6E3BAF0C" w14:textId="7A51A41D"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54,749</w:t>
            </w:r>
          </w:p>
        </w:tc>
      </w:tr>
      <w:tr w:rsidR="0040735A" w:rsidRPr="0040735A" w14:paraId="4D70DCD9" w14:textId="77777777" w:rsidTr="001963C2">
        <w:trPr>
          <w:trHeight w:val="278"/>
          <w:tblHeader/>
        </w:trPr>
        <w:tc>
          <w:tcPr>
            <w:tcW w:w="6405" w:type="dxa"/>
            <w:gridSpan w:val="7"/>
            <w:tcBorders>
              <w:top w:val="nil"/>
              <w:left w:val="single" w:sz="4" w:space="0" w:color="auto"/>
              <w:bottom w:val="single" w:sz="4" w:space="0" w:color="auto"/>
              <w:right w:val="single" w:sz="4" w:space="0" w:color="auto"/>
            </w:tcBorders>
            <w:shd w:val="clear" w:color="auto" w:fill="auto"/>
            <w:vAlign w:val="center"/>
          </w:tcPr>
          <w:p w14:paraId="4C8FAF07"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Subtotal</w:t>
            </w:r>
          </w:p>
        </w:tc>
        <w:tc>
          <w:tcPr>
            <w:tcW w:w="1330" w:type="dxa"/>
            <w:tcBorders>
              <w:top w:val="nil"/>
              <w:left w:val="single" w:sz="4" w:space="0" w:color="auto"/>
              <w:bottom w:val="single" w:sz="4" w:space="0" w:color="auto"/>
              <w:right w:val="single" w:sz="4" w:space="0" w:color="auto"/>
            </w:tcBorders>
            <w:shd w:val="clear" w:color="auto" w:fill="auto"/>
            <w:vAlign w:val="center"/>
          </w:tcPr>
          <w:p w14:paraId="3F3A72B7"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1,200</w:t>
            </w:r>
          </w:p>
        </w:tc>
        <w:tc>
          <w:tcPr>
            <w:tcW w:w="1620" w:type="dxa"/>
            <w:tcBorders>
              <w:top w:val="nil"/>
              <w:left w:val="nil"/>
              <w:bottom w:val="single" w:sz="4" w:space="0" w:color="auto"/>
              <w:right w:val="single" w:sz="4" w:space="0" w:color="auto"/>
            </w:tcBorders>
            <w:shd w:val="clear" w:color="auto" w:fill="auto"/>
            <w:vAlign w:val="center"/>
          </w:tcPr>
          <w:p w14:paraId="404FB8C9" w14:textId="6D504E2B" w:rsidR="0040735A" w:rsidRPr="0040735A" w:rsidRDefault="0045061F"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$123,249</w:t>
            </w:r>
          </w:p>
        </w:tc>
      </w:tr>
      <w:tr w:rsidR="0040735A" w:rsidRPr="0040735A" w14:paraId="0193506B" w14:textId="77777777" w:rsidTr="001963C2">
        <w:trPr>
          <w:trHeight w:val="350"/>
          <w:tblHeader/>
        </w:trPr>
        <w:tc>
          <w:tcPr>
            <w:tcW w:w="2811" w:type="dxa"/>
            <w:gridSpan w:val="3"/>
            <w:tcBorders>
              <w:top w:val="nil"/>
              <w:left w:val="single" w:sz="4" w:space="0" w:color="auto"/>
              <w:bottom w:val="single" w:sz="4" w:space="0" w:color="auto"/>
            </w:tcBorders>
            <w:shd w:val="clear" w:color="auto" w:fill="auto"/>
            <w:vAlign w:val="center"/>
          </w:tcPr>
          <w:p w14:paraId="7DD544E6"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 xml:space="preserve">10 Panel members </w:t>
            </w:r>
          </w:p>
        </w:tc>
        <w:tc>
          <w:tcPr>
            <w:tcW w:w="6544" w:type="dxa"/>
            <w:gridSpan w:val="6"/>
            <w:tcBorders>
              <w:top w:val="nil"/>
              <w:left w:val="nil"/>
              <w:bottom w:val="single" w:sz="4" w:space="0" w:color="auto"/>
              <w:right w:val="single" w:sz="4" w:space="0" w:color="auto"/>
            </w:tcBorders>
            <w:shd w:val="clear" w:color="auto" w:fill="auto"/>
            <w:vAlign w:val="center"/>
          </w:tcPr>
          <w:p w14:paraId="79C1241C"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c>
      </w:tr>
      <w:tr w:rsidR="0040735A" w:rsidRPr="0040735A" w14:paraId="7E1D225F" w14:textId="77777777" w:rsidTr="001963C2">
        <w:trPr>
          <w:trHeight w:val="520"/>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14:paraId="0B80D14C"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2 Geologists (44 total annual hours each)</w:t>
            </w:r>
          </w:p>
        </w:tc>
        <w:tc>
          <w:tcPr>
            <w:tcW w:w="1169" w:type="dxa"/>
            <w:gridSpan w:val="3"/>
            <w:tcBorders>
              <w:top w:val="nil"/>
              <w:left w:val="nil"/>
              <w:bottom w:val="single" w:sz="4" w:space="0" w:color="auto"/>
              <w:right w:val="single" w:sz="4" w:space="0" w:color="auto"/>
            </w:tcBorders>
            <w:shd w:val="clear" w:color="auto" w:fill="auto"/>
            <w:vAlign w:val="center"/>
          </w:tcPr>
          <w:p w14:paraId="67E9FB78" w14:textId="39DD4D55"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13/</w:t>
            </w:r>
            <w:r w:rsidR="001A7C74">
              <w:rPr>
                <w:sz w:val="24"/>
                <w:szCs w:val="24"/>
              </w:rPr>
              <w:t>10</w:t>
            </w:r>
          </w:p>
        </w:tc>
        <w:tc>
          <w:tcPr>
            <w:tcW w:w="1021" w:type="dxa"/>
            <w:tcBorders>
              <w:top w:val="nil"/>
              <w:left w:val="nil"/>
              <w:bottom w:val="single" w:sz="4" w:space="0" w:color="auto"/>
              <w:right w:val="single" w:sz="4" w:space="0" w:color="auto"/>
            </w:tcBorders>
            <w:shd w:val="clear" w:color="auto" w:fill="auto"/>
            <w:vAlign w:val="center"/>
          </w:tcPr>
          <w:p w14:paraId="16610C0A" w14:textId="14FA6D62"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$56.57</w:t>
            </w:r>
          </w:p>
        </w:tc>
        <w:tc>
          <w:tcPr>
            <w:tcW w:w="1410" w:type="dxa"/>
            <w:tcBorders>
              <w:top w:val="nil"/>
              <w:left w:val="nil"/>
              <w:bottom w:val="single" w:sz="4" w:space="0" w:color="auto"/>
              <w:right w:val="single" w:sz="4" w:space="0" w:color="auto"/>
            </w:tcBorders>
            <w:shd w:val="clear" w:color="auto" w:fill="auto"/>
            <w:vAlign w:val="center"/>
          </w:tcPr>
          <w:p w14:paraId="2417AAE9" w14:textId="4BCB6B3F" w:rsidR="0040735A" w:rsidRPr="0040735A" w:rsidRDefault="0045061F"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$84.86</w:t>
            </w:r>
          </w:p>
        </w:tc>
        <w:tc>
          <w:tcPr>
            <w:tcW w:w="1330" w:type="dxa"/>
            <w:tcBorders>
              <w:top w:val="nil"/>
              <w:left w:val="nil"/>
              <w:bottom w:val="single" w:sz="4" w:space="0" w:color="auto"/>
              <w:right w:val="single" w:sz="4" w:space="0" w:color="auto"/>
            </w:tcBorders>
            <w:shd w:val="clear" w:color="auto" w:fill="auto"/>
            <w:vAlign w:val="center"/>
          </w:tcPr>
          <w:p w14:paraId="3B0466DD"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88</w:t>
            </w:r>
          </w:p>
        </w:tc>
        <w:tc>
          <w:tcPr>
            <w:tcW w:w="1620" w:type="dxa"/>
            <w:tcBorders>
              <w:top w:val="nil"/>
              <w:left w:val="nil"/>
              <w:bottom w:val="single" w:sz="4" w:space="0" w:color="auto"/>
              <w:right w:val="single" w:sz="4" w:space="0" w:color="auto"/>
            </w:tcBorders>
            <w:shd w:val="clear" w:color="auto" w:fill="auto"/>
            <w:vAlign w:val="center"/>
          </w:tcPr>
          <w:p w14:paraId="32EB0B4C" w14:textId="767F81DE"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7,468</w:t>
            </w:r>
          </w:p>
        </w:tc>
      </w:tr>
      <w:tr w:rsidR="0040735A" w:rsidRPr="0040735A" w14:paraId="63FB147C" w14:textId="77777777" w:rsidTr="001963C2">
        <w:trPr>
          <w:trHeight w:val="529"/>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14:paraId="3EBC8674"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 Geologists (44 total annual hours each)</w:t>
            </w:r>
          </w:p>
        </w:tc>
        <w:tc>
          <w:tcPr>
            <w:tcW w:w="1169" w:type="dxa"/>
            <w:gridSpan w:val="3"/>
            <w:tcBorders>
              <w:top w:val="nil"/>
              <w:left w:val="nil"/>
              <w:bottom w:val="single" w:sz="4" w:space="0" w:color="auto"/>
              <w:right w:val="single" w:sz="4" w:space="0" w:color="auto"/>
            </w:tcBorders>
            <w:shd w:val="clear" w:color="auto" w:fill="auto"/>
            <w:vAlign w:val="center"/>
          </w:tcPr>
          <w:p w14:paraId="617EF85D" w14:textId="02F93B8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14/</w:t>
            </w:r>
            <w:r w:rsidR="001A7C74">
              <w:rPr>
                <w:sz w:val="24"/>
                <w:szCs w:val="24"/>
              </w:rPr>
              <w:t>10</w:t>
            </w:r>
          </w:p>
        </w:tc>
        <w:tc>
          <w:tcPr>
            <w:tcW w:w="1021" w:type="dxa"/>
            <w:tcBorders>
              <w:top w:val="nil"/>
              <w:left w:val="nil"/>
              <w:bottom w:val="single" w:sz="4" w:space="0" w:color="auto"/>
              <w:right w:val="single" w:sz="4" w:space="0" w:color="auto"/>
            </w:tcBorders>
            <w:shd w:val="clear" w:color="auto" w:fill="auto"/>
            <w:vAlign w:val="center"/>
          </w:tcPr>
          <w:p w14:paraId="5F0AFB06" w14:textId="36DF505F"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$66.85</w:t>
            </w:r>
          </w:p>
        </w:tc>
        <w:tc>
          <w:tcPr>
            <w:tcW w:w="1410" w:type="dxa"/>
            <w:tcBorders>
              <w:top w:val="nil"/>
              <w:left w:val="nil"/>
              <w:bottom w:val="single" w:sz="4" w:space="0" w:color="auto"/>
              <w:right w:val="single" w:sz="4" w:space="0" w:color="auto"/>
            </w:tcBorders>
            <w:shd w:val="clear" w:color="auto" w:fill="auto"/>
            <w:vAlign w:val="center"/>
          </w:tcPr>
          <w:p w14:paraId="434CFCF5" w14:textId="0422F5BA" w:rsidR="0040735A" w:rsidRPr="0040735A" w:rsidRDefault="0045061F"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$100.28</w:t>
            </w:r>
          </w:p>
        </w:tc>
        <w:tc>
          <w:tcPr>
            <w:tcW w:w="1330" w:type="dxa"/>
            <w:tcBorders>
              <w:top w:val="nil"/>
              <w:left w:val="nil"/>
              <w:bottom w:val="single" w:sz="4" w:space="0" w:color="auto"/>
              <w:right w:val="single" w:sz="4" w:space="0" w:color="auto"/>
            </w:tcBorders>
            <w:shd w:val="clear" w:color="auto" w:fill="auto"/>
            <w:vAlign w:val="center"/>
          </w:tcPr>
          <w:p w14:paraId="7B910C6E"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176</w:t>
            </w:r>
          </w:p>
        </w:tc>
        <w:tc>
          <w:tcPr>
            <w:tcW w:w="1620" w:type="dxa"/>
            <w:tcBorders>
              <w:top w:val="nil"/>
              <w:left w:val="nil"/>
              <w:bottom w:val="single" w:sz="4" w:space="0" w:color="auto"/>
              <w:right w:val="single" w:sz="4" w:space="0" w:color="auto"/>
            </w:tcBorders>
            <w:shd w:val="clear" w:color="auto" w:fill="auto"/>
            <w:vAlign w:val="center"/>
          </w:tcPr>
          <w:p w14:paraId="0696D877" w14:textId="14A612B8"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17,649</w:t>
            </w:r>
          </w:p>
        </w:tc>
      </w:tr>
      <w:tr w:rsidR="0040735A" w:rsidRPr="0040735A" w14:paraId="426F2AB2" w14:textId="77777777" w:rsidTr="001963C2">
        <w:trPr>
          <w:trHeight w:val="619"/>
          <w:tblHeader/>
        </w:trPr>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DCF49"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4 Geologist  (44 total annual hours each)</w:t>
            </w:r>
          </w:p>
        </w:tc>
        <w:tc>
          <w:tcPr>
            <w:tcW w:w="1169" w:type="dxa"/>
            <w:gridSpan w:val="3"/>
            <w:tcBorders>
              <w:top w:val="single" w:sz="4" w:space="0" w:color="auto"/>
              <w:left w:val="nil"/>
              <w:bottom w:val="single" w:sz="4" w:space="0" w:color="auto"/>
              <w:right w:val="single" w:sz="4" w:space="0" w:color="auto"/>
            </w:tcBorders>
            <w:shd w:val="clear" w:color="auto" w:fill="auto"/>
            <w:vAlign w:val="center"/>
          </w:tcPr>
          <w:p w14:paraId="6E15EF1F" w14:textId="3680F3C8"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GS 15/</w:t>
            </w:r>
            <w:r w:rsidR="001A7C74">
              <w:rPr>
                <w:sz w:val="24"/>
                <w:szCs w:val="24"/>
              </w:rPr>
              <w:t>10</w:t>
            </w:r>
          </w:p>
        </w:tc>
        <w:tc>
          <w:tcPr>
            <w:tcW w:w="1021" w:type="dxa"/>
            <w:tcBorders>
              <w:top w:val="single" w:sz="4" w:space="0" w:color="auto"/>
              <w:left w:val="nil"/>
              <w:bottom w:val="single" w:sz="4" w:space="0" w:color="auto"/>
              <w:right w:val="single" w:sz="4" w:space="0" w:color="auto"/>
            </w:tcBorders>
            <w:shd w:val="clear" w:color="auto" w:fill="auto"/>
            <w:vAlign w:val="center"/>
          </w:tcPr>
          <w:p w14:paraId="5A835CAA" w14:textId="26EA297B" w:rsidR="0040735A" w:rsidRPr="0040735A" w:rsidRDefault="001A7C74"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$76.04</w:t>
            </w:r>
          </w:p>
        </w:tc>
        <w:tc>
          <w:tcPr>
            <w:tcW w:w="1410" w:type="dxa"/>
            <w:tcBorders>
              <w:top w:val="single" w:sz="4" w:space="0" w:color="auto"/>
              <w:left w:val="nil"/>
              <w:bottom w:val="single" w:sz="4" w:space="0" w:color="auto"/>
              <w:right w:val="single" w:sz="4" w:space="0" w:color="auto"/>
            </w:tcBorders>
            <w:shd w:val="clear" w:color="auto" w:fill="auto"/>
            <w:vAlign w:val="center"/>
          </w:tcPr>
          <w:p w14:paraId="7C86CEE1" w14:textId="55E359B2"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114.06</w:t>
            </w:r>
          </w:p>
        </w:tc>
        <w:tc>
          <w:tcPr>
            <w:tcW w:w="1330" w:type="dxa"/>
            <w:tcBorders>
              <w:top w:val="single" w:sz="4" w:space="0" w:color="auto"/>
              <w:left w:val="nil"/>
              <w:bottom w:val="single" w:sz="4" w:space="0" w:color="auto"/>
              <w:right w:val="single" w:sz="4" w:space="0" w:color="auto"/>
            </w:tcBorders>
            <w:shd w:val="clear" w:color="auto" w:fill="auto"/>
            <w:vAlign w:val="center"/>
          </w:tcPr>
          <w:p w14:paraId="5ABB87DF"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176</w:t>
            </w:r>
          </w:p>
        </w:tc>
        <w:tc>
          <w:tcPr>
            <w:tcW w:w="1620" w:type="dxa"/>
            <w:tcBorders>
              <w:top w:val="single" w:sz="4" w:space="0" w:color="auto"/>
              <w:left w:val="nil"/>
              <w:bottom w:val="single" w:sz="4" w:space="0" w:color="auto"/>
              <w:right w:val="single" w:sz="4" w:space="0" w:color="auto"/>
            </w:tcBorders>
            <w:shd w:val="clear" w:color="auto" w:fill="auto"/>
            <w:vAlign w:val="center"/>
          </w:tcPr>
          <w:p w14:paraId="675852D9" w14:textId="35171114"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sz w:val="24"/>
                <w:szCs w:val="24"/>
              </w:rPr>
              <w:t>$</w:t>
            </w:r>
            <w:r w:rsidR="0045061F">
              <w:rPr>
                <w:sz w:val="24"/>
                <w:szCs w:val="24"/>
              </w:rPr>
              <w:t>20,075</w:t>
            </w:r>
          </w:p>
        </w:tc>
      </w:tr>
      <w:tr w:rsidR="0040735A" w:rsidRPr="0040735A" w14:paraId="54E86E15" w14:textId="77777777" w:rsidTr="001963C2">
        <w:trPr>
          <w:trHeight w:val="305"/>
          <w:tblHeader/>
        </w:trPr>
        <w:tc>
          <w:tcPr>
            <w:tcW w:w="64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C5BCAA"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Subtotal</w:t>
            </w:r>
          </w:p>
        </w:tc>
        <w:tc>
          <w:tcPr>
            <w:tcW w:w="1330" w:type="dxa"/>
            <w:tcBorders>
              <w:top w:val="single" w:sz="4" w:space="0" w:color="auto"/>
              <w:left w:val="nil"/>
              <w:bottom w:val="single" w:sz="4" w:space="0" w:color="auto"/>
              <w:right w:val="single" w:sz="4" w:space="0" w:color="auto"/>
            </w:tcBorders>
            <w:shd w:val="clear" w:color="auto" w:fill="auto"/>
            <w:vAlign w:val="center"/>
          </w:tcPr>
          <w:p w14:paraId="65E3A2F7"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440</w:t>
            </w:r>
          </w:p>
        </w:tc>
        <w:tc>
          <w:tcPr>
            <w:tcW w:w="1620" w:type="dxa"/>
            <w:tcBorders>
              <w:top w:val="single" w:sz="4" w:space="0" w:color="auto"/>
              <w:left w:val="nil"/>
              <w:bottom w:val="single" w:sz="4" w:space="0" w:color="auto"/>
              <w:right w:val="single" w:sz="4" w:space="0" w:color="auto"/>
            </w:tcBorders>
            <w:shd w:val="clear" w:color="auto" w:fill="auto"/>
            <w:vAlign w:val="center"/>
          </w:tcPr>
          <w:p w14:paraId="68EFDC6F" w14:textId="50F708F4"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fldChar w:fldCharType="begin"/>
            </w:r>
            <w:r w:rsidRPr="0040735A">
              <w:rPr>
                <w:b/>
                <w:sz w:val="24"/>
                <w:szCs w:val="24"/>
              </w:rPr>
              <w:instrText xml:space="preserve"> =SUM(ABOVE) </w:instrText>
            </w:r>
            <w:r w:rsidRPr="0040735A">
              <w:rPr>
                <w:b/>
                <w:sz w:val="24"/>
                <w:szCs w:val="24"/>
              </w:rPr>
              <w:fldChar w:fldCharType="separate"/>
            </w:r>
            <w:r w:rsidRPr="0040735A">
              <w:rPr>
                <w:b/>
                <w:sz w:val="24"/>
                <w:szCs w:val="24"/>
              </w:rPr>
              <w:t>$</w:t>
            </w:r>
            <w:r w:rsidRPr="0040735A">
              <w:rPr>
                <w:sz w:val="24"/>
                <w:szCs w:val="24"/>
              </w:rPr>
              <w:fldChar w:fldCharType="end"/>
            </w:r>
            <w:r w:rsidR="0045061F" w:rsidRPr="0045061F">
              <w:rPr>
                <w:b/>
                <w:sz w:val="24"/>
                <w:szCs w:val="24"/>
              </w:rPr>
              <w:t>45,192</w:t>
            </w:r>
          </w:p>
        </w:tc>
      </w:tr>
      <w:tr w:rsidR="0040735A" w:rsidRPr="0040735A" w14:paraId="09DCB524" w14:textId="77777777" w:rsidTr="001963C2">
        <w:trPr>
          <w:trHeight w:val="395"/>
          <w:tblHeader/>
        </w:trPr>
        <w:tc>
          <w:tcPr>
            <w:tcW w:w="64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3FAB6" w14:textId="281D8E75"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735A">
              <w:rPr>
                <w:b/>
                <w:sz w:val="24"/>
                <w:szCs w:val="24"/>
              </w:rPr>
              <w:t>Federal Employee Salaries and Benefits (</w:t>
            </w:r>
            <w:r w:rsidR="0033730E">
              <w:rPr>
                <w:b/>
                <w:sz w:val="24"/>
                <w:szCs w:val="24"/>
              </w:rPr>
              <w:t xml:space="preserve">avg </w:t>
            </w:r>
            <w:r w:rsidRPr="0040735A">
              <w:rPr>
                <w:b/>
                <w:sz w:val="24"/>
                <w:szCs w:val="24"/>
              </w:rPr>
              <w:t>per year)</w:t>
            </w:r>
          </w:p>
        </w:tc>
        <w:tc>
          <w:tcPr>
            <w:tcW w:w="1330" w:type="dxa"/>
            <w:tcBorders>
              <w:top w:val="single" w:sz="4" w:space="0" w:color="auto"/>
              <w:left w:val="nil"/>
              <w:bottom w:val="single" w:sz="4" w:space="0" w:color="auto"/>
              <w:right w:val="single" w:sz="4" w:space="0" w:color="auto"/>
            </w:tcBorders>
            <w:shd w:val="clear" w:color="auto" w:fill="auto"/>
            <w:vAlign w:val="center"/>
          </w:tcPr>
          <w:p w14:paraId="26460537"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14:paraId="6742D470" w14:textId="0B435C66" w:rsidR="0040735A" w:rsidRPr="0040735A" w:rsidRDefault="0040735A" w:rsidP="006765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w:t>
            </w:r>
            <w:r w:rsidR="0045061F">
              <w:rPr>
                <w:b/>
                <w:sz w:val="24"/>
                <w:szCs w:val="24"/>
              </w:rPr>
              <w:t>498,</w:t>
            </w:r>
            <w:r w:rsidR="006765C6">
              <w:rPr>
                <w:b/>
                <w:sz w:val="24"/>
                <w:szCs w:val="24"/>
              </w:rPr>
              <w:t>965</w:t>
            </w:r>
          </w:p>
        </w:tc>
      </w:tr>
      <w:tr w:rsidR="0040735A" w:rsidRPr="0040735A" w14:paraId="3D5CA0DE" w14:textId="77777777" w:rsidTr="001963C2">
        <w:trPr>
          <w:trHeight w:val="260"/>
          <w:tblHeader/>
        </w:trPr>
        <w:tc>
          <w:tcPr>
            <w:tcW w:w="64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1DE17E"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Travel and per diem Costs</w:t>
            </w:r>
          </w:p>
        </w:tc>
        <w:tc>
          <w:tcPr>
            <w:tcW w:w="1330" w:type="dxa"/>
            <w:tcBorders>
              <w:top w:val="single" w:sz="4" w:space="0" w:color="auto"/>
              <w:left w:val="nil"/>
              <w:bottom w:val="single" w:sz="4" w:space="0" w:color="auto"/>
              <w:right w:val="single" w:sz="4" w:space="0" w:color="auto"/>
            </w:tcBorders>
            <w:shd w:val="clear" w:color="auto" w:fill="auto"/>
            <w:vAlign w:val="center"/>
          </w:tcPr>
          <w:p w14:paraId="5C60A08C"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14:paraId="01FC0BC8" w14:textId="3261584A"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w:t>
            </w:r>
            <w:r w:rsidR="009D7C65">
              <w:rPr>
                <w:b/>
                <w:sz w:val="24"/>
                <w:szCs w:val="24"/>
              </w:rPr>
              <w:t xml:space="preserve">  </w:t>
            </w:r>
            <w:r w:rsidRPr="0040735A">
              <w:rPr>
                <w:b/>
                <w:sz w:val="24"/>
                <w:szCs w:val="24"/>
              </w:rPr>
              <w:t>4</w:t>
            </w:r>
            <w:r w:rsidR="0045061F">
              <w:rPr>
                <w:b/>
                <w:sz w:val="24"/>
                <w:szCs w:val="24"/>
              </w:rPr>
              <w:t>5</w:t>
            </w:r>
            <w:r w:rsidRPr="0040735A">
              <w:rPr>
                <w:b/>
                <w:sz w:val="24"/>
                <w:szCs w:val="24"/>
              </w:rPr>
              <w:t>,000</w:t>
            </w:r>
          </w:p>
        </w:tc>
      </w:tr>
      <w:tr w:rsidR="0040735A" w:rsidRPr="0040735A" w14:paraId="59746E56" w14:textId="77777777" w:rsidTr="001963C2">
        <w:trPr>
          <w:trHeight w:val="323"/>
          <w:tblHeader/>
        </w:trPr>
        <w:tc>
          <w:tcPr>
            <w:tcW w:w="6405" w:type="dxa"/>
            <w:gridSpan w:val="7"/>
            <w:tcBorders>
              <w:top w:val="single" w:sz="4" w:space="0" w:color="auto"/>
              <w:left w:val="single" w:sz="4" w:space="0" w:color="auto"/>
              <w:bottom w:val="single" w:sz="6" w:space="0" w:color="auto"/>
              <w:right w:val="single" w:sz="4" w:space="0" w:color="auto"/>
            </w:tcBorders>
            <w:shd w:val="clear" w:color="auto" w:fill="auto"/>
            <w:vAlign w:val="center"/>
          </w:tcPr>
          <w:p w14:paraId="25943ABF"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Total Annual Cost to the Federal Government</w:t>
            </w:r>
          </w:p>
        </w:tc>
        <w:tc>
          <w:tcPr>
            <w:tcW w:w="1330" w:type="dxa"/>
            <w:tcBorders>
              <w:top w:val="single" w:sz="4" w:space="0" w:color="auto"/>
              <w:left w:val="nil"/>
              <w:bottom w:val="single" w:sz="6" w:space="0" w:color="auto"/>
              <w:right w:val="single" w:sz="4" w:space="0" w:color="auto"/>
            </w:tcBorders>
            <w:shd w:val="clear" w:color="auto" w:fill="auto"/>
            <w:vAlign w:val="center"/>
          </w:tcPr>
          <w:p w14:paraId="429E708D" w14:textId="77777777"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c>
        <w:tc>
          <w:tcPr>
            <w:tcW w:w="1620" w:type="dxa"/>
            <w:tcBorders>
              <w:top w:val="single" w:sz="4" w:space="0" w:color="auto"/>
              <w:left w:val="nil"/>
              <w:bottom w:val="single" w:sz="6" w:space="0" w:color="auto"/>
              <w:right w:val="single" w:sz="4" w:space="0" w:color="auto"/>
            </w:tcBorders>
            <w:shd w:val="clear" w:color="auto" w:fill="auto"/>
            <w:vAlign w:val="center"/>
          </w:tcPr>
          <w:p w14:paraId="5350AFC8" w14:textId="7B597513" w:rsidR="0040735A" w:rsidRPr="0040735A" w:rsidRDefault="0040735A" w:rsidP="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735A">
              <w:rPr>
                <w:b/>
                <w:sz w:val="24"/>
                <w:szCs w:val="24"/>
              </w:rPr>
              <w:t>$</w:t>
            </w:r>
            <w:r w:rsidR="0045061F">
              <w:rPr>
                <w:b/>
                <w:sz w:val="24"/>
                <w:szCs w:val="24"/>
              </w:rPr>
              <w:t>543</w:t>
            </w:r>
            <w:r w:rsidR="001963C2">
              <w:rPr>
                <w:b/>
                <w:sz w:val="24"/>
                <w:szCs w:val="24"/>
              </w:rPr>
              <w:t>,</w:t>
            </w:r>
            <w:r w:rsidR="00C83EB2">
              <w:rPr>
                <w:b/>
                <w:sz w:val="24"/>
                <w:szCs w:val="24"/>
              </w:rPr>
              <w:t>965</w:t>
            </w:r>
          </w:p>
        </w:tc>
      </w:tr>
    </w:tbl>
    <w:p w14:paraId="1C7350C3" w14:textId="77777777" w:rsidR="00C83EB2" w:rsidRDefault="00C83EB2" w:rsidP="00B82B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B3A7DFE" w14:textId="77777777" w:rsidR="00C83EB2" w:rsidRDefault="00C83EB2">
      <w:pPr>
        <w:widowControl/>
        <w:autoSpaceDE/>
        <w:autoSpaceDN/>
        <w:adjustRightInd/>
        <w:rPr>
          <w:b/>
          <w:sz w:val="24"/>
          <w:szCs w:val="24"/>
        </w:rPr>
      </w:pPr>
      <w:r>
        <w:rPr>
          <w:b/>
          <w:sz w:val="24"/>
          <w:szCs w:val="24"/>
        </w:rPr>
        <w:br w:type="page"/>
      </w:r>
    </w:p>
    <w:p w14:paraId="553841DD" w14:textId="0EEDFE1E"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8F350E" w14:textId="03A25C1A" w:rsidR="00082C1C" w:rsidRDefault="009D7C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number of responses and burden hours have not changed from our 2013 application. </w:t>
      </w:r>
    </w:p>
    <w:p w14:paraId="28BC257D" w14:textId="77777777" w:rsidR="0041097C" w:rsidRDefault="004109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707850" w14:textId="68D5F4A2" w:rsidR="00082C1C" w:rsidRDefault="004506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5061F">
        <w:rPr>
          <w:sz w:val="24"/>
          <w:szCs w:val="24"/>
        </w:rPr>
        <w:t xml:space="preserve">This is an on-going information collection without an ending date. No statistical analysis, tabulation, or publication </w:t>
      </w:r>
      <w:r w:rsidR="00C83EB2">
        <w:rPr>
          <w:sz w:val="24"/>
          <w:szCs w:val="24"/>
        </w:rPr>
        <w:t xml:space="preserve">of the information collection data </w:t>
      </w:r>
      <w:r w:rsidRPr="0045061F">
        <w:rPr>
          <w:sz w:val="24"/>
          <w:szCs w:val="24"/>
        </w:rPr>
        <w:t>is planned</w:t>
      </w:r>
      <w:r w:rsidR="00C83EB2">
        <w:rPr>
          <w:sz w:val="24"/>
          <w:szCs w:val="24"/>
        </w:rPr>
        <w:t>.</w:t>
      </w:r>
      <w:r w:rsidRPr="0045061F">
        <w:rPr>
          <w:sz w:val="24"/>
          <w:szCs w:val="24"/>
        </w:rPr>
        <w:t xml:space="preserve"> </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B1B4E" w14:textId="7D23F13A" w:rsidR="00082C1C" w:rsidRDefault="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will display the OMB control number and expiration date as required. </w:t>
      </w:r>
    </w:p>
    <w:p w14:paraId="14AAF273" w14:textId="77777777" w:rsidR="00C83EB2" w:rsidRDefault="00C83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45DBC2C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4C594267" w:rsidR="00082C1C" w:rsidRDefault="004506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5061F">
        <w:rPr>
          <w:sz w:val="24"/>
          <w:szCs w:val="24"/>
        </w:rPr>
        <w:t xml:space="preserve">  No exceptions to the certification are being made.</w:t>
      </w:r>
    </w:p>
    <w:sectPr w:rsidR="00082C1C">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C5A99" w14:textId="77777777" w:rsidR="00793379" w:rsidRDefault="00793379" w:rsidP="00082C1C">
      <w:r>
        <w:separator/>
      </w:r>
    </w:p>
  </w:endnote>
  <w:endnote w:type="continuationSeparator" w:id="0">
    <w:p w14:paraId="37D883C3" w14:textId="77777777" w:rsidR="00793379" w:rsidRDefault="00793379"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11533263" w:rsidR="00CD6020" w:rsidRPr="004513E4" w:rsidRDefault="006765C6" w:rsidP="004513E4">
              <w:pPr>
                <w:pStyle w:val="Footer"/>
              </w:pPr>
              <w:fldSimple w:instr=" FILENAME   \* MERGEFORMAT ">
                <w:r w:rsidR="00DA0DCE">
                  <w:rPr>
                    <w:noProof/>
                  </w:rPr>
                  <w:t>1028-0051 SS-A Earthquake research 2016-02-18_revised</w:t>
                </w:r>
              </w:fldSimple>
            </w:p>
          </w:tc>
          <w:tc>
            <w:tcPr>
              <w:tcW w:w="2600" w:type="dxa"/>
            </w:tcPr>
            <w:p w14:paraId="07D7EAE0" w14:textId="77777777"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B82B0F">
                <w:rPr>
                  <w:rFonts w:cs="Arial"/>
                  <w:noProof/>
                </w:rPr>
                <w:t>6</w:t>
              </w:r>
              <w:r w:rsidRPr="004513E4">
                <w:rPr>
                  <w:rFonts w:cs="Arial"/>
                </w:rPr>
                <w:fldChar w:fldCharType="end"/>
              </w:r>
            </w:p>
          </w:tc>
        </w:tr>
      </w:tbl>
      <w:p w14:paraId="7FDB652C" w14:textId="77777777" w:rsidR="00CD6020" w:rsidRPr="004513E4" w:rsidRDefault="00CD6020">
        <w:pPr>
          <w:pStyle w:val="Footer"/>
        </w:pPr>
      </w:p>
      <w:p w14:paraId="6836045D" w14:textId="1549CEA9" w:rsidR="00082C1C" w:rsidRDefault="0079337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6A11" w14:textId="77777777" w:rsidR="00793379" w:rsidRDefault="00793379" w:rsidP="00082C1C">
      <w:r>
        <w:separator/>
      </w:r>
    </w:p>
  </w:footnote>
  <w:footnote w:type="continuationSeparator" w:id="0">
    <w:p w14:paraId="54CCC6FD" w14:textId="77777777" w:rsidR="00793379" w:rsidRDefault="00793379"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82C1C"/>
    <w:rsid w:val="000907D1"/>
    <w:rsid w:val="00097475"/>
    <w:rsid w:val="000D39A9"/>
    <w:rsid w:val="000F1C17"/>
    <w:rsid w:val="000F3257"/>
    <w:rsid w:val="000F3AF1"/>
    <w:rsid w:val="00162B02"/>
    <w:rsid w:val="00176BEA"/>
    <w:rsid w:val="001963C2"/>
    <w:rsid w:val="001A7C74"/>
    <w:rsid w:val="00265C98"/>
    <w:rsid w:val="00295103"/>
    <w:rsid w:val="0033730E"/>
    <w:rsid w:val="00352210"/>
    <w:rsid w:val="003C3292"/>
    <w:rsid w:val="0040735A"/>
    <w:rsid w:val="0041097C"/>
    <w:rsid w:val="0045061F"/>
    <w:rsid w:val="00453654"/>
    <w:rsid w:val="00467F00"/>
    <w:rsid w:val="004A6DFA"/>
    <w:rsid w:val="004B1AC0"/>
    <w:rsid w:val="004C5EAF"/>
    <w:rsid w:val="004E3C96"/>
    <w:rsid w:val="00525467"/>
    <w:rsid w:val="00546A6E"/>
    <w:rsid w:val="005809EC"/>
    <w:rsid w:val="005925CF"/>
    <w:rsid w:val="005967B8"/>
    <w:rsid w:val="005D39A7"/>
    <w:rsid w:val="005E0031"/>
    <w:rsid w:val="0060758B"/>
    <w:rsid w:val="006146A8"/>
    <w:rsid w:val="00622908"/>
    <w:rsid w:val="00661045"/>
    <w:rsid w:val="006765C6"/>
    <w:rsid w:val="0069546D"/>
    <w:rsid w:val="006A1C0A"/>
    <w:rsid w:val="006D549E"/>
    <w:rsid w:val="006E339F"/>
    <w:rsid w:val="00701C0C"/>
    <w:rsid w:val="00732896"/>
    <w:rsid w:val="00737CB7"/>
    <w:rsid w:val="00740AF4"/>
    <w:rsid w:val="007851E9"/>
    <w:rsid w:val="00793379"/>
    <w:rsid w:val="007B7DCF"/>
    <w:rsid w:val="007D38CA"/>
    <w:rsid w:val="007E21B5"/>
    <w:rsid w:val="0081259F"/>
    <w:rsid w:val="008139D5"/>
    <w:rsid w:val="00860619"/>
    <w:rsid w:val="008D6497"/>
    <w:rsid w:val="00901CDF"/>
    <w:rsid w:val="00944C21"/>
    <w:rsid w:val="009464FA"/>
    <w:rsid w:val="009952E9"/>
    <w:rsid w:val="00997E8D"/>
    <w:rsid w:val="009B359F"/>
    <w:rsid w:val="009D7C65"/>
    <w:rsid w:val="00A11128"/>
    <w:rsid w:val="00A1278E"/>
    <w:rsid w:val="00A1380F"/>
    <w:rsid w:val="00A4046E"/>
    <w:rsid w:val="00A557FA"/>
    <w:rsid w:val="00A648D1"/>
    <w:rsid w:val="00A9089C"/>
    <w:rsid w:val="00A94C72"/>
    <w:rsid w:val="00AB43BC"/>
    <w:rsid w:val="00B82B0F"/>
    <w:rsid w:val="00B83AED"/>
    <w:rsid w:val="00B9425D"/>
    <w:rsid w:val="00BE0F05"/>
    <w:rsid w:val="00C06B0E"/>
    <w:rsid w:val="00C83EB2"/>
    <w:rsid w:val="00CD6020"/>
    <w:rsid w:val="00D1029B"/>
    <w:rsid w:val="00D55D8F"/>
    <w:rsid w:val="00D676AC"/>
    <w:rsid w:val="00DA0DCE"/>
    <w:rsid w:val="00DE1FFE"/>
    <w:rsid w:val="00DE7630"/>
    <w:rsid w:val="00E23D4A"/>
    <w:rsid w:val="00E42313"/>
    <w:rsid w:val="00E6013B"/>
    <w:rsid w:val="00ED16B4"/>
    <w:rsid w:val="00F45D4E"/>
    <w:rsid w:val="00F7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14:defaultImageDpi w14:val="300"/>
  <w15:docId w15:val="{037D2699-A7A0-4AD3-A0A3-EF95374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character" w:styleId="FollowedHyperlink">
    <w:name w:val="FollowedHyperlink"/>
    <w:basedOn w:val="DefaultParagraphFont"/>
    <w:uiPriority w:val="99"/>
    <w:semiHidden/>
    <w:unhideWhenUsed/>
    <w:rsid w:val="00A12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378835">
      <w:bodyDiv w:val="1"/>
      <w:marLeft w:val="0"/>
      <w:marRight w:val="0"/>
      <w:marTop w:val="0"/>
      <w:marBottom w:val="0"/>
      <w:divBdr>
        <w:top w:val="none" w:sz="0" w:space="0" w:color="auto"/>
        <w:left w:val="none" w:sz="0" w:space="0" w:color="auto"/>
        <w:bottom w:val="none" w:sz="0" w:space="0" w:color="auto"/>
        <w:right w:val="none" w:sz="0" w:space="0" w:color="auto"/>
      </w:divBdr>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 w:id="1996831237">
      <w:bodyDiv w:val="1"/>
      <w:marLeft w:val="0"/>
      <w:marRight w:val="0"/>
      <w:marTop w:val="0"/>
      <w:marBottom w:val="0"/>
      <w:divBdr>
        <w:top w:val="none" w:sz="0" w:space="0" w:color="auto"/>
        <w:left w:val="none" w:sz="0" w:space="0" w:color="auto"/>
        <w:bottom w:val="none" w:sz="0" w:space="0" w:color="auto"/>
        <w:right w:val="none" w:sz="0" w:space="0" w:color="auto"/>
      </w:divBdr>
      <w:divsChild>
        <w:div w:id="719784330">
          <w:marLeft w:val="0"/>
          <w:marRight w:val="0"/>
          <w:marTop w:val="0"/>
          <w:marBottom w:val="0"/>
          <w:divBdr>
            <w:top w:val="none" w:sz="0" w:space="0" w:color="auto"/>
            <w:left w:val="none" w:sz="0" w:space="0" w:color="auto"/>
            <w:bottom w:val="none" w:sz="0" w:space="0" w:color="auto"/>
            <w:right w:val="none" w:sz="0" w:space="0" w:color="auto"/>
          </w:divBdr>
          <w:divsChild>
            <w:div w:id="773285276">
              <w:marLeft w:val="0"/>
              <w:marRight w:val="0"/>
              <w:marTop w:val="0"/>
              <w:marBottom w:val="0"/>
              <w:divBdr>
                <w:top w:val="none" w:sz="0" w:space="0" w:color="auto"/>
                <w:left w:val="none" w:sz="0" w:space="0" w:color="auto"/>
                <w:bottom w:val="none" w:sz="0" w:space="0" w:color="auto"/>
                <w:right w:val="none" w:sz="0" w:space="0" w:color="auto"/>
              </w:divBdr>
              <w:divsChild>
                <w:div w:id="1255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92042.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5/DCB_h.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1033B5"/>
    <w:rsid w:val="001F7195"/>
    <w:rsid w:val="004324D7"/>
    <w:rsid w:val="00462B0B"/>
    <w:rsid w:val="005E38DC"/>
    <w:rsid w:val="00661B07"/>
    <w:rsid w:val="007763F7"/>
    <w:rsid w:val="007E2B66"/>
    <w:rsid w:val="008B5D40"/>
    <w:rsid w:val="009B3C3E"/>
    <w:rsid w:val="00AB7D64"/>
    <w:rsid w:val="00B13ADB"/>
    <w:rsid w:val="00BB0C57"/>
    <w:rsid w:val="00C37EE8"/>
    <w:rsid w:val="00E002DD"/>
    <w:rsid w:val="00E74DBE"/>
    <w:rsid w:val="00E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3DD5-E47F-435F-83F0-36F2C122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Sayer, James W.</cp:lastModifiedBy>
  <cp:revision>8</cp:revision>
  <cp:lastPrinted>2016-02-19T14:53:00Z</cp:lastPrinted>
  <dcterms:created xsi:type="dcterms:W3CDTF">2016-02-18T21:47:00Z</dcterms:created>
  <dcterms:modified xsi:type="dcterms:W3CDTF">2016-02-24T16:49:00Z</dcterms:modified>
</cp:coreProperties>
</file>