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394CE" w14:textId="77777777" w:rsidR="00B54BEE" w:rsidRPr="00A30BEE" w:rsidRDefault="00B54BEE" w:rsidP="00B54BEE">
      <w:pPr>
        <w:widowControl/>
        <w:tabs>
          <w:tab w:val="center" w:pos="4680"/>
        </w:tabs>
        <w:jc w:val="center"/>
        <w:rPr>
          <w:rFonts w:ascii="Times New Roman" w:hAnsi="Times New Roman"/>
        </w:rPr>
      </w:pPr>
      <w:r w:rsidRPr="00A30BEE">
        <w:rPr>
          <w:rFonts w:ascii="Times New Roman" w:hAnsi="Times New Roman"/>
          <w:b/>
          <w:bCs/>
        </w:rPr>
        <w:t>SUPPORTING STATEMENT FOR REQUEST FOR OMB APPROVAL</w:t>
      </w:r>
    </w:p>
    <w:p w14:paraId="16606B38" w14:textId="77777777" w:rsidR="00B54BEE" w:rsidRPr="00A30BEE" w:rsidRDefault="00B54BEE" w:rsidP="00B54BEE">
      <w:pPr>
        <w:widowControl/>
        <w:tabs>
          <w:tab w:val="center" w:pos="4680"/>
        </w:tabs>
        <w:rPr>
          <w:rFonts w:ascii="Times New Roman" w:hAnsi="Times New Roman"/>
        </w:rPr>
      </w:pPr>
      <w:r w:rsidRPr="00A30BEE">
        <w:rPr>
          <w:rFonts w:ascii="Times New Roman" w:hAnsi="Times New Roman"/>
        </w:rPr>
        <w:tab/>
      </w:r>
      <w:r w:rsidRPr="00A30BEE">
        <w:rPr>
          <w:rFonts w:ascii="Times New Roman" w:hAnsi="Times New Roman"/>
          <w:b/>
          <w:bCs/>
        </w:rPr>
        <w:t>UNDER THE PAPERWORK REDUCTION ACT AND 5 CFR PART 1320</w:t>
      </w:r>
    </w:p>
    <w:p w14:paraId="0BFE08A8" w14:textId="77777777" w:rsidR="00B54BEE" w:rsidRPr="00A30BEE" w:rsidRDefault="00B54BEE" w:rsidP="00B54BEE">
      <w:pPr>
        <w:widowControl/>
        <w:rPr>
          <w:rFonts w:ascii="Times New Roman" w:hAnsi="Times New Roman"/>
        </w:rPr>
      </w:pPr>
    </w:p>
    <w:p w14:paraId="2B9EC92F" w14:textId="77777777" w:rsidR="00B54BEE" w:rsidRDefault="00B54BEE" w:rsidP="00B54BEE">
      <w:pPr>
        <w:widowControl/>
        <w:tabs>
          <w:tab w:val="left" w:pos="-1440"/>
        </w:tabs>
        <w:rPr>
          <w:rFonts w:ascii="Times New Roman" w:hAnsi="Times New Roman"/>
          <w:b/>
          <w:bCs/>
        </w:rPr>
      </w:pPr>
    </w:p>
    <w:p w14:paraId="0598D3BD" w14:textId="77777777" w:rsidR="00B54BEE" w:rsidRPr="00A30BEE" w:rsidRDefault="00B54BEE" w:rsidP="00B54BEE">
      <w:pPr>
        <w:widowControl/>
        <w:tabs>
          <w:tab w:val="left" w:pos="-1440"/>
        </w:tabs>
        <w:rPr>
          <w:rFonts w:ascii="Times New Roman" w:hAnsi="Times New Roman"/>
        </w:rPr>
      </w:pPr>
      <w:r w:rsidRPr="00A30BEE">
        <w:rPr>
          <w:rFonts w:ascii="Times New Roman" w:hAnsi="Times New Roman"/>
          <w:b/>
          <w:bCs/>
        </w:rPr>
        <w:t>AGENCY:</w:t>
      </w:r>
      <w:r w:rsidRPr="00A30BEE">
        <w:rPr>
          <w:rFonts w:ascii="Times New Roman" w:hAnsi="Times New Roman"/>
        </w:rPr>
        <w:tab/>
        <w:t>Pension Benefit Guaranty Corporation</w:t>
      </w:r>
    </w:p>
    <w:p w14:paraId="52FFADF6" w14:textId="77777777" w:rsidR="00B54BEE" w:rsidRPr="00A30BEE" w:rsidRDefault="00B54BEE" w:rsidP="00B54BEE">
      <w:pPr>
        <w:widowControl/>
        <w:rPr>
          <w:rFonts w:ascii="Times New Roman" w:hAnsi="Times New Roman"/>
        </w:rPr>
      </w:pPr>
    </w:p>
    <w:p w14:paraId="35C187F7" w14:textId="77777777" w:rsidR="00B54BEE" w:rsidRPr="00A30BEE" w:rsidRDefault="00B54BEE" w:rsidP="00B54BEE">
      <w:pPr>
        <w:widowControl/>
        <w:tabs>
          <w:tab w:val="left" w:pos="-1440"/>
        </w:tabs>
        <w:ind w:left="1440" w:hanging="1440"/>
        <w:rPr>
          <w:rFonts w:ascii="Times New Roman" w:hAnsi="Times New Roman"/>
        </w:rPr>
      </w:pPr>
      <w:r w:rsidRPr="00A30BEE">
        <w:rPr>
          <w:rFonts w:ascii="Times New Roman" w:hAnsi="Times New Roman"/>
          <w:b/>
          <w:bCs/>
        </w:rPr>
        <w:t>TITLE:</w:t>
      </w:r>
      <w:r w:rsidRPr="00A30BEE">
        <w:rPr>
          <w:rFonts w:ascii="Times New Roman" w:hAnsi="Times New Roman"/>
        </w:rPr>
        <w:tab/>
        <w:t>Reportable Events (29 CFR Part 4043)</w:t>
      </w:r>
    </w:p>
    <w:p w14:paraId="5C89E126" w14:textId="77777777" w:rsidR="00B54BEE" w:rsidRPr="00A30BEE" w:rsidRDefault="00B54BEE" w:rsidP="00B54BEE">
      <w:pPr>
        <w:widowControl/>
        <w:rPr>
          <w:rFonts w:ascii="Times New Roman" w:hAnsi="Times New Roman"/>
        </w:rPr>
      </w:pPr>
    </w:p>
    <w:p w14:paraId="308F6784" w14:textId="77777777" w:rsidR="00B54BEE" w:rsidRPr="00A30BEE" w:rsidRDefault="00B54BEE" w:rsidP="00B54BEE">
      <w:pPr>
        <w:widowControl/>
        <w:tabs>
          <w:tab w:val="left" w:pos="-1440"/>
        </w:tabs>
        <w:ind w:left="1440" w:hanging="1440"/>
        <w:rPr>
          <w:rFonts w:ascii="Times New Roman" w:hAnsi="Times New Roman"/>
        </w:rPr>
      </w:pPr>
      <w:r w:rsidRPr="00A30BEE">
        <w:rPr>
          <w:rFonts w:ascii="Times New Roman" w:hAnsi="Times New Roman"/>
          <w:b/>
          <w:bCs/>
        </w:rPr>
        <w:t>STATUS:</w:t>
      </w:r>
      <w:r w:rsidRPr="00A30BEE">
        <w:rPr>
          <w:rFonts w:ascii="Times New Roman" w:hAnsi="Times New Roman"/>
        </w:rPr>
        <w:tab/>
      </w:r>
      <w:r w:rsidRPr="00864251">
        <w:rPr>
          <w:rFonts w:ascii="Times New Roman" w:hAnsi="Times New Roman"/>
        </w:rPr>
        <w:t xml:space="preserve">Request for </w:t>
      </w:r>
      <w:r w:rsidR="00091A67" w:rsidRPr="00864251">
        <w:rPr>
          <w:rFonts w:ascii="Times New Roman" w:hAnsi="Times New Roman"/>
        </w:rPr>
        <w:t xml:space="preserve">approval of a revision of a </w:t>
      </w:r>
      <w:r w:rsidRPr="00864251">
        <w:rPr>
          <w:rFonts w:ascii="Times New Roman" w:hAnsi="Times New Roman"/>
        </w:rPr>
        <w:t>currently approved collection of information (OMB control no. 1212</w:t>
      </w:r>
      <w:r w:rsidRPr="00864251">
        <w:rPr>
          <w:rFonts w:ascii="Times New Roman" w:hAnsi="Times New Roman"/>
        </w:rPr>
        <w:noBreakHyphen/>
        <w:t xml:space="preserve">0013; expires </w:t>
      </w:r>
      <w:r w:rsidR="00864251">
        <w:rPr>
          <w:rFonts w:ascii="Times New Roman" w:hAnsi="Times New Roman"/>
        </w:rPr>
        <w:t>Ma</w:t>
      </w:r>
      <w:r w:rsidR="00E41203">
        <w:rPr>
          <w:rFonts w:ascii="Times New Roman" w:hAnsi="Times New Roman"/>
        </w:rPr>
        <w:t>y</w:t>
      </w:r>
      <w:r w:rsidR="00864251">
        <w:rPr>
          <w:rFonts w:ascii="Times New Roman" w:hAnsi="Times New Roman"/>
        </w:rPr>
        <w:t xml:space="preserve"> 31</w:t>
      </w:r>
      <w:r w:rsidRPr="00864251">
        <w:rPr>
          <w:rFonts w:ascii="Times New Roman" w:hAnsi="Times New Roman"/>
        </w:rPr>
        <w:t xml:space="preserve">, </w:t>
      </w:r>
      <w:r w:rsidR="009958DB" w:rsidRPr="00864251">
        <w:rPr>
          <w:rFonts w:ascii="Times New Roman" w:hAnsi="Times New Roman"/>
        </w:rPr>
        <w:t>201</w:t>
      </w:r>
      <w:r w:rsidR="00E41203">
        <w:rPr>
          <w:rFonts w:ascii="Times New Roman" w:hAnsi="Times New Roman"/>
        </w:rPr>
        <w:t>8</w:t>
      </w:r>
      <w:r w:rsidRPr="00864251">
        <w:rPr>
          <w:rFonts w:ascii="Times New Roman" w:hAnsi="Times New Roman"/>
        </w:rPr>
        <w:t>)</w:t>
      </w:r>
    </w:p>
    <w:p w14:paraId="0882FE56" w14:textId="77777777" w:rsidR="00B54BEE" w:rsidRPr="00A30BEE" w:rsidRDefault="00B54BEE" w:rsidP="00B54BEE">
      <w:pPr>
        <w:widowControl/>
        <w:rPr>
          <w:rFonts w:ascii="Times New Roman" w:hAnsi="Times New Roman"/>
        </w:rPr>
      </w:pPr>
    </w:p>
    <w:p w14:paraId="2463D261" w14:textId="5AFB3428" w:rsidR="00B54BEE" w:rsidRPr="00A30BEE" w:rsidRDefault="00B54BEE" w:rsidP="00B54BEE">
      <w:pPr>
        <w:widowControl/>
        <w:tabs>
          <w:tab w:val="left" w:pos="-1440"/>
        </w:tabs>
        <w:ind w:left="1440" w:hanging="1440"/>
        <w:rPr>
          <w:rFonts w:ascii="Times New Roman" w:hAnsi="Times New Roman"/>
        </w:rPr>
      </w:pPr>
      <w:r w:rsidRPr="00A30BEE">
        <w:rPr>
          <w:rFonts w:ascii="Times New Roman" w:hAnsi="Times New Roman"/>
          <w:b/>
          <w:bCs/>
        </w:rPr>
        <w:t>CONTACT:</w:t>
      </w:r>
      <w:r w:rsidRPr="00A30BEE">
        <w:rPr>
          <w:rFonts w:ascii="Times New Roman" w:hAnsi="Times New Roman"/>
        </w:rPr>
        <w:tab/>
      </w:r>
      <w:r w:rsidR="00981780">
        <w:rPr>
          <w:rFonts w:ascii="Times New Roman" w:hAnsi="Times New Roman"/>
        </w:rPr>
        <w:t>Daniel Liebman</w:t>
      </w:r>
      <w:r w:rsidRPr="00A30BEE">
        <w:rPr>
          <w:rFonts w:ascii="Times New Roman" w:hAnsi="Times New Roman"/>
        </w:rPr>
        <w:t xml:space="preserve"> (</w:t>
      </w:r>
      <w:r>
        <w:rPr>
          <w:rFonts w:ascii="Times New Roman" w:hAnsi="Times New Roman"/>
        </w:rPr>
        <w:t>202-</w:t>
      </w:r>
      <w:r w:rsidRPr="00A30BEE">
        <w:rPr>
          <w:rFonts w:ascii="Times New Roman" w:hAnsi="Times New Roman"/>
        </w:rPr>
        <w:t>326-4</w:t>
      </w:r>
      <w:r w:rsidR="00E41203">
        <w:rPr>
          <w:rFonts w:ascii="Times New Roman" w:hAnsi="Times New Roman"/>
        </w:rPr>
        <w:t>4</w:t>
      </w:r>
      <w:r w:rsidRPr="00A30BEE">
        <w:rPr>
          <w:rFonts w:ascii="Times New Roman" w:hAnsi="Times New Roman"/>
        </w:rPr>
        <w:t xml:space="preserve">00, ext. </w:t>
      </w:r>
      <w:r w:rsidR="00FB1920">
        <w:rPr>
          <w:rFonts w:ascii="Times New Roman" w:hAnsi="Times New Roman"/>
        </w:rPr>
        <w:t>6510</w:t>
      </w:r>
      <w:r w:rsidRPr="00A30BEE">
        <w:rPr>
          <w:rFonts w:ascii="Times New Roman" w:hAnsi="Times New Roman"/>
        </w:rPr>
        <w:t>) or Cath</w:t>
      </w:r>
      <w:r>
        <w:rPr>
          <w:rFonts w:ascii="Times New Roman" w:hAnsi="Times New Roman"/>
        </w:rPr>
        <w:t xml:space="preserve">erine </w:t>
      </w:r>
      <w:r w:rsidRPr="00A30BEE">
        <w:rPr>
          <w:rFonts w:ascii="Times New Roman" w:hAnsi="Times New Roman"/>
        </w:rPr>
        <w:t>Klion (</w:t>
      </w:r>
      <w:r>
        <w:rPr>
          <w:rFonts w:ascii="Times New Roman" w:hAnsi="Times New Roman"/>
        </w:rPr>
        <w:t>202-</w:t>
      </w:r>
      <w:r w:rsidRPr="00A30BEE">
        <w:rPr>
          <w:rFonts w:ascii="Times New Roman" w:hAnsi="Times New Roman"/>
        </w:rPr>
        <w:t>326-4</w:t>
      </w:r>
      <w:r w:rsidR="00E41203">
        <w:rPr>
          <w:rFonts w:ascii="Times New Roman" w:hAnsi="Times New Roman"/>
        </w:rPr>
        <w:t>4</w:t>
      </w:r>
      <w:r w:rsidRPr="00A30BEE">
        <w:rPr>
          <w:rFonts w:ascii="Times New Roman" w:hAnsi="Times New Roman"/>
        </w:rPr>
        <w:t>00, ext.</w:t>
      </w:r>
      <w:r>
        <w:rPr>
          <w:rFonts w:ascii="Times New Roman" w:hAnsi="Times New Roman"/>
        </w:rPr>
        <w:t> </w:t>
      </w:r>
      <w:r w:rsidRPr="00A30BEE">
        <w:rPr>
          <w:rFonts w:ascii="Times New Roman" w:hAnsi="Times New Roman"/>
        </w:rPr>
        <w:t>3041)</w:t>
      </w:r>
    </w:p>
    <w:p w14:paraId="248AA25D" w14:textId="77777777" w:rsidR="00B54BEE" w:rsidRDefault="00B54BEE" w:rsidP="00B54BEE">
      <w:pPr>
        <w:widowControl/>
        <w:rPr>
          <w:rFonts w:ascii="Times New Roman" w:hAnsi="Times New Roman"/>
        </w:rPr>
      </w:pPr>
    </w:p>
    <w:p w14:paraId="75839C6E" w14:textId="77777777" w:rsidR="00B54BEE" w:rsidRPr="00A30BEE" w:rsidRDefault="00B54BEE" w:rsidP="00B54BEE">
      <w:pPr>
        <w:widowControl/>
        <w:rPr>
          <w:rFonts w:ascii="Times New Roman" w:hAnsi="Times New Roman"/>
        </w:rPr>
      </w:pPr>
    </w:p>
    <w:p w14:paraId="55150F36" w14:textId="77777777" w:rsidR="00B54BEE" w:rsidRDefault="00B54BEE" w:rsidP="00B54BEE">
      <w:pPr>
        <w:widowControl/>
        <w:spacing w:line="480" w:lineRule="auto"/>
        <w:ind w:firstLine="720"/>
        <w:rPr>
          <w:rFonts w:ascii="Times New Roman" w:hAnsi="Times New Roman"/>
        </w:rPr>
      </w:pPr>
      <w:bookmarkStart w:id="0" w:name="OLE_LINK1"/>
      <w:bookmarkStart w:id="1" w:name="OLE_LINK2"/>
      <w:r w:rsidRPr="00A30BEE">
        <w:rPr>
          <w:rFonts w:ascii="Times New Roman" w:hAnsi="Times New Roman"/>
        </w:rPr>
        <w:t xml:space="preserve">1.  </w:t>
      </w:r>
      <w:r w:rsidRPr="00A30BEE">
        <w:rPr>
          <w:rFonts w:ascii="Times New Roman" w:hAnsi="Times New Roman"/>
          <w:u w:val="single"/>
        </w:rPr>
        <w:t>Need for collection.</w:t>
      </w:r>
      <w:r w:rsidRPr="00A30BEE">
        <w:rPr>
          <w:rFonts w:ascii="Times New Roman" w:hAnsi="Times New Roman"/>
        </w:rPr>
        <w:t xml:space="preserve">  Section 4043 of the Employee Retirement Income Security Act of 1974 (ERISA) </w:t>
      </w:r>
      <w:r w:rsidR="00F45835">
        <w:rPr>
          <w:rFonts w:ascii="Times New Roman" w:hAnsi="Times New Roman"/>
        </w:rPr>
        <w:t>and PBGC’s reportable</w:t>
      </w:r>
      <w:r w:rsidR="004E1D8C">
        <w:rPr>
          <w:rFonts w:ascii="Times New Roman" w:hAnsi="Times New Roman"/>
        </w:rPr>
        <w:t xml:space="preserve"> events regulation (29 CFR part</w:t>
      </w:r>
      <w:r w:rsidR="00F45835">
        <w:rPr>
          <w:rFonts w:ascii="Times New Roman" w:hAnsi="Times New Roman"/>
        </w:rPr>
        <w:t xml:space="preserve"> 4043) </w:t>
      </w:r>
      <w:r w:rsidRPr="00A30BEE">
        <w:rPr>
          <w:rFonts w:ascii="Times New Roman" w:hAnsi="Times New Roman"/>
        </w:rPr>
        <w:t>require plan administrators and plan sponsors to report certain plan and corporate events to PBGC.  The reporting requirements give PBGC timely notice of events that indicate plan or contributing sponsor financial problems.</w:t>
      </w:r>
    </w:p>
    <w:p w14:paraId="23F57026" w14:textId="7F338F36" w:rsidR="000344F2" w:rsidRPr="000344F2" w:rsidRDefault="00E3375F" w:rsidP="000344F2">
      <w:pPr>
        <w:spacing w:line="480" w:lineRule="auto"/>
        <w:ind w:firstLine="720"/>
        <w:rPr>
          <w:rFonts w:ascii="Times New Roman" w:hAnsi="Times New Roman"/>
        </w:rPr>
      </w:pPr>
      <w:r>
        <w:rPr>
          <w:rFonts w:ascii="Times New Roman" w:hAnsi="Times New Roman"/>
        </w:rPr>
        <w:t xml:space="preserve">On [insert], 2015 (80 FR [insert]), PBGC published a final rule </w:t>
      </w:r>
      <w:r w:rsidR="001E40C2">
        <w:rPr>
          <w:rFonts w:ascii="Times New Roman" w:hAnsi="Times New Roman"/>
        </w:rPr>
        <w:t xml:space="preserve">that </w:t>
      </w:r>
      <w:r w:rsidR="000344F2" w:rsidRPr="000344F2">
        <w:rPr>
          <w:rFonts w:ascii="Times New Roman" w:hAnsi="Times New Roman"/>
        </w:rPr>
        <w:t>amend</w:t>
      </w:r>
      <w:r w:rsidR="001E40C2">
        <w:rPr>
          <w:rFonts w:ascii="Times New Roman" w:hAnsi="Times New Roman"/>
        </w:rPr>
        <w:t>ed</w:t>
      </w:r>
      <w:r w:rsidR="000344F2" w:rsidRPr="000344F2">
        <w:rPr>
          <w:rFonts w:ascii="Times New Roman" w:hAnsi="Times New Roman"/>
        </w:rPr>
        <w:t xml:space="preserve"> </w:t>
      </w:r>
      <w:r>
        <w:rPr>
          <w:rFonts w:ascii="Times New Roman" w:hAnsi="Times New Roman"/>
        </w:rPr>
        <w:t xml:space="preserve">part 4043 to change the waiver provisions and make other changes.  </w:t>
      </w:r>
      <w:r w:rsidR="001E40C2">
        <w:rPr>
          <w:rFonts w:ascii="Times New Roman" w:hAnsi="Times New Roman"/>
        </w:rPr>
        <w:t xml:space="preserve">PBGC published proposed rules in 2009 and 2013.  </w:t>
      </w:r>
      <w:r w:rsidR="00486361">
        <w:rPr>
          <w:rFonts w:ascii="Times New Roman" w:hAnsi="Times New Roman"/>
        </w:rPr>
        <w:t xml:space="preserve">The </w:t>
      </w:r>
      <w:r w:rsidR="001E40C2">
        <w:rPr>
          <w:rFonts w:ascii="Times New Roman" w:hAnsi="Times New Roman"/>
        </w:rPr>
        <w:t>final rule</w:t>
      </w:r>
      <w:r w:rsidR="001E40C2" w:rsidRPr="000344F2">
        <w:rPr>
          <w:rFonts w:ascii="Times New Roman" w:hAnsi="Times New Roman"/>
        </w:rPr>
        <w:t xml:space="preserve"> </w:t>
      </w:r>
      <w:r w:rsidR="000344F2" w:rsidRPr="000344F2">
        <w:rPr>
          <w:rFonts w:ascii="Times New Roman" w:hAnsi="Times New Roman"/>
        </w:rPr>
        <w:t xml:space="preserve">takes into account both </w:t>
      </w:r>
      <w:r w:rsidR="00981780">
        <w:rPr>
          <w:rFonts w:ascii="Times New Roman" w:hAnsi="Times New Roman"/>
        </w:rPr>
        <w:t>comments</w:t>
      </w:r>
      <w:r w:rsidR="00981780" w:rsidRPr="000344F2">
        <w:rPr>
          <w:rFonts w:ascii="Times New Roman" w:hAnsi="Times New Roman"/>
        </w:rPr>
        <w:t xml:space="preserve"> </w:t>
      </w:r>
      <w:r w:rsidR="000344F2" w:rsidRPr="000344F2">
        <w:rPr>
          <w:rFonts w:ascii="Times New Roman" w:hAnsi="Times New Roman"/>
        </w:rPr>
        <w:t xml:space="preserve">from the </w:t>
      </w:r>
      <w:r w:rsidR="00863343">
        <w:rPr>
          <w:rFonts w:ascii="Times New Roman" w:hAnsi="Times New Roman"/>
        </w:rPr>
        <w:t>pension</w:t>
      </w:r>
      <w:r w:rsidR="000344F2" w:rsidRPr="000344F2">
        <w:rPr>
          <w:rFonts w:ascii="Times New Roman" w:hAnsi="Times New Roman"/>
        </w:rPr>
        <w:t xml:space="preserve"> community and Executive Order 13563</w:t>
      </w:r>
      <w:r w:rsidR="001E40C2">
        <w:rPr>
          <w:rFonts w:ascii="Times New Roman" w:hAnsi="Times New Roman"/>
        </w:rPr>
        <w:t xml:space="preserve"> on Improving Regulation and Regulatory Review (2011)</w:t>
      </w:r>
      <w:r w:rsidR="000344F2" w:rsidRPr="000344F2">
        <w:rPr>
          <w:rFonts w:ascii="Times New Roman" w:hAnsi="Times New Roman"/>
        </w:rPr>
        <w:t>.</w:t>
      </w:r>
    </w:p>
    <w:p w14:paraId="19DC1A01" w14:textId="1269AA7A" w:rsidR="00992EB9" w:rsidRPr="000344F2" w:rsidRDefault="000344F2" w:rsidP="000344F2">
      <w:pPr>
        <w:widowControl/>
        <w:spacing w:line="480" w:lineRule="auto"/>
        <w:ind w:firstLine="720"/>
        <w:rPr>
          <w:rFonts w:ascii="Times New Roman" w:hAnsi="Times New Roman"/>
          <w:highlight w:val="yellow"/>
        </w:rPr>
      </w:pPr>
      <w:r w:rsidRPr="000344F2">
        <w:rPr>
          <w:rFonts w:ascii="Times New Roman" w:hAnsi="Times New Roman"/>
        </w:rPr>
        <w:t xml:space="preserve">Under the </w:t>
      </w:r>
      <w:r w:rsidR="001E40C2">
        <w:rPr>
          <w:rFonts w:ascii="Times New Roman" w:hAnsi="Times New Roman"/>
        </w:rPr>
        <w:t>final rule</w:t>
      </w:r>
      <w:r w:rsidRPr="000344F2">
        <w:rPr>
          <w:rFonts w:ascii="Times New Roman" w:hAnsi="Times New Roman"/>
        </w:rPr>
        <w:t xml:space="preserve">, reporting </w:t>
      </w:r>
      <w:r w:rsidR="00486361">
        <w:rPr>
          <w:rFonts w:ascii="Times New Roman" w:hAnsi="Times New Roman"/>
        </w:rPr>
        <w:t>is</w:t>
      </w:r>
      <w:r w:rsidRPr="000344F2">
        <w:rPr>
          <w:rFonts w:ascii="Times New Roman" w:hAnsi="Times New Roman"/>
        </w:rPr>
        <w:t xml:space="preserve"> waived for most events currently covered by funding-based waivers if a plan </w:t>
      </w:r>
      <w:r w:rsidR="001E40C2">
        <w:rPr>
          <w:rFonts w:ascii="Times New Roman" w:hAnsi="Times New Roman"/>
        </w:rPr>
        <w:t xml:space="preserve">meets a new funding-based waiver </w:t>
      </w:r>
      <w:r w:rsidRPr="000344F2">
        <w:rPr>
          <w:rFonts w:ascii="Times New Roman" w:hAnsi="Times New Roman"/>
          <w:i/>
        </w:rPr>
        <w:t>or</w:t>
      </w:r>
      <w:r w:rsidRPr="000344F2">
        <w:rPr>
          <w:rFonts w:ascii="Times New Roman" w:hAnsi="Times New Roman"/>
        </w:rPr>
        <w:t xml:space="preserve"> its sponsor comes within a </w:t>
      </w:r>
      <w:r w:rsidR="00486361">
        <w:rPr>
          <w:rFonts w:ascii="Times New Roman" w:hAnsi="Times New Roman"/>
        </w:rPr>
        <w:t>low-default risk</w:t>
      </w:r>
      <w:r w:rsidRPr="000344F2">
        <w:rPr>
          <w:rFonts w:ascii="Times New Roman" w:hAnsi="Times New Roman"/>
        </w:rPr>
        <w:t xml:space="preserve"> </w:t>
      </w:r>
      <w:r w:rsidR="007D5BDC">
        <w:rPr>
          <w:rFonts w:ascii="Times New Roman" w:hAnsi="Times New Roman"/>
        </w:rPr>
        <w:t>waiver</w:t>
      </w:r>
      <w:r w:rsidRPr="000344F2">
        <w:rPr>
          <w:rFonts w:ascii="Times New Roman" w:hAnsi="Times New Roman"/>
        </w:rPr>
        <w:t xml:space="preserve"> based on widely available measures already used in business.  </w:t>
      </w:r>
      <w:r w:rsidR="001E40C2">
        <w:rPr>
          <w:rFonts w:ascii="Times New Roman" w:hAnsi="Times New Roman"/>
        </w:rPr>
        <w:t>Existing w</w:t>
      </w:r>
      <w:r w:rsidR="001E40C2" w:rsidRPr="000344F2">
        <w:rPr>
          <w:rFonts w:ascii="Times New Roman" w:hAnsi="Times New Roman"/>
        </w:rPr>
        <w:t xml:space="preserve">aivers </w:t>
      </w:r>
      <w:r w:rsidRPr="000344F2">
        <w:rPr>
          <w:rFonts w:ascii="Times New Roman" w:hAnsi="Times New Roman"/>
        </w:rPr>
        <w:t xml:space="preserve">for </w:t>
      </w:r>
      <w:r w:rsidR="00486361">
        <w:rPr>
          <w:rFonts w:ascii="Times New Roman" w:hAnsi="Times New Roman"/>
        </w:rPr>
        <w:t xml:space="preserve">well-funded plans, public companies that report events on Securities and Exchange Commission filings, </w:t>
      </w:r>
      <w:r w:rsidR="004D4DDD">
        <w:rPr>
          <w:rFonts w:ascii="Times New Roman" w:hAnsi="Times New Roman"/>
        </w:rPr>
        <w:t xml:space="preserve">and </w:t>
      </w:r>
      <w:r w:rsidRPr="000344F2">
        <w:rPr>
          <w:rFonts w:ascii="Times New Roman" w:hAnsi="Times New Roman"/>
        </w:rPr>
        <w:t>small plans provisions would be retained with modifications</w:t>
      </w:r>
      <w:r w:rsidR="004D4DDD">
        <w:rPr>
          <w:rFonts w:ascii="Times New Roman" w:hAnsi="Times New Roman"/>
        </w:rPr>
        <w:t xml:space="preserve"> or </w:t>
      </w:r>
      <w:bookmarkStart w:id="2" w:name="_GoBack"/>
      <w:bookmarkEnd w:id="2"/>
      <w:r w:rsidR="004D4DDD">
        <w:rPr>
          <w:rFonts w:ascii="Times New Roman" w:hAnsi="Times New Roman"/>
        </w:rPr>
        <w:t>expanded</w:t>
      </w:r>
      <w:r w:rsidRPr="000344F2">
        <w:rPr>
          <w:rFonts w:ascii="Times New Roman" w:hAnsi="Times New Roman"/>
        </w:rPr>
        <w:t>; other waivers would be eliminated.</w:t>
      </w:r>
      <w:r>
        <w:rPr>
          <w:rFonts w:ascii="Times New Roman" w:hAnsi="Times New Roman"/>
        </w:rPr>
        <w:t xml:space="preserve">  </w:t>
      </w:r>
    </w:p>
    <w:p w14:paraId="2BDE54AF" w14:textId="35F9A545" w:rsidR="000344F2" w:rsidRPr="000344F2" w:rsidRDefault="00091A67" w:rsidP="00091A67">
      <w:pPr>
        <w:widowControl/>
        <w:spacing w:line="480" w:lineRule="auto"/>
        <w:ind w:firstLine="720"/>
        <w:rPr>
          <w:rFonts w:ascii="Times New Roman" w:hAnsi="Times New Roman"/>
        </w:rPr>
      </w:pPr>
      <w:r>
        <w:rPr>
          <w:rFonts w:ascii="Times New Roman" w:hAnsi="Times New Roman"/>
        </w:rPr>
        <w:lastRenderedPageBreak/>
        <w:t xml:space="preserve">In connection with the </w:t>
      </w:r>
      <w:r w:rsidR="001E40C2">
        <w:rPr>
          <w:rFonts w:ascii="Times New Roman" w:hAnsi="Times New Roman"/>
        </w:rPr>
        <w:t>final rule</w:t>
      </w:r>
      <w:r>
        <w:rPr>
          <w:rFonts w:ascii="Times New Roman" w:hAnsi="Times New Roman"/>
        </w:rPr>
        <w:t xml:space="preserve">, </w:t>
      </w:r>
      <w:r w:rsidR="000344F2" w:rsidRPr="000344F2">
        <w:rPr>
          <w:rFonts w:ascii="Times New Roman" w:hAnsi="Times New Roman"/>
        </w:rPr>
        <w:t xml:space="preserve">PBGC </w:t>
      </w:r>
      <w:r w:rsidR="00CC4129">
        <w:rPr>
          <w:rFonts w:ascii="Times New Roman" w:hAnsi="Times New Roman"/>
        </w:rPr>
        <w:t>has made</w:t>
      </w:r>
      <w:r w:rsidR="000344F2" w:rsidRPr="000344F2">
        <w:rPr>
          <w:rFonts w:ascii="Times New Roman" w:hAnsi="Times New Roman"/>
        </w:rPr>
        <w:t xml:space="preserve"> the following changes to the</w:t>
      </w:r>
      <w:r>
        <w:rPr>
          <w:rFonts w:ascii="Times New Roman" w:hAnsi="Times New Roman"/>
        </w:rPr>
        <w:t xml:space="preserve"> </w:t>
      </w:r>
      <w:r w:rsidR="000344F2" w:rsidRPr="000344F2">
        <w:rPr>
          <w:rFonts w:ascii="Times New Roman" w:hAnsi="Times New Roman"/>
        </w:rPr>
        <w:t>information</w:t>
      </w:r>
      <w:r>
        <w:rPr>
          <w:rFonts w:ascii="Times New Roman" w:hAnsi="Times New Roman"/>
        </w:rPr>
        <w:t xml:space="preserve"> collection</w:t>
      </w:r>
      <w:r w:rsidR="000344F2" w:rsidRPr="000344F2">
        <w:rPr>
          <w:rFonts w:ascii="Times New Roman" w:hAnsi="Times New Roman"/>
        </w:rPr>
        <w:t xml:space="preserve"> requirements</w:t>
      </w:r>
      <w:r>
        <w:rPr>
          <w:rFonts w:ascii="Times New Roman" w:hAnsi="Times New Roman"/>
        </w:rPr>
        <w:t xml:space="preserve"> under 29 CFR Part 4043</w:t>
      </w:r>
      <w:r w:rsidR="000344F2" w:rsidRPr="000344F2">
        <w:rPr>
          <w:rFonts w:ascii="Times New Roman" w:hAnsi="Times New Roman"/>
        </w:rPr>
        <w:t>:</w:t>
      </w:r>
    </w:p>
    <w:p w14:paraId="0B637985" w14:textId="448FEF71" w:rsidR="00CC4129" w:rsidRDefault="000344F2" w:rsidP="00CC4129">
      <w:pPr>
        <w:ind w:left="720" w:hanging="720"/>
        <w:rPr>
          <w:rFonts w:ascii="Times New Roman" w:hAnsi="Times New Roman"/>
        </w:rPr>
      </w:pPr>
      <w:r w:rsidRPr="000344F2">
        <w:rPr>
          <w:rFonts w:ascii="Times New Roman" w:hAnsi="Times New Roman"/>
        </w:rPr>
        <w:t xml:space="preserve">     ●</w:t>
      </w:r>
      <w:r w:rsidRPr="000344F2">
        <w:rPr>
          <w:rFonts w:ascii="Times New Roman" w:hAnsi="Times New Roman"/>
        </w:rPr>
        <w:tab/>
      </w:r>
      <w:r w:rsidR="00CC4129" w:rsidRPr="00CC4129">
        <w:rPr>
          <w:rFonts w:ascii="Times New Roman" w:hAnsi="Times New Roman"/>
        </w:rPr>
        <w:t>Electronic filing is now mandatory as part of PBGC’s ongoing implementation of the Government Paperwork Elimination Act.  Electronic filing has become the norm for PBGC’s regulated community and is already mandatory for reporting for other purposes</w:t>
      </w:r>
      <w:r w:rsidR="004D4DDD">
        <w:rPr>
          <w:rFonts w:ascii="Times New Roman" w:hAnsi="Times New Roman"/>
        </w:rPr>
        <w:t xml:space="preserve"> —</w:t>
      </w:r>
      <w:r w:rsidR="00CC4129" w:rsidRPr="00CC4129">
        <w:rPr>
          <w:rFonts w:ascii="Times New Roman" w:hAnsi="Times New Roman"/>
        </w:rPr>
        <w:t xml:space="preserve">annual financial and actuarial information reporting under ERISA section 4010 (starting with 2005 information years), PBGC premiums (starting with 2007 plan years for all plans), and Form 5500 (starting with 2009 plan years).  PBGC </w:t>
      </w:r>
      <w:r w:rsidR="004D4DDD">
        <w:rPr>
          <w:rFonts w:ascii="Times New Roman" w:hAnsi="Times New Roman"/>
        </w:rPr>
        <w:t>may</w:t>
      </w:r>
      <w:r w:rsidR="00CC4129" w:rsidRPr="00CC4129">
        <w:rPr>
          <w:rFonts w:ascii="Times New Roman" w:hAnsi="Times New Roman"/>
        </w:rPr>
        <w:t xml:space="preserve"> waive the electronic filing requirement, including for voluminous paper documents to relieve filers of the need to scan them, pursuant to § 4043.4(a) (case-by-case waivers).  The current versions of PBGC Form 10 and Form 10-Advance are already available in “fillable” format; in connection with the change to electronic filing, new versions of these forms will be available in “fillable” format to facilitate electronic filing.</w:t>
      </w:r>
    </w:p>
    <w:p w14:paraId="0239A2C9" w14:textId="77777777" w:rsidR="00CC4129" w:rsidRPr="00CC4129" w:rsidRDefault="00CC4129" w:rsidP="00CC4129">
      <w:pPr>
        <w:ind w:left="720" w:hanging="720"/>
        <w:rPr>
          <w:rFonts w:ascii="Times New Roman" w:hAnsi="Times New Roman"/>
        </w:rPr>
      </w:pPr>
    </w:p>
    <w:p w14:paraId="7826A6B9" w14:textId="177BB38E" w:rsidR="00FB1920" w:rsidRDefault="00FB5E1A" w:rsidP="00E3375F">
      <w:pPr>
        <w:numPr>
          <w:ilvl w:val="0"/>
          <w:numId w:val="4"/>
        </w:numPr>
        <w:rPr>
          <w:rFonts w:ascii="Times New Roman" w:hAnsi="Times New Roman"/>
        </w:rPr>
      </w:pPr>
      <w:r w:rsidRPr="00FB5E1A">
        <w:rPr>
          <w:rFonts w:ascii="Times New Roman" w:hAnsi="Times New Roman"/>
        </w:rPr>
        <w:t>PBGC’s experience is that in order to assess the significance of virtually every post-event filing for a missed contribution, inability to pay benefits, loan default, liquidation, or insolvency, it must obtain from the filer certain</w:t>
      </w:r>
      <w:r w:rsidR="00185F75">
        <w:rPr>
          <w:rFonts w:ascii="Times New Roman" w:hAnsi="Times New Roman"/>
        </w:rPr>
        <w:t xml:space="preserve"> actuarial,</w:t>
      </w:r>
      <w:r w:rsidRPr="00FB5E1A">
        <w:rPr>
          <w:rFonts w:ascii="Times New Roman" w:hAnsi="Times New Roman"/>
        </w:rPr>
        <w:t xml:space="preserve"> financial and controlled group information.  Filers </w:t>
      </w:r>
      <w:r>
        <w:rPr>
          <w:rFonts w:ascii="Times New Roman" w:hAnsi="Times New Roman"/>
        </w:rPr>
        <w:t>were previously</w:t>
      </w:r>
      <w:r w:rsidRPr="00FB5E1A">
        <w:rPr>
          <w:rFonts w:ascii="Times New Roman" w:hAnsi="Times New Roman"/>
        </w:rPr>
        <w:t xml:space="preserve"> required to submit some of this information for some events, but PBGC </w:t>
      </w:r>
      <w:r>
        <w:rPr>
          <w:rFonts w:ascii="Times New Roman" w:hAnsi="Times New Roman"/>
        </w:rPr>
        <w:t>has made</w:t>
      </w:r>
      <w:r w:rsidRPr="00FB5E1A">
        <w:rPr>
          <w:rFonts w:ascii="Times New Roman" w:hAnsi="Times New Roman"/>
        </w:rPr>
        <w:t xml:space="preserve"> its information collection for all these events more uniform.  Accordingly, </w:t>
      </w:r>
      <w:r w:rsidR="00185F75">
        <w:rPr>
          <w:rFonts w:ascii="Times New Roman" w:hAnsi="Times New Roman"/>
        </w:rPr>
        <w:t xml:space="preserve">in connection with the final rule, </w:t>
      </w:r>
      <w:r w:rsidRPr="00FB5E1A">
        <w:rPr>
          <w:rFonts w:ascii="Times New Roman" w:hAnsi="Times New Roman"/>
        </w:rPr>
        <w:t>PBGC now requires that every post-event filing for one of these events include</w:t>
      </w:r>
      <w:r w:rsidR="00185F75">
        <w:rPr>
          <w:rFonts w:ascii="Times New Roman" w:hAnsi="Times New Roman"/>
        </w:rPr>
        <w:t xml:space="preserve"> the following</w:t>
      </w:r>
      <w:r w:rsidRPr="00FB5E1A">
        <w:rPr>
          <w:rFonts w:ascii="Times New Roman" w:hAnsi="Times New Roman"/>
        </w:rPr>
        <w:t xml:space="preserve"> </w:t>
      </w:r>
      <w:r w:rsidR="00185F75">
        <w:rPr>
          <w:rFonts w:ascii="Times New Roman" w:hAnsi="Times New Roman"/>
        </w:rPr>
        <w:t>financial and controlled group information</w:t>
      </w:r>
      <w:r w:rsidR="009B7386" w:rsidRPr="00FB5E1A">
        <w:rPr>
          <w:rFonts w:ascii="Times New Roman" w:hAnsi="Times New Roman"/>
        </w:rPr>
        <w:t xml:space="preserve"> </w:t>
      </w:r>
      <w:r w:rsidR="00185F75">
        <w:rPr>
          <w:rFonts w:ascii="Times New Roman" w:hAnsi="Times New Roman"/>
        </w:rPr>
        <w:t>(actuarial information was already required):</w:t>
      </w:r>
      <w:r w:rsidRPr="00FB5E1A">
        <w:rPr>
          <w:rFonts w:ascii="Times New Roman" w:hAnsi="Times New Roman"/>
        </w:rPr>
        <w:t xml:space="preserve">  </w:t>
      </w:r>
    </w:p>
    <w:p w14:paraId="2F861BA0" w14:textId="77777777" w:rsidR="00185F75" w:rsidRDefault="00185F75" w:rsidP="00185F75">
      <w:pPr>
        <w:ind w:left="720"/>
        <w:rPr>
          <w:rFonts w:ascii="Times New Roman" w:hAnsi="Times New Roman"/>
        </w:rPr>
      </w:pPr>
    </w:p>
    <w:p w14:paraId="3C1EFD03" w14:textId="262D7566" w:rsidR="00FB1920" w:rsidRDefault="00FB5E1A" w:rsidP="007826AC">
      <w:pPr>
        <w:numPr>
          <w:ilvl w:val="0"/>
          <w:numId w:val="5"/>
        </w:numPr>
        <w:rPr>
          <w:rFonts w:ascii="Times New Roman" w:hAnsi="Times New Roman"/>
        </w:rPr>
      </w:pPr>
      <w:r w:rsidRPr="00FB5E1A">
        <w:rPr>
          <w:rFonts w:ascii="Times New Roman" w:hAnsi="Times New Roman"/>
        </w:rPr>
        <w:t xml:space="preserve">The financial information required will be copies of audited financial statements for the most recent fiscal year.  (If audited statements were not immediately available, copies of unaudited financial statements (if available) or tax returns would be required, to be followed up with required financial statements when available.)  </w:t>
      </w:r>
    </w:p>
    <w:p w14:paraId="0BDD2AD8" w14:textId="4155CE7F" w:rsidR="00FB5E1A" w:rsidRPr="00FB5E1A" w:rsidRDefault="00FB5E1A" w:rsidP="007826AC">
      <w:pPr>
        <w:numPr>
          <w:ilvl w:val="0"/>
          <w:numId w:val="5"/>
        </w:numPr>
        <w:rPr>
          <w:rFonts w:ascii="Times New Roman" w:hAnsi="Times New Roman"/>
        </w:rPr>
      </w:pPr>
      <w:r w:rsidRPr="00FB5E1A">
        <w:rPr>
          <w:rFonts w:ascii="Times New Roman" w:hAnsi="Times New Roman"/>
        </w:rPr>
        <w:t>The controlled group information required will be tailored to the event being reported and will generally include identifying information for each plan maintained by any member of the controlled group</w:t>
      </w:r>
      <w:r w:rsidR="00C61D0B">
        <w:rPr>
          <w:rFonts w:ascii="Times New Roman" w:hAnsi="Times New Roman"/>
        </w:rPr>
        <w:t xml:space="preserve"> and</w:t>
      </w:r>
      <w:r w:rsidRPr="00FB5E1A">
        <w:rPr>
          <w:rFonts w:ascii="Times New Roman" w:hAnsi="Times New Roman"/>
        </w:rPr>
        <w:t xml:space="preserve"> a description of the controlled group with members’ names.</w:t>
      </w:r>
    </w:p>
    <w:p w14:paraId="3EC15046" w14:textId="77777777" w:rsidR="00FB5E1A" w:rsidRPr="00FB5E1A" w:rsidRDefault="00FB5E1A" w:rsidP="00FB5E1A">
      <w:pPr>
        <w:ind w:left="720" w:hanging="720"/>
        <w:rPr>
          <w:rFonts w:ascii="Times New Roman" w:hAnsi="Times New Roman"/>
        </w:rPr>
      </w:pPr>
    </w:p>
    <w:p w14:paraId="193162ED" w14:textId="379F7FF0" w:rsidR="00FB5E1A" w:rsidRPr="00FB5E1A" w:rsidRDefault="00FB5E1A" w:rsidP="00FB5E1A">
      <w:pPr>
        <w:ind w:left="720" w:hanging="720"/>
        <w:rPr>
          <w:rFonts w:ascii="Times New Roman" w:hAnsi="Times New Roman"/>
        </w:rPr>
      </w:pPr>
      <w:r w:rsidRPr="00FB5E1A">
        <w:rPr>
          <w:rFonts w:ascii="Times New Roman" w:hAnsi="Times New Roman"/>
        </w:rPr>
        <w:t xml:space="preserve">     ●</w:t>
      </w:r>
      <w:r w:rsidRPr="00FB5E1A">
        <w:rPr>
          <w:rFonts w:ascii="Times New Roman" w:hAnsi="Times New Roman"/>
        </w:rPr>
        <w:tab/>
        <w:t>Similarly, PBGC has found that it needs the same financial and controlled group information for advance-notice filings</w:t>
      </w:r>
      <w:r w:rsidR="00185F75">
        <w:rPr>
          <w:rFonts w:ascii="Times New Roman" w:hAnsi="Times New Roman"/>
        </w:rPr>
        <w:t xml:space="preserve"> (in addition to actuarial information already required)</w:t>
      </w:r>
      <w:r w:rsidRPr="00FB5E1A">
        <w:rPr>
          <w:rFonts w:ascii="Times New Roman" w:hAnsi="Times New Roman"/>
        </w:rPr>
        <w:t>.  For notices of applications for funding waiver requests, the information can typically be gleaned from the copy of the application that accompanies the reportable event notice.  With this exception, PBGC is requiring that every advance notice filing include these items (unless the information is publicly available).</w:t>
      </w:r>
    </w:p>
    <w:p w14:paraId="16ACDB3E" w14:textId="77777777" w:rsidR="00FB5E1A" w:rsidRPr="00FB5E1A" w:rsidRDefault="00FB5E1A" w:rsidP="00FB5E1A">
      <w:pPr>
        <w:ind w:left="720" w:hanging="720"/>
        <w:rPr>
          <w:rFonts w:ascii="Times New Roman" w:hAnsi="Times New Roman"/>
        </w:rPr>
      </w:pPr>
    </w:p>
    <w:p w14:paraId="00639565" w14:textId="77777777" w:rsidR="00FB5E1A" w:rsidRPr="00FB5E1A" w:rsidRDefault="00FB5E1A" w:rsidP="00FB5E1A">
      <w:pPr>
        <w:ind w:left="720" w:hanging="720"/>
        <w:rPr>
          <w:rFonts w:ascii="Times New Roman" w:hAnsi="Times New Roman"/>
        </w:rPr>
      </w:pPr>
      <w:r w:rsidRPr="00FB5E1A">
        <w:rPr>
          <w:rFonts w:ascii="Times New Roman" w:hAnsi="Times New Roman"/>
        </w:rPr>
        <w:t xml:space="preserve">     ●</w:t>
      </w:r>
      <w:r w:rsidRPr="00FB5E1A">
        <w:rPr>
          <w:rFonts w:ascii="Times New Roman" w:hAnsi="Times New Roman"/>
        </w:rPr>
        <w:tab/>
        <w:t>Controlled group changes and benefit liability transfers involve both an “old” controlled group and a “new” controlled group.  PBGC had already required submission of controlled group information with notices of controlled group changes under the old regulation and is now also requiring the same for benefit liability transfers.</w:t>
      </w:r>
    </w:p>
    <w:p w14:paraId="0766FC31" w14:textId="77777777" w:rsidR="00FB5E1A" w:rsidRPr="00FB5E1A" w:rsidRDefault="00FB5E1A" w:rsidP="00FB5E1A">
      <w:pPr>
        <w:ind w:left="720" w:hanging="720"/>
        <w:rPr>
          <w:rFonts w:ascii="Times New Roman" w:hAnsi="Times New Roman"/>
        </w:rPr>
      </w:pPr>
    </w:p>
    <w:p w14:paraId="14E595A2" w14:textId="77777777" w:rsidR="00FB5E1A" w:rsidRDefault="00FB5E1A" w:rsidP="00FB5E1A">
      <w:pPr>
        <w:ind w:left="720" w:hanging="720"/>
        <w:rPr>
          <w:rFonts w:ascii="Times New Roman" w:hAnsi="Times New Roman"/>
        </w:rPr>
      </w:pPr>
      <w:r w:rsidRPr="00FB5E1A">
        <w:rPr>
          <w:rFonts w:ascii="Times New Roman" w:hAnsi="Times New Roman"/>
        </w:rPr>
        <w:lastRenderedPageBreak/>
        <w:t xml:space="preserve">     ●</w:t>
      </w:r>
      <w:r w:rsidRPr="00FB5E1A">
        <w:rPr>
          <w:rFonts w:ascii="Times New Roman" w:hAnsi="Times New Roman"/>
        </w:rPr>
        <w:tab/>
        <w:t>Because extraordinary distributions raise questions about controlled group finances, PBGC now requires submission of financial information with notices of events of this type.</w:t>
      </w:r>
    </w:p>
    <w:p w14:paraId="1B45EA7D" w14:textId="77777777" w:rsidR="00F82AE8" w:rsidRDefault="00F82AE8" w:rsidP="00FB5E1A">
      <w:pPr>
        <w:ind w:left="720" w:hanging="720"/>
        <w:rPr>
          <w:rFonts w:ascii="Times New Roman" w:hAnsi="Times New Roman"/>
        </w:rPr>
      </w:pPr>
    </w:p>
    <w:p w14:paraId="710D29FE" w14:textId="51BB9058" w:rsidR="00F82AE8" w:rsidRDefault="00F82AE8" w:rsidP="00F82AE8">
      <w:pPr>
        <w:tabs>
          <w:tab w:val="left" w:pos="720"/>
        </w:tabs>
        <w:ind w:left="720" w:hanging="450"/>
        <w:rPr>
          <w:rFonts w:ascii="Times New Roman" w:hAnsi="Times New Roman"/>
        </w:rPr>
      </w:pPr>
      <w:r w:rsidRPr="00F82AE8">
        <w:rPr>
          <w:rFonts w:ascii="Times New Roman" w:hAnsi="Times New Roman"/>
          <w:highlight w:val="lightGray"/>
        </w:rPr>
        <w:t>●</w:t>
      </w:r>
      <w:r>
        <w:rPr>
          <w:rFonts w:ascii="Times New Roman" w:hAnsi="Times New Roman"/>
        </w:rPr>
        <w:t xml:space="preserve">     </w:t>
      </w:r>
      <w:r w:rsidRPr="00FB5E1A">
        <w:rPr>
          <w:rFonts w:ascii="Times New Roman" w:hAnsi="Times New Roman"/>
        </w:rPr>
        <w:t xml:space="preserve">PBGC now requires that notices of </w:t>
      </w:r>
      <w:r w:rsidR="000B5A05">
        <w:rPr>
          <w:rFonts w:ascii="Times New Roman" w:hAnsi="Times New Roman"/>
        </w:rPr>
        <w:t>substantial owner distributions</w:t>
      </w:r>
      <w:r w:rsidRPr="00FB5E1A">
        <w:rPr>
          <w:rFonts w:ascii="Times New Roman" w:hAnsi="Times New Roman"/>
        </w:rPr>
        <w:t xml:space="preserve"> give the reason for the distribution to hel</w:t>
      </w:r>
      <w:r w:rsidR="000B5A05">
        <w:rPr>
          <w:rFonts w:ascii="Times New Roman" w:hAnsi="Times New Roman"/>
        </w:rPr>
        <w:t>p PBGC analyze its significance</w:t>
      </w:r>
      <w:r w:rsidRPr="00FB5E1A">
        <w:rPr>
          <w:rFonts w:ascii="Times New Roman" w:hAnsi="Times New Roman"/>
        </w:rPr>
        <w:t xml:space="preserve">.  </w:t>
      </w:r>
    </w:p>
    <w:p w14:paraId="644188A3" w14:textId="77777777" w:rsidR="00F82AE8" w:rsidRPr="00F82AE8" w:rsidRDefault="00F82AE8" w:rsidP="00F82AE8">
      <w:pPr>
        <w:ind w:left="360"/>
        <w:rPr>
          <w:rFonts w:ascii="Times New Roman" w:hAnsi="Times New Roman"/>
        </w:rPr>
      </w:pPr>
    </w:p>
    <w:p w14:paraId="7ED5BD3D" w14:textId="2D6FA7D3" w:rsidR="00FB5E1A" w:rsidRPr="00FB5E1A" w:rsidRDefault="00FB5E1A" w:rsidP="00FB5E1A">
      <w:pPr>
        <w:ind w:left="720" w:hanging="720"/>
        <w:rPr>
          <w:rFonts w:ascii="Times New Roman" w:hAnsi="Times New Roman"/>
        </w:rPr>
      </w:pPr>
      <w:r w:rsidRPr="00FB5E1A">
        <w:rPr>
          <w:rFonts w:ascii="Times New Roman" w:hAnsi="Times New Roman"/>
        </w:rPr>
        <w:t xml:space="preserve">     ●</w:t>
      </w:r>
      <w:r w:rsidRPr="00FB5E1A">
        <w:rPr>
          <w:rFonts w:ascii="Times New Roman" w:hAnsi="Times New Roman"/>
        </w:rPr>
        <w:tab/>
        <w:t>Inability to pay benefits raise</w:t>
      </w:r>
      <w:r w:rsidR="00C61D0B">
        <w:rPr>
          <w:rFonts w:ascii="Times New Roman" w:hAnsi="Times New Roman"/>
        </w:rPr>
        <w:t>s</w:t>
      </w:r>
      <w:r w:rsidRPr="00FB5E1A">
        <w:rPr>
          <w:rFonts w:ascii="Times New Roman" w:hAnsi="Times New Roman"/>
        </w:rPr>
        <w:t xml:space="preserve"> the specter of imminent sponsor shutdown and plan termination.  Accordingly, for notice of th</w:t>
      </w:r>
      <w:r w:rsidR="00C61D0B">
        <w:rPr>
          <w:rFonts w:ascii="Times New Roman" w:hAnsi="Times New Roman"/>
        </w:rPr>
        <w:t>is</w:t>
      </w:r>
      <w:r w:rsidRPr="00FB5E1A">
        <w:rPr>
          <w:rFonts w:ascii="Times New Roman" w:hAnsi="Times New Roman"/>
        </w:rPr>
        <w:t xml:space="preserve"> event, PBGC now requires submission of copies of the most recent plan documents and IRS qualification letter.  </w:t>
      </w:r>
    </w:p>
    <w:p w14:paraId="58C12580" w14:textId="4D648330" w:rsidR="00091A67" w:rsidRPr="000344F2" w:rsidRDefault="00185F75" w:rsidP="00185F75">
      <w:pPr>
        <w:ind w:left="720" w:hanging="720"/>
        <w:rPr>
          <w:rFonts w:ascii="Times New Roman" w:hAnsi="Times New Roman"/>
        </w:rPr>
      </w:pPr>
      <w:r>
        <w:rPr>
          <w:rFonts w:ascii="Times New Roman" w:hAnsi="Times New Roman"/>
        </w:rPr>
        <w:t xml:space="preserve">     </w:t>
      </w:r>
    </w:p>
    <w:bookmarkEnd w:id="0"/>
    <w:bookmarkEnd w:id="1"/>
    <w:p w14:paraId="04C8821C" w14:textId="3CF7B3D0" w:rsidR="00B54BEE" w:rsidRPr="00A30BEE" w:rsidRDefault="00B54BEE" w:rsidP="00B54BEE">
      <w:pPr>
        <w:widowControl/>
        <w:spacing w:line="480" w:lineRule="auto"/>
        <w:ind w:firstLine="720"/>
        <w:rPr>
          <w:rFonts w:ascii="Times New Roman" w:hAnsi="Times New Roman"/>
        </w:rPr>
      </w:pPr>
      <w:r w:rsidRPr="00A30BEE">
        <w:rPr>
          <w:rFonts w:ascii="Times New Roman" w:hAnsi="Times New Roman"/>
        </w:rPr>
        <w:t xml:space="preserve">2.  </w:t>
      </w:r>
      <w:r w:rsidRPr="00A30BEE">
        <w:rPr>
          <w:rFonts w:ascii="Times New Roman" w:hAnsi="Times New Roman"/>
          <w:u w:val="single"/>
        </w:rPr>
        <w:t>Use of information</w:t>
      </w:r>
      <w:r w:rsidRPr="00A30BEE">
        <w:rPr>
          <w:rFonts w:ascii="Times New Roman" w:hAnsi="Times New Roman"/>
        </w:rPr>
        <w:t xml:space="preserve">.  PBGC uses the information provided in determining what, if any, action it needs to take.  For example, PBGC might need to institute proceedings to terminate the plan (placing it in trusteeship) under </w:t>
      </w:r>
      <w:r w:rsidR="004E1B19" w:rsidRPr="00A30BEE">
        <w:rPr>
          <w:rFonts w:ascii="Times New Roman" w:hAnsi="Times New Roman"/>
        </w:rPr>
        <w:t xml:space="preserve">ERISA </w:t>
      </w:r>
      <w:r w:rsidRPr="00A30BEE">
        <w:rPr>
          <w:rFonts w:ascii="Times New Roman" w:hAnsi="Times New Roman"/>
        </w:rPr>
        <w:t>section 4042 to ensure the continued payment of benefits to plan participants and their beneficiaries and/or to prevent unreasonable increases in its losses.</w:t>
      </w:r>
    </w:p>
    <w:p w14:paraId="1B342126" w14:textId="0AF09A61" w:rsidR="00B54BEE" w:rsidRPr="00A30BEE" w:rsidRDefault="00B54BEE" w:rsidP="00B54BEE">
      <w:pPr>
        <w:widowControl/>
        <w:spacing w:line="480" w:lineRule="auto"/>
        <w:ind w:firstLine="720"/>
        <w:rPr>
          <w:rFonts w:ascii="Times New Roman" w:hAnsi="Times New Roman"/>
        </w:rPr>
        <w:sectPr w:rsidR="00B54BEE" w:rsidRPr="00A30BEE" w:rsidSect="00B54BEE">
          <w:headerReference w:type="first" r:id="rId9"/>
          <w:pgSz w:w="12240" w:h="15840" w:code="1"/>
          <w:pgMar w:top="1440" w:right="1440" w:bottom="1440" w:left="1440" w:header="540" w:footer="1440" w:gutter="0"/>
          <w:cols w:space="720"/>
          <w:noEndnote/>
          <w:titlePg/>
        </w:sectPr>
      </w:pPr>
      <w:r w:rsidRPr="00A30BEE">
        <w:rPr>
          <w:rFonts w:ascii="Times New Roman" w:hAnsi="Times New Roman"/>
        </w:rPr>
        <w:t xml:space="preserve">3.  </w:t>
      </w:r>
      <w:r>
        <w:rPr>
          <w:rFonts w:ascii="Times New Roman" w:hAnsi="Times New Roman"/>
          <w:u w:val="single"/>
        </w:rPr>
        <w:t>Information technology</w:t>
      </w:r>
      <w:r w:rsidRPr="00A30BEE">
        <w:rPr>
          <w:rFonts w:ascii="Times New Roman" w:hAnsi="Times New Roman"/>
          <w:u w:val="single"/>
        </w:rPr>
        <w:t>.</w:t>
      </w:r>
      <w:r w:rsidRPr="00A30BEE">
        <w:rPr>
          <w:rFonts w:ascii="Times New Roman" w:hAnsi="Times New Roman"/>
        </w:rPr>
        <w:t xml:space="preserve">  </w:t>
      </w:r>
      <w:r w:rsidR="00D70928">
        <w:rPr>
          <w:rFonts w:ascii="Times New Roman" w:hAnsi="Times New Roman"/>
        </w:rPr>
        <w:t xml:space="preserve">The </w:t>
      </w:r>
      <w:r w:rsidR="001E40C2">
        <w:rPr>
          <w:rFonts w:ascii="Times New Roman" w:hAnsi="Times New Roman"/>
        </w:rPr>
        <w:t xml:space="preserve">final rule </w:t>
      </w:r>
      <w:r w:rsidR="00D70928">
        <w:rPr>
          <w:rFonts w:ascii="Times New Roman" w:hAnsi="Times New Roman"/>
        </w:rPr>
        <w:t>makes</w:t>
      </w:r>
      <w:r w:rsidR="00096BCC">
        <w:rPr>
          <w:rFonts w:ascii="Times New Roman" w:hAnsi="Times New Roman"/>
        </w:rPr>
        <w:t xml:space="preserve"> electronic filing </w:t>
      </w:r>
      <w:r w:rsidR="00A5074A">
        <w:rPr>
          <w:rFonts w:ascii="Times New Roman" w:hAnsi="Times New Roman"/>
        </w:rPr>
        <w:t xml:space="preserve">of </w:t>
      </w:r>
      <w:r w:rsidR="00096BCC">
        <w:rPr>
          <w:rFonts w:ascii="Times New Roman" w:hAnsi="Times New Roman"/>
        </w:rPr>
        <w:t xml:space="preserve">reportable events </w:t>
      </w:r>
      <w:r w:rsidR="00A5074A">
        <w:rPr>
          <w:rFonts w:ascii="Times New Roman" w:hAnsi="Times New Roman"/>
        </w:rPr>
        <w:t>notice</w:t>
      </w:r>
      <w:r w:rsidR="00096BCC">
        <w:rPr>
          <w:rFonts w:ascii="Times New Roman" w:hAnsi="Times New Roman"/>
        </w:rPr>
        <w:t>s</w:t>
      </w:r>
      <w:r w:rsidR="00D70928">
        <w:rPr>
          <w:rFonts w:ascii="Times New Roman" w:hAnsi="Times New Roman"/>
        </w:rPr>
        <w:t xml:space="preserve"> mandatory</w:t>
      </w:r>
      <w:r w:rsidR="00A5074A">
        <w:rPr>
          <w:rFonts w:ascii="Times New Roman" w:hAnsi="Times New Roman"/>
        </w:rPr>
        <w:t>.</w:t>
      </w:r>
      <w:r w:rsidR="00B3340C">
        <w:rPr>
          <w:rFonts w:ascii="Times New Roman" w:hAnsi="Times New Roman"/>
        </w:rPr>
        <w:t xml:space="preserve">  </w:t>
      </w:r>
      <w:r w:rsidR="00B3340C" w:rsidRPr="00B3340C">
        <w:rPr>
          <w:rFonts w:ascii="Times New Roman" w:hAnsi="Times New Roman"/>
          <w:szCs w:val="23"/>
        </w:rPr>
        <w:t>The current versions of PBGC Form 10</w:t>
      </w:r>
      <w:r w:rsidR="00B3340C">
        <w:rPr>
          <w:rFonts w:ascii="Times New Roman" w:hAnsi="Times New Roman"/>
          <w:szCs w:val="23"/>
        </w:rPr>
        <w:t xml:space="preserve"> and </w:t>
      </w:r>
      <w:r w:rsidR="00B3340C" w:rsidRPr="00B3340C">
        <w:rPr>
          <w:rFonts w:ascii="Times New Roman" w:hAnsi="Times New Roman"/>
          <w:szCs w:val="23"/>
        </w:rPr>
        <w:t>Form 10-Advance</w:t>
      </w:r>
      <w:r w:rsidR="00B3340C">
        <w:rPr>
          <w:rFonts w:ascii="Times New Roman" w:hAnsi="Times New Roman"/>
          <w:szCs w:val="23"/>
        </w:rPr>
        <w:t xml:space="preserve"> </w:t>
      </w:r>
      <w:r w:rsidR="00B3340C" w:rsidRPr="00B3340C">
        <w:rPr>
          <w:rFonts w:ascii="Times New Roman" w:hAnsi="Times New Roman"/>
          <w:szCs w:val="23"/>
        </w:rPr>
        <w:t>are already available in “fillable” format; in connection with the change to electronic filing, new versions of these forms will be available in “fillable” format to facilitate electronic filing.</w:t>
      </w:r>
    </w:p>
    <w:p w14:paraId="39E87264" w14:textId="77777777" w:rsidR="00B54BEE" w:rsidRPr="00A30BEE" w:rsidRDefault="00B54BEE" w:rsidP="00B54BEE">
      <w:pPr>
        <w:widowControl/>
        <w:spacing w:line="480" w:lineRule="auto"/>
        <w:ind w:firstLine="720"/>
        <w:rPr>
          <w:rFonts w:ascii="Times New Roman" w:hAnsi="Times New Roman"/>
        </w:rPr>
      </w:pPr>
      <w:r w:rsidRPr="00A30BEE">
        <w:rPr>
          <w:rFonts w:ascii="Times New Roman" w:hAnsi="Times New Roman"/>
        </w:rPr>
        <w:lastRenderedPageBreak/>
        <w:t xml:space="preserve">4.  </w:t>
      </w:r>
      <w:r w:rsidRPr="00A30BEE">
        <w:rPr>
          <w:rFonts w:ascii="Times New Roman" w:hAnsi="Times New Roman"/>
          <w:u w:val="single"/>
        </w:rPr>
        <w:t>Duplicat</w:t>
      </w:r>
      <w:r>
        <w:rPr>
          <w:rFonts w:ascii="Times New Roman" w:hAnsi="Times New Roman"/>
          <w:u w:val="single"/>
        </w:rPr>
        <w:t xml:space="preserve">e or </w:t>
      </w:r>
      <w:r w:rsidRPr="00A30BEE">
        <w:rPr>
          <w:rFonts w:ascii="Times New Roman" w:hAnsi="Times New Roman"/>
          <w:u w:val="single"/>
        </w:rPr>
        <w:t>similar information</w:t>
      </w:r>
      <w:r w:rsidRPr="00A30BEE">
        <w:rPr>
          <w:rFonts w:ascii="Times New Roman" w:hAnsi="Times New Roman"/>
        </w:rPr>
        <w:t>.  Some of the required information may already be in the possession of other Federal agencies.  However, there is no timely and reliable way to locate the required documents, particularly since the person reporting may have submitted to Federal agencies some, but fewer than all, of the documents required under this regulation.  In most cases, it would take a respondent more time to assist PBGC in tracking down and verifying documents in other agencies' files than simply to submit the information to PBGC.</w:t>
      </w:r>
      <w:r w:rsidR="00A5074A">
        <w:rPr>
          <w:rFonts w:ascii="Times New Roman" w:hAnsi="Times New Roman"/>
        </w:rPr>
        <w:t xml:space="preserve">  </w:t>
      </w:r>
    </w:p>
    <w:p w14:paraId="25793A06" w14:textId="77777777" w:rsidR="00B54BEE" w:rsidRPr="00A30BEE" w:rsidRDefault="00B54BEE" w:rsidP="00B54BEE">
      <w:pPr>
        <w:widowControl/>
        <w:spacing w:line="480" w:lineRule="auto"/>
        <w:ind w:firstLine="720"/>
        <w:rPr>
          <w:rFonts w:ascii="Times New Roman" w:hAnsi="Times New Roman"/>
        </w:rPr>
      </w:pPr>
      <w:r w:rsidRPr="00A30BEE">
        <w:rPr>
          <w:rFonts w:ascii="Times New Roman" w:hAnsi="Times New Roman"/>
        </w:rPr>
        <w:t xml:space="preserve">To the extent PBGC has the information </w:t>
      </w:r>
      <w:r w:rsidR="004E1D8C">
        <w:rPr>
          <w:rFonts w:ascii="Times New Roman" w:hAnsi="Times New Roman"/>
        </w:rPr>
        <w:t>through</w:t>
      </w:r>
      <w:r w:rsidRPr="00A30BEE">
        <w:rPr>
          <w:rFonts w:ascii="Times New Roman" w:hAnsi="Times New Roman"/>
        </w:rPr>
        <w:t xml:space="preserve"> another filing, respondents may identify </w:t>
      </w:r>
      <w:r w:rsidR="004E1D8C">
        <w:rPr>
          <w:rFonts w:ascii="Times New Roman" w:hAnsi="Times New Roman"/>
        </w:rPr>
        <w:t>that</w:t>
      </w:r>
      <w:r w:rsidR="004E1D8C" w:rsidRPr="00A30BEE">
        <w:rPr>
          <w:rFonts w:ascii="Times New Roman" w:hAnsi="Times New Roman"/>
        </w:rPr>
        <w:t xml:space="preserve"> </w:t>
      </w:r>
      <w:r w:rsidRPr="00A30BEE">
        <w:rPr>
          <w:rFonts w:ascii="Times New Roman" w:hAnsi="Times New Roman"/>
        </w:rPr>
        <w:t>other filing rather than refile the information.  Furthermore, one party may file on behalf of all those who are required to file.</w:t>
      </w:r>
    </w:p>
    <w:p w14:paraId="36B3CDE6" w14:textId="77777777" w:rsidR="00B54BEE" w:rsidRPr="00A30BEE" w:rsidRDefault="00B54BEE" w:rsidP="00B54BEE">
      <w:pPr>
        <w:widowControl/>
        <w:spacing w:line="480" w:lineRule="auto"/>
        <w:ind w:firstLine="720"/>
        <w:rPr>
          <w:rFonts w:ascii="Times New Roman" w:hAnsi="Times New Roman"/>
        </w:rPr>
      </w:pPr>
      <w:r w:rsidRPr="00A30BEE">
        <w:rPr>
          <w:rFonts w:ascii="Times New Roman" w:hAnsi="Times New Roman"/>
        </w:rPr>
        <w:lastRenderedPageBreak/>
        <w:t>The reportable event notice requirement for a failure to make required minimum funding payments is satisfied if a timely and complete Form 200 is submitted with respect to the same failure (see 29 CFR § 4043.25(d)).</w:t>
      </w:r>
    </w:p>
    <w:p w14:paraId="2AEEC29A" w14:textId="77777777" w:rsidR="00B54BEE" w:rsidRPr="00A30BEE" w:rsidRDefault="00B54BEE" w:rsidP="00B54BEE">
      <w:pPr>
        <w:widowControl/>
        <w:spacing w:line="480" w:lineRule="auto"/>
        <w:ind w:firstLine="720"/>
        <w:rPr>
          <w:rFonts w:ascii="Times New Roman" w:hAnsi="Times New Roman"/>
        </w:rPr>
      </w:pPr>
      <w:r w:rsidRPr="00A30BEE">
        <w:rPr>
          <w:rFonts w:ascii="Times New Roman" w:hAnsi="Times New Roman"/>
        </w:rPr>
        <w:t>PBGC believes that there is no information similar to that required under the regulation that could be used instead of the required information for the purposes served by the regulation.</w:t>
      </w:r>
    </w:p>
    <w:p w14:paraId="24AC63D1" w14:textId="58DEF712" w:rsidR="00B54BEE" w:rsidRPr="00A30BEE" w:rsidRDefault="00B54BEE" w:rsidP="00B54BEE">
      <w:pPr>
        <w:widowControl/>
        <w:spacing w:line="480" w:lineRule="auto"/>
        <w:ind w:firstLine="720"/>
        <w:rPr>
          <w:rFonts w:ascii="Times New Roman" w:hAnsi="Times New Roman"/>
        </w:rPr>
        <w:sectPr w:rsidR="00B54BEE" w:rsidRPr="00A30BEE">
          <w:headerReference w:type="even" r:id="rId10"/>
          <w:headerReference w:type="default" r:id="rId11"/>
          <w:footerReference w:type="default" r:id="rId12"/>
          <w:headerReference w:type="first" r:id="rId13"/>
          <w:type w:val="continuous"/>
          <w:pgSz w:w="12240" w:h="15840"/>
          <w:pgMar w:top="1440" w:right="1440" w:bottom="1440" w:left="1440" w:header="1440" w:footer="1440" w:gutter="0"/>
          <w:cols w:space="720"/>
          <w:noEndnote/>
        </w:sectPr>
      </w:pPr>
      <w:r w:rsidRPr="00A30BEE">
        <w:rPr>
          <w:rFonts w:ascii="Times New Roman" w:hAnsi="Times New Roman"/>
        </w:rPr>
        <w:t xml:space="preserve">5.  </w:t>
      </w:r>
      <w:r>
        <w:rPr>
          <w:rFonts w:ascii="Times New Roman" w:hAnsi="Times New Roman"/>
          <w:u w:val="single"/>
        </w:rPr>
        <w:t>Reducing the burden on small entities</w:t>
      </w:r>
      <w:r w:rsidRPr="00A30BEE">
        <w:rPr>
          <w:rFonts w:ascii="Times New Roman" w:hAnsi="Times New Roman"/>
        </w:rPr>
        <w:t xml:space="preserve">.  </w:t>
      </w:r>
      <w:r w:rsidR="00DE4DC0">
        <w:rPr>
          <w:rFonts w:ascii="Times New Roman" w:hAnsi="Times New Roman"/>
        </w:rPr>
        <w:t xml:space="preserve">Not applicable.  </w:t>
      </w:r>
      <w:r w:rsidR="00F54AAA">
        <w:rPr>
          <w:rFonts w:ascii="Times New Roman" w:hAnsi="Times New Roman"/>
        </w:rPr>
        <w:t xml:space="preserve">This information collection does not have a significant economic impact on a substantial number of small entities.  </w:t>
      </w:r>
      <w:r w:rsidR="00BD3F8F">
        <w:rPr>
          <w:rFonts w:ascii="Times New Roman" w:hAnsi="Times New Roman"/>
        </w:rPr>
        <w:t xml:space="preserve">The </w:t>
      </w:r>
      <w:r w:rsidR="00D70928">
        <w:rPr>
          <w:rFonts w:ascii="Times New Roman" w:hAnsi="Times New Roman"/>
        </w:rPr>
        <w:t xml:space="preserve">regulation as amended by the </w:t>
      </w:r>
      <w:r w:rsidR="001E40C2">
        <w:rPr>
          <w:rFonts w:ascii="Times New Roman" w:hAnsi="Times New Roman"/>
        </w:rPr>
        <w:t xml:space="preserve">final rule </w:t>
      </w:r>
      <w:r w:rsidR="00A61A92">
        <w:rPr>
          <w:rFonts w:ascii="Times New Roman" w:hAnsi="Times New Roman"/>
        </w:rPr>
        <w:t>provide</w:t>
      </w:r>
      <w:r w:rsidR="00D70928">
        <w:rPr>
          <w:rFonts w:ascii="Times New Roman" w:hAnsi="Times New Roman"/>
        </w:rPr>
        <w:t>s</w:t>
      </w:r>
      <w:r w:rsidR="00A61A92">
        <w:rPr>
          <w:rFonts w:ascii="Times New Roman" w:hAnsi="Times New Roman"/>
        </w:rPr>
        <w:t xml:space="preserve"> more waivers for</w:t>
      </w:r>
      <w:r w:rsidR="00F54AAA">
        <w:rPr>
          <w:rFonts w:ascii="Times New Roman" w:hAnsi="Times New Roman"/>
        </w:rPr>
        <w:t xml:space="preserve"> </w:t>
      </w:r>
      <w:r w:rsidR="0087404E">
        <w:rPr>
          <w:rFonts w:ascii="Times New Roman" w:hAnsi="Times New Roman"/>
        </w:rPr>
        <w:t>small plan</w:t>
      </w:r>
      <w:r w:rsidR="00A61A92">
        <w:rPr>
          <w:rFonts w:ascii="Times New Roman" w:hAnsi="Times New Roman"/>
        </w:rPr>
        <w:t>s</w:t>
      </w:r>
      <w:r w:rsidR="0087404E">
        <w:rPr>
          <w:rFonts w:ascii="Times New Roman" w:hAnsi="Times New Roman"/>
        </w:rPr>
        <w:t xml:space="preserve"> (under 100 participant</w:t>
      </w:r>
      <w:r w:rsidR="00DE4DC0">
        <w:rPr>
          <w:rFonts w:ascii="Times New Roman" w:hAnsi="Times New Roman"/>
        </w:rPr>
        <w:t>s</w:t>
      </w:r>
      <w:r w:rsidR="0087404E">
        <w:rPr>
          <w:rFonts w:ascii="Times New Roman" w:hAnsi="Times New Roman"/>
        </w:rPr>
        <w:t xml:space="preserve">) </w:t>
      </w:r>
      <w:r w:rsidR="00A61A92">
        <w:rPr>
          <w:rFonts w:ascii="Times New Roman" w:hAnsi="Times New Roman"/>
        </w:rPr>
        <w:t>than</w:t>
      </w:r>
      <w:r w:rsidR="00F54AAA">
        <w:rPr>
          <w:rFonts w:ascii="Times New Roman" w:hAnsi="Times New Roman"/>
        </w:rPr>
        <w:t xml:space="preserve"> </w:t>
      </w:r>
      <w:r w:rsidR="0087404E">
        <w:rPr>
          <w:rFonts w:ascii="Times New Roman" w:hAnsi="Times New Roman"/>
        </w:rPr>
        <w:t xml:space="preserve">under the </w:t>
      </w:r>
      <w:r w:rsidR="00D70928">
        <w:rPr>
          <w:rFonts w:ascii="Times New Roman" w:hAnsi="Times New Roman"/>
        </w:rPr>
        <w:t>previous</w:t>
      </w:r>
      <w:r w:rsidR="0087404E">
        <w:rPr>
          <w:rFonts w:ascii="Times New Roman" w:hAnsi="Times New Roman"/>
        </w:rPr>
        <w:t xml:space="preserve"> regulation </w:t>
      </w:r>
      <w:r w:rsidR="00A61A92">
        <w:rPr>
          <w:rFonts w:ascii="Times New Roman" w:hAnsi="Times New Roman"/>
        </w:rPr>
        <w:t>and extend</w:t>
      </w:r>
      <w:r w:rsidR="00D70928">
        <w:rPr>
          <w:rFonts w:ascii="Times New Roman" w:hAnsi="Times New Roman"/>
        </w:rPr>
        <w:t>s</w:t>
      </w:r>
      <w:r w:rsidR="00A61A92">
        <w:rPr>
          <w:rFonts w:ascii="Times New Roman" w:hAnsi="Times New Roman"/>
        </w:rPr>
        <w:t xml:space="preserve"> some</w:t>
      </w:r>
      <w:r w:rsidR="00863343">
        <w:rPr>
          <w:rFonts w:ascii="Times New Roman" w:hAnsi="Times New Roman"/>
        </w:rPr>
        <w:t xml:space="preserve"> due date</w:t>
      </w:r>
      <w:r w:rsidR="00A61A92">
        <w:rPr>
          <w:rFonts w:ascii="Times New Roman" w:hAnsi="Times New Roman"/>
        </w:rPr>
        <w:t>s</w:t>
      </w:r>
      <w:r w:rsidR="00863343">
        <w:rPr>
          <w:rFonts w:ascii="Times New Roman" w:hAnsi="Times New Roman"/>
        </w:rPr>
        <w:t xml:space="preserve"> for </w:t>
      </w:r>
      <w:r w:rsidR="00BD3F8F">
        <w:rPr>
          <w:rFonts w:ascii="Times New Roman" w:hAnsi="Times New Roman"/>
        </w:rPr>
        <w:t xml:space="preserve">small </w:t>
      </w:r>
      <w:r w:rsidR="00A61A92">
        <w:rPr>
          <w:rFonts w:ascii="Times New Roman" w:hAnsi="Times New Roman"/>
        </w:rPr>
        <w:t>plans</w:t>
      </w:r>
      <w:r w:rsidR="00F54AAA">
        <w:rPr>
          <w:rFonts w:ascii="Times New Roman" w:hAnsi="Times New Roman"/>
        </w:rPr>
        <w:t xml:space="preserve">.  </w:t>
      </w:r>
    </w:p>
    <w:p w14:paraId="047E028D" w14:textId="77777777" w:rsidR="00B54BEE" w:rsidRPr="00A30BEE" w:rsidRDefault="00B54BEE" w:rsidP="00B54BEE">
      <w:pPr>
        <w:widowControl/>
        <w:spacing w:line="480" w:lineRule="auto"/>
        <w:ind w:firstLine="720"/>
        <w:rPr>
          <w:rFonts w:ascii="Times New Roman" w:hAnsi="Times New Roman"/>
        </w:rPr>
      </w:pPr>
      <w:r w:rsidRPr="00A30BEE">
        <w:rPr>
          <w:rFonts w:ascii="Times New Roman" w:hAnsi="Times New Roman"/>
        </w:rPr>
        <w:lastRenderedPageBreak/>
        <w:t xml:space="preserve">6.  </w:t>
      </w:r>
      <w:r w:rsidRPr="00A30BEE">
        <w:rPr>
          <w:rFonts w:ascii="Times New Roman" w:hAnsi="Times New Roman"/>
          <w:u w:val="single"/>
        </w:rPr>
        <w:t>Consequences of no or less frequent collection</w:t>
      </w:r>
      <w:r w:rsidRPr="00A30BEE">
        <w:rPr>
          <w:rFonts w:ascii="Times New Roman" w:hAnsi="Times New Roman"/>
        </w:rPr>
        <w:t>.  The statutory requirement to notify PBGC is triggered by the occurrence of infrequent or nonrecurring event</w:t>
      </w:r>
      <w:r w:rsidR="00A61A92">
        <w:rPr>
          <w:rFonts w:ascii="Times New Roman" w:hAnsi="Times New Roman"/>
        </w:rPr>
        <w:t>s</w:t>
      </w:r>
      <w:r w:rsidRPr="00A30BEE">
        <w:rPr>
          <w:rFonts w:ascii="Times New Roman" w:hAnsi="Times New Roman"/>
        </w:rPr>
        <w:t xml:space="preserve">.  No reporting, or less frequent or timely notice, </w:t>
      </w:r>
      <w:r w:rsidR="00DE4DC0">
        <w:rPr>
          <w:rFonts w:ascii="Times New Roman" w:hAnsi="Times New Roman"/>
        </w:rPr>
        <w:t>c</w:t>
      </w:r>
      <w:r w:rsidR="00DE4DC0" w:rsidRPr="00A30BEE">
        <w:rPr>
          <w:rFonts w:ascii="Times New Roman" w:hAnsi="Times New Roman"/>
        </w:rPr>
        <w:t xml:space="preserve">ould </w:t>
      </w:r>
      <w:r w:rsidRPr="00A30BEE">
        <w:rPr>
          <w:rFonts w:ascii="Times New Roman" w:hAnsi="Times New Roman"/>
        </w:rPr>
        <w:t>impair PBGC's ability to fulfill its statutory responsibilities.</w:t>
      </w:r>
      <w:r w:rsidR="00DE4DC0">
        <w:rPr>
          <w:rFonts w:ascii="Times New Roman" w:hAnsi="Times New Roman"/>
        </w:rPr>
        <w:t xml:space="preserve">  PBGC proposes to modify waivers and extensions in the reportable events regulation to more effectively target troubled plans and sponsors while reducing burden for sponsors that are financially sound.</w:t>
      </w:r>
      <w:r w:rsidR="00DE4DC0" w:rsidRPr="00A30BEE">
        <w:rPr>
          <w:rFonts w:ascii="Times New Roman" w:hAnsi="Times New Roman"/>
        </w:rPr>
        <w:t xml:space="preserve">  </w:t>
      </w:r>
    </w:p>
    <w:p w14:paraId="7134827B" w14:textId="77777777" w:rsidR="00B54BEE" w:rsidRPr="00A30BEE" w:rsidRDefault="00B54BEE" w:rsidP="00B54BEE">
      <w:pPr>
        <w:widowControl/>
        <w:spacing w:line="480" w:lineRule="auto"/>
        <w:ind w:firstLine="720"/>
        <w:rPr>
          <w:rFonts w:ascii="Times New Roman" w:hAnsi="Times New Roman"/>
        </w:rPr>
      </w:pPr>
      <w:r w:rsidRPr="00A30BEE">
        <w:rPr>
          <w:rFonts w:ascii="Times New Roman" w:hAnsi="Times New Roman"/>
        </w:rPr>
        <w:t xml:space="preserve">7.  </w:t>
      </w:r>
      <w:r w:rsidRPr="00A30BEE">
        <w:rPr>
          <w:rFonts w:ascii="Times New Roman" w:hAnsi="Times New Roman"/>
          <w:u w:val="single"/>
        </w:rPr>
        <w:t>Special circumstances</w:t>
      </w:r>
      <w:r w:rsidRPr="00A30BEE">
        <w:rPr>
          <w:rFonts w:ascii="Times New Roman" w:hAnsi="Times New Roman"/>
        </w:rPr>
        <w:t xml:space="preserve">.  Reporting is required whenever a reportable event occurs.  In </w:t>
      </w:r>
      <w:r w:rsidR="00863343">
        <w:rPr>
          <w:rFonts w:ascii="Times New Roman" w:hAnsi="Times New Roman"/>
        </w:rPr>
        <w:t>unusual</w:t>
      </w:r>
      <w:r w:rsidRPr="00A30BEE">
        <w:rPr>
          <w:rFonts w:ascii="Times New Roman" w:hAnsi="Times New Roman"/>
        </w:rPr>
        <w:t xml:space="preserve"> cases, a respondent could incur </w:t>
      </w:r>
      <w:r w:rsidR="00863343">
        <w:rPr>
          <w:rFonts w:ascii="Times New Roman" w:hAnsi="Times New Roman"/>
        </w:rPr>
        <w:t>more than one</w:t>
      </w:r>
      <w:r w:rsidRPr="00A30BEE">
        <w:rPr>
          <w:rFonts w:ascii="Times New Roman" w:hAnsi="Times New Roman"/>
        </w:rPr>
        <w:t xml:space="preserve"> reportable event within a quarter, thereby requiring reporting more frequently than quarterly.    </w:t>
      </w:r>
    </w:p>
    <w:p w14:paraId="067EAFC8" w14:textId="77777777" w:rsidR="00B54BEE" w:rsidRPr="00A30BEE" w:rsidRDefault="00B54BEE" w:rsidP="00B54BEE">
      <w:pPr>
        <w:widowControl/>
        <w:spacing w:line="480" w:lineRule="auto"/>
        <w:ind w:firstLine="720"/>
        <w:rPr>
          <w:rFonts w:ascii="Times New Roman" w:hAnsi="Times New Roman"/>
        </w:rPr>
      </w:pPr>
      <w:r w:rsidRPr="00A30BEE">
        <w:rPr>
          <w:rFonts w:ascii="Times New Roman" w:hAnsi="Times New Roman"/>
        </w:rPr>
        <w:t>In some cases</w:t>
      </w:r>
      <w:r>
        <w:rPr>
          <w:rFonts w:ascii="Times New Roman" w:hAnsi="Times New Roman"/>
        </w:rPr>
        <w:t>,</w:t>
      </w:r>
      <w:r w:rsidRPr="00A30BEE">
        <w:rPr>
          <w:rFonts w:ascii="Times New Roman" w:hAnsi="Times New Roman"/>
        </w:rPr>
        <w:t xml:space="preserve"> PBGC may require the submission of additional information.  In general, the submission of additional information is required within 30 days after PBGC makes a written request.</w:t>
      </w:r>
      <w:r>
        <w:rPr>
          <w:rFonts w:ascii="Times New Roman" w:hAnsi="Times New Roman"/>
        </w:rPr>
        <w:t xml:space="preserve"> </w:t>
      </w:r>
      <w:r w:rsidRPr="00A30BEE">
        <w:rPr>
          <w:rFonts w:ascii="Times New Roman" w:hAnsi="Times New Roman"/>
        </w:rPr>
        <w:t xml:space="preserve"> However, for advance reporting, the additional information is required within 7 days of the written request. </w:t>
      </w:r>
      <w:r>
        <w:rPr>
          <w:rFonts w:ascii="Times New Roman" w:hAnsi="Times New Roman"/>
        </w:rPr>
        <w:t xml:space="preserve"> </w:t>
      </w:r>
      <w:r w:rsidRPr="00A30BEE">
        <w:rPr>
          <w:rFonts w:ascii="Times New Roman" w:hAnsi="Times New Roman"/>
        </w:rPr>
        <w:t xml:space="preserve">This is necessary to ensure that PBGC has sufficient time to evaluate the </w:t>
      </w:r>
      <w:r w:rsidRPr="00A30BEE">
        <w:rPr>
          <w:rFonts w:ascii="Times New Roman" w:hAnsi="Times New Roman"/>
        </w:rPr>
        <w:lastRenderedPageBreak/>
        <w:t>event and determine if action is required before the event becomes effective (</w:t>
      </w:r>
      <w:r w:rsidRPr="004A3CB9">
        <w:rPr>
          <w:rFonts w:ascii="Times New Roman" w:hAnsi="Times New Roman"/>
          <w:i/>
        </w:rPr>
        <w:t>i.e.</w:t>
      </w:r>
      <w:r w:rsidRPr="00A30BEE">
        <w:rPr>
          <w:rFonts w:ascii="Times New Roman" w:hAnsi="Times New Roman"/>
        </w:rPr>
        <w:t>, 30 days after the initial report).  In addition, PBGC may shorten either the 30-day or 7-day time period</w:t>
      </w:r>
      <w:r w:rsidR="00751539">
        <w:rPr>
          <w:rFonts w:ascii="Times New Roman" w:hAnsi="Times New Roman"/>
        </w:rPr>
        <w:t xml:space="preserve"> for additional information</w:t>
      </w:r>
      <w:r w:rsidRPr="00A30BEE">
        <w:rPr>
          <w:rFonts w:ascii="Times New Roman" w:hAnsi="Times New Roman"/>
        </w:rPr>
        <w:t>, but only where it determines that the interests of PBGC or participants may be prejudiced by a delay in the receipt of the information.</w:t>
      </w:r>
    </w:p>
    <w:p w14:paraId="452A5250" w14:textId="77777777" w:rsidR="00B54BEE" w:rsidRDefault="00B54BEE" w:rsidP="00B54BEE">
      <w:pPr>
        <w:widowControl/>
        <w:spacing w:line="480" w:lineRule="auto"/>
        <w:ind w:firstLine="720"/>
        <w:rPr>
          <w:rFonts w:ascii="Times New Roman" w:hAnsi="Times New Roman"/>
        </w:rPr>
      </w:pPr>
      <w:r w:rsidRPr="00A30BEE">
        <w:rPr>
          <w:rFonts w:ascii="Times New Roman" w:hAnsi="Times New Roman"/>
        </w:rPr>
        <w:t xml:space="preserve">In all other respects, this collection of information is not conducted in any manner described in </w:t>
      </w:r>
      <w:r w:rsidR="00863343">
        <w:rPr>
          <w:rFonts w:ascii="Times New Roman" w:hAnsi="Times New Roman"/>
        </w:rPr>
        <w:t>5 CFR § 1320.5(d</w:t>
      </w:r>
      <w:proofErr w:type="gramStart"/>
      <w:r w:rsidR="00863343">
        <w:rPr>
          <w:rFonts w:ascii="Times New Roman" w:hAnsi="Times New Roman"/>
        </w:rPr>
        <w:t>)(</w:t>
      </w:r>
      <w:proofErr w:type="gramEnd"/>
      <w:r w:rsidR="00863343">
        <w:rPr>
          <w:rFonts w:ascii="Times New Roman" w:hAnsi="Times New Roman"/>
        </w:rPr>
        <w:t>2)</w:t>
      </w:r>
      <w:r w:rsidRPr="00A30BEE">
        <w:rPr>
          <w:rFonts w:ascii="Times New Roman" w:hAnsi="Times New Roman"/>
        </w:rPr>
        <w:t>.</w:t>
      </w:r>
    </w:p>
    <w:p w14:paraId="03A4ABEC" w14:textId="62094720" w:rsidR="00B54BEE" w:rsidRDefault="00B54BEE" w:rsidP="00B54BEE">
      <w:pPr>
        <w:widowControl/>
        <w:spacing w:line="480" w:lineRule="auto"/>
        <w:ind w:firstLine="720"/>
        <w:rPr>
          <w:rFonts w:ascii="Times New Roman" w:hAnsi="Times New Roman"/>
        </w:rPr>
      </w:pPr>
      <w:r w:rsidRPr="00A30BEE">
        <w:rPr>
          <w:rFonts w:ascii="Times New Roman" w:hAnsi="Times New Roman"/>
        </w:rPr>
        <w:t xml:space="preserve">8.  </w:t>
      </w:r>
      <w:r w:rsidRPr="00A30BEE">
        <w:rPr>
          <w:rFonts w:ascii="Times New Roman" w:hAnsi="Times New Roman"/>
          <w:u w:val="single"/>
        </w:rPr>
        <w:t>Outside input.</w:t>
      </w:r>
      <w:r w:rsidRPr="00A30BEE">
        <w:rPr>
          <w:rFonts w:ascii="Times New Roman" w:hAnsi="Times New Roman"/>
        </w:rPr>
        <w:t xml:space="preserve">  </w:t>
      </w:r>
      <w:r>
        <w:rPr>
          <w:rFonts w:ascii="Times New Roman" w:hAnsi="Times New Roman"/>
        </w:rPr>
        <w:t>O</w:t>
      </w:r>
      <w:r w:rsidRPr="00A30BEE">
        <w:rPr>
          <w:rFonts w:ascii="Times New Roman" w:hAnsi="Times New Roman"/>
        </w:rPr>
        <w:t xml:space="preserve">n </w:t>
      </w:r>
      <w:r w:rsidR="00954EAC">
        <w:rPr>
          <w:rFonts w:ascii="Times New Roman" w:hAnsi="Times New Roman"/>
        </w:rPr>
        <w:t>April 3</w:t>
      </w:r>
      <w:r w:rsidRPr="00A30BEE">
        <w:rPr>
          <w:rFonts w:ascii="Times New Roman" w:hAnsi="Times New Roman"/>
        </w:rPr>
        <w:t xml:space="preserve">, </w:t>
      </w:r>
      <w:r w:rsidR="00760016" w:rsidRPr="00A30BEE">
        <w:rPr>
          <w:rFonts w:ascii="Times New Roman" w:hAnsi="Times New Roman"/>
        </w:rPr>
        <w:t>20</w:t>
      </w:r>
      <w:r w:rsidR="00760016">
        <w:rPr>
          <w:rFonts w:ascii="Times New Roman" w:hAnsi="Times New Roman"/>
        </w:rPr>
        <w:t>1</w:t>
      </w:r>
      <w:r w:rsidR="00363C2A">
        <w:rPr>
          <w:rFonts w:ascii="Times New Roman" w:hAnsi="Times New Roman"/>
        </w:rPr>
        <w:t>3</w:t>
      </w:r>
      <w:r w:rsidRPr="00A30BEE">
        <w:rPr>
          <w:rFonts w:ascii="Times New Roman" w:hAnsi="Times New Roman"/>
        </w:rPr>
        <w:t xml:space="preserve">, </w:t>
      </w:r>
      <w:r>
        <w:rPr>
          <w:rFonts w:ascii="Times New Roman" w:hAnsi="Times New Roman"/>
        </w:rPr>
        <w:t xml:space="preserve">PBGC published </w:t>
      </w:r>
      <w:r w:rsidR="00DE4DC0">
        <w:rPr>
          <w:rFonts w:ascii="Times New Roman" w:hAnsi="Times New Roman"/>
        </w:rPr>
        <w:t>a proposed rule</w:t>
      </w:r>
      <w:r>
        <w:rPr>
          <w:rFonts w:ascii="Times New Roman" w:hAnsi="Times New Roman"/>
        </w:rPr>
        <w:t xml:space="preserve"> </w:t>
      </w:r>
      <w:r w:rsidR="00441FD6">
        <w:rPr>
          <w:rFonts w:ascii="Times New Roman" w:hAnsi="Times New Roman"/>
        </w:rPr>
        <w:t>(78</w:t>
      </w:r>
      <w:r w:rsidR="00441FD6" w:rsidRPr="009F777F">
        <w:rPr>
          <w:rFonts w:ascii="Times New Roman" w:hAnsi="Times New Roman"/>
        </w:rPr>
        <w:t xml:space="preserve"> FR </w:t>
      </w:r>
      <w:r w:rsidR="00441FD6">
        <w:rPr>
          <w:rFonts w:ascii="Times New Roman" w:hAnsi="Times New Roman"/>
        </w:rPr>
        <w:t xml:space="preserve">20039) </w:t>
      </w:r>
      <w:r w:rsidRPr="00A30BEE">
        <w:rPr>
          <w:rFonts w:ascii="Times New Roman" w:hAnsi="Times New Roman"/>
        </w:rPr>
        <w:t>soliciting public comment on this collection of information pursuant to 5 CFR § 1320.8(d)</w:t>
      </w:r>
      <w:r>
        <w:rPr>
          <w:rFonts w:ascii="Times New Roman" w:hAnsi="Times New Roman"/>
        </w:rPr>
        <w:t>.</w:t>
      </w:r>
      <w:r w:rsidR="004E1D8C">
        <w:rPr>
          <w:rFonts w:ascii="Times New Roman" w:hAnsi="Times New Roman"/>
        </w:rPr>
        <w:t xml:space="preserve">  To encourage</w:t>
      </w:r>
      <w:r w:rsidR="00571BBF" w:rsidRPr="00571BBF">
        <w:rPr>
          <w:rFonts w:ascii="Times New Roman" w:hAnsi="Times New Roman"/>
        </w:rPr>
        <w:t xml:space="preserve"> public </w:t>
      </w:r>
      <w:r w:rsidR="00D7129E">
        <w:rPr>
          <w:rFonts w:ascii="Times New Roman" w:hAnsi="Times New Roman"/>
        </w:rPr>
        <w:t xml:space="preserve">participation in the </w:t>
      </w:r>
      <w:r w:rsidR="00D7129E" w:rsidRPr="00D7129E">
        <w:rPr>
          <w:rFonts w:ascii="Times New Roman" w:hAnsi="Times New Roman"/>
        </w:rPr>
        <w:t xml:space="preserve">development of the </w:t>
      </w:r>
      <w:r w:rsidR="00BD3F8F">
        <w:rPr>
          <w:rFonts w:ascii="Times New Roman" w:hAnsi="Times New Roman"/>
        </w:rPr>
        <w:t xml:space="preserve">final </w:t>
      </w:r>
      <w:r w:rsidR="004E1D8C">
        <w:rPr>
          <w:rFonts w:ascii="Times New Roman" w:hAnsi="Times New Roman"/>
        </w:rPr>
        <w:t>regulation</w:t>
      </w:r>
      <w:r w:rsidR="00D7129E" w:rsidRPr="00D7129E">
        <w:rPr>
          <w:rFonts w:ascii="Times New Roman" w:hAnsi="Times New Roman"/>
        </w:rPr>
        <w:t xml:space="preserve">, PBGC </w:t>
      </w:r>
      <w:r w:rsidR="00D70928">
        <w:rPr>
          <w:rFonts w:ascii="Times New Roman" w:hAnsi="Times New Roman"/>
        </w:rPr>
        <w:t>held</w:t>
      </w:r>
      <w:r w:rsidR="00D7129E" w:rsidRPr="00D7129E">
        <w:rPr>
          <w:rFonts w:ascii="Times New Roman" w:hAnsi="Times New Roman"/>
        </w:rPr>
        <w:t xml:space="preserve"> a public hearing </w:t>
      </w:r>
      <w:r w:rsidR="00954EAC">
        <w:rPr>
          <w:rFonts w:ascii="Times New Roman" w:hAnsi="Times New Roman"/>
        </w:rPr>
        <w:t xml:space="preserve">on </w:t>
      </w:r>
      <w:r w:rsidR="00954EAC" w:rsidRPr="00954EAC">
        <w:rPr>
          <w:rFonts w:ascii="Times New Roman" w:hAnsi="Times New Roman"/>
        </w:rPr>
        <w:t>June 18</w:t>
      </w:r>
      <w:r w:rsidR="00D7129E" w:rsidRPr="00D7129E">
        <w:rPr>
          <w:rFonts w:ascii="Times New Roman" w:hAnsi="Times New Roman"/>
        </w:rPr>
        <w:t>, 201</w:t>
      </w:r>
      <w:r w:rsidR="00363C2A">
        <w:rPr>
          <w:rFonts w:ascii="Times New Roman" w:hAnsi="Times New Roman"/>
        </w:rPr>
        <w:t>3</w:t>
      </w:r>
      <w:r w:rsidR="00D7129E" w:rsidRPr="00D7129E">
        <w:rPr>
          <w:rFonts w:ascii="Times New Roman" w:hAnsi="Times New Roman"/>
        </w:rPr>
        <w:t>, shortly after the close of the comment period.</w:t>
      </w:r>
      <w:r w:rsidR="00D70928">
        <w:rPr>
          <w:rFonts w:ascii="Times New Roman" w:hAnsi="Times New Roman"/>
        </w:rPr>
        <w:t xml:space="preserve">  </w:t>
      </w:r>
      <w:r w:rsidR="006A1477">
        <w:rPr>
          <w:rFonts w:ascii="Times New Roman" w:hAnsi="Times New Roman"/>
        </w:rPr>
        <w:t xml:space="preserve">Comments on the information requirements included concerns about moving information requirements </w:t>
      </w:r>
      <w:r w:rsidR="00BD3F8F">
        <w:rPr>
          <w:rFonts w:ascii="Times New Roman" w:hAnsi="Times New Roman"/>
        </w:rPr>
        <w:t xml:space="preserve">from the regulation </w:t>
      </w:r>
      <w:r w:rsidR="006A1477">
        <w:rPr>
          <w:rFonts w:ascii="Times New Roman" w:hAnsi="Times New Roman"/>
        </w:rPr>
        <w:t>to the forms and instructions</w:t>
      </w:r>
      <w:r w:rsidR="00BD3F8F">
        <w:rPr>
          <w:rFonts w:ascii="Times New Roman" w:hAnsi="Times New Roman"/>
        </w:rPr>
        <w:t xml:space="preserve">, requiring </w:t>
      </w:r>
      <w:r w:rsidR="006A1477">
        <w:rPr>
          <w:rFonts w:ascii="Times New Roman" w:hAnsi="Times New Roman"/>
        </w:rPr>
        <w:t>increased information be initially reported</w:t>
      </w:r>
      <w:r w:rsidR="00BD3F8F">
        <w:rPr>
          <w:rFonts w:ascii="Times New Roman" w:hAnsi="Times New Roman"/>
        </w:rPr>
        <w:t xml:space="preserve">, and making </w:t>
      </w:r>
      <w:r w:rsidR="005A360E">
        <w:rPr>
          <w:rFonts w:ascii="Times New Roman" w:hAnsi="Times New Roman"/>
        </w:rPr>
        <w:t xml:space="preserve">electronic </w:t>
      </w:r>
      <w:r w:rsidR="00BD3F8F">
        <w:rPr>
          <w:rFonts w:ascii="Times New Roman" w:hAnsi="Times New Roman"/>
        </w:rPr>
        <w:t>filing mandatory</w:t>
      </w:r>
      <w:r w:rsidR="005A360E">
        <w:rPr>
          <w:rFonts w:ascii="Times New Roman" w:hAnsi="Times New Roman"/>
        </w:rPr>
        <w:t>.  PBGC</w:t>
      </w:r>
      <w:r w:rsidR="00BD3F8F">
        <w:rPr>
          <w:rFonts w:ascii="Times New Roman" w:hAnsi="Times New Roman"/>
        </w:rPr>
        <w:t>’s</w:t>
      </w:r>
      <w:r w:rsidR="005A360E">
        <w:rPr>
          <w:rFonts w:ascii="Times New Roman" w:hAnsi="Times New Roman"/>
        </w:rPr>
        <w:t xml:space="preserve"> </w:t>
      </w:r>
      <w:r w:rsidR="00BD3F8F">
        <w:rPr>
          <w:rFonts w:ascii="Times New Roman" w:hAnsi="Times New Roman"/>
        </w:rPr>
        <w:t xml:space="preserve">addressed these comments in the preamble to </w:t>
      </w:r>
      <w:r w:rsidR="005A360E">
        <w:rPr>
          <w:rFonts w:ascii="Times New Roman" w:hAnsi="Times New Roman"/>
        </w:rPr>
        <w:t xml:space="preserve">the </w:t>
      </w:r>
      <w:r w:rsidR="001E40C2">
        <w:rPr>
          <w:rFonts w:ascii="Times New Roman" w:hAnsi="Times New Roman"/>
        </w:rPr>
        <w:t>final rule</w:t>
      </w:r>
      <w:r w:rsidR="005A360E">
        <w:rPr>
          <w:rFonts w:ascii="Times New Roman" w:hAnsi="Times New Roman"/>
        </w:rPr>
        <w:t>.</w:t>
      </w:r>
    </w:p>
    <w:p w14:paraId="5F641C94" w14:textId="77777777" w:rsidR="00B54BEE" w:rsidRPr="00A30BEE" w:rsidRDefault="00B54BEE" w:rsidP="00B54BEE">
      <w:pPr>
        <w:widowControl/>
        <w:spacing w:line="480" w:lineRule="auto"/>
        <w:ind w:firstLine="720"/>
        <w:rPr>
          <w:rFonts w:ascii="Times New Roman" w:hAnsi="Times New Roman"/>
        </w:rPr>
      </w:pPr>
      <w:r w:rsidRPr="00A30BEE">
        <w:rPr>
          <w:rFonts w:ascii="Times New Roman" w:hAnsi="Times New Roman"/>
        </w:rPr>
        <w:t xml:space="preserve">9.  </w:t>
      </w:r>
      <w:r w:rsidRPr="00A30BEE">
        <w:rPr>
          <w:rFonts w:ascii="Times New Roman" w:hAnsi="Times New Roman"/>
          <w:u w:val="single"/>
        </w:rPr>
        <w:t xml:space="preserve">Payments </w:t>
      </w:r>
      <w:r>
        <w:rPr>
          <w:rFonts w:ascii="Times New Roman" w:hAnsi="Times New Roman"/>
          <w:u w:val="single"/>
        </w:rPr>
        <w:t>to respondents</w:t>
      </w:r>
      <w:r w:rsidRPr="00A30BEE">
        <w:rPr>
          <w:rFonts w:ascii="Times New Roman" w:hAnsi="Times New Roman"/>
          <w:u w:val="single"/>
        </w:rPr>
        <w:t>.</w:t>
      </w:r>
      <w:r w:rsidRPr="00A30BEE">
        <w:rPr>
          <w:rFonts w:ascii="Times New Roman" w:hAnsi="Times New Roman"/>
        </w:rPr>
        <w:t xml:space="preserve">  </w:t>
      </w:r>
      <w:r>
        <w:rPr>
          <w:rFonts w:ascii="Times New Roman" w:hAnsi="Times New Roman"/>
        </w:rPr>
        <w:t>PBGC provides</w:t>
      </w:r>
      <w:r w:rsidRPr="00A30BEE">
        <w:rPr>
          <w:rFonts w:ascii="Times New Roman" w:hAnsi="Times New Roman"/>
        </w:rPr>
        <w:t xml:space="preserve"> no payments or gifts </w:t>
      </w:r>
      <w:r>
        <w:rPr>
          <w:rFonts w:ascii="Times New Roman" w:hAnsi="Times New Roman"/>
        </w:rPr>
        <w:t xml:space="preserve">to respondents </w:t>
      </w:r>
      <w:r w:rsidRPr="00A30BEE">
        <w:rPr>
          <w:rFonts w:ascii="Times New Roman" w:hAnsi="Times New Roman"/>
        </w:rPr>
        <w:t>in connection with this collection of information.</w:t>
      </w:r>
    </w:p>
    <w:p w14:paraId="1EA93B2D" w14:textId="77777777" w:rsidR="00B54BEE" w:rsidRPr="00A30BEE" w:rsidRDefault="00B54BEE" w:rsidP="00B54BEE">
      <w:pPr>
        <w:widowControl/>
        <w:spacing w:line="480" w:lineRule="auto"/>
        <w:ind w:firstLine="720"/>
        <w:rPr>
          <w:rFonts w:ascii="Times New Roman" w:hAnsi="Times New Roman"/>
        </w:rPr>
      </w:pPr>
      <w:r w:rsidRPr="00A30BEE">
        <w:rPr>
          <w:rFonts w:ascii="Times New Roman" w:hAnsi="Times New Roman"/>
        </w:rPr>
        <w:t xml:space="preserve">10.  </w:t>
      </w:r>
      <w:r w:rsidRPr="00A30BEE">
        <w:rPr>
          <w:rFonts w:ascii="Times New Roman" w:hAnsi="Times New Roman"/>
          <w:u w:val="single"/>
        </w:rPr>
        <w:t>Confidentiality</w:t>
      </w:r>
      <w:r w:rsidRPr="00A30BEE">
        <w:rPr>
          <w:rFonts w:ascii="Times New Roman" w:hAnsi="Times New Roman"/>
        </w:rPr>
        <w:t xml:space="preserve">.  In accordance with </w:t>
      </w:r>
      <w:r w:rsidR="004E1B19" w:rsidRPr="00A30BEE">
        <w:rPr>
          <w:rFonts w:ascii="Times New Roman" w:hAnsi="Times New Roman"/>
        </w:rPr>
        <w:t xml:space="preserve">ERISA </w:t>
      </w:r>
      <w:r w:rsidRPr="00A30BEE">
        <w:rPr>
          <w:rFonts w:ascii="Times New Roman" w:hAnsi="Times New Roman"/>
        </w:rPr>
        <w:t xml:space="preserve">section 4043(f) and 29 CFR § 4901.21(a)(3), any information or documentary material that is not publicly available and is submitted to PBGC pursuant to section 4043 </w:t>
      </w:r>
      <w:r w:rsidR="00D7129E">
        <w:rPr>
          <w:rFonts w:ascii="Times New Roman" w:hAnsi="Times New Roman"/>
        </w:rPr>
        <w:t>will</w:t>
      </w:r>
      <w:r w:rsidRPr="00A30BEE">
        <w:rPr>
          <w:rFonts w:ascii="Times New Roman" w:hAnsi="Times New Roman"/>
        </w:rPr>
        <w:t xml:space="preserve"> not be made public, except as may be relevant to an administrative or judicial action or proceeding.  (ERISA section 4043(</w:t>
      </w:r>
      <w:r>
        <w:rPr>
          <w:rFonts w:ascii="Times New Roman" w:hAnsi="Times New Roman"/>
        </w:rPr>
        <w:t>f</w:t>
      </w:r>
      <w:r w:rsidRPr="00A30BEE">
        <w:rPr>
          <w:rFonts w:ascii="Times New Roman" w:hAnsi="Times New Roman"/>
        </w:rPr>
        <w:t>), like FOIA section 552(d), does not prevent disclosure to Congress, or to an authorized congressional committee or subcommittee.)</w:t>
      </w:r>
    </w:p>
    <w:p w14:paraId="5D4FE5EB" w14:textId="77777777" w:rsidR="00B54BEE" w:rsidRPr="00A30BEE" w:rsidRDefault="00B54BEE" w:rsidP="00B54BEE">
      <w:pPr>
        <w:widowControl/>
        <w:spacing w:line="480" w:lineRule="auto"/>
        <w:ind w:firstLine="720"/>
        <w:rPr>
          <w:rFonts w:ascii="Times New Roman" w:hAnsi="Times New Roman"/>
        </w:rPr>
      </w:pPr>
      <w:r w:rsidRPr="00A30BEE">
        <w:rPr>
          <w:rFonts w:ascii="Times New Roman" w:hAnsi="Times New Roman"/>
        </w:rPr>
        <w:lastRenderedPageBreak/>
        <w:t xml:space="preserve">11.  </w:t>
      </w:r>
      <w:r>
        <w:rPr>
          <w:rFonts w:ascii="Times New Roman" w:hAnsi="Times New Roman"/>
          <w:u w:val="single"/>
        </w:rPr>
        <w:t>Personal</w:t>
      </w:r>
      <w:r w:rsidRPr="00A30BEE">
        <w:rPr>
          <w:rFonts w:ascii="Times New Roman" w:hAnsi="Times New Roman"/>
          <w:u w:val="single"/>
        </w:rPr>
        <w:t xml:space="preserve"> questions.</w:t>
      </w:r>
      <w:r w:rsidRPr="00A30BEE">
        <w:rPr>
          <w:rFonts w:ascii="Times New Roman" w:hAnsi="Times New Roman"/>
        </w:rPr>
        <w:t xml:space="preserve">  This collection of information does not call for submission of information of a </w:t>
      </w:r>
      <w:r w:rsidR="00751539">
        <w:rPr>
          <w:rFonts w:ascii="Times New Roman" w:hAnsi="Times New Roman"/>
        </w:rPr>
        <w:t>personal</w:t>
      </w:r>
      <w:r w:rsidRPr="00A30BEE">
        <w:rPr>
          <w:rFonts w:ascii="Times New Roman" w:hAnsi="Times New Roman"/>
        </w:rPr>
        <w:t xml:space="preserve"> nature.</w:t>
      </w:r>
    </w:p>
    <w:p w14:paraId="5D344787" w14:textId="46DE9806" w:rsidR="00B54BEE" w:rsidRPr="00A30BEE" w:rsidRDefault="00B54BEE" w:rsidP="00B54BEE">
      <w:pPr>
        <w:widowControl/>
        <w:spacing w:line="480" w:lineRule="auto"/>
        <w:ind w:firstLine="720"/>
        <w:rPr>
          <w:rFonts w:ascii="Times New Roman" w:hAnsi="Times New Roman"/>
        </w:rPr>
      </w:pPr>
      <w:r w:rsidRPr="00A30BEE">
        <w:rPr>
          <w:rFonts w:ascii="Times New Roman" w:hAnsi="Times New Roman"/>
        </w:rPr>
        <w:t xml:space="preserve">12.  </w:t>
      </w:r>
      <w:r w:rsidRPr="004108D4">
        <w:rPr>
          <w:rFonts w:ascii="Times New Roman" w:hAnsi="Times New Roman"/>
          <w:u w:val="single"/>
        </w:rPr>
        <w:t>Burden on the public</w:t>
      </w:r>
      <w:r w:rsidRPr="00A30BEE">
        <w:rPr>
          <w:rFonts w:ascii="Times New Roman" w:hAnsi="Times New Roman"/>
          <w:u w:val="single"/>
        </w:rPr>
        <w:t>.</w:t>
      </w:r>
      <w:r>
        <w:rPr>
          <w:rFonts w:ascii="Times New Roman" w:hAnsi="Times New Roman"/>
        </w:rPr>
        <w:t xml:space="preserve">  </w:t>
      </w:r>
      <w:r w:rsidRPr="00A30BEE">
        <w:rPr>
          <w:rFonts w:ascii="Times New Roman" w:hAnsi="Times New Roman"/>
        </w:rPr>
        <w:t xml:space="preserve">PBGC </w:t>
      </w:r>
      <w:r w:rsidR="00831FC8">
        <w:rPr>
          <w:rFonts w:ascii="Times New Roman" w:hAnsi="Times New Roman"/>
        </w:rPr>
        <w:t>estimates</w:t>
      </w:r>
      <w:r w:rsidR="00831FC8" w:rsidRPr="00A30BEE">
        <w:rPr>
          <w:rFonts w:ascii="Times New Roman" w:hAnsi="Times New Roman"/>
        </w:rPr>
        <w:t xml:space="preserve"> </w:t>
      </w:r>
      <w:r w:rsidRPr="00A30BEE">
        <w:rPr>
          <w:rFonts w:ascii="Times New Roman" w:hAnsi="Times New Roman"/>
        </w:rPr>
        <w:t xml:space="preserve">that </w:t>
      </w:r>
      <w:r w:rsidR="00E51D87">
        <w:rPr>
          <w:rFonts w:ascii="Times New Roman" w:hAnsi="Times New Roman"/>
        </w:rPr>
        <w:t xml:space="preserve">over the next three years </w:t>
      </w:r>
      <w:r w:rsidRPr="00A30BEE">
        <w:rPr>
          <w:rFonts w:ascii="Times New Roman" w:hAnsi="Times New Roman"/>
        </w:rPr>
        <w:t>there will be approximately</w:t>
      </w:r>
      <w:r w:rsidR="004E1D8C">
        <w:rPr>
          <w:rFonts w:ascii="Times New Roman" w:hAnsi="Times New Roman"/>
        </w:rPr>
        <w:t xml:space="preserve"> </w:t>
      </w:r>
      <w:r w:rsidR="00E927F6">
        <w:rPr>
          <w:rFonts w:ascii="Times New Roman" w:hAnsi="Times New Roman"/>
        </w:rPr>
        <w:t>816</w:t>
      </w:r>
      <w:r w:rsidR="00D50BC3" w:rsidRPr="00A30BEE">
        <w:rPr>
          <w:rFonts w:ascii="Times New Roman" w:hAnsi="Times New Roman"/>
        </w:rPr>
        <w:t xml:space="preserve"> </w:t>
      </w:r>
      <w:r w:rsidRPr="00A30BEE">
        <w:rPr>
          <w:rFonts w:ascii="Times New Roman" w:hAnsi="Times New Roman"/>
        </w:rPr>
        <w:t xml:space="preserve">post-event </w:t>
      </w:r>
      <w:r w:rsidR="00D50BC3">
        <w:rPr>
          <w:rFonts w:ascii="Times New Roman" w:hAnsi="Times New Roman"/>
        </w:rPr>
        <w:t xml:space="preserve">and advance </w:t>
      </w:r>
      <w:r w:rsidRPr="00A30BEE">
        <w:rPr>
          <w:rFonts w:ascii="Times New Roman" w:hAnsi="Times New Roman"/>
        </w:rPr>
        <w:t xml:space="preserve">reportable event filings per year.  </w:t>
      </w:r>
      <w:r w:rsidR="00751539">
        <w:rPr>
          <w:rFonts w:ascii="Times New Roman" w:hAnsi="Times New Roman"/>
        </w:rPr>
        <w:t xml:space="preserve">(In light of the small number of advance-report filings, PBGC combined the data for post-event and advance-report filings; </w:t>
      </w:r>
      <w:r w:rsidRPr="00A30BEE">
        <w:rPr>
          <w:rFonts w:ascii="Times New Roman" w:hAnsi="Times New Roman"/>
        </w:rPr>
        <w:t xml:space="preserve">PBGC expects </w:t>
      </w:r>
      <w:r w:rsidR="006628A1">
        <w:rPr>
          <w:rFonts w:ascii="Times New Roman" w:hAnsi="Times New Roman"/>
        </w:rPr>
        <w:t>4</w:t>
      </w:r>
      <w:r w:rsidR="00954C96">
        <w:rPr>
          <w:rFonts w:ascii="Times New Roman" w:hAnsi="Times New Roman"/>
        </w:rPr>
        <w:t>0</w:t>
      </w:r>
      <w:r w:rsidR="00954C96" w:rsidRPr="00A30BEE">
        <w:rPr>
          <w:rFonts w:ascii="Times New Roman" w:hAnsi="Times New Roman"/>
        </w:rPr>
        <w:t xml:space="preserve"> </w:t>
      </w:r>
      <w:r w:rsidRPr="00A30BEE">
        <w:rPr>
          <w:rFonts w:ascii="Times New Roman" w:hAnsi="Times New Roman"/>
        </w:rPr>
        <w:t>advance</w:t>
      </w:r>
      <w:r w:rsidR="00751539">
        <w:rPr>
          <w:rFonts w:ascii="Times New Roman" w:hAnsi="Times New Roman"/>
        </w:rPr>
        <w:t>-</w:t>
      </w:r>
      <w:r w:rsidRPr="00A30BEE">
        <w:rPr>
          <w:rFonts w:ascii="Times New Roman" w:hAnsi="Times New Roman"/>
        </w:rPr>
        <w:t>report event filings per year.</w:t>
      </w:r>
      <w:r w:rsidR="00751539">
        <w:rPr>
          <w:rFonts w:ascii="Times New Roman" w:hAnsi="Times New Roman"/>
        </w:rPr>
        <w:t>)</w:t>
      </w:r>
    </w:p>
    <w:p w14:paraId="39A8FA1C" w14:textId="647B0248" w:rsidR="00B54BEE" w:rsidRPr="00A30BEE" w:rsidRDefault="00B54BEE" w:rsidP="00C7454F">
      <w:pPr>
        <w:widowControl/>
        <w:spacing w:line="480" w:lineRule="auto"/>
        <w:ind w:firstLine="720"/>
        <w:rPr>
          <w:rFonts w:ascii="Times New Roman" w:hAnsi="Times New Roman"/>
        </w:rPr>
        <w:sectPr w:rsidR="00B54BEE" w:rsidRPr="00A30BEE">
          <w:type w:val="continuous"/>
          <w:pgSz w:w="12240" w:h="15840"/>
          <w:pgMar w:top="1440" w:right="1440" w:bottom="1440" w:left="1440" w:header="1440" w:footer="1440" w:gutter="0"/>
          <w:cols w:space="720"/>
          <w:noEndnote/>
        </w:sectPr>
      </w:pPr>
      <w:r w:rsidRPr="00A30BEE">
        <w:rPr>
          <w:rFonts w:ascii="Times New Roman" w:hAnsi="Times New Roman"/>
        </w:rPr>
        <w:t xml:space="preserve">PBGC estimates that for post-event reporting </w:t>
      </w:r>
      <w:r w:rsidR="00D50BC3">
        <w:rPr>
          <w:rFonts w:ascii="Times New Roman" w:hAnsi="Times New Roman"/>
        </w:rPr>
        <w:t xml:space="preserve">and advance reporting, </w:t>
      </w:r>
      <w:r w:rsidRPr="00A30BEE">
        <w:rPr>
          <w:rFonts w:ascii="Times New Roman" w:hAnsi="Times New Roman"/>
        </w:rPr>
        <w:t xml:space="preserve">the average hour burden per response </w:t>
      </w:r>
      <w:r w:rsidR="00E51D87">
        <w:rPr>
          <w:rFonts w:ascii="Times New Roman" w:hAnsi="Times New Roman"/>
        </w:rPr>
        <w:t>will be</w:t>
      </w:r>
      <w:r w:rsidR="00E51D87" w:rsidRPr="00A30BEE">
        <w:rPr>
          <w:rFonts w:ascii="Times New Roman" w:hAnsi="Times New Roman"/>
        </w:rPr>
        <w:t xml:space="preserve"> </w:t>
      </w:r>
      <w:r w:rsidR="00751539">
        <w:rPr>
          <w:rFonts w:ascii="Times New Roman" w:hAnsi="Times New Roman"/>
        </w:rPr>
        <w:t>about</w:t>
      </w:r>
      <w:r w:rsidRPr="00A30BEE">
        <w:rPr>
          <w:rFonts w:ascii="Times New Roman" w:hAnsi="Times New Roman"/>
        </w:rPr>
        <w:t xml:space="preserve"> </w:t>
      </w:r>
      <w:r w:rsidR="00867F21">
        <w:rPr>
          <w:rFonts w:ascii="Times New Roman" w:hAnsi="Times New Roman"/>
        </w:rPr>
        <w:t>5.</w:t>
      </w:r>
      <w:r w:rsidR="006628A1">
        <w:rPr>
          <w:rFonts w:ascii="Times New Roman" w:hAnsi="Times New Roman"/>
        </w:rPr>
        <w:t>5</w:t>
      </w:r>
      <w:r w:rsidRPr="00A30BEE">
        <w:rPr>
          <w:rFonts w:ascii="Times New Roman" w:hAnsi="Times New Roman"/>
        </w:rPr>
        <w:t xml:space="preserve"> hours and the</w:t>
      </w:r>
      <w:r w:rsidR="007F2951">
        <w:rPr>
          <w:rFonts w:ascii="Times New Roman" w:hAnsi="Times New Roman"/>
        </w:rPr>
        <w:t xml:space="preserve"> total </w:t>
      </w:r>
      <w:r w:rsidRPr="00A30BEE">
        <w:rPr>
          <w:rFonts w:ascii="Times New Roman" w:hAnsi="Times New Roman"/>
        </w:rPr>
        <w:t>annual hour burden</w:t>
      </w:r>
      <w:r w:rsidR="00CF6A88">
        <w:rPr>
          <w:rFonts w:ascii="Times New Roman" w:hAnsi="Times New Roman"/>
        </w:rPr>
        <w:t xml:space="preserve"> on the public</w:t>
      </w:r>
      <w:r w:rsidRPr="00A30BEE">
        <w:rPr>
          <w:rFonts w:ascii="Times New Roman" w:hAnsi="Times New Roman"/>
        </w:rPr>
        <w:t xml:space="preserve"> </w:t>
      </w:r>
      <w:r w:rsidR="00E51D87">
        <w:rPr>
          <w:rFonts w:ascii="Times New Roman" w:hAnsi="Times New Roman"/>
        </w:rPr>
        <w:t>will be</w:t>
      </w:r>
      <w:r w:rsidR="00E51D87" w:rsidRPr="00A30BEE">
        <w:rPr>
          <w:rFonts w:ascii="Times New Roman" w:hAnsi="Times New Roman"/>
        </w:rPr>
        <w:t xml:space="preserve"> </w:t>
      </w:r>
      <w:r w:rsidR="00751539">
        <w:rPr>
          <w:rFonts w:ascii="Times New Roman" w:hAnsi="Times New Roman"/>
        </w:rPr>
        <w:t>about</w:t>
      </w:r>
      <w:r w:rsidRPr="00A30BEE">
        <w:rPr>
          <w:rFonts w:ascii="Times New Roman" w:hAnsi="Times New Roman"/>
        </w:rPr>
        <w:t xml:space="preserve"> </w:t>
      </w:r>
      <w:r w:rsidR="00E927F6">
        <w:rPr>
          <w:rFonts w:ascii="Times New Roman" w:hAnsi="Times New Roman"/>
        </w:rPr>
        <w:t>4</w:t>
      </w:r>
      <w:r w:rsidR="00867F21">
        <w:rPr>
          <w:rFonts w:ascii="Times New Roman" w:hAnsi="Times New Roman"/>
        </w:rPr>
        <w:t>,</w:t>
      </w:r>
      <w:r w:rsidR="00E927F6">
        <w:rPr>
          <w:rFonts w:ascii="Times New Roman" w:hAnsi="Times New Roman"/>
        </w:rPr>
        <w:t>496</w:t>
      </w:r>
      <w:r w:rsidRPr="00A30BEE">
        <w:rPr>
          <w:rFonts w:ascii="Times New Roman" w:hAnsi="Times New Roman"/>
        </w:rPr>
        <w:t xml:space="preserve"> hours.  Assuming an average rate of </w:t>
      </w:r>
      <w:r w:rsidRPr="001974A4">
        <w:rPr>
          <w:rFonts w:ascii="Times New Roman" w:hAnsi="Times New Roman"/>
        </w:rPr>
        <w:t>$</w:t>
      </w:r>
      <w:r w:rsidR="00867F21">
        <w:rPr>
          <w:rFonts w:ascii="Times New Roman" w:hAnsi="Times New Roman"/>
        </w:rPr>
        <w:t>320</w:t>
      </w:r>
      <w:r w:rsidR="00867F21" w:rsidRPr="00A30BEE">
        <w:rPr>
          <w:rFonts w:ascii="Times New Roman" w:hAnsi="Times New Roman"/>
        </w:rPr>
        <w:t xml:space="preserve"> </w:t>
      </w:r>
      <w:r w:rsidRPr="00A30BEE">
        <w:rPr>
          <w:rFonts w:ascii="Times New Roman" w:hAnsi="Times New Roman"/>
        </w:rPr>
        <w:t>(including professional time, support assistance, overhead, postage and other costs)</w:t>
      </w:r>
      <w:r w:rsidR="00867F21">
        <w:rPr>
          <w:rFonts w:ascii="Times New Roman" w:hAnsi="Times New Roman"/>
        </w:rPr>
        <w:t xml:space="preserve"> for </w:t>
      </w:r>
      <w:r w:rsidR="00A61A92">
        <w:rPr>
          <w:rFonts w:ascii="Times New Roman" w:hAnsi="Times New Roman"/>
        </w:rPr>
        <w:t xml:space="preserve">mid-size and </w:t>
      </w:r>
      <w:r w:rsidR="00867F21">
        <w:rPr>
          <w:rFonts w:ascii="Times New Roman" w:hAnsi="Times New Roman"/>
        </w:rPr>
        <w:t>large plans (</w:t>
      </w:r>
      <w:r w:rsidR="00551C7E" w:rsidRPr="00551C7E">
        <w:rPr>
          <w:rFonts w:ascii="Times New Roman" w:hAnsi="Times New Roman"/>
          <w:i/>
        </w:rPr>
        <w:t>i.e.,</w:t>
      </w:r>
      <w:r w:rsidR="00551C7E">
        <w:rPr>
          <w:rFonts w:ascii="Times New Roman" w:hAnsi="Times New Roman"/>
        </w:rPr>
        <w:t xml:space="preserve"> </w:t>
      </w:r>
      <w:r w:rsidR="00867F21">
        <w:rPr>
          <w:rFonts w:ascii="Times New Roman" w:hAnsi="Times New Roman"/>
        </w:rPr>
        <w:t>plans with greater than 100 participants)</w:t>
      </w:r>
      <w:r w:rsidRPr="00A30BEE">
        <w:rPr>
          <w:rFonts w:ascii="Times New Roman" w:hAnsi="Times New Roman"/>
        </w:rPr>
        <w:t xml:space="preserve">, </w:t>
      </w:r>
      <w:r w:rsidR="00551C7E">
        <w:rPr>
          <w:rFonts w:ascii="Times New Roman" w:hAnsi="Times New Roman"/>
        </w:rPr>
        <w:t>and an average rate of $130 for small plans (</w:t>
      </w:r>
      <w:r w:rsidR="00551C7E" w:rsidRPr="00551C7E">
        <w:rPr>
          <w:rFonts w:ascii="Times New Roman" w:hAnsi="Times New Roman"/>
          <w:i/>
        </w:rPr>
        <w:t>i.e.,</w:t>
      </w:r>
      <w:r w:rsidR="00551C7E">
        <w:rPr>
          <w:rFonts w:ascii="Times New Roman" w:hAnsi="Times New Roman"/>
        </w:rPr>
        <w:t xml:space="preserve"> plans with less than or equal to 100 participants), </w:t>
      </w:r>
      <w:r w:rsidRPr="00A30BEE">
        <w:rPr>
          <w:rFonts w:ascii="Times New Roman" w:hAnsi="Times New Roman"/>
        </w:rPr>
        <w:t xml:space="preserve">PBGC estimates </w:t>
      </w:r>
      <w:r w:rsidR="00751539">
        <w:rPr>
          <w:rFonts w:ascii="Times New Roman" w:hAnsi="Times New Roman"/>
        </w:rPr>
        <w:t xml:space="preserve">that the dollar equivalent of the hour burden would be </w:t>
      </w:r>
      <w:r w:rsidRPr="00A30BEE">
        <w:rPr>
          <w:rFonts w:ascii="Times New Roman" w:hAnsi="Times New Roman"/>
        </w:rPr>
        <w:t xml:space="preserve">an annual </w:t>
      </w:r>
      <w:r w:rsidR="00CD097F">
        <w:rPr>
          <w:rFonts w:ascii="Times New Roman" w:hAnsi="Times New Roman"/>
        </w:rPr>
        <w:t xml:space="preserve">total </w:t>
      </w:r>
      <w:r w:rsidRPr="00A30BEE">
        <w:rPr>
          <w:rFonts w:ascii="Times New Roman" w:hAnsi="Times New Roman"/>
        </w:rPr>
        <w:t xml:space="preserve">cost of </w:t>
      </w:r>
      <w:r w:rsidRPr="001974A4">
        <w:rPr>
          <w:rFonts w:ascii="Times New Roman" w:hAnsi="Times New Roman"/>
        </w:rPr>
        <w:t>$</w:t>
      </w:r>
      <w:r w:rsidR="007F2951">
        <w:rPr>
          <w:rFonts w:ascii="Times New Roman" w:hAnsi="Times New Roman"/>
        </w:rPr>
        <w:t>1,</w:t>
      </w:r>
      <w:r w:rsidR="00471B35">
        <w:rPr>
          <w:rFonts w:ascii="Times New Roman" w:hAnsi="Times New Roman"/>
        </w:rPr>
        <w:t>091</w:t>
      </w:r>
      <w:r w:rsidR="007F2951">
        <w:rPr>
          <w:rFonts w:ascii="Times New Roman" w:hAnsi="Times New Roman"/>
        </w:rPr>
        <w:t>,</w:t>
      </w:r>
      <w:r w:rsidR="00471B35">
        <w:rPr>
          <w:rFonts w:ascii="Times New Roman" w:hAnsi="Times New Roman"/>
        </w:rPr>
        <w:t>17</w:t>
      </w:r>
      <w:r w:rsidR="0083780F">
        <w:rPr>
          <w:rFonts w:ascii="Times New Roman" w:hAnsi="Times New Roman"/>
        </w:rPr>
        <w:t>0</w:t>
      </w:r>
      <w:r w:rsidRPr="00A30BEE">
        <w:rPr>
          <w:rFonts w:ascii="Times New Roman" w:hAnsi="Times New Roman"/>
        </w:rPr>
        <w:t xml:space="preserve">, for an average annual cost of </w:t>
      </w:r>
      <w:r w:rsidRPr="001974A4">
        <w:rPr>
          <w:rFonts w:ascii="Times New Roman" w:hAnsi="Times New Roman"/>
        </w:rPr>
        <w:t>$</w:t>
      </w:r>
      <w:r w:rsidR="007F2951">
        <w:rPr>
          <w:rFonts w:ascii="Times New Roman" w:hAnsi="Times New Roman"/>
        </w:rPr>
        <w:t>1,</w:t>
      </w:r>
      <w:r w:rsidR="00471B35">
        <w:rPr>
          <w:rFonts w:ascii="Times New Roman" w:hAnsi="Times New Roman"/>
        </w:rPr>
        <w:t>337</w:t>
      </w:r>
      <w:r w:rsidR="00CD097F">
        <w:rPr>
          <w:rFonts w:ascii="Times New Roman" w:hAnsi="Times New Roman"/>
        </w:rPr>
        <w:t xml:space="preserve"> per respondent</w:t>
      </w:r>
      <w:r w:rsidRPr="00A30BEE">
        <w:rPr>
          <w:rFonts w:ascii="Times New Roman" w:hAnsi="Times New Roman"/>
        </w:rPr>
        <w:t>.</w:t>
      </w:r>
    </w:p>
    <w:p w14:paraId="228FC583" w14:textId="77777777" w:rsidR="00B54BEE" w:rsidRPr="00A30BEE" w:rsidRDefault="00B54BEE" w:rsidP="00B54BEE">
      <w:pPr>
        <w:widowControl/>
        <w:spacing w:line="480" w:lineRule="auto"/>
        <w:ind w:firstLine="720"/>
        <w:rPr>
          <w:rFonts w:ascii="Times New Roman" w:hAnsi="Times New Roman"/>
        </w:rPr>
      </w:pPr>
      <w:r w:rsidRPr="00A30BEE">
        <w:rPr>
          <w:rFonts w:ascii="Times New Roman" w:hAnsi="Times New Roman"/>
        </w:rPr>
        <w:lastRenderedPageBreak/>
        <w:t xml:space="preserve">13.  </w:t>
      </w:r>
      <w:r w:rsidRPr="00A30BEE">
        <w:rPr>
          <w:rFonts w:ascii="Times New Roman" w:hAnsi="Times New Roman"/>
          <w:u w:val="single"/>
        </w:rPr>
        <w:t>Costs.</w:t>
      </w:r>
      <w:r w:rsidRPr="00A30BEE">
        <w:rPr>
          <w:rFonts w:ascii="Times New Roman" w:hAnsi="Times New Roman"/>
        </w:rPr>
        <w:t xml:space="preserve">  PBGC estimates that </w:t>
      </w:r>
      <w:r w:rsidR="007F6821">
        <w:rPr>
          <w:rFonts w:ascii="Times New Roman" w:hAnsi="Times New Roman"/>
        </w:rPr>
        <w:t xml:space="preserve">over the next three years, </w:t>
      </w:r>
      <w:r w:rsidR="00D02FBA">
        <w:rPr>
          <w:rFonts w:ascii="Times New Roman" w:hAnsi="Times New Roman"/>
        </w:rPr>
        <w:t xml:space="preserve">respondents will contract </w:t>
      </w:r>
      <w:r w:rsidR="007522EE">
        <w:rPr>
          <w:rFonts w:ascii="Times New Roman" w:hAnsi="Times New Roman"/>
        </w:rPr>
        <w:t xml:space="preserve">out </w:t>
      </w:r>
      <w:r w:rsidR="00471B35">
        <w:rPr>
          <w:rFonts w:ascii="Times New Roman" w:hAnsi="Times New Roman"/>
        </w:rPr>
        <w:t>2</w:t>
      </w:r>
      <w:r w:rsidR="00175EAC">
        <w:rPr>
          <w:rFonts w:ascii="Times New Roman" w:hAnsi="Times New Roman"/>
        </w:rPr>
        <w:t>,</w:t>
      </w:r>
      <w:r w:rsidR="00471B35">
        <w:rPr>
          <w:rFonts w:ascii="Times New Roman" w:hAnsi="Times New Roman"/>
        </w:rPr>
        <w:t>448</w:t>
      </w:r>
      <w:r w:rsidRPr="00A30BEE">
        <w:rPr>
          <w:rFonts w:ascii="Times New Roman" w:hAnsi="Times New Roman"/>
        </w:rPr>
        <w:t xml:space="preserve"> hours </w:t>
      </w:r>
      <w:r w:rsidR="00D02FBA">
        <w:rPr>
          <w:rFonts w:ascii="Times New Roman" w:hAnsi="Times New Roman"/>
        </w:rPr>
        <w:t xml:space="preserve">annually </w:t>
      </w:r>
      <w:r w:rsidR="00AD7E73">
        <w:rPr>
          <w:rFonts w:ascii="Times New Roman" w:hAnsi="Times New Roman"/>
        </w:rPr>
        <w:t>(</w:t>
      </w:r>
      <w:r w:rsidR="00471B35">
        <w:rPr>
          <w:rFonts w:ascii="Times New Roman" w:hAnsi="Times New Roman"/>
        </w:rPr>
        <w:t>816</w:t>
      </w:r>
      <w:r w:rsidR="00AD7E73">
        <w:rPr>
          <w:rFonts w:ascii="Times New Roman" w:hAnsi="Times New Roman"/>
        </w:rPr>
        <w:t xml:space="preserve"> filings times 3 h</w:t>
      </w:r>
      <w:r w:rsidR="00E51D87">
        <w:rPr>
          <w:rFonts w:ascii="Times New Roman" w:hAnsi="Times New Roman"/>
        </w:rPr>
        <w:t>ou</w:t>
      </w:r>
      <w:r w:rsidR="00AD7E73">
        <w:rPr>
          <w:rFonts w:ascii="Times New Roman" w:hAnsi="Times New Roman"/>
        </w:rPr>
        <w:t>rs</w:t>
      </w:r>
      <w:r w:rsidR="00D02FBA">
        <w:rPr>
          <w:rFonts w:ascii="Times New Roman" w:hAnsi="Times New Roman"/>
        </w:rPr>
        <w:t xml:space="preserve"> per filing</w:t>
      </w:r>
      <w:r w:rsidR="00AD7E73">
        <w:rPr>
          <w:rFonts w:ascii="Times New Roman" w:hAnsi="Times New Roman"/>
        </w:rPr>
        <w:t>)</w:t>
      </w:r>
      <w:r w:rsidRPr="00A30BEE">
        <w:rPr>
          <w:rFonts w:ascii="Times New Roman" w:hAnsi="Times New Roman"/>
        </w:rPr>
        <w:t xml:space="preserve">.  </w:t>
      </w:r>
      <w:r w:rsidR="00B5010B" w:rsidRPr="00B5010B">
        <w:rPr>
          <w:rFonts w:ascii="Times New Roman" w:hAnsi="Times New Roman"/>
        </w:rPr>
        <w:t xml:space="preserve">Assuming </w:t>
      </w:r>
      <w:r w:rsidR="00CC64FF">
        <w:rPr>
          <w:rFonts w:ascii="Times New Roman" w:hAnsi="Times New Roman"/>
        </w:rPr>
        <w:t>an</w:t>
      </w:r>
      <w:r w:rsidR="00B5010B" w:rsidRPr="00B5010B">
        <w:rPr>
          <w:rFonts w:ascii="Times New Roman" w:hAnsi="Times New Roman"/>
        </w:rPr>
        <w:t xml:space="preserve"> average rate of $320 for large plans</w:t>
      </w:r>
      <w:r w:rsidR="00D02FBA">
        <w:rPr>
          <w:rFonts w:ascii="Times New Roman" w:hAnsi="Times New Roman"/>
        </w:rPr>
        <w:t>’</w:t>
      </w:r>
      <w:r w:rsidR="00B5010B" w:rsidRPr="00B5010B">
        <w:rPr>
          <w:rFonts w:ascii="Times New Roman" w:hAnsi="Times New Roman"/>
        </w:rPr>
        <w:t xml:space="preserve"> </w:t>
      </w:r>
      <w:r w:rsidR="00D02FBA">
        <w:rPr>
          <w:rFonts w:ascii="Times New Roman" w:hAnsi="Times New Roman"/>
        </w:rPr>
        <w:t xml:space="preserve">contractor costs </w:t>
      </w:r>
      <w:r w:rsidR="00B5010B" w:rsidRPr="00B5010B">
        <w:rPr>
          <w:rFonts w:ascii="Times New Roman" w:hAnsi="Times New Roman"/>
        </w:rPr>
        <w:t>and $130 for small plans</w:t>
      </w:r>
      <w:r w:rsidR="00D02FBA">
        <w:rPr>
          <w:rFonts w:ascii="Times New Roman" w:hAnsi="Times New Roman"/>
        </w:rPr>
        <w:t>’ contractor costs</w:t>
      </w:r>
      <w:r w:rsidR="00B5010B" w:rsidRPr="00B5010B">
        <w:rPr>
          <w:rFonts w:ascii="Times New Roman" w:hAnsi="Times New Roman"/>
        </w:rPr>
        <w:t>,</w:t>
      </w:r>
      <w:r w:rsidRPr="00A30BEE">
        <w:rPr>
          <w:rFonts w:ascii="Times New Roman" w:hAnsi="Times New Roman"/>
        </w:rPr>
        <w:t xml:space="preserve"> PBGC estimates the total </w:t>
      </w:r>
      <w:r w:rsidR="007F6821">
        <w:rPr>
          <w:rFonts w:ascii="Times New Roman" w:hAnsi="Times New Roman"/>
        </w:rPr>
        <w:t xml:space="preserve">annual </w:t>
      </w:r>
      <w:r w:rsidRPr="00A30BEE">
        <w:rPr>
          <w:rFonts w:ascii="Times New Roman" w:hAnsi="Times New Roman"/>
        </w:rPr>
        <w:t xml:space="preserve">cost will be </w:t>
      </w:r>
      <w:r w:rsidRPr="007A4EDF">
        <w:rPr>
          <w:rFonts w:ascii="Times New Roman" w:hAnsi="Times New Roman"/>
        </w:rPr>
        <w:t>$</w:t>
      </w:r>
      <w:r w:rsidR="00471B35">
        <w:rPr>
          <w:rFonts w:ascii="Times New Roman" w:hAnsi="Times New Roman"/>
        </w:rPr>
        <w:t>607</w:t>
      </w:r>
      <w:r w:rsidR="00DC4CA2">
        <w:rPr>
          <w:rFonts w:ascii="Times New Roman" w:hAnsi="Times New Roman"/>
        </w:rPr>
        <w:t>,</w:t>
      </w:r>
      <w:r w:rsidR="00471B35">
        <w:rPr>
          <w:rFonts w:ascii="Times New Roman" w:hAnsi="Times New Roman"/>
        </w:rPr>
        <w:t>570</w:t>
      </w:r>
      <w:r w:rsidR="007F6821">
        <w:rPr>
          <w:rFonts w:ascii="Times New Roman" w:hAnsi="Times New Roman"/>
        </w:rPr>
        <w:t>,</w:t>
      </w:r>
      <w:r w:rsidR="00B5010B">
        <w:rPr>
          <w:rFonts w:ascii="Times New Roman" w:hAnsi="Times New Roman"/>
        </w:rPr>
        <w:t xml:space="preserve"> </w:t>
      </w:r>
      <w:r w:rsidR="00B5010B" w:rsidRPr="00B5010B">
        <w:rPr>
          <w:rFonts w:ascii="Times New Roman" w:hAnsi="Times New Roman"/>
        </w:rPr>
        <w:t>for an average annual cost of $</w:t>
      </w:r>
      <w:r w:rsidR="00CE064C">
        <w:rPr>
          <w:rFonts w:ascii="Times New Roman" w:hAnsi="Times New Roman"/>
        </w:rPr>
        <w:t>7</w:t>
      </w:r>
      <w:r w:rsidR="00471B35">
        <w:rPr>
          <w:rFonts w:ascii="Times New Roman" w:hAnsi="Times New Roman"/>
        </w:rPr>
        <w:t>4</w:t>
      </w:r>
      <w:r w:rsidR="004C2E58">
        <w:rPr>
          <w:rFonts w:ascii="Times New Roman" w:hAnsi="Times New Roman"/>
        </w:rPr>
        <w:t>0</w:t>
      </w:r>
      <w:r w:rsidR="00B5010B" w:rsidRPr="00B5010B">
        <w:rPr>
          <w:rFonts w:ascii="Times New Roman" w:hAnsi="Times New Roman"/>
        </w:rPr>
        <w:t xml:space="preserve"> per respondent</w:t>
      </w:r>
      <w:r w:rsidRPr="00A30BEE">
        <w:rPr>
          <w:rFonts w:ascii="Times New Roman" w:hAnsi="Times New Roman"/>
        </w:rPr>
        <w:t xml:space="preserve">.  </w:t>
      </w:r>
      <w:r w:rsidR="00751539">
        <w:rPr>
          <w:rFonts w:ascii="Times New Roman" w:hAnsi="Times New Roman"/>
        </w:rPr>
        <w:t>N</w:t>
      </w:r>
      <w:r w:rsidRPr="00A30BEE">
        <w:rPr>
          <w:rFonts w:ascii="Times New Roman" w:hAnsi="Times New Roman"/>
        </w:rPr>
        <w:t xml:space="preserve">o capital </w:t>
      </w:r>
      <w:r w:rsidR="00751539">
        <w:rPr>
          <w:rFonts w:ascii="Times New Roman" w:hAnsi="Times New Roman"/>
        </w:rPr>
        <w:t>or</w:t>
      </w:r>
      <w:r w:rsidRPr="00A30BEE">
        <w:rPr>
          <w:rFonts w:ascii="Times New Roman" w:hAnsi="Times New Roman"/>
        </w:rPr>
        <w:t xml:space="preserve"> start-up costs</w:t>
      </w:r>
      <w:r w:rsidR="00751539">
        <w:rPr>
          <w:rFonts w:ascii="Times New Roman" w:hAnsi="Times New Roman"/>
        </w:rPr>
        <w:t xml:space="preserve"> are necessary for reportable events notices</w:t>
      </w:r>
      <w:r w:rsidRPr="00A30BEE">
        <w:rPr>
          <w:rFonts w:ascii="Times New Roman" w:hAnsi="Times New Roman"/>
        </w:rPr>
        <w:t>.</w:t>
      </w:r>
    </w:p>
    <w:p w14:paraId="0098F50E" w14:textId="4A4DE77A" w:rsidR="00B54BEE" w:rsidRPr="00A30BEE" w:rsidRDefault="00B54BEE" w:rsidP="00B54BEE">
      <w:pPr>
        <w:widowControl/>
        <w:spacing w:line="480" w:lineRule="auto"/>
        <w:ind w:firstLine="720"/>
        <w:rPr>
          <w:rFonts w:ascii="Times New Roman" w:hAnsi="Times New Roman"/>
        </w:rPr>
      </w:pPr>
      <w:r w:rsidRPr="00A30BEE">
        <w:rPr>
          <w:rFonts w:ascii="Times New Roman" w:hAnsi="Times New Roman"/>
        </w:rPr>
        <w:t xml:space="preserve">14.  </w:t>
      </w:r>
      <w:r w:rsidRPr="00A30BEE">
        <w:rPr>
          <w:rFonts w:ascii="Times New Roman" w:hAnsi="Times New Roman"/>
          <w:u w:val="single"/>
        </w:rPr>
        <w:t>Costs to the Federal government.</w:t>
      </w:r>
      <w:r w:rsidRPr="00A30BEE">
        <w:rPr>
          <w:rFonts w:ascii="Times New Roman" w:hAnsi="Times New Roman"/>
        </w:rPr>
        <w:t xml:space="preserve">  </w:t>
      </w:r>
      <w:r w:rsidR="00315E6A" w:rsidRPr="00A30BEE">
        <w:rPr>
          <w:rFonts w:ascii="Times New Roman" w:hAnsi="Times New Roman"/>
        </w:rPr>
        <w:t xml:space="preserve">PBGC </w:t>
      </w:r>
      <w:r w:rsidR="00315E6A">
        <w:rPr>
          <w:rFonts w:ascii="Times New Roman" w:hAnsi="Times New Roman"/>
        </w:rPr>
        <w:t>estimates that over the next three years the total annual cost to it for processing filings will be about $</w:t>
      </w:r>
      <w:r w:rsidR="00086E16">
        <w:rPr>
          <w:rFonts w:ascii="Times New Roman" w:hAnsi="Times New Roman"/>
        </w:rPr>
        <w:t>201</w:t>
      </w:r>
      <w:r w:rsidR="00315E6A">
        <w:rPr>
          <w:rFonts w:ascii="Times New Roman" w:hAnsi="Times New Roman"/>
        </w:rPr>
        <w:t>,</w:t>
      </w:r>
      <w:r w:rsidR="00086E16">
        <w:rPr>
          <w:rFonts w:ascii="Times New Roman" w:hAnsi="Times New Roman"/>
        </w:rPr>
        <w:t>861</w:t>
      </w:r>
      <w:r w:rsidR="00315E6A">
        <w:rPr>
          <w:rFonts w:ascii="Times New Roman" w:hAnsi="Times New Roman"/>
        </w:rPr>
        <w:t xml:space="preserve">, based on </w:t>
      </w:r>
      <w:r w:rsidR="00315E6A" w:rsidRPr="00A30BEE">
        <w:rPr>
          <w:rFonts w:ascii="Times New Roman" w:hAnsi="Times New Roman"/>
        </w:rPr>
        <w:t xml:space="preserve">an </w:t>
      </w:r>
      <w:r w:rsidR="00315E6A">
        <w:rPr>
          <w:rFonts w:ascii="Times New Roman" w:hAnsi="Times New Roman"/>
        </w:rPr>
        <w:t xml:space="preserve">estimated </w:t>
      </w:r>
      <w:r w:rsidR="00315E6A" w:rsidRPr="00A30BEE">
        <w:rPr>
          <w:rFonts w:ascii="Times New Roman" w:hAnsi="Times New Roman"/>
        </w:rPr>
        <w:t xml:space="preserve">annual hour burden of </w:t>
      </w:r>
      <w:r w:rsidR="00A7595E">
        <w:rPr>
          <w:rFonts w:ascii="Times New Roman" w:hAnsi="Times New Roman"/>
        </w:rPr>
        <w:t>3</w:t>
      </w:r>
      <w:r w:rsidR="0083780F">
        <w:rPr>
          <w:rFonts w:ascii="Times New Roman" w:hAnsi="Times New Roman"/>
        </w:rPr>
        <w:t>,</w:t>
      </w:r>
      <w:r w:rsidR="004C2E58">
        <w:rPr>
          <w:rFonts w:ascii="Times New Roman" w:hAnsi="Times New Roman"/>
        </w:rPr>
        <w:t>1</w:t>
      </w:r>
      <w:r w:rsidR="00A7595E">
        <w:rPr>
          <w:rFonts w:ascii="Times New Roman" w:hAnsi="Times New Roman"/>
        </w:rPr>
        <w:t>42</w:t>
      </w:r>
      <w:r w:rsidR="00315E6A">
        <w:rPr>
          <w:rFonts w:ascii="Times New Roman" w:hAnsi="Times New Roman"/>
        </w:rPr>
        <w:t xml:space="preserve"> hours</w:t>
      </w:r>
      <w:r w:rsidR="00D47CD4">
        <w:rPr>
          <w:rFonts w:ascii="Times New Roman" w:hAnsi="Times New Roman"/>
        </w:rPr>
        <w:t>: 7</w:t>
      </w:r>
      <w:r w:rsidR="006628A1">
        <w:rPr>
          <w:rFonts w:ascii="Times New Roman" w:hAnsi="Times New Roman"/>
        </w:rPr>
        <w:t>75</w:t>
      </w:r>
      <w:r w:rsidR="00315E6A">
        <w:rPr>
          <w:rFonts w:ascii="Times New Roman" w:hAnsi="Times New Roman"/>
        </w:rPr>
        <w:t xml:space="preserve"> </w:t>
      </w:r>
      <w:r w:rsidR="00D47CD4">
        <w:rPr>
          <w:rFonts w:ascii="Times New Roman" w:hAnsi="Times New Roman"/>
        </w:rPr>
        <w:t xml:space="preserve">post-event </w:t>
      </w:r>
      <w:r w:rsidR="00315E6A" w:rsidRPr="00385557">
        <w:rPr>
          <w:rFonts w:ascii="Times New Roman" w:hAnsi="Times New Roman"/>
        </w:rPr>
        <w:t xml:space="preserve">filings times </w:t>
      </w:r>
      <w:r w:rsidR="00D47CD4">
        <w:rPr>
          <w:rFonts w:ascii="Times New Roman" w:hAnsi="Times New Roman"/>
        </w:rPr>
        <w:t>3</w:t>
      </w:r>
      <w:r w:rsidR="00315E6A" w:rsidRPr="00385557">
        <w:rPr>
          <w:rFonts w:ascii="Times New Roman" w:hAnsi="Times New Roman"/>
        </w:rPr>
        <w:t xml:space="preserve"> hours per filing (0.</w:t>
      </w:r>
      <w:r w:rsidR="00086E16">
        <w:rPr>
          <w:rFonts w:ascii="Times New Roman" w:hAnsi="Times New Roman"/>
        </w:rPr>
        <w:t>5</w:t>
      </w:r>
      <w:r w:rsidR="00315E6A" w:rsidRPr="00385557">
        <w:rPr>
          <w:rFonts w:ascii="Times New Roman" w:hAnsi="Times New Roman"/>
        </w:rPr>
        <w:t xml:space="preserve"> hours of clerical </w:t>
      </w:r>
      <w:r w:rsidR="00315E6A" w:rsidRPr="00385557">
        <w:rPr>
          <w:rFonts w:ascii="Times New Roman" w:hAnsi="Times New Roman"/>
        </w:rPr>
        <w:lastRenderedPageBreak/>
        <w:t>staff time plus 1.</w:t>
      </w:r>
      <w:r w:rsidR="006628A1">
        <w:rPr>
          <w:rFonts w:ascii="Times New Roman" w:hAnsi="Times New Roman"/>
        </w:rPr>
        <w:t>8</w:t>
      </w:r>
      <w:r w:rsidR="00315E6A" w:rsidRPr="00385557">
        <w:rPr>
          <w:rFonts w:ascii="Times New Roman" w:hAnsi="Times New Roman"/>
        </w:rPr>
        <w:t>75 hours of professional staff time</w:t>
      </w:r>
      <w:r w:rsidR="00D47CD4">
        <w:rPr>
          <w:rFonts w:ascii="Times New Roman" w:hAnsi="Times New Roman"/>
        </w:rPr>
        <w:t xml:space="preserve"> plus 0.625 hours of contractor time</w:t>
      </w:r>
      <w:r w:rsidR="00315E6A" w:rsidRPr="00385557">
        <w:rPr>
          <w:rFonts w:ascii="Times New Roman" w:hAnsi="Times New Roman"/>
        </w:rPr>
        <w:t>)</w:t>
      </w:r>
      <w:r w:rsidR="00D47CD4">
        <w:rPr>
          <w:rFonts w:ascii="Times New Roman" w:hAnsi="Times New Roman"/>
        </w:rPr>
        <w:t xml:space="preserve"> and </w:t>
      </w:r>
      <w:r w:rsidR="006628A1">
        <w:rPr>
          <w:rFonts w:ascii="Times New Roman" w:hAnsi="Times New Roman"/>
        </w:rPr>
        <w:t>4</w:t>
      </w:r>
      <w:r w:rsidR="00D47CD4">
        <w:rPr>
          <w:rFonts w:ascii="Times New Roman" w:hAnsi="Times New Roman"/>
        </w:rPr>
        <w:t>0 advance filings times 20 hours per filing (0.5 hours of clerical staff time plus 14.625 hours of professional staff time plus 4.875 contractor time).  The</w:t>
      </w:r>
      <w:r w:rsidR="00315E6A" w:rsidRPr="00385557">
        <w:rPr>
          <w:rFonts w:ascii="Times New Roman" w:hAnsi="Times New Roman"/>
        </w:rPr>
        <w:t xml:space="preserve"> estimated hourly cost </w:t>
      </w:r>
      <w:r w:rsidR="00D47CD4">
        <w:rPr>
          <w:rFonts w:ascii="Times New Roman" w:hAnsi="Times New Roman"/>
        </w:rPr>
        <w:t>is $33.51 an hour of clerical staff time, $70.70 an hour of professional time, and $62.93 an hour of contractor time</w:t>
      </w:r>
      <w:r w:rsidR="00315E6A">
        <w:rPr>
          <w:rFonts w:ascii="Times New Roman" w:hAnsi="Times New Roman"/>
        </w:rPr>
        <w:t>.</w:t>
      </w:r>
    </w:p>
    <w:p w14:paraId="06FDD1FC" w14:textId="77777777" w:rsidR="00A7595E" w:rsidRDefault="00B54BEE" w:rsidP="00B54BEE">
      <w:pPr>
        <w:widowControl/>
        <w:spacing w:line="480" w:lineRule="auto"/>
        <w:ind w:firstLine="720"/>
        <w:rPr>
          <w:rFonts w:ascii="Times New Roman" w:hAnsi="Times New Roman"/>
        </w:rPr>
      </w:pPr>
      <w:r w:rsidRPr="00A30BEE">
        <w:rPr>
          <w:rFonts w:ascii="Times New Roman" w:hAnsi="Times New Roman"/>
        </w:rPr>
        <w:t xml:space="preserve">15.  </w:t>
      </w:r>
      <w:r w:rsidRPr="00A30BEE">
        <w:rPr>
          <w:rFonts w:ascii="Times New Roman" w:hAnsi="Times New Roman"/>
          <w:u w:val="single"/>
        </w:rPr>
        <w:t>Change in burden.</w:t>
      </w:r>
      <w:r w:rsidRPr="00A30BEE">
        <w:rPr>
          <w:rFonts w:ascii="Times New Roman" w:hAnsi="Times New Roman"/>
        </w:rPr>
        <w:t xml:space="preserve">  </w:t>
      </w:r>
      <w:r w:rsidR="00A7595E" w:rsidRPr="00A7595E">
        <w:rPr>
          <w:rFonts w:ascii="Times New Roman" w:hAnsi="Times New Roman"/>
        </w:rPr>
        <w:t>These changes are the result of a</w:t>
      </w:r>
      <w:r w:rsidR="00A7595E">
        <w:rPr>
          <w:rFonts w:ascii="Times New Roman" w:hAnsi="Times New Roman"/>
        </w:rPr>
        <w:t xml:space="preserve"> slight</w:t>
      </w:r>
      <w:r w:rsidR="00A7595E" w:rsidRPr="00A7595E">
        <w:rPr>
          <w:rFonts w:ascii="Times New Roman" w:hAnsi="Times New Roman"/>
        </w:rPr>
        <w:t xml:space="preserve"> decrease in the number of expected filings based upon </w:t>
      </w:r>
      <w:r w:rsidR="00A7595E">
        <w:rPr>
          <w:rFonts w:ascii="Times New Roman" w:hAnsi="Times New Roman"/>
        </w:rPr>
        <w:t>the changes to the waiver provisions of the regulation contained in the final rule</w:t>
      </w:r>
      <w:r w:rsidR="00A7595E" w:rsidRPr="00A7595E">
        <w:rPr>
          <w:rFonts w:ascii="Times New Roman" w:hAnsi="Times New Roman"/>
        </w:rPr>
        <w:t xml:space="preserve"> and PBGC’s use of different assumptions for estimating costs.</w:t>
      </w:r>
    </w:p>
    <w:p w14:paraId="526D775B" w14:textId="77777777" w:rsidR="00B54BEE" w:rsidRPr="00A30BEE" w:rsidRDefault="00B54BEE" w:rsidP="00B54BEE">
      <w:pPr>
        <w:widowControl/>
        <w:spacing w:line="480" w:lineRule="auto"/>
        <w:ind w:firstLine="720"/>
        <w:rPr>
          <w:rFonts w:ascii="Times New Roman" w:hAnsi="Times New Roman"/>
        </w:rPr>
      </w:pPr>
      <w:r w:rsidRPr="00A30BEE">
        <w:rPr>
          <w:rFonts w:ascii="Times New Roman" w:hAnsi="Times New Roman"/>
        </w:rPr>
        <w:t xml:space="preserve">16.  </w:t>
      </w:r>
      <w:r w:rsidRPr="00A30BEE">
        <w:rPr>
          <w:rFonts w:ascii="Times New Roman" w:hAnsi="Times New Roman"/>
          <w:u w:val="single"/>
        </w:rPr>
        <w:t>Publication plans.</w:t>
      </w:r>
      <w:r w:rsidRPr="00A30BEE">
        <w:rPr>
          <w:rFonts w:ascii="Times New Roman" w:hAnsi="Times New Roman"/>
        </w:rPr>
        <w:t xml:space="preserve">  PBGC does not plan to publish the results of this collection of information.</w:t>
      </w:r>
    </w:p>
    <w:p w14:paraId="4C88B5FD" w14:textId="77777777" w:rsidR="00B54BEE" w:rsidRDefault="00B54BEE" w:rsidP="00B54BEE">
      <w:pPr>
        <w:widowControl/>
        <w:spacing w:line="480" w:lineRule="auto"/>
        <w:ind w:firstLine="720"/>
        <w:rPr>
          <w:rFonts w:ascii="Times New Roman" w:hAnsi="Times New Roman"/>
        </w:rPr>
      </w:pPr>
      <w:r w:rsidRPr="00A30BEE">
        <w:rPr>
          <w:rFonts w:ascii="Times New Roman" w:hAnsi="Times New Roman"/>
        </w:rPr>
        <w:t xml:space="preserve">17.  </w:t>
      </w:r>
      <w:r w:rsidRPr="00A30BEE">
        <w:rPr>
          <w:rFonts w:ascii="Times New Roman" w:hAnsi="Times New Roman"/>
          <w:u w:val="single"/>
        </w:rPr>
        <w:t>Approval for omitting expiration date.</w:t>
      </w:r>
      <w:r w:rsidRPr="00A30BEE">
        <w:rPr>
          <w:rFonts w:ascii="Times New Roman" w:hAnsi="Times New Roman"/>
        </w:rPr>
        <w:t xml:space="preserve">  PBGC is not seeking OMB approval to omit the expiration date.</w:t>
      </w:r>
    </w:p>
    <w:p w14:paraId="33BA777D" w14:textId="77777777" w:rsidR="0097789F" w:rsidRPr="00B54BEE" w:rsidRDefault="00B54BEE" w:rsidP="00B54BEE">
      <w:pPr>
        <w:widowControl/>
        <w:spacing w:line="480" w:lineRule="auto"/>
        <w:ind w:firstLine="720"/>
        <w:rPr>
          <w:rFonts w:ascii="Times New Roman" w:hAnsi="Times New Roman"/>
          <w:bCs/>
        </w:rPr>
      </w:pPr>
      <w:r w:rsidRPr="00603144">
        <w:rPr>
          <w:rFonts w:ascii="Times New Roman" w:hAnsi="Times New Roman"/>
        </w:rPr>
        <w:t xml:space="preserve">18.  </w:t>
      </w:r>
      <w:r w:rsidRPr="00603144">
        <w:rPr>
          <w:rFonts w:ascii="Times New Roman" w:hAnsi="Times New Roman"/>
          <w:u w:val="single"/>
        </w:rPr>
        <w:t>Exceptions to certification statement.</w:t>
      </w:r>
      <w:r w:rsidRPr="00603144">
        <w:rPr>
          <w:rFonts w:ascii="Times New Roman" w:hAnsi="Times New Roman"/>
        </w:rPr>
        <w:t xml:space="preserve">  There are no exceptions to the certification </w:t>
      </w:r>
      <w:r>
        <w:rPr>
          <w:rFonts w:ascii="Times New Roman" w:hAnsi="Times New Roman"/>
        </w:rPr>
        <w:t>statement for this submission</w:t>
      </w:r>
      <w:r w:rsidRPr="00603144">
        <w:rPr>
          <w:rFonts w:ascii="Times New Roman" w:hAnsi="Times New Roman"/>
        </w:rPr>
        <w:t>.</w:t>
      </w:r>
    </w:p>
    <w:sectPr w:rsidR="0097789F" w:rsidRPr="00B54BEE" w:rsidSect="0097789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55652" w14:textId="77777777" w:rsidR="006F6CFD" w:rsidRDefault="006F6CFD" w:rsidP="00B54BEE">
      <w:r>
        <w:separator/>
      </w:r>
    </w:p>
  </w:endnote>
  <w:endnote w:type="continuationSeparator" w:id="0">
    <w:p w14:paraId="3A50919E" w14:textId="77777777" w:rsidR="006F6CFD" w:rsidRDefault="006F6CFD" w:rsidP="00B54BEE">
      <w:r>
        <w:continuationSeparator/>
      </w:r>
    </w:p>
  </w:endnote>
  <w:endnote w:type="continuationNotice" w:id="1">
    <w:p w14:paraId="56E1D7C3" w14:textId="77777777" w:rsidR="006F6CFD" w:rsidRDefault="006F6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60ED3" w14:textId="77777777" w:rsidR="00E844E9" w:rsidRDefault="00E844E9">
    <w:pPr>
      <w:spacing w:line="240" w:lineRule="exact"/>
    </w:pPr>
  </w:p>
  <w:p w14:paraId="67339622" w14:textId="77777777" w:rsidR="00E844E9" w:rsidRPr="00680910" w:rsidRDefault="00E844E9">
    <w:pPr>
      <w:framePr w:w="9361" w:wrap="notBeside" w:vAnchor="text" w:hAnchor="text" w:x="1" w:y="1"/>
      <w:jc w:val="center"/>
      <w:rPr>
        <w:rFonts w:ascii="Times New Roman" w:hAnsi="Times New Roman"/>
      </w:rPr>
    </w:pPr>
    <w:r w:rsidRPr="00680910">
      <w:rPr>
        <w:rFonts w:ascii="Times New Roman" w:hAnsi="Times New Roman"/>
      </w:rPr>
      <w:fldChar w:fldCharType="begin"/>
    </w:r>
    <w:r w:rsidRPr="00680910">
      <w:rPr>
        <w:rFonts w:ascii="Times New Roman" w:hAnsi="Times New Roman"/>
      </w:rPr>
      <w:instrText xml:space="preserve">PAGE </w:instrText>
    </w:r>
    <w:r w:rsidRPr="00680910">
      <w:rPr>
        <w:rFonts w:ascii="Times New Roman" w:hAnsi="Times New Roman"/>
      </w:rPr>
      <w:fldChar w:fldCharType="separate"/>
    </w:r>
    <w:r w:rsidR="007D5BDC">
      <w:rPr>
        <w:rFonts w:ascii="Times New Roman" w:hAnsi="Times New Roman"/>
        <w:noProof/>
      </w:rPr>
      <w:t>7</w:t>
    </w:r>
    <w:r w:rsidRPr="00680910">
      <w:rPr>
        <w:rFonts w:ascii="Times New Roman" w:hAnsi="Times New Roman"/>
      </w:rPr>
      <w:fldChar w:fldCharType="end"/>
    </w:r>
  </w:p>
  <w:p w14:paraId="41137C41" w14:textId="77777777" w:rsidR="00E844E9" w:rsidRDefault="00E844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D1B47" w14:textId="77777777" w:rsidR="006F6CFD" w:rsidRDefault="006F6CFD" w:rsidP="00B54BEE">
      <w:r>
        <w:separator/>
      </w:r>
    </w:p>
  </w:footnote>
  <w:footnote w:type="continuationSeparator" w:id="0">
    <w:p w14:paraId="69DCD7C1" w14:textId="77777777" w:rsidR="006F6CFD" w:rsidRDefault="006F6CFD" w:rsidP="00B54BEE">
      <w:r>
        <w:continuationSeparator/>
      </w:r>
    </w:p>
  </w:footnote>
  <w:footnote w:type="continuationNotice" w:id="1">
    <w:p w14:paraId="429B75B2" w14:textId="77777777" w:rsidR="006F6CFD" w:rsidRDefault="006F6C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4EC0A" w14:textId="77777A1A" w:rsidR="00E41203" w:rsidRDefault="00E41203">
    <w:pPr>
      <w:pStyle w:val="Header"/>
    </w:pPr>
  </w:p>
  <w:p w14:paraId="58CFF567" w14:textId="44EEA647" w:rsidR="00BD3F8F" w:rsidRDefault="00BD3F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DB4AD" w14:textId="77777777" w:rsidR="00E844E9" w:rsidRDefault="00E844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1738E" w14:textId="77777777" w:rsidR="00E844E9" w:rsidRDefault="00E844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368BE" w14:textId="77777777" w:rsidR="00E844E9" w:rsidRDefault="00E844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5311C"/>
    <w:multiLevelType w:val="hybridMultilevel"/>
    <w:tmpl w:val="7D409C0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197637"/>
    <w:multiLevelType w:val="hybridMultilevel"/>
    <w:tmpl w:val="4E801AA2"/>
    <w:lvl w:ilvl="0" w:tplc="36C0B1E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4645A"/>
    <w:multiLevelType w:val="hybridMultilevel"/>
    <w:tmpl w:val="783ADBCE"/>
    <w:lvl w:ilvl="0" w:tplc="2B06CC7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A960A98">
      <w:start w:val="1"/>
      <w:numFmt w:val="bullet"/>
      <w:lvlText w:val=""/>
      <w:lvlJc w:val="left"/>
      <w:pPr>
        <w:ind w:left="2880" w:hanging="360"/>
      </w:pPr>
      <w:rPr>
        <w:rFonts w:ascii="Symbol" w:hAnsi="Symbol"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CF6108"/>
    <w:multiLevelType w:val="hybridMultilevel"/>
    <w:tmpl w:val="92D4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EC132D"/>
    <w:multiLevelType w:val="hybridMultilevel"/>
    <w:tmpl w:val="A9A0041C"/>
    <w:lvl w:ilvl="0" w:tplc="E8A2442A">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EE"/>
    <w:rsid w:val="000069C6"/>
    <w:rsid w:val="0002184B"/>
    <w:rsid w:val="000344F2"/>
    <w:rsid w:val="00075F2B"/>
    <w:rsid w:val="00080F7A"/>
    <w:rsid w:val="00086E16"/>
    <w:rsid w:val="00091A67"/>
    <w:rsid w:val="00096BCC"/>
    <w:rsid w:val="000B5A05"/>
    <w:rsid w:val="000B5AAB"/>
    <w:rsid w:val="000D5CDD"/>
    <w:rsid w:val="000F1DDF"/>
    <w:rsid w:val="001017CC"/>
    <w:rsid w:val="00157E15"/>
    <w:rsid w:val="001639AC"/>
    <w:rsid w:val="00173CBE"/>
    <w:rsid w:val="00175EAC"/>
    <w:rsid w:val="00182EBA"/>
    <w:rsid w:val="00185F75"/>
    <w:rsid w:val="00196EA3"/>
    <w:rsid w:val="001A665F"/>
    <w:rsid w:val="001B04CB"/>
    <w:rsid w:val="001B2AC0"/>
    <w:rsid w:val="001B7BFF"/>
    <w:rsid w:val="001E1C6B"/>
    <w:rsid w:val="001E40C2"/>
    <w:rsid w:val="001E4D87"/>
    <w:rsid w:val="00222339"/>
    <w:rsid w:val="00224F39"/>
    <w:rsid w:val="00237650"/>
    <w:rsid w:val="00243789"/>
    <w:rsid w:val="00255DD3"/>
    <w:rsid w:val="002629F4"/>
    <w:rsid w:val="002659CD"/>
    <w:rsid w:val="002677F3"/>
    <w:rsid w:val="00274D5C"/>
    <w:rsid w:val="00277753"/>
    <w:rsid w:val="00286325"/>
    <w:rsid w:val="00296A00"/>
    <w:rsid w:val="002E1380"/>
    <w:rsid w:val="002F29B0"/>
    <w:rsid w:val="00303716"/>
    <w:rsid w:val="00312030"/>
    <w:rsid w:val="00315E6A"/>
    <w:rsid w:val="003505DD"/>
    <w:rsid w:val="00363C2A"/>
    <w:rsid w:val="0039158B"/>
    <w:rsid w:val="003B2DCD"/>
    <w:rsid w:val="0040448E"/>
    <w:rsid w:val="004108D4"/>
    <w:rsid w:val="0043234E"/>
    <w:rsid w:val="00441FD6"/>
    <w:rsid w:val="00471B35"/>
    <w:rsid w:val="00486361"/>
    <w:rsid w:val="004916DF"/>
    <w:rsid w:val="004C2E58"/>
    <w:rsid w:val="004D4DDD"/>
    <w:rsid w:val="004E1B19"/>
    <w:rsid w:val="004E1D8C"/>
    <w:rsid w:val="00513472"/>
    <w:rsid w:val="005327E5"/>
    <w:rsid w:val="00551C7E"/>
    <w:rsid w:val="00553829"/>
    <w:rsid w:val="00571BBF"/>
    <w:rsid w:val="0059152D"/>
    <w:rsid w:val="00592E08"/>
    <w:rsid w:val="005A360E"/>
    <w:rsid w:val="005D343F"/>
    <w:rsid w:val="00605CDD"/>
    <w:rsid w:val="00611C62"/>
    <w:rsid w:val="00624435"/>
    <w:rsid w:val="00632B49"/>
    <w:rsid w:val="00642AAC"/>
    <w:rsid w:val="006628A1"/>
    <w:rsid w:val="00666A23"/>
    <w:rsid w:val="006A1477"/>
    <w:rsid w:val="006C1395"/>
    <w:rsid w:val="006E67CA"/>
    <w:rsid w:val="006F6CFD"/>
    <w:rsid w:val="007114AC"/>
    <w:rsid w:val="00711C71"/>
    <w:rsid w:val="0071569A"/>
    <w:rsid w:val="00751539"/>
    <w:rsid w:val="007522EE"/>
    <w:rsid w:val="00760016"/>
    <w:rsid w:val="00761757"/>
    <w:rsid w:val="007826AC"/>
    <w:rsid w:val="00790AEE"/>
    <w:rsid w:val="007D178B"/>
    <w:rsid w:val="007D5BDC"/>
    <w:rsid w:val="007E400B"/>
    <w:rsid w:val="007E464F"/>
    <w:rsid w:val="007F2951"/>
    <w:rsid w:val="007F6821"/>
    <w:rsid w:val="00824092"/>
    <w:rsid w:val="00831FC8"/>
    <w:rsid w:val="00836BB7"/>
    <w:rsid w:val="0083780F"/>
    <w:rsid w:val="00844C65"/>
    <w:rsid w:val="00863343"/>
    <w:rsid w:val="00864251"/>
    <w:rsid w:val="00867F21"/>
    <w:rsid w:val="0087404E"/>
    <w:rsid w:val="008E5FFD"/>
    <w:rsid w:val="009019BE"/>
    <w:rsid w:val="00925DB3"/>
    <w:rsid w:val="0093018A"/>
    <w:rsid w:val="00951050"/>
    <w:rsid w:val="00954C96"/>
    <w:rsid w:val="00954EAC"/>
    <w:rsid w:val="00956AEE"/>
    <w:rsid w:val="00960C05"/>
    <w:rsid w:val="0097789F"/>
    <w:rsid w:val="00981780"/>
    <w:rsid w:val="00984314"/>
    <w:rsid w:val="00992EB9"/>
    <w:rsid w:val="009958DB"/>
    <w:rsid w:val="009B1458"/>
    <w:rsid w:val="009B7386"/>
    <w:rsid w:val="009C2AAC"/>
    <w:rsid w:val="009E02B8"/>
    <w:rsid w:val="009F517C"/>
    <w:rsid w:val="00A17574"/>
    <w:rsid w:val="00A3523D"/>
    <w:rsid w:val="00A5074A"/>
    <w:rsid w:val="00A61A92"/>
    <w:rsid w:val="00A7595E"/>
    <w:rsid w:val="00A96F28"/>
    <w:rsid w:val="00AA2C1D"/>
    <w:rsid w:val="00AD7E73"/>
    <w:rsid w:val="00AE2ADA"/>
    <w:rsid w:val="00B146E0"/>
    <w:rsid w:val="00B15583"/>
    <w:rsid w:val="00B179D6"/>
    <w:rsid w:val="00B3340C"/>
    <w:rsid w:val="00B3718F"/>
    <w:rsid w:val="00B41FDC"/>
    <w:rsid w:val="00B443C8"/>
    <w:rsid w:val="00B5010B"/>
    <w:rsid w:val="00B54BEE"/>
    <w:rsid w:val="00B63A0E"/>
    <w:rsid w:val="00B67F9C"/>
    <w:rsid w:val="00B717C8"/>
    <w:rsid w:val="00B7715D"/>
    <w:rsid w:val="00B91EA5"/>
    <w:rsid w:val="00B95AEF"/>
    <w:rsid w:val="00B96BEB"/>
    <w:rsid w:val="00BB4BF2"/>
    <w:rsid w:val="00BB5930"/>
    <w:rsid w:val="00BC47ED"/>
    <w:rsid w:val="00BD3C58"/>
    <w:rsid w:val="00BD3F8F"/>
    <w:rsid w:val="00BE0323"/>
    <w:rsid w:val="00C01047"/>
    <w:rsid w:val="00C02A99"/>
    <w:rsid w:val="00C03273"/>
    <w:rsid w:val="00C27EFC"/>
    <w:rsid w:val="00C32182"/>
    <w:rsid w:val="00C61D0B"/>
    <w:rsid w:val="00C62C7C"/>
    <w:rsid w:val="00C7454F"/>
    <w:rsid w:val="00C80021"/>
    <w:rsid w:val="00CC4129"/>
    <w:rsid w:val="00CC64FF"/>
    <w:rsid w:val="00CD097F"/>
    <w:rsid w:val="00CD68A8"/>
    <w:rsid w:val="00CD6D3F"/>
    <w:rsid w:val="00CE064C"/>
    <w:rsid w:val="00CF6A88"/>
    <w:rsid w:val="00D02018"/>
    <w:rsid w:val="00D02FBA"/>
    <w:rsid w:val="00D11B70"/>
    <w:rsid w:val="00D22416"/>
    <w:rsid w:val="00D47CD4"/>
    <w:rsid w:val="00D50BC3"/>
    <w:rsid w:val="00D5329E"/>
    <w:rsid w:val="00D70928"/>
    <w:rsid w:val="00D7129E"/>
    <w:rsid w:val="00DB7D00"/>
    <w:rsid w:val="00DC4CA2"/>
    <w:rsid w:val="00DE4DC0"/>
    <w:rsid w:val="00DF18EB"/>
    <w:rsid w:val="00DF2774"/>
    <w:rsid w:val="00E00859"/>
    <w:rsid w:val="00E3375F"/>
    <w:rsid w:val="00E41203"/>
    <w:rsid w:val="00E42BD4"/>
    <w:rsid w:val="00E51D87"/>
    <w:rsid w:val="00E844E9"/>
    <w:rsid w:val="00E927F6"/>
    <w:rsid w:val="00EA1414"/>
    <w:rsid w:val="00EE04D6"/>
    <w:rsid w:val="00F21069"/>
    <w:rsid w:val="00F4108C"/>
    <w:rsid w:val="00F456C0"/>
    <w:rsid w:val="00F45835"/>
    <w:rsid w:val="00F54AAA"/>
    <w:rsid w:val="00F82AE8"/>
    <w:rsid w:val="00FB1920"/>
    <w:rsid w:val="00FB5E1A"/>
    <w:rsid w:val="00FC7F2D"/>
    <w:rsid w:val="00FD7078"/>
    <w:rsid w:val="00FE4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7ED06B"/>
  <w15:docId w15:val="{F27F07A5-8093-4E8E-A9DA-D2EEB852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EE"/>
    <w:pPr>
      <w:widowControl w:val="0"/>
      <w:autoSpaceDE w:val="0"/>
      <w:autoSpaceDN w:val="0"/>
      <w:adjustRightInd w:val="0"/>
    </w:pPr>
    <w:rPr>
      <w:rFonts w:ascii="Courier" w:eastAsia="MS Mincho" w:hAnsi="Courie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AAC"/>
    <w:rPr>
      <w:sz w:val="22"/>
      <w:szCs w:val="22"/>
    </w:rPr>
  </w:style>
  <w:style w:type="paragraph" w:styleId="Header">
    <w:name w:val="header"/>
    <w:basedOn w:val="Normal"/>
    <w:link w:val="HeaderChar"/>
    <w:rsid w:val="00B54BEE"/>
    <w:pPr>
      <w:tabs>
        <w:tab w:val="center" w:pos="4320"/>
        <w:tab w:val="right" w:pos="8640"/>
      </w:tabs>
    </w:pPr>
  </w:style>
  <w:style w:type="character" w:customStyle="1" w:styleId="HeaderChar">
    <w:name w:val="Header Char"/>
    <w:link w:val="Header"/>
    <w:rsid w:val="00B54BEE"/>
    <w:rPr>
      <w:rFonts w:ascii="Courier" w:eastAsia="MS Mincho" w:hAnsi="Courier"/>
      <w:sz w:val="24"/>
      <w:szCs w:val="24"/>
      <w:lang w:eastAsia="ja-JP"/>
    </w:rPr>
  </w:style>
  <w:style w:type="paragraph" w:styleId="Footer">
    <w:name w:val="footer"/>
    <w:basedOn w:val="Normal"/>
    <w:link w:val="FooterChar"/>
    <w:uiPriority w:val="99"/>
    <w:unhideWhenUsed/>
    <w:rsid w:val="00B54BEE"/>
    <w:pPr>
      <w:tabs>
        <w:tab w:val="center" w:pos="4680"/>
        <w:tab w:val="right" w:pos="9360"/>
      </w:tabs>
    </w:pPr>
  </w:style>
  <w:style w:type="character" w:customStyle="1" w:styleId="FooterChar">
    <w:name w:val="Footer Char"/>
    <w:link w:val="Footer"/>
    <w:uiPriority w:val="99"/>
    <w:rsid w:val="00B54BEE"/>
    <w:rPr>
      <w:rFonts w:ascii="Courier" w:eastAsia="MS Mincho" w:hAnsi="Courier"/>
      <w:sz w:val="24"/>
      <w:szCs w:val="24"/>
      <w:lang w:eastAsia="ja-JP"/>
    </w:rPr>
  </w:style>
  <w:style w:type="paragraph" w:styleId="BalloonText">
    <w:name w:val="Balloon Text"/>
    <w:basedOn w:val="Normal"/>
    <w:link w:val="BalloonTextChar"/>
    <w:uiPriority w:val="99"/>
    <w:semiHidden/>
    <w:unhideWhenUsed/>
    <w:rsid w:val="00992EB9"/>
    <w:rPr>
      <w:rFonts w:ascii="Tahoma" w:hAnsi="Tahoma" w:cs="Tahoma"/>
      <w:sz w:val="16"/>
      <w:szCs w:val="16"/>
    </w:rPr>
  </w:style>
  <w:style w:type="character" w:customStyle="1" w:styleId="BalloonTextChar">
    <w:name w:val="Balloon Text Char"/>
    <w:link w:val="BalloonText"/>
    <w:uiPriority w:val="99"/>
    <w:semiHidden/>
    <w:rsid w:val="00992EB9"/>
    <w:rPr>
      <w:rFonts w:ascii="Tahoma" w:eastAsia="MS Mincho" w:hAnsi="Tahoma" w:cs="Tahoma"/>
      <w:sz w:val="16"/>
      <w:szCs w:val="16"/>
      <w:lang w:eastAsia="ja-JP"/>
    </w:rPr>
  </w:style>
  <w:style w:type="character" w:styleId="CommentReference">
    <w:name w:val="annotation reference"/>
    <w:uiPriority w:val="99"/>
    <w:semiHidden/>
    <w:unhideWhenUsed/>
    <w:rsid w:val="00C02A99"/>
    <w:rPr>
      <w:sz w:val="16"/>
      <w:szCs w:val="16"/>
    </w:rPr>
  </w:style>
  <w:style w:type="paragraph" w:styleId="CommentText">
    <w:name w:val="annotation text"/>
    <w:basedOn w:val="Normal"/>
    <w:link w:val="CommentTextChar"/>
    <w:uiPriority w:val="99"/>
    <w:semiHidden/>
    <w:unhideWhenUsed/>
    <w:rsid w:val="00C02A99"/>
    <w:rPr>
      <w:sz w:val="20"/>
      <w:szCs w:val="20"/>
    </w:rPr>
  </w:style>
  <w:style w:type="character" w:customStyle="1" w:styleId="CommentTextChar">
    <w:name w:val="Comment Text Char"/>
    <w:link w:val="CommentText"/>
    <w:uiPriority w:val="99"/>
    <w:semiHidden/>
    <w:rsid w:val="00C02A99"/>
    <w:rPr>
      <w:rFonts w:ascii="Courier" w:eastAsia="MS Mincho" w:hAnsi="Courier"/>
      <w:lang w:eastAsia="ja-JP"/>
    </w:rPr>
  </w:style>
  <w:style w:type="paragraph" w:styleId="CommentSubject">
    <w:name w:val="annotation subject"/>
    <w:basedOn w:val="CommentText"/>
    <w:next w:val="CommentText"/>
    <w:link w:val="CommentSubjectChar"/>
    <w:uiPriority w:val="99"/>
    <w:semiHidden/>
    <w:unhideWhenUsed/>
    <w:rsid w:val="00C02A99"/>
    <w:rPr>
      <w:b/>
      <w:bCs/>
    </w:rPr>
  </w:style>
  <w:style w:type="character" w:customStyle="1" w:styleId="CommentSubjectChar">
    <w:name w:val="Comment Subject Char"/>
    <w:link w:val="CommentSubject"/>
    <w:uiPriority w:val="99"/>
    <w:semiHidden/>
    <w:rsid w:val="00C02A99"/>
    <w:rPr>
      <w:rFonts w:ascii="Courier" w:eastAsia="MS Mincho" w:hAnsi="Courier"/>
      <w:b/>
      <w:bCs/>
      <w:lang w:eastAsia="ja-JP"/>
    </w:rPr>
  </w:style>
  <w:style w:type="paragraph" w:styleId="Revision">
    <w:name w:val="Revision"/>
    <w:hidden/>
    <w:uiPriority w:val="99"/>
    <w:semiHidden/>
    <w:rsid w:val="00513472"/>
    <w:rPr>
      <w:rFonts w:ascii="Courier" w:eastAsia="MS Mincho" w:hAnsi="Courier"/>
      <w:sz w:val="24"/>
      <w:szCs w:val="24"/>
      <w:lang w:eastAsia="ja-JP"/>
    </w:rPr>
  </w:style>
  <w:style w:type="paragraph" w:styleId="FootnoteText">
    <w:name w:val="footnote text"/>
    <w:basedOn w:val="Normal"/>
    <w:link w:val="FootnoteTextChar"/>
    <w:uiPriority w:val="99"/>
    <w:semiHidden/>
    <w:unhideWhenUsed/>
    <w:rsid w:val="00091A67"/>
    <w:rPr>
      <w:sz w:val="20"/>
      <w:szCs w:val="20"/>
    </w:rPr>
  </w:style>
  <w:style w:type="character" w:customStyle="1" w:styleId="FootnoteTextChar">
    <w:name w:val="Footnote Text Char"/>
    <w:link w:val="FootnoteText"/>
    <w:uiPriority w:val="99"/>
    <w:semiHidden/>
    <w:rsid w:val="00091A67"/>
    <w:rPr>
      <w:rFonts w:ascii="Courier" w:eastAsia="MS Mincho" w:hAnsi="Courier"/>
      <w:lang w:eastAsia="ja-JP"/>
    </w:rPr>
  </w:style>
  <w:style w:type="character" w:styleId="FootnoteReference">
    <w:name w:val="footnote reference"/>
    <w:uiPriority w:val="99"/>
    <w:semiHidden/>
    <w:unhideWhenUsed/>
    <w:rsid w:val="00091A67"/>
    <w:rPr>
      <w:vertAlign w:val="superscript"/>
    </w:rPr>
  </w:style>
  <w:style w:type="paragraph" w:styleId="ListParagraph">
    <w:name w:val="List Paragraph"/>
    <w:basedOn w:val="Normal"/>
    <w:uiPriority w:val="34"/>
    <w:qFormat/>
    <w:rsid w:val="006A1477"/>
    <w:pPr>
      <w:widowControl/>
      <w:autoSpaceDE/>
      <w:autoSpaceDN/>
      <w:adjustRightInd/>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D9892-9672-42DF-8C67-7F14B975EBB0}">
  <ds:schemaRefs>
    <ds:schemaRef ds:uri="http://schemas.openxmlformats.org/officeDocument/2006/bibliography"/>
  </ds:schemaRefs>
</ds:datastoreItem>
</file>

<file path=customXml/itemProps2.xml><?xml version="1.0" encoding="utf-8"?>
<ds:datastoreItem xmlns:ds="http://schemas.openxmlformats.org/officeDocument/2006/customXml" ds:itemID="{4439D871-6537-4270-B1E0-EED284BF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Archeval Kristina</dc:creator>
  <cp:lastModifiedBy>Liebman Daniel</cp:lastModifiedBy>
  <cp:revision>3</cp:revision>
  <cp:lastPrinted>2015-08-06T19:36:00Z</cp:lastPrinted>
  <dcterms:created xsi:type="dcterms:W3CDTF">2015-09-10T16:47:00Z</dcterms:created>
  <dcterms:modified xsi:type="dcterms:W3CDTF">2015-09-10T16:47:00Z</dcterms:modified>
</cp:coreProperties>
</file>