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A8" w:rsidRPr="006A02A8" w:rsidRDefault="006A02A8" w:rsidP="000635CB">
      <w:pPr>
        <w:tabs>
          <w:tab w:val="center" w:pos="4680"/>
        </w:tabs>
        <w:autoSpaceDE w:val="0"/>
        <w:autoSpaceDN w:val="0"/>
        <w:adjustRightInd w:val="0"/>
        <w:spacing w:after="0"/>
        <w:jc w:val="center"/>
        <w:rPr>
          <w:rFonts w:ascii="Times New Roman" w:eastAsia="MS Mincho" w:hAnsi="Times New Roman"/>
          <w:sz w:val="24"/>
          <w:szCs w:val="24"/>
          <w:lang w:eastAsia="ja-JP"/>
        </w:rPr>
      </w:pPr>
      <w:bookmarkStart w:id="0" w:name="_GoBack"/>
      <w:bookmarkEnd w:id="0"/>
      <w:r w:rsidRPr="006A02A8">
        <w:rPr>
          <w:rFonts w:ascii="Times New Roman" w:eastAsia="MS Mincho" w:hAnsi="Times New Roman"/>
          <w:b/>
          <w:bCs/>
          <w:sz w:val="24"/>
          <w:szCs w:val="24"/>
          <w:lang w:eastAsia="ja-JP"/>
        </w:rPr>
        <w:t>SUPPORTING STATEMENT FOR REQUEST FOR OMB APPROVAL</w:t>
      </w:r>
    </w:p>
    <w:p w:rsidR="006A02A8" w:rsidRPr="006A02A8" w:rsidRDefault="006A02A8" w:rsidP="006A02A8">
      <w:pPr>
        <w:tabs>
          <w:tab w:val="center" w:pos="4680"/>
        </w:tabs>
        <w:autoSpaceDE w:val="0"/>
        <w:autoSpaceDN w:val="0"/>
        <w:adjustRightInd w:val="0"/>
        <w:spacing w:after="0"/>
        <w:rPr>
          <w:rFonts w:ascii="Times New Roman" w:eastAsia="MS Mincho" w:hAnsi="Times New Roman"/>
          <w:sz w:val="24"/>
          <w:szCs w:val="24"/>
          <w:lang w:eastAsia="ja-JP"/>
        </w:rPr>
      </w:pPr>
      <w:r w:rsidRPr="006A02A8">
        <w:rPr>
          <w:rFonts w:ascii="Times New Roman" w:eastAsia="MS Mincho" w:hAnsi="Times New Roman"/>
          <w:sz w:val="24"/>
          <w:szCs w:val="24"/>
          <w:lang w:eastAsia="ja-JP"/>
        </w:rPr>
        <w:tab/>
      </w:r>
      <w:r w:rsidRPr="006A02A8">
        <w:rPr>
          <w:rFonts w:ascii="Times New Roman" w:eastAsia="MS Mincho" w:hAnsi="Times New Roman"/>
          <w:b/>
          <w:bCs/>
          <w:sz w:val="24"/>
          <w:szCs w:val="24"/>
          <w:lang w:eastAsia="ja-JP"/>
        </w:rPr>
        <w:t>UNDER THE PAPERWORK REDUCTION ACT AND 5 CFR PART 1320</w:t>
      </w:r>
    </w:p>
    <w:p w:rsidR="006A02A8" w:rsidRPr="006A02A8" w:rsidRDefault="006A02A8" w:rsidP="006A02A8">
      <w:pPr>
        <w:autoSpaceDE w:val="0"/>
        <w:autoSpaceDN w:val="0"/>
        <w:adjustRightInd w:val="0"/>
        <w:spacing w:after="0"/>
        <w:rPr>
          <w:rFonts w:ascii="Times New Roman" w:eastAsia="MS Mincho" w:hAnsi="Times New Roman"/>
          <w:sz w:val="24"/>
          <w:szCs w:val="24"/>
          <w:lang w:eastAsia="ja-JP"/>
        </w:rPr>
      </w:pPr>
    </w:p>
    <w:p w:rsidR="006A02A8" w:rsidRPr="006A02A8" w:rsidRDefault="006A02A8" w:rsidP="006A02A8">
      <w:pPr>
        <w:autoSpaceDE w:val="0"/>
        <w:autoSpaceDN w:val="0"/>
        <w:adjustRightInd w:val="0"/>
        <w:spacing w:after="0"/>
        <w:rPr>
          <w:rFonts w:ascii="Times New Roman" w:eastAsia="MS Mincho" w:hAnsi="Times New Roman"/>
          <w:sz w:val="24"/>
          <w:szCs w:val="24"/>
          <w:lang w:eastAsia="ja-JP"/>
        </w:rPr>
      </w:pPr>
    </w:p>
    <w:p w:rsidR="006A02A8" w:rsidRPr="006A02A8" w:rsidRDefault="006A02A8" w:rsidP="006A02A8">
      <w:pPr>
        <w:tabs>
          <w:tab w:val="left" w:pos="-1440"/>
        </w:tabs>
        <w:autoSpaceDE w:val="0"/>
        <w:autoSpaceDN w:val="0"/>
        <w:adjustRightInd w:val="0"/>
        <w:spacing w:after="0"/>
        <w:rPr>
          <w:rFonts w:ascii="Times New Roman" w:eastAsia="MS Mincho" w:hAnsi="Times New Roman"/>
          <w:sz w:val="24"/>
          <w:szCs w:val="24"/>
          <w:lang w:eastAsia="ja-JP"/>
        </w:rPr>
      </w:pPr>
      <w:r w:rsidRPr="006A02A8">
        <w:rPr>
          <w:rFonts w:ascii="Times New Roman" w:eastAsia="MS Mincho" w:hAnsi="Times New Roman"/>
          <w:b/>
          <w:bCs/>
          <w:sz w:val="24"/>
          <w:szCs w:val="24"/>
          <w:lang w:eastAsia="ja-JP"/>
        </w:rPr>
        <w:t>AGENCY:</w:t>
      </w:r>
      <w:r w:rsidRPr="006A02A8">
        <w:rPr>
          <w:rFonts w:ascii="Times New Roman" w:eastAsia="MS Mincho" w:hAnsi="Times New Roman"/>
          <w:sz w:val="24"/>
          <w:szCs w:val="24"/>
          <w:lang w:eastAsia="ja-JP"/>
        </w:rPr>
        <w:tab/>
        <w:t>Pension Benefit Guaranty Corporation</w:t>
      </w:r>
    </w:p>
    <w:p w:rsidR="006A02A8" w:rsidRPr="006A02A8" w:rsidRDefault="006A02A8" w:rsidP="006A02A8">
      <w:pPr>
        <w:autoSpaceDE w:val="0"/>
        <w:autoSpaceDN w:val="0"/>
        <w:adjustRightInd w:val="0"/>
        <w:spacing w:after="0"/>
        <w:rPr>
          <w:rFonts w:ascii="Times New Roman" w:eastAsia="MS Mincho" w:hAnsi="Times New Roman"/>
          <w:sz w:val="24"/>
          <w:szCs w:val="24"/>
          <w:lang w:eastAsia="ja-JP"/>
        </w:rPr>
      </w:pPr>
    </w:p>
    <w:p w:rsidR="006A02A8" w:rsidRPr="006A02A8" w:rsidRDefault="006A02A8" w:rsidP="006A02A8">
      <w:pPr>
        <w:tabs>
          <w:tab w:val="left" w:pos="-1440"/>
        </w:tabs>
        <w:autoSpaceDE w:val="0"/>
        <w:autoSpaceDN w:val="0"/>
        <w:adjustRightInd w:val="0"/>
        <w:spacing w:after="0"/>
        <w:ind w:left="1440" w:hanging="1440"/>
        <w:rPr>
          <w:rFonts w:ascii="Times New Roman" w:eastAsia="MS Mincho" w:hAnsi="Times New Roman"/>
          <w:sz w:val="24"/>
          <w:szCs w:val="24"/>
          <w:lang w:eastAsia="ja-JP"/>
        </w:rPr>
      </w:pPr>
      <w:r w:rsidRPr="006A02A8">
        <w:rPr>
          <w:rFonts w:ascii="Times New Roman" w:eastAsia="MS Mincho" w:hAnsi="Times New Roman"/>
          <w:b/>
          <w:bCs/>
          <w:sz w:val="24"/>
          <w:szCs w:val="24"/>
          <w:lang w:eastAsia="ja-JP"/>
        </w:rPr>
        <w:t>TITLE:</w:t>
      </w:r>
      <w:r w:rsidRPr="006A02A8">
        <w:rPr>
          <w:rFonts w:ascii="Times New Roman" w:eastAsia="MS Mincho" w:hAnsi="Times New Roman"/>
          <w:sz w:val="24"/>
          <w:szCs w:val="24"/>
          <w:lang w:eastAsia="ja-JP"/>
        </w:rPr>
        <w:tab/>
        <w:t>PBGC Form 200, Notice of Failure to Make Required Contributions</w:t>
      </w:r>
    </w:p>
    <w:p w:rsidR="006A02A8" w:rsidRPr="006A02A8" w:rsidRDefault="006A02A8" w:rsidP="006A02A8">
      <w:pPr>
        <w:autoSpaceDE w:val="0"/>
        <w:autoSpaceDN w:val="0"/>
        <w:adjustRightInd w:val="0"/>
        <w:spacing w:after="0"/>
        <w:ind w:firstLine="144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(29 CFR </w:t>
      </w:r>
      <w:r w:rsidR="00514E75" w:rsidRPr="006A02A8">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4043.81)</w:t>
      </w:r>
    </w:p>
    <w:p w:rsidR="006A02A8" w:rsidRPr="006A02A8" w:rsidRDefault="006A02A8" w:rsidP="006A02A8">
      <w:pPr>
        <w:autoSpaceDE w:val="0"/>
        <w:autoSpaceDN w:val="0"/>
        <w:adjustRightInd w:val="0"/>
        <w:spacing w:after="0"/>
        <w:rPr>
          <w:rFonts w:ascii="Times New Roman" w:eastAsia="MS Mincho" w:hAnsi="Times New Roman"/>
          <w:sz w:val="24"/>
          <w:szCs w:val="24"/>
          <w:lang w:eastAsia="ja-JP"/>
        </w:rPr>
      </w:pPr>
    </w:p>
    <w:p w:rsidR="006A02A8" w:rsidRPr="006A02A8" w:rsidRDefault="006A02A8" w:rsidP="006A02A8">
      <w:pPr>
        <w:tabs>
          <w:tab w:val="left" w:pos="-1440"/>
        </w:tabs>
        <w:autoSpaceDE w:val="0"/>
        <w:autoSpaceDN w:val="0"/>
        <w:adjustRightInd w:val="0"/>
        <w:spacing w:after="0"/>
        <w:ind w:left="1440" w:hanging="1440"/>
        <w:rPr>
          <w:rFonts w:ascii="Times New Roman" w:eastAsia="MS Mincho" w:hAnsi="Times New Roman"/>
          <w:sz w:val="24"/>
          <w:szCs w:val="24"/>
          <w:lang w:eastAsia="ja-JP"/>
        </w:rPr>
      </w:pPr>
      <w:r w:rsidRPr="006A02A8">
        <w:rPr>
          <w:rFonts w:ascii="Times New Roman" w:eastAsia="MS Mincho" w:hAnsi="Times New Roman"/>
          <w:b/>
          <w:bCs/>
          <w:sz w:val="24"/>
          <w:szCs w:val="24"/>
          <w:lang w:eastAsia="ja-JP"/>
        </w:rPr>
        <w:t>STATUS:</w:t>
      </w:r>
      <w:r w:rsidRPr="006A02A8">
        <w:rPr>
          <w:rFonts w:ascii="Times New Roman" w:eastAsia="MS Mincho" w:hAnsi="Times New Roman"/>
          <w:sz w:val="24"/>
          <w:szCs w:val="24"/>
          <w:lang w:eastAsia="ja-JP"/>
        </w:rPr>
        <w:tab/>
        <w:t xml:space="preserve">Request for </w:t>
      </w:r>
      <w:r w:rsidR="009F777F">
        <w:rPr>
          <w:rFonts w:ascii="Times New Roman" w:eastAsia="MS Mincho" w:hAnsi="Times New Roman"/>
          <w:sz w:val="24"/>
          <w:szCs w:val="24"/>
          <w:lang w:eastAsia="ja-JP"/>
        </w:rPr>
        <w:t>approval</w:t>
      </w:r>
      <w:r w:rsidRPr="006A02A8">
        <w:rPr>
          <w:rFonts w:ascii="Times New Roman" w:eastAsia="MS Mincho" w:hAnsi="Times New Roman"/>
          <w:sz w:val="24"/>
          <w:szCs w:val="24"/>
          <w:lang w:eastAsia="ja-JP"/>
        </w:rPr>
        <w:t xml:space="preserve"> of a </w:t>
      </w:r>
      <w:r w:rsidR="009F777F">
        <w:rPr>
          <w:rFonts w:ascii="Times New Roman" w:eastAsia="MS Mincho" w:hAnsi="Times New Roman"/>
          <w:sz w:val="24"/>
          <w:szCs w:val="24"/>
          <w:lang w:eastAsia="ja-JP"/>
        </w:rPr>
        <w:t>revision of a</w:t>
      </w:r>
      <w:r w:rsidRPr="006A02A8">
        <w:rPr>
          <w:rFonts w:ascii="Times New Roman" w:eastAsia="MS Mincho" w:hAnsi="Times New Roman"/>
          <w:sz w:val="24"/>
          <w:szCs w:val="24"/>
          <w:lang w:eastAsia="ja-JP"/>
        </w:rPr>
        <w:t xml:space="preserve"> </w:t>
      </w:r>
      <w:r w:rsidR="009F777F">
        <w:rPr>
          <w:rFonts w:ascii="Times New Roman" w:eastAsia="MS Mincho" w:hAnsi="Times New Roman"/>
          <w:sz w:val="24"/>
          <w:szCs w:val="24"/>
          <w:lang w:eastAsia="ja-JP"/>
        </w:rPr>
        <w:t xml:space="preserve">currently </w:t>
      </w:r>
      <w:r w:rsidRPr="006A02A8">
        <w:rPr>
          <w:rFonts w:ascii="Times New Roman" w:eastAsia="MS Mincho" w:hAnsi="Times New Roman"/>
          <w:sz w:val="24"/>
          <w:szCs w:val="24"/>
          <w:lang w:eastAsia="ja-JP"/>
        </w:rPr>
        <w:t>approved collection of information (OMB control no. 1212</w:t>
      </w:r>
      <w:r w:rsidRPr="006A02A8">
        <w:rPr>
          <w:rFonts w:ascii="Times New Roman" w:eastAsia="MS Mincho" w:hAnsi="Times New Roman"/>
          <w:sz w:val="24"/>
          <w:szCs w:val="24"/>
          <w:lang w:eastAsia="ja-JP"/>
        </w:rPr>
        <w:noBreakHyphen/>
        <w:t xml:space="preserve">0041; expires </w:t>
      </w:r>
      <w:r w:rsidR="00020BD4">
        <w:rPr>
          <w:rFonts w:ascii="Times New Roman" w:eastAsia="MS Mincho" w:hAnsi="Times New Roman"/>
          <w:sz w:val="24"/>
          <w:szCs w:val="24"/>
          <w:lang w:eastAsia="ja-JP"/>
        </w:rPr>
        <w:t>June</w:t>
      </w:r>
      <w:r w:rsidR="00F33CB5">
        <w:rPr>
          <w:rFonts w:ascii="Times New Roman" w:eastAsia="MS Mincho" w:hAnsi="Times New Roman"/>
          <w:sz w:val="24"/>
          <w:szCs w:val="24"/>
          <w:lang w:eastAsia="ja-JP"/>
        </w:rPr>
        <w:t xml:space="preserve"> 3</w:t>
      </w:r>
      <w:r w:rsidR="00020BD4">
        <w:rPr>
          <w:rFonts w:ascii="Times New Roman" w:eastAsia="MS Mincho" w:hAnsi="Times New Roman"/>
          <w:sz w:val="24"/>
          <w:szCs w:val="24"/>
          <w:lang w:eastAsia="ja-JP"/>
        </w:rPr>
        <w:t>0</w:t>
      </w:r>
      <w:r w:rsidR="009F777F">
        <w:rPr>
          <w:rFonts w:ascii="Times New Roman" w:eastAsia="MS Mincho" w:hAnsi="Times New Roman"/>
          <w:sz w:val="24"/>
          <w:szCs w:val="24"/>
          <w:lang w:eastAsia="ja-JP"/>
        </w:rPr>
        <w:t>, 201</w:t>
      </w:r>
      <w:r w:rsidR="00020BD4">
        <w:rPr>
          <w:rFonts w:ascii="Times New Roman" w:eastAsia="MS Mincho" w:hAnsi="Times New Roman"/>
          <w:sz w:val="24"/>
          <w:szCs w:val="24"/>
          <w:lang w:eastAsia="ja-JP"/>
        </w:rPr>
        <w:t>8</w:t>
      </w:r>
      <w:r w:rsidRPr="006A02A8">
        <w:rPr>
          <w:rFonts w:ascii="Times New Roman" w:eastAsia="MS Mincho" w:hAnsi="Times New Roman"/>
          <w:sz w:val="24"/>
          <w:szCs w:val="24"/>
          <w:lang w:eastAsia="ja-JP"/>
        </w:rPr>
        <w:t>)</w:t>
      </w:r>
    </w:p>
    <w:p w:rsidR="006A02A8" w:rsidRPr="006A02A8" w:rsidRDefault="006A02A8" w:rsidP="006A02A8">
      <w:pPr>
        <w:autoSpaceDE w:val="0"/>
        <w:autoSpaceDN w:val="0"/>
        <w:adjustRightInd w:val="0"/>
        <w:spacing w:after="0"/>
        <w:rPr>
          <w:rFonts w:ascii="Times New Roman" w:eastAsia="MS Mincho" w:hAnsi="Times New Roman"/>
          <w:sz w:val="24"/>
          <w:szCs w:val="24"/>
          <w:lang w:eastAsia="ja-JP"/>
        </w:rPr>
      </w:pPr>
    </w:p>
    <w:p w:rsidR="006A02A8" w:rsidRPr="006A02A8" w:rsidRDefault="006A02A8" w:rsidP="006A02A8">
      <w:pPr>
        <w:tabs>
          <w:tab w:val="left" w:pos="-1440"/>
        </w:tabs>
        <w:autoSpaceDE w:val="0"/>
        <w:autoSpaceDN w:val="0"/>
        <w:adjustRightInd w:val="0"/>
        <w:spacing w:after="0"/>
        <w:ind w:left="1440" w:hanging="1440"/>
        <w:rPr>
          <w:rFonts w:ascii="Times New Roman" w:eastAsia="MS Mincho" w:hAnsi="Times New Roman"/>
          <w:sz w:val="24"/>
          <w:szCs w:val="24"/>
          <w:lang w:eastAsia="ja-JP"/>
        </w:rPr>
      </w:pPr>
      <w:r w:rsidRPr="006A02A8">
        <w:rPr>
          <w:rFonts w:ascii="Times New Roman" w:eastAsia="MS Mincho" w:hAnsi="Times New Roman"/>
          <w:b/>
          <w:bCs/>
          <w:sz w:val="24"/>
          <w:szCs w:val="24"/>
          <w:lang w:eastAsia="ja-JP"/>
        </w:rPr>
        <w:t>CONTACT:</w:t>
      </w:r>
      <w:r w:rsidRPr="006A02A8">
        <w:rPr>
          <w:rFonts w:ascii="Times New Roman" w:eastAsia="MS Mincho" w:hAnsi="Times New Roman"/>
          <w:sz w:val="24"/>
          <w:szCs w:val="24"/>
          <w:lang w:eastAsia="ja-JP"/>
        </w:rPr>
        <w:tab/>
      </w:r>
      <w:r w:rsidR="009F777F">
        <w:rPr>
          <w:rFonts w:ascii="Times New Roman" w:eastAsia="MS Mincho" w:hAnsi="Times New Roman"/>
          <w:sz w:val="24"/>
          <w:szCs w:val="24"/>
          <w:lang w:eastAsia="ja-JP"/>
        </w:rPr>
        <w:t>Daniel Liebman</w:t>
      </w:r>
      <w:r w:rsidRPr="006A02A8">
        <w:rPr>
          <w:rFonts w:ascii="Times New Roman" w:eastAsia="MS Mincho" w:hAnsi="Times New Roman"/>
          <w:sz w:val="24"/>
          <w:szCs w:val="24"/>
          <w:lang w:eastAsia="ja-JP"/>
        </w:rPr>
        <w:t xml:space="preserve"> (202-326-4000, ext. </w:t>
      </w:r>
      <w:r w:rsidR="009F777F">
        <w:rPr>
          <w:rFonts w:ascii="Times New Roman" w:eastAsia="MS Mincho" w:hAnsi="Times New Roman"/>
          <w:sz w:val="24"/>
          <w:szCs w:val="24"/>
          <w:lang w:eastAsia="ja-JP"/>
        </w:rPr>
        <w:t>651</w:t>
      </w:r>
      <w:r w:rsidRPr="006A02A8">
        <w:rPr>
          <w:rFonts w:ascii="Times New Roman" w:eastAsia="MS Mincho" w:hAnsi="Times New Roman"/>
          <w:sz w:val="24"/>
          <w:szCs w:val="24"/>
          <w:lang w:eastAsia="ja-JP"/>
        </w:rPr>
        <w:t>0) or Catherine Klion (202-326-4000, ext. 3041)</w:t>
      </w:r>
    </w:p>
    <w:p w:rsidR="006A02A8" w:rsidRPr="006A02A8" w:rsidRDefault="006A02A8" w:rsidP="006A02A8">
      <w:pPr>
        <w:autoSpaceDE w:val="0"/>
        <w:autoSpaceDN w:val="0"/>
        <w:adjustRightInd w:val="0"/>
        <w:spacing w:after="0"/>
        <w:rPr>
          <w:rFonts w:ascii="Times New Roman" w:eastAsia="MS Mincho" w:hAnsi="Times New Roman"/>
          <w:sz w:val="24"/>
          <w:szCs w:val="24"/>
          <w:lang w:eastAsia="ja-JP"/>
        </w:rPr>
      </w:pPr>
    </w:p>
    <w:p w:rsidR="006A02A8" w:rsidRPr="006A02A8" w:rsidRDefault="006A02A8" w:rsidP="006A02A8">
      <w:pPr>
        <w:tabs>
          <w:tab w:val="left" w:pos="-1440"/>
        </w:tabs>
        <w:autoSpaceDE w:val="0"/>
        <w:autoSpaceDN w:val="0"/>
        <w:adjustRightInd w:val="0"/>
        <w:spacing w:after="0" w:line="480" w:lineRule="auto"/>
        <w:rPr>
          <w:rFonts w:ascii="Times New Roman" w:eastAsia="MS Mincho" w:hAnsi="Times New Roman"/>
          <w:sz w:val="24"/>
          <w:szCs w:val="24"/>
          <w:lang w:eastAsia="ja-JP"/>
        </w:rPr>
      </w:pPr>
      <w:r w:rsidRPr="006A02A8">
        <w:rPr>
          <w:rFonts w:ascii="Times New Roman" w:eastAsia="MS Mincho" w:hAnsi="Times New Roman"/>
          <w:sz w:val="24"/>
          <w:szCs w:val="24"/>
          <w:lang w:eastAsia="ja-JP"/>
        </w:rPr>
        <w:t>A.</w:t>
      </w:r>
      <w:r w:rsidRPr="006A02A8">
        <w:rPr>
          <w:rFonts w:ascii="Times New Roman" w:eastAsia="MS Mincho" w:hAnsi="Times New Roman"/>
          <w:sz w:val="24"/>
          <w:szCs w:val="24"/>
          <w:lang w:eastAsia="ja-JP"/>
        </w:rPr>
        <w:tab/>
      </w:r>
      <w:r w:rsidRPr="006A02A8">
        <w:rPr>
          <w:rFonts w:ascii="Times New Roman" w:eastAsia="MS Mincho" w:hAnsi="Times New Roman"/>
          <w:sz w:val="24"/>
          <w:szCs w:val="24"/>
          <w:u w:val="single"/>
          <w:lang w:eastAsia="ja-JP"/>
        </w:rPr>
        <w:t>Justification.</w:t>
      </w:r>
    </w:p>
    <w:p w:rsidR="004C456E"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  </w:t>
      </w:r>
      <w:r w:rsidRPr="006A02A8">
        <w:rPr>
          <w:rFonts w:ascii="Times New Roman" w:eastAsia="MS Mincho" w:hAnsi="Times New Roman"/>
          <w:sz w:val="24"/>
          <w:szCs w:val="24"/>
          <w:u w:val="single"/>
          <w:lang w:eastAsia="ja-JP"/>
        </w:rPr>
        <w:t>Need for collection.</w:t>
      </w:r>
      <w:r w:rsidRPr="006A02A8">
        <w:rPr>
          <w:rFonts w:ascii="Times New Roman" w:eastAsia="MS Mincho" w:hAnsi="Times New Roman"/>
          <w:sz w:val="24"/>
          <w:szCs w:val="24"/>
          <w:lang w:eastAsia="ja-JP"/>
        </w:rPr>
        <w:t xml:space="preserve">  Section 303(k) of the Employee Retirement Income Security Act of 1974 (ERISA) and section 430(k) of the Internal Revenue Code of 1986 (Code) impose a lien in favor of an underfunded </w:t>
      </w:r>
      <w:r w:rsidR="004C604C" w:rsidRPr="006A02A8">
        <w:rPr>
          <w:rFonts w:ascii="Times New Roman" w:eastAsia="MS Mincho" w:hAnsi="Times New Roman"/>
          <w:sz w:val="24"/>
          <w:szCs w:val="24"/>
          <w:lang w:eastAsia="ja-JP"/>
        </w:rPr>
        <w:t>single-employer</w:t>
      </w:r>
      <w:r w:rsidRPr="006A02A8">
        <w:rPr>
          <w:rFonts w:ascii="Times New Roman" w:eastAsia="MS Mincho" w:hAnsi="Times New Roman"/>
          <w:sz w:val="24"/>
          <w:szCs w:val="24"/>
          <w:lang w:eastAsia="ja-JP"/>
        </w:rPr>
        <w:t xml:space="preserve"> plan that is covered by </w:t>
      </w:r>
      <w:r w:rsidR="00633C6C">
        <w:rPr>
          <w:rFonts w:ascii="Times New Roman" w:eastAsia="MS Mincho" w:hAnsi="Times New Roman"/>
          <w:sz w:val="24"/>
          <w:szCs w:val="24"/>
          <w:lang w:eastAsia="ja-JP"/>
        </w:rPr>
        <w:t>PBGC’s</w:t>
      </w:r>
      <w:r w:rsidR="00633C6C" w:rsidRPr="006A02A8">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 xml:space="preserve">termination insurance program if (1) any person fails to make a required payment when due, and (2) the unpaid balance of that payment (including interest), when added to the aggregate unpaid balance of all preceding payments for which payment was not made when due (including interest), exceeds $1 million.  (For this purpose, a plan is underfunded if its funding target attainment percentage is less than 100 percent.)  The lien is upon all property and rights to property belonging to the person or persons </w:t>
      </w:r>
      <w:r w:rsidR="003704A4">
        <w:rPr>
          <w:rFonts w:ascii="Times New Roman" w:eastAsia="MS Mincho" w:hAnsi="Times New Roman"/>
          <w:sz w:val="24"/>
          <w:szCs w:val="24"/>
          <w:lang w:eastAsia="ja-JP"/>
        </w:rPr>
        <w:t>that</w:t>
      </w:r>
      <w:r w:rsidR="003704A4" w:rsidRPr="006A02A8">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are liable for required contributions (</w:t>
      </w:r>
      <w:r w:rsidRPr="006A02A8">
        <w:rPr>
          <w:rFonts w:ascii="Times New Roman" w:eastAsia="MS Mincho" w:hAnsi="Times New Roman"/>
          <w:i/>
          <w:sz w:val="24"/>
          <w:szCs w:val="24"/>
          <w:lang w:eastAsia="ja-JP"/>
        </w:rPr>
        <w:t>i.e.</w:t>
      </w:r>
      <w:r w:rsidRPr="006A02A8">
        <w:rPr>
          <w:rFonts w:ascii="Times New Roman" w:eastAsia="MS Mincho" w:hAnsi="Times New Roman"/>
          <w:sz w:val="24"/>
          <w:szCs w:val="24"/>
          <w:lang w:eastAsia="ja-JP"/>
        </w:rPr>
        <w:t>, a contributing sponsor and each member of the controlled group of which that contributing sponsor is a member).</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Only PBGC (or, at its direction, the plan's contributing sponsor or a member of the same controlled group) may perfect and enforce this lien.  ERISA and the Code require persons </w:t>
      </w:r>
      <w:r w:rsidR="00633C6C">
        <w:rPr>
          <w:rFonts w:ascii="Times New Roman" w:eastAsia="MS Mincho" w:hAnsi="Times New Roman"/>
          <w:sz w:val="24"/>
          <w:szCs w:val="24"/>
          <w:lang w:eastAsia="ja-JP"/>
        </w:rPr>
        <w:t>that fail to make payments</w:t>
      </w:r>
      <w:r w:rsidRPr="006A02A8">
        <w:rPr>
          <w:rFonts w:ascii="Times New Roman" w:eastAsia="MS Mincho" w:hAnsi="Times New Roman"/>
          <w:sz w:val="24"/>
          <w:szCs w:val="24"/>
          <w:lang w:eastAsia="ja-JP"/>
        </w:rPr>
        <w:t xml:space="preserve"> to notify PBGC within 10 days of the due date whenever there is a failure </w:t>
      </w:r>
      <w:r w:rsidRPr="006A02A8">
        <w:rPr>
          <w:rFonts w:ascii="Times New Roman" w:eastAsia="MS Mincho" w:hAnsi="Times New Roman"/>
          <w:sz w:val="24"/>
          <w:szCs w:val="24"/>
          <w:lang w:eastAsia="ja-JP"/>
        </w:rPr>
        <w:lastRenderedPageBreak/>
        <w:t>to make a required payment and the total of the unpaid balances (including interest) exceeds $1 million.</w:t>
      </w:r>
    </w:p>
    <w:p w:rsid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PBGC Form 200, Notice of Failure to Make Required Contributions, and related filing instructions implement the statutory notification requirement.  Submission of Form 200 is required by 29 CFR § 4043.81</w:t>
      </w:r>
      <w:r w:rsidR="00C2683C">
        <w:rPr>
          <w:rFonts w:ascii="Times New Roman" w:eastAsia="MS Mincho" w:hAnsi="Times New Roman"/>
          <w:sz w:val="24"/>
          <w:szCs w:val="24"/>
          <w:lang w:eastAsia="ja-JP"/>
        </w:rPr>
        <w:t xml:space="preserve"> (Subpart D of PBGC’s regulation on Reportable Events and </w:t>
      </w:r>
      <w:r w:rsidR="008E37DD">
        <w:rPr>
          <w:rFonts w:ascii="Times New Roman" w:eastAsia="MS Mincho" w:hAnsi="Times New Roman"/>
          <w:sz w:val="24"/>
          <w:szCs w:val="24"/>
          <w:lang w:eastAsia="ja-JP"/>
        </w:rPr>
        <w:t>O</w:t>
      </w:r>
      <w:r w:rsidR="00C2683C">
        <w:rPr>
          <w:rFonts w:ascii="Times New Roman" w:eastAsia="MS Mincho" w:hAnsi="Times New Roman"/>
          <w:sz w:val="24"/>
          <w:szCs w:val="24"/>
          <w:lang w:eastAsia="ja-JP"/>
        </w:rPr>
        <w:t>ther Notification Requirements, 29 CFR part 4043)</w:t>
      </w:r>
      <w:r w:rsidRPr="006A02A8">
        <w:rPr>
          <w:rFonts w:ascii="Times New Roman" w:eastAsia="MS Mincho" w:hAnsi="Times New Roman"/>
          <w:sz w:val="24"/>
          <w:szCs w:val="24"/>
          <w:lang w:eastAsia="ja-JP"/>
        </w:rPr>
        <w:t>.</w:t>
      </w:r>
    </w:p>
    <w:p w:rsidR="009F777F" w:rsidRDefault="002C7B05" w:rsidP="006A02A8">
      <w:pPr>
        <w:autoSpaceDE w:val="0"/>
        <w:autoSpaceDN w:val="0"/>
        <w:adjustRightInd w:val="0"/>
        <w:spacing w:after="0" w:line="480" w:lineRule="auto"/>
        <w:ind w:firstLine="720"/>
        <w:rPr>
          <w:rFonts w:ascii="Times New Roman" w:eastAsia="MS Mincho" w:hAnsi="Times New Roman"/>
          <w:sz w:val="24"/>
          <w:szCs w:val="24"/>
          <w:lang w:eastAsia="ja-JP"/>
        </w:rPr>
      </w:pPr>
      <w:r>
        <w:rPr>
          <w:rFonts w:ascii="Times New Roman" w:eastAsia="MS Mincho" w:hAnsi="Times New Roman"/>
          <w:sz w:val="24"/>
          <w:szCs w:val="24"/>
          <w:lang w:eastAsia="ja-JP"/>
        </w:rPr>
        <w:t>On [insert]</w:t>
      </w:r>
      <w:r w:rsidR="00C2683C">
        <w:rPr>
          <w:rFonts w:ascii="Times New Roman" w:eastAsia="MS Mincho" w:hAnsi="Times New Roman"/>
          <w:sz w:val="24"/>
          <w:szCs w:val="24"/>
          <w:lang w:eastAsia="ja-JP"/>
        </w:rPr>
        <w:t>, 2015 (80 FR [insert]</w:t>
      </w:r>
      <w:r w:rsidR="008E37DD">
        <w:rPr>
          <w:rFonts w:ascii="Times New Roman" w:eastAsia="MS Mincho" w:hAnsi="Times New Roman"/>
          <w:sz w:val="24"/>
          <w:szCs w:val="24"/>
          <w:lang w:eastAsia="ja-JP"/>
        </w:rPr>
        <w:t>)</w:t>
      </w:r>
      <w:r w:rsidR="00C2683C">
        <w:rPr>
          <w:rFonts w:ascii="Times New Roman" w:eastAsia="MS Mincho" w:hAnsi="Times New Roman"/>
          <w:sz w:val="24"/>
          <w:szCs w:val="24"/>
          <w:lang w:eastAsia="ja-JP"/>
        </w:rPr>
        <w:t xml:space="preserve">, PBGC published </w:t>
      </w:r>
      <w:r w:rsidR="00020BD4">
        <w:rPr>
          <w:rFonts w:ascii="Times New Roman" w:eastAsia="MS Mincho" w:hAnsi="Times New Roman"/>
          <w:sz w:val="24"/>
          <w:szCs w:val="24"/>
          <w:lang w:eastAsia="ja-JP"/>
        </w:rPr>
        <w:t>final</w:t>
      </w:r>
      <w:r w:rsidR="009F777F">
        <w:rPr>
          <w:rFonts w:ascii="Times New Roman" w:eastAsia="MS Mincho" w:hAnsi="Times New Roman"/>
          <w:sz w:val="24"/>
          <w:szCs w:val="24"/>
          <w:lang w:eastAsia="ja-JP"/>
        </w:rPr>
        <w:t xml:space="preserve"> rule amending part 4043</w:t>
      </w:r>
      <w:r w:rsidR="00C2683C">
        <w:rPr>
          <w:rFonts w:ascii="Times New Roman" w:eastAsia="MS Mincho" w:hAnsi="Times New Roman"/>
          <w:sz w:val="24"/>
          <w:szCs w:val="24"/>
          <w:lang w:eastAsia="ja-JP"/>
        </w:rPr>
        <w:t xml:space="preserve">.  Although </w:t>
      </w:r>
      <w:r w:rsidR="008E37DD">
        <w:rPr>
          <w:rFonts w:ascii="Times New Roman" w:eastAsia="MS Mincho" w:hAnsi="Times New Roman"/>
          <w:sz w:val="24"/>
          <w:szCs w:val="24"/>
          <w:lang w:eastAsia="ja-JP"/>
        </w:rPr>
        <w:t>the final rule does</w:t>
      </w:r>
      <w:r w:rsidR="00C2683C">
        <w:rPr>
          <w:rFonts w:ascii="Times New Roman" w:eastAsia="MS Mincho" w:hAnsi="Times New Roman"/>
          <w:sz w:val="24"/>
          <w:szCs w:val="24"/>
          <w:lang w:eastAsia="ja-JP"/>
        </w:rPr>
        <w:t xml:space="preserve"> not make any substantive changes to Subpart D</w:t>
      </w:r>
      <w:r w:rsidR="009F777F">
        <w:rPr>
          <w:rFonts w:ascii="Times New Roman" w:eastAsia="MS Mincho" w:hAnsi="Times New Roman"/>
          <w:sz w:val="24"/>
          <w:szCs w:val="24"/>
          <w:lang w:eastAsia="ja-JP"/>
        </w:rPr>
        <w:t xml:space="preserve">, PBGC is </w:t>
      </w:r>
      <w:r w:rsidR="00020BD4">
        <w:rPr>
          <w:rFonts w:ascii="Times New Roman" w:eastAsia="MS Mincho" w:hAnsi="Times New Roman"/>
          <w:sz w:val="24"/>
          <w:szCs w:val="24"/>
          <w:lang w:eastAsia="ja-JP"/>
        </w:rPr>
        <w:t>making</w:t>
      </w:r>
      <w:r w:rsidR="009F777F">
        <w:rPr>
          <w:rFonts w:ascii="Times New Roman" w:eastAsia="MS Mincho" w:hAnsi="Times New Roman"/>
          <w:sz w:val="24"/>
          <w:szCs w:val="24"/>
          <w:lang w:eastAsia="ja-JP"/>
        </w:rPr>
        <w:t xml:space="preserve"> the following changes to the information collection requirements </w:t>
      </w:r>
      <w:r w:rsidR="000D3420">
        <w:rPr>
          <w:rFonts w:ascii="Times New Roman" w:eastAsia="MS Mincho" w:hAnsi="Times New Roman"/>
          <w:sz w:val="24"/>
          <w:szCs w:val="24"/>
          <w:lang w:eastAsia="ja-JP"/>
        </w:rPr>
        <w:t>relating to PBGC’s Form 200</w:t>
      </w:r>
      <w:r w:rsidR="009F777F">
        <w:rPr>
          <w:rFonts w:ascii="Times New Roman" w:eastAsia="MS Mincho" w:hAnsi="Times New Roman"/>
          <w:sz w:val="24"/>
          <w:szCs w:val="24"/>
          <w:lang w:eastAsia="ja-JP"/>
        </w:rPr>
        <w:t>:</w:t>
      </w:r>
    </w:p>
    <w:p w:rsidR="009F777F" w:rsidRPr="000D3420" w:rsidRDefault="00020BD4" w:rsidP="009F777F">
      <w:pPr>
        <w:numPr>
          <w:ilvl w:val="0"/>
          <w:numId w:val="1"/>
        </w:numPr>
        <w:spacing w:after="0"/>
        <w:ind w:left="360"/>
        <w:rPr>
          <w:rFonts w:ascii="Times New Roman" w:hAnsi="Times New Roman"/>
          <w:sz w:val="24"/>
          <w:szCs w:val="24"/>
        </w:rPr>
      </w:pPr>
      <w:r>
        <w:rPr>
          <w:rFonts w:ascii="Times New Roman" w:hAnsi="Times New Roman"/>
          <w:sz w:val="24"/>
          <w:szCs w:val="24"/>
        </w:rPr>
        <w:t>E</w:t>
      </w:r>
      <w:r w:rsidR="009F777F" w:rsidRPr="000D3420">
        <w:rPr>
          <w:rFonts w:ascii="Times New Roman" w:hAnsi="Times New Roman"/>
          <w:sz w:val="24"/>
          <w:szCs w:val="24"/>
        </w:rPr>
        <w:t xml:space="preserve">lectronic filing </w:t>
      </w:r>
      <w:r>
        <w:rPr>
          <w:rFonts w:ascii="Times New Roman" w:hAnsi="Times New Roman"/>
          <w:sz w:val="24"/>
          <w:szCs w:val="24"/>
        </w:rPr>
        <w:t xml:space="preserve">of the Form 200 is now </w:t>
      </w:r>
      <w:r w:rsidR="009F777F" w:rsidRPr="000D3420">
        <w:rPr>
          <w:rFonts w:ascii="Times New Roman" w:hAnsi="Times New Roman"/>
          <w:sz w:val="24"/>
          <w:szCs w:val="24"/>
        </w:rPr>
        <w:t>mandatory as part of PBGC’s ongoing implementation of the Government Paperwork Elimination Act.  Electronic filing has become the norm for PBGC’s regulated community and is already mandatory for reporting for other purposes: (</w:t>
      </w:r>
      <w:r w:rsidR="009F777F" w:rsidRPr="009E0BA1">
        <w:rPr>
          <w:rFonts w:ascii="Times New Roman" w:hAnsi="Times New Roman"/>
          <w:i/>
          <w:sz w:val="24"/>
          <w:szCs w:val="24"/>
        </w:rPr>
        <w:t>e.g</w:t>
      </w:r>
      <w:r w:rsidR="009F777F" w:rsidRPr="000D3420">
        <w:rPr>
          <w:rFonts w:ascii="Times New Roman" w:hAnsi="Times New Roman"/>
          <w:sz w:val="24"/>
          <w:szCs w:val="24"/>
        </w:rPr>
        <w:t xml:space="preserve">., annual financial and actuarial information reporting under ERISA section 4010 (starting with 2005 information years), PBGC premiums (starting with 2007 plan years for all plans), and Form 5500 (starting with 2009 plan years)).  However, PBGC </w:t>
      </w:r>
      <w:r w:rsidR="005E0158">
        <w:rPr>
          <w:rFonts w:ascii="Times New Roman" w:hAnsi="Times New Roman"/>
          <w:sz w:val="24"/>
          <w:szCs w:val="24"/>
        </w:rPr>
        <w:t>may</w:t>
      </w:r>
      <w:r w:rsidR="009F777F" w:rsidRPr="000D3420">
        <w:rPr>
          <w:rFonts w:ascii="Times New Roman" w:hAnsi="Times New Roman"/>
          <w:sz w:val="24"/>
          <w:szCs w:val="24"/>
        </w:rPr>
        <w:t xml:space="preserve"> waive electronic filing</w:t>
      </w:r>
      <w:r>
        <w:rPr>
          <w:rFonts w:ascii="Times New Roman" w:hAnsi="Times New Roman"/>
          <w:sz w:val="24"/>
          <w:szCs w:val="24"/>
        </w:rPr>
        <w:t>, including</w:t>
      </w:r>
      <w:r w:rsidR="009F777F" w:rsidRPr="000D3420">
        <w:rPr>
          <w:rFonts w:ascii="Times New Roman" w:hAnsi="Times New Roman"/>
          <w:sz w:val="24"/>
          <w:szCs w:val="24"/>
        </w:rPr>
        <w:t xml:space="preserve"> for voluminous paper documents to relieve filers of the need to scan them, pursuant to § 4043.4(a) (case-by-case waivers).</w:t>
      </w:r>
    </w:p>
    <w:p w:rsidR="009F777F" w:rsidRPr="009F777F" w:rsidRDefault="009F777F" w:rsidP="009F777F">
      <w:pPr>
        <w:spacing w:after="0"/>
        <w:ind w:left="360"/>
        <w:rPr>
          <w:rFonts w:ascii="Times New Roman" w:hAnsi="Times New Roman"/>
          <w:sz w:val="24"/>
          <w:szCs w:val="24"/>
        </w:rPr>
      </w:pPr>
    </w:p>
    <w:p w:rsidR="009F777F" w:rsidRPr="009F777F" w:rsidRDefault="009F777F" w:rsidP="009F777F">
      <w:pPr>
        <w:numPr>
          <w:ilvl w:val="0"/>
          <w:numId w:val="1"/>
        </w:numPr>
        <w:spacing w:after="0"/>
        <w:ind w:left="360"/>
        <w:rPr>
          <w:rFonts w:ascii="Times New Roman" w:hAnsi="Times New Roman"/>
          <w:b/>
          <w:sz w:val="24"/>
          <w:szCs w:val="24"/>
        </w:rPr>
      </w:pPr>
      <w:r w:rsidRPr="009F777F">
        <w:rPr>
          <w:rFonts w:ascii="Times New Roman" w:hAnsi="Times New Roman"/>
          <w:sz w:val="24"/>
          <w:szCs w:val="24"/>
        </w:rPr>
        <w:t>In missed contribution cases, there is sometimes a credit balance that is available for application to a contribution that is due.  PBGC needs to be able to determine whether all or a portion of the credit balance has been properly applied toward payment of the contribution.  Accordingly, PBGC</w:t>
      </w:r>
      <w:r w:rsidR="000D3420">
        <w:rPr>
          <w:rFonts w:ascii="Times New Roman" w:hAnsi="Times New Roman"/>
          <w:sz w:val="24"/>
          <w:szCs w:val="24"/>
        </w:rPr>
        <w:t xml:space="preserve"> </w:t>
      </w:r>
      <w:r w:rsidR="00810BDE">
        <w:rPr>
          <w:rFonts w:ascii="Times New Roman" w:hAnsi="Times New Roman"/>
          <w:sz w:val="24"/>
          <w:szCs w:val="24"/>
        </w:rPr>
        <w:t>is</w:t>
      </w:r>
      <w:r w:rsidRPr="009F777F">
        <w:rPr>
          <w:rFonts w:ascii="Times New Roman" w:hAnsi="Times New Roman"/>
          <w:sz w:val="24"/>
          <w:szCs w:val="24"/>
        </w:rPr>
        <w:t xml:space="preserve"> requir</w:t>
      </w:r>
      <w:r w:rsidR="00810BDE">
        <w:rPr>
          <w:rFonts w:ascii="Times New Roman" w:hAnsi="Times New Roman"/>
          <w:sz w:val="24"/>
          <w:szCs w:val="24"/>
        </w:rPr>
        <w:t>ing</w:t>
      </w:r>
      <w:r w:rsidRPr="009F777F">
        <w:rPr>
          <w:rFonts w:ascii="Times New Roman" w:hAnsi="Times New Roman"/>
          <w:sz w:val="24"/>
          <w:szCs w:val="24"/>
        </w:rPr>
        <w:t xml:space="preserve"> filers to indicate how much (if any) of the carryover balance or prefunding balance was used for partial payment of the missed contribution and submit copies of election letters relating to </w:t>
      </w:r>
      <w:r w:rsidR="00611957">
        <w:rPr>
          <w:rFonts w:ascii="Times New Roman" w:hAnsi="Times New Roman"/>
          <w:sz w:val="24"/>
          <w:szCs w:val="24"/>
        </w:rPr>
        <w:t xml:space="preserve">the </w:t>
      </w:r>
      <w:r w:rsidRPr="009F777F">
        <w:rPr>
          <w:rFonts w:ascii="Times New Roman" w:hAnsi="Times New Roman"/>
          <w:sz w:val="24"/>
          <w:szCs w:val="24"/>
        </w:rPr>
        <w:t>application of the carryover balance and prefunding balance to the contribution.</w:t>
      </w:r>
    </w:p>
    <w:p w:rsidR="009F777F" w:rsidRDefault="009F777F" w:rsidP="009F777F">
      <w:pPr>
        <w:pStyle w:val="ListParagraph"/>
        <w:rPr>
          <w:b/>
        </w:rPr>
      </w:pPr>
    </w:p>
    <w:p w:rsidR="00FD608C" w:rsidRDefault="00FD608C" w:rsidP="009F777F">
      <w:pPr>
        <w:numPr>
          <w:ilvl w:val="0"/>
          <w:numId w:val="1"/>
        </w:numPr>
        <w:spacing w:after="0"/>
        <w:ind w:left="360"/>
        <w:rPr>
          <w:rFonts w:ascii="Times New Roman" w:hAnsi="Times New Roman"/>
          <w:sz w:val="24"/>
          <w:szCs w:val="24"/>
        </w:rPr>
      </w:pPr>
      <w:r w:rsidRPr="00FD608C">
        <w:rPr>
          <w:rFonts w:ascii="Times New Roman" w:hAnsi="Times New Roman"/>
          <w:sz w:val="24"/>
          <w:szCs w:val="23"/>
        </w:rPr>
        <w:t xml:space="preserve">Simplified reporting for Form 200 filings is now available where the filer has not missed any required contribution (other than the missed contribution that triggered the Form 200 filing requirement during the two-year period ending on the notice due date for the Form 200) and has made up the missed contribution by the notice due date; under the simplified reporting provision, none of the attachments that are otherwise required to be included in the filing </w:t>
      </w:r>
      <w:r w:rsidRPr="00FD608C">
        <w:rPr>
          <w:rFonts w:ascii="Times New Roman" w:hAnsi="Times New Roman"/>
          <w:color w:val="000000"/>
          <w:sz w:val="24"/>
        </w:rPr>
        <w:t>(</w:t>
      </w:r>
      <w:r w:rsidRPr="00FD608C">
        <w:rPr>
          <w:rFonts w:ascii="Times New Roman" w:hAnsi="Times New Roman"/>
          <w:i/>
          <w:color w:val="000000"/>
          <w:sz w:val="24"/>
        </w:rPr>
        <w:t>e.g.</w:t>
      </w:r>
      <w:r w:rsidRPr="00FD608C">
        <w:rPr>
          <w:rFonts w:ascii="Times New Roman" w:hAnsi="Times New Roman"/>
          <w:color w:val="000000"/>
          <w:sz w:val="24"/>
        </w:rPr>
        <w:t xml:space="preserve">, controlled group listing and company financial statements) </w:t>
      </w:r>
      <w:r w:rsidRPr="00FD608C">
        <w:rPr>
          <w:rFonts w:ascii="Times New Roman" w:hAnsi="Times New Roman"/>
          <w:sz w:val="24"/>
          <w:szCs w:val="23"/>
        </w:rPr>
        <w:t>need to be provided.</w:t>
      </w:r>
    </w:p>
    <w:p w:rsidR="00FD608C" w:rsidRDefault="00FD608C" w:rsidP="00FD608C">
      <w:pPr>
        <w:pStyle w:val="ListParagraph"/>
      </w:pPr>
    </w:p>
    <w:p w:rsidR="00BF5929" w:rsidRPr="00BF5929" w:rsidRDefault="00BF5929" w:rsidP="009F777F">
      <w:pPr>
        <w:numPr>
          <w:ilvl w:val="0"/>
          <w:numId w:val="1"/>
        </w:numPr>
        <w:spacing w:after="0"/>
        <w:ind w:left="360"/>
        <w:rPr>
          <w:rFonts w:ascii="Times New Roman" w:hAnsi="Times New Roman"/>
          <w:sz w:val="24"/>
          <w:szCs w:val="24"/>
        </w:rPr>
      </w:pPr>
      <w:r>
        <w:rPr>
          <w:rFonts w:ascii="Times New Roman" w:hAnsi="Times New Roman"/>
          <w:sz w:val="24"/>
          <w:szCs w:val="24"/>
        </w:rPr>
        <w:t xml:space="preserve">PBGC </w:t>
      </w:r>
      <w:r w:rsidR="00810BDE">
        <w:rPr>
          <w:rFonts w:ascii="Times New Roman" w:hAnsi="Times New Roman"/>
          <w:sz w:val="24"/>
          <w:szCs w:val="24"/>
        </w:rPr>
        <w:t>is</w:t>
      </w:r>
      <w:r>
        <w:rPr>
          <w:rFonts w:ascii="Times New Roman" w:hAnsi="Times New Roman"/>
          <w:sz w:val="24"/>
          <w:szCs w:val="24"/>
        </w:rPr>
        <w:t xml:space="preserve"> requir</w:t>
      </w:r>
      <w:r w:rsidR="00810BDE">
        <w:rPr>
          <w:rFonts w:ascii="Times New Roman" w:hAnsi="Times New Roman"/>
          <w:sz w:val="24"/>
          <w:szCs w:val="24"/>
        </w:rPr>
        <w:t>ing</w:t>
      </w:r>
      <w:r>
        <w:rPr>
          <w:rFonts w:ascii="Times New Roman" w:hAnsi="Times New Roman"/>
          <w:sz w:val="24"/>
          <w:szCs w:val="24"/>
        </w:rPr>
        <w:t xml:space="preserve"> the submission of information about all controlled-group real property </w:t>
      </w:r>
      <w:r w:rsidR="00162C22">
        <w:rPr>
          <w:rFonts w:ascii="Times New Roman" w:hAnsi="Times New Roman"/>
          <w:sz w:val="24"/>
          <w:szCs w:val="24"/>
        </w:rPr>
        <w:t xml:space="preserve">and the </w:t>
      </w:r>
      <w:r>
        <w:rPr>
          <w:rFonts w:ascii="Times New Roman" w:hAnsi="Times New Roman"/>
          <w:sz w:val="24"/>
          <w:szCs w:val="24"/>
        </w:rPr>
        <w:t>identity of contro</w:t>
      </w:r>
      <w:r w:rsidR="00162C22">
        <w:rPr>
          <w:rFonts w:ascii="Times New Roman" w:hAnsi="Times New Roman"/>
          <w:sz w:val="24"/>
          <w:szCs w:val="24"/>
        </w:rPr>
        <w:t>l</w:t>
      </w:r>
      <w:r>
        <w:rPr>
          <w:rFonts w:ascii="Times New Roman" w:hAnsi="Times New Roman"/>
          <w:sz w:val="24"/>
          <w:szCs w:val="24"/>
        </w:rPr>
        <w:t>led group head offices</w:t>
      </w:r>
      <w:r w:rsidR="00162C22">
        <w:rPr>
          <w:rFonts w:ascii="Times New Roman" w:hAnsi="Times New Roman"/>
          <w:sz w:val="24"/>
          <w:szCs w:val="24"/>
        </w:rPr>
        <w:t xml:space="preserve"> for lien assessment purposes</w:t>
      </w:r>
      <w:r>
        <w:rPr>
          <w:rFonts w:ascii="Times New Roman" w:hAnsi="Times New Roman"/>
          <w:sz w:val="24"/>
          <w:szCs w:val="24"/>
        </w:rPr>
        <w:t>.</w:t>
      </w:r>
    </w:p>
    <w:p w:rsidR="00BF5929" w:rsidRDefault="00BF5929" w:rsidP="00BF5929">
      <w:pPr>
        <w:pStyle w:val="ListParagraph"/>
      </w:pPr>
    </w:p>
    <w:p w:rsidR="009F777F" w:rsidRPr="005E0158" w:rsidRDefault="009F777F" w:rsidP="009F777F">
      <w:pPr>
        <w:numPr>
          <w:ilvl w:val="0"/>
          <w:numId w:val="1"/>
        </w:numPr>
        <w:spacing w:after="0"/>
        <w:ind w:left="360"/>
        <w:rPr>
          <w:rFonts w:ascii="Times New Roman" w:hAnsi="Times New Roman"/>
          <w:b/>
          <w:sz w:val="24"/>
          <w:szCs w:val="24"/>
        </w:rPr>
      </w:pPr>
      <w:r w:rsidRPr="009F777F">
        <w:rPr>
          <w:rFonts w:ascii="Times New Roman" w:hAnsi="Times New Roman"/>
          <w:sz w:val="24"/>
          <w:szCs w:val="24"/>
        </w:rPr>
        <w:t xml:space="preserve">PBGC </w:t>
      </w:r>
      <w:r w:rsidR="00810BDE">
        <w:rPr>
          <w:rFonts w:ascii="Times New Roman" w:hAnsi="Times New Roman"/>
          <w:sz w:val="24"/>
          <w:szCs w:val="24"/>
        </w:rPr>
        <w:t>is</w:t>
      </w:r>
      <w:r w:rsidRPr="009F777F">
        <w:rPr>
          <w:rFonts w:ascii="Times New Roman" w:hAnsi="Times New Roman"/>
          <w:sz w:val="24"/>
          <w:szCs w:val="24"/>
        </w:rPr>
        <w:t xml:space="preserve"> </w:t>
      </w:r>
      <w:r w:rsidR="00FD608C">
        <w:rPr>
          <w:rFonts w:ascii="Times New Roman" w:hAnsi="Times New Roman"/>
          <w:sz w:val="24"/>
          <w:szCs w:val="24"/>
        </w:rPr>
        <w:t>requiring a</w:t>
      </w:r>
      <w:r w:rsidRPr="009F777F">
        <w:rPr>
          <w:rFonts w:ascii="Times New Roman" w:hAnsi="Times New Roman"/>
          <w:sz w:val="24"/>
          <w:szCs w:val="24"/>
        </w:rPr>
        <w:t xml:space="preserve"> description of each controlled group member’s </w:t>
      </w:r>
      <w:r w:rsidR="00B512D1">
        <w:rPr>
          <w:rFonts w:ascii="Times New Roman" w:hAnsi="Times New Roman"/>
          <w:sz w:val="24"/>
          <w:szCs w:val="24"/>
        </w:rPr>
        <w:t xml:space="preserve">operational </w:t>
      </w:r>
      <w:r w:rsidRPr="009F777F">
        <w:rPr>
          <w:rFonts w:ascii="Times New Roman" w:hAnsi="Times New Roman"/>
          <w:sz w:val="24"/>
          <w:szCs w:val="24"/>
        </w:rPr>
        <w:t xml:space="preserve">status </w:t>
      </w:r>
      <w:r w:rsidRPr="005E0158">
        <w:rPr>
          <w:rFonts w:ascii="Times New Roman" w:hAnsi="Times New Roman"/>
          <w:sz w:val="24"/>
          <w:szCs w:val="24"/>
        </w:rPr>
        <w:t>(</w:t>
      </w:r>
      <w:r w:rsidR="00B512D1" w:rsidRPr="009E0BA1">
        <w:rPr>
          <w:rFonts w:ascii="Times New Roman" w:hAnsi="Times New Roman"/>
          <w:sz w:val="24"/>
          <w:szCs w:val="24"/>
        </w:rPr>
        <w:t>in Chapter 7 proceedings, liquidating outside of bankruptcy, on-going, etc.</w:t>
      </w:r>
      <w:r w:rsidRPr="005E0158">
        <w:rPr>
          <w:rFonts w:ascii="Times New Roman" w:hAnsi="Times New Roman"/>
          <w:sz w:val="24"/>
          <w:szCs w:val="24"/>
        </w:rPr>
        <w:t>)</w:t>
      </w:r>
      <w:r w:rsidR="00FD608C" w:rsidRPr="005E0158">
        <w:rPr>
          <w:rFonts w:ascii="Times New Roman" w:hAnsi="Times New Roman"/>
          <w:sz w:val="24"/>
          <w:szCs w:val="24"/>
        </w:rPr>
        <w:t xml:space="preserve">.  </w:t>
      </w:r>
    </w:p>
    <w:p w:rsidR="009F777F" w:rsidRDefault="009F777F" w:rsidP="009F777F">
      <w:pPr>
        <w:autoSpaceDE w:val="0"/>
        <w:autoSpaceDN w:val="0"/>
        <w:adjustRightInd w:val="0"/>
        <w:spacing w:after="0"/>
        <w:ind w:firstLine="720"/>
        <w:rPr>
          <w:rFonts w:ascii="Times New Roman" w:eastAsia="MS Mincho" w:hAnsi="Times New Roman"/>
          <w:sz w:val="24"/>
          <w:szCs w:val="24"/>
          <w:lang w:eastAsia="ja-JP"/>
        </w:rPr>
      </w:pP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2.  </w:t>
      </w:r>
      <w:r w:rsidRPr="006A02A8">
        <w:rPr>
          <w:rFonts w:ascii="Times New Roman" w:eastAsia="MS Mincho" w:hAnsi="Times New Roman"/>
          <w:sz w:val="24"/>
          <w:szCs w:val="24"/>
          <w:u w:val="single"/>
          <w:lang w:eastAsia="ja-JP"/>
        </w:rPr>
        <w:t>Use of information</w:t>
      </w:r>
      <w:r w:rsidRPr="006A02A8">
        <w:rPr>
          <w:rFonts w:ascii="Times New Roman" w:eastAsia="MS Mincho" w:hAnsi="Times New Roman"/>
          <w:sz w:val="24"/>
          <w:szCs w:val="24"/>
          <w:lang w:eastAsia="ja-JP"/>
        </w:rPr>
        <w:t xml:space="preserve">.  PBGC uses the information it obtains to make decisions regarding </w:t>
      </w:r>
      <w:r w:rsidR="00B512D1">
        <w:rPr>
          <w:rFonts w:ascii="Times New Roman" w:eastAsia="MS Mincho" w:hAnsi="Times New Roman"/>
          <w:sz w:val="24"/>
          <w:szCs w:val="24"/>
          <w:lang w:eastAsia="ja-JP"/>
        </w:rPr>
        <w:t xml:space="preserve">the perfection and </w:t>
      </w:r>
      <w:r w:rsidRPr="006A02A8">
        <w:rPr>
          <w:rFonts w:ascii="Times New Roman" w:eastAsia="MS Mincho" w:hAnsi="Times New Roman"/>
          <w:sz w:val="24"/>
          <w:szCs w:val="24"/>
          <w:lang w:eastAsia="ja-JP"/>
        </w:rPr>
        <w:t>enforcement of liens created under ERISA section 303(k)(1) and Code section 430(k)(1).  This information enables PBGC staff to determine the amount of the statutory lien and to evaluate the funding status of the plan and the financial condition of the person(s) responsible for its funding.  Without this information, PBGC could not efficiently and effectively use the statutory lien provisions in carrying out its responsibilities to protect plan benefits and control insurance program costs.</w:t>
      </w:r>
    </w:p>
    <w:p w:rsidR="004C456E" w:rsidRDefault="006A02A8" w:rsidP="004C456E">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3.  </w:t>
      </w:r>
      <w:r w:rsidRPr="006A02A8">
        <w:rPr>
          <w:rFonts w:ascii="Times New Roman" w:eastAsia="MS Mincho" w:hAnsi="Times New Roman"/>
          <w:sz w:val="24"/>
          <w:szCs w:val="24"/>
          <w:u w:val="single"/>
          <w:lang w:eastAsia="ja-JP"/>
        </w:rPr>
        <w:t>Use of technological collection techniques</w:t>
      </w:r>
      <w:r w:rsidRPr="006A02A8">
        <w:rPr>
          <w:rFonts w:ascii="Times New Roman" w:eastAsia="MS Mincho" w:hAnsi="Times New Roman"/>
          <w:sz w:val="24"/>
          <w:szCs w:val="24"/>
          <w:lang w:eastAsia="ja-JP"/>
        </w:rPr>
        <w:t>.  PBGC</w:t>
      </w:r>
      <w:r w:rsidR="00B512D1">
        <w:rPr>
          <w:rFonts w:ascii="Times New Roman" w:eastAsia="MS Mincho" w:hAnsi="Times New Roman"/>
          <w:sz w:val="24"/>
          <w:szCs w:val="24"/>
          <w:lang w:eastAsia="ja-JP"/>
        </w:rPr>
        <w:t xml:space="preserve"> is proposing to require electronic filing of</w:t>
      </w:r>
      <w:r w:rsidRPr="006A02A8">
        <w:rPr>
          <w:rFonts w:ascii="Times New Roman" w:eastAsia="MS Mincho" w:hAnsi="Times New Roman"/>
          <w:sz w:val="24"/>
          <w:szCs w:val="24"/>
          <w:lang w:eastAsia="ja-JP"/>
        </w:rPr>
        <w:t xml:space="preserve"> Form 200 filings</w:t>
      </w:r>
      <w:r w:rsidR="004C456E">
        <w:rPr>
          <w:rFonts w:ascii="Times New Roman" w:eastAsia="MS Mincho" w:hAnsi="Times New Roman"/>
          <w:sz w:val="24"/>
          <w:szCs w:val="24"/>
          <w:lang w:eastAsia="ja-JP"/>
        </w:rPr>
        <w:t>.</w:t>
      </w:r>
    </w:p>
    <w:p w:rsidR="006A02A8" w:rsidRPr="006A02A8" w:rsidRDefault="006A02A8" w:rsidP="004C456E">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4.  </w:t>
      </w:r>
      <w:r w:rsidRPr="006A02A8">
        <w:rPr>
          <w:rFonts w:ascii="Times New Roman" w:eastAsia="MS Mincho" w:hAnsi="Times New Roman"/>
          <w:sz w:val="24"/>
          <w:szCs w:val="24"/>
          <w:u w:val="single"/>
          <w:lang w:eastAsia="ja-JP"/>
        </w:rPr>
        <w:t>Duplication and similar information</w:t>
      </w:r>
      <w:r w:rsidRPr="006A02A8">
        <w:rPr>
          <w:rFonts w:ascii="Times New Roman" w:eastAsia="MS Mincho" w:hAnsi="Times New Roman"/>
          <w:sz w:val="24"/>
          <w:szCs w:val="24"/>
          <w:lang w:eastAsia="ja-JP"/>
        </w:rPr>
        <w:t>.  PBGC avoids potential duplication by permitting a filer to respond to an item that calls for documentation or other information previously submitted to PBGC (in an earlier Form 200 or another context) by identifying the previous submission in which the response was provided.</w:t>
      </w:r>
    </w:p>
    <w:p w:rsidR="00E35279" w:rsidRDefault="006A02A8" w:rsidP="00E35279">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In addition, to the extent that PBGC staff can use information from documents prepared for other purposes (including reports and other filings with Federal agencies and in judicial proceedings) in </w:t>
      </w:r>
      <w:r w:rsidR="004430A4">
        <w:rPr>
          <w:rFonts w:ascii="Times New Roman" w:eastAsia="MS Mincho" w:hAnsi="Times New Roman"/>
          <w:sz w:val="24"/>
          <w:szCs w:val="24"/>
          <w:lang w:eastAsia="ja-JP"/>
        </w:rPr>
        <w:t>perfecting liens and lien</w:t>
      </w:r>
      <w:r w:rsidRPr="006A02A8">
        <w:rPr>
          <w:rFonts w:ascii="Times New Roman" w:eastAsia="MS Mincho" w:hAnsi="Times New Roman"/>
          <w:sz w:val="24"/>
          <w:szCs w:val="24"/>
          <w:lang w:eastAsia="ja-JP"/>
        </w:rPr>
        <w:t>-enforcement decision making, Form 200 calls for the submission of copies of those documents.</w:t>
      </w:r>
    </w:p>
    <w:p w:rsidR="006A02A8" w:rsidRPr="006A02A8" w:rsidRDefault="006A02A8" w:rsidP="00E35279">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A failure that triggers this notification requirement also may be a reportable event (see </w:t>
      </w:r>
      <w:r w:rsidR="004478FB" w:rsidRPr="006A02A8">
        <w:rPr>
          <w:rFonts w:ascii="Times New Roman" w:eastAsia="MS Mincho" w:hAnsi="Times New Roman"/>
          <w:sz w:val="24"/>
          <w:szCs w:val="24"/>
          <w:lang w:eastAsia="ja-JP"/>
        </w:rPr>
        <w:t xml:space="preserve">ERISA </w:t>
      </w:r>
      <w:r w:rsidRPr="006A02A8">
        <w:rPr>
          <w:rFonts w:ascii="Times New Roman" w:eastAsia="MS Mincho" w:hAnsi="Times New Roman"/>
          <w:sz w:val="24"/>
          <w:szCs w:val="24"/>
          <w:lang w:eastAsia="ja-JP"/>
        </w:rPr>
        <w:t xml:space="preserve">section 4043(c)(5) and 29 CFR § 4043.25).  The reportable event notice requirement is </w:t>
      </w:r>
      <w:r w:rsidRPr="006A02A8">
        <w:rPr>
          <w:rFonts w:ascii="Times New Roman" w:eastAsia="MS Mincho" w:hAnsi="Times New Roman"/>
          <w:sz w:val="24"/>
          <w:szCs w:val="24"/>
          <w:lang w:eastAsia="ja-JP"/>
        </w:rPr>
        <w:lastRenderedPageBreak/>
        <w:t>satisfied if a timely and complete Form 200 is submitted with respect to the same failure (see 29</w:t>
      </w:r>
      <w:r w:rsidR="007267E0">
        <w:rPr>
          <w:rFonts w:ascii="Times New Roman" w:eastAsia="MS Mincho" w:hAnsi="Times New Roman"/>
          <w:sz w:val="24"/>
          <w:szCs w:val="24"/>
          <w:lang w:eastAsia="ja-JP"/>
        </w:rPr>
        <w:t> </w:t>
      </w:r>
      <w:r w:rsidRPr="006A02A8">
        <w:rPr>
          <w:rFonts w:ascii="Times New Roman" w:eastAsia="MS Mincho" w:hAnsi="Times New Roman"/>
          <w:sz w:val="24"/>
          <w:szCs w:val="24"/>
          <w:lang w:eastAsia="ja-JP"/>
        </w:rPr>
        <w:t>CFR § 4043.25(d)).</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PBGC believes that there is no information similar to that required under the regulation that could be used instead of the required information for the purposes served by the regulation.</w:t>
      </w:r>
    </w:p>
    <w:p w:rsidR="004C456E" w:rsidRDefault="006A02A8" w:rsidP="004C456E">
      <w:pPr>
        <w:keepLines/>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5.  </w:t>
      </w:r>
      <w:r w:rsidRPr="006A02A8">
        <w:rPr>
          <w:rFonts w:ascii="Times New Roman" w:eastAsia="MS Mincho" w:hAnsi="Times New Roman"/>
          <w:sz w:val="24"/>
          <w:szCs w:val="24"/>
          <w:u w:val="single"/>
          <w:lang w:eastAsia="ja-JP"/>
        </w:rPr>
        <w:t>Small businesses</w:t>
      </w:r>
      <w:r w:rsidR="004C456E">
        <w:rPr>
          <w:rFonts w:ascii="Times New Roman" w:eastAsia="MS Mincho" w:hAnsi="Times New Roman"/>
          <w:sz w:val="24"/>
          <w:szCs w:val="24"/>
          <w:lang w:eastAsia="ja-JP"/>
        </w:rPr>
        <w:t>.  Not applicable.</w:t>
      </w:r>
      <w:r w:rsidR="0008201A">
        <w:rPr>
          <w:rFonts w:ascii="Times New Roman" w:eastAsia="MS Mincho" w:hAnsi="Times New Roman"/>
          <w:sz w:val="24"/>
          <w:szCs w:val="24"/>
          <w:lang w:eastAsia="ja-JP"/>
        </w:rPr>
        <w:t xml:space="preserve">  </w:t>
      </w:r>
      <w:r w:rsidR="0008201A" w:rsidRPr="003704A4">
        <w:rPr>
          <w:rFonts w:ascii="Times New Roman" w:eastAsia="MS Mincho" w:hAnsi="Times New Roman"/>
          <w:sz w:val="24"/>
          <w:szCs w:val="24"/>
          <w:lang w:eastAsia="ja-JP"/>
        </w:rPr>
        <w:t>This information collection does not have a significant economic impact on a substantial number of small entities.</w:t>
      </w:r>
    </w:p>
    <w:p w:rsidR="006A02A8" w:rsidRPr="006A02A8" w:rsidRDefault="006A02A8" w:rsidP="004C456E">
      <w:pPr>
        <w:keepLines/>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6.  </w:t>
      </w:r>
      <w:r w:rsidRPr="006A02A8">
        <w:rPr>
          <w:rFonts w:ascii="Times New Roman" w:eastAsia="MS Mincho" w:hAnsi="Times New Roman"/>
          <w:sz w:val="24"/>
          <w:szCs w:val="24"/>
          <w:u w:val="single"/>
          <w:lang w:eastAsia="ja-JP"/>
        </w:rPr>
        <w:t>Consequences of no or less frequent collection</w:t>
      </w:r>
      <w:r w:rsidRPr="006A02A8">
        <w:rPr>
          <w:rFonts w:ascii="Times New Roman" w:eastAsia="MS Mincho" w:hAnsi="Times New Roman"/>
          <w:sz w:val="24"/>
          <w:szCs w:val="24"/>
          <w:lang w:eastAsia="ja-JP"/>
        </w:rPr>
        <w:t xml:space="preserve">.  ERISA establishes when PBGC collects information by requiring that PBGC be notified of each failure to make a required funding payment </w:t>
      </w:r>
      <w:r w:rsidR="00E07EC1">
        <w:rPr>
          <w:rFonts w:ascii="Times New Roman" w:eastAsia="MS Mincho" w:hAnsi="Times New Roman"/>
          <w:sz w:val="24"/>
          <w:szCs w:val="24"/>
          <w:lang w:eastAsia="ja-JP"/>
        </w:rPr>
        <w:t xml:space="preserve">as described below in Item 7 </w:t>
      </w:r>
      <w:r w:rsidRPr="006A02A8">
        <w:rPr>
          <w:rFonts w:ascii="Times New Roman" w:eastAsia="MS Mincho" w:hAnsi="Times New Roman"/>
          <w:sz w:val="24"/>
          <w:szCs w:val="24"/>
          <w:lang w:eastAsia="ja-JP"/>
        </w:rPr>
        <w:t xml:space="preserve">by the due date.  If PBGC were notified less frequently, or not at all, it would not have the information that it needs to timely </w:t>
      </w:r>
      <w:r w:rsidR="00F5551E">
        <w:rPr>
          <w:rFonts w:ascii="Times New Roman" w:eastAsia="MS Mincho" w:hAnsi="Times New Roman"/>
          <w:sz w:val="24"/>
          <w:szCs w:val="24"/>
          <w:lang w:eastAsia="ja-JP"/>
        </w:rPr>
        <w:t xml:space="preserve">perfect liens or </w:t>
      </w:r>
      <w:r w:rsidR="00AC761C">
        <w:rPr>
          <w:rFonts w:ascii="Times New Roman" w:eastAsia="MS Mincho" w:hAnsi="Times New Roman"/>
          <w:sz w:val="24"/>
          <w:szCs w:val="24"/>
          <w:lang w:eastAsia="ja-JP"/>
        </w:rPr>
        <w:t xml:space="preserve">make </w:t>
      </w:r>
      <w:r w:rsidRPr="006A02A8">
        <w:rPr>
          <w:rFonts w:ascii="Times New Roman" w:eastAsia="MS Mincho" w:hAnsi="Times New Roman"/>
          <w:sz w:val="24"/>
          <w:szCs w:val="24"/>
          <w:lang w:eastAsia="ja-JP"/>
        </w:rPr>
        <w:t>lien-enforcement decisions.</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7.  </w:t>
      </w:r>
      <w:r w:rsidRPr="006A02A8">
        <w:rPr>
          <w:rFonts w:ascii="Times New Roman" w:eastAsia="MS Mincho" w:hAnsi="Times New Roman"/>
          <w:sz w:val="24"/>
          <w:szCs w:val="24"/>
          <w:u w:val="single"/>
          <w:lang w:eastAsia="ja-JP"/>
        </w:rPr>
        <w:t xml:space="preserve">Special </w:t>
      </w:r>
      <w:r w:rsidR="00445FBC">
        <w:rPr>
          <w:rFonts w:ascii="Times New Roman" w:eastAsia="MS Mincho" w:hAnsi="Times New Roman"/>
          <w:sz w:val="24"/>
          <w:szCs w:val="24"/>
          <w:u w:val="single"/>
          <w:lang w:eastAsia="ja-JP"/>
        </w:rPr>
        <w:t>c</w:t>
      </w:r>
      <w:r w:rsidRPr="006A02A8">
        <w:rPr>
          <w:rFonts w:ascii="Times New Roman" w:eastAsia="MS Mincho" w:hAnsi="Times New Roman"/>
          <w:sz w:val="24"/>
          <w:szCs w:val="24"/>
          <w:u w:val="single"/>
          <w:lang w:eastAsia="ja-JP"/>
        </w:rPr>
        <w:t>ircumstances</w:t>
      </w:r>
      <w:r w:rsidRPr="006A02A8">
        <w:rPr>
          <w:rFonts w:ascii="Times New Roman" w:eastAsia="MS Mincho" w:hAnsi="Times New Roman"/>
          <w:sz w:val="24"/>
          <w:szCs w:val="24"/>
          <w:lang w:eastAsia="ja-JP"/>
        </w:rPr>
        <w:t xml:space="preserve">.  The statutory notification requirement is tied to the minimum funding standards, </w:t>
      </w:r>
      <w:r w:rsidR="007926E9">
        <w:rPr>
          <w:rFonts w:ascii="Times New Roman" w:eastAsia="MS Mincho" w:hAnsi="Times New Roman"/>
          <w:sz w:val="24"/>
          <w:szCs w:val="24"/>
          <w:lang w:eastAsia="ja-JP"/>
        </w:rPr>
        <w:t xml:space="preserve">under </w:t>
      </w:r>
      <w:r w:rsidRPr="006A02A8">
        <w:rPr>
          <w:rFonts w:ascii="Times New Roman" w:eastAsia="MS Mincho" w:hAnsi="Times New Roman"/>
          <w:sz w:val="24"/>
          <w:szCs w:val="24"/>
          <w:lang w:eastAsia="ja-JP"/>
        </w:rPr>
        <w:t xml:space="preserve">which </w:t>
      </w:r>
      <w:r w:rsidR="007926E9" w:rsidRPr="006A02A8">
        <w:rPr>
          <w:rFonts w:ascii="Times New Roman" w:eastAsia="MS Mincho" w:hAnsi="Times New Roman"/>
          <w:sz w:val="24"/>
          <w:szCs w:val="24"/>
          <w:lang w:eastAsia="ja-JP"/>
        </w:rPr>
        <w:t xml:space="preserve">payments </w:t>
      </w:r>
      <w:r w:rsidRPr="006A02A8">
        <w:rPr>
          <w:rFonts w:ascii="Times New Roman" w:eastAsia="MS Mincho" w:hAnsi="Times New Roman"/>
          <w:sz w:val="24"/>
          <w:szCs w:val="24"/>
          <w:lang w:eastAsia="ja-JP"/>
        </w:rPr>
        <w:t xml:space="preserve">may </w:t>
      </w:r>
      <w:r w:rsidR="007926E9">
        <w:rPr>
          <w:rFonts w:ascii="Times New Roman" w:eastAsia="MS Mincho" w:hAnsi="Times New Roman"/>
          <w:sz w:val="24"/>
          <w:szCs w:val="24"/>
          <w:lang w:eastAsia="ja-JP"/>
        </w:rPr>
        <w:t xml:space="preserve">be </w:t>
      </w:r>
      <w:r w:rsidR="00F5551E">
        <w:rPr>
          <w:rFonts w:ascii="Times New Roman" w:eastAsia="MS Mincho" w:hAnsi="Times New Roman"/>
          <w:sz w:val="24"/>
          <w:szCs w:val="24"/>
          <w:lang w:eastAsia="ja-JP"/>
        </w:rPr>
        <w:t>due</w:t>
      </w:r>
      <w:r w:rsidR="007926E9">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more often than quarterly.  Consequently, failure to make a required payment may trigger the statutory notification requirement more often than quarterly.</w:t>
      </w:r>
    </w:p>
    <w:p w:rsidR="00F5551E" w:rsidRDefault="003C1E7C" w:rsidP="006A02A8">
      <w:pPr>
        <w:autoSpaceDE w:val="0"/>
        <w:autoSpaceDN w:val="0"/>
        <w:adjustRightInd w:val="0"/>
        <w:spacing w:after="0" w:line="480" w:lineRule="auto"/>
        <w:ind w:firstLine="720"/>
        <w:rPr>
          <w:rFonts w:ascii="Times New Roman" w:eastAsia="MS Mincho" w:hAnsi="Times New Roman"/>
          <w:sz w:val="24"/>
          <w:szCs w:val="24"/>
          <w:lang w:eastAsia="ja-JP"/>
        </w:rPr>
      </w:pPr>
      <w:r>
        <w:rPr>
          <w:rFonts w:ascii="Times New Roman" w:eastAsia="MS Mincho" w:hAnsi="Times New Roman"/>
          <w:sz w:val="24"/>
          <w:szCs w:val="24"/>
          <w:lang w:eastAsia="ja-JP"/>
        </w:rPr>
        <w:t xml:space="preserve">Under ERISA </w:t>
      </w:r>
      <w:r w:rsidR="00AA03F6">
        <w:rPr>
          <w:rFonts w:ascii="Times New Roman" w:eastAsia="MS Mincho" w:hAnsi="Times New Roman"/>
          <w:sz w:val="24"/>
          <w:szCs w:val="24"/>
          <w:lang w:eastAsia="ja-JP"/>
        </w:rPr>
        <w:t xml:space="preserve">and </w:t>
      </w:r>
      <w:r w:rsidR="00956A4D">
        <w:rPr>
          <w:rFonts w:ascii="Times New Roman" w:eastAsia="MS Mincho" w:hAnsi="Times New Roman"/>
          <w:sz w:val="24"/>
          <w:szCs w:val="24"/>
          <w:lang w:eastAsia="ja-JP"/>
        </w:rPr>
        <w:t xml:space="preserve">the </w:t>
      </w:r>
      <w:r w:rsidR="00AA03F6" w:rsidRPr="006A02A8">
        <w:rPr>
          <w:rFonts w:ascii="Times New Roman" w:eastAsia="MS Mincho" w:hAnsi="Times New Roman"/>
          <w:sz w:val="24"/>
          <w:szCs w:val="24"/>
          <w:lang w:eastAsia="ja-JP"/>
        </w:rPr>
        <w:t>Code</w:t>
      </w:r>
      <w:r>
        <w:rPr>
          <w:rFonts w:ascii="Times New Roman" w:eastAsia="MS Mincho" w:hAnsi="Times New Roman"/>
          <w:sz w:val="24"/>
          <w:szCs w:val="24"/>
          <w:lang w:eastAsia="ja-JP"/>
        </w:rPr>
        <w:t xml:space="preserve">, </w:t>
      </w:r>
      <w:r w:rsidR="008E041F">
        <w:rPr>
          <w:rFonts w:ascii="Times New Roman" w:eastAsia="MS Mincho" w:hAnsi="Times New Roman"/>
          <w:sz w:val="24"/>
          <w:szCs w:val="24"/>
          <w:lang w:eastAsia="ja-JP"/>
        </w:rPr>
        <w:t xml:space="preserve">a person must notify </w:t>
      </w:r>
      <w:r w:rsidR="006A02A8" w:rsidRPr="006A02A8">
        <w:rPr>
          <w:rFonts w:ascii="Times New Roman" w:eastAsia="MS Mincho" w:hAnsi="Times New Roman"/>
          <w:sz w:val="24"/>
          <w:szCs w:val="24"/>
          <w:lang w:eastAsia="ja-JP"/>
        </w:rPr>
        <w:t>PBGC within 10 days of a payment due date</w:t>
      </w:r>
      <w:r w:rsidR="008E041F">
        <w:rPr>
          <w:rFonts w:ascii="Times New Roman" w:eastAsia="MS Mincho" w:hAnsi="Times New Roman"/>
          <w:sz w:val="24"/>
          <w:szCs w:val="24"/>
          <w:lang w:eastAsia="ja-JP"/>
        </w:rPr>
        <w:t xml:space="preserve"> </w:t>
      </w:r>
      <w:r w:rsidR="003B16AE" w:rsidRPr="006A02A8">
        <w:rPr>
          <w:rFonts w:ascii="Times New Roman" w:eastAsia="MS Mincho" w:hAnsi="Times New Roman"/>
          <w:sz w:val="24"/>
          <w:szCs w:val="24"/>
          <w:lang w:eastAsia="ja-JP"/>
        </w:rPr>
        <w:t>whenever there is a failure to make a required payment and the total of the unpaid balances (including interest) exceeds $1 million.</w:t>
      </w:r>
      <w:r w:rsidR="003B16AE">
        <w:rPr>
          <w:rFonts w:ascii="Times New Roman" w:eastAsia="MS Mincho" w:hAnsi="Times New Roman"/>
          <w:sz w:val="24"/>
          <w:szCs w:val="24"/>
          <w:lang w:eastAsia="ja-JP"/>
        </w:rPr>
        <w:t xml:space="preserve"> </w:t>
      </w:r>
      <w:r w:rsidR="00C83217">
        <w:rPr>
          <w:rFonts w:ascii="Times New Roman" w:eastAsia="MS Mincho" w:hAnsi="Times New Roman"/>
          <w:sz w:val="24"/>
          <w:szCs w:val="24"/>
          <w:lang w:eastAsia="ja-JP"/>
        </w:rPr>
        <w:t xml:space="preserve"> </w:t>
      </w:r>
      <w:r w:rsidR="00BD4BAE">
        <w:rPr>
          <w:rFonts w:ascii="Times New Roman" w:eastAsia="MS Mincho" w:hAnsi="Times New Roman"/>
          <w:sz w:val="24"/>
          <w:szCs w:val="24"/>
          <w:lang w:eastAsia="ja-JP"/>
        </w:rPr>
        <w:t xml:space="preserve">A person must use </w:t>
      </w:r>
      <w:r w:rsidR="00AA03F6">
        <w:rPr>
          <w:rFonts w:ascii="Times New Roman" w:eastAsia="MS Mincho" w:hAnsi="Times New Roman"/>
          <w:sz w:val="24"/>
          <w:szCs w:val="24"/>
          <w:lang w:eastAsia="ja-JP"/>
        </w:rPr>
        <w:t xml:space="preserve">PBGC Form 200 </w:t>
      </w:r>
      <w:r w:rsidR="00956A4D">
        <w:rPr>
          <w:rFonts w:ascii="Times New Roman" w:eastAsia="MS Mincho" w:hAnsi="Times New Roman"/>
          <w:sz w:val="24"/>
          <w:szCs w:val="24"/>
          <w:lang w:eastAsia="ja-JP"/>
        </w:rPr>
        <w:t xml:space="preserve">for this notification </w:t>
      </w:r>
      <w:r w:rsidR="00C83217">
        <w:rPr>
          <w:rFonts w:ascii="Times New Roman" w:eastAsia="MS Mincho" w:hAnsi="Times New Roman"/>
          <w:sz w:val="24"/>
          <w:szCs w:val="24"/>
          <w:lang w:eastAsia="ja-JP"/>
        </w:rPr>
        <w:t>(</w:t>
      </w:r>
      <w:r w:rsidR="00AA03F6" w:rsidRPr="006A02A8">
        <w:rPr>
          <w:rFonts w:ascii="Times New Roman" w:eastAsia="MS Mincho" w:hAnsi="Times New Roman"/>
          <w:sz w:val="24"/>
          <w:szCs w:val="24"/>
          <w:lang w:eastAsia="ja-JP"/>
        </w:rPr>
        <w:t>29 CFR § 4043.81</w:t>
      </w:r>
      <w:r w:rsidR="00C83217">
        <w:rPr>
          <w:rFonts w:ascii="Times New Roman" w:eastAsia="MS Mincho" w:hAnsi="Times New Roman"/>
          <w:sz w:val="24"/>
          <w:szCs w:val="24"/>
          <w:lang w:eastAsia="ja-JP"/>
        </w:rPr>
        <w:t>).  P</w:t>
      </w:r>
      <w:r w:rsidR="006A02A8" w:rsidRPr="006A02A8">
        <w:rPr>
          <w:rFonts w:ascii="Times New Roman" w:eastAsia="MS Mincho" w:hAnsi="Times New Roman"/>
          <w:sz w:val="24"/>
          <w:szCs w:val="24"/>
          <w:lang w:eastAsia="ja-JP"/>
        </w:rPr>
        <w:t xml:space="preserve">ersons </w:t>
      </w:r>
      <w:r w:rsidR="00964717">
        <w:rPr>
          <w:rFonts w:ascii="Times New Roman" w:eastAsia="MS Mincho" w:hAnsi="Times New Roman"/>
          <w:sz w:val="24"/>
          <w:szCs w:val="24"/>
          <w:lang w:eastAsia="ja-JP"/>
        </w:rPr>
        <w:t>that</w:t>
      </w:r>
      <w:r w:rsidR="00964717" w:rsidRPr="006A02A8">
        <w:rPr>
          <w:rFonts w:ascii="Times New Roman" w:eastAsia="MS Mincho" w:hAnsi="Times New Roman"/>
          <w:sz w:val="24"/>
          <w:szCs w:val="24"/>
          <w:lang w:eastAsia="ja-JP"/>
        </w:rPr>
        <w:t xml:space="preserve"> </w:t>
      </w:r>
      <w:r w:rsidR="006A02A8" w:rsidRPr="006A02A8">
        <w:rPr>
          <w:rFonts w:ascii="Times New Roman" w:eastAsia="MS Mincho" w:hAnsi="Times New Roman"/>
          <w:sz w:val="24"/>
          <w:szCs w:val="24"/>
          <w:lang w:eastAsia="ja-JP"/>
        </w:rPr>
        <w:t xml:space="preserve">may be required to notify PBGC can familiarize themselves with Form 200, and even begin preparing responses, before a payment failure that triggers the statutory notification requirement.  In some cases, PBGC may require the submission of additional information.  </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lastRenderedPageBreak/>
        <w:t>In general, the submission of additional information is required within 7</w:t>
      </w:r>
      <w:r w:rsidR="00AC0E27">
        <w:rPr>
          <w:rFonts w:ascii="Times New Roman" w:eastAsia="MS Mincho" w:hAnsi="Times New Roman"/>
          <w:sz w:val="24"/>
          <w:szCs w:val="24"/>
          <w:lang w:eastAsia="ja-JP"/>
        </w:rPr>
        <w:t> </w:t>
      </w:r>
      <w:r w:rsidRPr="006A02A8">
        <w:rPr>
          <w:rFonts w:ascii="Times New Roman" w:eastAsia="MS Mincho" w:hAnsi="Times New Roman"/>
          <w:sz w:val="24"/>
          <w:szCs w:val="24"/>
          <w:lang w:eastAsia="ja-JP"/>
        </w:rPr>
        <w:t xml:space="preserve">days after PBGC makes a written request.  The 7-day period is necessary to ensure that PBGC has sufficient time to act to enforce the statutory liens.  Any delay may result in financial loss to PBGC (see </w:t>
      </w:r>
      <w:r w:rsidR="00AC0E27">
        <w:rPr>
          <w:rFonts w:ascii="Times New Roman" w:eastAsia="MS Mincho" w:hAnsi="Times New Roman"/>
          <w:sz w:val="24"/>
          <w:szCs w:val="24"/>
          <w:lang w:eastAsia="ja-JP"/>
        </w:rPr>
        <w:t>i</w:t>
      </w:r>
      <w:r w:rsidR="00AC0E27" w:rsidRPr="006A02A8">
        <w:rPr>
          <w:rFonts w:ascii="Times New Roman" w:eastAsia="MS Mincho" w:hAnsi="Times New Roman"/>
          <w:sz w:val="24"/>
          <w:szCs w:val="24"/>
          <w:lang w:eastAsia="ja-JP"/>
        </w:rPr>
        <w:t xml:space="preserve">tem </w:t>
      </w:r>
      <w:r w:rsidRPr="006A02A8">
        <w:rPr>
          <w:rFonts w:ascii="Times New Roman" w:eastAsia="MS Mincho" w:hAnsi="Times New Roman"/>
          <w:sz w:val="24"/>
          <w:szCs w:val="24"/>
          <w:lang w:eastAsia="ja-JP"/>
        </w:rPr>
        <w:t>2).  In addition, PBGC may shorten the time period for responding to a written request for additional information, but only where it determines that the interests of PBGC or participants may be prejudiced by a delay in the receipt of the information.</w:t>
      </w:r>
    </w:p>
    <w:p w:rsidR="004C456E" w:rsidRDefault="006A02A8" w:rsidP="004C456E">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In all other respects, this collection of information is not conducted in a manner described in </w:t>
      </w:r>
      <w:r w:rsidR="00F5551E" w:rsidRPr="009F777F">
        <w:rPr>
          <w:rFonts w:ascii="Times New Roman" w:hAnsi="Times New Roman"/>
          <w:sz w:val="24"/>
          <w:szCs w:val="24"/>
        </w:rPr>
        <w:t>5 CFR § 1320.</w:t>
      </w:r>
      <w:r w:rsidR="00F5551E">
        <w:rPr>
          <w:rFonts w:ascii="Times New Roman" w:hAnsi="Times New Roman"/>
          <w:sz w:val="24"/>
          <w:szCs w:val="24"/>
        </w:rPr>
        <w:t>5</w:t>
      </w:r>
      <w:r w:rsidR="00F5551E" w:rsidRPr="009F777F">
        <w:rPr>
          <w:rFonts w:ascii="Times New Roman" w:hAnsi="Times New Roman"/>
          <w:sz w:val="24"/>
          <w:szCs w:val="24"/>
        </w:rPr>
        <w:t>(d)</w:t>
      </w:r>
      <w:r w:rsidR="00F5551E">
        <w:rPr>
          <w:rFonts w:ascii="Times New Roman" w:hAnsi="Times New Roman"/>
          <w:sz w:val="24"/>
          <w:szCs w:val="24"/>
        </w:rPr>
        <w:t>(2)</w:t>
      </w:r>
      <w:r w:rsidRPr="006A02A8">
        <w:rPr>
          <w:rFonts w:ascii="Times New Roman" w:eastAsia="MS Mincho" w:hAnsi="Times New Roman"/>
          <w:sz w:val="24"/>
          <w:szCs w:val="24"/>
          <w:lang w:eastAsia="ja-JP"/>
        </w:rPr>
        <w:t>.</w:t>
      </w:r>
    </w:p>
    <w:p w:rsidR="006A02A8" w:rsidRPr="006A02A8" w:rsidRDefault="006A02A8" w:rsidP="004C456E">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8.  </w:t>
      </w:r>
      <w:r w:rsidRPr="006A02A8">
        <w:rPr>
          <w:rFonts w:ascii="Times New Roman" w:eastAsia="MS Mincho" w:hAnsi="Times New Roman"/>
          <w:sz w:val="24"/>
          <w:szCs w:val="24"/>
          <w:u w:val="single"/>
          <w:lang w:eastAsia="ja-JP"/>
        </w:rPr>
        <w:t>Outside input</w:t>
      </w:r>
      <w:r w:rsidRPr="006A02A8">
        <w:rPr>
          <w:rFonts w:ascii="Times New Roman" w:eastAsia="MS Mincho" w:hAnsi="Times New Roman"/>
          <w:sz w:val="24"/>
          <w:szCs w:val="24"/>
          <w:lang w:eastAsia="ja-JP"/>
        </w:rPr>
        <w:t xml:space="preserve">.  </w:t>
      </w:r>
      <w:r w:rsidR="005D59C9" w:rsidRPr="005D59C9">
        <w:rPr>
          <w:rFonts w:ascii="Times New Roman" w:hAnsi="Times New Roman"/>
          <w:sz w:val="24"/>
          <w:szCs w:val="24"/>
        </w:rPr>
        <w:t>On April 3, 2013, PBGC published a proposed rule (78 FR 20039) soliciting public comment on this collection of information pursuant to 5 CFR § 1320.8(d).  To encourage public participation in the development of the final regulation, PBGC held a public hearing on June 18, 2013, shortly after the close of the comment period.  Comments on the information requirements included concerns about moving information requirements from the regulation to the forms and instructions, requiring increased information be initially reported, and making electronic filing mandatory.  PBGC’s addressed these comments in the preamble to the final rule.</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9.  </w:t>
      </w:r>
      <w:r w:rsidRPr="006A02A8">
        <w:rPr>
          <w:rFonts w:ascii="Times New Roman" w:eastAsia="MS Mincho" w:hAnsi="Times New Roman"/>
          <w:sz w:val="24"/>
          <w:szCs w:val="24"/>
          <w:u w:val="single"/>
          <w:lang w:eastAsia="ja-JP"/>
        </w:rPr>
        <w:t xml:space="preserve">Payments and </w:t>
      </w:r>
      <w:r w:rsidR="00445FBC">
        <w:rPr>
          <w:rFonts w:ascii="Times New Roman" w:eastAsia="MS Mincho" w:hAnsi="Times New Roman"/>
          <w:sz w:val="24"/>
          <w:szCs w:val="24"/>
          <w:u w:val="single"/>
          <w:lang w:eastAsia="ja-JP"/>
        </w:rPr>
        <w:t>g</w:t>
      </w:r>
      <w:r w:rsidRPr="006A02A8">
        <w:rPr>
          <w:rFonts w:ascii="Times New Roman" w:eastAsia="MS Mincho" w:hAnsi="Times New Roman"/>
          <w:sz w:val="24"/>
          <w:szCs w:val="24"/>
          <w:u w:val="single"/>
          <w:lang w:eastAsia="ja-JP"/>
        </w:rPr>
        <w:t>ifts</w:t>
      </w:r>
      <w:r w:rsidRPr="006A02A8">
        <w:rPr>
          <w:rFonts w:ascii="Times New Roman" w:eastAsia="MS Mincho" w:hAnsi="Times New Roman"/>
          <w:sz w:val="24"/>
          <w:szCs w:val="24"/>
          <w:lang w:eastAsia="ja-JP"/>
        </w:rPr>
        <w:t>.  PBGC provides no payments or gifts to respondents in connection with this collection of information.</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10.  </w:t>
      </w:r>
      <w:r w:rsidRPr="006A02A8">
        <w:rPr>
          <w:rFonts w:ascii="Times New Roman" w:eastAsia="MS Mincho" w:hAnsi="Times New Roman"/>
          <w:sz w:val="24"/>
          <w:szCs w:val="24"/>
          <w:u w:val="single"/>
          <w:lang w:eastAsia="ja-JP"/>
        </w:rPr>
        <w:t>Confidentiality</w:t>
      </w:r>
      <w:r w:rsidRPr="006A02A8">
        <w:rPr>
          <w:rFonts w:ascii="Times New Roman" w:eastAsia="MS Mincho" w:hAnsi="Times New Roman"/>
          <w:sz w:val="24"/>
          <w:szCs w:val="24"/>
          <w:lang w:eastAsia="ja-JP"/>
        </w:rPr>
        <w:t xml:space="preserve">.  </w:t>
      </w:r>
      <w:r w:rsidR="00040E06" w:rsidRPr="00040E06">
        <w:rPr>
          <w:rFonts w:ascii="Times New Roman" w:hAnsi="Times New Roman"/>
          <w:sz w:val="24"/>
          <w:szCs w:val="24"/>
        </w:rPr>
        <w:t xml:space="preserve">Information provided to PBGC is confidential to the extent </w:t>
      </w:r>
      <w:r w:rsidR="00F5551E">
        <w:rPr>
          <w:rFonts w:ascii="Times New Roman" w:hAnsi="Times New Roman"/>
          <w:sz w:val="24"/>
          <w:szCs w:val="24"/>
        </w:rPr>
        <w:t>provided by</w:t>
      </w:r>
      <w:r w:rsidR="00040E06" w:rsidRPr="00040E06">
        <w:rPr>
          <w:rFonts w:ascii="Times New Roman" w:hAnsi="Times New Roman"/>
          <w:sz w:val="24"/>
          <w:szCs w:val="24"/>
        </w:rPr>
        <w:t xml:space="preserve"> </w:t>
      </w:r>
      <w:r w:rsidR="00040E06" w:rsidRPr="00040E06">
        <w:rPr>
          <w:rFonts w:ascii="Times New Roman" w:hAnsi="Times New Roman"/>
          <w:sz w:val="24"/>
          <w:szCs w:val="24"/>
          <w:lang w:bidi="he-IL"/>
        </w:rPr>
        <w:t>the Freedom of Information Act and the Privacy Act</w:t>
      </w:r>
      <w:r w:rsidR="00F33CB5">
        <w:rPr>
          <w:rFonts w:ascii="Times New Roman" w:eastAsia="MS Mincho" w:hAnsi="Times New Roman"/>
          <w:sz w:val="24"/>
          <w:szCs w:val="24"/>
          <w:lang w:eastAsia="ja-JP"/>
        </w:rPr>
        <w:t>.</w:t>
      </w:r>
    </w:p>
    <w:p w:rsidR="006A02A8" w:rsidRDefault="006A02A8" w:rsidP="004041E6">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11.  </w:t>
      </w:r>
      <w:r w:rsidRPr="006A02A8">
        <w:rPr>
          <w:rFonts w:ascii="Times New Roman" w:eastAsia="MS Mincho" w:hAnsi="Times New Roman"/>
          <w:sz w:val="24"/>
          <w:szCs w:val="24"/>
          <w:u w:val="single"/>
          <w:lang w:eastAsia="ja-JP"/>
        </w:rPr>
        <w:t>Sensitive questions</w:t>
      </w:r>
      <w:r w:rsidRPr="006A02A8">
        <w:rPr>
          <w:rFonts w:ascii="Times New Roman" w:eastAsia="MS Mincho" w:hAnsi="Times New Roman"/>
          <w:sz w:val="24"/>
          <w:szCs w:val="24"/>
          <w:lang w:eastAsia="ja-JP"/>
        </w:rPr>
        <w:t xml:space="preserve">.  This collection of information involves no questions of a </w:t>
      </w:r>
      <w:r w:rsidR="00977EF8">
        <w:rPr>
          <w:rFonts w:ascii="Times New Roman" w:eastAsia="MS Mincho" w:hAnsi="Times New Roman"/>
          <w:sz w:val="24"/>
          <w:szCs w:val="24"/>
          <w:lang w:eastAsia="ja-JP"/>
        </w:rPr>
        <w:t>personal</w:t>
      </w:r>
      <w:r w:rsidR="00977EF8" w:rsidRPr="006A02A8">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nature.</w:t>
      </w:r>
    </w:p>
    <w:p w:rsidR="006A02A8" w:rsidRPr="006A02A8" w:rsidRDefault="006A02A8" w:rsidP="004041E6">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lastRenderedPageBreak/>
        <w:t xml:space="preserve">12.  </w:t>
      </w:r>
      <w:r w:rsidRPr="009834AC">
        <w:rPr>
          <w:rFonts w:ascii="Times New Roman" w:eastAsia="MS Mincho" w:hAnsi="Times New Roman"/>
          <w:sz w:val="24"/>
          <w:szCs w:val="24"/>
          <w:u w:val="single"/>
          <w:lang w:eastAsia="ja-JP"/>
        </w:rPr>
        <w:t>Burden on the public</w:t>
      </w:r>
      <w:r w:rsidRPr="006A02A8">
        <w:rPr>
          <w:rFonts w:ascii="Times New Roman" w:eastAsia="MS Mincho" w:hAnsi="Times New Roman"/>
          <w:sz w:val="24"/>
          <w:szCs w:val="24"/>
          <w:lang w:eastAsia="ja-JP"/>
        </w:rPr>
        <w:t xml:space="preserve">.  </w:t>
      </w:r>
      <w:r w:rsidR="007B0607" w:rsidRPr="007B0607">
        <w:rPr>
          <w:rFonts w:ascii="Times New Roman" w:eastAsia="MS Mincho" w:hAnsi="Times New Roman"/>
          <w:sz w:val="24"/>
          <w:szCs w:val="24"/>
          <w:lang w:eastAsia="ja-JP"/>
        </w:rPr>
        <w:t xml:space="preserve">PBGC anticipates that over the next three years this collection-of-information requirement will apply each year to 165 filings from single-employer plan respondents.  PBGC estimates that the average response time for the filing will be 6 hours.  This time is an average that will vary depending on the nature and organizational structure of persons liable for plan contributions (in particular, whether the plan’s contributing sponsor is a member of a controlled group and, if so, the size of that group) and on the funding history of the plan.  PBGC estimates that over the next three years the total annual burden on the public will be 990 hours (165 filings times 6 hours per filing).  </w:t>
      </w:r>
    </w:p>
    <w:p w:rsidR="006A02A8" w:rsidRPr="006A02A8" w:rsidRDefault="00236439" w:rsidP="006A02A8">
      <w:pPr>
        <w:autoSpaceDE w:val="0"/>
        <w:autoSpaceDN w:val="0"/>
        <w:adjustRightInd w:val="0"/>
        <w:spacing w:after="0" w:line="480" w:lineRule="auto"/>
        <w:ind w:firstLine="720"/>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Pr="00236439">
        <w:rPr>
          <w:rFonts w:ascii="Times New Roman" w:eastAsia="MS Mincho" w:hAnsi="Times New Roman"/>
          <w:sz w:val="24"/>
          <w:szCs w:val="24"/>
          <w:lang w:eastAsia="ja-JP"/>
        </w:rPr>
        <w:t xml:space="preserve">Assuming an average rate of $320 (including professional time, support assistance, overhead, postage and other costs) for </w:t>
      </w:r>
      <w:r w:rsidR="00942222">
        <w:rPr>
          <w:rFonts w:ascii="Times New Roman" w:hAnsi="Times New Roman"/>
        </w:rPr>
        <w:t xml:space="preserve">mid-size and </w:t>
      </w:r>
      <w:r w:rsidRPr="00236439">
        <w:rPr>
          <w:rFonts w:ascii="Times New Roman" w:eastAsia="MS Mincho" w:hAnsi="Times New Roman"/>
          <w:sz w:val="24"/>
          <w:szCs w:val="24"/>
          <w:lang w:eastAsia="ja-JP"/>
        </w:rPr>
        <w:t>large plans (</w:t>
      </w:r>
      <w:r w:rsidRPr="00236439">
        <w:rPr>
          <w:rFonts w:ascii="Times New Roman" w:eastAsia="MS Mincho" w:hAnsi="Times New Roman"/>
          <w:i/>
          <w:sz w:val="24"/>
          <w:szCs w:val="24"/>
          <w:lang w:eastAsia="ja-JP"/>
        </w:rPr>
        <w:t>i.e.,</w:t>
      </w:r>
      <w:r w:rsidRPr="00236439">
        <w:rPr>
          <w:rFonts w:ascii="Times New Roman" w:eastAsia="MS Mincho" w:hAnsi="Times New Roman"/>
          <w:sz w:val="24"/>
          <w:szCs w:val="24"/>
          <w:lang w:eastAsia="ja-JP"/>
        </w:rPr>
        <w:t xml:space="preserve"> plans with </w:t>
      </w:r>
      <w:r w:rsidR="00D33452">
        <w:rPr>
          <w:rFonts w:ascii="Times New Roman" w:eastAsia="MS Mincho" w:hAnsi="Times New Roman"/>
          <w:sz w:val="24"/>
          <w:szCs w:val="24"/>
          <w:lang w:eastAsia="ja-JP"/>
        </w:rPr>
        <w:t>more</w:t>
      </w:r>
      <w:r w:rsidRPr="00236439">
        <w:rPr>
          <w:rFonts w:ascii="Times New Roman" w:eastAsia="MS Mincho" w:hAnsi="Times New Roman"/>
          <w:sz w:val="24"/>
          <w:szCs w:val="24"/>
          <w:lang w:eastAsia="ja-JP"/>
        </w:rPr>
        <w:t xml:space="preserve"> than 100 participants), and an average rate of $130 for small plans (</w:t>
      </w:r>
      <w:r w:rsidRPr="00236439">
        <w:rPr>
          <w:rFonts w:ascii="Times New Roman" w:eastAsia="MS Mincho" w:hAnsi="Times New Roman"/>
          <w:i/>
          <w:sz w:val="24"/>
          <w:szCs w:val="24"/>
          <w:lang w:eastAsia="ja-JP"/>
        </w:rPr>
        <w:t>i.e.,</w:t>
      </w:r>
      <w:r w:rsidRPr="00236439">
        <w:rPr>
          <w:rFonts w:ascii="Times New Roman" w:eastAsia="MS Mincho" w:hAnsi="Times New Roman"/>
          <w:sz w:val="24"/>
          <w:szCs w:val="24"/>
          <w:lang w:eastAsia="ja-JP"/>
        </w:rPr>
        <w:t xml:space="preserve"> plans with 100 </w:t>
      </w:r>
      <w:r w:rsidR="00D33452">
        <w:rPr>
          <w:rFonts w:ascii="Times New Roman" w:eastAsia="MS Mincho" w:hAnsi="Times New Roman"/>
          <w:sz w:val="24"/>
          <w:szCs w:val="24"/>
          <w:lang w:eastAsia="ja-JP"/>
        </w:rPr>
        <w:t xml:space="preserve">or fewer </w:t>
      </w:r>
      <w:r w:rsidRPr="00236439">
        <w:rPr>
          <w:rFonts w:ascii="Times New Roman" w:eastAsia="MS Mincho" w:hAnsi="Times New Roman"/>
          <w:sz w:val="24"/>
          <w:szCs w:val="24"/>
          <w:lang w:eastAsia="ja-JP"/>
        </w:rPr>
        <w:t>participants),</w:t>
      </w:r>
      <w:r w:rsidR="006A02A8" w:rsidRPr="006A02A8">
        <w:rPr>
          <w:rFonts w:ascii="Times New Roman" w:eastAsia="MS Mincho" w:hAnsi="Times New Roman"/>
          <w:sz w:val="24"/>
          <w:szCs w:val="24"/>
          <w:lang w:eastAsia="ja-JP"/>
        </w:rPr>
        <w:t xml:space="preserve"> </w:t>
      </w:r>
      <w:r w:rsidR="009C0363" w:rsidRPr="009C0363">
        <w:rPr>
          <w:rFonts w:ascii="Times New Roman" w:eastAsia="MS Mincho" w:hAnsi="Times New Roman"/>
          <w:sz w:val="24"/>
          <w:szCs w:val="24"/>
          <w:lang w:eastAsia="ja-JP"/>
        </w:rPr>
        <w:t xml:space="preserve">PBGC estimates </w:t>
      </w:r>
      <w:r w:rsidR="00BF0E88">
        <w:rPr>
          <w:rFonts w:ascii="Times New Roman" w:eastAsia="MS Mincho" w:hAnsi="Times New Roman"/>
          <w:sz w:val="24"/>
          <w:szCs w:val="24"/>
          <w:lang w:eastAsia="ja-JP"/>
        </w:rPr>
        <w:t xml:space="preserve">that the dollar equivalent of the hour burden </w:t>
      </w:r>
      <w:r w:rsidR="00D33452">
        <w:rPr>
          <w:rFonts w:ascii="Times New Roman" w:eastAsia="MS Mincho" w:hAnsi="Times New Roman"/>
          <w:sz w:val="24"/>
          <w:szCs w:val="24"/>
          <w:lang w:eastAsia="ja-JP"/>
        </w:rPr>
        <w:t>will</w:t>
      </w:r>
      <w:r w:rsidR="00BF0E88">
        <w:rPr>
          <w:rFonts w:ascii="Times New Roman" w:eastAsia="MS Mincho" w:hAnsi="Times New Roman"/>
          <w:sz w:val="24"/>
          <w:szCs w:val="24"/>
          <w:lang w:eastAsia="ja-JP"/>
        </w:rPr>
        <w:t xml:space="preserve"> be </w:t>
      </w:r>
      <w:r w:rsidR="009C0363" w:rsidRPr="009C0363">
        <w:rPr>
          <w:rFonts w:ascii="Times New Roman" w:eastAsia="MS Mincho" w:hAnsi="Times New Roman"/>
          <w:sz w:val="24"/>
          <w:szCs w:val="24"/>
          <w:lang w:eastAsia="ja-JP"/>
        </w:rPr>
        <w:t xml:space="preserve">an annual </w:t>
      </w:r>
      <w:r w:rsidR="00A01936">
        <w:rPr>
          <w:rFonts w:ascii="Times New Roman" w:eastAsia="MS Mincho" w:hAnsi="Times New Roman"/>
          <w:sz w:val="24"/>
          <w:szCs w:val="24"/>
          <w:lang w:eastAsia="ja-JP"/>
        </w:rPr>
        <w:t xml:space="preserve">total </w:t>
      </w:r>
      <w:r w:rsidR="009C0363" w:rsidRPr="009C0363">
        <w:rPr>
          <w:rFonts w:ascii="Times New Roman" w:eastAsia="MS Mincho" w:hAnsi="Times New Roman"/>
          <w:sz w:val="24"/>
          <w:szCs w:val="24"/>
          <w:lang w:eastAsia="ja-JP"/>
        </w:rPr>
        <w:t>cost of</w:t>
      </w:r>
      <w:r w:rsidR="007B0607">
        <w:rPr>
          <w:rFonts w:ascii="Times New Roman" w:eastAsia="MS Mincho" w:hAnsi="Times New Roman"/>
          <w:sz w:val="24"/>
          <w:szCs w:val="24"/>
          <w:lang w:eastAsia="ja-JP"/>
        </w:rPr>
        <w:t xml:space="preserve"> approximately</w:t>
      </w:r>
      <w:r w:rsidR="009C0363" w:rsidRPr="009C0363">
        <w:rPr>
          <w:rFonts w:ascii="Times New Roman" w:eastAsia="MS Mincho" w:hAnsi="Times New Roman"/>
          <w:sz w:val="24"/>
          <w:szCs w:val="24"/>
          <w:lang w:eastAsia="ja-JP"/>
        </w:rPr>
        <w:t xml:space="preserve"> $</w:t>
      </w:r>
      <w:r w:rsidR="001E0E11">
        <w:rPr>
          <w:rFonts w:ascii="Times New Roman" w:eastAsia="MS Mincho" w:hAnsi="Times New Roman"/>
          <w:sz w:val="24"/>
          <w:szCs w:val="24"/>
          <w:lang w:eastAsia="ja-JP"/>
        </w:rPr>
        <w:t>2</w:t>
      </w:r>
      <w:r w:rsidR="007B0607">
        <w:rPr>
          <w:rFonts w:ascii="Times New Roman" w:eastAsia="MS Mincho" w:hAnsi="Times New Roman"/>
          <w:sz w:val="24"/>
          <w:szCs w:val="24"/>
          <w:lang w:eastAsia="ja-JP"/>
        </w:rPr>
        <w:t>9</w:t>
      </w:r>
      <w:r w:rsidR="00EF770E">
        <w:rPr>
          <w:rFonts w:ascii="Times New Roman" w:eastAsia="MS Mincho" w:hAnsi="Times New Roman"/>
          <w:sz w:val="24"/>
          <w:szCs w:val="24"/>
          <w:lang w:eastAsia="ja-JP"/>
        </w:rPr>
        <w:t>2,812</w:t>
      </w:r>
      <w:r w:rsidR="009C0363" w:rsidRPr="009C0363">
        <w:rPr>
          <w:rFonts w:ascii="Times New Roman" w:eastAsia="MS Mincho" w:hAnsi="Times New Roman"/>
          <w:sz w:val="24"/>
          <w:szCs w:val="24"/>
          <w:lang w:eastAsia="ja-JP"/>
        </w:rPr>
        <w:t xml:space="preserve">, for an average annual cost of </w:t>
      </w:r>
      <w:r w:rsidR="007B0607">
        <w:rPr>
          <w:rFonts w:ascii="Times New Roman" w:eastAsia="MS Mincho" w:hAnsi="Times New Roman"/>
          <w:sz w:val="24"/>
          <w:szCs w:val="24"/>
          <w:lang w:eastAsia="ja-JP"/>
        </w:rPr>
        <w:t xml:space="preserve">approximately </w:t>
      </w:r>
      <w:r w:rsidR="009C0363" w:rsidRPr="009C0363">
        <w:rPr>
          <w:rFonts w:ascii="Times New Roman" w:eastAsia="MS Mincho" w:hAnsi="Times New Roman"/>
          <w:sz w:val="24"/>
          <w:szCs w:val="24"/>
          <w:lang w:eastAsia="ja-JP"/>
        </w:rPr>
        <w:t>$</w:t>
      </w:r>
      <w:r w:rsidR="001E0E11">
        <w:rPr>
          <w:rFonts w:ascii="Times New Roman" w:eastAsia="MS Mincho" w:hAnsi="Times New Roman"/>
          <w:sz w:val="24"/>
          <w:szCs w:val="24"/>
          <w:lang w:eastAsia="ja-JP"/>
        </w:rPr>
        <w:t>1,</w:t>
      </w:r>
      <w:r w:rsidR="00EF770E">
        <w:rPr>
          <w:rFonts w:ascii="Times New Roman" w:eastAsia="MS Mincho" w:hAnsi="Times New Roman"/>
          <w:sz w:val="24"/>
          <w:szCs w:val="24"/>
          <w:lang w:eastAsia="ja-JP"/>
        </w:rPr>
        <w:t xml:space="preserve">775 </w:t>
      </w:r>
      <w:r w:rsidR="00E464A1">
        <w:rPr>
          <w:rFonts w:ascii="Times New Roman" w:eastAsia="MS Mincho" w:hAnsi="Times New Roman"/>
          <w:sz w:val="24"/>
          <w:szCs w:val="24"/>
          <w:lang w:eastAsia="ja-JP"/>
        </w:rPr>
        <w:t>per respondent</w:t>
      </w:r>
      <w:r w:rsidR="006A02A8" w:rsidRPr="006A02A8">
        <w:rPr>
          <w:rFonts w:ascii="Times New Roman" w:eastAsia="MS Mincho" w:hAnsi="Times New Roman"/>
          <w:sz w:val="24"/>
          <w:szCs w:val="24"/>
          <w:lang w:eastAsia="ja-JP"/>
        </w:rPr>
        <w:t>.</w:t>
      </w:r>
    </w:p>
    <w:p w:rsidR="004041E6" w:rsidRDefault="006A02A8" w:rsidP="004041E6">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13.  </w:t>
      </w:r>
      <w:r w:rsidRPr="009834AC">
        <w:rPr>
          <w:rFonts w:ascii="Times New Roman" w:eastAsia="MS Mincho" w:hAnsi="Times New Roman"/>
          <w:sz w:val="24"/>
          <w:szCs w:val="24"/>
          <w:u w:val="single"/>
          <w:lang w:eastAsia="ja-JP"/>
        </w:rPr>
        <w:t>Costs</w:t>
      </w:r>
      <w:r w:rsidRPr="006A02A8">
        <w:rPr>
          <w:rFonts w:ascii="Times New Roman" w:eastAsia="MS Mincho" w:hAnsi="Times New Roman"/>
          <w:sz w:val="24"/>
          <w:szCs w:val="24"/>
          <w:lang w:eastAsia="ja-JP"/>
        </w:rPr>
        <w:t xml:space="preserve">.  PBGC estimates that </w:t>
      </w:r>
      <w:r w:rsidR="002E03DF">
        <w:rPr>
          <w:rFonts w:ascii="Times New Roman" w:eastAsia="MS Mincho" w:hAnsi="Times New Roman"/>
          <w:sz w:val="24"/>
          <w:szCs w:val="24"/>
          <w:lang w:eastAsia="ja-JP"/>
        </w:rPr>
        <w:t xml:space="preserve">over the next three years, respondents will contract out </w:t>
      </w:r>
      <w:r w:rsidRPr="006A02A8">
        <w:rPr>
          <w:rFonts w:ascii="Times New Roman" w:eastAsia="MS Mincho" w:hAnsi="Times New Roman"/>
          <w:sz w:val="24"/>
          <w:szCs w:val="24"/>
          <w:lang w:eastAsia="ja-JP"/>
        </w:rPr>
        <w:t xml:space="preserve">an additional </w:t>
      </w:r>
      <w:r w:rsidR="009F777F">
        <w:rPr>
          <w:rFonts w:ascii="Times New Roman" w:eastAsia="MS Mincho" w:hAnsi="Times New Roman"/>
          <w:sz w:val="24"/>
          <w:szCs w:val="24"/>
          <w:lang w:eastAsia="ja-JP"/>
        </w:rPr>
        <w:t>4</w:t>
      </w:r>
      <w:r w:rsidR="007B0607">
        <w:rPr>
          <w:rFonts w:ascii="Times New Roman" w:eastAsia="MS Mincho" w:hAnsi="Times New Roman"/>
          <w:sz w:val="24"/>
          <w:szCs w:val="24"/>
          <w:lang w:eastAsia="ja-JP"/>
        </w:rPr>
        <w:t>95</w:t>
      </w:r>
      <w:r w:rsidR="00E464A1" w:rsidRPr="006A02A8">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 xml:space="preserve">hours </w:t>
      </w:r>
      <w:r w:rsidR="002E03DF">
        <w:rPr>
          <w:rFonts w:ascii="Times New Roman" w:eastAsia="MS Mincho" w:hAnsi="Times New Roman"/>
          <w:sz w:val="24"/>
          <w:szCs w:val="24"/>
          <w:lang w:eastAsia="ja-JP"/>
        </w:rPr>
        <w:t xml:space="preserve">annually </w:t>
      </w:r>
      <w:r w:rsidR="00367F64">
        <w:rPr>
          <w:rFonts w:ascii="Times New Roman" w:eastAsia="MS Mincho" w:hAnsi="Times New Roman"/>
          <w:sz w:val="24"/>
          <w:szCs w:val="24"/>
          <w:lang w:eastAsia="ja-JP"/>
        </w:rPr>
        <w:t>(1</w:t>
      </w:r>
      <w:r w:rsidR="007B0607">
        <w:rPr>
          <w:rFonts w:ascii="Times New Roman" w:eastAsia="MS Mincho" w:hAnsi="Times New Roman"/>
          <w:sz w:val="24"/>
          <w:szCs w:val="24"/>
          <w:lang w:eastAsia="ja-JP"/>
        </w:rPr>
        <w:t>65</w:t>
      </w:r>
      <w:r w:rsidR="00367F64">
        <w:rPr>
          <w:rFonts w:ascii="Times New Roman" w:eastAsia="MS Mincho" w:hAnsi="Times New Roman"/>
          <w:sz w:val="24"/>
          <w:szCs w:val="24"/>
          <w:lang w:eastAsia="ja-JP"/>
        </w:rPr>
        <w:t xml:space="preserve"> filings times 3 h</w:t>
      </w:r>
      <w:r w:rsidR="002E03DF">
        <w:rPr>
          <w:rFonts w:ascii="Times New Roman" w:eastAsia="MS Mincho" w:hAnsi="Times New Roman"/>
          <w:sz w:val="24"/>
          <w:szCs w:val="24"/>
          <w:lang w:eastAsia="ja-JP"/>
        </w:rPr>
        <w:t>ou</w:t>
      </w:r>
      <w:r w:rsidR="00367F64">
        <w:rPr>
          <w:rFonts w:ascii="Times New Roman" w:eastAsia="MS Mincho" w:hAnsi="Times New Roman"/>
          <w:sz w:val="24"/>
          <w:szCs w:val="24"/>
          <w:lang w:eastAsia="ja-JP"/>
        </w:rPr>
        <w:t>rs</w:t>
      </w:r>
      <w:r w:rsidR="002E03DF">
        <w:rPr>
          <w:rFonts w:ascii="Times New Roman" w:eastAsia="MS Mincho" w:hAnsi="Times New Roman"/>
          <w:sz w:val="24"/>
          <w:szCs w:val="24"/>
          <w:lang w:eastAsia="ja-JP"/>
        </w:rPr>
        <w:t xml:space="preserve"> per filing</w:t>
      </w:r>
      <w:r w:rsidR="00367F64">
        <w:rPr>
          <w:rFonts w:ascii="Times New Roman" w:eastAsia="MS Mincho" w:hAnsi="Times New Roman"/>
          <w:sz w:val="24"/>
          <w:szCs w:val="24"/>
          <w:lang w:eastAsia="ja-JP"/>
        </w:rPr>
        <w:t>)</w:t>
      </w:r>
      <w:r w:rsidRPr="006A02A8">
        <w:rPr>
          <w:rFonts w:ascii="Times New Roman" w:eastAsia="MS Mincho" w:hAnsi="Times New Roman"/>
          <w:sz w:val="24"/>
          <w:szCs w:val="24"/>
          <w:lang w:eastAsia="ja-JP"/>
        </w:rPr>
        <w:t xml:space="preserve">.  Assuming </w:t>
      </w:r>
      <w:r w:rsidR="007A634F">
        <w:rPr>
          <w:rFonts w:ascii="Times New Roman" w:eastAsia="MS Mincho" w:hAnsi="Times New Roman"/>
          <w:sz w:val="24"/>
          <w:szCs w:val="24"/>
          <w:lang w:eastAsia="ja-JP"/>
        </w:rPr>
        <w:t>an</w:t>
      </w:r>
      <w:r w:rsidRPr="006A02A8">
        <w:rPr>
          <w:rFonts w:ascii="Times New Roman" w:eastAsia="MS Mincho" w:hAnsi="Times New Roman"/>
          <w:sz w:val="24"/>
          <w:szCs w:val="24"/>
          <w:lang w:eastAsia="ja-JP"/>
        </w:rPr>
        <w:t xml:space="preserve"> average rate of $</w:t>
      </w:r>
      <w:r w:rsidR="00367F64" w:rsidRPr="006A02A8">
        <w:rPr>
          <w:rFonts w:ascii="Times New Roman" w:eastAsia="MS Mincho" w:hAnsi="Times New Roman"/>
          <w:sz w:val="24"/>
          <w:szCs w:val="24"/>
          <w:lang w:eastAsia="ja-JP"/>
        </w:rPr>
        <w:t>3</w:t>
      </w:r>
      <w:r w:rsidR="00367F64">
        <w:rPr>
          <w:rFonts w:ascii="Times New Roman" w:eastAsia="MS Mincho" w:hAnsi="Times New Roman"/>
          <w:sz w:val="24"/>
          <w:szCs w:val="24"/>
          <w:lang w:eastAsia="ja-JP"/>
        </w:rPr>
        <w:t>20 for large plans</w:t>
      </w:r>
      <w:r w:rsidR="007A634F">
        <w:rPr>
          <w:rFonts w:ascii="Times New Roman" w:eastAsia="MS Mincho" w:hAnsi="Times New Roman"/>
          <w:sz w:val="24"/>
          <w:szCs w:val="24"/>
          <w:lang w:eastAsia="ja-JP"/>
        </w:rPr>
        <w:t>’ contractor costs</w:t>
      </w:r>
      <w:r w:rsidR="00367F64">
        <w:rPr>
          <w:rFonts w:ascii="Times New Roman" w:eastAsia="MS Mincho" w:hAnsi="Times New Roman"/>
          <w:sz w:val="24"/>
          <w:szCs w:val="24"/>
          <w:lang w:eastAsia="ja-JP"/>
        </w:rPr>
        <w:t xml:space="preserve"> and $130 for small plans</w:t>
      </w:r>
      <w:r w:rsidR="007A634F">
        <w:rPr>
          <w:rFonts w:ascii="Times New Roman" w:eastAsia="MS Mincho" w:hAnsi="Times New Roman"/>
          <w:sz w:val="24"/>
          <w:szCs w:val="24"/>
          <w:lang w:eastAsia="ja-JP"/>
        </w:rPr>
        <w:t>’ contractor costs</w:t>
      </w:r>
      <w:r w:rsidRPr="006A02A8">
        <w:rPr>
          <w:rFonts w:ascii="Times New Roman" w:eastAsia="MS Mincho" w:hAnsi="Times New Roman"/>
          <w:sz w:val="24"/>
          <w:szCs w:val="24"/>
          <w:lang w:eastAsia="ja-JP"/>
        </w:rPr>
        <w:t xml:space="preserve">, PBGC estimates that the </w:t>
      </w:r>
      <w:r w:rsidR="007A634F">
        <w:rPr>
          <w:rFonts w:ascii="Times New Roman" w:eastAsia="MS Mincho" w:hAnsi="Times New Roman"/>
          <w:sz w:val="24"/>
          <w:szCs w:val="24"/>
          <w:lang w:eastAsia="ja-JP"/>
        </w:rPr>
        <w:t xml:space="preserve">total </w:t>
      </w:r>
      <w:r w:rsidRPr="006A02A8">
        <w:rPr>
          <w:rFonts w:ascii="Times New Roman" w:eastAsia="MS Mincho" w:hAnsi="Times New Roman"/>
          <w:sz w:val="24"/>
          <w:szCs w:val="24"/>
          <w:lang w:eastAsia="ja-JP"/>
        </w:rPr>
        <w:t xml:space="preserve">annual cost under the Form 200 for purchase of services will be </w:t>
      </w:r>
      <w:r w:rsidR="007B0607">
        <w:rPr>
          <w:rFonts w:ascii="Times New Roman" w:eastAsia="MS Mincho" w:hAnsi="Times New Roman"/>
          <w:sz w:val="24"/>
          <w:szCs w:val="24"/>
          <w:lang w:eastAsia="ja-JP"/>
        </w:rPr>
        <w:t xml:space="preserve">about </w:t>
      </w:r>
      <w:r w:rsidRPr="006A02A8">
        <w:rPr>
          <w:rFonts w:ascii="Times New Roman" w:eastAsia="MS Mincho" w:hAnsi="Times New Roman"/>
          <w:sz w:val="24"/>
          <w:szCs w:val="24"/>
          <w:lang w:eastAsia="ja-JP"/>
        </w:rPr>
        <w:t>$</w:t>
      </w:r>
      <w:r w:rsidR="00373975">
        <w:rPr>
          <w:rFonts w:ascii="Times New Roman" w:eastAsia="MS Mincho" w:hAnsi="Times New Roman"/>
          <w:sz w:val="24"/>
          <w:szCs w:val="24"/>
          <w:lang w:eastAsia="ja-JP"/>
        </w:rPr>
        <w:t>1</w:t>
      </w:r>
      <w:r w:rsidR="00EF770E">
        <w:rPr>
          <w:rFonts w:ascii="Times New Roman" w:eastAsia="MS Mincho" w:hAnsi="Times New Roman"/>
          <w:sz w:val="24"/>
          <w:szCs w:val="24"/>
          <w:lang w:eastAsia="ja-JP"/>
        </w:rPr>
        <w:t>46,400</w:t>
      </w:r>
      <w:r w:rsidR="0020594C">
        <w:rPr>
          <w:rFonts w:ascii="Times New Roman" w:eastAsia="MS Mincho" w:hAnsi="Times New Roman"/>
          <w:sz w:val="24"/>
          <w:szCs w:val="24"/>
          <w:lang w:eastAsia="ja-JP"/>
        </w:rPr>
        <w:t xml:space="preserve">, </w:t>
      </w:r>
      <w:r w:rsidR="0020594C" w:rsidRPr="009C0363">
        <w:rPr>
          <w:rFonts w:ascii="Times New Roman" w:eastAsia="MS Mincho" w:hAnsi="Times New Roman"/>
          <w:sz w:val="24"/>
          <w:szCs w:val="24"/>
          <w:lang w:eastAsia="ja-JP"/>
        </w:rPr>
        <w:t>for an average annual cost of</w:t>
      </w:r>
      <w:r w:rsidR="007B0607">
        <w:rPr>
          <w:rFonts w:ascii="Times New Roman" w:eastAsia="MS Mincho" w:hAnsi="Times New Roman"/>
          <w:sz w:val="24"/>
          <w:szCs w:val="24"/>
          <w:lang w:eastAsia="ja-JP"/>
        </w:rPr>
        <w:t xml:space="preserve"> about</w:t>
      </w:r>
      <w:r w:rsidR="0020594C" w:rsidRPr="009C0363">
        <w:rPr>
          <w:rFonts w:ascii="Times New Roman" w:eastAsia="MS Mincho" w:hAnsi="Times New Roman"/>
          <w:sz w:val="24"/>
          <w:szCs w:val="24"/>
          <w:lang w:eastAsia="ja-JP"/>
        </w:rPr>
        <w:t xml:space="preserve"> $</w:t>
      </w:r>
      <w:r w:rsidR="007B0607">
        <w:rPr>
          <w:rFonts w:ascii="Times New Roman" w:eastAsia="MS Mincho" w:hAnsi="Times New Roman"/>
          <w:sz w:val="24"/>
          <w:szCs w:val="24"/>
          <w:lang w:eastAsia="ja-JP"/>
        </w:rPr>
        <w:t>890</w:t>
      </w:r>
      <w:r w:rsidR="0020594C">
        <w:rPr>
          <w:rFonts w:ascii="Times New Roman" w:eastAsia="MS Mincho" w:hAnsi="Times New Roman"/>
          <w:sz w:val="24"/>
          <w:szCs w:val="24"/>
          <w:lang w:eastAsia="ja-JP"/>
        </w:rPr>
        <w:t xml:space="preserve"> per respondent</w:t>
      </w:r>
      <w:r w:rsidRPr="006A02A8">
        <w:rPr>
          <w:rFonts w:ascii="Times New Roman" w:eastAsia="MS Mincho" w:hAnsi="Times New Roman"/>
          <w:sz w:val="24"/>
          <w:szCs w:val="24"/>
          <w:lang w:eastAsia="ja-JP"/>
        </w:rPr>
        <w:t xml:space="preserve">.  </w:t>
      </w:r>
      <w:r w:rsidR="00823082">
        <w:rPr>
          <w:rFonts w:ascii="Times New Roman" w:eastAsia="MS Mincho" w:hAnsi="Times New Roman"/>
          <w:sz w:val="24"/>
          <w:szCs w:val="24"/>
          <w:lang w:eastAsia="ja-JP"/>
        </w:rPr>
        <w:t>N</w:t>
      </w:r>
      <w:r w:rsidRPr="006A02A8">
        <w:rPr>
          <w:rFonts w:ascii="Times New Roman" w:eastAsia="MS Mincho" w:hAnsi="Times New Roman"/>
          <w:sz w:val="24"/>
          <w:szCs w:val="24"/>
          <w:lang w:eastAsia="ja-JP"/>
        </w:rPr>
        <w:t xml:space="preserve">o capital </w:t>
      </w:r>
      <w:r w:rsidR="00823082">
        <w:rPr>
          <w:rFonts w:ascii="Times New Roman" w:eastAsia="MS Mincho" w:hAnsi="Times New Roman"/>
          <w:sz w:val="24"/>
          <w:szCs w:val="24"/>
          <w:lang w:eastAsia="ja-JP"/>
        </w:rPr>
        <w:t>or</w:t>
      </w:r>
      <w:r w:rsidR="00823082" w:rsidRPr="006A02A8">
        <w:rPr>
          <w:rFonts w:ascii="Times New Roman" w:eastAsia="MS Mincho" w:hAnsi="Times New Roman"/>
          <w:sz w:val="24"/>
          <w:szCs w:val="24"/>
          <w:lang w:eastAsia="ja-JP"/>
        </w:rPr>
        <w:t xml:space="preserve"> </w:t>
      </w:r>
      <w:r w:rsidRPr="006A02A8">
        <w:rPr>
          <w:rFonts w:ascii="Times New Roman" w:eastAsia="MS Mincho" w:hAnsi="Times New Roman"/>
          <w:sz w:val="24"/>
          <w:szCs w:val="24"/>
          <w:lang w:eastAsia="ja-JP"/>
        </w:rPr>
        <w:t>start-up costs</w:t>
      </w:r>
      <w:r w:rsidR="00823082">
        <w:rPr>
          <w:rFonts w:ascii="Times New Roman" w:eastAsia="MS Mincho" w:hAnsi="Times New Roman"/>
          <w:sz w:val="24"/>
          <w:szCs w:val="24"/>
          <w:lang w:eastAsia="ja-JP"/>
        </w:rPr>
        <w:t xml:space="preserve"> are necessary for the Form 200 notice</w:t>
      </w:r>
      <w:r w:rsidRPr="006A02A8">
        <w:rPr>
          <w:rFonts w:ascii="Times New Roman" w:eastAsia="MS Mincho" w:hAnsi="Times New Roman"/>
          <w:sz w:val="24"/>
          <w:szCs w:val="24"/>
          <w:lang w:eastAsia="ja-JP"/>
        </w:rPr>
        <w:t>.</w:t>
      </w:r>
    </w:p>
    <w:p w:rsidR="00865882" w:rsidRDefault="004041E6" w:rsidP="004041E6">
      <w:pPr>
        <w:autoSpaceDE w:val="0"/>
        <w:autoSpaceDN w:val="0"/>
        <w:adjustRightInd w:val="0"/>
        <w:spacing w:after="0" w:line="480" w:lineRule="auto"/>
        <w:ind w:firstLine="720"/>
        <w:rPr>
          <w:rFonts w:ascii="Times New Roman" w:eastAsia="MS Mincho" w:hAnsi="Times New Roman"/>
          <w:sz w:val="24"/>
          <w:szCs w:val="24"/>
          <w:lang w:eastAsia="ja-JP"/>
        </w:rPr>
      </w:pPr>
      <w:r>
        <w:rPr>
          <w:rFonts w:ascii="Times New Roman" w:eastAsia="MS Mincho" w:hAnsi="Times New Roman"/>
          <w:sz w:val="24"/>
          <w:szCs w:val="24"/>
          <w:lang w:eastAsia="ja-JP"/>
        </w:rPr>
        <w:t>1</w:t>
      </w:r>
      <w:r w:rsidR="006A02A8" w:rsidRPr="006A02A8">
        <w:rPr>
          <w:rFonts w:ascii="Times New Roman" w:eastAsia="MS Mincho" w:hAnsi="Times New Roman"/>
          <w:sz w:val="24"/>
          <w:szCs w:val="24"/>
          <w:lang w:eastAsia="ja-JP"/>
        </w:rPr>
        <w:t xml:space="preserve">4.  </w:t>
      </w:r>
      <w:r w:rsidR="006A02A8" w:rsidRPr="001E64DB">
        <w:rPr>
          <w:rFonts w:ascii="Times New Roman" w:eastAsia="MS Mincho" w:hAnsi="Times New Roman"/>
          <w:sz w:val="24"/>
          <w:szCs w:val="24"/>
          <w:u w:val="single"/>
          <w:lang w:eastAsia="ja-JP"/>
        </w:rPr>
        <w:t>Costs to the Federal government</w:t>
      </w:r>
      <w:r w:rsidR="006A02A8" w:rsidRPr="006A02A8">
        <w:rPr>
          <w:rFonts w:ascii="Times New Roman" w:eastAsia="MS Mincho" w:hAnsi="Times New Roman"/>
          <w:sz w:val="24"/>
          <w:szCs w:val="24"/>
          <w:lang w:eastAsia="ja-JP"/>
        </w:rPr>
        <w:t xml:space="preserve">.  PBGC estimates </w:t>
      </w:r>
      <w:r w:rsidR="00F1457D">
        <w:rPr>
          <w:rFonts w:ascii="Times New Roman" w:eastAsia="MS Mincho" w:hAnsi="Times New Roman"/>
          <w:sz w:val="24"/>
          <w:szCs w:val="24"/>
          <w:lang w:eastAsia="ja-JP"/>
        </w:rPr>
        <w:t>that over the next three years</w:t>
      </w:r>
      <w:r w:rsidR="002507CD">
        <w:rPr>
          <w:rFonts w:ascii="Times New Roman" w:eastAsia="MS Mincho" w:hAnsi="Times New Roman"/>
          <w:sz w:val="24"/>
          <w:szCs w:val="24"/>
          <w:lang w:eastAsia="ja-JP"/>
        </w:rPr>
        <w:t xml:space="preserve"> the total annual cost to it </w:t>
      </w:r>
      <w:r w:rsidR="00DA384E">
        <w:rPr>
          <w:rFonts w:ascii="Times New Roman" w:eastAsia="MS Mincho" w:hAnsi="Times New Roman"/>
          <w:sz w:val="24"/>
          <w:szCs w:val="24"/>
          <w:lang w:eastAsia="ja-JP"/>
        </w:rPr>
        <w:t xml:space="preserve">for processing filings </w:t>
      </w:r>
      <w:r w:rsidR="002507CD">
        <w:rPr>
          <w:rFonts w:ascii="Times New Roman" w:eastAsia="MS Mincho" w:hAnsi="Times New Roman"/>
          <w:sz w:val="24"/>
          <w:szCs w:val="24"/>
          <w:lang w:eastAsia="ja-JP"/>
        </w:rPr>
        <w:t>will be about $</w:t>
      </w:r>
      <w:r w:rsidR="00814FE4">
        <w:rPr>
          <w:rFonts w:ascii="Times New Roman" w:eastAsia="MS Mincho" w:hAnsi="Times New Roman"/>
          <w:sz w:val="24"/>
          <w:szCs w:val="24"/>
          <w:lang w:eastAsia="ja-JP"/>
        </w:rPr>
        <w:t>42</w:t>
      </w:r>
      <w:r w:rsidR="002507CD">
        <w:rPr>
          <w:rFonts w:ascii="Times New Roman" w:eastAsia="MS Mincho" w:hAnsi="Times New Roman"/>
          <w:sz w:val="24"/>
          <w:szCs w:val="24"/>
          <w:lang w:eastAsia="ja-JP"/>
        </w:rPr>
        <w:t>,</w:t>
      </w:r>
      <w:r w:rsidR="00814FE4">
        <w:rPr>
          <w:rFonts w:ascii="Times New Roman" w:eastAsia="MS Mincho" w:hAnsi="Times New Roman"/>
          <w:sz w:val="24"/>
          <w:szCs w:val="24"/>
          <w:lang w:eastAsia="ja-JP"/>
        </w:rPr>
        <w:t>50</w:t>
      </w:r>
      <w:r w:rsidR="009F777F">
        <w:rPr>
          <w:rFonts w:ascii="Times New Roman" w:eastAsia="MS Mincho" w:hAnsi="Times New Roman"/>
          <w:sz w:val="24"/>
          <w:szCs w:val="24"/>
          <w:lang w:eastAsia="ja-JP"/>
        </w:rPr>
        <w:t>0</w:t>
      </w:r>
      <w:r w:rsidR="00F1457D">
        <w:rPr>
          <w:rFonts w:ascii="Times New Roman" w:eastAsia="MS Mincho" w:hAnsi="Times New Roman"/>
          <w:sz w:val="24"/>
          <w:szCs w:val="24"/>
          <w:lang w:eastAsia="ja-JP"/>
        </w:rPr>
        <w:t xml:space="preserve">, </w:t>
      </w:r>
      <w:r w:rsidR="002507CD">
        <w:rPr>
          <w:rFonts w:ascii="Times New Roman" w:eastAsia="MS Mincho" w:hAnsi="Times New Roman"/>
          <w:sz w:val="24"/>
          <w:szCs w:val="24"/>
          <w:lang w:eastAsia="ja-JP"/>
        </w:rPr>
        <w:t xml:space="preserve">based upon </w:t>
      </w:r>
      <w:r w:rsidR="00E54F38">
        <w:rPr>
          <w:rFonts w:ascii="Times New Roman" w:eastAsia="MS Mincho" w:hAnsi="Times New Roman"/>
          <w:sz w:val="24"/>
          <w:szCs w:val="24"/>
          <w:lang w:eastAsia="ja-JP"/>
        </w:rPr>
        <w:t xml:space="preserve">an estimated </w:t>
      </w:r>
      <w:r w:rsidR="00F1457D">
        <w:rPr>
          <w:rFonts w:ascii="Times New Roman" w:eastAsia="MS Mincho" w:hAnsi="Times New Roman"/>
          <w:sz w:val="24"/>
          <w:szCs w:val="24"/>
          <w:lang w:eastAsia="ja-JP"/>
        </w:rPr>
        <w:lastRenderedPageBreak/>
        <w:t xml:space="preserve">annual hour burden of </w:t>
      </w:r>
      <w:r w:rsidR="00814FE4">
        <w:rPr>
          <w:rFonts w:ascii="Times New Roman" w:eastAsia="MS Mincho" w:hAnsi="Times New Roman"/>
          <w:sz w:val="24"/>
          <w:szCs w:val="24"/>
          <w:lang w:eastAsia="ja-JP"/>
        </w:rPr>
        <w:t>660</w:t>
      </w:r>
      <w:r w:rsidR="00E54F38">
        <w:rPr>
          <w:rFonts w:ascii="Times New Roman" w:eastAsia="MS Mincho" w:hAnsi="Times New Roman"/>
          <w:sz w:val="24"/>
          <w:szCs w:val="24"/>
          <w:lang w:eastAsia="ja-JP"/>
        </w:rPr>
        <w:t> </w:t>
      </w:r>
      <w:r w:rsidR="006A02A8" w:rsidRPr="006A02A8">
        <w:rPr>
          <w:rFonts w:ascii="Times New Roman" w:eastAsia="MS Mincho" w:hAnsi="Times New Roman"/>
          <w:sz w:val="24"/>
          <w:szCs w:val="24"/>
          <w:lang w:eastAsia="ja-JP"/>
        </w:rPr>
        <w:t>hours</w:t>
      </w:r>
      <w:r w:rsidR="00E54F38">
        <w:rPr>
          <w:rFonts w:ascii="Times New Roman" w:eastAsia="MS Mincho" w:hAnsi="Times New Roman"/>
          <w:sz w:val="24"/>
          <w:szCs w:val="24"/>
          <w:lang w:eastAsia="ja-JP"/>
        </w:rPr>
        <w:t xml:space="preserve"> </w:t>
      </w:r>
      <w:r w:rsidR="00D10E14" w:rsidRPr="00D10E14">
        <w:rPr>
          <w:rFonts w:ascii="Times New Roman" w:eastAsia="MS Mincho" w:hAnsi="Times New Roman"/>
          <w:sz w:val="24"/>
          <w:szCs w:val="24"/>
          <w:lang w:eastAsia="ja-JP"/>
        </w:rPr>
        <w:t xml:space="preserve"> — 1</w:t>
      </w:r>
      <w:r w:rsidR="00814FE4">
        <w:rPr>
          <w:rFonts w:ascii="Times New Roman" w:eastAsia="MS Mincho" w:hAnsi="Times New Roman"/>
          <w:sz w:val="24"/>
          <w:szCs w:val="24"/>
          <w:lang w:eastAsia="ja-JP"/>
        </w:rPr>
        <w:t>65</w:t>
      </w:r>
      <w:r w:rsidR="00D10E14" w:rsidRPr="00D10E14">
        <w:rPr>
          <w:rFonts w:ascii="Times New Roman" w:eastAsia="MS Mincho" w:hAnsi="Times New Roman"/>
          <w:sz w:val="24"/>
          <w:szCs w:val="24"/>
          <w:lang w:eastAsia="ja-JP"/>
        </w:rPr>
        <w:t xml:space="preserve"> filings times </w:t>
      </w:r>
      <w:r w:rsidR="00814FE4">
        <w:rPr>
          <w:rFonts w:ascii="Times New Roman" w:eastAsia="MS Mincho" w:hAnsi="Times New Roman"/>
          <w:sz w:val="24"/>
          <w:szCs w:val="24"/>
          <w:lang w:eastAsia="ja-JP"/>
        </w:rPr>
        <w:t>4</w:t>
      </w:r>
      <w:r w:rsidR="00D10E14" w:rsidRPr="00D10E14">
        <w:rPr>
          <w:rFonts w:ascii="Times New Roman" w:eastAsia="MS Mincho" w:hAnsi="Times New Roman"/>
          <w:sz w:val="24"/>
          <w:szCs w:val="24"/>
          <w:lang w:eastAsia="ja-JP"/>
        </w:rPr>
        <w:t xml:space="preserve"> hours per filing (0.</w:t>
      </w:r>
      <w:r w:rsidR="00814FE4" w:rsidRPr="00D10E14">
        <w:rPr>
          <w:rFonts w:ascii="Times New Roman" w:eastAsia="MS Mincho" w:hAnsi="Times New Roman"/>
          <w:sz w:val="24"/>
          <w:szCs w:val="24"/>
          <w:lang w:eastAsia="ja-JP"/>
        </w:rPr>
        <w:t xml:space="preserve"> </w:t>
      </w:r>
      <w:r w:rsidR="00D10E14" w:rsidRPr="00D10E14">
        <w:rPr>
          <w:rFonts w:ascii="Times New Roman" w:eastAsia="MS Mincho" w:hAnsi="Times New Roman"/>
          <w:sz w:val="24"/>
          <w:szCs w:val="24"/>
          <w:lang w:eastAsia="ja-JP"/>
        </w:rPr>
        <w:t xml:space="preserve">5 hours of clerical staff time plus </w:t>
      </w:r>
      <w:r w:rsidR="00814FE4">
        <w:rPr>
          <w:rFonts w:ascii="Times New Roman" w:eastAsia="MS Mincho" w:hAnsi="Times New Roman"/>
          <w:sz w:val="24"/>
          <w:szCs w:val="24"/>
          <w:lang w:eastAsia="ja-JP"/>
        </w:rPr>
        <w:t>2</w:t>
      </w:r>
      <w:r w:rsidR="00D10E14" w:rsidRPr="00D10E14">
        <w:rPr>
          <w:rFonts w:ascii="Times New Roman" w:eastAsia="MS Mincho" w:hAnsi="Times New Roman"/>
          <w:sz w:val="24"/>
          <w:szCs w:val="24"/>
          <w:lang w:eastAsia="ja-JP"/>
        </w:rPr>
        <w:t>.</w:t>
      </w:r>
      <w:r w:rsidR="00814FE4">
        <w:rPr>
          <w:rFonts w:ascii="Times New Roman" w:eastAsia="MS Mincho" w:hAnsi="Times New Roman"/>
          <w:sz w:val="24"/>
          <w:szCs w:val="24"/>
          <w:lang w:eastAsia="ja-JP"/>
        </w:rPr>
        <w:t>62</w:t>
      </w:r>
      <w:r w:rsidR="00D10E14" w:rsidRPr="00D10E14">
        <w:rPr>
          <w:rFonts w:ascii="Times New Roman" w:eastAsia="MS Mincho" w:hAnsi="Times New Roman"/>
          <w:sz w:val="24"/>
          <w:szCs w:val="24"/>
          <w:lang w:eastAsia="ja-JP"/>
        </w:rPr>
        <w:t>5 hours of professional staff time</w:t>
      </w:r>
      <w:r w:rsidR="00814FE4">
        <w:rPr>
          <w:rFonts w:ascii="Times New Roman" w:eastAsia="MS Mincho" w:hAnsi="Times New Roman"/>
          <w:sz w:val="24"/>
          <w:szCs w:val="24"/>
          <w:lang w:eastAsia="ja-JP"/>
        </w:rPr>
        <w:t xml:space="preserve"> plus 0.875 hours of outside contractor time).  </w:t>
      </w:r>
      <w:r w:rsidR="00814FE4" w:rsidRPr="00814FE4">
        <w:rPr>
          <w:rFonts w:ascii="Times New Roman" w:eastAsia="MS Mincho" w:hAnsi="Times New Roman"/>
          <w:sz w:val="24"/>
          <w:szCs w:val="24"/>
          <w:lang w:eastAsia="ja-JP"/>
        </w:rPr>
        <w:t>The estimated hourly cost is $33.51 an hour of clerical staff time, $70.70 an hour of professional time, and $62.93 an hour of contractor time.</w:t>
      </w:r>
    </w:p>
    <w:p w:rsidR="006A02A8" w:rsidRPr="006A02A8" w:rsidRDefault="007A2324" w:rsidP="00865882">
      <w:pPr>
        <w:keepLines/>
        <w:autoSpaceDE w:val="0"/>
        <w:autoSpaceDN w:val="0"/>
        <w:adjustRightInd w:val="0"/>
        <w:spacing w:after="0" w:line="480" w:lineRule="auto"/>
        <w:ind w:firstLine="720"/>
        <w:rPr>
          <w:rFonts w:ascii="Times New Roman" w:eastAsia="MS Mincho" w:hAnsi="Times New Roman"/>
          <w:sz w:val="24"/>
          <w:szCs w:val="24"/>
          <w:lang w:eastAsia="ja-JP"/>
        </w:rPr>
      </w:pPr>
      <w:r>
        <w:rPr>
          <w:rFonts w:ascii="Times New Roman" w:eastAsia="MS Mincho" w:hAnsi="Times New Roman"/>
          <w:sz w:val="24"/>
          <w:szCs w:val="24"/>
          <w:lang w:eastAsia="ja-JP"/>
        </w:rPr>
        <w:t>1</w:t>
      </w:r>
      <w:r w:rsidR="006A02A8" w:rsidRPr="006A02A8">
        <w:rPr>
          <w:rFonts w:ascii="Times New Roman" w:eastAsia="MS Mincho" w:hAnsi="Times New Roman"/>
          <w:sz w:val="24"/>
          <w:szCs w:val="24"/>
          <w:lang w:eastAsia="ja-JP"/>
        </w:rPr>
        <w:t xml:space="preserve">5.  </w:t>
      </w:r>
      <w:r w:rsidR="006A02A8" w:rsidRPr="006A02A8">
        <w:rPr>
          <w:rFonts w:ascii="Times New Roman" w:eastAsia="MS Mincho" w:hAnsi="Times New Roman"/>
          <w:sz w:val="24"/>
          <w:szCs w:val="24"/>
          <w:u w:val="single"/>
          <w:lang w:eastAsia="ja-JP"/>
        </w:rPr>
        <w:t>Change in burden</w:t>
      </w:r>
      <w:r w:rsidR="006A02A8" w:rsidRPr="006A02A8">
        <w:rPr>
          <w:rFonts w:ascii="Times New Roman" w:eastAsia="MS Mincho" w:hAnsi="Times New Roman"/>
          <w:sz w:val="24"/>
          <w:szCs w:val="24"/>
          <w:lang w:eastAsia="ja-JP"/>
        </w:rPr>
        <w:t xml:space="preserve">.  The </w:t>
      </w:r>
      <w:r w:rsidR="005646DF">
        <w:rPr>
          <w:rFonts w:ascii="Times New Roman" w:eastAsia="MS Mincho" w:hAnsi="Times New Roman"/>
          <w:sz w:val="24"/>
          <w:szCs w:val="24"/>
          <w:lang w:eastAsia="ja-JP"/>
        </w:rPr>
        <w:t>changes</w:t>
      </w:r>
      <w:r w:rsidR="005646DF" w:rsidRPr="006A02A8">
        <w:rPr>
          <w:rFonts w:ascii="Times New Roman" w:eastAsia="MS Mincho" w:hAnsi="Times New Roman"/>
          <w:sz w:val="24"/>
          <w:szCs w:val="24"/>
          <w:lang w:eastAsia="ja-JP"/>
        </w:rPr>
        <w:t xml:space="preserve"> </w:t>
      </w:r>
      <w:r w:rsidR="006A02A8" w:rsidRPr="006A02A8">
        <w:rPr>
          <w:rFonts w:ascii="Times New Roman" w:eastAsia="MS Mincho" w:hAnsi="Times New Roman"/>
          <w:sz w:val="24"/>
          <w:szCs w:val="24"/>
          <w:lang w:eastAsia="ja-JP"/>
        </w:rPr>
        <w:t xml:space="preserve">in </w:t>
      </w:r>
      <w:r w:rsidR="005646DF">
        <w:rPr>
          <w:rFonts w:ascii="Times New Roman" w:eastAsia="MS Mincho" w:hAnsi="Times New Roman"/>
          <w:sz w:val="24"/>
          <w:szCs w:val="24"/>
          <w:lang w:eastAsia="ja-JP"/>
        </w:rPr>
        <w:t xml:space="preserve">cost </w:t>
      </w:r>
      <w:r w:rsidR="00814FE4">
        <w:rPr>
          <w:rFonts w:ascii="Times New Roman" w:eastAsia="MS Mincho" w:hAnsi="Times New Roman"/>
          <w:sz w:val="24"/>
          <w:szCs w:val="24"/>
          <w:lang w:eastAsia="ja-JP"/>
        </w:rPr>
        <w:t>is the result of PBGC’s use of different cost assumptions</w:t>
      </w:r>
      <w:r w:rsidR="009D54CC" w:rsidRPr="006A02A8">
        <w:rPr>
          <w:rFonts w:ascii="Times New Roman" w:eastAsia="MS Mincho" w:hAnsi="Times New Roman"/>
          <w:sz w:val="24"/>
          <w:szCs w:val="24"/>
          <w:lang w:eastAsia="ja-JP"/>
        </w:rPr>
        <w:t>.</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16.  </w:t>
      </w:r>
      <w:r w:rsidRPr="006A02A8">
        <w:rPr>
          <w:rFonts w:ascii="Times New Roman" w:eastAsia="MS Mincho" w:hAnsi="Times New Roman"/>
          <w:sz w:val="24"/>
          <w:szCs w:val="24"/>
          <w:u w:val="single"/>
          <w:lang w:eastAsia="ja-JP"/>
        </w:rPr>
        <w:t>Publication plans</w:t>
      </w:r>
      <w:r w:rsidRPr="006A02A8">
        <w:rPr>
          <w:rFonts w:ascii="Times New Roman" w:eastAsia="MS Mincho" w:hAnsi="Times New Roman"/>
          <w:sz w:val="24"/>
          <w:szCs w:val="24"/>
          <w:lang w:eastAsia="ja-JP"/>
        </w:rPr>
        <w:t>.  PBGC does not plan to publish the results of this collection of information.</w:t>
      </w:r>
    </w:p>
    <w:p w:rsidR="006A02A8" w:rsidRPr="006A02A8" w:rsidRDefault="006A02A8" w:rsidP="006A02A8">
      <w:pPr>
        <w:autoSpaceDE w:val="0"/>
        <w:autoSpaceDN w:val="0"/>
        <w:adjustRightInd w:val="0"/>
        <w:spacing w:after="0"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17.  </w:t>
      </w:r>
      <w:r w:rsidRPr="006A02A8">
        <w:rPr>
          <w:rFonts w:ascii="Times New Roman" w:eastAsia="MS Mincho" w:hAnsi="Times New Roman"/>
          <w:sz w:val="24"/>
          <w:szCs w:val="24"/>
          <w:u w:val="single"/>
          <w:lang w:eastAsia="ja-JP"/>
        </w:rPr>
        <w:t>Approval for omitting expiration date</w:t>
      </w:r>
      <w:r w:rsidRPr="006A02A8">
        <w:rPr>
          <w:rFonts w:ascii="Times New Roman" w:eastAsia="MS Mincho" w:hAnsi="Times New Roman"/>
          <w:sz w:val="24"/>
          <w:szCs w:val="24"/>
          <w:lang w:eastAsia="ja-JP"/>
        </w:rPr>
        <w:t>.  Not applicable.  PBGC is not seeking OMB approval to omit the expiration date.</w:t>
      </w:r>
    </w:p>
    <w:p w:rsidR="00514E75" w:rsidRPr="00953C40" w:rsidRDefault="006A02A8" w:rsidP="00953C40">
      <w:pPr>
        <w:spacing w:line="480" w:lineRule="auto"/>
        <w:ind w:firstLine="720"/>
        <w:rPr>
          <w:rFonts w:ascii="Times New Roman" w:eastAsia="MS Mincho" w:hAnsi="Times New Roman"/>
          <w:sz w:val="24"/>
          <w:szCs w:val="24"/>
          <w:lang w:eastAsia="ja-JP"/>
        </w:rPr>
      </w:pPr>
      <w:r w:rsidRPr="006A02A8">
        <w:rPr>
          <w:rFonts w:ascii="Times New Roman" w:eastAsia="MS Mincho" w:hAnsi="Times New Roman"/>
          <w:sz w:val="24"/>
          <w:szCs w:val="24"/>
          <w:lang w:eastAsia="ja-JP"/>
        </w:rPr>
        <w:t xml:space="preserve">18.  </w:t>
      </w:r>
      <w:r w:rsidRPr="00953C40">
        <w:rPr>
          <w:rFonts w:ascii="Times New Roman" w:eastAsia="MS Mincho" w:hAnsi="Times New Roman"/>
          <w:sz w:val="24"/>
          <w:szCs w:val="24"/>
          <w:u w:val="single"/>
          <w:lang w:eastAsia="ja-JP"/>
        </w:rPr>
        <w:t>Exceptions to certification statement</w:t>
      </w:r>
      <w:r w:rsidRPr="006A02A8">
        <w:rPr>
          <w:rFonts w:ascii="Times New Roman" w:eastAsia="MS Mincho" w:hAnsi="Times New Roman"/>
          <w:sz w:val="24"/>
          <w:szCs w:val="24"/>
          <w:lang w:eastAsia="ja-JP"/>
        </w:rPr>
        <w:t xml:space="preserve">.  </w:t>
      </w:r>
      <w:r w:rsidR="00953C40" w:rsidRPr="00953C40">
        <w:rPr>
          <w:rFonts w:ascii="Times New Roman" w:eastAsia="MS Mincho" w:hAnsi="Times New Roman"/>
          <w:sz w:val="24"/>
          <w:szCs w:val="24"/>
          <w:lang w:eastAsia="ja-JP"/>
        </w:rPr>
        <w:t>There are no exceptions to the certification statement</w:t>
      </w:r>
      <w:r w:rsidR="00953C40">
        <w:rPr>
          <w:rFonts w:ascii="Times New Roman" w:eastAsia="MS Mincho" w:hAnsi="Times New Roman"/>
          <w:sz w:val="24"/>
          <w:szCs w:val="24"/>
          <w:lang w:eastAsia="ja-JP"/>
        </w:rPr>
        <w:t xml:space="preserve"> for this submission.</w:t>
      </w:r>
    </w:p>
    <w:sectPr w:rsidR="00514E75" w:rsidRPr="00953C40" w:rsidSect="00E352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831" w:rsidRDefault="00130831" w:rsidP="00693ECE">
      <w:pPr>
        <w:spacing w:after="0"/>
      </w:pPr>
      <w:r>
        <w:separator/>
      </w:r>
    </w:p>
  </w:endnote>
  <w:endnote w:type="continuationSeparator" w:id="0">
    <w:p w:rsidR="00130831" w:rsidRDefault="00130831" w:rsidP="00693ECE">
      <w:pPr>
        <w:spacing w:after="0"/>
      </w:pPr>
      <w:r>
        <w:continuationSeparator/>
      </w:r>
    </w:p>
  </w:endnote>
  <w:endnote w:type="continuationNotice" w:id="1">
    <w:p w:rsidR="00130831" w:rsidRDefault="00130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C" w:rsidRDefault="00445FBC">
    <w:pPr>
      <w:spacing w:line="240" w:lineRule="exact"/>
    </w:pPr>
  </w:p>
  <w:p w:rsidR="00445FBC" w:rsidRPr="006D2ECD" w:rsidRDefault="00445FBC">
    <w:pPr>
      <w:framePr w:w="9361" w:wrap="notBeside" w:vAnchor="text" w:hAnchor="text" w:x="1" w:y="1"/>
      <w:jc w:val="center"/>
      <w:rPr>
        <w:rFonts w:ascii="Times New Roman" w:hAnsi="Times New Roman"/>
      </w:rPr>
    </w:pPr>
    <w:r w:rsidRPr="006D2ECD">
      <w:rPr>
        <w:rFonts w:ascii="Times New Roman" w:hAnsi="Times New Roman"/>
      </w:rPr>
      <w:fldChar w:fldCharType="begin"/>
    </w:r>
    <w:r w:rsidRPr="006D2ECD">
      <w:rPr>
        <w:rFonts w:ascii="Times New Roman" w:hAnsi="Times New Roman"/>
      </w:rPr>
      <w:instrText xml:space="preserve">PAGE </w:instrText>
    </w:r>
    <w:r w:rsidRPr="006D2ECD">
      <w:rPr>
        <w:rFonts w:ascii="Times New Roman" w:hAnsi="Times New Roman"/>
      </w:rPr>
      <w:fldChar w:fldCharType="separate"/>
    </w:r>
    <w:r w:rsidR="005B7293">
      <w:rPr>
        <w:rFonts w:ascii="Times New Roman" w:hAnsi="Times New Roman"/>
        <w:noProof/>
      </w:rPr>
      <w:t>1</w:t>
    </w:r>
    <w:r w:rsidRPr="006D2ECD">
      <w:rPr>
        <w:rFonts w:ascii="Times New Roman" w:hAnsi="Times New Roman"/>
      </w:rPr>
      <w:fldChar w:fldCharType="end"/>
    </w:r>
  </w:p>
  <w:p w:rsidR="00445FBC" w:rsidRDefault="00445F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831" w:rsidRDefault="00130831" w:rsidP="00693ECE">
      <w:pPr>
        <w:spacing w:after="0"/>
      </w:pPr>
      <w:r>
        <w:separator/>
      </w:r>
    </w:p>
  </w:footnote>
  <w:footnote w:type="continuationSeparator" w:id="0">
    <w:p w:rsidR="00130831" w:rsidRDefault="00130831" w:rsidP="00693ECE">
      <w:pPr>
        <w:spacing w:after="0"/>
      </w:pPr>
      <w:r>
        <w:continuationSeparator/>
      </w:r>
    </w:p>
  </w:footnote>
  <w:footnote w:type="continuationNotice" w:id="1">
    <w:p w:rsidR="00130831" w:rsidRDefault="0013083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6FFF"/>
    <w:multiLevelType w:val="hybridMultilevel"/>
    <w:tmpl w:val="C9BE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661DD"/>
    <w:multiLevelType w:val="hybridMultilevel"/>
    <w:tmpl w:val="EC147A92"/>
    <w:lvl w:ilvl="0" w:tplc="BBCE56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A8"/>
    <w:rsid w:val="00015A79"/>
    <w:rsid w:val="00015B21"/>
    <w:rsid w:val="00020AB4"/>
    <w:rsid w:val="00020BD4"/>
    <w:rsid w:val="0002477D"/>
    <w:rsid w:val="00040E06"/>
    <w:rsid w:val="000635CB"/>
    <w:rsid w:val="00075DA7"/>
    <w:rsid w:val="0008201A"/>
    <w:rsid w:val="00085C7B"/>
    <w:rsid w:val="00092ABA"/>
    <w:rsid w:val="000D3420"/>
    <w:rsid w:val="000D37AE"/>
    <w:rsid w:val="0010287C"/>
    <w:rsid w:val="00130831"/>
    <w:rsid w:val="001449D7"/>
    <w:rsid w:val="00162C22"/>
    <w:rsid w:val="00170408"/>
    <w:rsid w:val="0017160B"/>
    <w:rsid w:val="001769D5"/>
    <w:rsid w:val="0018280D"/>
    <w:rsid w:val="00182EBA"/>
    <w:rsid w:val="001A2C36"/>
    <w:rsid w:val="001D51A0"/>
    <w:rsid w:val="001E0E11"/>
    <w:rsid w:val="001E64DB"/>
    <w:rsid w:val="001F06BE"/>
    <w:rsid w:val="00202F06"/>
    <w:rsid w:val="0020594C"/>
    <w:rsid w:val="002065DD"/>
    <w:rsid w:val="00216D1F"/>
    <w:rsid w:val="00221C68"/>
    <w:rsid w:val="00236439"/>
    <w:rsid w:val="00237768"/>
    <w:rsid w:val="00245617"/>
    <w:rsid w:val="002507CD"/>
    <w:rsid w:val="00250F12"/>
    <w:rsid w:val="0025261B"/>
    <w:rsid w:val="00260146"/>
    <w:rsid w:val="00261492"/>
    <w:rsid w:val="00272AE1"/>
    <w:rsid w:val="00273874"/>
    <w:rsid w:val="002C7B05"/>
    <w:rsid w:val="002E03DF"/>
    <w:rsid w:val="002F7D02"/>
    <w:rsid w:val="00335954"/>
    <w:rsid w:val="003539F5"/>
    <w:rsid w:val="00363090"/>
    <w:rsid w:val="00367F64"/>
    <w:rsid w:val="003704A4"/>
    <w:rsid w:val="00372396"/>
    <w:rsid w:val="00373975"/>
    <w:rsid w:val="00380AF4"/>
    <w:rsid w:val="0039158B"/>
    <w:rsid w:val="003920BD"/>
    <w:rsid w:val="00392182"/>
    <w:rsid w:val="003948D2"/>
    <w:rsid w:val="00394FA2"/>
    <w:rsid w:val="003A1280"/>
    <w:rsid w:val="003B16AE"/>
    <w:rsid w:val="003B4B32"/>
    <w:rsid w:val="003C1E7C"/>
    <w:rsid w:val="003E12AF"/>
    <w:rsid w:val="004025CE"/>
    <w:rsid w:val="004041E6"/>
    <w:rsid w:val="00406832"/>
    <w:rsid w:val="00427004"/>
    <w:rsid w:val="0044164E"/>
    <w:rsid w:val="004430A4"/>
    <w:rsid w:val="00445FBC"/>
    <w:rsid w:val="004478FB"/>
    <w:rsid w:val="00450472"/>
    <w:rsid w:val="00453030"/>
    <w:rsid w:val="00492A95"/>
    <w:rsid w:val="004A55B2"/>
    <w:rsid w:val="004B5703"/>
    <w:rsid w:val="004C3123"/>
    <w:rsid w:val="004C456E"/>
    <w:rsid w:val="004C604C"/>
    <w:rsid w:val="004C7F03"/>
    <w:rsid w:val="004D267F"/>
    <w:rsid w:val="004F6770"/>
    <w:rsid w:val="004F6F7B"/>
    <w:rsid w:val="0051164E"/>
    <w:rsid w:val="00514E75"/>
    <w:rsid w:val="0051625D"/>
    <w:rsid w:val="005646DF"/>
    <w:rsid w:val="00585E3B"/>
    <w:rsid w:val="00590A9F"/>
    <w:rsid w:val="00594CF7"/>
    <w:rsid w:val="005B7293"/>
    <w:rsid w:val="005D59C9"/>
    <w:rsid w:val="005E0158"/>
    <w:rsid w:val="005E2577"/>
    <w:rsid w:val="00600F25"/>
    <w:rsid w:val="00611957"/>
    <w:rsid w:val="00633C6C"/>
    <w:rsid w:val="00640E4E"/>
    <w:rsid w:val="00644FA1"/>
    <w:rsid w:val="00646F60"/>
    <w:rsid w:val="00672E79"/>
    <w:rsid w:val="006769D0"/>
    <w:rsid w:val="00693ECE"/>
    <w:rsid w:val="006A02A8"/>
    <w:rsid w:val="006A6383"/>
    <w:rsid w:val="00711C71"/>
    <w:rsid w:val="007267E0"/>
    <w:rsid w:val="007409EE"/>
    <w:rsid w:val="00747889"/>
    <w:rsid w:val="00760C5C"/>
    <w:rsid w:val="007926E9"/>
    <w:rsid w:val="007A1B81"/>
    <w:rsid w:val="007A2324"/>
    <w:rsid w:val="007A3E05"/>
    <w:rsid w:val="007A54C6"/>
    <w:rsid w:val="007A634F"/>
    <w:rsid w:val="007B0607"/>
    <w:rsid w:val="007F401C"/>
    <w:rsid w:val="0080034A"/>
    <w:rsid w:val="008044E9"/>
    <w:rsid w:val="00810BDE"/>
    <w:rsid w:val="00814FE4"/>
    <w:rsid w:val="00823082"/>
    <w:rsid w:val="00862B5E"/>
    <w:rsid w:val="00863F7F"/>
    <w:rsid w:val="00865882"/>
    <w:rsid w:val="00870693"/>
    <w:rsid w:val="00873DA1"/>
    <w:rsid w:val="00886CE5"/>
    <w:rsid w:val="008A123A"/>
    <w:rsid w:val="008A311A"/>
    <w:rsid w:val="008C632E"/>
    <w:rsid w:val="008C7588"/>
    <w:rsid w:val="008E041F"/>
    <w:rsid w:val="008E37DD"/>
    <w:rsid w:val="00915210"/>
    <w:rsid w:val="00925FFA"/>
    <w:rsid w:val="00937D54"/>
    <w:rsid w:val="00942222"/>
    <w:rsid w:val="00953C40"/>
    <w:rsid w:val="00956A4D"/>
    <w:rsid w:val="00964717"/>
    <w:rsid w:val="00966925"/>
    <w:rsid w:val="009730D0"/>
    <w:rsid w:val="00977EF8"/>
    <w:rsid w:val="00981B84"/>
    <w:rsid w:val="009834AC"/>
    <w:rsid w:val="009B7235"/>
    <w:rsid w:val="009C0363"/>
    <w:rsid w:val="009C2AAC"/>
    <w:rsid w:val="009D54CC"/>
    <w:rsid w:val="009E02B8"/>
    <w:rsid w:val="009E0BA1"/>
    <w:rsid w:val="009F777F"/>
    <w:rsid w:val="00A01936"/>
    <w:rsid w:val="00A0562F"/>
    <w:rsid w:val="00A3400C"/>
    <w:rsid w:val="00A42A31"/>
    <w:rsid w:val="00A523F5"/>
    <w:rsid w:val="00A829F5"/>
    <w:rsid w:val="00A90EA7"/>
    <w:rsid w:val="00AA03F6"/>
    <w:rsid w:val="00AA2A09"/>
    <w:rsid w:val="00AC0E27"/>
    <w:rsid w:val="00AC761C"/>
    <w:rsid w:val="00AD6E35"/>
    <w:rsid w:val="00AF2C99"/>
    <w:rsid w:val="00B20908"/>
    <w:rsid w:val="00B22718"/>
    <w:rsid w:val="00B3315D"/>
    <w:rsid w:val="00B36C6F"/>
    <w:rsid w:val="00B512D1"/>
    <w:rsid w:val="00B7715D"/>
    <w:rsid w:val="00B9668B"/>
    <w:rsid w:val="00BA0828"/>
    <w:rsid w:val="00BB1BE6"/>
    <w:rsid w:val="00BC4A64"/>
    <w:rsid w:val="00BD4BAE"/>
    <w:rsid w:val="00BD783E"/>
    <w:rsid w:val="00BF0E88"/>
    <w:rsid w:val="00BF5929"/>
    <w:rsid w:val="00C2683C"/>
    <w:rsid w:val="00C6162F"/>
    <w:rsid w:val="00C6226D"/>
    <w:rsid w:val="00C80021"/>
    <w:rsid w:val="00C83217"/>
    <w:rsid w:val="00C91451"/>
    <w:rsid w:val="00CA08A9"/>
    <w:rsid w:val="00CD175E"/>
    <w:rsid w:val="00CD4A6A"/>
    <w:rsid w:val="00D01CFF"/>
    <w:rsid w:val="00D10E14"/>
    <w:rsid w:val="00D1674B"/>
    <w:rsid w:val="00D33452"/>
    <w:rsid w:val="00D51A12"/>
    <w:rsid w:val="00DA32AC"/>
    <w:rsid w:val="00DA384E"/>
    <w:rsid w:val="00E07EC1"/>
    <w:rsid w:val="00E126FA"/>
    <w:rsid w:val="00E31861"/>
    <w:rsid w:val="00E35279"/>
    <w:rsid w:val="00E464A1"/>
    <w:rsid w:val="00E50190"/>
    <w:rsid w:val="00E536A8"/>
    <w:rsid w:val="00E54F38"/>
    <w:rsid w:val="00EA4B5E"/>
    <w:rsid w:val="00EB0606"/>
    <w:rsid w:val="00EC0741"/>
    <w:rsid w:val="00EC5FDC"/>
    <w:rsid w:val="00EC6E41"/>
    <w:rsid w:val="00ED4A8C"/>
    <w:rsid w:val="00EE2F9A"/>
    <w:rsid w:val="00EF26F9"/>
    <w:rsid w:val="00EF770E"/>
    <w:rsid w:val="00F1351D"/>
    <w:rsid w:val="00F1457D"/>
    <w:rsid w:val="00F33CB5"/>
    <w:rsid w:val="00F43900"/>
    <w:rsid w:val="00F456C0"/>
    <w:rsid w:val="00F46D9D"/>
    <w:rsid w:val="00F5551E"/>
    <w:rsid w:val="00F61424"/>
    <w:rsid w:val="00F7629C"/>
    <w:rsid w:val="00F8302C"/>
    <w:rsid w:val="00F9124C"/>
    <w:rsid w:val="00F91345"/>
    <w:rsid w:val="00FA5612"/>
    <w:rsid w:val="00FC2423"/>
    <w:rsid w:val="00FC7F2D"/>
    <w:rsid w:val="00FD1381"/>
    <w:rsid w:val="00FD3431"/>
    <w:rsid w:val="00FD608C"/>
    <w:rsid w:val="00FE1CAE"/>
    <w:rsid w:val="00FE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CBBC27E-152D-40C7-97D0-326F0C81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6C0"/>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rPr>
  </w:style>
  <w:style w:type="paragraph" w:styleId="Header">
    <w:name w:val="header"/>
    <w:basedOn w:val="Normal"/>
    <w:link w:val="HeaderChar"/>
    <w:unhideWhenUsed/>
    <w:rsid w:val="006A02A8"/>
    <w:pPr>
      <w:tabs>
        <w:tab w:val="center" w:pos="4680"/>
        <w:tab w:val="right" w:pos="9360"/>
      </w:tabs>
      <w:spacing w:after="0"/>
    </w:pPr>
  </w:style>
  <w:style w:type="character" w:customStyle="1" w:styleId="HeaderChar">
    <w:name w:val="Header Char"/>
    <w:link w:val="Header"/>
    <w:rsid w:val="006A02A8"/>
    <w:rPr>
      <w:sz w:val="22"/>
      <w:szCs w:val="22"/>
    </w:rPr>
  </w:style>
  <w:style w:type="paragraph" w:styleId="Footer">
    <w:name w:val="footer"/>
    <w:basedOn w:val="Normal"/>
    <w:link w:val="FooterChar"/>
    <w:uiPriority w:val="99"/>
    <w:unhideWhenUsed/>
    <w:rsid w:val="00693ECE"/>
    <w:pPr>
      <w:tabs>
        <w:tab w:val="center" w:pos="4680"/>
        <w:tab w:val="right" w:pos="9360"/>
      </w:tabs>
    </w:pPr>
  </w:style>
  <w:style w:type="character" w:customStyle="1" w:styleId="FooterChar">
    <w:name w:val="Footer Char"/>
    <w:link w:val="Footer"/>
    <w:uiPriority w:val="99"/>
    <w:rsid w:val="00693ECE"/>
    <w:rPr>
      <w:sz w:val="22"/>
      <w:szCs w:val="22"/>
    </w:rPr>
  </w:style>
  <w:style w:type="paragraph" w:styleId="BalloonText">
    <w:name w:val="Balloon Text"/>
    <w:basedOn w:val="Normal"/>
    <w:link w:val="BalloonTextChar"/>
    <w:uiPriority w:val="99"/>
    <w:semiHidden/>
    <w:unhideWhenUsed/>
    <w:rsid w:val="00F46D9D"/>
    <w:pPr>
      <w:spacing w:after="0"/>
    </w:pPr>
    <w:rPr>
      <w:rFonts w:ascii="Tahoma" w:hAnsi="Tahoma" w:cs="Tahoma"/>
      <w:sz w:val="16"/>
      <w:szCs w:val="16"/>
    </w:rPr>
  </w:style>
  <w:style w:type="character" w:customStyle="1" w:styleId="BalloonTextChar">
    <w:name w:val="Balloon Text Char"/>
    <w:link w:val="BalloonText"/>
    <w:uiPriority w:val="99"/>
    <w:semiHidden/>
    <w:rsid w:val="00F46D9D"/>
    <w:rPr>
      <w:rFonts w:ascii="Tahoma" w:hAnsi="Tahoma" w:cs="Tahoma"/>
      <w:sz w:val="16"/>
      <w:szCs w:val="16"/>
    </w:rPr>
  </w:style>
  <w:style w:type="character" w:styleId="CommentReference">
    <w:name w:val="annotation reference"/>
    <w:uiPriority w:val="99"/>
    <w:semiHidden/>
    <w:unhideWhenUsed/>
    <w:rsid w:val="001E64DB"/>
    <w:rPr>
      <w:sz w:val="16"/>
      <w:szCs w:val="16"/>
    </w:rPr>
  </w:style>
  <w:style w:type="paragraph" w:styleId="CommentText">
    <w:name w:val="annotation text"/>
    <w:basedOn w:val="Normal"/>
    <w:link w:val="CommentTextChar"/>
    <w:uiPriority w:val="99"/>
    <w:semiHidden/>
    <w:unhideWhenUsed/>
    <w:rsid w:val="001E64DB"/>
    <w:rPr>
      <w:sz w:val="20"/>
      <w:szCs w:val="20"/>
    </w:rPr>
  </w:style>
  <w:style w:type="character" w:customStyle="1" w:styleId="CommentTextChar">
    <w:name w:val="Comment Text Char"/>
    <w:basedOn w:val="DefaultParagraphFont"/>
    <w:link w:val="CommentText"/>
    <w:uiPriority w:val="99"/>
    <w:semiHidden/>
    <w:rsid w:val="001E64DB"/>
  </w:style>
  <w:style w:type="paragraph" w:styleId="CommentSubject">
    <w:name w:val="annotation subject"/>
    <w:basedOn w:val="CommentText"/>
    <w:next w:val="CommentText"/>
    <w:link w:val="CommentSubjectChar"/>
    <w:uiPriority w:val="99"/>
    <w:semiHidden/>
    <w:unhideWhenUsed/>
    <w:rsid w:val="001E64DB"/>
    <w:rPr>
      <w:b/>
      <w:bCs/>
    </w:rPr>
  </w:style>
  <w:style w:type="character" w:customStyle="1" w:styleId="CommentSubjectChar">
    <w:name w:val="Comment Subject Char"/>
    <w:link w:val="CommentSubject"/>
    <w:uiPriority w:val="99"/>
    <w:semiHidden/>
    <w:rsid w:val="001E64DB"/>
    <w:rPr>
      <w:b/>
      <w:bCs/>
    </w:rPr>
  </w:style>
  <w:style w:type="paragraph" w:styleId="Revision">
    <w:name w:val="Revision"/>
    <w:hidden/>
    <w:uiPriority w:val="99"/>
    <w:semiHidden/>
    <w:rsid w:val="001E64DB"/>
    <w:rPr>
      <w:sz w:val="22"/>
      <w:szCs w:val="22"/>
    </w:rPr>
  </w:style>
  <w:style w:type="paragraph" w:styleId="ListParagraph">
    <w:name w:val="List Paragraph"/>
    <w:basedOn w:val="Normal"/>
    <w:uiPriority w:val="34"/>
    <w:qFormat/>
    <w:rsid w:val="009F777F"/>
    <w:pPr>
      <w:spacing w:after="0"/>
      <w:ind w:left="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C7EE-9265-481E-9DA7-0991482A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fotda09</dc:creator>
  <cp:keywords/>
  <cp:lastModifiedBy>Liebman Daniel</cp:lastModifiedBy>
  <cp:revision>2</cp:revision>
  <cp:lastPrinted>2015-08-31T14:59:00Z</cp:lastPrinted>
  <dcterms:created xsi:type="dcterms:W3CDTF">2015-09-10T16:14:00Z</dcterms:created>
  <dcterms:modified xsi:type="dcterms:W3CDTF">2015-09-10T16:14:00Z</dcterms:modified>
</cp:coreProperties>
</file>