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8BC" w:rsidRDefault="00C258BC" w:rsidP="007B7295">
      <w:pPr>
        <w:tabs>
          <w:tab w:val="center" w:pos="4680"/>
          <w:tab w:val="left" w:pos="8418"/>
        </w:tabs>
        <w:spacing w:before="240"/>
        <w:jc w:val="center"/>
        <w:rPr>
          <w:rFonts w:ascii="Calibri" w:hAnsi="Calibri"/>
          <w:b/>
          <w:sz w:val="40"/>
          <w:szCs w:val="40"/>
        </w:rPr>
      </w:pPr>
      <w:bookmarkStart w:id="0" w:name="_GoBack"/>
      <w:bookmarkEnd w:id="0"/>
    </w:p>
    <w:p w:rsidR="00C258BC" w:rsidRDefault="00C258BC" w:rsidP="007B7295">
      <w:pPr>
        <w:tabs>
          <w:tab w:val="center" w:pos="4680"/>
          <w:tab w:val="left" w:pos="8418"/>
        </w:tabs>
        <w:spacing w:before="240"/>
        <w:jc w:val="center"/>
        <w:rPr>
          <w:rFonts w:ascii="Calibri" w:hAnsi="Calibri"/>
          <w:b/>
          <w:sz w:val="40"/>
          <w:szCs w:val="40"/>
        </w:rPr>
      </w:pPr>
    </w:p>
    <w:p w:rsidR="00C258BC" w:rsidRDefault="00C258BC" w:rsidP="007B7295">
      <w:pPr>
        <w:tabs>
          <w:tab w:val="center" w:pos="4680"/>
          <w:tab w:val="left" w:pos="8418"/>
        </w:tabs>
        <w:spacing w:before="240"/>
        <w:jc w:val="center"/>
      </w:pPr>
      <w:r w:rsidRPr="00D6544E">
        <w:rPr>
          <w:rFonts w:ascii="Calibri" w:hAnsi="Calibri"/>
          <w:b/>
          <w:sz w:val="40"/>
          <w:szCs w:val="40"/>
        </w:rPr>
        <w:t>OMB Clearance Package</w:t>
      </w:r>
      <w:r w:rsidRPr="00025245">
        <w:t xml:space="preserve"> </w:t>
      </w:r>
    </w:p>
    <w:p w:rsidR="00C258BC" w:rsidRPr="00D6544E" w:rsidRDefault="00C258BC" w:rsidP="007B7295">
      <w:pPr>
        <w:tabs>
          <w:tab w:val="center" w:pos="4680"/>
          <w:tab w:val="left" w:pos="8418"/>
        </w:tabs>
        <w:spacing w:before="240"/>
        <w:jc w:val="center"/>
        <w:rPr>
          <w:rFonts w:ascii="Calibri" w:hAnsi="Calibri"/>
          <w:b/>
          <w:sz w:val="40"/>
          <w:szCs w:val="40"/>
        </w:rPr>
      </w:pPr>
      <w:r>
        <w:rPr>
          <w:rFonts w:ascii="Calibri" w:hAnsi="Calibri"/>
          <w:b/>
          <w:sz w:val="40"/>
          <w:szCs w:val="40"/>
        </w:rPr>
        <w:t>Supporting Statement Part B</w:t>
      </w:r>
    </w:p>
    <w:p w:rsidR="00C258BC" w:rsidRDefault="00C258BC" w:rsidP="007B7295">
      <w:pPr>
        <w:jc w:val="center"/>
        <w:rPr>
          <w:rFonts w:ascii="Calibri" w:hAnsi="Calibri"/>
          <w:b/>
          <w:sz w:val="28"/>
          <w:szCs w:val="28"/>
        </w:rPr>
      </w:pPr>
    </w:p>
    <w:p w:rsidR="00C258BC" w:rsidRPr="00D6544E" w:rsidRDefault="00C258BC" w:rsidP="007B7295">
      <w:pPr>
        <w:jc w:val="center"/>
        <w:rPr>
          <w:rFonts w:ascii="Calibri" w:hAnsi="Calibri" w:cstheme="minorHAnsi"/>
          <w:b/>
          <w:sz w:val="28"/>
          <w:szCs w:val="28"/>
        </w:rPr>
      </w:pPr>
      <w:r w:rsidRPr="00D6544E" w:rsidDel="000F6CFF">
        <w:rPr>
          <w:rFonts w:ascii="Calibri" w:hAnsi="Calibri"/>
          <w:b/>
          <w:sz w:val="28"/>
          <w:szCs w:val="28"/>
        </w:rPr>
        <w:t xml:space="preserve"> </w:t>
      </w:r>
      <w:r w:rsidRPr="00D6544E">
        <w:rPr>
          <w:rFonts w:ascii="Calibri" w:hAnsi="Calibri"/>
          <w:b/>
          <w:sz w:val="28"/>
          <w:szCs w:val="28"/>
        </w:rPr>
        <w:t xml:space="preserve">“TEACH Grant: Study of Institutional Practices and </w:t>
      </w:r>
      <w:r w:rsidRPr="00D6544E">
        <w:rPr>
          <w:rFonts w:ascii="Calibri" w:hAnsi="Calibri"/>
          <w:b/>
          <w:sz w:val="28"/>
          <w:szCs w:val="28"/>
        </w:rPr>
        <w:br/>
        <w:t xml:space="preserve">Grant Recipient Outcomes and Experiences.”  </w:t>
      </w:r>
    </w:p>
    <w:p w:rsidR="00C258BC" w:rsidRPr="00D6544E" w:rsidRDefault="00C258BC" w:rsidP="007B7295">
      <w:pPr>
        <w:rPr>
          <w:rFonts w:ascii="Calibri" w:hAnsi="Calibri" w:cstheme="minorHAnsi"/>
          <w:highlight w:val="yellow"/>
        </w:rPr>
      </w:pPr>
    </w:p>
    <w:p w:rsidR="00C258BC" w:rsidRPr="00914855" w:rsidRDefault="00C258BC" w:rsidP="007B7295">
      <w:pPr>
        <w:jc w:val="center"/>
        <w:rPr>
          <w:rFonts w:ascii="Calibri" w:hAnsi="Calibri" w:cstheme="minorHAnsi"/>
        </w:rPr>
      </w:pPr>
    </w:p>
    <w:p w:rsidR="00C258BC" w:rsidRPr="00914855" w:rsidRDefault="00C258BC" w:rsidP="007B7295">
      <w:pPr>
        <w:tabs>
          <w:tab w:val="left" w:pos="360"/>
        </w:tabs>
        <w:rPr>
          <w:rFonts w:ascii="Calibri" w:hAnsi="Calibri" w:cstheme="minorHAnsi"/>
          <w:sz w:val="22"/>
          <w:highlight w:val="yellow"/>
        </w:rPr>
      </w:pPr>
    </w:p>
    <w:p w:rsidR="00C258BC" w:rsidRDefault="00C258BC" w:rsidP="007B7295">
      <w:pPr>
        <w:pBdr>
          <w:bottom w:val="single" w:sz="4" w:space="1" w:color="auto"/>
        </w:pBdr>
        <w:jc w:val="center"/>
        <w:rPr>
          <w:rFonts w:ascii="Calibri" w:hAnsi="Calibri" w:cstheme="minorHAnsi"/>
          <w:b/>
          <w:sz w:val="28"/>
          <w:szCs w:val="28"/>
        </w:rPr>
      </w:pPr>
      <w:r>
        <w:rPr>
          <w:rFonts w:ascii="Calibri" w:hAnsi="Calibri" w:cstheme="minorHAnsi"/>
          <w:b/>
          <w:sz w:val="28"/>
          <w:szCs w:val="28"/>
        </w:rPr>
        <w:t>Information Collection</w:t>
      </w:r>
    </w:p>
    <w:p w:rsidR="00C258BC" w:rsidRDefault="00C258BC" w:rsidP="007B7295">
      <w:pPr>
        <w:pBdr>
          <w:bottom w:val="single" w:sz="4" w:space="1" w:color="auto"/>
        </w:pBdr>
        <w:jc w:val="center"/>
        <w:rPr>
          <w:rFonts w:ascii="Calibri" w:hAnsi="Calibri" w:cstheme="minorHAnsi"/>
          <w:b/>
          <w:sz w:val="28"/>
          <w:szCs w:val="28"/>
        </w:rPr>
      </w:pPr>
    </w:p>
    <w:p w:rsidR="00C258BC" w:rsidRDefault="00C258BC" w:rsidP="007B7295">
      <w:pPr>
        <w:pBdr>
          <w:bottom w:val="single" w:sz="4" w:space="1" w:color="auto"/>
        </w:pBdr>
        <w:jc w:val="center"/>
        <w:rPr>
          <w:rFonts w:ascii="Calibri" w:hAnsi="Calibri" w:cstheme="minorHAnsi"/>
          <w:b/>
          <w:sz w:val="28"/>
          <w:szCs w:val="28"/>
        </w:rPr>
      </w:pPr>
      <w:r>
        <w:rPr>
          <w:rFonts w:ascii="Calibri" w:hAnsi="Calibri" w:cstheme="minorHAnsi"/>
          <w:b/>
          <w:sz w:val="28"/>
          <w:szCs w:val="28"/>
        </w:rPr>
        <w:t xml:space="preserve">Revised </w:t>
      </w:r>
      <w:r w:rsidR="000431DC">
        <w:rPr>
          <w:rFonts w:ascii="Calibri" w:hAnsi="Calibri" w:cstheme="minorHAnsi"/>
          <w:b/>
          <w:sz w:val="28"/>
          <w:szCs w:val="28"/>
        </w:rPr>
        <w:t xml:space="preserve">December 8 </w:t>
      </w:r>
      <w:r>
        <w:rPr>
          <w:rFonts w:ascii="Calibri" w:hAnsi="Calibri" w:cstheme="minorHAnsi"/>
          <w:b/>
          <w:sz w:val="28"/>
          <w:szCs w:val="28"/>
        </w:rPr>
        <w:t>2015</w:t>
      </w:r>
    </w:p>
    <w:p w:rsidR="00C258BC" w:rsidRDefault="00C258BC" w:rsidP="007B7295">
      <w:pPr>
        <w:pBdr>
          <w:bottom w:val="single" w:sz="4" w:space="1" w:color="auto"/>
        </w:pBdr>
        <w:jc w:val="center"/>
        <w:rPr>
          <w:rFonts w:ascii="Calibri" w:hAnsi="Calibri" w:cstheme="minorHAnsi"/>
          <w:b/>
          <w:sz w:val="28"/>
          <w:szCs w:val="28"/>
        </w:rPr>
      </w:pPr>
    </w:p>
    <w:p w:rsidR="00C258BC" w:rsidRDefault="00C258BC" w:rsidP="007B7295">
      <w:pPr>
        <w:rPr>
          <w:rFonts w:ascii="Calibri" w:hAnsi="Calibri"/>
          <w:b/>
          <w:sz w:val="22"/>
        </w:rPr>
      </w:pPr>
    </w:p>
    <w:p w:rsidR="00C258BC" w:rsidRDefault="00C258BC" w:rsidP="007B7295">
      <w:pPr>
        <w:rPr>
          <w:rFonts w:ascii="Calibri" w:hAnsi="Calibri"/>
          <w:b/>
          <w:sz w:val="22"/>
        </w:rPr>
      </w:pPr>
    </w:p>
    <w:p w:rsidR="00C258BC" w:rsidRDefault="00C258BC" w:rsidP="007B7295">
      <w:pPr>
        <w:spacing w:before="1080"/>
        <w:jc w:val="center"/>
        <w:rPr>
          <w:rFonts w:asciiTheme="minorHAnsi" w:hAnsiTheme="minorHAnsi" w:cstheme="minorHAnsi"/>
          <w:b/>
          <w:color w:val="1F497D" w:themeColor="text2"/>
          <w:sz w:val="72"/>
          <w:szCs w:val="72"/>
        </w:rPr>
      </w:pPr>
    </w:p>
    <w:p w:rsidR="00035593" w:rsidRPr="00CA1046" w:rsidRDefault="00035593" w:rsidP="007B7295">
      <w:pPr>
        <w:spacing w:before="240"/>
        <w:jc w:val="center"/>
        <w:rPr>
          <w:rFonts w:ascii="Calibri" w:hAnsi="Calibri"/>
          <w:b/>
          <w:sz w:val="28"/>
          <w:szCs w:val="28"/>
        </w:rPr>
      </w:pPr>
    </w:p>
    <w:p w:rsidR="00013B35" w:rsidRPr="00CA1046" w:rsidRDefault="00013B35" w:rsidP="007B7295">
      <w:pPr>
        <w:rPr>
          <w:rFonts w:ascii="Calibri" w:hAnsi="Calibri" w:cstheme="minorHAnsi"/>
          <w:highlight w:val="yellow"/>
        </w:rPr>
      </w:pPr>
    </w:p>
    <w:p w:rsidR="00013B35" w:rsidRPr="00332D36" w:rsidRDefault="00FE1683" w:rsidP="007B7295">
      <w:pPr>
        <w:rPr>
          <w:rFonts w:ascii="Calibri" w:hAnsi="Calibri"/>
          <w:b/>
          <w:sz w:val="22"/>
        </w:rPr>
      </w:pPr>
      <w:r>
        <w:rPr>
          <w:rFonts w:ascii="Calibri" w:hAnsi="Calibri"/>
          <w:b/>
          <w:sz w:val="22"/>
        </w:rPr>
        <w:t>Pr</w:t>
      </w:r>
      <w:r w:rsidR="00013B35" w:rsidRPr="00332D36">
        <w:rPr>
          <w:rFonts w:ascii="Calibri" w:hAnsi="Calibri"/>
          <w:b/>
          <w:sz w:val="22"/>
        </w:rPr>
        <w:t>epared by:</w:t>
      </w:r>
    </w:p>
    <w:p w:rsidR="00013B35" w:rsidRPr="00332D36" w:rsidRDefault="00013B35" w:rsidP="007B7295">
      <w:pPr>
        <w:tabs>
          <w:tab w:val="left" w:pos="360"/>
        </w:tabs>
        <w:rPr>
          <w:rFonts w:ascii="Calibri" w:hAnsi="Calibri"/>
          <w:sz w:val="22"/>
        </w:rPr>
      </w:pPr>
      <w:r w:rsidRPr="00332D36">
        <w:rPr>
          <w:rFonts w:ascii="Calibri" w:hAnsi="Calibri"/>
          <w:sz w:val="22"/>
        </w:rPr>
        <w:t>Policy and Program Studies Service</w:t>
      </w:r>
    </w:p>
    <w:p w:rsidR="00013B35" w:rsidRPr="00332D36" w:rsidRDefault="00013B35" w:rsidP="007B7295">
      <w:pPr>
        <w:tabs>
          <w:tab w:val="left" w:pos="360"/>
        </w:tabs>
        <w:rPr>
          <w:rFonts w:ascii="Calibri" w:hAnsi="Calibri"/>
          <w:sz w:val="22"/>
        </w:rPr>
      </w:pPr>
      <w:r w:rsidRPr="00332D36">
        <w:rPr>
          <w:rFonts w:ascii="Calibri" w:hAnsi="Calibri"/>
          <w:sz w:val="22"/>
        </w:rPr>
        <w:t>U.S. Department of Education</w:t>
      </w:r>
    </w:p>
    <w:p w:rsidR="00013B35" w:rsidRPr="00332D36" w:rsidRDefault="00013B35" w:rsidP="007B7295">
      <w:pPr>
        <w:tabs>
          <w:tab w:val="left" w:pos="360"/>
        </w:tabs>
        <w:rPr>
          <w:rFonts w:ascii="Calibri" w:hAnsi="Calibri"/>
          <w:sz w:val="22"/>
        </w:rPr>
      </w:pPr>
      <w:r w:rsidRPr="00332D36">
        <w:rPr>
          <w:rFonts w:ascii="Calibri" w:hAnsi="Calibri"/>
          <w:sz w:val="22"/>
        </w:rPr>
        <w:t>400 Maryland Avenue, SW</w:t>
      </w:r>
    </w:p>
    <w:p w:rsidR="00013B35" w:rsidRPr="00332D36" w:rsidRDefault="00013B35" w:rsidP="007B7295">
      <w:pPr>
        <w:tabs>
          <w:tab w:val="left" w:pos="360"/>
        </w:tabs>
        <w:rPr>
          <w:rFonts w:ascii="Calibri" w:hAnsi="Calibri"/>
          <w:sz w:val="22"/>
        </w:rPr>
      </w:pPr>
      <w:r w:rsidRPr="00332D36">
        <w:rPr>
          <w:rFonts w:ascii="Calibri" w:hAnsi="Calibri"/>
          <w:sz w:val="22"/>
        </w:rPr>
        <w:t>Washington, DC</w:t>
      </w:r>
      <w:r>
        <w:rPr>
          <w:rFonts w:ascii="Calibri" w:hAnsi="Calibri"/>
          <w:sz w:val="22"/>
        </w:rPr>
        <w:t xml:space="preserve"> </w:t>
      </w:r>
      <w:r w:rsidRPr="00332D36">
        <w:rPr>
          <w:rFonts w:ascii="Calibri" w:hAnsi="Calibri"/>
          <w:sz w:val="22"/>
        </w:rPr>
        <w:t>20202</w:t>
      </w:r>
    </w:p>
    <w:p w:rsidR="00013B35" w:rsidRDefault="00013B35" w:rsidP="007B7295">
      <w:pPr>
        <w:rPr>
          <w:rFonts w:ascii="Arial" w:hAnsi="Arial" w:cs="Arial"/>
          <w:b/>
        </w:rPr>
        <w:sectPr w:rsidR="00013B35">
          <w:headerReference w:type="default" r:id="rId9"/>
          <w:footerReference w:type="default" r:id="rId10"/>
          <w:pgSz w:w="12240" w:h="15840"/>
          <w:pgMar w:top="1440" w:right="1440" w:bottom="1440" w:left="1440" w:header="720" w:footer="720" w:gutter="0"/>
          <w:cols w:space="720"/>
          <w:docGrid w:linePitch="360"/>
        </w:sectPr>
      </w:pPr>
    </w:p>
    <w:p w:rsidR="00013B35" w:rsidRPr="00DD057B" w:rsidRDefault="00013B35" w:rsidP="007B7295">
      <w:pPr>
        <w:rPr>
          <w:rFonts w:ascii="Calibri" w:hAnsi="Calibri"/>
          <w:b/>
          <w:sz w:val="22"/>
        </w:rPr>
      </w:pPr>
    </w:p>
    <w:p w:rsidR="00013B35" w:rsidRPr="00C91BC5" w:rsidRDefault="00013B35" w:rsidP="007B7295">
      <w:pPr>
        <w:pStyle w:val="PPSSTOTitle"/>
        <w:spacing w:after="0"/>
        <w:rPr>
          <w:color w:val="auto"/>
        </w:rPr>
      </w:pPr>
      <w:bookmarkStart w:id="1" w:name="_Toc392765500"/>
      <w:r w:rsidRPr="00C91BC5">
        <w:rPr>
          <w:color w:val="auto"/>
        </w:rPr>
        <w:t>Revised Supporting Statement, Part B</w:t>
      </w:r>
      <w:r w:rsidRPr="00C91BC5">
        <w:rPr>
          <w:color w:val="auto"/>
        </w:rPr>
        <w:br/>
        <w:t>Paperwork Reduction Act Submission</w:t>
      </w:r>
      <w:bookmarkEnd w:id="1"/>
    </w:p>
    <w:p w:rsidR="00013B35" w:rsidRPr="00D164E3" w:rsidRDefault="00013B35" w:rsidP="007B7295">
      <w:pPr>
        <w:pStyle w:val="PPSSTOHeading1"/>
        <w:spacing w:after="0"/>
      </w:pPr>
      <w:bookmarkStart w:id="2" w:name="_Toc314224409"/>
      <w:bookmarkStart w:id="3" w:name="_Toc392765501"/>
      <w:r w:rsidRPr="00D164E3">
        <w:t>B. Collection of Information Employing Statistical Methods</w:t>
      </w:r>
      <w:bookmarkEnd w:id="2"/>
      <w:bookmarkEnd w:id="3"/>
    </w:p>
    <w:p w:rsidR="00013B35" w:rsidRPr="00D164E3" w:rsidRDefault="00013B35" w:rsidP="007B7295">
      <w:pPr>
        <w:pStyle w:val="PPSSTOHeading2"/>
        <w:spacing w:before="0" w:after="0"/>
        <w:rPr>
          <w:rFonts w:cs="Arial"/>
        </w:rPr>
      </w:pPr>
      <w:bookmarkStart w:id="4" w:name="_Toc314224410"/>
      <w:bookmarkStart w:id="5" w:name="_Toc392765502"/>
      <w:r w:rsidRPr="00D164E3">
        <w:t>B.1. Sampling Design</w:t>
      </w:r>
      <w:bookmarkStart w:id="6" w:name="_Toc314224413"/>
      <w:bookmarkEnd w:id="4"/>
      <w:bookmarkEnd w:id="5"/>
    </w:p>
    <w:p w:rsidR="00013B35" w:rsidRPr="00745714" w:rsidRDefault="00013B35" w:rsidP="007B7295">
      <w:pPr>
        <w:pStyle w:val="PPSSTOHeading3"/>
        <w:spacing w:after="0"/>
      </w:pPr>
      <w:r w:rsidRPr="00745714">
        <w:t>Potential Respondent Universe</w:t>
      </w:r>
    </w:p>
    <w:p w:rsidR="007B7295" w:rsidRDefault="007B7295" w:rsidP="007B7295">
      <w:pPr>
        <w:pStyle w:val="PPSSTOText"/>
        <w:spacing w:after="0"/>
      </w:pPr>
      <w:r>
        <w:t>In the 2014-2015 award year, 788 institutions of higher education (IHE) awarded a TEACH Grant to at least one student</w:t>
      </w:r>
      <w:r w:rsidR="00B30932">
        <w:rPr>
          <w:rStyle w:val="FootnoteReference"/>
        </w:rPr>
        <w:footnoteReference w:id="1"/>
      </w:r>
      <w:r>
        <w:t xml:space="preserve">. </w:t>
      </w:r>
      <w:r w:rsidR="002B3D61">
        <w:t>This</w:t>
      </w:r>
      <w:r w:rsidR="00013B35">
        <w:t xml:space="preserve"> study will include a survey of</w:t>
      </w:r>
      <w:r w:rsidR="0025724C">
        <w:t xml:space="preserve"> </w:t>
      </w:r>
      <w:r>
        <w:t xml:space="preserve">the </w:t>
      </w:r>
      <w:r w:rsidR="0036643B">
        <w:t>47</w:t>
      </w:r>
      <w:r w:rsidR="00A5063C">
        <w:t>3</w:t>
      </w:r>
      <w:r>
        <w:t xml:space="preserve"> </w:t>
      </w:r>
      <w:r w:rsidR="0025724C">
        <w:t xml:space="preserve">IHEs </w:t>
      </w:r>
      <w:r>
        <w:t xml:space="preserve">that awarded a </w:t>
      </w:r>
      <w:r w:rsidR="00013B35">
        <w:t xml:space="preserve">TEACH Grant </w:t>
      </w:r>
      <w:r>
        <w:t xml:space="preserve">to at least </w:t>
      </w:r>
      <w:r w:rsidR="008F673C">
        <w:t>ten</w:t>
      </w:r>
      <w:r>
        <w:t xml:space="preserve"> students in the 2014-2015 award year. </w:t>
      </w:r>
      <w:r w:rsidR="0025724C">
        <w:t xml:space="preserve"> </w:t>
      </w:r>
      <w:r w:rsidR="00707629">
        <w:t>The sampling frame for the survey is based on data from the Federal Student Aid (FSA) National Student Loan Data System (</w:t>
      </w:r>
      <w:r w:rsidR="00707629" w:rsidRPr="00707629">
        <w:t>NSLDS</w:t>
      </w:r>
      <w:r w:rsidR="00707629">
        <w:t>)</w:t>
      </w:r>
      <w:r>
        <w:t xml:space="preserve">. </w:t>
      </w:r>
    </w:p>
    <w:p w:rsidR="007B7295" w:rsidRDefault="00707629" w:rsidP="00B30932">
      <w:pPr>
        <w:pStyle w:val="PPSSTOText"/>
        <w:spacing w:after="0"/>
      </w:pPr>
      <w:r>
        <w:t xml:space="preserve">This study will also include a survey of </w:t>
      </w:r>
      <w:r w:rsidR="007B7295">
        <w:t xml:space="preserve">recipients who separated from </w:t>
      </w:r>
      <w:r w:rsidR="008F673C">
        <w:t>an</w:t>
      </w:r>
      <w:r w:rsidR="007B7295">
        <w:t xml:space="preserve"> institution and entered into the </w:t>
      </w:r>
      <w:r w:rsidR="008F673C">
        <w:t>eight</w:t>
      </w:r>
      <w:r w:rsidR="007B7295">
        <w:t xml:space="preserve">-year period in which four years of </w:t>
      </w:r>
      <w:r w:rsidR="008F673C">
        <w:t xml:space="preserve">teaching </w:t>
      </w:r>
      <w:r w:rsidR="007B7295">
        <w:t xml:space="preserve">service are required. For purposes of this study, we refer to these recipients as </w:t>
      </w:r>
      <w:r w:rsidRPr="007B7295">
        <w:rPr>
          <w:i/>
        </w:rPr>
        <w:t>separated recipients</w:t>
      </w:r>
      <w:r w:rsidR="007B7295">
        <w:rPr>
          <w:i/>
        </w:rPr>
        <w:t>.</w:t>
      </w:r>
      <w:r>
        <w:t xml:space="preserve"> </w:t>
      </w:r>
      <w:r w:rsidR="00C3629A">
        <w:t xml:space="preserve">Similar to the institution survey, the sampling frame for the </w:t>
      </w:r>
      <w:r w:rsidR="00B47039">
        <w:t xml:space="preserve">recipient-level </w:t>
      </w:r>
      <w:r w:rsidR="00C3629A">
        <w:t>survey is based on</w:t>
      </w:r>
      <w:r w:rsidR="006C1EFB">
        <w:t xml:space="preserve"> data from</w:t>
      </w:r>
      <w:r w:rsidR="00C3629A" w:rsidRPr="00C3629A">
        <w:t xml:space="preserve"> NSLDS</w:t>
      </w:r>
      <w:r w:rsidR="00C3629A">
        <w:t>.</w:t>
      </w:r>
      <w:r w:rsidR="005769E7">
        <w:t xml:space="preserve"> </w:t>
      </w:r>
      <w:r w:rsidR="00B230DA">
        <w:t xml:space="preserve">The universe of recipients considered for this survey includes recipients who separated in the 2013-14 award year or prior. </w:t>
      </w:r>
      <w:r w:rsidR="007B7295">
        <w:t xml:space="preserve">In addition to the </w:t>
      </w:r>
      <w:r w:rsidR="00B30932">
        <w:t xml:space="preserve">four-year teaching </w:t>
      </w:r>
      <w:r w:rsidR="007B7295">
        <w:t xml:space="preserve">requirement, </w:t>
      </w:r>
      <w:r w:rsidR="00B30932">
        <w:t xml:space="preserve">the </w:t>
      </w:r>
      <w:r w:rsidR="00B230DA">
        <w:t xml:space="preserve">TEACH Grant program </w:t>
      </w:r>
      <w:r w:rsidR="007B7295">
        <w:t xml:space="preserve">also </w:t>
      </w:r>
      <w:r w:rsidR="00B230DA">
        <w:t xml:space="preserve">requires an annual certification.  Recipients who </w:t>
      </w:r>
      <w:r w:rsidR="00B30932">
        <w:t>fail to</w:t>
      </w:r>
      <w:r w:rsidR="00B230DA">
        <w:t xml:space="preserve"> annually certify their intent to teach in a high-need field at a low-income school</w:t>
      </w:r>
      <w:r w:rsidR="00B30932">
        <w:t xml:space="preserve"> automatically</w:t>
      </w:r>
      <w:r w:rsidR="00B230DA">
        <w:t xml:space="preserve"> have their TEACH Grants converted to loans. As such, the universe of recipients provides the subset of recipients who have had at least one annual certification </w:t>
      </w:r>
      <w:r w:rsidR="007B7295">
        <w:t xml:space="preserve">since separating from the institution. </w:t>
      </w:r>
      <w:r w:rsidR="008F673C">
        <w:t>Preliminary analysis of</w:t>
      </w:r>
      <w:r w:rsidR="008F673C" w:rsidRPr="008F673C">
        <w:t xml:space="preserve"> NSLDS</w:t>
      </w:r>
      <w:r w:rsidR="008F673C">
        <w:t xml:space="preserve"> data indicate that approximately 74,000 recipients separated in the 2013-14 award year or prior.</w:t>
      </w:r>
    </w:p>
    <w:p w:rsidR="007B7295" w:rsidRDefault="007B7295" w:rsidP="007B7295">
      <w:pPr>
        <w:pStyle w:val="PPSSTOText"/>
        <w:spacing w:after="0"/>
      </w:pPr>
      <w:r>
        <w:t>The proposed survey collection will be carried out by a contractor.</w:t>
      </w:r>
      <w:r w:rsidRPr="007B7295">
        <w:t xml:space="preserve"> </w:t>
      </w:r>
      <w:r w:rsidRPr="00216DA5">
        <w:t>The Department is currently in the process of awarding a contract for this study</w:t>
      </w:r>
      <w:r>
        <w:t xml:space="preserve"> and expects</w:t>
      </w:r>
      <w:r w:rsidR="008F673C">
        <w:t xml:space="preserve"> the contract award by early 2016.</w:t>
      </w:r>
    </w:p>
    <w:p w:rsidR="00013B35" w:rsidRDefault="00013B35" w:rsidP="007B7295">
      <w:pPr>
        <w:pStyle w:val="PPSSTOHeading3"/>
        <w:spacing w:after="0"/>
      </w:pPr>
      <w:r>
        <w:t>Sample Selection Process</w:t>
      </w:r>
    </w:p>
    <w:p w:rsidR="007B7295" w:rsidRDefault="007B7295" w:rsidP="007B7295">
      <w:pPr>
        <w:pStyle w:val="PPSSTOText"/>
        <w:spacing w:after="0"/>
      </w:pPr>
      <w:r>
        <w:t xml:space="preserve">For the </w:t>
      </w:r>
      <w:r w:rsidR="00B30932">
        <w:t>IHE</w:t>
      </w:r>
      <w:r>
        <w:t xml:space="preserve"> survey, the proposed sample size represents all of the IHEs that awarded TEACH Grants to at least 10 students in the 2014-2015 award </w:t>
      </w:r>
      <w:proofErr w:type="gramStart"/>
      <w:r>
        <w:t>year</w:t>
      </w:r>
      <w:proofErr w:type="gramEnd"/>
      <w:r>
        <w:t xml:space="preserve">.  </w:t>
      </w:r>
      <w:r w:rsidR="008F673C">
        <w:t xml:space="preserve">These </w:t>
      </w:r>
      <w:r>
        <w:t>473 institutions awarded TEACH Grants to 95 percent of the students who received TEACH Grants in that award year.</w:t>
      </w:r>
    </w:p>
    <w:p w:rsidR="00013B35" w:rsidRDefault="00C34E8B" w:rsidP="008F673C">
      <w:pPr>
        <w:pStyle w:val="PPSSTOText"/>
        <w:spacing w:after="0"/>
      </w:pPr>
      <w:r>
        <w:t xml:space="preserve">The sample of </w:t>
      </w:r>
      <w:r w:rsidR="00FA6ED2">
        <w:t>500</w:t>
      </w:r>
      <w:r w:rsidR="001548F3">
        <w:t xml:space="preserve"> </w:t>
      </w:r>
      <w:r w:rsidR="00C478FE">
        <w:t xml:space="preserve">separated </w:t>
      </w:r>
      <w:r w:rsidR="001548F3">
        <w:t>recipients</w:t>
      </w:r>
      <w:r w:rsidR="008F673C">
        <w:t xml:space="preserve"> will be selected through a stratified sample</w:t>
      </w:r>
      <w:r w:rsidR="006C1EFB">
        <w:t xml:space="preserve">. </w:t>
      </w:r>
      <w:bookmarkStart w:id="7" w:name="_Ref384298466"/>
      <w:r w:rsidR="008F673C">
        <w:t>Preliminary analysis of</w:t>
      </w:r>
      <w:r w:rsidR="008F673C" w:rsidRPr="008F673C">
        <w:t xml:space="preserve"> NSLDS</w:t>
      </w:r>
      <w:r w:rsidR="008F673C">
        <w:t xml:space="preserve"> data indicate that of the approximately 74,000 recipients that separated in 2013-14 or prior, 33,000 have had grants converted to loans and 41,000 did not have grants converted to loans.</w:t>
      </w:r>
      <w:r w:rsidR="00FC41BE">
        <w:t xml:space="preserve"> Sample strata will be based on these two categories. The study team will randomly sample 250</w:t>
      </w:r>
      <w:r w:rsidR="008F673C">
        <w:t xml:space="preserve"> </w:t>
      </w:r>
      <w:r w:rsidR="00FC41BE">
        <w:t>recipients</w:t>
      </w:r>
      <w:r w:rsidR="002629B1">
        <w:t xml:space="preserve"> in this universe who have had grants converted to loans. Similarly, the study team will randomly sample 250 recipients who have not had grants converted </w:t>
      </w:r>
      <w:r w:rsidR="00977091">
        <w:t>to loans</w:t>
      </w:r>
      <w:r w:rsidR="002629B1">
        <w:t>.</w:t>
      </w:r>
    </w:p>
    <w:p w:rsidR="008E0593" w:rsidRDefault="008E0593" w:rsidP="008F673C">
      <w:pPr>
        <w:pStyle w:val="PPSSTOText"/>
        <w:spacing w:after="0"/>
      </w:pPr>
    </w:p>
    <w:p w:rsidR="00013B35" w:rsidRDefault="00013B35" w:rsidP="007B7295">
      <w:pPr>
        <w:pStyle w:val="PPSSTOHeading2"/>
        <w:spacing w:after="0"/>
      </w:pPr>
      <w:bookmarkStart w:id="8" w:name="_Toc392765503"/>
      <w:bookmarkEnd w:id="7"/>
      <w:r w:rsidRPr="00D75310">
        <w:t>B.2. Procedures for Collection of Information</w:t>
      </w:r>
      <w:bookmarkEnd w:id="6"/>
      <w:bookmarkEnd w:id="8"/>
      <w:r>
        <w:t xml:space="preserve"> </w:t>
      </w:r>
    </w:p>
    <w:p w:rsidR="00013B35" w:rsidRDefault="00013B35" w:rsidP="007B7295">
      <w:pPr>
        <w:pStyle w:val="PPSSTOHeading3"/>
        <w:tabs>
          <w:tab w:val="center" w:pos="4860"/>
        </w:tabs>
        <w:spacing w:after="0"/>
      </w:pPr>
      <w:bookmarkStart w:id="9" w:name="_Toc314224414"/>
      <w:r w:rsidRPr="00D164E3">
        <w:t xml:space="preserve">Initial </w:t>
      </w:r>
      <w:bookmarkEnd w:id="9"/>
      <w:r>
        <w:t>Contact and Follow up</w:t>
      </w:r>
      <w:r w:rsidR="003A063F">
        <w:tab/>
      </w:r>
    </w:p>
    <w:p w:rsidR="001548F3" w:rsidRDefault="002629B1" w:rsidP="00837FB9">
      <w:pPr>
        <w:pStyle w:val="PPSSTOText"/>
        <w:spacing w:after="0"/>
      </w:pPr>
      <w:r>
        <w:t xml:space="preserve">Survey sampling (for the separated recipient survey) and data collection will occur in early 2016 after the Department awards a contract for data collection and analysis. </w:t>
      </w:r>
      <w:r w:rsidR="0081136D">
        <w:t>Pending receipt of OMB approval</w:t>
      </w:r>
      <w:r>
        <w:t>,</w:t>
      </w:r>
      <w:r w:rsidR="001548F3" w:rsidRPr="00BF3E05">
        <w:t xml:space="preserve"> </w:t>
      </w:r>
      <w:r>
        <w:t>l</w:t>
      </w:r>
      <w:r w:rsidR="001548F3">
        <w:t xml:space="preserve">etters </w:t>
      </w:r>
      <w:r>
        <w:t xml:space="preserve">and/or emails </w:t>
      </w:r>
      <w:r w:rsidR="001548F3">
        <w:t xml:space="preserve">to the </w:t>
      </w:r>
      <w:r>
        <w:t>473 IHEs and 500 separated recipients will be sent out</w:t>
      </w:r>
      <w:r w:rsidR="0081136D">
        <w:t xml:space="preserve"> based on contact </w:t>
      </w:r>
      <w:r w:rsidR="0081136D">
        <w:lastRenderedPageBreak/>
        <w:t>information</w:t>
      </w:r>
      <w:r w:rsidR="000F3CE2">
        <w:t xml:space="preserve"> stored in </w:t>
      </w:r>
      <w:r w:rsidR="0081136D">
        <w:t>Federal Student Aid (FSA)</w:t>
      </w:r>
      <w:r w:rsidR="000F3CE2">
        <w:t xml:space="preserve"> data systems</w:t>
      </w:r>
      <w:r w:rsidR="0081136D">
        <w:t xml:space="preserve">, including </w:t>
      </w:r>
      <w:r w:rsidR="008E0593">
        <w:t>physical addresses, email addresses, and phone numbers</w:t>
      </w:r>
      <w:r w:rsidR="0081136D">
        <w:t xml:space="preserve"> for IHE financial aid administrators </w:t>
      </w:r>
      <w:r w:rsidR="008E0593">
        <w:t>and</w:t>
      </w:r>
      <w:r w:rsidR="0081136D">
        <w:t xml:space="preserve"> selected </w:t>
      </w:r>
      <w:r w:rsidR="008E0593">
        <w:t xml:space="preserve">separated </w:t>
      </w:r>
      <w:r w:rsidR="0081136D">
        <w:t>recipients</w:t>
      </w:r>
      <w:r w:rsidR="001548F3">
        <w:t xml:space="preserve">. </w:t>
      </w:r>
      <w:r w:rsidR="001D5EAE">
        <w:t xml:space="preserve">Data collection will begin </w:t>
      </w:r>
      <w:r>
        <w:t xml:space="preserve">immediately </w:t>
      </w:r>
      <w:r w:rsidR="001D5EAE">
        <w:t xml:space="preserve">after </w:t>
      </w:r>
      <w:r w:rsidR="00254177">
        <w:t xml:space="preserve">initial notifications via </w:t>
      </w:r>
      <w:r w:rsidR="001D5EAE">
        <w:t>letters</w:t>
      </w:r>
      <w:r w:rsidR="00A371F7">
        <w:t xml:space="preserve"> and/or emails</w:t>
      </w:r>
      <w:r w:rsidR="001D5EAE">
        <w:t xml:space="preserve"> are sent. </w:t>
      </w:r>
      <w:r>
        <w:t>Follow-up letters and/or emails will be sent to non-respondents</w:t>
      </w:r>
      <w:r w:rsidR="0081136D">
        <w:t>.  In addition, p</w:t>
      </w:r>
      <w:r w:rsidR="001D5EAE">
        <w:t xml:space="preserve">rompting calls will begin </w:t>
      </w:r>
      <w:r w:rsidR="00EC62C4">
        <w:t>for</w:t>
      </w:r>
      <w:r w:rsidR="0081136D">
        <w:t xml:space="preserve"> </w:t>
      </w:r>
      <w:proofErr w:type="spellStart"/>
      <w:r w:rsidR="0081136D">
        <w:t>nonrespondents</w:t>
      </w:r>
      <w:proofErr w:type="spellEnd"/>
      <w:r w:rsidR="00837FB9">
        <w:t xml:space="preserve"> as a reminder to respond to the </w:t>
      </w:r>
      <w:r w:rsidR="002324B2">
        <w:t>survey,</w:t>
      </w:r>
      <w:r w:rsidR="002C67B1" w:rsidRPr="002C67B1">
        <w:t xml:space="preserve"> </w:t>
      </w:r>
      <w:r w:rsidR="00837FB9">
        <w:t xml:space="preserve">as an opportunity to </w:t>
      </w:r>
      <w:r w:rsidR="002C67B1">
        <w:t>answer any questions about the study,</w:t>
      </w:r>
      <w:r w:rsidR="002324B2">
        <w:t xml:space="preserve"> and </w:t>
      </w:r>
      <w:r>
        <w:t xml:space="preserve">potentially </w:t>
      </w:r>
      <w:r w:rsidR="00837FB9">
        <w:t xml:space="preserve">as an opportunity to provide </w:t>
      </w:r>
      <w:r w:rsidR="002324B2">
        <w:t xml:space="preserve">a phone interview </w:t>
      </w:r>
      <w:r w:rsidR="00837FB9">
        <w:t>and/</w:t>
      </w:r>
      <w:r w:rsidR="00B33D15">
        <w:t xml:space="preserve">or paper and pencil survey format </w:t>
      </w:r>
      <w:r w:rsidR="002324B2">
        <w:t xml:space="preserve">instead of </w:t>
      </w:r>
      <w:r w:rsidR="00B33D15">
        <w:t>the</w:t>
      </w:r>
      <w:r w:rsidR="002324B2">
        <w:t xml:space="preserve"> online</w:t>
      </w:r>
      <w:r w:rsidR="00B33D15">
        <w:t xml:space="preserve"> version</w:t>
      </w:r>
      <w:r w:rsidR="00A371F7">
        <w:rPr>
          <w:rStyle w:val="FootnoteReference"/>
        </w:rPr>
        <w:footnoteReference w:id="2"/>
      </w:r>
      <w:r w:rsidR="002324B2">
        <w:t>.</w:t>
      </w:r>
    </w:p>
    <w:p w:rsidR="00013B35" w:rsidRDefault="00013B35" w:rsidP="007B7295">
      <w:pPr>
        <w:pStyle w:val="PPSSTOHeading3"/>
        <w:spacing w:after="0"/>
      </w:pPr>
      <w:bookmarkStart w:id="10" w:name="_Toc314224418"/>
      <w:r>
        <w:t>Statistical Methodology and Estimation Procedures</w:t>
      </w:r>
    </w:p>
    <w:p w:rsidR="000A7B11" w:rsidRDefault="009A07DF" w:rsidP="006667FD">
      <w:pPr>
        <w:pStyle w:val="PPSSTOHeading3"/>
        <w:spacing w:after="0"/>
        <w:ind w:left="0"/>
        <w:rPr>
          <w:i w:val="0"/>
          <w:sz w:val="22"/>
        </w:rPr>
      </w:pPr>
      <w:r w:rsidRPr="003A063F">
        <w:rPr>
          <w:i w:val="0"/>
          <w:sz w:val="22"/>
        </w:rPr>
        <w:t xml:space="preserve">The study will examine descriptive statistics </w:t>
      </w:r>
      <w:r w:rsidR="005345CE">
        <w:rPr>
          <w:i w:val="0"/>
          <w:sz w:val="22"/>
        </w:rPr>
        <w:t xml:space="preserve">for </w:t>
      </w:r>
      <w:r w:rsidRPr="003A063F">
        <w:rPr>
          <w:i w:val="0"/>
          <w:sz w:val="22"/>
        </w:rPr>
        <w:t xml:space="preserve">each survey question. For example, the researchers will produce tables with the frequency and percentage of IHEs answering “yes” to a question about whether they </w:t>
      </w:r>
      <w:r w:rsidR="006667FD">
        <w:rPr>
          <w:i w:val="0"/>
          <w:sz w:val="22"/>
        </w:rPr>
        <w:t xml:space="preserve">use online counseling to </w:t>
      </w:r>
      <w:r w:rsidRPr="003A063F">
        <w:rPr>
          <w:i w:val="0"/>
          <w:sz w:val="22"/>
        </w:rPr>
        <w:t xml:space="preserve">inform </w:t>
      </w:r>
      <w:r w:rsidR="006667FD">
        <w:rPr>
          <w:i w:val="0"/>
          <w:sz w:val="22"/>
        </w:rPr>
        <w:t>TEACH Grant recipients about program requirements</w:t>
      </w:r>
      <w:r w:rsidRPr="003A063F">
        <w:rPr>
          <w:i w:val="0"/>
          <w:sz w:val="22"/>
        </w:rPr>
        <w:t xml:space="preserve">. These data will </w:t>
      </w:r>
      <w:r w:rsidR="00B47039">
        <w:rPr>
          <w:i w:val="0"/>
          <w:sz w:val="22"/>
        </w:rPr>
        <w:t>address</w:t>
      </w:r>
      <w:r w:rsidR="005345CE">
        <w:rPr>
          <w:i w:val="0"/>
          <w:sz w:val="22"/>
        </w:rPr>
        <w:t xml:space="preserve"> study </w:t>
      </w:r>
      <w:r w:rsidRPr="003A063F">
        <w:rPr>
          <w:i w:val="0"/>
          <w:sz w:val="22"/>
        </w:rPr>
        <w:t xml:space="preserve">questions </w:t>
      </w:r>
      <w:r w:rsidR="005345CE">
        <w:rPr>
          <w:i w:val="0"/>
          <w:sz w:val="22"/>
        </w:rPr>
        <w:t xml:space="preserve">regarding </w:t>
      </w:r>
      <w:r w:rsidR="003C4496" w:rsidRPr="003A063F">
        <w:rPr>
          <w:i w:val="0"/>
          <w:sz w:val="22"/>
        </w:rPr>
        <w:t>the frequency</w:t>
      </w:r>
      <w:r w:rsidRPr="003A063F">
        <w:rPr>
          <w:i w:val="0"/>
          <w:sz w:val="22"/>
        </w:rPr>
        <w:t xml:space="preserve"> of </w:t>
      </w:r>
      <w:r w:rsidR="003C4496" w:rsidRPr="003A063F">
        <w:rPr>
          <w:i w:val="0"/>
          <w:sz w:val="22"/>
        </w:rPr>
        <w:t xml:space="preserve">specific </w:t>
      </w:r>
      <w:r w:rsidRPr="003A063F">
        <w:rPr>
          <w:i w:val="0"/>
          <w:sz w:val="22"/>
        </w:rPr>
        <w:t>TEACH Grant activities and supports</w:t>
      </w:r>
      <w:r w:rsidR="003C4496" w:rsidRPr="003A063F">
        <w:rPr>
          <w:i w:val="0"/>
          <w:sz w:val="22"/>
        </w:rPr>
        <w:t xml:space="preserve"> that institutions </w:t>
      </w:r>
      <w:r w:rsidRPr="003A063F">
        <w:rPr>
          <w:i w:val="0"/>
          <w:sz w:val="22"/>
        </w:rPr>
        <w:t>provide students.</w:t>
      </w:r>
      <w:r w:rsidR="003471C3" w:rsidRPr="003A063F">
        <w:rPr>
          <w:i w:val="0"/>
          <w:sz w:val="22"/>
        </w:rPr>
        <w:t xml:space="preserve"> </w:t>
      </w:r>
      <w:r w:rsidR="006667FD">
        <w:rPr>
          <w:i w:val="0"/>
          <w:sz w:val="22"/>
        </w:rPr>
        <w:t>In addition, these data will be combined with administrative data so that the study team can examine how collected data are associated with other data elements. For example, by using administrative data to calculate each institution’s grant-to-loan conversion rate, the study team may be able to associate certain types of grant administration activities with relatively higher or lower grant-to-loan conversion rates.</w:t>
      </w:r>
    </w:p>
    <w:p w:rsidR="000A7B11" w:rsidRPr="000A7B11" w:rsidRDefault="000A7B11" w:rsidP="007B7295">
      <w:pPr>
        <w:pStyle w:val="PPSSTOHeading3"/>
        <w:spacing w:after="0"/>
        <w:ind w:left="0"/>
        <w:rPr>
          <w:i w:val="0"/>
          <w:sz w:val="22"/>
        </w:rPr>
      </w:pPr>
    </w:p>
    <w:p w:rsidR="00013B35" w:rsidRPr="00D164E3" w:rsidRDefault="00013B35" w:rsidP="007B7295">
      <w:pPr>
        <w:pStyle w:val="PPSSTOHeading3"/>
        <w:spacing w:before="0" w:after="0"/>
      </w:pPr>
      <w:r w:rsidRPr="00D164E3">
        <w:t>Degree of Accuracy Needed</w:t>
      </w:r>
      <w:bookmarkEnd w:id="10"/>
    </w:p>
    <w:p w:rsidR="00C543B4" w:rsidRPr="003471C3" w:rsidRDefault="00084493" w:rsidP="00A42AD7">
      <w:pPr>
        <w:pStyle w:val="PPSSTOHeading3"/>
        <w:spacing w:after="0"/>
        <w:ind w:left="0"/>
        <w:rPr>
          <w:i w:val="0"/>
        </w:rPr>
      </w:pPr>
      <w:bookmarkStart w:id="11" w:name="_Toc314224419"/>
      <w:r w:rsidRPr="002B526C">
        <w:rPr>
          <w:i w:val="0"/>
          <w:sz w:val="22"/>
          <w:szCs w:val="22"/>
        </w:rPr>
        <w:t xml:space="preserve">The target degree of accuracy </w:t>
      </w:r>
      <w:r w:rsidR="00C543B4" w:rsidRPr="002B526C">
        <w:rPr>
          <w:i w:val="0"/>
          <w:sz w:val="22"/>
          <w:szCs w:val="22"/>
        </w:rPr>
        <w:t xml:space="preserve">for the recipient survey </w:t>
      </w:r>
      <w:r w:rsidRPr="002B526C">
        <w:rPr>
          <w:i w:val="0"/>
          <w:sz w:val="22"/>
          <w:szCs w:val="22"/>
        </w:rPr>
        <w:t>is at the 9</w:t>
      </w:r>
      <w:r w:rsidR="009B7E17">
        <w:rPr>
          <w:i w:val="0"/>
          <w:sz w:val="22"/>
          <w:szCs w:val="22"/>
        </w:rPr>
        <w:t>0</w:t>
      </w:r>
      <w:r w:rsidRPr="002B526C">
        <w:rPr>
          <w:i w:val="0"/>
          <w:sz w:val="22"/>
          <w:szCs w:val="22"/>
        </w:rPr>
        <w:t xml:space="preserve"> percent</w:t>
      </w:r>
      <w:r w:rsidR="000A7B11">
        <w:rPr>
          <w:i w:val="0"/>
          <w:sz w:val="22"/>
          <w:szCs w:val="22"/>
        </w:rPr>
        <w:t xml:space="preserve"> confidence</w:t>
      </w:r>
      <w:r w:rsidRPr="002B526C">
        <w:rPr>
          <w:i w:val="0"/>
          <w:sz w:val="22"/>
          <w:szCs w:val="22"/>
        </w:rPr>
        <w:t xml:space="preserve"> level. </w:t>
      </w:r>
      <w:r w:rsidR="005C724E">
        <w:rPr>
          <w:i w:val="0"/>
          <w:sz w:val="22"/>
          <w:szCs w:val="22"/>
        </w:rPr>
        <w:t xml:space="preserve">For the IHE </w:t>
      </w:r>
      <w:r w:rsidR="005C724E" w:rsidRPr="002B526C">
        <w:rPr>
          <w:i w:val="0"/>
          <w:sz w:val="22"/>
          <w:szCs w:val="22"/>
        </w:rPr>
        <w:t xml:space="preserve">survey, </w:t>
      </w:r>
      <w:r w:rsidR="005C724E">
        <w:rPr>
          <w:i w:val="0"/>
          <w:sz w:val="22"/>
          <w:szCs w:val="22"/>
        </w:rPr>
        <w:t>this threshold can be met with the target response rate of 80 percent</w:t>
      </w:r>
      <w:r w:rsidR="005C724E">
        <w:rPr>
          <w:rStyle w:val="FootnoteReference"/>
          <w:i w:val="0"/>
          <w:sz w:val="22"/>
          <w:szCs w:val="22"/>
        </w:rPr>
        <w:footnoteReference w:id="3"/>
      </w:r>
      <w:r w:rsidR="005C724E">
        <w:rPr>
          <w:i w:val="0"/>
          <w:sz w:val="22"/>
          <w:szCs w:val="22"/>
        </w:rPr>
        <w:t xml:space="preserve">.   </w:t>
      </w:r>
      <w:r w:rsidR="00397677">
        <w:rPr>
          <w:i w:val="0"/>
          <w:sz w:val="22"/>
          <w:szCs w:val="22"/>
        </w:rPr>
        <w:t xml:space="preserve">For the recipient survey, this threshold can be met with the target response rate of 70 percent in each </w:t>
      </w:r>
      <w:r w:rsidR="000C1EB8">
        <w:rPr>
          <w:i w:val="0"/>
          <w:sz w:val="22"/>
          <w:szCs w:val="22"/>
        </w:rPr>
        <w:t>stratum</w:t>
      </w:r>
      <w:r w:rsidR="00557B96">
        <w:rPr>
          <w:rStyle w:val="FootnoteReference"/>
          <w:i w:val="0"/>
          <w:sz w:val="22"/>
          <w:szCs w:val="22"/>
        </w:rPr>
        <w:footnoteReference w:id="4"/>
      </w:r>
      <w:r w:rsidR="00397677">
        <w:rPr>
          <w:i w:val="0"/>
          <w:sz w:val="22"/>
          <w:szCs w:val="22"/>
        </w:rPr>
        <w:t xml:space="preserve">.  </w:t>
      </w:r>
      <w:r w:rsidR="00A33A98">
        <w:rPr>
          <w:i w:val="0"/>
          <w:sz w:val="22"/>
          <w:szCs w:val="22"/>
        </w:rPr>
        <w:t>Even with a financial incentive, t</w:t>
      </w:r>
      <w:r w:rsidR="005C724E">
        <w:rPr>
          <w:i w:val="0"/>
          <w:sz w:val="22"/>
          <w:szCs w:val="22"/>
        </w:rPr>
        <w:t xml:space="preserve">he Department </w:t>
      </w:r>
      <w:r w:rsidR="000431DC">
        <w:rPr>
          <w:i w:val="0"/>
          <w:sz w:val="22"/>
          <w:szCs w:val="22"/>
        </w:rPr>
        <w:t xml:space="preserve">estimates </w:t>
      </w:r>
      <w:r w:rsidR="005C724E">
        <w:rPr>
          <w:i w:val="0"/>
          <w:sz w:val="22"/>
          <w:szCs w:val="22"/>
        </w:rPr>
        <w:t xml:space="preserve">that it is implausible to achieve </w:t>
      </w:r>
      <w:r w:rsidR="00A42AD7">
        <w:rPr>
          <w:i w:val="0"/>
          <w:sz w:val="22"/>
          <w:szCs w:val="22"/>
        </w:rPr>
        <w:t>an</w:t>
      </w:r>
      <w:r w:rsidR="005C724E">
        <w:rPr>
          <w:i w:val="0"/>
          <w:sz w:val="22"/>
          <w:szCs w:val="22"/>
        </w:rPr>
        <w:t xml:space="preserve"> 80 percent response rate</w:t>
      </w:r>
      <w:r w:rsidR="00A33A98">
        <w:rPr>
          <w:i w:val="0"/>
          <w:sz w:val="22"/>
          <w:szCs w:val="22"/>
        </w:rPr>
        <w:t xml:space="preserve"> for recipients</w:t>
      </w:r>
      <w:r w:rsidR="005C724E">
        <w:rPr>
          <w:i w:val="0"/>
          <w:sz w:val="22"/>
          <w:szCs w:val="22"/>
        </w:rPr>
        <w:t xml:space="preserve">. </w:t>
      </w:r>
      <w:r w:rsidR="00A33A98">
        <w:rPr>
          <w:i w:val="0"/>
          <w:sz w:val="22"/>
          <w:szCs w:val="22"/>
        </w:rPr>
        <w:t>T</w:t>
      </w:r>
      <w:r w:rsidR="005A4C5F">
        <w:rPr>
          <w:i w:val="0"/>
          <w:sz w:val="22"/>
          <w:szCs w:val="22"/>
        </w:rPr>
        <w:t>hrough the</w:t>
      </w:r>
      <w:r w:rsidR="005C724E">
        <w:rPr>
          <w:i w:val="0"/>
          <w:sz w:val="22"/>
          <w:szCs w:val="22"/>
        </w:rPr>
        <w:t xml:space="preserve"> National Center for Education Statistics (NCES)</w:t>
      </w:r>
      <w:r w:rsidR="005A4C5F">
        <w:rPr>
          <w:i w:val="0"/>
          <w:sz w:val="22"/>
          <w:szCs w:val="22"/>
        </w:rPr>
        <w:t>, the Department</w:t>
      </w:r>
      <w:r w:rsidR="005C724E">
        <w:rPr>
          <w:i w:val="0"/>
          <w:sz w:val="22"/>
          <w:szCs w:val="22"/>
        </w:rPr>
        <w:t xml:space="preserve"> </w:t>
      </w:r>
      <w:r w:rsidR="007904EE">
        <w:rPr>
          <w:i w:val="0"/>
          <w:sz w:val="22"/>
          <w:szCs w:val="22"/>
        </w:rPr>
        <w:t>has administered</w:t>
      </w:r>
      <w:r w:rsidR="005C724E">
        <w:rPr>
          <w:i w:val="0"/>
          <w:sz w:val="22"/>
          <w:szCs w:val="22"/>
        </w:rPr>
        <w:t xml:space="preserve"> </w:t>
      </w:r>
      <w:r w:rsidR="00583B6B">
        <w:rPr>
          <w:i w:val="0"/>
          <w:sz w:val="22"/>
          <w:szCs w:val="22"/>
        </w:rPr>
        <w:t xml:space="preserve">numerous </w:t>
      </w:r>
      <w:r w:rsidR="005C724E">
        <w:rPr>
          <w:i w:val="0"/>
          <w:sz w:val="22"/>
          <w:szCs w:val="22"/>
        </w:rPr>
        <w:t>surveys to individual students or former students</w:t>
      </w:r>
      <w:r w:rsidR="00A42AD7">
        <w:rPr>
          <w:i w:val="0"/>
          <w:sz w:val="22"/>
          <w:szCs w:val="22"/>
        </w:rPr>
        <w:t xml:space="preserve">.  These past experiences, </w:t>
      </w:r>
      <w:r w:rsidR="00A33A98">
        <w:rPr>
          <w:i w:val="0"/>
          <w:sz w:val="22"/>
          <w:szCs w:val="22"/>
        </w:rPr>
        <w:t>including the recent</w:t>
      </w:r>
      <w:r w:rsidR="005C724E">
        <w:rPr>
          <w:i w:val="0"/>
          <w:sz w:val="22"/>
          <w:szCs w:val="22"/>
        </w:rPr>
        <w:t xml:space="preserve"> </w:t>
      </w:r>
      <w:proofErr w:type="spellStart"/>
      <w:r w:rsidR="005C724E" w:rsidRPr="0093674E">
        <w:rPr>
          <w:sz w:val="22"/>
          <w:szCs w:val="22"/>
        </w:rPr>
        <w:t>Recent</w:t>
      </w:r>
      <w:proofErr w:type="spellEnd"/>
      <w:r w:rsidR="005C724E" w:rsidRPr="0093674E">
        <w:rPr>
          <w:sz w:val="22"/>
          <w:szCs w:val="22"/>
        </w:rPr>
        <w:t xml:space="preserve"> Graduates Employment and Earnings Survey</w:t>
      </w:r>
      <w:r w:rsidR="00A42AD7">
        <w:rPr>
          <w:i w:val="0"/>
          <w:sz w:val="22"/>
          <w:szCs w:val="22"/>
        </w:rPr>
        <w:t xml:space="preserve"> for former students,</w:t>
      </w:r>
      <w:r w:rsidR="00A33A98">
        <w:rPr>
          <w:i w:val="0"/>
          <w:sz w:val="22"/>
          <w:szCs w:val="22"/>
        </w:rPr>
        <w:t xml:space="preserve"> suggest that a 70 percent</w:t>
      </w:r>
      <w:r w:rsidR="005C724E">
        <w:rPr>
          <w:i w:val="0"/>
          <w:sz w:val="22"/>
          <w:szCs w:val="22"/>
        </w:rPr>
        <w:t xml:space="preserve"> </w:t>
      </w:r>
      <w:r w:rsidR="00A33A98">
        <w:rPr>
          <w:i w:val="0"/>
          <w:sz w:val="22"/>
          <w:szCs w:val="22"/>
        </w:rPr>
        <w:t xml:space="preserve">response rate is more realistic. </w:t>
      </w:r>
    </w:p>
    <w:p w:rsidR="00013B35" w:rsidRPr="00D164E3" w:rsidRDefault="00013B35" w:rsidP="007B7295">
      <w:pPr>
        <w:pStyle w:val="PPSSTOHeading3"/>
        <w:spacing w:after="0"/>
      </w:pPr>
      <w:r w:rsidRPr="00D164E3">
        <w:t>Use of Periodic Data Collection</w:t>
      </w:r>
      <w:bookmarkEnd w:id="11"/>
    </w:p>
    <w:p w:rsidR="00013B35" w:rsidRDefault="00013B35" w:rsidP="007B7295">
      <w:pPr>
        <w:pStyle w:val="PPSSTOText"/>
        <w:spacing w:after="0"/>
      </w:pPr>
      <w:r w:rsidRPr="00D164E3">
        <w:t xml:space="preserve">The </w:t>
      </w:r>
      <w:r>
        <w:t xml:space="preserve">survey will only be administered once </w:t>
      </w:r>
      <w:r w:rsidR="007D75AD">
        <w:t>in 2016</w:t>
      </w:r>
      <w:r w:rsidRPr="00D164E3">
        <w:t xml:space="preserve">. </w:t>
      </w:r>
    </w:p>
    <w:p w:rsidR="00013B35" w:rsidRPr="00D75310" w:rsidRDefault="00013B35" w:rsidP="007B7295">
      <w:pPr>
        <w:pStyle w:val="PPSSTOHeading2"/>
        <w:spacing w:after="0"/>
      </w:pPr>
      <w:bookmarkStart w:id="12" w:name="_Toc314224420"/>
      <w:bookmarkStart w:id="13" w:name="_Toc392765504"/>
      <w:r w:rsidRPr="00D75310">
        <w:t>B.3. Methods for Maximizing Response Rate and Dealing with Nonresponse</w:t>
      </w:r>
      <w:bookmarkEnd w:id="12"/>
      <w:bookmarkEnd w:id="13"/>
      <w:r>
        <w:t xml:space="preserve"> </w:t>
      </w:r>
    </w:p>
    <w:p w:rsidR="00013B35" w:rsidRPr="00D164E3" w:rsidRDefault="00013B35" w:rsidP="007B7295">
      <w:pPr>
        <w:pStyle w:val="PPSSTOHeading3"/>
        <w:spacing w:after="0"/>
      </w:pPr>
      <w:bookmarkStart w:id="14" w:name="_Toc314224421"/>
      <w:r w:rsidRPr="00D164E3">
        <w:t>Response Rate</w:t>
      </w:r>
      <w:bookmarkEnd w:id="14"/>
    </w:p>
    <w:p w:rsidR="00013B35" w:rsidRPr="00473D60" w:rsidRDefault="00013B35" w:rsidP="000C000D">
      <w:pPr>
        <w:pStyle w:val="PPSSTOText"/>
        <w:spacing w:after="0"/>
      </w:pPr>
      <w:r w:rsidRPr="00473D60">
        <w:rPr>
          <w:rFonts w:cstheme="majorBidi"/>
        </w:rPr>
        <w:t xml:space="preserve">A </w:t>
      </w:r>
      <w:r w:rsidR="003A063F">
        <w:rPr>
          <w:rFonts w:cstheme="majorBidi"/>
        </w:rPr>
        <w:t>two-month</w:t>
      </w:r>
      <w:r w:rsidRPr="00473D60">
        <w:rPr>
          <w:rFonts w:cstheme="majorBidi"/>
        </w:rPr>
        <w:t xml:space="preserve"> data collection </w:t>
      </w:r>
      <w:r w:rsidR="00397677">
        <w:rPr>
          <w:rFonts w:cstheme="majorBidi"/>
        </w:rPr>
        <w:t xml:space="preserve">period </w:t>
      </w:r>
      <w:r w:rsidRPr="00473D60">
        <w:rPr>
          <w:rFonts w:cstheme="majorBidi"/>
        </w:rPr>
        <w:t>is planned to allow administrators</w:t>
      </w:r>
      <w:r w:rsidR="00C6614F">
        <w:rPr>
          <w:rFonts w:cstheme="majorBidi"/>
        </w:rPr>
        <w:t xml:space="preserve"> and students</w:t>
      </w:r>
      <w:r w:rsidRPr="00473D60">
        <w:rPr>
          <w:rFonts w:cstheme="majorBidi"/>
        </w:rPr>
        <w:t xml:space="preserve"> to participate at a time most convenient to them. </w:t>
      </w:r>
      <w:r w:rsidR="003C2E94">
        <w:rPr>
          <w:rFonts w:cstheme="majorBidi"/>
        </w:rPr>
        <w:t>T</w:t>
      </w:r>
      <w:r w:rsidR="00397677">
        <w:rPr>
          <w:rFonts w:cstheme="majorBidi"/>
        </w:rPr>
        <w:t xml:space="preserve">he study team has the ability to follow up with </w:t>
      </w:r>
      <w:proofErr w:type="spellStart"/>
      <w:r w:rsidR="00397677">
        <w:rPr>
          <w:rFonts w:cstheme="majorBidi"/>
        </w:rPr>
        <w:t>nonrespondents</w:t>
      </w:r>
      <w:proofErr w:type="spellEnd"/>
      <w:r w:rsidR="00397677">
        <w:rPr>
          <w:rFonts w:cstheme="majorBidi"/>
        </w:rPr>
        <w:t xml:space="preserve"> via mail, email, and telephone. </w:t>
      </w:r>
      <w:r w:rsidR="003C2E94">
        <w:rPr>
          <w:rFonts w:cstheme="majorBidi"/>
        </w:rPr>
        <w:t>Lastly, the study team plans to provide a $20 incentive fee for recipients who respond to the survey.</w:t>
      </w:r>
    </w:p>
    <w:p w:rsidR="009B7E17" w:rsidRDefault="009B7E17" w:rsidP="007B7295">
      <w:pPr>
        <w:pStyle w:val="PPSSTOHeading3"/>
        <w:spacing w:before="0" w:after="0"/>
      </w:pPr>
      <w:bookmarkStart w:id="15" w:name="_Toc314224422"/>
    </w:p>
    <w:p w:rsidR="00013B35" w:rsidRPr="00D164E3" w:rsidRDefault="00013B35" w:rsidP="007B7295">
      <w:pPr>
        <w:pStyle w:val="PPSSTOHeading3"/>
        <w:spacing w:before="0" w:after="0"/>
      </w:pPr>
      <w:r w:rsidRPr="00D164E3">
        <w:t>Generalizability of the Sample</w:t>
      </w:r>
      <w:bookmarkEnd w:id="15"/>
    </w:p>
    <w:p w:rsidR="00013B35" w:rsidRDefault="00013B35" w:rsidP="007C0CC9">
      <w:pPr>
        <w:pStyle w:val="PPSSTOText"/>
        <w:spacing w:after="0"/>
      </w:pPr>
      <w:r w:rsidRPr="000C2357">
        <w:t xml:space="preserve">The research design for </w:t>
      </w:r>
      <w:r>
        <w:t>the</w:t>
      </w:r>
      <w:r w:rsidR="003C2E94">
        <w:t xml:space="preserve"> recipient </w:t>
      </w:r>
      <w:r>
        <w:t>survey</w:t>
      </w:r>
      <w:r w:rsidRPr="000C2357">
        <w:t xml:space="preserve"> relies on </w:t>
      </w:r>
      <w:r w:rsidR="003C2E94">
        <w:t xml:space="preserve">a simple random sample stratified by whether or not recipients who separated in the 2013-14 year or prior had grants converted to loans. </w:t>
      </w:r>
      <w:r w:rsidR="007C0CC9">
        <w:t xml:space="preserve">A response rate of 70 percent will ensure enough power to detect differences that may exist between these two strata. In addition, this response rate will provide generalizability to separated recipients who had at least one annual certification period since separation. </w:t>
      </w:r>
    </w:p>
    <w:p w:rsidR="007C0CC9" w:rsidRDefault="007C0CC9" w:rsidP="007C0CC9">
      <w:pPr>
        <w:pStyle w:val="PPSSTOText"/>
        <w:spacing w:after="0"/>
      </w:pPr>
      <w:r>
        <w:t>The IHE survey will be sent to all IHEs that awarded TEACH Grants to at least 10 students in the 2014-2015 award year. A response rate of 80 percent</w:t>
      </w:r>
      <w:r w:rsidR="00431030">
        <w:t xml:space="preserve"> will allow the study team to generalize responses to this universe of institutions.</w:t>
      </w:r>
    </w:p>
    <w:p w:rsidR="00B13D19" w:rsidRDefault="00B13D19" w:rsidP="007B7295">
      <w:pPr>
        <w:pStyle w:val="PPSSTOHeading2"/>
        <w:spacing w:after="0"/>
      </w:pPr>
      <w:bookmarkStart w:id="16" w:name="_Toc314224423"/>
      <w:bookmarkStart w:id="17" w:name="_Toc392765505"/>
    </w:p>
    <w:p w:rsidR="00013B35" w:rsidRPr="00D164E3" w:rsidRDefault="00013B35" w:rsidP="007B7295">
      <w:pPr>
        <w:pStyle w:val="PPSSTOHeading2"/>
        <w:spacing w:after="0"/>
      </w:pPr>
      <w:r w:rsidRPr="00D164E3">
        <w:t>B.4. Test of Procedures and Methods</w:t>
      </w:r>
      <w:bookmarkEnd w:id="16"/>
      <w:bookmarkEnd w:id="17"/>
    </w:p>
    <w:p w:rsidR="00013B35" w:rsidRDefault="002033D7" w:rsidP="007B7295">
      <w:pPr>
        <w:pStyle w:val="PPSSTOText"/>
        <w:spacing w:after="0"/>
      </w:pPr>
      <w:r>
        <w:t>No test procedures and methods are planned</w:t>
      </w:r>
      <w:r w:rsidR="00730F0D">
        <w:t xml:space="preserve">. </w:t>
      </w:r>
    </w:p>
    <w:p w:rsidR="005E4C62" w:rsidRPr="000C2357" w:rsidRDefault="005E4C62" w:rsidP="007B7295">
      <w:pPr>
        <w:pStyle w:val="PPSSTOText"/>
        <w:spacing w:after="0"/>
      </w:pPr>
    </w:p>
    <w:p w:rsidR="00013B35" w:rsidRPr="00D164E3" w:rsidRDefault="00013B35" w:rsidP="007B7295">
      <w:pPr>
        <w:pStyle w:val="PPSSTOHeading2"/>
        <w:spacing w:after="0"/>
      </w:pPr>
      <w:bookmarkStart w:id="18" w:name="_Toc314224424"/>
      <w:bookmarkStart w:id="19" w:name="_Toc361408462"/>
      <w:bookmarkStart w:id="20" w:name="_Toc392765506"/>
      <w:r w:rsidRPr="00D164E3">
        <w:t>B.5. Consultations on Statistical Aspects of the Design</w:t>
      </w:r>
      <w:bookmarkEnd w:id="18"/>
      <w:bookmarkEnd w:id="19"/>
      <w:bookmarkEnd w:id="20"/>
    </w:p>
    <w:p w:rsidR="005E4C62" w:rsidRDefault="005E4C62" w:rsidP="007B7295">
      <w:pPr>
        <w:pStyle w:val="PPSSTOHeading3"/>
        <w:spacing w:before="0" w:after="0"/>
      </w:pPr>
      <w:bookmarkStart w:id="21" w:name="_Toc354406156"/>
    </w:p>
    <w:p w:rsidR="00013B35" w:rsidRPr="00D164E3" w:rsidRDefault="00013B35" w:rsidP="007B7295">
      <w:pPr>
        <w:pStyle w:val="PPSSTOHeading3"/>
        <w:spacing w:before="0" w:after="0"/>
      </w:pPr>
      <w:r w:rsidRPr="00D164E3">
        <w:t>Agency</w:t>
      </w:r>
      <w:bookmarkEnd w:id="21"/>
    </w:p>
    <w:p w:rsidR="00013B35" w:rsidRPr="00D164E3" w:rsidRDefault="000F0D06" w:rsidP="007B7295">
      <w:pPr>
        <w:pStyle w:val="PPSSTOText"/>
        <w:spacing w:after="0"/>
      </w:pPr>
      <w:r>
        <w:t xml:space="preserve">Brian Fu </w:t>
      </w:r>
      <w:r w:rsidR="00013B35" w:rsidRPr="00D164E3">
        <w:t>of the U.S. Department of Education is the Contracting Officer’s</w:t>
      </w:r>
      <w:r w:rsidR="00013B35">
        <w:t xml:space="preserve"> Representative for the study. </w:t>
      </w:r>
      <w:r w:rsidR="00403361">
        <w:t>H</w:t>
      </w:r>
      <w:r w:rsidR="00013B35">
        <w:t>e</w:t>
      </w:r>
      <w:r w:rsidR="00557B96">
        <w:t xml:space="preserve"> can be reached at </w:t>
      </w:r>
      <w:r w:rsidR="00403361">
        <w:t>202-260-1467</w:t>
      </w:r>
      <w:r w:rsidR="00013B35" w:rsidRPr="00DB5F85">
        <w:t>.</w:t>
      </w:r>
    </w:p>
    <w:p w:rsidR="000F0D06" w:rsidRDefault="000F0D06" w:rsidP="007B7295">
      <w:pPr>
        <w:pStyle w:val="PPSSTOHeading3"/>
        <w:spacing w:before="0" w:after="0"/>
      </w:pPr>
      <w:bookmarkStart w:id="22" w:name="_Toc354406157"/>
    </w:p>
    <w:p w:rsidR="00013B35" w:rsidRPr="00D164E3" w:rsidRDefault="00013B35" w:rsidP="007B7295">
      <w:pPr>
        <w:pStyle w:val="PPSSTOHeading3"/>
        <w:spacing w:before="0" w:after="0"/>
      </w:pPr>
      <w:r w:rsidRPr="00D164E3">
        <w:t>Contractors</w:t>
      </w:r>
      <w:bookmarkEnd w:id="22"/>
    </w:p>
    <w:p w:rsidR="00013B35" w:rsidRDefault="00B13D19" w:rsidP="007B7295">
      <w:pPr>
        <w:spacing w:before="40"/>
        <w:rPr>
          <w:rFonts w:asciiTheme="minorHAnsi" w:hAnsiTheme="minorHAnsi"/>
          <w:sz w:val="22"/>
        </w:rPr>
      </w:pPr>
      <w:r>
        <w:rPr>
          <w:rFonts w:asciiTheme="minorHAnsi" w:hAnsiTheme="minorHAnsi"/>
          <w:sz w:val="22"/>
        </w:rPr>
        <w:t xml:space="preserve">The U.S. Department of Education </w:t>
      </w:r>
      <w:r w:rsidR="000F0D06">
        <w:rPr>
          <w:rFonts w:asciiTheme="minorHAnsi" w:hAnsiTheme="minorHAnsi"/>
          <w:sz w:val="22"/>
        </w:rPr>
        <w:t xml:space="preserve">will </w:t>
      </w:r>
      <w:r>
        <w:rPr>
          <w:rFonts w:asciiTheme="minorHAnsi" w:hAnsiTheme="minorHAnsi"/>
          <w:sz w:val="22"/>
        </w:rPr>
        <w:t>award a contract for the implementation of this study</w:t>
      </w:r>
      <w:r w:rsidR="005823F2">
        <w:rPr>
          <w:rFonts w:asciiTheme="minorHAnsi" w:hAnsiTheme="minorHAnsi"/>
          <w:sz w:val="22"/>
        </w:rPr>
        <w:t xml:space="preserve"> </w:t>
      </w:r>
      <w:r w:rsidR="00A857C4">
        <w:rPr>
          <w:rFonts w:asciiTheme="minorHAnsi" w:hAnsiTheme="minorHAnsi"/>
          <w:sz w:val="22"/>
        </w:rPr>
        <w:t xml:space="preserve">with an estimated award date </w:t>
      </w:r>
      <w:r w:rsidR="00557B96">
        <w:rPr>
          <w:rFonts w:asciiTheme="minorHAnsi" w:hAnsiTheme="minorHAnsi"/>
          <w:sz w:val="22"/>
        </w:rPr>
        <w:t>in early 2016</w:t>
      </w:r>
      <w:r>
        <w:rPr>
          <w:rFonts w:asciiTheme="minorHAnsi" w:hAnsiTheme="minorHAnsi"/>
          <w:sz w:val="22"/>
        </w:rPr>
        <w:t>.</w:t>
      </w:r>
    </w:p>
    <w:p w:rsidR="00013B35" w:rsidRPr="00363332" w:rsidRDefault="00013B35" w:rsidP="007B7295">
      <w:pPr>
        <w:tabs>
          <w:tab w:val="left" w:pos="-720"/>
        </w:tabs>
        <w:suppressAutoHyphens/>
        <w:spacing w:before="40"/>
        <w:rPr>
          <w:rFonts w:ascii="Calibri" w:hAnsi="Calibri" w:cs="Calibri"/>
          <w:sz w:val="22"/>
        </w:rPr>
      </w:pPr>
    </w:p>
    <w:p w:rsidR="004F0D37" w:rsidRDefault="004F0D37" w:rsidP="007B7295"/>
    <w:sectPr w:rsidR="004F0D37" w:rsidSect="00AE39B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E85" w:rsidRDefault="00491E85" w:rsidP="00013B35">
      <w:r>
        <w:separator/>
      </w:r>
    </w:p>
  </w:endnote>
  <w:endnote w:type="continuationSeparator" w:id="0">
    <w:p w:rsidR="00491E85" w:rsidRDefault="00491E85" w:rsidP="00013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35" w:rsidRDefault="00013B35">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B69" w:rsidRPr="007B403F" w:rsidRDefault="005345CE" w:rsidP="00796F04">
    <w:pPr>
      <w:pStyle w:val="Footer"/>
      <w:rPr>
        <w:rFonts w:asciiTheme="minorHAnsi" w:hAnsiTheme="minorHAnsi"/>
        <w:sz w:val="20"/>
      </w:rPr>
    </w:pPr>
    <w:r>
      <w:rPr>
        <w:rFonts w:asciiTheme="minorHAnsi" w:hAnsiTheme="minorHAnsi"/>
        <w:sz w:val="20"/>
      </w:rPr>
      <w:t xml:space="preserve">TEACH Grant Study:  </w:t>
    </w:r>
    <w:r w:rsidR="00013B35">
      <w:rPr>
        <w:rFonts w:asciiTheme="minorHAnsi" w:hAnsiTheme="minorHAnsi"/>
        <w:sz w:val="20"/>
      </w:rPr>
      <w:t>Draft OMB Package</w:t>
    </w:r>
  </w:p>
  <w:p w:rsidR="00CC5B69" w:rsidRPr="003B13FF" w:rsidRDefault="00013B35" w:rsidP="00796F04">
    <w:pPr>
      <w:pBdr>
        <w:top w:val="single" w:sz="4" w:space="1" w:color="auto"/>
      </w:pBdr>
      <w:tabs>
        <w:tab w:val="right" w:pos="9360"/>
      </w:tabs>
      <w:rPr>
        <w:rFonts w:asciiTheme="minorHAnsi" w:hAnsiTheme="minorHAnsi" w:cstheme="minorHAnsi"/>
        <w:sz w:val="18"/>
        <w:szCs w:val="18"/>
      </w:rPr>
    </w:pPr>
    <w:r w:rsidRPr="003B13FF">
      <w:rPr>
        <w:rFonts w:asciiTheme="minorHAnsi" w:hAnsiTheme="minorHAnsi" w:cstheme="minorHAnsi"/>
        <w:sz w:val="18"/>
        <w:szCs w:val="18"/>
      </w:rPr>
      <w:tab/>
    </w:r>
    <w:r>
      <w:fldChar w:fldCharType="begin"/>
    </w:r>
    <w:r>
      <w:instrText xml:space="preserve"> PAGE   \* MERGEFORMAT </w:instrText>
    </w:r>
    <w:r>
      <w:fldChar w:fldCharType="separate"/>
    </w:r>
    <w:r w:rsidR="000E7556" w:rsidRPr="000E7556">
      <w:rPr>
        <w:rFonts w:asciiTheme="minorHAnsi" w:hAnsiTheme="minorHAnsi" w:cstheme="minorHAnsi"/>
        <w:noProof/>
        <w:sz w:val="18"/>
        <w:szCs w:val="18"/>
      </w:rPr>
      <w:t>2</w:t>
    </w:r>
    <w:r>
      <w:rPr>
        <w:rFonts w:asciiTheme="minorHAnsi" w:hAnsiTheme="minorHAnsi" w:cstheme="minorHAnsi"/>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E85" w:rsidRDefault="00491E85" w:rsidP="00013B35">
      <w:r>
        <w:separator/>
      </w:r>
    </w:p>
  </w:footnote>
  <w:footnote w:type="continuationSeparator" w:id="0">
    <w:p w:rsidR="00491E85" w:rsidRDefault="00491E85" w:rsidP="00013B35">
      <w:r>
        <w:continuationSeparator/>
      </w:r>
    </w:p>
  </w:footnote>
  <w:footnote w:id="1">
    <w:p w:rsidR="00B30932" w:rsidRDefault="00B30932" w:rsidP="00B30932">
      <w:pPr>
        <w:pStyle w:val="FootnoteText"/>
        <w:spacing w:after="0" w:line="240" w:lineRule="auto"/>
      </w:pPr>
      <w:r>
        <w:rPr>
          <w:rStyle w:val="FootnoteReference"/>
        </w:rPr>
        <w:footnoteRef/>
      </w:r>
      <w:r>
        <w:t xml:space="preserve"> </w:t>
      </w:r>
      <w:hyperlink r:id="rId1" w:history="1">
        <w:r w:rsidRPr="00893BC6">
          <w:rPr>
            <w:rStyle w:val="Hyperlink"/>
          </w:rPr>
          <w:t>https://studentaid.ed.gov/sa/about/data-center/student/title-iv</w:t>
        </w:r>
      </w:hyperlink>
      <w:r>
        <w:t xml:space="preserve"> </w:t>
      </w:r>
    </w:p>
  </w:footnote>
  <w:footnote w:id="2">
    <w:p w:rsidR="00A371F7" w:rsidRDefault="00A371F7" w:rsidP="00A371F7">
      <w:pPr>
        <w:pStyle w:val="FootnoteText"/>
        <w:spacing w:after="0" w:line="240" w:lineRule="auto"/>
      </w:pPr>
      <w:r>
        <w:rPr>
          <w:rStyle w:val="FootnoteReference"/>
        </w:rPr>
        <w:footnoteRef/>
      </w:r>
      <w:r>
        <w:t xml:space="preserve"> Pending finalization of contract award</w:t>
      </w:r>
    </w:p>
  </w:footnote>
  <w:footnote w:id="3">
    <w:p w:rsidR="005C724E" w:rsidRDefault="005C724E" w:rsidP="005C724E">
      <w:pPr>
        <w:pStyle w:val="FootnoteText"/>
        <w:spacing w:after="0" w:line="240" w:lineRule="auto"/>
      </w:pPr>
      <w:r>
        <w:rPr>
          <w:rStyle w:val="FootnoteReference"/>
        </w:rPr>
        <w:footnoteRef/>
      </w:r>
      <w:r>
        <w:t xml:space="preserve"> While an 80 percent response rate of the proposed sample is sufficient to reach this threshold, it does not represent the minimum response rate required to reach this threshold.  Based on a universe of 473 relevant institutions, an 80 percent response rate would meet the 97 percent confidence threshold.</w:t>
      </w:r>
    </w:p>
  </w:footnote>
  <w:footnote w:id="4">
    <w:p w:rsidR="00557B96" w:rsidRDefault="00557B96" w:rsidP="00557B96">
      <w:pPr>
        <w:pStyle w:val="FootnoteText"/>
        <w:spacing w:after="0" w:line="240" w:lineRule="auto"/>
      </w:pPr>
      <w:r>
        <w:rPr>
          <w:rStyle w:val="FootnoteReference"/>
        </w:rPr>
        <w:footnoteRef/>
      </w:r>
      <w:r>
        <w:t xml:space="preserve"> While a 70 percent response rate</w:t>
      </w:r>
      <w:r w:rsidR="00016166">
        <w:t xml:space="preserve"> of the proposed sample</w:t>
      </w:r>
      <w:r>
        <w:t xml:space="preserve"> </w:t>
      </w:r>
      <w:r w:rsidR="00362210">
        <w:t xml:space="preserve">is </w:t>
      </w:r>
      <w:r>
        <w:t>sufficient to reach this threshold, it does not represent the minimum response rate required to reach this threshold</w:t>
      </w:r>
      <w:r w:rsidR="00DB3F18">
        <w:t xml:space="preserve">. Based on </w:t>
      </w:r>
      <w:r w:rsidR="00016166">
        <w:t>a universe of 33,000 separated recipients with converted grants and 41,000 separated recipients without converted grants, a</w:t>
      </w:r>
      <w:r w:rsidR="00DB3F18">
        <w:t xml:space="preserve"> 70 percent response rate</w:t>
      </w:r>
      <w:r w:rsidR="00016166">
        <w:t xml:space="preserve"> in each stratum</w:t>
      </w:r>
      <w:r w:rsidR="00DB3F18">
        <w:t xml:space="preserve"> </w:t>
      </w:r>
      <w:r w:rsidR="00016166">
        <w:t xml:space="preserve">would meet the 92 percent confidence </w:t>
      </w:r>
      <w:r w:rsidR="000301ED">
        <w:t>threshold</w:t>
      </w:r>
      <w:r w:rsidR="00016166">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35" w:rsidRDefault="00013B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14B5E"/>
    <w:multiLevelType w:val="hybridMultilevel"/>
    <w:tmpl w:val="1EF4FBD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A656791-58BC-4EC8-AF77-5C6B9E839A82}"/>
    <w:docVar w:name="dgnword-eventsink" w:val="94129840"/>
    <w:docVar w:name="dgnword-lastRevisionsView" w:val="0"/>
  </w:docVars>
  <w:rsids>
    <w:rsidRoot w:val="00013B35"/>
    <w:rsid w:val="00013B35"/>
    <w:rsid w:val="00016166"/>
    <w:rsid w:val="000301ED"/>
    <w:rsid w:val="00035593"/>
    <w:rsid w:val="000431DC"/>
    <w:rsid w:val="00084493"/>
    <w:rsid w:val="000A7B11"/>
    <w:rsid w:val="000C000D"/>
    <w:rsid w:val="000C1EB8"/>
    <w:rsid w:val="000D1366"/>
    <w:rsid w:val="000E6995"/>
    <w:rsid w:val="000E7556"/>
    <w:rsid w:val="000F0D06"/>
    <w:rsid w:val="000F243F"/>
    <w:rsid w:val="000F3CE2"/>
    <w:rsid w:val="001008A4"/>
    <w:rsid w:val="001548F3"/>
    <w:rsid w:val="00170599"/>
    <w:rsid w:val="001D21A6"/>
    <w:rsid w:val="001D5EAE"/>
    <w:rsid w:val="001E5D0B"/>
    <w:rsid w:val="001F54A5"/>
    <w:rsid w:val="002033D7"/>
    <w:rsid w:val="00216DA5"/>
    <w:rsid w:val="002324B2"/>
    <w:rsid w:val="002522F5"/>
    <w:rsid w:val="0025325B"/>
    <w:rsid w:val="00254177"/>
    <w:rsid w:val="0025724C"/>
    <w:rsid w:val="002629B1"/>
    <w:rsid w:val="00267172"/>
    <w:rsid w:val="002B3D61"/>
    <w:rsid w:val="002B526C"/>
    <w:rsid w:val="002C67B1"/>
    <w:rsid w:val="002E3A6A"/>
    <w:rsid w:val="003048D8"/>
    <w:rsid w:val="00305C38"/>
    <w:rsid w:val="0031150A"/>
    <w:rsid w:val="003269FB"/>
    <w:rsid w:val="00346A31"/>
    <w:rsid w:val="003471C3"/>
    <w:rsid w:val="00362210"/>
    <w:rsid w:val="0036643B"/>
    <w:rsid w:val="00373C42"/>
    <w:rsid w:val="003747DD"/>
    <w:rsid w:val="00375C72"/>
    <w:rsid w:val="00397677"/>
    <w:rsid w:val="003A063F"/>
    <w:rsid w:val="003C2E94"/>
    <w:rsid w:val="003C4496"/>
    <w:rsid w:val="00403361"/>
    <w:rsid w:val="00413C04"/>
    <w:rsid w:val="00431030"/>
    <w:rsid w:val="00491E85"/>
    <w:rsid w:val="004F0D37"/>
    <w:rsid w:val="00510883"/>
    <w:rsid w:val="005308A2"/>
    <w:rsid w:val="005345CE"/>
    <w:rsid w:val="00541FC6"/>
    <w:rsid w:val="00557B96"/>
    <w:rsid w:val="00563E91"/>
    <w:rsid w:val="005769E7"/>
    <w:rsid w:val="005823F2"/>
    <w:rsid w:val="005827B6"/>
    <w:rsid w:val="00583B6B"/>
    <w:rsid w:val="005912BE"/>
    <w:rsid w:val="005925B3"/>
    <w:rsid w:val="005A4C5F"/>
    <w:rsid w:val="005C5058"/>
    <w:rsid w:val="005C724E"/>
    <w:rsid w:val="005E4C62"/>
    <w:rsid w:val="005F1B38"/>
    <w:rsid w:val="006632DE"/>
    <w:rsid w:val="006667FD"/>
    <w:rsid w:val="0067603F"/>
    <w:rsid w:val="0068549A"/>
    <w:rsid w:val="006909BF"/>
    <w:rsid w:val="006A3C05"/>
    <w:rsid w:val="006C1EFB"/>
    <w:rsid w:val="00707629"/>
    <w:rsid w:val="00730F0D"/>
    <w:rsid w:val="00743ADC"/>
    <w:rsid w:val="007541CE"/>
    <w:rsid w:val="007711E4"/>
    <w:rsid w:val="0078589B"/>
    <w:rsid w:val="007904EE"/>
    <w:rsid w:val="007B7295"/>
    <w:rsid w:val="007C0CC9"/>
    <w:rsid w:val="007D75AD"/>
    <w:rsid w:val="007F5B22"/>
    <w:rsid w:val="0081136D"/>
    <w:rsid w:val="00814946"/>
    <w:rsid w:val="00823B3E"/>
    <w:rsid w:val="00837FB9"/>
    <w:rsid w:val="00865B5D"/>
    <w:rsid w:val="008D33CB"/>
    <w:rsid w:val="008E0593"/>
    <w:rsid w:val="008F673C"/>
    <w:rsid w:val="0091588D"/>
    <w:rsid w:val="009232E3"/>
    <w:rsid w:val="0093674E"/>
    <w:rsid w:val="0097527D"/>
    <w:rsid w:val="00977091"/>
    <w:rsid w:val="009970D4"/>
    <w:rsid w:val="009A07DF"/>
    <w:rsid w:val="009B7E17"/>
    <w:rsid w:val="00A20E2A"/>
    <w:rsid w:val="00A33A98"/>
    <w:rsid w:val="00A371F7"/>
    <w:rsid w:val="00A42AD7"/>
    <w:rsid w:val="00A5063C"/>
    <w:rsid w:val="00A843EE"/>
    <w:rsid w:val="00A857C4"/>
    <w:rsid w:val="00AA6FB4"/>
    <w:rsid w:val="00AE15C4"/>
    <w:rsid w:val="00B13D19"/>
    <w:rsid w:val="00B230DA"/>
    <w:rsid w:val="00B30932"/>
    <w:rsid w:val="00B33D15"/>
    <w:rsid w:val="00B47039"/>
    <w:rsid w:val="00B703AE"/>
    <w:rsid w:val="00B74EA4"/>
    <w:rsid w:val="00B9499F"/>
    <w:rsid w:val="00BD2ECE"/>
    <w:rsid w:val="00C17126"/>
    <w:rsid w:val="00C258BC"/>
    <w:rsid w:val="00C31AD3"/>
    <w:rsid w:val="00C34E8B"/>
    <w:rsid w:val="00C3629A"/>
    <w:rsid w:val="00C478FE"/>
    <w:rsid w:val="00C543B4"/>
    <w:rsid w:val="00C6614F"/>
    <w:rsid w:val="00C93C1C"/>
    <w:rsid w:val="00C94DF4"/>
    <w:rsid w:val="00D34088"/>
    <w:rsid w:val="00D47A60"/>
    <w:rsid w:val="00DB3F18"/>
    <w:rsid w:val="00E557AB"/>
    <w:rsid w:val="00E674F0"/>
    <w:rsid w:val="00E93B8A"/>
    <w:rsid w:val="00E94675"/>
    <w:rsid w:val="00EB5ED5"/>
    <w:rsid w:val="00EC62C4"/>
    <w:rsid w:val="00F1286C"/>
    <w:rsid w:val="00F44240"/>
    <w:rsid w:val="00F7042B"/>
    <w:rsid w:val="00FA10E7"/>
    <w:rsid w:val="00FA6ED2"/>
    <w:rsid w:val="00FB3869"/>
    <w:rsid w:val="00FC3C19"/>
    <w:rsid w:val="00FC41BE"/>
    <w:rsid w:val="00FE1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B35"/>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013B35"/>
    <w:pPr>
      <w:spacing w:after="200" w:line="276" w:lineRule="auto"/>
    </w:pPr>
    <w:rPr>
      <w:rFonts w:ascii="Calibri" w:hAnsi="Calibri"/>
      <w:sz w:val="20"/>
      <w:szCs w:val="20"/>
    </w:rPr>
  </w:style>
  <w:style w:type="character" w:customStyle="1" w:styleId="FootnoteTextChar">
    <w:name w:val="Footnote Text Char"/>
    <w:basedOn w:val="DefaultParagraphFont"/>
    <w:link w:val="FootnoteText"/>
    <w:uiPriority w:val="99"/>
    <w:rsid w:val="00013B35"/>
    <w:rPr>
      <w:rFonts w:ascii="Calibri" w:eastAsia="Calibri" w:hAnsi="Calibri" w:cs="Times New Roman"/>
      <w:sz w:val="20"/>
      <w:szCs w:val="20"/>
    </w:rPr>
  </w:style>
  <w:style w:type="character" w:styleId="FootnoteReference">
    <w:name w:val="footnote reference"/>
    <w:basedOn w:val="DefaultParagraphFont"/>
    <w:uiPriority w:val="99"/>
    <w:rsid w:val="00013B35"/>
    <w:rPr>
      <w:rFonts w:cs="Times New Roman"/>
      <w:vertAlign w:val="superscript"/>
    </w:rPr>
  </w:style>
  <w:style w:type="paragraph" w:styleId="Header">
    <w:name w:val="header"/>
    <w:basedOn w:val="Normal"/>
    <w:link w:val="HeaderChar"/>
    <w:uiPriority w:val="99"/>
    <w:unhideWhenUsed/>
    <w:rsid w:val="00013B35"/>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013B35"/>
    <w:rPr>
      <w:rFonts w:ascii="Times New Roman" w:hAnsi="Times New Roman"/>
      <w:sz w:val="24"/>
    </w:rPr>
  </w:style>
  <w:style w:type="paragraph" w:styleId="Footer">
    <w:name w:val="footer"/>
    <w:basedOn w:val="Normal"/>
    <w:link w:val="FooterChar"/>
    <w:uiPriority w:val="99"/>
    <w:unhideWhenUsed/>
    <w:rsid w:val="00013B35"/>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013B35"/>
    <w:rPr>
      <w:rFonts w:ascii="Times New Roman" w:hAnsi="Times New Roman"/>
      <w:sz w:val="24"/>
    </w:rPr>
  </w:style>
  <w:style w:type="paragraph" w:customStyle="1" w:styleId="PPSSTOExhibitTitle">
    <w:name w:val="PPSS TO Exhibit Title"/>
    <w:basedOn w:val="Normal"/>
    <w:qFormat/>
    <w:rsid w:val="00013B35"/>
    <w:pPr>
      <w:spacing w:before="240"/>
      <w:jc w:val="center"/>
    </w:pPr>
    <w:rPr>
      <w:rFonts w:asciiTheme="minorHAnsi" w:eastAsia="Times New Roman" w:hAnsiTheme="minorHAnsi" w:cstheme="minorHAnsi"/>
      <w:b/>
      <w:szCs w:val="20"/>
    </w:rPr>
  </w:style>
  <w:style w:type="paragraph" w:customStyle="1" w:styleId="PPSSTOHeading1">
    <w:name w:val="PPSS TO Heading 1"/>
    <w:basedOn w:val="Normal"/>
    <w:qFormat/>
    <w:rsid w:val="00013B35"/>
    <w:pPr>
      <w:spacing w:before="240" w:after="120"/>
    </w:pPr>
    <w:rPr>
      <w:rFonts w:asciiTheme="minorHAnsi" w:eastAsia="Times New Roman" w:hAnsiTheme="minorHAnsi" w:cstheme="minorHAnsi"/>
      <w:b/>
      <w:color w:val="000000" w:themeColor="text1"/>
      <w:szCs w:val="20"/>
    </w:rPr>
  </w:style>
  <w:style w:type="paragraph" w:customStyle="1" w:styleId="PPSSTOHeading2">
    <w:name w:val="PPSS TO Heading 2"/>
    <w:basedOn w:val="Normal"/>
    <w:qFormat/>
    <w:rsid w:val="00013B35"/>
    <w:pPr>
      <w:spacing w:before="120" w:after="120"/>
      <w:ind w:left="360"/>
    </w:pPr>
    <w:rPr>
      <w:rFonts w:asciiTheme="minorHAnsi" w:eastAsia="Times New Roman" w:hAnsiTheme="minorHAnsi" w:cstheme="minorHAnsi"/>
      <w:b/>
      <w:color w:val="000000" w:themeColor="text1"/>
      <w:szCs w:val="20"/>
    </w:rPr>
  </w:style>
  <w:style w:type="paragraph" w:customStyle="1" w:styleId="PPSSTOHeading3">
    <w:name w:val="PPSS TO Heading 3"/>
    <w:basedOn w:val="Normal"/>
    <w:qFormat/>
    <w:rsid w:val="00013B35"/>
    <w:pPr>
      <w:spacing w:before="120" w:after="120"/>
      <w:ind w:left="360"/>
    </w:pPr>
    <w:rPr>
      <w:rFonts w:asciiTheme="minorHAnsi" w:eastAsia="Times New Roman" w:hAnsiTheme="minorHAnsi" w:cstheme="minorHAnsi"/>
      <w:i/>
      <w:szCs w:val="20"/>
    </w:rPr>
  </w:style>
  <w:style w:type="paragraph" w:customStyle="1" w:styleId="PPSSTOText">
    <w:name w:val="PPSS TO Text"/>
    <w:basedOn w:val="Normal"/>
    <w:qFormat/>
    <w:rsid w:val="00013B35"/>
    <w:pPr>
      <w:spacing w:before="120" w:after="120"/>
    </w:pPr>
    <w:rPr>
      <w:rFonts w:asciiTheme="minorHAnsi" w:eastAsia="Times New Roman" w:hAnsiTheme="minorHAnsi" w:cstheme="minorHAnsi"/>
      <w:sz w:val="22"/>
    </w:rPr>
  </w:style>
  <w:style w:type="paragraph" w:customStyle="1" w:styleId="PPSSTOTitle">
    <w:name w:val="PPSS TO Title"/>
    <w:basedOn w:val="Normal"/>
    <w:qFormat/>
    <w:rsid w:val="00013B35"/>
    <w:pPr>
      <w:spacing w:after="240"/>
      <w:jc w:val="center"/>
    </w:pPr>
    <w:rPr>
      <w:rFonts w:asciiTheme="minorHAnsi" w:eastAsia="Times New Roman" w:hAnsiTheme="minorHAnsi" w:cstheme="minorHAnsi"/>
      <w:b/>
      <w:color w:val="17365D" w:themeColor="text2" w:themeShade="BF"/>
      <w:sz w:val="28"/>
      <w:szCs w:val="28"/>
    </w:rPr>
  </w:style>
  <w:style w:type="character" w:styleId="CommentReference">
    <w:name w:val="annotation reference"/>
    <w:basedOn w:val="DefaultParagraphFont"/>
    <w:uiPriority w:val="99"/>
    <w:semiHidden/>
    <w:unhideWhenUsed/>
    <w:rsid w:val="0097527D"/>
    <w:rPr>
      <w:sz w:val="16"/>
      <w:szCs w:val="16"/>
    </w:rPr>
  </w:style>
  <w:style w:type="paragraph" w:styleId="CommentText">
    <w:name w:val="annotation text"/>
    <w:basedOn w:val="Normal"/>
    <w:link w:val="CommentTextChar"/>
    <w:uiPriority w:val="99"/>
    <w:semiHidden/>
    <w:unhideWhenUsed/>
    <w:rsid w:val="0097527D"/>
    <w:rPr>
      <w:sz w:val="20"/>
      <w:szCs w:val="20"/>
    </w:rPr>
  </w:style>
  <w:style w:type="character" w:customStyle="1" w:styleId="CommentTextChar">
    <w:name w:val="Comment Text Char"/>
    <w:basedOn w:val="DefaultParagraphFont"/>
    <w:link w:val="CommentText"/>
    <w:uiPriority w:val="99"/>
    <w:semiHidden/>
    <w:rsid w:val="0097527D"/>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527D"/>
    <w:rPr>
      <w:b/>
      <w:bCs/>
    </w:rPr>
  </w:style>
  <w:style w:type="character" w:customStyle="1" w:styleId="CommentSubjectChar">
    <w:name w:val="Comment Subject Char"/>
    <w:basedOn w:val="CommentTextChar"/>
    <w:link w:val="CommentSubject"/>
    <w:uiPriority w:val="99"/>
    <w:semiHidden/>
    <w:rsid w:val="0097527D"/>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97527D"/>
    <w:rPr>
      <w:rFonts w:ascii="Tahoma" w:hAnsi="Tahoma" w:cs="Tahoma"/>
      <w:sz w:val="16"/>
      <w:szCs w:val="16"/>
    </w:rPr>
  </w:style>
  <w:style w:type="character" w:customStyle="1" w:styleId="BalloonTextChar">
    <w:name w:val="Balloon Text Char"/>
    <w:basedOn w:val="DefaultParagraphFont"/>
    <w:link w:val="BalloonText"/>
    <w:uiPriority w:val="99"/>
    <w:semiHidden/>
    <w:rsid w:val="0097527D"/>
    <w:rPr>
      <w:rFonts w:ascii="Tahoma" w:eastAsia="Calibri" w:hAnsi="Tahoma" w:cs="Tahoma"/>
      <w:sz w:val="16"/>
      <w:szCs w:val="16"/>
    </w:rPr>
  </w:style>
  <w:style w:type="character" w:styleId="Hyperlink">
    <w:name w:val="Hyperlink"/>
    <w:basedOn w:val="DefaultParagraphFont"/>
    <w:uiPriority w:val="99"/>
    <w:unhideWhenUsed/>
    <w:rsid w:val="006667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B35"/>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013B35"/>
    <w:pPr>
      <w:spacing w:after="200" w:line="276" w:lineRule="auto"/>
    </w:pPr>
    <w:rPr>
      <w:rFonts w:ascii="Calibri" w:hAnsi="Calibri"/>
      <w:sz w:val="20"/>
      <w:szCs w:val="20"/>
    </w:rPr>
  </w:style>
  <w:style w:type="character" w:customStyle="1" w:styleId="FootnoteTextChar">
    <w:name w:val="Footnote Text Char"/>
    <w:basedOn w:val="DefaultParagraphFont"/>
    <w:link w:val="FootnoteText"/>
    <w:uiPriority w:val="99"/>
    <w:rsid w:val="00013B35"/>
    <w:rPr>
      <w:rFonts w:ascii="Calibri" w:eastAsia="Calibri" w:hAnsi="Calibri" w:cs="Times New Roman"/>
      <w:sz w:val="20"/>
      <w:szCs w:val="20"/>
    </w:rPr>
  </w:style>
  <w:style w:type="character" w:styleId="FootnoteReference">
    <w:name w:val="footnote reference"/>
    <w:basedOn w:val="DefaultParagraphFont"/>
    <w:uiPriority w:val="99"/>
    <w:rsid w:val="00013B35"/>
    <w:rPr>
      <w:rFonts w:cs="Times New Roman"/>
      <w:vertAlign w:val="superscript"/>
    </w:rPr>
  </w:style>
  <w:style w:type="paragraph" w:styleId="Header">
    <w:name w:val="header"/>
    <w:basedOn w:val="Normal"/>
    <w:link w:val="HeaderChar"/>
    <w:uiPriority w:val="99"/>
    <w:unhideWhenUsed/>
    <w:rsid w:val="00013B35"/>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013B35"/>
    <w:rPr>
      <w:rFonts w:ascii="Times New Roman" w:hAnsi="Times New Roman"/>
      <w:sz w:val="24"/>
    </w:rPr>
  </w:style>
  <w:style w:type="paragraph" w:styleId="Footer">
    <w:name w:val="footer"/>
    <w:basedOn w:val="Normal"/>
    <w:link w:val="FooterChar"/>
    <w:uiPriority w:val="99"/>
    <w:unhideWhenUsed/>
    <w:rsid w:val="00013B35"/>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013B35"/>
    <w:rPr>
      <w:rFonts w:ascii="Times New Roman" w:hAnsi="Times New Roman"/>
      <w:sz w:val="24"/>
    </w:rPr>
  </w:style>
  <w:style w:type="paragraph" w:customStyle="1" w:styleId="PPSSTOExhibitTitle">
    <w:name w:val="PPSS TO Exhibit Title"/>
    <w:basedOn w:val="Normal"/>
    <w:qFormat/>
    <w:rsid w:val="00013B35"/>
    <w:pPr>
      <w:spacing w:before="240"/>
      <w:jc w:val="center"/>
    </w:pPr>
    <w:rPr>
      <w:rFonts w:asciiTheme="minorHAnsi" w:eastAsia="Times New Roman" w:hAnsiTheme="minorHAnsi" w:cstheme="minorHAnsi"/>
      <w:b/>
      <w:szCs w:val="20"/>
    </w:rPr>
  </w:style>
  <w:style w:type="paragraph" w:customStyle="1" w:styleId="PPSSTOHeading1">
    <w:name w:val="PPSS TO Heading 1"/>
    <w:basedOn w:val="Normal"/>
    <w:qFormat/>
    <w:rsid w:val="00013B35"/>
    <w:pPr>
      <w:spacing w:before="240" w:after="120"/>
    </w:pPr>
    <w:rPr>
      <w:rFonts w:asciiTheme="minorHAnsi" w:eastAsia="Times New Roman" w:hAnsiTheme="minorHAnsi" w:cstheme="minorHAnsi"/>
      <w:b/>
      <w:color w:val="000000" w:themeColor="text1"/>
      <w:szCs w:val="20"/>
    </w:rPr>
  </w:style>
  <w:style w:type="paragraph" w:customStyle="1" w:styleId="PPSSTOHeading2">
    <w:name w:val="PPSS TO Heading 2"/>
    <w:basedOn w:val="Normal"/>
    <w:qFormat/>
    <w:rsid w:val="00013B35"/>
    <w:pPr>
      <w:spacing w:before="120" w:after="120"/>
      <w:ind w:left="360"/>
    </w:pPr>
    <w:rPr>
      <w:rFonts w:asciiTheme="minorHAnsi" w:eastAsia="Times New Roman" w:hAnsiTheme="minorHAnsi" w:cstheme="minorHAnsi"/>
      <w:b/>
      <w:color w:val="000000" w:themeColor="text1"/>
      <w:szCs w:val="20"/>
    </w:rPr>
  </w:style>
  <w:style w:type="paragraph" w:customStyle="1" w:styleId="PPSSTOHeading3">
    <w:name w:val="PPSS TO Heading 3"/>
    <w:basedOn w:val="Normal"/>
    <w:qFormat/>
    <w:rsid w:val="00013B35"/>
    <w:pPr>
      <w:spacing w:before="120" w:after="120"/>
      <w:ind w:left="360"/>
    </w:pPr>
    <w:rPr>
      <w:rFonts w:asciiTheme="minorHAnsi" w:eastAsia="Times New Roman" w:hAnsiTheme="minorHAnsi" w:cstheme="minorHAnsi"/>
      <w:i/>
      <w:szCs w:val="20"/>
    </w:rPr>
  </w:style>
  <w:style w:type="paragraph" w:customStyle="1" w:styleId="PPSSTOText">
    <w:name w:val="PPSS TO Text"/>
    <w:basedOn w:val="Normal"/>
    <w:qFormat/>
    <w:rsid w:val="00013B35"/>
    <w:pPr>
      <w:spacing w:before="120" w:after="120"/>
    </w:pPr>
    <w:rPr>
      <w:rFonts w:asciiTheme="minorHAnsi" w:eastAsia="Times New Roman" w:hAnsiTheme="minorHAnsi" w:cstheme="minorHAnsi"/>
      <w:sz w:val="22"/>
    </w:rPr>
  </w:style>
  <w:style w:type="paragraph" w:customStyle="1" w:styleId="PPSSTOTitle">
    <w:name w:val="PPSS TO Title"/>
    <w:basedOn w:val="Normal"/>
    <w:qFormat/>
    <w:rsid w:val="00013B35"/>
    <w:pPr>
      <w:spacing w:after="240"/>
      <w:jc w:val="center"/>
    </w:pPr>
    <w:rPr>
      <w:rFonts w:asciiTheme="minorHAnsi" w:eastAsia="Times New Roman" w:hAnsiTheme="minorHAnsi" w:cstheme="minorHAnsi"/>
      <w:b/>
      <w:color w:val="17365D" w:themeColor="text2" w:themeShade="BF"/>
      <w:sz w:val="28"/>
      <w:szCs w:val="28"/>
    </w:rPr>
  </w:style>
  <w:style w:type="character" w:styleId="CommentReference">
    <w:name w:val="annotation reference"/>
    <w:basedOn w:val="DefaultParagraphFont"/>
    <w:uiPriority w:val="99"/>
    <w:semiHidden/>
    <w:unhideWhenUsed/>
    <w:rsid w:val="0097527D"/>
    <w:rPr>
      <w:sz w:val="16"/>
      <w:szCs w:val="16"/>
    </w:rPr>
  </w:style>
  <w:style w:type="paragraph" w:styleId="CommentText">
    <w:name w:val="annotation text"/>
    <w:basedOn w:val="Normal"/>
    <w:link w:val="CommentTextChar"/>
    <w:uiPriority w:val="99"/>
    <w:semiHidden/>
    <w:unhideWhenUsed/>
    <w:rsid w:val="0097527D"/>
    <w:rPr>
      <w:sz w:val="20"/>
      <w:szCs w:val="20"/>
    </w:rPr>
  </w:style>
  <w:style w:type="character" w:customStyle="1" w:styleId="CommentTextChar">
    <w:name w:val="Comment Text Char"/>
    <w:basedOn w:val="DefaultParagraphFont"/>
    <w:link w:val="CommentText"/>
    <w:uiPriority w:val="99"/>
    <w:semiHidden/>
    <w:rsid w:val="0097527D"/>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527D"/>
    <w:rPr>
      <w:b/>
      <w:bCs/>
    </w:rPr>
  </w:style>
  <w:style w:type="character" w:customStyle="1" w:styleId="CommentSubjectChar">
    <w:name w:val="Comment Subject Char"/>
    <w:basedOn w:val="CommentTextChar"/>
    <w:link w:val="CommentSubject"/>
    <w:uiPriority w:val="99"/>
    <w:semiHidden/>
    <w:rsid w:val="0097527D"/>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97527D"/>
    <w:rPr>
      <w:rFonts w:ascii="Tahoma" w:hAnsi="Tahoma" w:cs="Tahoma"/>
      <w:sz w:val="16"/>
      <w:szCs w:val="16"/>
    </w:rPr>
  </w:style>
  <w:style w:type="character" w:customStyle="1" w:styleId="BalloonTextChar">
    <w:name w:val="Balloon Text Char"/>
    <w:basedOn w:val="DefaultParagraphFont"/>
    <w:link w:val="BalloonText"/>
    <w:uiPriority w:val="99"/>
    <w:semiHidden/>
    <w:rsid w:val="0097527D"/>
    <w:rPr>
      <w:rFonts w:ascii="Tahoma" w:eastAsia="Calibri" w:hAnsi="Tahoma" w:cs="Tahoma"/>
      <w:sz w:val="16"/>
      <w:szCs w:val="16"/>
    </w:rPr>
  </w:style>
  <w:style w:type="character" w:styleId="Hyperlink">
    <w:name w:val="Hyperlink"/>
    <w:basedOn w:val="DefaultParagraphFont"/>
    <w:uiPriority w:val="99"/>
    <w:unhideWhenUsed/>
    <w:rsid w:val="006667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studentaid.ed.gov/sa/about/data-center/student/title-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B742B-7DA8-4632-A83A-2D488EB12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7420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LeClair, Anthony</dc:creator>
  <cp:lastModifiedBy>Ingalls, Katrina</cp:lastModifiedBy>
  <cp:revision>2</cp:revision>
  <cp:lastPrinted>2015-11-25T16:07:00Z</cp:lastPrinted>
  <dcterms:created xsi:type="dcterms:W3CDTF">2015-12-09T19:33:00Z</dcterms:created>
  <dcterms:modified xsi:type="dcterms:W3CDTF">2015-12-09T19:33:00Z</dcterms:modified>
</cp:coreProperties>
</file>