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C90F1" w14:textId="057A078A" w:rsidR="00EB3E6F" w:rsidRPr="003D6545" w:rsidRDefault="00FD66F1" w:rsidP="003D6545">
      <w:pPr>
        <w:tabs>
          <w:tab w:val="left" w:pos="1800"/>
        </w:tabs>
        <w:spacing w:after="0" w:line="240" w:lineRule="auto"/>
        <w:jc w:val="center"/>
        <w:rPr>
          <w:rFonts w:ascii="Times New Roman" w:hAnsi="Times New Roman" w:cs="Times New Roman"/>
          <w:sz w:val="24"/>
          <w:szCs w:val="24"/>
        </w:rPr>
      </w:pPr>
      <w:r w:rsidRPr="003D6545">
        <w:rPr>
          <w:rFonts w:ascii="Times New Roman" w:hAnsi="Times New Roman" w:cs="Times New Roman"/>
          <w:sz w:val="24"/>
          <w:szCs w:val="24"/>
        </w:rPr>
        <w:t>Supporting Statement</w:t>
      </w:r>
      <w:r w:rsidR="00032244" w:rsidRPr="003D6545">
        <w:rPr>
          <w:rFonts w:ascii="Times New Roman" w:hAnsi="Times New Roman" w:cs="Times New Roman"/>
          <w:sz w:val="24"/>
          <w:szCs w:val="24"/>
        </w:rPr>
        <w:t xml:space="preserve"> for </w:t>
      </w:r>
    </w:p>
    <w:p w14:paraId="4A6A1091" w14:textId="567C48AB" w:rsidR="00032244" w:rsidRPr="003D6545" w:rsidRDefault="003B3B61" w:rsidP="003D6545">
      <w:pPr>
        <w:spacing w:after="0" w:line="240" w:lineRule="auto"/>
        <w:jc w:val="center"/>
        <w:rPr>
          <w:rFonts w:ascii="Times New Roman" w:hAnsi="Times New Roman" w:cs="Times New Roman"/>
          <w:b/>
          <w:sz w:val="24"/>
          <w:szCs w:val="24"/>
        </w:rPr>
      </w:pPr>
      <w:r w:rsidRPr="003D6545">
        <w:rPr>
          <w:rFonts w:ascii="Times New Roman" w:hAnsi="Times New Roman" w:cs="Times New Roman"/>
          <w:b/>
          <w:sz w:val="24"/>
          <w:szCs w:val="24"/>
        </w:rPr>
        <w:t>FERC-516, Electric Rate Schedules and Tariff Filings</w:t>
      </w:r>
      <w:r w:rsidR="003D6545" w:rsidRPr="003D6545">
        <w:rPr>
          <w:rFonts w:ascii="Times New Roman" w:hAnsi="Times New Roman" w:cs="Times New Roman"/>
          <w:b/>
          <w:sz w:val="24"/>
          <w:szCs w:val="24"/>
        </w:rPr>
        <w:t>,</w:t>
      </w:r>
    </w:p>
    <w:p w14:paraId="7E3B1A56" w14:textId="5E59BBC3" w:rsidR="003B3B61" w:rsidRPr="003D6545" w:rsidRDefault="00032244" w:rsidP="003D6545">
      <w:pPr>
        <w:spacing w:after="0" w:line="240" w:lineRule="auto"/>
        <w:jc w:val="center"/>
        <w:rPr>
          <w:rFonts w:ascii="Times New Roman" w:hAnsi="Times New Roman" w:cs="Times New Roman"/>
          <w:sz w:val="24"/>
          <w:szCs w:val="24"/>
        </w:rPr>
      </w:pPr>
      <w:r w:rsidRPr="003D6545">
        <w:rPr>
          <w:rFonts w:ascii="Times New Roman" w:hAnsi="Times New Roman" w:cs="Times New Roman"/>
          <w:sz w:val="24"/>
          <w:szCs w:val="24"/>
        </w:rPr>
        <w:t xml:space="preserve">as modified by </w:t>
      </w:r>
      <w:r w:rsidR="003B3B61" w:rsidRPr="003D6545">
        <w:rPr>
          <w:rFonts w:ascii="Times New Roman" w:hAnsi="Times New Roman" w:cs="Times New Roman"/>
          <w:sz w:val="24"/>
          <w:szCs w:val="24"/>
        </w:rPr>
        <w:t xml:space="preserve">the </w:t>
      </w:r>
      <w:r w:rsidR="000036F6" w:rsidRPr="003D6545">
        <w:rPr>
          <w:rFonts w:ascii="Times New Roman" w:hAnsi="Times New Roman" w:cs="Times New Roman"/>
          <w:sz w:val="24"/>
          <w:szCs w:val="24"/>
        </w:rPr>
        <w:t>Proposed</w:t>
      </w:r>
      <w:r w:rsidR="003B3B61" w:rsidRPr="003D6545">
        <w:rPr>
          <w:rFonts w:ascii="Times New Roman" w:hAnsi="Times New Roman" w:cs="Times New Roman"/>
          <w:sz w:val="24"/>
          <w:szCs w:val="24"/>
        </w:rPr>
        <w:t xml:space="preserve"> Rule in Docket </w:t>
      </w:r>
      <w:r w:rsidRPr="003D6545">
        <w:rPr>
          <w:rFonts w:ascii="Times New Roman" w:hAnsi="Times New Roman" w:cs="Times New Roman"/>
          <w:sz w:val="24"/>
          <w:szCs w:val="24"/>
        </w:rPr>
        <w:t xml:space="preserve">No. </w:t>
      </w:r>
      <w:r w:rsidR="000036F6" w:rsidRPr="003D6545">
        <w:rPr>
          <w:rFonts w:ascii="Times New Roman" w:hAnsi="Times New Roman" w:cs="Times New Roman"/>
          <w:sz w:val="24"/>
          <w:szCs w:val="24"/>
        </w:rPr>
        <w:t>RM15-2</w:t>
      </w:r>
      <w:r w:rsidR="00243BFF" w:rsidRPr="003D6545">
        <w:rPr>
          <w:rFonts w:ascii="Times New Roman" w:hAnsi="Times New Roman" w:cs="Times New Roman"/>
          <w:sz w:val="24"/>
          <w:szCs w:val="24"/>
        </w:rPr>
        <w:t>4</w:t>
      </w:r>
      <w:r w:rsidR="008C1798">
        <w:rPr>
          <w:rFonts w:ascii="Times New Roman" w:hAnsi="Times New Roman" w:cs="Times New Roman"/>
          <w:sz w:val="24"/>
          <w:szCs w:val="24"/>
        </w:rPr>
        <w:t>-000</w:t>
      </w:r>
      <w:r w:rsidR="003B3B61" w:rsidRPr="003D6545">
        <w:rPr>
          <w:rFonts w:ascii="Times New Roman" w:hAnsi="Times New Roman" w:cs="Times New Roman"/>
          <w:sz w:val="24"/>
          <w:szCs w:val="24"/>
        </w:rPr>
        <w:t xml:space="preserve"> (</w:t>
      </w:r>
      <w:r w:rsidR="003B3B61" w:rsidRPr="00131BBB">
        <w:rPr>
          <w:rFonts w:ascii="Times New Roman" w:hAnsi="Times New Roman" w:cs="Times New Roman"/>
          <w:sz w:val="24"/>
          <w:szCs w:val="24"/>
        </w:rPr>
        <w:t xml:space="preserve">issued on </w:t>
      </w:r>
      <w:r w:rsidR="00243BFF" w:rsidRPr="00131BBB">
        <w:rPr>
          <w:rFonts w:ascii="Times New Roman" w:hAnsi="Times New Roman" w:cs="Times New Roman"/>
          <w:sz w:val="24"/>
          <w:szCs w:val="24"/>
        </w:rPr>
        <w:t>9/</w:t>
      </w:r>
      <w:r w:rsidR="008C1798" w:rsidRPr="00131BBB">
        <w:rPr>
          <w:rFonts w:ascii="Times New Roman" w:hAnsi="Times New Roman" w:cs="Times New Roman"/>
          <w:sz w:val="24"/>
          <w:szCs w:val="24"/>
        </w:rPr>
        <w:t>17</w:t>
      </w:r>
      <w:r w:rsidR="00DD1976" w:rsidRPr="00131BBB">
        <w:rPr>
          <w:rFonts w:ascii="Times New Roman" w:hAnsi="Times New Roman" w:cs="Times New Roman"/>
          <w:sz w:val="24"/>
          <w:szCs w:val="24"/>
        </w:rPr>
        <w:t>/</w:t>
      </w:r>
      <w:r w:rsidR="002E48FD" w:rsidRPr="00131BBB">
        <w:rPr>
          <w:rFonts w:ascii="Times New Roman" w:hAnsi="Times New Roman" w:cs="Times New Roman"/>
          <w:sz w:val="24"/>
          <w:szCs w:val="24"/>
        </w:rPr>
        <w:t>2015</w:t>
      </w:r>
      <w:r w:rsidR="003B3B61" w:rsidRPr="00131BBB">
        <w:rPr>
          <w:rFonts w:ascii="Times New Roman" w:hAnsi="Times New Roman" w:cs="Times New Roman"/>
          <w:sz w:val="24"/>
          <w:szCs w:val="24"/>
        </w:rPr>
        <w:t>)</w:t>
      </w:r>
    </w:p>
    <w:p w14:paraId="6FBC90F4" w14:textId="77777777" w:rsidR="00FD66F1" w:rsidRPr="003D6545" w:rsidRDefault="00FD66F1" w:rsidP="003D6545">
      <w:pPr>
        <w:spacing w:after="0" w:line="240" w:lineRule="auto"/>
        <w:rPr>
          <w:rFonts w:ascii="Times New Roman" w:hAnsi="Times New Roman" w:cs="Times New Roman"/>
          <w:sz w:val="24"/>
          <w:szCs w:val="24"/>
        </w:rPr>
      </w:pPr>
    </w:p>
    <w:p w14:paraId="6232B100" w14:textId="6375195D" w:rsidR="00F8440A" w:rsidRPr="003D6545" w:rsidRDefault="00F8440A"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 Federal Energy Regulatory Commission (Commission or FERC) requests that the Office of Management a</w:t>
      </w:r>
      <w:r w:rsidR="00B27783" w:rsidRPr="003D6545">
        <w:rPr>
          <w:rFonts w:ascii="Times New Roman" w:hAnsi="Times New Roman" w:cs="Times New Roman"/>
          <w:sz w:val="24"/>
          <w:szCs w:val="24"/>
        </w:rPr>
        <w:t>nd Budget (OMB) review FERC-516 (Electric Rate</w:t>
      </w:r>
      <w:r w:rsidR="00243BFF" w:rsidRPr="003D6545">
        <w:rPr>
          <w:rFonts w:ascii="Times New Roman" w:hAnsi="Times New Roman" w:cs="Times New Roman"/>
          <w:sz w:val="24"/>
          <w:szCs w:val="24"/>
        </w:rPr>
        <w:t xml:space="preserve"> Schedule and Tariff Filings</w:t>
      </w:r>
      <w:r w:rsidR="007C28CF" w:rsidRPr="003D6545">
        <w:rPr>
          <w:rFonts w:ascii="Times New Roman" w:hAnsi="Times New Roman" w:cs="Times New Roman"/>
          <w:sz w:val="24"/>
          <w:szCs w:val="24"/>
        </w:rPr>
        <w:t>)</w:t>
      </w:r>
      <w:r w:rsidR="001D5696" w:rsidRPr="003D6545">
        <w:rPr>
          <w:rFonts w:ascii="Times New Roman" w:hAnsi="Times New Roman" w:cs="Times New Roman"/>
          <w:sz w:val="24"/>
          <w:szCs w:val="24"/>
        </w:rPr>
        <w:t xml:space="preserve">.  </w:t>
      </w:r>
      <w:r w:rsidR="007C28CF" w:rsidRPr="003D6545">
        <w:rPr>
          <w:rFonts w:ascii="Times New Roman" w:hAnsi="Times New Roman" w:cs="Times New Roman"/>
          <w:sz w:val="24"/>
          <w:szCs w:val="24"/>
        </w:rPr>
        <w:t>Changes to the</w:t>
      </w:r>
      <w:r w:rsidRPr="003D6545">
        <w:rPr>
          <w:rFonts w:ascii="Times New Roman" w:hAnsi="Times New Roman" w:cs="Times New Roman"/>
          <w:sz w:val="24"/>
          <w:szCs w:val="24"/>
        </w:rPr>
        <w:t xml:space="preserve"> </w:t>
      </w:r>
      <w:r w:rsidR="007C28CF" w:rsidRPr="003D6545">
        <w:rPr>
          <w:rFonts w:ascii="Times New Roman" w:hAnsi="Times New Roman" w:cs="Times New Roman"/>
          <w:sz w:val="24"/>
          <w:szCs w:val="24"/>
        </w:rPr>
        <w:t>FERC-516</w:t>
      </w:r>
      <w:r w:rsidRPr="003D6545">
        <w:rPr>
          <w:rFonts w:ascii="Times New Roman" w:hAnsi="Times New Roman" w:cs="Times New Roman"/>
          <w:sz w:val="24"/>
          <w:szCs w:val="24"/>
        </w:rPr>
        <w:t xml:space="preserve"> </w:t>
      </w:r>
      <w:r w:rsidR="007C28CF" w:rsidRPr="003D6545">
        <w:rPr>
          <w:rFonts w:ascii="Times New Roman" w:hAnsi="Times New Roman" w:cs="Times New Roman"/>
          <w:sz w:val="24"/>
          <w:szCs w:val="24"/>
        </w:rPr>
        <w:t>reporting requirements</w:t>
      </w:r>
      <w:r w:rsidRPr="003D6545">
        <w:rPr>
          <w:rFonts w:ascii="Times New Roman" w:hAnsi="Times New Roman" w:cs="Times New Roman"/>
          <w:sz w:val="24"/>
          <w:szCs w:val="24"/>
        </w:rPr>
        <w:t xml:space="preserve"> </w:t>
      </w:r>
      <w:r w:rsidR="007C28CF" w:rsidRPr="003D6545">
        <w:rPr>
          <w:rFonts w:ascii="Times New Roman" w:hAnsi="Times New Roman" w:cs="Times New Roman"/>
          <w:sz w:val="24"/>
          <w:szCs w:val="24"/>
        </w:rPr>
        <w:t xml:space="preserve">are proposed in </w:t>
      </w:r>
      <w:r w:rsidR="002E48FD" w:rsidRPr="003D6545">
        <w:rPr>
          <w:rFonts w:ascii="Times New Roman" w:hAnsi="Times New Roman" w:cs="Times New Roman"/>
          <w:sz w:val="24"/>
          <w:szCs w:val="24"/>
        </w:rPr>
        <w:t>the Notice of Proposed Rulemaking (NOPR)</w:t>
      </w:r>
      <w:r w:rsidR="00243BFF" w:rsidRPr="003D6545">
        <w:rPr>
          <w:rFonts w:ascii="Times New Roman" w:hAnsi="Times New Roman" w:cs="Times New Roman"/>
          <w:sz w:val="24"/>
          <w:szCs w:val="24"/>
        </w:rPr>
        <w:t>,</w:t>
      </w:r>
      <w:r w:rsidR="002E48FD" w:rsidRPr="003D6545">
        <w:rPr>
          <w:rFonts w:ascii="Times New Roman" w:hAnsi="Times New Roman" w:cs="Times New Roman"/>
          <w:sz w:val="24"/>
          <w:szCs w:val="24"/>
        </w:rPr>
        <w:t xml:space="preserve"> </w:t>
      </w:r>
      <w:r w:rsidR="00243BFF" w:rsidRPr="003D6545">
        <w:rPr>
          <w:rFonts w:ascii="Times New Roman" w:hAnsi="Times New Roman" w:cs="Times New Roman"/>
          <w:sz w:val="24"/>
          <w:szCs w:val="24"/>
        </w:rPr>
        <w:t xml:space="preserve">on </w:t>
      </w:r>
      <w:r w:rsidR="00E66E17" w:rsidRPr="003D6545">
        <w:rPr>
          <w:rFonts w:ascii="Times New Roman" w:hAnsi="Times New Roman" w:cs="Times New Roman"/>
          <w:sz w:val="24"/>
          <w:szCs w:val="24"/>
        </w:rPr>
        <w:t>“</w:t>
      </w:r>
      <w:r w:rsidR="00243BFF" w:rsidRPr="003D6545">
        <w:rPr>
          <w:rFonts w:ascii="Times New Roman" w:hAnsi="Times New Roman" w:cs="Times New Roman"/>
          <w:sz w:val="24"/>
          <w:szCs w:val="24"/>
        </w:rPr>
        <w:t>Settlement Intervals and Shortage Pricing in Organized Markets,</w:t>
      </w:r>
      <w:r w:rsidR="00E66E17" w:rsidRPr="003D6545">
        <w:rPr>
          <w:rFonts w:ascii="Times New Roman" w:hAnsi="Times New Roman" w:cs="Times New Roman"/>
          <w:sz w:val="24"/>
          <w:szCs w:val="24"/>
        </w:rPr>
        <w:t>”</w:t>
      </w:r>
      <w:r w:rsidR="00243BFF" w:rsidRPr="003D6545">
        <w:rPr>
          <w:rFonts w:ascii="Times New Roman" w:hAnsi="Times New Roman" w:cs="Times New Roman"/>
          <w:sz w:val="24"/>
          <w:szCs w:val="24"/>
        </w:rPr>
        <w:t xml:space="preserve"> </w:t>
      </w:r>
      <w:r w:rsidR="002E48FD" w:rsidRPr="003D6545">
        <w:rPr>
          <w:rFonts w:ascii="Times New Roman" w:hAnsi="Times New Roman" w:cs="Times New Roman"/>
          <w:sz w:val="24"/>
          <w:szCs w:val="24"/>
        </w:rPr>
        <w:t>in Docket No. RM15-2</w:t>
      </w:r>
      <w:r w:rsidR="00243BFF" w:rsidRPr="003D6545">
        <w:rPr>
          <w:rFonts w:ascii="Times New Roman" w:hAnsi="Times New Roman" w:cs="Times New Roman"/>
          <w:sz w:val="24"/>
          <w:szCs w:val="24"/>
        </w:rPr>
        <w:t>4</w:t>
      </w:r>
      <w:r w:rsidR="008C1798">
        <w:rPr>
          <w:rFonts w:ascii="Times New Roman" w:hAnsi="Times New Roman" w:cs="Times New Roman"/>
          <w:sz w:val="24"/>
          <w:szCs w:val="24"/>
        </w:rPr>
        <w:t>-000</w:t>
      </w:r>
      <w:r w:rsidRPr="003D6545">
        <w:rPr>
          <w:rFonts w:ascii="Times New Roman" w:hAnsi="Times New Roman" w:cs="Times New Roman"/>
          <w:sz w:val="24"/>
          <w:szCs w:val="24"/>
        </w:rPr>
        <w:t>.</w:t>
      </w:r>
      <w:r w:rsidR="00727199" w:rsidRPr="00727199">
        <w:rPr>
          <w:rStyle w:val="FootnoteReference"/>
          <w:rFonts w:ascii="Times New Roman" w:hAnsi="Times New Roman" w:cs="Times New Roman"/>
          <w:sz w:val="24"/>
          <w:szCs w:val="24"/>
          <w:vertAlign w:val="superscript"/>
        </w:rPr>
        <w:footnoteReference w:id="2"/>
      </w:r>
    </w:p>
    <w:p w14:paraId="4DBD4350" w14:textId="488A0268" w:rsidR="00F8440A" w:rsidRPr="003D6545" w:rsidRDefault="00F8440A" w:rsidP="003D6545">
      <w:pPr>
        <w:spacing w:after="0" w:line="240" w:lineRule="auto"/>
        <w:rPr>
          <w:rFonts w:ascii="Times New Roman" w:hAnsi="Times New Roman" w:cs="Times New Roman"/>
          <w:sz w:val="24"/>
          <w:szCs w:val="24"/>
        </w:rPr>
      </w:pPr>
    </w:p>
    <w:p w14:paraId="12E3DEBA" w14:textId="35182ACE" w:rsidR="001D5696" w:rsidRPr="003D6545" w:rsidRDefault="001D5696" w:rsidP="00AA38F1">
      <w:pPr>
        <w:autoSpaceDE w:val="0"/>
        <w:autoSpaceDN w:val="0"/>
        <w:adjustRightInd w:val="0"/>
        <w:spacing w:after="0" w:line="240" w:lineRule="auto"/>
        <w:rPr>
          <w:rFonts w:ascii="Times New Roman" w:hAnsi="Times New Roman" w:cs="Times New Roman"/>
          <w:sz w:val="24"/>
          <w:szCs w:val="24"/>
        </w:rPr>
      </w:pPr>
      <w:r w:rsidRPr="003D6545">
        <w:rPr>
          <w:rFonts w:ascii="Times New Roman" w:hAnsi="Times New Roman" w:cs="Times New Roman"/>
          <w:sz w:val="24"/>
          <w:szCs w:val="24"/>
        </w:rPr>
        <w:t>In this NOPR</w:t>
      </w:r>
      <w:r w:rsidR="00032244" w:rsidRPr="003D6545">
        <w:rPr>
          <w:rFonts w:ascii="Times New Roman" w:hAnsi="Times New Roman" w:cs="Times New Roman"/>
          <w:sz w:val="24"/>
          <w:szCs w:val="24"/>
        </w:rPr>
        <w:t xml:space="preserve"> in RM15-2</w:t>
      </w:r>
      <w:r w:rsidR="005B501F" w:rsidRPr="003D6545">
        <w:rPr>
          <w:rFonts w:ascii="Times New Roman" w:hAnsi="Times New Roman" w:cs="Times New Roman"/>
          <w:sz w:val="24"/>
          <w:szCs w:val="24"/>
        </w:rPr>
        <w:t>4</w:t>
      </w:r>
      <w:r w:rsidR="008C1798">
        <w:rPr>
          <w:rFonts w:ascii="Times New Roman" w:hAnsi="Times New Roman" w:cs="Times New Roman"/>
          <w:sz w:val="24"/>
          <w:szCs w:val="24"/>
        </w:rPr>
        <w:t>-000</w:t>
      </w:r>
      <w:r w:rsidRPr="003D6545">
        <w:rPr>
          <w:rFonts w:ascii="Times New Roman" w:hAnsi="Times New Roman" w:cs="Times New Roman"/>
          <w:sz w:val="24"/>
          <w:szCs w:val="24"/>
        </w:rPr>
        <w:t xml:space="preserve">, FERC is proposing </w:t>
      </w:r>
      <w:r w:rsidR="003F71E1" w:rsidRPr="003D6545">
        <w:rPr>
          <w:rFonts w:ascii="Times New Roman" w:hAnsi="Times New Roman" w:cs="Times New Roman"/>
          <w:sz w:val="24"/>
          <w:szCs w:val="24"/>
        </w:rPr>
        <w:t xml:space="preserve">to revise its regulations to require that each regional transmission organization (RTO) and independent system operator (ISO) </w:t>
      </w:r>
      <w:r w:rsidR="00345419" w:rsidRPr="00AA38F1">
        <w:rPr>
          <w:rFonts w:ascii="Times New Roman" w:hAnsi="Times New Roman" w:cs="Times New Roman"/>
          <w:sz w:val="24"/>
          <w:szCs w:val="24"/>
        </w:rPr>
        <w:t>settle energy transactions in its real-time markets at the same time interval it dispatches energy and settle operating reserves transactions in its real-time markets at the same time interval it prices operating reserves</w:t>
      </w:r>
      <w:r w:rsidR="003F71E1" w:rsidRPr="00AA38F1">
        <w:rPr>
          <w:rFonts w:ascii="Times New Roman" w:hAnsi="Times New Roman" w:cs="Times New Roman"/>
          <w:sz w:val="24"/>
          <w:szCs w:val="24"/>
        </w:rPr>
        <w:t xml:space="preserve">.  </w:t>
      </w:r>
      <w:r w:rsidR="003F71E1" w:rsidRPr="003D6545">
        <w:rPr>
          <w:rFonts w:ascii="Times New Roman" w:hAnsi="Times New Roman" w:cs="Times New Roman"/>
          <w:sz w:val="24"/>
          <w:szCs w:val="24"/>
        </w:rPr>
        <w:t>The Commission also proposes to revise its regulations to require that each RTO/ISO trigger shortage pricing for any dispatch interval during which any shortage of energy or operating reserves occurs.  Adopting these reforms would align prices with resource dispatch instructions and operating needs, providing accurate incentives for resource performance.</w:t>
      </w:r>
      <w:r w:rsidRPr="003D6545">
        <w:rPr>
          <w:rFonts w:ascii="Times New Roman" w:hAnsi="Times New Roman" w:cs="Times New Roman"/>
          <w:sz w:val="24"/>
          <w:szCs w:val="24"/>
        </w:rPr>
        <w:t xml:space="preserve">  </w:t>
      </w:r>
    </w:p>
    <w:p w14:paraId="6FBC90F8" w14:textId="77777777" w:rsidR="0002242D" w:rsidRPr="003D6545" w:rsidRDefault="0002242D" w:rsidP="003D6545">
      <w:pPr>
        <w:spacing w:after="0" w:line="240" w:lineRule="auto"/>
        <w:rPr>
          <w:rFonts w:ascii="Times New Roman" w:hAnsi="Times New Roman" w:cs="Times New Roman"/>
          <w:sz w:val="24"/>
          <w:szCs w:val="24"/>
        </w:rPr>
      </w:pPr>
    </w:p>
    <w:p w14:paraId="6FBC90F9" w14:textId="77777777" w:rsidR="00A72E7B" w:rsidRPr="003D6545" w:rsidRDefault="00A72E7B"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CIRCUMSTANCES THAT MAKE THE COLLECTION OF INFORMATION NECESSARY</w:t>
      </w:r>
    </w:p>
    <w:p w14:paraId="6FBC90FA" w14:textId="77777777" w:rsidR="00A72E7B" w:rsidRPr="003D6545" w:rsidRDefault="00A72E7B" w:rsidP="003D6545">
      <w:pPr>
        <w:spacing w:after="0" w:line="240" w:lineRule="auto"/>
        <w:rPr>
          <w:rFonts w:ascii="Times New Roman" w:hAnsi="Times New Roman" w:cs="Times New Roman"/>
          <w:sz w:val="24"/>
          <w:szCs w:val="24"/>
        </w:rPr>
      </w:pPr>
    </w:p>
    <w:p w14:paraId="670C897F" w14:textId="1C9681CE" w:rsidR="00F14038" w:rsidRPr="003D6545" w:rsidRDefault="00EC7715" w:rsidP="003D6545">
      <w:pPr>
        <w:spacing w:after="0" w:line="240" w:lineRule="auto"/>
        <w:rPr>
          <w:rFonts w:ascii="Times New Roman" w:hAnsi="Times New Roman" w:cs="Times New Roman"/>
          <w:sz w:val="24"/>
          <w:szCs w:val="24"/>
        </w:rPr>
      </w:pPr>
      <w:r w:rsidRPr="003D6545">
        <w:rPr>
          <w:rFonts w:ascii="Times New Roman" w:hAnsi="Times New Roman" w:cs="Times New Roman"/>
          <w:b/>
          <w:sz w:val="24"/>
          <w:szCs w:val="24"/>
        </w:rPr>
        <w:t>FERC-516, in general.</w:t>
      </w:r>
      <w:r w:rsidRPr="003D6545">
        <w:rPr>
          <w:rFonts w:ascii="Times New Roman" w:hAnsi="Times New Roman" w:cs="Times New Roman"/>
          <w:sz w:val="24"/>
          <w:szCs w:val="24"/>
        </w:rPr>
        <w:t xml:space="preserve">  </w:t>
      </w:r>
      <w:r w:rsidR="0042731D">
        <w:rPr>
          <w:rFonts w:ascii="Times New Roman" w:hAnsi="Times New Roman" w:cs="Times New Roman"/>
          <w:sz w:val="24"/>
          <w:szCs w:val="24"/>
        </w:rPr>
        <w:t xml:space="preserve">Section </w:t>
      </w:r>
      <w:r w:rsidR="00F81142" w:rsidRPr="003D6545">
        <w:rPr>
          <w:rFonts w:ascii="Times New Roman" w:hAnsi="Times New Roman" w:cs="Times New Roman"/>
          <w:sz w:val="24"/>
          <w:szCs w:val="24"/>
        </w:rPr>
        <w:t>205</w:t>
      </w:r>
      <w:r w:rsidR="0042731D">
        <w:rPr>
          <w:rFonts w:ascii="Times New Roman" w:hAnsi="Times New Roman" w:cs="Times New Roman"/>
          <w:sz w:val="24"/>
          <w:szCs w:val="24"/>
        </w:rPr>
        <w:t xml:space="preserve"> of the Federal Power Act (FPA)</w:t>
      </w:r>
      <w:r w:rsidR="00F81142" w:rsidRPr="003D6545">
        <w:rPr>
          <w:rStyle w:val="FootnoteReference"/>
          <w:rFonts w:ascii="Times New Roman" w:hAnsi="Times New Roman" w:cs="Times New Roman"/>
          <w:sz w:val="24"/>
          <w:szCs w:val="24"/>
          <w:vertAlign w:val="superscript"/>
        </w:rPr>
        <w:footnoteReference w:id="3"/>
      </w:r>
      <w:r w:rsidR="00F14038" w:rsidRPr="003D6545">
        <w:rPr>
          <w:rFonts w:ascii="Times New Roman" w:hAnsi="Times New Roman" w:cs="Times New Roman"/>
          <w:sz w:val="24"/>
          <w:szCs w:val="24"/>
        </w:rPr>
        <w:t xml:space="preserve"> requires the Commission to ensure that the rates and charges for the wholesale</w:t>
      </w:r>
      <w:r w:rsidR="00B047E2" w:rsidRPr="003D6545">
        <w:rPr>
          <w:rFonts w:ascii="Times New Roman" w:hAnsi="Times New Roman" w:cs="Times New Roman"/>
          <w:sz w:val="24"/>
          <w:szCs w:val="24"/>
        </w:rPr>
        <w:t xml:space="preserve"> sale of electric energy are</w:t>
      </w:r>
      <w:r w:rsidR="00F14038" w:rsidRPr="003D6545">
        <w:rPr>
          <w:rFonts w:ascii="Times New Roman" w:hAnsi="Times New Roman" w:cs="Times New Roman"/>
          <w:sz w:val="24"/>
          <w:szCs w:val="24"/>
        </w:rPr>
        <w:t xml:space="preserve"> just and reasonable.  Section 205 </w:t>
      </w:r>
      <w:r w:rsidR="0042731D">
        <w:rPr>
          <w:rFonts w:ascii="Times New Roman" w:hAnsi="Times New Roman" w:cs="Times New Roman"/>
          <w:sz w:val="24"/>
          <w:szCs w:val="24"/>
        </w:rPr>
        <w:t xml:space="preserve">of the FPA </w:t>
      </w:r>
      <w:r w:rsidR="00F14038" w:rsidRPr="003D6545">
        <w:rPr>
          <w:rFonts w:ascii="Times New Roman" w:hAnsi="Times New Roman" w:cs="Times New Roman"/>
          <w:sz w:val="24"/>
          <w:szCs w:val="24"/>
        </w:rPr>
        <w:t xml:space="preserve">also requires that the rules and regulations affecting or pertaining to the rates for the wholesale sale of electric energy be just and reasonable.  </w:t>
      </w:r>
    </w:p>
    <w:p w14:paraId="032A9ED4" w14:textId="2FD079F2" w:rsidR="00185ACA" w:rsidRPr="003D6545" w:rsidRDefault="00185ACA" w:rsidP="003D6545">
      <w:pPr>
        <w:spacing w:after="0" w:line="240" w:lineRule="auto"/>
        <w:rPr>
          <w:rFonts w:ascii="Times New Roman" w:hAnsi="Times New Roman" w:cs="Times New Roman"/>
          <w:sz w:val="24"/>
          <w:szCs w:val="24"/>
        </w:rPr>
      </w:pPr>
    </w:p>
    <w:p w14:paraId="4E69117B" w14:textId="3FC06106" w:rsidR="00185ACA" w:rsidRPr="003D6545" w:rsidRDefault="00EC7715" w:rsidP="003D6545">
      <w:pPr>
        <w:spacing w:after="0" w:line="240" w:lineRule="auto"/>
        <w:rPr>
          <w:rFonts w:ascii="Times New Roman" w:hAnsi="Times New Roman" w:cs="Times New Roman"/>
          <w:sz w:val="24"/>
          <w:szCs w:val="24"/>
        </w:rPr>
      </w:pPr>
      <w:r w:rsidRPr="003D6545">
        <w:rPr>
          <w:rFonts w:ascii="Times New Roman" w:hAnsi="Times New Roman" w:cs="Times New Roman"/>
          <w:b/>
          <w:sz w:val="24"/>
          <w:szCs w:val="24"/>
        </w:rPr>
        <w:t>NOPR in RM15-24</w:t>
      </w:r>
      <w:r w:rsidR="008C1798">
        <w:rPr>
          <w:rFonts w:ascii="Times New Roman" w:hAnsi="Times New Roman" w:cs="Times New Roman"/>
          <w:b/>
          <w:sz w:val="24"/>
          <w:szCs w:val="24"/>
        </w:rPr>
        <w:t>-000</w:t>
      </w:r>
      <w:r w:rsidRPr="003D6545">
        <w:rPr>
          <w:rFonts w:ascii="Times New Roman" w:hAnsi="Times New Roman" w:cs="Times New Roman"/>
          <w:b/>
          <w:sz w:val="24"/>
          <w:szCs w:val="24"/>
        </w:rPr>
        <w:t>.</w:t>
      </w:r>
      <w:r w:rsidRPr="003D6545">
        <w:rPr>
          <w:rFonts w:ascii="Times New Roman" w:hAnsi="Times New Roman" w:cs="Times New Roman"/>
          <w:sz w:val="24"/>
          <w:szCs w:val="24"/>
        </w:rPr>
        <w:t xml:space="preserve">  </w:t>
      </w:r>
      <w:r w:rsidR="00185ACA" w:rsidRPr="003D6545">
        <w:rPr>
          <w:rFonts w:ascii="Times New Roman" w:hAnsi="Times New Roman" w:cs="Times New Roman"/>
          <w:sz w:val="24"/>
          <w:szCs w:val="24"/>
        </w:rPr>
        <w:t xml:space="preserve">In the NOPR, FERC is proposing to address two existing practices that may fail to compensate resources at prices that reflect the value of the service resources provide to the system, thereby distorting price signals.  In certain instances, this creates a disincentive for resources to respond to dispatch signals.  The Commission proposes to require that each regional transmission organization (RTO) and independent system operator (ISO) align settlement and dispatch intervals by settling energy </w:t>
      </w:r>
      <w:r w:rsidR="00345419">
        <w:rPr>
          <w:rFonts w:ascii="Times New Roman" w:hAnsi="Times New Roman" w:cs="Times New Roman"/>
          <w:sz w:val="24"/>
          <w:szCs w:val="24"/>
        </w:rPr>
        <w:t xml:space="preserve">transactions in its real-time markets at the same time interval it dispatches energy </w:t>
      </w:r>
      <w:r w:rsidR="00185ACA" w:rsidRPr="003D6545">
        <w:rPr>
          <w:rFonts w:ascii="Times New Roman" w:hAnsi="Times New Roman" w:cs="Times New Roman"/>
          <w:sz w:val="24"/>
          <w:szCs w:val="24"/>
        </w:rPr>
        <w:t xml:space="preserve">and </w:t>
      </w:r>
      <w:r w:rsidR="00345419">
        <w:rPr>
          <w:rFonts w:ascii="Times New Roman" w:hAnsi="Times New Roman" w:cs="Times New Roman"/>
          <w:sz w:val="24"/>
          <w:szCs w:val="24"/>
        </w:rPr>
        <w:t xml:space="preserve">settling </w:t>
      </w:r>
      <w:r w:rsidR="00185ACA" w:rsidRPr="003D6545">
        <w:rPr>
          <w:rFonts w:ascii="Times New Roman" w:hAnsi="Times New Roman" w:cs="Times New Roman"/>
          <w:sz w:val="24"/>
          <w:szCs w:val="24"/>
        </w:rPr>
        <w:t xml:space="preserve">operating reserves transactions </w:t>
      </w:r>
      <w:r w:rsidR="00345419">
        <w:rPr>
          <w:rFonts w:ascii="Times New Roman" w:hAnsi="Times New Roman" w:cs="Times New Roman"/>
          <w:sz w:val="24"/>
          <w:szCs w:val="24"/>
        </w:rPr>
        <w:t xml:space="preserve">in its real-time markets </w:t>
      </w:r>
      <w:r w:rsidR="00185ACA" w:rsidRPr="003D6545">
        <w:rPr>
          <w:rFonts w:ascii="Times New Roman" w:hAnsi="Times New Roman" w:cs="Times New Roman"/>
          <w:sz w:val="24"/>
          <w:szCs w:val="24"/>
        </w:rPr>
        <w:t xml:space="preserve">at the same time interval </w:t>
      </w:r>
      <w:r w:rsidR="00345419">
        <w:rPr>
          <w:rFonts w:ascii="Times New Roman" w:hAnsi="Times New Roman" w:cs="Times New Roman"/>
          <w:sz w:val="24"/>
          <w:szCs w:val="24"/>
        </w:rPr>
        <w:t>prices operating reserves</w:t>
      </w:r>
      <w:r w:rsidR="00185ACA" w:rsidRPr="003D6545">
        <w:rPr>
          <w:rFonts w:ascii="Times New Roman" w:hAnsi="Times New Roman" w:cs="Times New Roman"/>
          <w:sz w:val="24"/>
          <w:szCs w:val="24"/>
        </w:rPr>
        <w:t xml:space="preserve">.  The Commission is also proposing to require that each RTO/ISO trigger shortage pricing for any dispatch interval during which a shortage of energy or operating reserves occurs.  </w:t>
      </w:r>
    </w:p>
    <w:p w14:paraId="78A2940A" w14:textId="77777777" w:rsidR="00307830" w:rsidRPr="003D6545" w:rsidRDefault="00307830" w:rsidP="003D6545">
      <w:pPr>
        <w:spacing w:after="0" w:line="240" w:lineRule="auto"/>
        <w:rPr>
          <w:rFonts w:ascii="Times New Roman" w:hAnsi="Times New Roman" w:cs="Times New Roman"/>
          <w:sz w:val="24"/>
          <w:szCs w:val="24"/>
        </w:rPr>
      </w:pPr>
    </w:p>
    <w:p w14:paraId="6FBC90FC" w14:textId="77777777" w:rsidR="00A72E7B"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HOW, BY WHOM, AND FOR WHAT PURPOSE THE INFORMATION IS TO BE USED AND THE CONSEQUENCES OF NOT COLLECTING THE INFORMATION</w:t>
      </w:r>
    </w:p>
    <w:p w14:paraId="6FBC90FD" w14:textId="77777777" w:rsidR="00EB3E6F" w:rsidRPr="003D6545" w:rsidRDefault="00EB3E6F" w:rsidP="003D6545">
      <w:pPr>
        <w:spacing w:after="0" w:line="240" w:lineRule="auto"/>
        <w:rPr>
          <w:rFonts w:ascii="Times New Roman" w:hAnsi="Times New Roman" w:cs="Times New Roman"/>
          <w:sz w:val="24"/>
          <w:szCs w:val="24"/>
        </w:rPr>
      </w:pPr>
    </w:p>
    <w:p w14:paraId="42010895" w14:textId="525709C1" w:rsidR="00B721AF" w:rsidRPr="003D6545" w:rsidRDefault="004276A5"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The </w:t>
      </w:r>
      <w:r w:rsidR="007F2F2F" w:rsidRPr="003D6545">
        <w:rPr>
          <w:rFonts w:ascii="Times New Roman" w:hAnsi="Times New Roman" w:cs="Times New Roman"/>
          <w:sz w:val="24"/>
          <w:szCs w:val="24"/>
        </w:rPr>
        <w:t>NOPR</w:t>
      </w:r>
      <w:r w:rsidR="00E46868" w:rsidRPr="003D6545">
        <w:rPr>
          <w:rFonts w:ascii="Times New Roman" w:hAnsi="Times New Roman" w:cs="Times New Roman"/>
          <w:sz w:val="24"/>
          <w:szCs w:val="24"/>
        </w:rPr>
        <w:t xml:space="preserve"> </w:t>
      </w:r>
      <w:r w:rsidR="00EC7715" w:rsidRPr="003D6545">
        <w:rPr>
          <w:rFonts w:ascii="Times New Roman" w:hAnsi="Times New Roman" w:cs="Times New Roman"/>
          <w:sz w:val="24"/>
          <w:szCs w:val="24"/>
        </w:rPr>
        <w:t>in RM15-24</w:t>
      </w:r>
      <w:r w:rsidR="008C1798">
        <w:rPr>
          <w:rFonts w:ascii="Times New Roman" w:hAnsi="Times New Roman" w:cs="Times New Roman"/>
          <w:sz w:val="24"/>
          <w:szCs w:val="24"/>
        </w:rPr>
        <w:t>-000</w:t>
      </w:r>
      <w:r w:rsidR="00EC7715" w:rsidRPr="003D6545">
        <w:rPr>
          <w:rFonts w:ascii="Times New Roman" w:hAnsi="Times New Roman" w:cs="Times New Roman"/>
          <w:sz w:val="24"/>
          <w:szCs w:val="24"/>
        </w:rPr>
        <w:t xml:space="preserve"> </w:t>
      </w:r>
      <w:r w:rsidR="00E46868" w:rsidRPr="003D6545">
        <w:rPr>
          <w:rFonts w:ascii="Times New Roman" w:hAnsi="Times New Roman" w:cs="Times New Roman"/>
          <w:sz w:val="24"/>
          <w:szCs w:val="24"/>
        </w:rPr>
        <w:t>proposes to address existing practices that may result in resources not being paid a price that reflects the value of a service provided to the system, thereby distorting price signals.  The Commission proposes to require that each RTO</w:t>
      </w:r>
      <w:r w:rsidR="0092440D">
        <w:rPr>
          <w:rFonts w:ascii="Times New Roman" w:hAnsi="Times New Roman" w:cs="Times New Roman"/>
          <w:sz w:val="24"/>
          <w:szCs w:val="24"/>
        </w:rPr>
        <w:t>/</w:t>
      </w:r>
      <w:r w:rsidR="00E46868" w:rsidRPr="003D6545">
        <w:rPr>
          <w:rFonts w:ascii="Times New Roman" w:hAnsi="Times New Roman" w:cs="Times New Roman"/>
          <w:sz w:val="24"/>
          <w:szCs w:val="24"/>
        </w:rPr>
        <w:t xml:space="preserve">ISO align settlement and dispatch intervals by </w:t>
      </w:r>
      <w:r w:rsidR="00345419" w:rsidRPr="003D6545">
        <w:rPr>
          <w:rFonts w:ascii="Times New Roman" w:hAnsi="Times New Roman" w:cs="Times New Roman"/>
          <w:sz w:val="24"/>
          <w:szCs w:val="24"/>
        </w:rPr>
        <w:t xml:space="preserve">settling energy </w:t>
      </w:r>
      <w:r w:rsidR="00345419">
        <w:rPr>
          <w:rFonts w:ascii="Times New Roman" w:hAnsi="Times New Roman" w:cs="Times New Roman"/>
          <w:sz w:val="24"/>
          <w:szCs w:val="24"/>
        </w:rPr>
        <w:t xml:space="preserve">transactions in its real-time markets at the same time interval it dispatches energy </w:t>
      </w:r>
      <w:r w:rsidR="00345419" w:rsidRPr="003D6545">
        <w:rPr>
          <w:rFonts w:ascii="Times New Roman" w:hAnsi="Times New Roman" w:cs="Times New Roman"/>
          <w:sz w:val="24"/>
          <w:szCs w:val="24"/>
        </w:rPr>
        <w:t xml:space="preserve">and </w:t>
      </w:r>
      <w:r w:rsidR="00345419">
        <w:rPr>
          <w:rFonts w:ascii="Times New Roman" w:hAnsi="Times New Roman" w:cs="Times New Roman"/>
          <w:sz w:val="24"/>
          <w:szCs w:val="24"/>
        </w:rPr>
        <w:t xml:space="preserve">settling </w:t>
      </w:r>
      <w:r w:rsidR="00345419" w:rsidRPr="003D6545">
        <w:rPr>
          <w:rFonts w:ascii="Times New Roman" w:hAnsi="Times New Roman" w:cs="Times New Roman"/>
          <w:sz w:val="24"/>
          <w:szCs w:val="24"/>
        </w:rPr>
        <w:t xml:space="preserve">operating reserves transactions </w:t>
      </w:r>
      <w:r w:rsidR="00345419">
        <w:rPr>
          <w:rFonts w:ascii="Times New Roman" w:hAnsi="Times New Roman" w:cs="Times New Roman"/>
          <w:sz w:val="24"/>
          <w:szCs w:val="24"/>
        </w:rPr>
        <w:t xml:space="preserve">in its real-time markets at </w:t>
      </w:r>
      <w:r w:rsidR="00345419" w:rsidRPr="003D6545">
        <w:rPr>
          <w:rFonts w:ascii="Times New Roman" w:hAnsi="Times New Roman" w:cs="Times New Roman"/>
          <w:sz w:val="24"/>
          <w:szCs w:val="24"/>
        </w:rPr>
        <w:t xml:space="preserve">the same time interval </w:t>
      </w:r>
      <w:r w:rsidR="00345419">
        <w:rPr>
          <w:rFonts w:ascii="Times New Roman" w:hAnsi="Times New Roman" w:cs="Times New Roman"/>
          <w:sz w:val="24"/>
          <w:szCs w:val="24"/>
        </w:rPr>
        <w:t>prices operating reserves</w:t>
      </w:r>
      <w:r w:rsidR="00E46868" w:rsidRPr="003D6545">
        <w:rPr>
          <w:rFonts w:ascii="Times New Roman" w:hAnsi="Times New Roman" w:cs="Times New Roman"/>
          <w:sz w:val="24"/>
          <w:szCs w:val="24"/>
        </w:rPr>
        <w:t>.</w:t>
      </w:r>
    </w:p>
    <w:p w14:paraId="4C04FC0B" w14:textId="77777777" w:rsidR="00B721AF" w:rsidRPr="003D6545" w:rsidRDefault="00B721AF" w:rsidP="003D6545">
      <w:pPr>
        <w:spacing w:after="0" w:line="240" w:lineRule="auto"/>
        <w:rPr>
          <w:rFonts w:ascii="Times New Roman" w:hAnsi="Times New Roman" w:cs="Times New Roman"/>
          <w:sz w:val="24"/>
          <w:szCs w:val="24"/>
        </w:rPr>
      </w:pPr>
    </w:p>
    <w:p w14:paraId="6DAE5ED2" w14:textId="79B16034" w:rsidR="00B721AF" w:rsidRPr="003D6545" w:rsidRDefault="00B721AF"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It has become apparent that there are instances in which certain current RTO/ISO practices may fail to reflect the value of providing a given service, thereby distorting price signals and failing to provide appropriate signals for resources to respond to the actual operating needs of the market.  One such practice that the Commission has identified and proposes to reform occurs when RTOs/ISOs dispatch resources every five minutes but perform settlements based on an hourly integrated price.  This misalignment between dispatch and settlement intervals may distort the price signals sent to resources and fail to reflect the actual value of resources responding to operating needs because compensation will be based on average output and average prices across an hour rather than output and prices during the periods of greatest need within a particular hour.  </w:t>
      </w:r>
    </w:p>
    <w:p w14:paraId="49E4CF56" w14:textId="77777777" w:rsidR="00037E50" w:rsidRPr="003D6545" w:rsidRDefault="00037E50" w:rsidP="003D6545">
      <w:pPr>
        <w:spacing w:after="0" w:line="240" w:lineRule="auto"/>
        <w:rPr>
          <w:rFonts w:ascii="Times New Roman" w:hAnsi="Times New Roman" w:cs="Times New Roman"/>
          <w:sz w:val="24"/>
          <w:szCs w:val="24"/>
        </w:rPr>
      </w:pPr>
    </w:p>
    <w:p w14:paraId="55787D39" w14:textId="0F34F5F8" w:rsidR="00B721AF" w:rsidRPr="003D6545" w:rsidRDefault="00B721AF"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 Commission also preliminarily finds that a second problem occurs if there is a delay between the time when a system experiences a shortage of energy and operating reserves and the time when prices reflect the shortage condition.  This can be particularly problematic when, for example, a shortage is required to last a minimum time period before shortage pricing is triggered.  In this instance, short-term prices may fail to reflect potential reliability costs, as well as the value of both internal and external market resources responding to a dispatch signal.</w:t>
      </w:r>
    </w:p>
    <w:p w14:paraId="56899082" w14:textId="77777777" w:rsidR="00037E50" w:rsidRPr="003D6545" w:rsidRDefault="00037E50" w:rsidP="003D6545">
      <w:pPr>
        <w:spacing w:after="0" w:line="240" w:lineRule="auto"/>
        <w:rPr>
          <w:rFonts w:ascii="Times New Roman" w:hAnsi="Times New Roman" w:cs="Times New Roman"/>
          <w:sz w:val="24"/>
          <w:szCs w:val="24"/>
        </w:rPr>
      </w:pPr>
    </w:p>
    <w:p w14:paraId="2C2DA9AB" w14:textId="4F6B3836" w:rsidR="0025203F" w:rsidRPr="003D6545" w:rsidRDefault="00B721AF"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To address the problems associated with differing dispatch intervals and settlement intervals, as well as with shortage pricing triggers, the Commission proposes to require that each RTO/ISO </w:t>
      </w:r>
      <w:r w:rsidRPr="003D0F2B">
        <w:rPr>
          <w:rFonts w:ascii="Times New Roman" w:hAnsi="Times New Roman" w:cs="Times New Roman"/>
          <w:sz w:val="24"/>
          <w:szCs w:val="24"/>
        </w:rPr>
        <w:t xml:space="preserve">(1) </w:t>
      </w:r>
      <w:r w:rsidR="00345419" w:rsidRPr="00AA38F1">
        <w:rPr>
          <w:rFonts w:ascii="Times New Roman" w:hAnsi="Times New Roman" w:cs="Times New Roman"/>
          <w:sz w:val="24"/>
          <w:szCs w:val="24"/>
        </w:rPr>
        <w:t>settle energy transactions in its real-time markets at the same time interval it dispatches energy and settle operating reserves transactions in its real-time markets at the same time interval it prices operating reserves</w:t>
      </w:r>
      <w:r w:rsidRPr="003D6545">
        <w:rPr>
          <w:rFonts w:ascii="Times New Roman" w:hAnsi="Times New Roman" w:cs="Times New Roman"/>
          <w:sz w:val="24"/>
          <w:szCs w:val="24"/>
        </w:rPr>
        <w:t xml:space="preserve">, and (2) trigger shortage pricing for any dispatch interval during which a shortage of energy or operating reserves occurs.  The settlement interval and shortage pricing reforms proposed </w:t>
      </w:r>
      <w:r w:rsidR="008C1798">
        <w:rPr>
          <w:rFonts w:ascii="Times New Roman" w:hAnsi="Times New Roman" w:cs="Times New Roman"/>
          <w:sz w:val="24"/>
          <w:szCs w:val="24"/>
        </w:rPr>
        <w:t>in the NOPR</w:t>
      </w:r>
      <w:r w:rsidRPr="003D6545">
        <w:rPr>
          <w:rFonts w:ascii="Times New Roman" w:hAnsi="Times New Roman" w:cs="Times New Roman"/>
          <w:sz w:val="24"/>
          <w:szCs w:val="24"/>
        </w:rPr>
        <w:t xml:space="preserve"> will help ensure that resources have price signals that provide incentives to conform their output to dispatch instructions, and that prices reflect operating needs at each dispatch interval.  </w:t>
      </w:r>
      <w:r w:rsidR="00E46868" w:rsidRPr="003D6545">
        <w:rPr>
          <w:rFonts w:ascii="Times New Roman" w:hAnsi="Times New Roman" w:cs="Times New Roman"/>
          <w:sz w:val="24"/>
          <w:szCs w:val="24"/>
        </w:rPr>
        <w:t xml:space="preserve">  </w:t>
      </w:r>
    </w:p>
    <w:p w14:paraId="6ED2BCA4" w14:textId="6FE0187D" w:rsidR="0025203F" w:rsidRPr="003D6545" w:rsidRDefault="0025203F" w:rsidP="003D6545">
      <w:pPr>
        <w:spacing w:after="0" w:line="240" w:lineRule="auto"/>
        <w:rPr>
          <w:rFonts w:ascii="Times New Roman" w:hAnsi="Times New Roman" w:cs="Times New Roman"/>
          <w:sz w:val="24"/>
          <w:szCs w:val="24"/>
        </w:rPr>
      </w:pPr>
    </w:p>
    <w:p w14:paraId="6FBC90FF" w14:textId="77777777" w:rsidR="00EB3E6F"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DESCRIBE ANY CONSIDERATION OF THE USE OF IMPROVED INFORMATION TECHNOLOGY TO REDUCE THE BURDEN AND TECHNICAL OR LEGAL OBSTACLES TO REDUCING BURDEN</w:t>
      </w:r>
    </w:p>
    <w:p w14:paraId="6FBC9100" w14:textId="77777777" w:rsidR="00EB3E6F" w:rsidRPr="003D6545" w:rsidRDefault="00EB3E6F" w:rsidP="003D6545">
      <w:pPr>
        <w:spacing w:after="0" w:line="240" w:lineRule="auto"/>
        <w:rPr>
          <w:rFonts w:ascii="Times New Roman" w:hAnsi="Times New Roman" w:cs="Times New Roman"/>
          <w:sz w:val="24"/>
          <w:szCs w:val="24"/>
        </w:rPr>
      </w:pPr>
    </w:p>
    <w:p w14:paraId="6FBC9101" w14:textId="5B653045" w:rsidR="00EB3E6F" w:rsidRPr="003D6545" w:rsidRDefault="0025203F"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FERC</w:t>
      </w:r>
      <w:r w:rsidR="004D7DA8" w:rsidRPr="003D6545">
        <w:rPr>
          <w:rFonts w:ascii="Times New Roman" w:hAnsi="Times New Roman" w:cs="Times New Roman"/>
          <w:sz w:val="24"/>
          <w:szCs w:val="24"/>
        </w:rPr>
        <w:t xml:space="preserve"> </w:t>
      </w:r>
      <w:r w:rsidR="00466C57" w:rsidRPr="003D6545">
        <w:rPr>
          <w:rFonts w:ascii="Times New Roman" w:hAnsi="Times New Roman" w:cs="Times New Roman"/>
          <w:sz w:val="24"/>
          <w:szCs w:val="24"/>
        </w:rPr>
        <w:t>implement</w:t>
      </w:r>
      <w:r w:rsidRPr="003D6545">
        <w:rPr>
          <w:rFonts w:ascii="Times New Roman" w:hAnsi="Times New Roman" w:cs="Times New Roman"/>
          <w:sz w:val="24"/>
          <w:szCs w:val="24"/>
        </w:rPr>
        <w:t>ed</w:t>
      </w:r>
      <w:r w:rsidR="004D7DA8" w:rsidRPr="003D6545">
        <w:rPr>
          <w:rFonts w:ascii="Times New Roman" w:hAnsi="Times New Roman" w:cs="Times New Roman"/>
          <w:sz w:val="24"/>
          <w:szCs w:val="24"/>
        </w:rPr>
        <w:t xml:space="preserve"> </w:t>
      </w:r>
      <w:r w:rsidRPr="003D6545">
        <w:rPr>
          <w:rFonts w:ascii="Times New Roman" w:hAnsi="Times New Roman" w:cs="Times New Roman"/>
          <w:sz w:val="24"/>
          <w:szCs w:val="24"/>
        </w:rPr>
        <w:t>its</w:t>
      </w:r>
      <w:r w:rsidR="00466C57" w:rsidRPr="003D6545">
        <w:rPr>
          <w:rFonts w:ascii="Times New Roman" w:hAnsi="Times New Roman" w:cs="Times New Roman"/>
          <w:sz w:val="24"/>
          <w:szCs w:val="24"/>
        </w:rPr>
        <w:t xml:space="preserve"> eTariff system (fully implemented in 2010) for the electronic filing of tariffs.  </w:t>
      </w:r>
      <w:r w:rsidR="00690B37" w:rsidRPr="003D6545">
        <w:rPr>
          <w:rFonts w:ascii="Times New Roman" w:hAnsi="Times New Roman" w:cs="Times New Roman"/>
          <w:sz w:val="24"/>
          <w:szCs w:val="24"/>
        </w:rPr>
        <w:t>(</w:t>
      </w:r>
      <w:r w:rsidR="002C4468" w:rsidRPr="003D6545">
        <w:rPr>
          <w:rFonts w:ascii="Times New Roman" w:hAnsi="Times New Roman" w:cs="Times New Roman"/>
          <w:sz w:val="24"/>
          <w:szCs w:val="24"/>
        </w:rPr>
        <w:t xml:space="preserve">eTariff is described more fully at </w:t>
      </w:r>
      <w:hyperlink r:id="rId13" w:history="1">
        <w:r w:rsidR="002C4468" w:rsidRPr="003D6545">
          <w:rPr>
            <w:rStyle w:val="Hyperlink"/>
            <w:rFonts w:ascii="Times New Roman" w:hAnsi="Times New Roman" w:cs="Times New Roman"/>
            <w:sz w:val="24"/>
            <w:szCs w:val="24"/>
          </w:rPr>
          <w:t>http://www.ferc.gov/docs-filing/etariff.asp</w:t>
        </w:r>
      </w:hyperlink>
      <w:r w:rsidR="002C4468" w:rsidRPr="003D6545">
        <w:rPr>
          <w:rFonts w:ascii="Times New Roman" w:hAnsi="Times New Roman" w:cs="Times New Roman"/>
          <w:sz w:val="24"/>
          <w:szCs w:val="24"/>
        </w:rPr>
        <w:t xml:space="preserve"> .</w:t>
      </w:r>
      <w:r w:rsidR="00690B37" w:rsidRPr="003D6545">
        <w:rPr>
          <w:rFonts w:ascii="Times New Roman" w:hAnsi="Times New Roman" w:cs="Times New Roman"/>
          <w:sz w:val="24"/>
          <w:szCs w:val="24"/>
        </w:rPr>
        <w:t>)</w:t>
      </w:r>
      <w:r w:rsidR="00A1673A" w:rsidRPr="003D6545">
        <w:rPr>
          <w:rFonts w:ascii="Times New Roman" w:hAnsi="Times New Roman" w:cs="Times New Roman"/>
          <w:sz w:val="24"/>
          <w:szCs w:val="24"/>
        </w:rPr>
        <w:t xml:space="preserve">  The tariff compliance filing proposed in this NOPR will be eFiled.</w:t>
      </w:r>
    </w:p>
    <w:p w14:paraId="18289738" w14:textId="77777777" w:rsidR="0025203F" w:rsidRPr="003D6545" w:rsidRDefault="0025203F" w:rsidP="003D6545">
      <w:pPr>
        <w:spacing w:after="0" w:line="240" w:lineRule="auto"/>
        <w:rPr>
          <w:rFonts w:ascii="Times New Roman" w:hAnsi="Times New Roman" w:cs="Times New Roman"/>
          <w:sz w:val="24"/>
          <w:szCs w:val="24"/>
        </w:rPr>
      </w:pPr>
    </w:p>
    <w:p w14:paraId="6FBC9102" w14:textId="77777777" w:rsidR="00EB3E6F"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DESCRIBE EFFORTS TO IDENTIF</w:t>
      </w:r>
      <w:r w:rsidR="00074DC8" w:rsidRPr="003D6545">
        <w:rPr>
          <w:rFonts w:ascii="Times New Roman" w:hAnsi="Times New Roman" w:cs="Times New Roman"/>
          <w:b/>
          <w:sz w:val="24"/>
          <w:szCs w:val="24"/>
        </w:rPr>
        <w:t>Y</w:t>
      </w:r>
      <w:r w:rsidRPr="003D6545">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6FBC9103" w14:textId="77777777" w:rsidR="00EB3E6F" w:rsidRPr="003D6545" w:rsidRDefault="00EB3E6F" w:rsidP="003D6545">
      <w:pPr>
        <w:spacing w:after="0" w:line="240" w:lineRule="auto"/>
        <w:rPr>
          <w:rFonts w:ascii="Times New Roman" w:hAnsi="Times New Roman" w:cs="Times New Roman"/>
          <w:sz w:val="24"/>
          <w:szCs w:val="24"/>
        </w:rPr>
      </w:pPr>
    </w:p>
    <w:p w14:paraId="6FBC9104" w14:textId="6B7AF0BE" w:rsidR="00EB3E6F" w:rsidRPr="003D6545" w:rsidRDefault="00466C57"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FERC rules and data requirements are periodically reviewed in conjunction with OMB clearance expiration dates.  This includes a review of FERC's regulations and data requirements to identify duplication.  The information to be submitted, generated, kept, </w:t>
      </w:r>
      <w:r w:rsidR="001348AC" w:rsidRPr="003D6545">
        <w:rPr>
          <w:rFonts w:ascii="Times New Roman" w:hAnsi="Times New Roman" w:cs="Times New Roman"/>
          <w:sz w:val="24"/>
          <w:szCs w:val="24"/>
        </w:rPr>
        <w:t xml:space="preserve">or posted, pursuant to this </w:t>
      </w:r>
      <w:r w:rsidR="000F6D3C" w:rsidRPr="003D6545">
        <w:rPr>
          <w:rFonts w:ascii="Times New Roman" w:hAnsi="Times New Roman" w:cs="Times New Roman"/>
          <w:sz w:val="24"/>
          <w:szCs w:val="24"/>
        </w:rPr>
        <w:t>NOPR</w:t>
      </w:r>
      <w:r w:rsidRPr="003D6545">
        <w:rPr>
          <w:rFonts w:ascii="Times New Roman" w:hAnsi="Times New Roman" w:cs="Times New Roman"/>
          <w:sz w:val="24"/>
          <w:szCs w:val="24"/>
        </w:rPr>
        <w:t xml:space="preserve"> is not readi</w:t>
      </w:r>
      <w:r w:rsidR="001348AC" w:rsidRPr="003D6545">
        <w:rPr>
          <w:rFonts w:ascii="Times New Roman" w:hAnsi="Times New Roman" w:cs="Times New Roman"/>
          <w:sz w:val="24"/>
          <w:szCs w:val="24"/>
        </w:rPr>
        <w:t>ly available from other</w:t>
      </w:r>
      <w:r w:rsidR="00A21355">
        <w:rPr>
          <w:rFonts w:ascii="Times New Roman" w:hAnsi="Times New Roman" w:cs="Times New Roman"/>
          <w:sz w:val="24"/>
          <w:szCs w:val="24"/>
        </w:rPr>
        <w:t xml:space="preserve"> sources</w:t>
      </w:r>
      <w:r w:rsidRPr="003D6545">
        <w:rPr>
          <w:rFonts w:ascii="Times New Roman" w:hAnsi="Times New Roman" w:cs="Times New Roman"/>
          <w:sz w:val="24"/>
          <w:szCs w:val="24"/>
        </w:rPr>
        <w:t>.</w:t>
      </w:r>
    </w:p>
    <w:p w14:paraId="5A806795" w14:textId="77777777" w:rsidR="00466C57" w:rsidRPr="003D6545" w:rsidRDefault="00466C57" w:rsidP="003D6545">
      <w:pPr>
        <w:spacing w:after="0" w:line="240" w:lineRule="auto"/>
        <w:rPr>
          <w:rFonts w:ascii="Times New Roman" w:hAnsi="Times New Roman" w:cs="Times New Roman"/>
          <w:sz w:val="24"/>
          <w:szCs w:val="24"/>
        </w:rPr>
      </w:pPr>
    </w:p>
    <w:p w14:paraId="6FBC9105" w14:textId="77777777" w:rsidR="00EB3E6F"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METHODS USED TO MINIMIZE THE BURDEN IN COLLECTION OF INFORMATION INVOLVING SMALL ENTITIES</w:t>
      </w:r>
    </w:p>
    <w:p w14:paraId="6FBC9106" w14:textId="77777777" w:rsidR="00EB3E6F" w:rsidRPr="003D6545" w:rsidRDefault="00EB3E6F" w:rsidP="003D6545">
      <w:pPr>
        <w:spacing w:after="0" w:line="240" w:lineRule="auto"/>
        <w:rPr>
          <w:rFonts w:ascii="Times New Roman" w:hAnsi="Times New Roman" w:cs="Times New Roman"/>
          <w:sz w:val="24"/>
          <w:szCs w:val="24"/>
        </w:rPr>
      </w:pPr>
    </w:p>
    <w:p w14:paraId="18DB6865" w14:textId="25373400" w:rsidR="00172229" w:rsidRPr="003D6545" w:rsidRDefault="00C50C77"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 Small Business Administration’s (SBA) Office of Size Standards develops the numerical definition of a small business.</w:t>
      </w:r>
      <w:r w:rsidR="00286C9B" w:rsidRPr="003D6545">
        <w:rPr>
          <w:rStyle w:val="FootnoteReference"/>
          <w:rFonts w:ascii="Times New Roman" w:hAnsi="Times New Roman" w:cs="Times New Roman"/>
          <w:sz w:val="24"/>
          <w:szCs w:val="24"/>
          <w:vertAlign w:val="superscript"/>
        </w:rPr>
        <w:footnoteReference w:id="4"/>
      </w:r>
      <w:r w:rsidRPr="003D6545">
        <w:rPr>
          <w:rFonts w:ascii="Times New Roman" w:hAnsi="Times New Roman" w:cs="Times New Roman"/>
          <w:sz w:val="24"/>
          <w:szCs w:val="24"/>
        </w:rPr>
        <w:t xml:space="preserve">  The SBA revised its size standard for electric utilities (effective January 22, 2014) to a standard based on the number of employees, including affiliates</w:t>
      </w:r>
      <w:r w:rsidR="00DB34AF" w:rsidRPr="003D6545">
        <w:rPr>
          <w:rFonts w:ascii="Times New Roman" w:hAnsi="Times New Roman" w:cs="Times New Roman"/>
          <w:sz w:val="24"/>
          <w:szCs w:val="24"/>
        </w:rPr>
        <w:t xml:space="preserve"> (from a standard based on megawatt hours)</w:t>
      </w:r>
      <w:r w:rsidRPr="003D6545">
        <w:rPr>
          <w:rFonts w:ascii="Times New Roman" w:hAnsi="Times New Roman" w:cs="Times New Roman"/>
          <w:sz w:val="24"/>
          <w:szCs w:val="24"/>
        </w:rPr>
        <w:t>.</w:t>
      </w:r>
      <w:r w:rsidR="00286C9B" w:rsidRPr="003D6545">
        <w:rPr>
          <w:rStyle w:val="FootnoteReference"/>
          <w:rFonts w:ascii="Times New Roman" w:hAnsi="Times New Roman" w:cs="Times New Roman"/>
          <w:sz w:val="24"/>
          <w:szCs w:val="24"/>
          <w:vertAlign w:val="superscript"/>
        </w:rPr>
        <w:footnoteReference w:id="5"/>
      </w:r>
      <w:r w:rsidRPr="003D6545">
        <w:rPr>
          <w:rFonts w:ascii="Times New Roman" w:hAnsi="Times New Roman" w:cs="Times New Roman"/>
          <w:sz w:val="24"/>
          <w:szCs w:val="24"/>
          <w:vertAlign w:val="superscript"/>
        </w:rPr>
        <w:t xml:space="preserve"> </w:t>
      </w:r>
      <w:r w:rsidRPr="003D6545">
        <w:rPr>
          <w:rFonts w:ascii="Times New Roman" w:hAnsi="Times New Roman" w:cs="Times New Roman"/>
          <w:sz w:val="24"/>
          <w:szCs w:val="24"/>
        </w:rPr>
        <w:t xml:space="preserve">  </w:t>
      </w:r>
    </w:p>
    <w:p w14:paraId="30B28A42" w14:textId="77777777" w:rsidR="00172229" w:rsidRPr="003D6545" w:rsidRDefault="00172229" w:rsidP="003D6545">
      <w:pPr>
        <w:spacing w:after="0" w:line="240" w:lineRule="auto"/>
        <w:rPr>
          <w:rFonts w:ascii="Times New Roman" w:hAnsi="Times New Roman" w:cs="Times New Roman"/>
          <w:sz w:val="24"/>
          <w:szCs w:val="24"/>
        </w:rPr>
      </w:pPr>
    </w:p>
    <w:p w14:paraId="253ED69A" w14:textId="1CA46B77" w:rsidR="002F1B03" w:rsidRPr="003D6545" w:rsidRDefault="00172229" w:rsidP="003D6545">
      <w:pPr>
        <w:spacing w:after="0" w:line="240" w:lineRule="auto"/>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Th</w:t>
      </w:r>
      <w:r w:rsidR="002F1B03" w:rsidRPr="003D6545">
        <w:rPr>
          <w:rFonts w:ascii="Times New Roman" w:eastAsia="Times New Roman" w:hAnsi="Times New Roman" w:cs="Times New Roman"/>
          <w:sz w:val="24"/>
          <w:szCs w:val="24"/>
        </w:rPr>
        <w:t>e</w:t>
      </w:r>
      <w:r w:rsidRPr="003D6545">
        <w:rPr>
          <w:rFonts w:ascii="Times New Roman" w:eastAsia="Times New Roman" w:hAnsi="Times New Roman" w:cs="Times New Roman"/>
          <w:sz w:val="24"/>
          <w:szCs w:val="24"/>
        </w:rPr>
        <w:t xml:space="preserve"> reforms proposed in this NOPR would apply to six RTOs</w:t>
      </w:r>
      <w:r w:rsidR="001628BF">
        <w:rPr>
          <w:rFonts w:ascii="Times New Roman" w:eastAsia="Times New Roman" w:hAnsi="Times New Roman" w:cs="Times New Roman"/>
          <w:sz w:val="24"/>
          <w:szCs w:val="24"/>
        </w:rPr>
        <w:t>/</w:t>
      </w:r>
      <w:r w:rsidRPr="003D6545">
        <w:rPr>
          <w:rFonts w:ascii="Times New Roman" w:eastAsia="Times New Roman" w:hAnsi="Times New Roman" w:cs="Times New Roman"/>
          <w:sz w:val="24"/>
          <w:szCs w:val="24"/>
        </w:rPr>
        <w:t>ISOs,</w:t>
      </w:r>
      <w:bookmarkStart w:id="0" w:name="_Ref428886046"/>
      <w:r w:rsidR="00CF4176" w:rsidRPr="003D6545">
        <w:rPr>
          <w:rStyle w:val="FootnoteReference"/>
          <w:rFonts w:ascii="Times New Roman" w:eastAsia="Times New Roman" w:hAnsi="Times New Roman" w:cs="Times New Roman"/>
          <w:sz w:val="24"/>
          <w:szCs w:val="24"/>
          <w:vertAlign w:val="superscript"/>
        </w:rPr>
        <w:footnoteReference w:id="6"/>
      </w:r>
      <w:bookmarkEnd w:id="0"/>
      <w:r w:rsidRPr="003D6545">
        <w:rPr>
          <w:rFonts w:ascii="Times New Roman" w:eastAsia="Times New Roman" w:hAnsi="Times New Roman" w:cs="Times New Roman"/>
          <w:sz w:val="24"/>
          <w:szCs w:val="24"/>
        </w:rPr>
        <w:t xml:space="preserve"> all of which are transmission organizations and are included in the NAICS code 221121 </w:t>
      </w:r>
      <w:r w:rsidR="002F1B03" w:rsidRPr="003D6545">
        <w:rPr>
          <w:rFonts w:ascii="Times New Roman" w:eastAsia="Times New Roman" w:hAnsi="Times New Roman" w:cs="Times New Roman"/>
          <w:sz w:val="24"/>
          <w:szCs w:val="24"/>
        </w:rPr>
        <w:t>(</w:t>
      </w:r>
      <w:r w:rsidRPr="003D6545">
        <w:rPr>
          <w:rFonts w:ascii="Times New Roman" w:eastAsia="Times New Roman" w:hAnsi="Times New Roman" w:cs="Times New Roman"/>
          <w:sz w:val="24"/>
          <w:szCs w:val="24"/>
        </w:rPr>
        <w:t>for Electric Bulk Power Transmission and Control</w:t>
      </w:r>
      <w:r w:rsidR="002F1B03" w:rsidRPr="003D6545">
        <w:rPr>
          <w:rFonts w:ascii="Times New Roman" w:eastAsia="Times New Roman" w:hAnsi="Times New Roman" w:cs="Times New Roman"/>
          <w:sz w:val="24"/>
          <w:szCs w:val="24"/>
        </w:rPr>
        <w:t>)</w:t>
      </w:r>
      <w:r w:rsidRPr="003D6545">
        <w:rPr>
          <w:rFonts w:ascii="Times New Roman" w:eastAsia="Times New Roman" w:hAnsi="Times New Roman" w:cs="Times New Roman"/>
          <w:sz w:val="24"/>
          <w:szCs w:val="24"/>
        </w:rPr>
        <w:t>, which has a threshold for small businesses of 500 employees.  The Commission understands that each RTO</w:t>
      </w:r>
      <w:r w:rsidR="00340DFE">
        <w:rPr>
          <w:rFonts w:ascii="Times New Roman" w:eastAsia="Times New Roman" w:hAnsi="Times New Roman" w:cs="Times New Roman"/>
          <w:sz w:val="24"/>
          <w:szCs w:val="24"/>
        </w:rPr>
        <w:t>/</w:t>
      </w:r>
      <w:r w:rsidRPr="003D6545">
        <w:rPr>
          <w:rFonts w:ascii="Times New Roman" w:eastAsia="Times New Roman" w:hAnsi="Times New Roman" w:cs="Times New Roman"/>
          <w:sz w:val="24"/>
          <w:szCs w:val="24"/>
        </w:rPr>
        <w:t xml:space="preserve">ISO has more than 500 employees, so the RTOs and ISO are not small entities.  </w:t>
      </w:r>
    </w:p>
    <w:p w14:paraId="29FE2992" w14:textId="77777777" w:rsidR="00C50C77" w:rsidRPr="003D6545" w:rsidRDefault="00C50C77" w:rsidP="003D6545">
      <w:pPr>
        <w:spacing w:after="0" w:line="240" w:lineRule="auto"/>
        <w:rPr>
          <w:rFonts w:ascii="Times New Roman" w:hAnsi="Times New Roman" w:cs="Times New Roman"/>
          <w:sz w:val="24"/>
          <w:szCs w:val="24"/>
        </w:rPr>
      </w:pPr>
    </w:p>
    <w:p w14:paraId="6FBC9108" w14:textId="77777777" w:rsidR="00EB3E6F"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CONSEQUENCE TO FEDERAL PROGRAM IF COLLECTION WERE CONDUCTED LESS FREQUENTLY</w:t>
      </w:r>
    </w:p>
    <w:p w14:paraId="51BFF2F1" w14:textId="77777777" w:rsidR="008352B4" w:rsidRPr="003D6545" w:rsidRDefault="008352B4" w:rsidP="003D6545">
      <w:pPr>
        <w:spacing w:after="0" w:line="240" w:lineRule="auto"/>
        <w:rPr>
          <w:rFonts w:ascii="Times New Roman" w:hAnsi="Times New Roman" w:cs="Times New Roman"/>
          <w:b/>
          <w:sz w:val="24"/>
          <w:szCs w:val="24"/>
        </w:rPr>
      </w:pPr>
    </w:p>
    <w:p w14:paraId="7387359C" w14:textId="4C8B359E" w:rsidR="00F95A9B" w:rsidRPr="003D6545" w:rsidRDefault="00F95A9B"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FERC requires th</w:t>
      </w:r>
      <w:r w:rsidR="00BD59CC" w:rsidRPr="003D6545">
        <w:rPr>
          <w:rFonts w:ascii="Times New Roman" w:hAnsi="Times New Roman" w:cs="Times New Roman"/>
          <w:sz w:val="24"/>
          <w:szCs w:val="24"/>
        </w:rPr>
        <w:t>e FERC-516</w:t>
      </w:r>
      <w:r w:rsidRPr="003D6545">
        <w:rPr>
          <w:rFonts w:ascii="Times New Roman" w:hAnsi="Times New Roman" w:cs="Times New Roman"/>
          <w:sz w:val="24"/>
          <w:szCs w:val="24"/>
        </w:rPr>
        <w:t xml:space="preserve"> information (m</w:t>
      </w:r>
      <w:r w:rsidR="00940BBD" w:rsidRPr="003D6545">
        <w:rPr>
          <w:rFonts w:ascii="Times New Roman" w:hAnsi="Times New Roman" w:cs="Times New Roman"/>
          <w:sz w:val="24"/>
          <w:szCs w:val="24"/>
        </w:rPr>
        <w:t>ost</w:t>
      </w:r>
      <w:r w:rsidRPr="003D6545">
        <w:rPr>
          <w:rFonts w:ascii="Times New Roman" w:hAnsi="Times New Roman" w:cs="Times New Roman"/>
          <w:sz w:val="24"/>
          <w:szCs w:val="24"/>
        </w:rPr>
        <w:t xml:space="preserve"> of which is unaffected by this NOPR) in order to perform its mandated oversight and review responsibilities with respect to electric market-based rates being just and reasonable.  Without this </w:t>
      </w:r>
      <w:r w:rsidR="00BD59CC" w:rsidRPr="003D6545">
        <w:rPr>
          <w:rFonts w:ascii="Times New Roman" w:hAnsi="Times New Roman" w:cs="Times New Roman"/>
          <w:sz w:val="24"/>
          <w:szCs w:val="24"/>
        </w:rPr>
        <w:t xml:space="preserve">FERC-516 </w:t>
      </w:r>
      <w:r w:rsidRPr="003D6545">
        <w:rPr>
          <w:rFonts w:ascii="Times New Roman" w:hAnsi="Times New Roman" w:cs="Times New Roman"/>
          <w:sz w:val="24"/>
          <w:szCs w:val="24"/>
        </w:rPr>
        <w:t xml:space="preserve">information, the Commission would be unable to meet its statutory responsibility under </w:t>
      </w:r>
      <w:r w:rsidR="00370146">
        <w:rPr>
          <w:rFonts w:ascii="Times New Roman" w:hAnsi="Times New Roman" w:cs="Times New Roman"/>
          <w:sz w:val="24"/>
          <w:szCs w:val="24"/>
        </w:rPr>
        <w:t>s</w:t>
      </w:r>
      <w:r w:rsidRPr="003D6545">
        <w:rPr>
          <w:rFonts w:ascii="Times New Roman" w:hAnsi="Times New Roman" w:cs="Times New Roman"/>
          <w:sz w:val="24"/>
          <w:szCs w:val="24"/>
        </w:rPr>
        <w:t xml:space="preserve">ection 205 of the FPA to ensure electric utility rates are just and reasonable.  Failing to meet this responsibility </w:t>
      </w:r>
      <w:r w:rsidR="007F2F2F" w:rsidRPr="003D6545">
        <w:rPr>
          <w:rFonts w:ascii="Times New Roman" w:hAnsi="Times New Roman" w:cs="Times New Roman"/>
          <w:sz w:val="24"/>
          <w:szCs w:val="24"/>
        </w:rPr>
        <w:t>c</w:t>
      </w:r>
      <w:r w:rsidRPr="003D6545">
        <w:rPr>
          <w:rFonts w:ascii="Times New Roman" w:hAnsi="Times New Roman" w:cs="Times New Roman"/>
          <w:sz w:val="24"/>
          <w:szCs w:val="24"/>
        </w:rPr>
        <w:t>ould result in public utilities charging rates that are not just and reasonable.</w:t>
      </w:r>
    </w:p>
    <w:p w14:paraId="252090F1" w14:textId="77777777" w:rsidR="00F95A9B" w:rsidRPr="003D6545" w:rsidRDefault="00F95A9B" w:rsidP="003D6545">
      <w:pPr>
        <w:spacing w:after="0" w:line="240" w:lineRule="auto"/>
        <w:rPr>
          <w:rFonts w:ascii="Times New Roman" w:hAnsi="Times New Roman" w:cs="Times New Roman"/>
          <w:b/>
          <w:sz w:val="24"/>
          <w:szCs w:val="24"/>
        </w:rPr>
      </w:pPr>
    </w:p>
    <w:p w14:paraId="6FBC910B" w14:textId="77777777" w:rsidR="00EB3E6F"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EXPLAIN ANY SPECIAL CIRCUMSTANCES RELATING TO THE INFORMATION COLLECTION</w:t>
      </w:r>
    </w:p>
    <w:p w14:paraId="19256D0C" w14:textId="77777777" w:rsidR="008352B4" w:rsidRPr="003D6545" w:rsidRDefault="008352B4" w:rsidP="003D6545">
      <w:pPr>
        <w:pStyle w:val="ListParagraph"/>
        <w:spacing w:after="0" w:line="240" w:lineRule="auto"/>
        <w:ind w:left="360"/>
        <w:rPr>
          <w:rFonts w:ascii="Times New Roman" w:hAnsi="Times New Roman" w:cs="Times New Roman"/>
          <w:b/>
          <w:sz w:val="24"/>
          <w:szCs w:val="24"/>
        </w:rPr>
      </w:pPr>
    </w:p>
    <w:p w14:paraId="6FBC910D" w14:textId="4EA0BC53" w:rsidR="00EB3E6F" w:rsidRPr="003D6545" w:rsidRDefault="008D310F"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lastRenderedPageBreak/>
        <w:t xml:space="preserve">FERC-516 </w:t>
      </w:r>
      <w:r w:rsidR="00563175" w:rsidRPr="003D6545">
        <w:rPr>
          <w:rFonts w:ascii="Times New Roman" w:hAnsi="Times New Roman" w:cs="Times New Roman"/>
          <w:sz w:val="24"/>
          <w:szCs w:val="24"/>
        </w:rPr>
        <w:t>is</w:t>
      </w:r>
      <w:r w:rsidRPr="003D6545">
        <w:rPr>
          <w:rFonts w:ascii="Times New Roman" w:hAnsi="Times New Roman" w:cs="Times New Roman"/>
          <w:sz w:val="24"/>
          <w:szCs w:val="24"/>
        </w:rPr>
        <w:t xml:space="preserve"> consistent with the guidelines in 5 CFR 1320.5(d).</w:t>
      </w:r>
    </w:p>
    <w:p w14:paraId="6F138EF7" w14:textId="77777777" w:rsidR="008D310F" w:rsidRPr="003D6545" w:rsidRDefault="008D310F" w:rsidP="003D6545">
      <w:pPr>
        <w:spacing w:after="0" w:line="240" w:lineRule="auto"/>
        <w:rPr>
          <w:rFonts w:ascii="Times New Roman" w:hAnsi="Times New Roman" w:cs="Times New Roman"/>
          <w:sz w:val="24"/>
          <w:szCs w:val="24"/>
        </w:rPr>
      </w:pPr>
    </w:p>
    <w:p w14:paraId="6FBC910E" w14:textId="77777777" w:rsidR="00EB3E6F" w:rsidRPr="003D6545" w:rsidRDefault="00EB3E6F"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DESCRIBE EFFORTS TO CONSULT OUTSIDE THE AGENCY: SUMMARIZE PUBLIC COMMENTS AND THE AGENCY’S RESPONSE</w:t>
      </w:r>
    </w:p>
    <w:p w14:paraId="64188F9C" w14:textId="77777777" w:rsidR="00F132A1" w:rsidRPr="003D6545" w:rsidRDefault="00F132A1" w:rsidP="003D6545">
      <w:pPr>
        <w:spacing w:after="0" w:line="240" w:lineRule="auto"/>
        <w:rPr>
          <w:rFonts w:ascii="Times New Roman" w:hAnsi="Times New Roman" w:cs="Times New Roman"/>
          <w:sz w:val="24"/>
          <w:szCs w:val="24"/>
        </w:rPr>
      </w:pPr>
    </w:p>
    <w:p w14:paraId="6FBC9110" w14:textId="65B8EEF6" w:rsidR="00EB3E6F" w:rsidRPr="003D6545" w:rsidRDefault="00F95A9B"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 NOPR in RM15-2</w:t>
      </w:r>
      <w:r w:rsidR="00563175" w:rsidRPr="003D6545">
        <w:rPr>
          <w:rFonts w:ascii="Times New Roman" w:hAnsi="Times New Roman" w:cs="Times New Roman"/>
          <w:sz w:val="24"/>
          <w:szCs w:val="24"/>
        </w:rPr>
        <w:t>4</w:t>
      </w:r>
      <w:r w:rsidR="008C1798">
        <w:rPr>
          <w:rFonts w:ascii="Times New Roman" w:hAnsi="Times New Roman" w:cs="Times New Roman"/>
          <w:sz w:val="24"/>
          <w:szCs w:val="24"/>
        </w:rPr>
        <w:t>-000</w:t>
      </w:r>
      <w:r w:rsidRPr="003D6545">
        <w:rPr>
          <w:rFonts w:ascii="Times New Roman" w:hAnsi="Times New Roman" w:cs="Times New Roman"/>
          <w:sz w:val="24"/>
          <w:szCs w:val="24"/>
        </w:rPr>
        <w:t xml:space="preserve"> is requesting public comment and being published in the Federal Register.</w:t>
      </w:r>
    </w:p>
    <w:p w14:paraId="45A1B7C1" w14:textId="77777777" w:rsidR="00286C9B" w:rsidRPr="003D6545" w:rsidRDefault="00286C9B" w:rsidP="003D6545">
      <w:pPr>
        <w:spacing w:after="0" w:line="240" w:lineRule="auto"/>
        <w:rPr>
          <w:rFonts w:ascii="Times New Roman" w:hAnsi="Times New Roman" w:cs="Times New Roman"/>
          <w:sz w:val="24"/>
          <w:szCs w:val="24"/>
        </w:rPr>
      </w:pPr>
    </w:p>
    <w:p w14:paraId="6FBC9111" w14:textId="77777777" w:rsidR="00EB3E6F" w:rsidRPr="003D6545" w:rsidRDefault="00D80FBD"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EXPLAIN ANY PAYMENT OR GIFTS TO RESPONDENTS</w:t>
      </w:r>
    </w:p>
    <w:p w14:paraId="6FBC9112" w14:textId="77777777" w:rsidR="00D80FBD" w:rsidRPr="003D6545" w:rsidRDefault="00D80FBD" w:rsidP="003D6545">
      <w:pPr>
        <w:spacing w:after="0" w:line="240" w:lineRule="auto"/>
        <w:rPr>
          <w:rFonts w:ascii="Times New Roman" w:hAnsi="Times New Roman" w:cs="Times New Roman"/>
          <w:sz w:val="24"/>
          <w:szCs w:val="24"/>
        </w:rPr>
      </w:pPr>
    </w:p>
    <w:p w14:paraId="6FBC9113" w14:textId="44640C4D" w:rsidR="00D80FBD" w:rsidRPr="003D6545" w:rsidRDefault="008D310F"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There are no payments or gifts to respondents associated with these collections.</w:t>
      </w:r>
    </w:p>
    <w:p w14:paraId="4D38CAAD" w14:textId="77777777" w:rsidR="008D310F" w:rsidRPr="003D6545" w:rsidRDefault="008D310F" w:rsidP="003D6545">
      <w:pPr>
        <w:spacing w:after="0" w:line="240" w:lineRule="auto"/>
        <w:rPr>
          <w:rFonts w:ascii="Times New Roman" w:hAnsi="Times New Roman" w:cs="Times New Roman"/>
          <w:sz w:val="24"/>
          <w:szCs w:val="24"/>
        </w:rPr>
      </w:pPr>
    </w:p>
    <w:p w14:paraId="6FBC9114" w14:textId="77777777" w:rsidR="00D80FBD" w:rsidRPr="003D6545" w:rsidRDefault="00D80FBD"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DESCRIBE ANY ASSURANCE OF CONFIDENTIALITY PROVIDED TO RESPONDENTS</w:t>
      </w:r>
    </w:p>
    <w:p w14:paraId="6FBC9115" w14:textId="77777777" w:rsidR="00D80FBD" w:rsidRPr="003D6545" w:rsidRDefault="00D80FBD" w:rsidP="003D6545">
      <w:pPr>
        <w:spacing w:after="0" w:line="240" w:lineRule="auto"/>
        <w:rPr>
          <w:rFonts w:ascii="Times New Roman" w:hAnsi="Times New Roman" w:cs="Times New Roman"/>
          <w:sz w:val="24"/>
          <w:szCs w:val="24"/>
        </w:rPr>
      </w:pPr>
    </w:p>
    <w:p w14:paraId="6FBC9116" w14:textId="66296FD0" w:rsidR="00D80FBD" w:rsidRPr="003D6545" w:rsidRDefault="00286C9B"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Data</w:t>
      </w:r>
      <w:r w:rsidR="008D310F" w:rsidRPr="003D6545">
        <w:rPr>
          <w:rFonts w:ascii="Times New Roman" w:hAnsi="Times New Roman" w:cs="Times New Roman"/>
          <w:sz w:val="24"/>
          <w:szCs w:val="24"/>
        </w:rPr>
        <w:t xml:space="preserve"> filed are public information and, therefore, not confidential.  However, a company may request confidential treatment of some or all parts of the information requirement under the FERC regulations at 18 CFR 388.112.  The Commission will review each request for confidential treatment on a case-by-case basis.</w:t>
      </w:r>
    </w:p>
    <w:p w14:paraId="3EDF89F6" w14:textId="77777777" w:rsidR="008D310F" w:rsidRPr="003D6545" w:rsidRDefault="008D310F" w:rsidP="003D6545">
      <w:pPr>
        <w:spacing w:after="0" w:line="240" w:lineRule="auto"/>
        <w:rPr>
          <w:rFonts w:ascii="Times New Roman" w:hAnsi="Times New Roman" w:cs="Times New Roman"/>
          <w:sz w:val="24"/>
          <w:szCs w:val="24"/>
        </w:rPr>
      </w:pPr>
    </w:p>
    <w:p w14:paraId="6FBC9117" w14:textId="76EBBD4B" w:rsidR="00D80FBD" w:rsidRPr="003D6545" w:rsidRDefault="00D80FBD"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 xml:space="preserve">PROVIDE </w:t>
      </w:r>
      <w:r w:rsidR="004C5E0E" w:rsidRPr="003D6545">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6FBC9118" w14:textId="77777777" w:rsidR="00D80FBD" w:rsidRPr="003D6545" w:rsidRDefault="00D80FBD" w:rsidP="003D6545">
      <w:pPr>
        <w:spacing w:after="0" w:line="240" w:lineRule="auto"/>
        <w:rPr>
          <w:rFonts w:ascii="Times New Roman" w:hAnsi="Times New Roman" w:cs="Times New Roman"/>
          <w:sz w:val="24"/>
          <w:szCs w:val="24"/>
        </w:rPr>
      </w:pPr>
    </w:p>
    <w:p w14:paraId="6FBC9119" w14:textId="21631E43" w:rsidR="00D80FBD" w:rsidRPr="003D6545" w:rsidRDefault="0074195A"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There are no questions of a sensitive nature in the reporting requirements.</w:t>
      </w:r>
    </w:p>
    <w:p w14:paraId="7BE52902" w14:textId="77777777" w:rsidR="0074195A" w:rsidRPr="003D6545" w:rsidRDefault="0074195A" w:rsidP="003D6545">
      <w:pPr>
        <w:spacing w:after="0" w:line="240" w:lineRule="auto"/>
        <w:rPr>
          <w:rFonts w:ascii="Times New Roman" w:hAnsi="Times New Roman" w:cs="Times New Roman"/>
          <w:sz w:val="24"/>
          <w:szCs w:val="24"/>
        </w:rPr>
      </w:pPr>
    </w:p>
    <w:p w14:paraId="6FBC911A" w14:textId="77777777" w:rsidR="00D80FBD" w:rsidRPr="003D6545" w:rsidRDefault="00D80FBD"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ESTIMATED BURDEN OF COLLECTION OF INFORMATION</w:t>
      </w:r>
    </w:p>
    <w:p w14:paraId="6FBC911B" w14:textId="77777777" w:rsidR="00D80FBD" w:rsidRPr="003D6545" w:rsidRDefault="00D80FBD" w:rsidP="003D6545">
      <w:pPr>
        <w:spacing w:after="0" w:line="240" w:lineRule="auto"/>
        <w:rPr>
          <w:rFonts w:ascii="Times New Roman" w:hAnsi="Times New Roman" w:cs="Times New Roman"/>
          <w:sz w:val="24"/>
          <w:szCs w:val="24"/>
        </w:rPr>
      </w:pPr>
    </w:p>
    <w:p w14:paraId="1231344F" w14:textId="039544AA" w:rsidR="0030149C" w:rsidRPr="003D6545" w:rsidRDefault="0030149C" w:rsidP="003D6545">
      <w:pPr>
        <w:autoSpaceDE w:val="0"/>
        <w:autoSpaceDN w:val="0"/>
        <w:adjustRightInd w:val="0"/>
        <w:spacing w:after="120" w:line="240" w:lineRule="auto"/>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The estimated burden and cost</w:t>
      </w:r>
      <w:r w:rsidRPr="003D6545">
        <w:rPr>
          <w:rFonts w:ascii="Times New Roman" w:eastAsia="Times New Roman" w:hAnsi="Times New Roman" w:cs="Times New Roman"/>
          <w:b/>
          <w:sz w:val="24"/>
          <w:szCs w:val="24"/>
          <w:vertAlign w:val="superscript"/>
        </w:rPr>
        <w:footnoteReference w:id="7"/>
      </w:r>
      <w:r w:rsidRPr="003D6545">
        <w:rPr>
          <w:rFonts w:ascii="Times New Roman" w:eastAsia="Times New Roman" w:hAnsi="Times New Roman" w:cs="Times New Roman"/>
          <w:sz w:val="24"/>
          <w:szCs w:val="24"/>
        </w:rPr>
        <w:t xml:space="preserve"> for the requirements </w:t>
      </w:r>
      <w:r w:rsidR="00812EF1" w:rsidRPr="003D6545">
        <w:rPr>
          <w:rFonts w:ascii="Times New Roman" w:eastAsia="Times New Roman" w:hAnsi="Times New Roman" w:cs="Times New Roman"/>
          <w:sz w:val="24"/>
          <w:szCs w:val="24"/>
        </w:rPr>
        <w:t>propos</w:t>
      </w:r>
      <w:r w:rsidRPr="003D6545">
        <w:rPr>
          <w:rFonts w:ascii="Times New Roman" w:eastAsia="Times New Roman" w:hAnsi="Times New Roman" w:cs="Times New Roman"/>
          <w:sz w:val="24"/>
          <w:szCs w:val="24"/>
        </w:rPr>
        <w:t xml:space="preserve">ed in this NOPR </w:t>
      </w:r>
      <w:r w:rsidR="00DB1B57" w:rsidRPr="003D6545">
        <w:rPr>
          <w:rFonts w:ascii="Times New Roman" w:eastAsia="Times New Roman" w:hAnsi="Times New Roman" w:cs="Times New Roman"/>
          <w:sz w:val="24"/>
          <w:szCs w:val="24"/>
        </w:rPr>
        <w:t>in RM15-24</w:t>
      </w:r>
      <w:r w:rsidR="004D608E">
        <w:rPr>
          <w:rFonts w:ascii="Times New Roman" w:eastAsia="Times New Roman" w:hAnsi="Times New Roman" w:cs="Times New Roman"/>
          <w:sz w:val="24"/>
          <w:szCs w:val="24"/>
        </w:rPr>
        <w:t>-000</w:t>
      </w:r>
      <w:r w:rsidR="00DB1B57" w:rsidRPr="003D6545">
        <w:rPr>
          <w:rFonts w:ascii="Times New Roman" w:eastAsia="Times New Roman" w:hAnsi="Times New Roman" w:cs="Times New Roman"/>
          <w:sz w:val="24"/>
          <w:szCs w:val="24"/>
        </w:rPr>
        <w:t xml:space="preserve"> </w:t>
      </w:r>
      <w:r w:rsidRPr="003D6545">
        <w:rPr>
          <w:rFonts w:ascii="Times New Roman" w:eastAsia="Times New Roman" w:hAnsi="Times New Roman" w:cs="Times New Roman"/>
          <w:sz w:val="24"/>
          <w:szCs w:val="24"/>
        </w:rPr>
        <w:t>follow.</w:t>
      </w:r>
      <w:r w:rsidRPr="003D6545">
        <w:rPr>
          <w:rFonts w:ascii="Times New Roman" w:eastAsia="Times New Roman" w:hAnsi="Times New Roman" w:cs="Times New Roman"/>
          <w:b/>
          <w:sz w:val="24"/>
          <w:szCs w:val="24"/>
          <w:vertAlign w:val="superscript"/>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1170"/>
        <w:gridCol w:w="1440"/>
        <w:gridCol w:w="1350"/>
        <w:gridCol w:w="1361"/>
        <w:gridCol w:w="1177"/>
      </w:tblGrid>
      <w:tr w:rsidR="0030149C" w:rsidRPr="003D6545" w14:paraId="4FA9F920" w14:textId="77777777" w:rsidTr="00131BBB">
        <w:trPr>
          <w:cantSplit/>
          <w:trHeight w:val="2240"/>
          <w:tblHeader/>
        </w:trPr>
        <w:tc>
          <w:tcPr>
            <w:tcW w:w="307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6A6A6" w:themeFill="background1" w:themeFillShade="A6"/>
            <w:vAlign w:val="bottom"/>
          </w:tcPr>
          <w:p w14:paraId="04B07BD1" w14:textId="77777777" w:rsidR="0030149C" w:rsidRPr="003D6545" w:rsidRDefault="0030149C" w:rsidP="00131BBB">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6545">
              <w:rPr>
                <w:rFonts w:ascii="Times New Roman" w:eastAsia="Times New Roman" w:hAnsi="Times New Roman" w:cs="Times New Roman"/>
                <w:b/>
                <w:sz w:val="24"/>
                <w:szCs w:val="24"/>
              </w:rPr>
              <w:lastRenderedPageBreak/>
              <w:t>Data Collection</w:t>
            </w:r>
          </w:p>
          <w:p w14:paraId="018AAE7C" w14:textId="762A78CB" w:rsidR="0030149C" w:rsidRPr="003D6545" w:rsidRDefault="0030149C" w:rsidP="00131BBB">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6545">
              <w:rPr>
                <w:rFonts w:ascii="Times New Roman" w:eastAsia="Times New Roman" w:hAnsi="Times New Roman" w:cs="Times New Roman"/>
                <w:b/>
                <w:sz w:val="24"/>
                <w:szCs w:val="24"/>
              </w:rPr>
              <w:t>FERC 516 (modifications</w:t>
            </w:r>
            <w:r w:rsidR="00B66628" w:rsidRPr="003D6545">
              <w:rPr>
                <w:rFonts w:ascii="Times New Roman" w:eastAsia="Times New Roman" w:hAnsi="Times New Roman" w:cs="Times New Roman"/>
                <w:b/>
                <w:sz w:val="24"/>
                <w:szCs w:val="24"/>
              </w:rPr>
              <w:t xml:space="preserve"> proposed</w:t>
            </w:r>
            <w:r w:rsidRPr="003D6545">
              <w:rPr>
                <w:rFonts w:ascii="Times New Roman" w:eastAsia="Times New Roman" w:hAnsi="Times New Roman" w:cs="Times New Roman"/>
                <w:b/>
                <w:sz w:val="24"/>
                <w:szCs w:val="24"/>
              </w:rPr>
              <w:t xml:space="preserve"> in NOPR in RM15-24</w:t>
            </w:r>
            <w:r w:rsidR="00CA0069">
              <w:rPr>
                <w:rFonts w:ascii="Times New Roman" w:eastAsia="Times New Roman" w:hAnsi="Times New Roman" w:cs="Times New Roman"/>
                <w:b/>
                <w:sz w:val="24"/>
                <w:szCs w:val="24"/>
              </w:rPr>
              <w:t>-000</w:t>
            </w:r>
            <w:r w:rsidRPr="003D6545">
              <w:rPr>
                <w:rFonts w:ascii="Times New Roman" w:eastAsia="Times New Roman" w:hAnsi="Times New Roman" w:cs="Times New Roman"/>
                <w:b/>
                <w:sz w:val="24"/>
                <w:szCs w:val="24"/>
              </w:rPr>
              <w:t>)</w:t>
            </w:r>
          </w:p>
        </w:tc>
        <w:tc>
          <w:tcPr>
            <w:tcW w:w="117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6A6A6" w:themeFill="background1" w:themeFillShade="A6"/>
            <w:vAlign w:val="bottom"/>
          </w:tcPr>
          <w:p w14:paraId="40548F4F" w14:textId="77777777" w:rsidR="0030149C" w:rsidRPr="003D6545" w:rsidRDefault="0030149C" w:rsidP="00131BBB">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D6545">
              <w:rPr>
                <w:rFonts w:ascii="Times New Roman" w:eastAsia="Times New Roman" w:hAnsi="Times New Roman" w:cs="Times New Roman"/>
                <w:b/>
                <w:sz w:val="24"/>
                <w:szCs w:val="24"/>
              </w:rPr>
              <w:t>Number of Respondents</w:t>
            </w:r>
          </w:p>
        </w:tc>
        <w:tc>
          <w:tcPr>
            <w:tcW w:w="1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6A6A6" w:themeFill="background1" w:themeFillShade="A6"/>
            <w:vAlign w:val="bottom"/>
          </w:tcPr>
          <w:p w14:paraId="070A8F63" w14:textId="77777777" w:rsidR="0030149C" w:rsidRPr="003D6545" w:rsidRDefault="0030149C" w:rsidP="00131BBB">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D6545">
              <w:rPr>
                <w:rFonts w:ascii="Times New Roman" w:eastAsia="Times New Roman" w:hAnsi="Times New Roman" w:cs="Times New Roman"/>
                <w:b/>
                <w:sz w:val="24"/>
                <w:szCs w:val="24"/>
              </w:rPr>
              <w:t>Annual Number of Responses per Respondent</w:t>
            </w:r>
          </w:p>
        </w:tc>
        <w:tc>
          <w:tcPr>
            <w:tcW w:w="135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6A6A6" w:themeFill="background1" w:themeFillShade="A6"/>
            <w:vAlign w:val="bottom"/>
          </w:tcPr>
          <w:p w14:paraId="3B2B850F" w14:textId="77777777" w:rsidR="0030149C" w:rsidRPr="003D6545" w:rsidRDefault="0030149C" w:rsidP="002763B3">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D6545">
              <w:rPr>
                <w:rFonts w:ascii="Times New Roman" w:eastAsia="Times New Roman" w:hAnsi="Times New Roman" w:cs="Times New Roman"/>
                <w:b/>
                <w:sz w:val="24"/>
                <w:szCs w:val="24"/>
              </w:rPr>
              <w:t>Total Number of Responses</w:t>
            </w:r>
          </w:p>
        </w:tc>
        <w:tc>
          <w:tcPr>
            <w:tcW w:w="136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6A6A6" w:themeFill="background1" w:themeFillShade="A6"/>
            <w:vAlign w:val="bottom"/>
          </w:tcPr>
          <w:p w14:paraId="0F9C5DDA" w14:textId="77777777" w:rsidR="0030149C" w:rsidRPr="003D6545" w:rsidRDefault="0030149C" w:rsidP="002763B3">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D6545">
              <w:rPr>
                <w:rFonts w:ascii="Times New Roman" w:eastAsia="Times New Roman" w:hAnsi="Times New Roman" w:cs="Times New Roman"/>
                <w:b/>
                <w:sz w:val="24"/>
                <w:szCs w:val="24"/>
              </w:rPr>
              <w:t>Average Burden Hours &amp; Cost per Response</w:t>
            </w:r>
          </w:p>
        </w:tc>
        <w:tc>
          <w:tcPr>
            <w:tcW w:w="117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6A6A6" w:themeFill="background1" w:themeFillShade="A6"/>
            <w:vAlign w:val="bottom"/>
          </w:tcPr>
          <w:p w14:paraId="7CC94005" w14:textId="77777777" w:rsidR="0030149C" w:rsidRPr="003D6545" w:rsidRDefault="0030149C" w:rsidP="002763B3">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D6545">
              <w:rPr>
                <w:rFonts w:ascii="Times New Roman" w:eastAsia="Times New Roman" w:hAnsi="Times New Roman" w:cs="Times New Roman"/>
                <w:b/>
                <w:sz w:val="24"/>
                <w:szCs w:val="24"/>
              </w:rPr>
              <w:t>Annual Burden Hours &amp; Total Annual Cost</w:t>
            </w:r>
          </w:p>
        </w:tc>
      </w:tr>
      <w:tr w:rsidR="0030149C" w:rsidRPr="003D6545" w14:paraId="29D6540C" w14:textId="77777777" w:rsidTr="00131BBB">
        <w:trPr>
          <w:cantSplit/>
          <w:trHeight w:val="530"/>
          <w:tblHeader/>
        </w:trPr>
        <w:tc>
          <w:tcPr>
            <w:tcW w:w="3078" w:type="dxa"/>
            <w:tcBorders>
              <w:top w:val="single" w:sz="4" w:space="0" w:color="F2F2F2" w:themeColor="background1" w:themeShade="F2"/>
            </w:tcBorders>
            <w:shd w:val="clear" w:color="auto" w:fill="auto"/>
            <w:vAlign w:val="bottom"/>
          </w:tcPr>
          <w:p w14:paraId="46C71D76" w14:textId="77777777" w:rsidR="0030149C" w:rsidRPr="003D6545" w:rsidRDefault="0030149C" w:rsidP="003D6545">
            <w:pPr>
              <w:keepNext/>
              <w:keepLines/>
              <w:widowControl w:val="0"/>
              <w:autoSpaceDE w:val="0"/>
              <w:autoSpaceDN w:val="0"/>
              <w:adjustRightInd w:val="0"/>
              <w:spacing w:after="120" w:line="240" w:lineRule="auto"/>
              <w:jc w:val="center"/>
              <w:rPr>
                <w:rFonts w:ascii="Times New Roman" w:eastAsia="Times New Roman" w:hAnsi="Times New Roman" w:cs="Times New Roman"/>
                <w:b/>
                <w:sz w:val="24"/>
                <w:szCs w:val="24"/>
              </w:rPr>
            </w:pPr>
          </w:p>
        </w:tc>
        <w:tc>
          <w:tcPr>
            <w:tcW w:w="1170" w:type="dxa"/>
            <w:tcBorders>
              <w:top w:val="single" w:sz="4" w:space="0" w:color="F2F2F2" w:themeColor="background1" w:themeShade="F2"/>
            </w:tcBorders>
            <w:shd w:val="clear" w:color="auto" w:fill="auto"/>
            <w:vAlign w:val="bottom"/>
          </w:tcPr>
          <w:p w14:paraId="5FC213BA" w14:textId="77777777" w:rsidR="0030149C" w:rsidRPr="003D6545" w:rsidDel="00A3246D" w:rsidRDefault="0030149C" w:rsidP="003D6545">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D6545">
              <w:rPr>
                <w:rFonts w:ascii="Times New Roman" w:eastAsia="Times New Roman" w:hAnsi="Times New Roman" w:cs="Times New Roman"/>
                <w:b/>
                <w:sz w:val="24"/>
                <w:szCs w:val="24"/>
              </w:rPr>
              <w:t xml:space="preserve"> (1)</w:t>
            </w:r>
          </w:p>
        </w:tc>
        <w:tc>
          <w:tcPr>
            <w:tcW w:w="1440" w:type="dxa"/>
            <w:tcBorders>
              <w:top w:val="single" w:sz="4" w:space="0" w:color="F2F2F2" w:themeColor="background1" w:themeShade="F2"/>
            </w:tcBorders>
            <w:shd w:val="clear" w:color="auto" w:fill="auto"/>
            <w:vAlign w:val="bottom"/>
          </w:tcPr>
          <w:p w14:paraId="337BBAEF" w14:textId="77777777" w:rsidR="0030149C" w:rsidRPr="003D6545" w:rsidRDefault="0030149C" w:rsidP="003D6545">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D6545">
              <w:rPr>
                <w:rFonts w:ascii="Times New Roman" w:eastAsia="Times New Roman" w:hAnsi="Times New Roman" w:cs="Times New Roman"/>
                <w:b/>
                <w:sz w:val="24"/>
                <w:szCs w:val="24"/>
              </w:rPr>
              <w:t xml:space="preserve"> (2)</w:t>
            </w:r>
          </w:p>
        </w:tc>
        <w:tc>
          <w:tcPr>
            <w:tcW w:w="1350" w:type="dxa"/>
            <w:tcBorders>
              <w:top w:val="single" w:sz="4" w:space="0" w:color="F2F2F2" w:themeColor="background1" w:themeShade="F2"/>
            </w:tcBorders>
            <w:vAlign w:val="bottom"/>
          </w:tcPr>
          <w:p w14:paraId="2CBF4009" w14:textId="77777777" w:rsidR="0030149C" w:rsidRPr="003D6545" w:rsidRDefault="0030149C" w:rsidP="003D6545">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D6545">
              <w:rPr>
                <w:rFonts w:ascii="Times New Roman" w:eastAsia="Times New Roman" w:hAnsi="Times New Roman" w:cs="Times New Roman"/>
                <w:b/>
                <w:sz w:val="24"/>
                <w:szCs w:val="24"/>
              </w:rPr>
              <w:t>(1)×(2)=(3)</w:t>
            </w:r>
          </w:p>
        </w:tc>
        <w:tc>
          <w:tcPr>
            <w:tcW w:w="1361" w:type="dxa"/>
            <w:tcBorders>
              <w:top w:val="single" w:sz="4" w:space="0" w:color="F2F2F2" w:themeColor="background1" w:themeShade="F2"/>
            </w:tcBorders>
            <w:shd w:val="clear" w:color="auto" w:fill="auto"/>
            <w:vAlign w:val="bottom"/>
          </w:tcPr>
          <w:p w14:paraId="4008719C" w14:textId="77777777" w:rsidR="0030149C" w:rsidRPr="003D6545" w:rsidRDefault="0030149C" w:rsidP="003D6545">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D6545">
              <w:rPr>
                <w:rFonts w:ascii="Times New Roman" w:eastAsia="Times New Roman" w:hAnsi="Times New Roman" w:cs="Times New Roman"/>
                <w:b/>
                <w:sz w:val="24"/>
                <w:szCs w:val="24"/>
              </w:rPr>
              <w:t xml:space="preserve"> (4)</w:t>
            </w:r>
          </w:p>
        </w:tc>
        <w:tc>
          <w:tcPr>
            <w:tcW w:w="1177" w:type="dxa"/>
            <w:tcBorders>
              <w:top w:val="single" w:sz="4" w:space="0" w:color="F2F2F2" w:themeColor="background1" w:themeShade="F2"/>
            </w:tcBorders>
            <w:shd w:val="clear" w:color="auto" w:fill="auto"/>
            <w:vAlign w:val="bottom"/>
          </w:tcPr>
          <w:p w14:paraId="1EFB4D6F" w14:textId="77777777" w:rsidR="0030149C" w:rsidRPr="003D6545" w:rsidRDefault="0030149C" w:rsidP="003D6545">
            <w:pPr>
              <w:keepNext/>
              <w:widowControl w:val="0"/>
              <w:autoSpaceDE w:val="0"/>
              <w:autoSpaceDN w:val="0"/>
              <w:adjustRightInd w:val="0"/>
              <w:spacing w:after="120" w:line="240" w:lineRule="auto"/>
              <w:jc w:val="center"/>
              <w:rPr>
                <w:rFonts w:ascii="Times New Roman" w:eastAsia="Times New Roman" w:hAnsi="Times New Roman" w:cs="Times New Roman"/>
                <w:b/>
                <w:sz w:val="24"/>
                <w:szCs w:val="24"/>
              </w:rPr>
            </w:pPr>
            <w:r w:rsidRPr="003D6545">
              <w:rPr>
                <w:rFonts w:ascii="Times New Roman" w:eastAsia="Times New Roman" w:hAnsi="Times New Roman" w:cs="Times New Roman"/>
                <w:b/>
                <w:sz w:val="24"/>
                <w:szCs w:val="24"/>
              </w:rPr>
              <w:t>(3)×(4)=(5)</w:t>
            </w:r>
          </w:p>
        </w:tc>
      </w:tr>
      <w:tr w:rsidR="0030149C" w:rsidRPr="003D6545" w14:paraId="4A35700D" w14:textId="77777777" w:rsidTr="00DB1B57">
        <w:trPr>
          <w:cantSplit/>
          <w:trHeight w:val="576"/>
        </w:trPr>
        <w:tc>
          <w:tcPr>
            <w:tcW w:w="3078" w:type="dxa"/>
            <w:shd w:val="clear" w:color="auto" w:fill="auto"/>
            <w:vAlign w:val="center"/>
          </w:tcPr>
          <w:p w14:paraId="1E631718" w14:textId="77777777" w:rsidR="0030149C" w:rsidRPr="003D6545" w:rsidRDefault="0030149C" w:rsidP="003D6545">
            <w:pPr>
              <w:keepNext/>
              <w:keepLines/>
              <w:widowControl w:val="0"/>
              <w:autoSpaceDE w:val="0"/>
              <w:autoSpaceDN w:val="0"/>
              <w:adjustRightInd w:val="0"/>
              <w:spacing w:after="120" w:line="240" w:lineRule="auto"/>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Tariff filings one-time in Year 1</w:t>
            </w:r>
          </w:p>
          <w:p w14:paraId="5A79B92D" w14:textId="77777777" w:rsidR="0030149C" w:rsidRPr="003D6545" w:rsidRDefault="0030149C" w:rsidP="003D6545">
            <w:pPr>
              <w:keepNext/>
              <w:keepLines/>
              <w:widowControl w:val="0"/>
              <w:autoSpaceDE w:val="0"/>
              <w:autoSpaceDN w:val="0"/>
              <w:adjustRightInd w:val="0"/>
              <w:spacing w:after="120" w:line="240" w:lineRule="auto"/>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For RTOs/ISOs that currently align real-time settlement with dispatch intervals</w:t>
            </w:r>
          </w:p>
        </w:tc>
        <w:tc>
          <w:tcPr>
            <w:tcW w:w="1170" w:type="dxa"/>
            <w:shd w:val="clear" w:color="auto" w:fill="auto"/>
            <w:vAlign w:val="bottom"/>
          </w:tcPr>
          <w:p w14:paraId="0AC1DBCD"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3 RTOs or ISOs</w:t>
            </w:r>
          </w:p>
        </w:tc>
        <w:tc>
          <w:tcPr>
            <w:tcW w:w="1440" w:type="dxa"/>
            <w:shd w:val="clear" w:color="auto" w:fill="auto"/>
            <w:vAlign w:val="bottom"/>
          </w:tcPr>
          <w:p w14:paraId="4A1A02E4"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1</w:t>
            </w:r>
          </w:p>
        </w:tc>
        <w:tc>
          <w:tcPr>
            <w:tcW w:w="1350" w:type="dxa"/>
            <w:vAlign w:val="bottom"/>
          </w:tcPr>
          <w:p w14:paraId="62EDC03D"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3</w:t>
            </w:r>
          </w:p>
        </w:tc>
        <w:tc>
          <w:tcPr>
            <w:tcW w:w="1361" w:type="dxa"/>
            <w:shd w:val="clear" w:color="auto" w:fill="auto"/>
            <w:vAlign w:val="bottom"/>
          </w:tcPr>
          <w:p w14:paraId="55F4D513"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80 hrs; $6,000</w:t>
            </w:r>
          </w:p>
        </w:tc>
        <w:tc>
          <w:tcPr>
            <w:tcW w:w="1177" w:type="dxa"/>
            <w:shd w:val="clear" w:color="auto" w:fill="auto"/>
            <w:vAlign w:val="bottom"/>
          </w:tcPr>
          <w:p w14:paraId="2C9F2FD7"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240 hrs;</w:t>
            </w:r>
          </w:p>
          <w:p w14:paraId="71FB2132"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 xml:space="preserve"> $18,000</w:t>
            </w:r>
          </w:p>
        </w:tc>
      </w:tr>
      <w:tr w:rsidR="0030149C" w:rsidRPr="003D6545" w14:paraId="0EC608C6" w14:textId="77777777" w:rsidTr="00DB1B57">
        <w:trPr>
          <w:cantSplit/>
          <w:trHeight w:val="576"/>
        </w:trPr>
        <w:tc>
          <w:tcPr>
            <w:tcW w:w="3078" w:type="dxa"/>
            <w:shd w:val="clear" w:color="auto" w:fill="auto"/>
            <w:vAlign w:val="center"/>
          </w:tcPr>
          <w:p w14:paraId="7F188A58" w14:textId="77777777" w:rsidR="0030149C" w:rsidRPr="003D6545" w:rsidRDefault="0030149C" w:rsidP="003D6545">
            <w:pPr>
              <w:keepNext/>
              <w:keepLines/>
              <w:widowControl w:val="0"/>
              <w:autoSpaceDE w:val="0"/>
              <w:autoSpaceDN w:val="0"/>
              <w:adjustRightInd w:val="0"/>
              <w:spacing w:after="120" w:line="240" w:lineRule="auto"/>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Tariff filings one-time in Year 1</w:t>
            </w:r>
          </w:p>
          <w:p w14:paraId="6B805A30" w14:textId="77777777" w:rsidR="0030149C" w:rsidRPr="003D6545" w:rsidRDefault="0030149C" w:rsidP="003D6545">
            <w:pPr>
              <w:keepNext/>
              <w:keepLines/>
              <w:widowControl w:val="0"/>
              <w:autoSpaceDE w:val="0"/>
              <w:autoSpaceDN w:val="0"/>
              <w:adjustRightInd w:val="0"/>
              <w:spacing w:after="120" w:line="240" w:lineRule="auto"/>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 xml:space="preserve">For RTOs/ISOs that </w:t>
            </w:r>
            <w:r w:rsidRPr="003D6545">
              <w:rPr>
                <w:rFonts w:ascii="Times New Roman" w:eastAsia="Times New Roman" w:hAnsi="Times New Roman" w:cs="Times New Roman"/>
                <w:i/>
                <w:sz w:val="24"/>
                <w:szCs w:val="24"/>
              </w:rPr>
              <w:t xml:space="preserve">do not </w:t>
            </w:r>
            <w:r w:rsidRPr="003D6545">
              <w:rPr>
                <w:rFonts w:ascii="Times New Roman" w:eastAsia="Times New Roman" w:hAnsi="Times New Roman" w:cs="Times New Roman"/>
                <w:sz w:val="24"/>
                <w:szCs w:val="24"/>
              </w:rPr>
              <w:t>currently align real-time settlement with dispatch intervals</w:t>
            </w:r>
          </w:p>
        </w:tc>
        <w:tc>
          <w:tcPr>
            <w:tcW w:w="1170" w:type="dxa"/>
            <w:shd w:val="clear" w:color="auto" w:fill="auto"/>
            <w:vAlign w:val="bottom"/>
          </w:tcPr>
          <w:p w14:paraId="3610C5D2"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3 RTOs or ISOs</w:t>
            </w:r>
          </w:p>
        </w:tc>
        <w:tc>
          <w:tcPr>
            <w:tcW w:w="1440" w:type="dxa"/>
            <w:shd w:val="clear" w:color="auto" w:fill="auto"/>
            <w:vAlign w:val="bottom"/>
          </w:tcPr>
          <w:p w14:paraId="3C81CFCC"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1</w:t>
            </w:r>
          </w:p>
        </w:tc>
        <w:tc>
          <w:tcPr>
            <w:tcW w:w="1350" w:type="dxa"/>
            <w:vAlign w:val="bottom"/>
          </w:tcPr>
          <w:p w14:paraId="5B0D9C06"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3</w:t>
            </w:r>
          </w:p>
        </w:tc>
        <w:tc>
          <w:tcPr>
            <w:tcW w:w="1361" w:type="dxa"/>
            <w:shd w:val="clear" w:color="auto" w:fill="auto"/>
            <w:vAlign w:val="bottom"/>
          </w:tcPr>
          <w:p w14:paraId="755E649B" w14:textId="6D4F8C9A" w:rsidR="0050608E" w:rsidRDefault="0050608E"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r w:rsidRPr="003D6545">
              <w:rPr>
                <w:rFonts w:ascii="Times New Roman" w:eastAsia="Times New Roman" w:hAnsi="Times New Roman" w:cs="Times New Roman"/>
                <w:sz w:val="24"/>
                <w:szCs w:val="24"/>
              </w:rPr>
              <w:t xml:space="preserve"> </w:t>
            </w:r>
            <w:r w:rsidR="0030149C" w:rsidRPr="003D6545">
              <w:rPr>
                <w:rFonts w:ascii="Times New Roman" w:eastAsia="Times New Roman" w:hAnsi="Times New Roman" w:cs="Times New Roman"/>
                <w:sz w:val="24"/>
                <w:szCs w:val="24"/>
              </w:rPr>
              <w:t xml:space="preserve">hrs; </w:t>
            </w:r>
          </w:p>
          <w:p w14:paraId="342786FE" w14:textId="1FD1D33A"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w:t>
            </w:r>
            <w:r w:rsidR="0056772F">
              <w:rPr>
                <w:rFonts w:ascii="Times New Roman" w:eastAsia="Times New Roman" w:hAnsi="Times New Roman" w:cs="Times New Roman"/>
                <w:sz w:val="24"/>
                <w:szCs w:val="24"/>
              </w:rPr>
              <w:t>12,000</w:t>
            </w:r>
          </w:p>
        </w:tc>
        <w:tc>
          <w:tcPr>
            <w:tcW w:w="1177" w:type="dxa"/>
            <w:shd w:val="clear" w:color="auto" w:fill="auto"/>
            <w:vAlign w:val="bottom"/>
          </w:tcPr>
          <w:p w14:paraId="2747F671" w14:textId="70135FC1" w:rsidR="0030149C" w:rsidRPr="003D6545" w:rsidRDefault="0056772F"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r w:rsidR="0030149C" w:rsidRPr="003D6545">
              <w:rPr>
                <w:rFonts w:ascii="Times New Roman" w:eastAsia="Times New Roman" w:hAnsi="Times New Roman" w:cs="Times New Roman"/>
                <w:sz w:val="24"/>
                <w:szCs w:val="24"/>
              </w:rPr>
              <w:t>hrs;</w:t>
            </w:r>
            <w:r w:rsidR="00FF66ED">
              <w:rPr>
                <w:rFonts w:ascii="Times New Roman" w:eastAsia="Times New Roman" w:hAnsi="Times New Roman" w:cs="Times New Roman"/>
                <w:sz w:val="24"/>
                <w:szCs w:val="24"/>
              </w:rPr>
              <w:t xml:space="preserve"> </w:t>
            </w:r>
            <w:r w:rsidR="0030149C" w:rsidRPr="003D6545">
              <w:rPr>
                <w:rFonts w:ascii="Times New Roman" w:eastAsia="Times New Roman" w:hAnsi="Times New Roman" w:cs="Times New Roman"/>
                <w:sz w:val="24"/>
                <w:szCs w:val="24"/>
              </w:rPr>
              <w:t>$</w:t>
            </w:r>
            <w:r>
              <w:rPr>
                <w:rFonts w:ascii="Times New Roman" w:eastAsia="Times New Roman" w:hAnsi="Times New Roman" w:cs="Times New Roman"/>
                <w:sz w:val="24"/>
                <w:szCs w:val="24"/>
              </w:rPr>
              <w:t>36,000</w:t>
            </w:r>
          </w:p>
        </w:tc>
      </w:tr>
      <w:tr w:rsidR="0030149C" w:rsidRPr="003D6545" w14:paraId="5E3C7242" w14:textId="77777777" w:rsidTr="00DB1B57">
        <w:trPr>
          <w:cantSplit/>
          <w:trHeight w:val="864"/>
        </w:trPr>
        <w:tc>
          <w:tcPr>
            <w:tcW w:w="3078" w:type="dxa"/>
            <w:shd w:val="clear" w:color="auto" w:fill="auto"/>
            <w:vAlign w:val="center"/>
          </w:tcPr>
          <w:p w14:paraId="5E4B3E7D" w14:textId="77777777" w:rsidR="0030149C" w:rsidRPr="003D6545" w:rsidRDefault="0030149C" w:rsidP="003D6545">
            <w:pPr>
              <w:keepNext/>
              <w:keepLines/>
              <w:widowControl w:val="0"/>
              <w:autoSpaceDE w:val="0"/>
              <w:autoSpaceDN w:val="0"/>
              <w:adjustRightInd w:val="0"/>
              <w:spacing w:after="120" w:line="240" w:lineRule="auto"/>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Related Burden Hours for Implementation of changes each year in Years 1 &amp; 2</w:t>
            </w:r>
          </w:p>
          <w:p w14:paraId="07A921D9" w14:textId="77777777" w:rsidR="0030149C" w:rsidRPr="003D6545" w:rsidRDefault="0030149C" w:rsidP="003D6545">
            <w:pPr>
              <w:keepNext/>
              <w:keepLines/>
              <w:widowControl w:val="0"/>
              <w:autoSpaceDE w:val="0"/>
              <w:autoSpaceDN w:val="0"/>
              <w:adjustRightInd w:val="0"/>
              <w:spacing w:after="120" w:line="240" w:lineRule="auto"/>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For RTOs/ISOs that currently align real-time settlement with dispatch intervals</w:t>
            </w:r>
          </w:p>
        </w:tc>
        <w:tc>
          <w:tcPr>
            <w:tcW w:w="1170" w:type="dxa"/>
            <w:shd w:val="clear" w:color="auto" w:fill="auto"/>
            <w:vAlign w:val="bottom"/>
          </w:tcPr>
          <w:p w14:paraId="7E842C8A"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3 RTOs or ISOs</w:t>
            </w:r>
          </w:p>
        </w:tc>
        <w:tc>
          <w:tcPr>
            <w:tcW w:w="1440" w:type="dxa"/>
            <w:shd w:val="clear" w:color="auto" w:fill="auto"/>
            <w:vAlign w:val="bottom"/>
          </w:tcPr>
          <w:p w14:paraId="2FAD9881"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1</w:t>
            </w:r>
          </w:p>
        </w:tc>
        <w:tc>
          <w:tcPr>
            <w:tcW w:w="1350" w:type="dxa"/>
            <w:vAlign w:val="bottom"/>
          </w:tcPr>
          <w:p w14:paraId="31C055C5"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3</w:t>
            </w:r>
          </w:p>
        </w:tc>
        <w:tc>
          <w:tcPr>
            <w:tcW w:w="1361" w:type="dxa"/>
            <w:shd w:val="clear" w:color="auto" w:fill="auto"/>
            <w:vAlign w:val="bottom"/>
          </w:tcPr>
          <w:p w14:paraId="3AA7364A" w14:textId="4086E2A7" w:rsidR="0030149C" w:rsidRPr="003D6545" w:rsidRDefault="0050608E"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r w:rsidRPr="003D6545">
              <w:rPr>
                <w:rFonts w:ascii="Times New Roman" w:eastAsia="Times New Roman" w:hAnsi="Times New Roman" w:cs="Times New Roman"/>
                <w:sz w:val="24"/>
                <w:szCs w:val="24"/>
              </w:rPr>
              <w:t xml:space="preserve"> </w:t>
            </w:r>
            <w:r w:rsidR="0030149C" w:rsidRPr="003D6545">
              <w:rPr>
                <w:rFonts w:ascii="Times New Roman" w:eastAsia="Times New Roman" w:hAnsi="Times New Roman" w:cs="Times New Roman"/>
                <w:sz w:val="24"/>
                <w:szCs w:val="24"/>
              </w:rPr>
              <w:t>hrs;</w:t>
            </w:r>
          </w:p>
          <w:p w14:paraId="3BDA98EA" w14:textId="11B2006E"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w:t>
            </w:r>
            <w:r w:rsidR="0056772F">
              <w:rPr>
                <w:rFonts w:ascii="Times New Roman" w:eastAsia="Times New Roman" w:hAnsi="Times New Roman" w:cs="Times New Roman"/>
                <w:sz w:val="24"/>
                <w:szCs w:val="24"/>
              </w:rPr>
              <w:t>41,250</w:t>
            </w:r>
          </w:p>
        </w:tc>
        <w:tc>
          <w:tcPr>
            <w:tcW w:w="1177" w:type="dxa"/>
            <w:shd w:val="clear" w:color="auto" w:fill="auto"/>
            <w:vAlign w:val="bottom"/>
          </w:tcPr>
          <w:p w14:paraId="4C290F4A" w14:textId="193CE44F" w:rsidR="0030149C" w:rsidRPr="003D6545" w:rsidRDefault="0056772F"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1,650</w:t>
            </w:r>
            <w:r w:rsidR="0030149C" w:rsidRPr="003D6545">
              <w:rPr>
                <w:rFonts w:ascii="Times New Roman" w:eastAsia="Times New Roman" w:hAnsi="Times New Roman" w:cs="Times New Roman"/>
                <w:sz w:val="24"/>
                <w:szCs w:val="24"/>
              </w:rPr>
              <w:t>hrs; $</w:t>
            </w:r>
            <w:r>
              <w:rPr>
                <w:rFonts w:ascii="Times New Roman" w:eastAsia="Times New Roman" w:hAnsi="Times New Roman" w:cs="Times New Roman"/>
                <w:sz w:val="24"/>
                <w:szCs w:val="24"/>
              </w:rPr>
              <w:t>123,750</w:t>
            </w:r>
          </w:p>
        </w:tc>
      </w:tr>
      <w:tr w:rsidR="0030149C" w:rsidRPr="003D6545" w14:paraId="7E14D23C" w14:textId="77777777" w:rsidTr="00DB1B57">
        <w:trPr>
          <w:cantSplit/>
          <w:trHeight w:val="864"/>
        </w:trPr>
        <w:tc>
          <w:tcPr>
            <w:tcW w:w="3078" w:type="dxa"/>
            <w:shd w:val="clear" w:color="auto" w:fill="auto"/>
            <w:vAlign w:val="center"/>
          </w:tcPr>
          <w:p w14:paraId="4FF828CA" w14:textId="77777777" w:rsidR="0030149C" w:rsidRPr="003D6545" w:rsidRDefault="0030149C" w:rsidP="003D6545">
            <w:pPr>
              <w:keepNext/>
              <w:keepLines/>
              <w:widowControl w:val="0"/>
              <w:autoSpaceDE w:val="0"/>
              <w:autoSpaceDN w:val="0"/>
              <w:adjustRightInd w:val="0"/>
              <w:spacing w:after="120" w:line="240" w:lineRule="auto"/>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lastRenderedPageBreak/>
              <w:t>Related Burden Hours for Implementation of changes each year in Years 1 &amp; 2</w:t>
            </w:r>
          </w:p>
          <w:p w14:paraId="7E41ACEA" w14:textId="77777777" w:rsidR="0030149C" w:rsidRPr="003D6545" w:rsidRDefault="0030149C" w:rsidP="003D6545">
            <w:pPr>
              <w:keepNext/>
              <w:keepLines/>
              <w:widowControl w:val="0"/>
              <w:autoSpaceDE w:val="0"/>
              <w:autoSpaceDN w:val="0"/>
              <w:adjustRightInd w:val="0"/>
              <w:spacing w:after="120" w:line="240" w:lineRule="auto"/>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 xml:space="preserve">For RTOs/ISOs that </w:t>
            </w:r>
            <w:r w:rsidRPr="003D6545">
              <w:rPr>
                <w:rFonts w:ascii="Times New Roman" w:eastAsia="Times New Roman" w:hAnsi="Times New Roman" w:cs="Times New Roman"/>
                <w:i/>
                <w:sz w:val="24"/>
                <w:szCs w:val="24"/>
              </w:rPr>
              <w:t xml:space="preserve">do not </w:t>
            </w:r>
            <w:r w:rsidRPr="003D6545">
              <w:rPr>
                <w:rFonts w:ascii="Times New Roman" w:eastAsia="Times New Roman" w:hAnsi="Times New Roman" w:cs="Times New Roman"/>
                <w:sz w:val="24"/>
                <w:szCs w:val="24"/>
              </w:rPr>
              <w:t>currently align real-time settlement with dispatch intervals</w:t>
            </w:r>
          </w:p>
        </w:tc>
        <w:tc>
          <w:tcPr>
            <w:tcW w:w="1170" w:type="dxa"/>
            <w:shd w:val="clear" w:color="auto" w:fill="auto"/>
            <w:vAlign w:val="bottom"/>
          </w:tcPr>
          <w:p w14:paraId="38937D8D"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3 RTOs or ISOs</w:t>
            </w:r>
          </w:p>
        </w:tc>
        <w:tc>
          <w:tcPr>
            <w:tcW w:w="1440" w:type="dxa"/>
            <w:shd w:val="clear" w:color="auto" w:fill="auto"/>
            <w:vAlign w:val="bottom"/>
          </w:tcPr>
          <w:p w14:paraId="0D445D52"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1</w:t>
            </w:r>
          </w:p>
        </w:tc>
        <w:tc>
          <w:tcPr>
            <w:tcW w:w="1350" w:type="dxa"/>
            <w:vAlign w:val="bottom"/>
          </w:tcPr>
          <w:p w14:paraId="12BCD720" w14:textId="77777777"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3</w:t>
            </w:r>
          </w:p>
        </w:tc>
        <w:tc>
          <w:tcPr>
            <w:tcW w:w="1361" w:type="dxa"/>
            <w:shd w:val="clear" w:color="auto" w:fill="auto"/>
            <w:vAlign w:val="bottom"/>
          </w:tcPr>
          <w:p w14:paraId="7195B346" w14:textId="500F7028" w:rsidR="0030149C" w:rsidRPr="003D6545" w:rsidRDefault="0050608E"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r w:rsidR="0030149C" w:rsidRPr="003D6545">
              <w:rPr>
                <w:rFonts w:ascii="Times New Roman" w:eastAsia="Times New Roman" w:hAnsi="Times New Roman" w:cs="Times New Roman"/>
                <w:sz w:val="24"/>
                <w:szCs w:val="24"/>
              </w:rPr>
              <w:t xml:space="preserve"> hrs;</w:t>
            </w:r>
          </w:p>
          <w:p w14:paraId="170B7DAB" w14:textId="7B4E96FA" w:rsidR="0030149C" w:rsidRPr="003D6545" w:rsidRDefault="0030149C"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t>$</w:t>
            </w:r>
            <w:r w:rsidR="0056772F">
              <w:rPr>
                <w:rFonts w:ascii="Times New Roman" w:eastAsia="Times New Roman" w:hAnsi="Times New Roman" w:cs="Times New Roman"/>
                <w:sz w:val="24"/>
                <w:szCs w:val="24"/>
              </w:rPr>
              <w:t>120,000</w:t>
            </w:r>
          </w:p>
        </w:tc>
        <w:tc>
          <w:tcPr>
            <w:tcW w:w="1177" w:type="dxa"/>
            <w:shd w:val="clear" w:color="auto" w:fill="auto"/>
            <w:vAlign w:val="bottom"/>
          </w:tcPr>
          <w:p w14:paraId="2EE0B88D" w14:textId="3AAF6B38" w:rsidR="0030149C" w:rsidRPr="003D6545" w:rsidRDefault="0056772F" w:rsidP="003D654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4,800 </w:t>
            </w:r>
            <w:r w:rsidR="0030149C" w:rsidRPr="003D6545">
              <w:rPr>
                <w:rFonts w:ascii="Times New Roman" w:eastAsia="Times New Roman" w:hAnsi="Times New Roman" w:cs="Times New Roman"/>
                <w:sz w:val="24"/>
                <w:szCs w:val="24"/>
              </w:rPr>
              <w:t>hrs; $</w:t>
            </w:r>
            <w:r>
              <w:rPr>
                <w:rFonts w:ascii="Times New Roman" w:eastAsia="Times New Roman" w:hAnsi="Times New Roman" w:cs="Times New Roman"/>
                <w:sz w:val="24"/>
                <w:szCs w:val="24"/>
              </w:rPr>
              <w:t>360,000</w:t>
            </w:r>
          </w:p>
        </w:tc>
      </w:tr>
    </w:tbl>
    <w:p w14:paraId="7FD23FE7" w14:textId="77777777" w:rsidR="0030149C" w:rsidRPr="003D6545" w:rsidRDefault="0030149C" w:rsidP="003D6545">
      <w:pPr>
        <w:widowControl w:val="0"/>
        <w:autoSpaceDE w:val="0"/>
        <w:autoSpaceDN w:val="0"/>
        <w:adjustRightInd w:val="0"/>
        <w:spacing w:after="120" w:line="240" w:lineRule="auto"/>
        <w:rPr>
          <w:rFonts w:ascii="Times New Roman" w:eastAsia="Times New Roman" w:hAnsi="Times New Roman" w:cs="Times New Roman"/>
          <w:sz w:val="24"/>
          <w:szCs w:val="24"/>
        </w:rPr>
      </w:pPr>
    </w:p>
    <w:p w14:paraId="0B5D0BBC" w14:textId="051684A0" w:rsidR="00FA3586" w:rsidRPr="003D6545" w:rsidRDefault="00FA3586" w:rsidP="003D6545">
      <w:pPr>
        <w:widowControl w:val="0"/>
        <w:autoSpaceDE w:val="0"/>
        <w:autoSpaceDN w:val="0"/>
        <w:adjustRightInd w:val="0"/>
        <w:spacing w:after="120" w:line="240" w:lineRule="auto"/>
        <w:rPr>
          <w:rFonts w:ascii="Times New Roman" w:eastAsia="Times New Roman" w:hAnsi="Times New Roman" w:cs="Times New Roman"/>
          <w:sz w:val="24"/>
          <w:szCs w:val="24"/>
        </w:rPr>
      </w:pPr>
    </w:p>
    <w:p w14:paraId="5AB5A20C" w14:textId="70C6F9EB" w:rsidR="00FA3586" w:rsidRPr="00A9169E" w:rsidRDefault="00FA3586" w:rsidP="003D6545">
      <w:pPr>
        <w:widowControl w:val="0"/>
        <w:autoSpaceDE w:val="0"/>
        <w:autoSpaceDN w:val="0"/>
        <w:adjustRightInd w:val="0"/>
        <w:spacing w:after="120" w:line="240" w:lineRule="auto"/>
        <w:rPr>
          <w:rFonts w:ascii="Times New Roman" w:hAnsi="Times New Roman"/>
          <w:sz w:val="24"/>
        </w:rPr>
      </w:pPr>
      <w:r w:rsidRPr="00FF66ED">
        <w:rPr>
          <w:rFonts w:ascii="Times New Roman" w:hAnsi="Times New Roman"/>
          <w:sz w:val="24"/>
        </w:rPr>
        <w:t xml:space="preserve">The total burden for Year 1 is </w:t>
      </w:r>
      <w:r w:rsidR="0056772F" w:rsidRPr="00FF66ED">
        <w:rPr>
          <w:rFonts w:ascii="Times New Roman" w:eastAsia="Times New Roman" w:hAnsi="Times New Roman" w:cs="Times New Roman"/>
          <w:sz w:val="24"/>
          <w:szCs w:val="24"/>
        </w:rPr>
        <w:t>7,170</w:t>
      </w:r>
      <w:r w:rsidR="00FF66ED">
        <w:rPr>
          <w:rFonts w:ascii="Times New Roman" w:eastAsia="Times New Roman" w:hAnsi="Times New Roman" w:cs="Times New Roman"/>
          <w:sz w:val="24"/>
          <w:szCs w:val="24"/>
        </w:rPr>
        <w:t xml:space="preserve"> </w:t>
      </w:r>
      <w:r w:rsidRPr="00FF66ED">
        <w:rPr>
          <w:rFonts w:ascii="Times New Roman" w:hAnsi="Times New Roman"/>
          <w:sz w:val="24"/>
        </w:rPr>
        <w:t xml:space="preserve">hours </w:t>
      </w:r>
      <w:r w:rsidR="00B044A4" w:rsidRPr="00FF66ED">
        <w:rPr>
          <w:rFonts w:ascii="Times New Roman" w:hAnsi="Times New Roman"/>
          <w:sz w:val="24"/>
        </w:rPr>
        <w:t xml:space="preserve">and for Year 2 is </w:t>
      </w:r>
      <w:r w:rsidR="0056772F" w:rsidRPr="00FF66ED">
        <w:rPr>
          <w:rFonts w:ascii="Times New Roman" w:eastAsia="Times New Roman" w:hAnsi="Times New Roman" w:cs="Times New Roman"/>
          <w:sz w:val="24"/>
          <w:szCs w:val="24"/>
        </w:rPr>
        <w:t>6,450</w:t>
      </w:r>
      <w:r w:rsidR="00FF66ED">
        <w:rPr>
          <w:rFonts w:ascii="Times New Roman" w:eastAsia="Times New Roman" w:hAnsi="Times New Roman" w:cs="Times New Roman"/>
          <w:sz w:val="24"/>
          <w:szCs w:val="24"/>
        </w:rPr>
        <w:t xml:space="preserve"> </w:t>
      </w:r>
      <w:r w:rsidR="00B044A4" w:rsidRPr="00FF66ED">
        <w:rPr>
          <w:rFonts w:ascii="Times New Roman" w:hAnsi="Times New Roman"/>
          <w:sz w:val="24"/>
        </w:rPr>
        <w:t xml:space="preserve">hours </w:t>
      </w:r>
      <w:r w:rsidRPr="00FF66ED">
        <w:rPr>
          <w:rFonts w:ascii="Times New Roman" w:hAnsi="Times New Roman"/>
          <w:sz w:val="24"/>
        </w:rPr>
        <w:t xml:space="preserve">(or an annual average of </w:t>
      </w:r>
      <w:r w:rsidR="0056772F" w:rsidRPr="00A9169E">
        <w:rPr>
          <w:rFonts w:ascii="Times New Roman" w:eastAsia="Times New Roman" w:hAnsi="Times New Roman" w:cs="Times New Roman"/>
          <w:sz w:val="24"/>
          <w:szCs w:val="24"/>
        </w:rPr>
        <w:t xml:space="preserve">6,810 </w:t>
      </w:r>
      <w:r w:rsidRPr="00A9169E">
        <w:rPr>
          <w:rFonts w:ascii="Times New Roman" w:hAnsi="Times New Roman"/>
          <w:sz w:val="24"/>
        </w:rPr>
        <w:t>hours each for Years 1 and 2).</w:t>
      </w:r>
      <w:r w:rsidR="0063196F" w:rsidRPr="00A9169E">
        <w:rPr>
          <w:rStyle w:val="FootnoteReference"/>
          <w:rFonts w:ascii="Times New Roman" w:hAnsi="Times New Roman"/>
          <w:sz w:val="24"/>
          <w:vertAlign w:val="superscript"/>
        </w:rPr>
        <w:footnoteReference w:id="9"/>
      </w:r>
    </w:p>
    <w:p w14:paraId="3FEA87B7" w14:textId="77777777" w:rsidR="0030149C" w:rsidRPr="00A9169E" w:rsidRDefault="0030149C" w:rsidP="003D6545">
      <w:pPr>
        <w:keepLines/>
        <w:widowControl w:val="0"/>
        <w:autoSpaceDE w:val="0"/>
        <w:autoSpaceDN w:val="0"/>
        <w:adjustRightInd w:val="0"/>
        <w:spacing w:after="0" w:line="240" w:lineRule="auto"/>
        <w:rPr>
          <w:rFonts w:ascii="Times New Roman" w:hAnsi="Times New Roman"/>
          <w:sz w:val="24"/>
        </w:rPr>
      </w:pPr>
      <w:r w:rsidRPr="00A9169E">
        <w:rPr>
          <w:rFonts w:ascii="Times New Roman" w:hAnsi="Times New Roman"/>
          <w:sz w:val="24"/>
          <w:u w:val="single"/>
        </w:rPr>
        <w:t>Cost to Comply</w:t>
      </w:r>
      <w:r w:rsidRPr="00A9169E">
        <w:rPr>
          <w:rFonts w:ascii="Times New Roman" w:hAnsi="Times New Roman"/>
          <w:sz w:val="24"/>
        </w:rPr>
        <w:t>:  The Commission has projected the total cost of compliance as follows:</w:t>
      </w:r>
      <w:r w:rsidRPr="00A9169E">
        <w:rPr>
          <w:rFonts w:ascii="Times New Roman" w:hAnsi="Times New Roman"/>
          <w:b/>
          <w:sz w:val="24"/>
          <w:vertAlign w:val="superscript"/>
        </w:rPr>
        <w:footnoteReference w:id="10"/>
      </w:r>
    </w:p>
    <w:p w14:paraId="236548A1" w14:textId="471CDAB4" w:rsidR="0030149C" w:rsidRPr="00A9169E" w:rsidRDefault="0030149C" w:rsidP="003D6545">
      <w:pPr>
        <w:keepLines/>
        <w:widowControl w:val="0"/>
        <w:numPr>
          <w:ilvl w:val="0"/>
          <w:numId w:val="7"/>
        </w:numPr>
        <w:autoSpaceDE w:val="0"/>
        <w:autoSpaceDN w:val="0"/>
        <w:adjustRightInd w:val="0"/>
        <w:spacing w:after="120" w:line="240" w:lineRule="auto"/>
        <w:contextualSpacing/>
        <w:rPr>
          <w:rFonts w:ascii="Times New Roman" w:hAnsi="Times New Roman"/>
          <w:sz w:val="24"/>
        </w:rPr>
      </w:pPr>
      <w:r w:rsidRPr="00A9169E">
        <w:rPr>
          <w:rFonts w:ascii="Times New Roman" w:hAnsi="Times New Roman"/>
          <w:sz w:val="24"/>
        </w:rPr>
        <w:t>Year 1:  $18,000 + $</w:t>
      </w:r>
      <w:r w:rsidR="0056772F" w:rsidRPr="00A9169E">
        <w:rPr>
          <w:rFonts w:ascii="Times New Roman" w:eastAsia="Times New Roman" w:hAnsi="Times New Roman" w:cs="Times New Roman"/>
          <w:sz w:val="24"/>
          <w:szCs w:val="24"/>
        </w:rPr>
        <w:t>36,000+$123,750+360,000=</w:t>
      </w:r>
      <w:r w:rsidR="00A20FE4" w:rsidRPr="00A9169E">
        <w:rPr>
          <w:rFonts w:ascii="Times New Roman" w:eastAsia="Times New Roman" w:hAnsi="Times New Roman" w:cs="Times New Roman"/>
          <w:sz w:val="24"/>
          <w:szCs w:val="24"/>
        </w:rPr>
        <w:t>$537,750</w:t>
      </w:r>
    </w:p>
    <w:p w14:paraId="7FA01776" w14:textId="0BF109C4" w:rsidR="0030149C" w:rsidRPr="00A9169E" w:rsidRDefault="0030149C" w:rsidP="003D6545">
      <w:pPr>
        <w:keepLines/>
        <w:widowControl w:val="0"/>
        <w:numPr>
          <w:ilvl w:val="0"/>
          <w:numId w:val="7"/>
        </w:numPr>
        <w:autoSpaceDE w:val="0"/>
        <w:autoSpaceDN w:val="0"/>
        <w:adjustRightInd w:val="0"/>
        <w:spacing w:after="120" w:line="240" w:lineRule="auto"/>
        <w:contextualSpacing/>
        <w:rPr>
          <w:rFonts w:ascii="Times New Roman" w:hAnsi="Times New Roman"/>
          <w:sz w:val="24"/>
        </w:rPr>
      </w:pPr>
      <w:r w:rsidRPr="00A9169E">
        <w:rPr>
          <w:rFonts w:ascii="Times New Roman" w:hAnsi="Times New Roman"/>
          <w:sz w:val="24"/>
        </w:rPr>
        <w:t xml:space="preserve">Year 2: </w:t>
      </w:r>
      <w:r w:rsidRPr="00A9169E">
        <w:rPr>
          <w:rFonts w:ascii="Times New Roman" w:eastAsia="Times New Roman" w:hAnsi="Times New Roman" w:cs="Times New Roman"/>
          <w:sz w:val="24"/>
          <w:szCs w:val="24"/>
        </w:rPr>
        <w:t>$</w:t>
      </w:r>
      <w:r w:rsidR="00A20FE4" w:rsidRPr="00A9169E">
        <w:rPr>
          <w:rFonts w:ascii="Times New Roman" w:eastAsia="Times New Roman" w:hAnsi="Times New Roman" w:cs="Times New Roman"/>
          <w:sz w:val="24"/>
          <w:szCs w:val="24"/>
        </w:rPr>
        <w:t>123,750+360,000=$483,750</w:t>
      </w:r>
    </w:p>
    <w:p w14:paraId="3BB0F4F1" w14:textId="39105761" w:rsidR="0030149C" w:rsidRPr="003D6545" w:rsidRDefault="0030149C" w:rsidP="003D6545">
      <w:pPr>
        <w:keepLines/>
        <w:widowControl w:val="0"/>
        <w:autoSpaceDE w:val="0"/>
        <w:autoSpaceDN w:val="0"/>
        <w:adjustRightInd w:val="0"/>
        <w:spacing w:after="120" w:line="240" w:lineRule="auto"/>
        <w:rPr>
          <w:rFonts w:ascii="Times New Roman" w:eastAsia="Times New Roman" w:hAnsi="Times New Roman" w:cs="Times New Roman"/>
          <w:sz w:val="24"/>
          <w:szCs w:val="24"/>
        </w:rPr>
      </w:pPr>
      <w:r w:rsidRPr="00A9169E">
        <w:rPr>
          <w:rFonts w:ascii="Times New Roman" w:hAnsi="Times New Roman"/>
          <w:sz w:val="24"/>
        </w:rPr>
        <w:t>After Year 2, the reforms proposed in this NOPR, once implemented, would not significantly change existing burdens on an ongoing basis.</w:t>
      </w:r>
      <w:r w:rsidR="005C3EAC" w:rsidRPr="00A9169E">
        <w:rPr>
          <w:rStyle w:val="FootnoteReference"/>
          <w:rFonts w:ascii="Times New Roman" w:hAnsi="Times New Roman"/>
          <w:sz w:val="24"/>
          <w:vertAlign w:val="superscript"/>
        </w:rPr>
        <w:footnoteReference w:id="11"/>
      </w:r>
      <w:r w:rsidRPr="00A9169E">
        <w:rPr>
          <w:rFonts w:ascii="Times New Roman" w:hAnsi="Times New Roman"/>
          <w:sz w:val="24"/>
          <w:vertAlign w:val="superscript"/>
        </w:rPr>
        <w:t xml:space="preserve"> </w:t>
      </w:r>
    </w:p>
    <w:p w14:paraId="0EB18AC2" w14:textId="41DEE820" w:rsidR="0030149C" w:rsidRPr="003D6545" w:rsidRDefault="0030149C" w:rsidP="003D6545">
      <w:pPr>
        <w:keepLines/>
        <w:widowControl w:val="0"/>
        <w:autoSpaceDE w:val="0"/>
        <w:autoSpaceDN w:val="0"/>
        <w:adjustRightInd w:val="0"/>
        <w:spacing w:after="120" w:line="240" w:lineRule="auto"/>
        <w:rPr>
          <w:rFonts w:ascii="Times New Roman" w:eastAsia="Times New Roman" w:hAnsi="Times New Roman" w:cs="Times New Roman"/>
          <w:sz w:val="24"/>
          <w:szCs w:val="24"/>
        </w:rPr>
      </w:pPr>
      <w:r w:rsidRPr="003D6545">
        <w:rPr>
          <w:rFonts w:ascii="Times New Roman" w:eastAsia="Times New Roman" w:hAnsi="Times New Roman" w:cs="Times New Roman"/>
          <w:sz w:val="24"/>
          <w:szCs w:val="24"/>
        </w:rPr>
        <w:lastRenderedPageBreak/>
        <w:t xml:space="preserve">The Commission notes that these estimates </w:t>
      </w:r>
      <w:r w:rsidR="005F6B8C" w:rsidRPr="003D6545">
        <w:rPr>
          <w:rFonts w:ascii="Times New Roman" w:eastAsia="Times New Roman" w:hAnsi="Times New Roman" w:cs="Times New Roman"/>
          <w:sz w:val="24"/>
          <w:szCs w:val="24"/>
        </w:rPr>
        <w:t xml:space="preserve">include only the cost related to burden hours and </w:t>
      </w:r>
      <w:r w:rsidRPr="003D6545">
        <w:rPr>
          <w:rFonts w:ascii="Times New Roman" w:eastAsia="Times New Roman" w:hAnsi="Times New Roman" w:cs="Times New Roman"/>
          <w:sz w:val="24"/>
          <w:szCs w:val="24"/>
        </w:rPr>
        <w:t xml:space="preserve">do not include costs for software and hardware.  Based on comment from industry, current estimates of overall costs for software and hardware could be as high as $20,000,000 </w:t>
      </w:r>
      <w:r w:rsidR="00C94D42">
        <w:rPr>
          <w:rFonts w:ascii="Times New Roman" w:eastAsia="Times New Roman" w:hAnsi="Times New Roman" w:cs="Times New Roman"/>
          <w:sz w:val="24"/>
          <w:szCs w:val="24"/>
        </w:rPr>
        <w:t xml:space="preserve">for market participants and RTOs/ISOs combined, </w:t>
      </w:r>
      <w:r w:rsidRPr="003D6545">
        <w:rPr>
          <w:rFonts w:ascii="Times New Roman" w:eastAsia="Times New Roman" w:hAnsi="Times New Roman" w:cs="Times New Roman"/>
          <w:sz w:val="24"/>
          <w:szCs w:val="24"/>
        </w:rPr>
        <w:t>per RTO/ISO for an RTO/ISO that does not yet comply with the settlement interval reform proposed in this NOPR.</w:t>
      </w:r>
      <w:r w:rsidRPr="003D6545">
        <w:rPr>
          <w:rFonts w:ascii="Times New Roman" w:eastAsia="Times New Roman" w:hAnsi="Times New Roman" w:cs="Times New Roman"/>
          <w:b/>
          <w:sz w:val="24"/>
          <w:szCs w:val="24"/>
          <w:vertAlign w:val="superscript"/>
        </w:rPr>
        <w:footnoteReference w:id="12"/>
      </w:r>
      <w:r w:rsidRPr="003D6545">
        <w:rPr>
          <w:rFonts w:ascii="Times New Roman" w:eastAsia="Times New Roman" w:hAnsi="Times New Roman" w:cs="Times New Roman"/>
          <w:sz w:val="24"/>
          <w:szCs w:val="24"/>
        </w:rPr>
        <w:t xml:space="preserve">  As stated above</w:t>
      </w:r>
      <w:r w:rsidR="00812EF1" w:rsidRPr="003D6545">
        <w:rPr>
          <w:rFonts w:ascii="Times New Roman" w:eastAsia="Times New Roman" w:hAnsi="Times New Roman" w:cs="Times New Roman"/>
          <w:sz w:val="24"/>
          <w:szCs w:val="24"/>
        </w:rPr>
        <w:t xml:space="preserve"> and in the NOPR</w:t>
      </w:r>
      <w:r w:rsidRPr="003D6545">
        <w:rPr>
          <w:rFonts w:ascii="Times New Roman" w:eastAsia="Times New Roman" w:hAnsi="Times New Roman" w:cs="Times New Roman"/>
          <w:sz w:val="24"/>
          <w:szCs w:val="24"/>
        </w:rPr>
        <w:t>, the Commission requests comment on the estimated costs for any additional software and hardware needed to comply with the reforms proposed in this NOPR.</w:t>
      </w:r>
    </w:p>
    <w:p w14:paraId="6FBC911D" w14:textId="77777777" w:rsidR="00D80FBD" w:rsidRPr="003D6545" w:rsidRDefault="00E636D7"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ESTIMATE OF THE TOTAL ANNUAL COST BURDEN TO RESPONDENTS</w:t>
      </w:r>
    </w:p>
    <w:p w14:paraId="6FBC911E" w14:textId="77777777" w:rsidR="00E636D7" w:rsidRPr="003D6545" w:rsidRDefault="00E636D7" w:rsidP="003D6545">
      <w:pPr>
        <w:spacing w:after="0" w:line="240" w:lineRule="auto"/>
        <w:rPr>
          <w:rFonts w:ascii="Times New Roman" w:hAnsi="Times New Roman" w:cs="Times New Roman"/>
          <w:sz w:val="24"/>
          <w:szCs w:val="24"/>
        </w:rPr>
      </w:pPr>
    </w:p>
    <w:p w14:paraId="6FBC911F" w14:textId="5136B4DE" w:rsidR="00E636D7" w:rsidRPr="003D6545" w:rsidRDefault="00E5742F" w:rsidP="003D6545">
      <w:pPr>
        <w:spacing w:after="0" w:line="240" w:lineRule="auto"/>
        <w:rPr>
          <w:rFonts w:ascii="Times New Roman" w:hAnsi="Times New Roman" w:cs="Times New Roman"/>
          <w:sz w:val="24"/>
          <w:szCs w:val="24"/>
        </w:rPr>
      </w:pPr>
      <w:r w:rsidRPr="007247CA">
        <w:rPr>
          <w:rFonts w:ascii="Times New Roman" w:hAnsi="Times New Roman" w:cs="Times New Roman"/>
          <w:sz w:val="24"/>
          <w:szCs w:val="24"/>
        </w:rPr>
        <w:t xml:space="preserve">The estimated </w:t>
      </w:r>
      <w:r w:rsidR="0074195A" w:rsidRPr="007247CA">
        <w:rPr>
          <w:rFonts w:ascii="Times New Roman" w:hAnsi="Times New Roman" w:cs="Times New Roman"/>
          <w:sz w:val="24"/>
          <w:szCs w:val="24"/>
        </w:rPr>
        <w:t xml:space="preserve">costs in the </w:t>
      </w:r>
      <w:r w:rsidR="00CD78AF" w:rsidRPr="007247CA">
        <w:rPr>
          <w:rFonts w:ascii="Times New Roman" w:hAnsi="Times New Roman" w:cs="Times New Roman"/>
          <w:sz w:val="24"/>
          <w:szCs w:val="24"/>
        </w:rPr>
        <w:t xml:space="preserve">proposed </w:t>
      </w:r>
      <w:r w:rsidR="0074195A" w:rsidRPr="007247CA">
        <w:rPr>
          <w:rFonts w:ascii="Times New Roman" w:hAnsi="Times New Roman" w:cs="Times New Roman"/>
          <w:sz w:val="24"/>
          <w:szCs w:val="24"/>
        </w:rPr>
        <w:t xml:space="preserve">rule are associated with labor </w:t>
      </w:r>
      <w:r w:rsidR="008A5C6B" w:rsidRPr="007247CA">
        <w:rPr>
          <w:rFonts w:ascii="Times New Roman" w:hAnsi="Times New Roman" w:cs="Times New Roman"/>
          <w:sz w:val="24"/>
          <w:szCs w:val="24"/>
        </w:rPr>
        <w:t xml:space="preserve">(burden hours), </w:t>
      </w:r>
      <w:r w:rsidRPr="007247CA">
        <w:rPr>
          <w:rFonts w:ascii="Times New Roman" w:hAnsi="Times New Roman" w:cs="Times New Roman"/>
          <w:sz w:val="24"/>
          <w:szCs w:val="24"/>
        </w:rPr>
        <w:t xml:space="preserve">and </w:t>
      </w:r>
      <w:r w:rsidR="008A5C6B" w:rsidRPr="007247CA">
        <w:rPr>
          <w:rFonts w:ascii="Times New Roman" w:hAnsi="Times New Roman" w:cs="Times New Roman"/>
          <w:sz w:val="24"/>
          <w:szCs w:val="24"/>
        </w:rPr>
        <w:t>are addressed in Questions 12 and 15</w:t>
      </w:r>
      <w:r w:rsidR="0074195A" w:rsidRPr="007247CA">
        <w:rPr>
          <w:rFonts w:ascii="Times New Roman" w:hAnsi="Times New Roman" w:cs="Times New Roman"/>
          <w:sz w:val="24"/>
          <w:szCs w:val="24"/>
        </w:rPr>
        <w:t>.</w:t>
      </w:r>
      <w:r w:rsidR="00812EF1" w:rsidRPr="007247CA">
        <w:rPr>
          <w:rFonts w:ascii="Times New Roman" w:hAnsi="Times New Roman" w:cs="Times New Roman"/>
          <w:sz w:val="24"/>
          <w:szCs w:val="24"/>
        </w:rPr>
        <w:t xml:space="preserve">  </w:t>
      </w:r>
      <w:r w:rsidRPr="007247CA">
        <w:rPr>
          <w:rFonts w:ascii="Times New Roman" w:hAnsi="Times New Roman" w:cs="Times New Roman"/>
          <w:sz w:val="24"/>
          <w:szCs w:val="24"/>
        </w:rPr>
        <w:t>However</w:t>
      </w:r>
      <w:r w:rsidR="00A95E06" w:rsidRPr="007247CA">
        <w:rPr>
          <w:rFonts w:ascii="Times New Roman" w:hAnsi="Times New Roman" w:cs="Times New Roman"/>
          <w:sz w:val="24"/>
          <w:szCs w:val="24"/>
        </w:rPr>
        <w:t>,</w:t>
      </w:r>
      <w:r w:rsidRPr="007247CA">
        <w:rPr>
          <w:rFonts w:ascii="Times New Roman" w:hAnsi="Times New Roman" w:cs="Times New Roman"/>
          <w:sz w:val="24"/>
          <w:szCs w:val="24"/>
        </w:rPr>
        <w:t xml:space="preserve"> </w:t>
      </w:r>
      <w:r w:rsidR="00812EF1" w:rsidRPr="007247CA">
        <w:rPr>
          <w:rFonts w:ascii="Times New Roman" w:hAnsi="Times New Roman" w:cs="Times New Roman"/>
          <w:sz w:val="24"/>
          <w:szCs w:val="24"/>
        </w:rPr>
        <w:t>FERC has requested public comment on possible hardware and software cost as mentioned above</w:t>
      </w:r>
      <w:r w:rsidR="007247CA">
        <w:rPr>
          <w:rFonts w:ascii="Times New Roman" w:hAnsi="Times New Roman" w:cs="Times New Roman"/>
          <w:sz w:val="24"/>
          <w:szCs w:val="24"/>
        </w:rPr>
        <w:t xml:space="preserve"> in #12</w:t>
      </w:r>
      <w:r w:rsidR="00812EF1" w:rsidRPr="007247CA">
        <w:rPr>
          <w:rFonts w:ascii="Times New Roman" w:hAnsi="Times New Roman" w:cs="Times New Roman"/>
          <w:sz w:val="24"/>
          <w:szCs w:val="24"/>
        </w:rPr>
        <w:t>.</w:t>
      </w:r>
    </w:p>
    <w:p w14:paraId="67468362" w14:textId="77777777" w:rsidR="0074195A" w:rsidRPr="003D6545" w:rsidRDefault="0074195A" w:rsidP="003D6545">
      <w:pPr>
        <w:spacing w:after="0" w:line="240" w:lineRule="auto"/>
        <w:rPr>
          <w:rFonts w:ascii="Times New Roman" w:hAnsi="Times New Roman" w:cs="Times New Roman"/>
          <w:sz w:val="24"/>
          <w:szCs w:val="24"/>
        </w:rPr>
      </w:pPr>
    </w:p>
    <w:p w14:paraId="6FBC9120" w14:textId="77777777" w:rsidR="00E636D7" w:rsidRPr="003D6545" w:rsidRDefault="00A276F5"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ESTIMATED ANNUALIZED COST TO FEDERAL GOVERNMENT</w:t>
      </w:r>
    </w:p>
    <w:p w14:paraId="6FBC9122" w14:textId="77777777" w:rsidR="00A276F5" w:rsidRPr="003D6545" w:rsidRDefault="00A276F5" w:rsidP="003D6545">
      <w:pPr>
        <w:spacing w:after="0" w:line="240" w:lineRule="auto"/>
        <w:rPr>
          <w:rFonts w:ascii="Times New Roman" w:hAnsi="Times New Roman" w:cs="Times New Roman"/>
          <w:sz w:val="24"/>
          <w:szCs w:val="24"/>
        </w:rPr>
      </w:pPr>
    </w:p>
    <w:p w14:paraId="6FBC9123" w14:textId="6B963237" w:rsidR="00A276F5" w:rsidRPr="003D6545" w:rsidRDefault="00630A34"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The estimated annualized cost to the Federal Government for </w:t>
      </w:r>
      <w:r w:rsidR="001B3E94" w:rsidRPr="003D6545">
        <w:rPr>
          <w:rFonts w:ascii="Times New Roman" w:hAnsi="Times New Roman" w:cs="Times New Roman"/>
          <w:sz w:val="24"/>
          <w:szCs w:val="24"/>
        </w:rPr>
        <w:t xml:space="preserve">the NOPR in </w:t>
      </w:r>
      <w:r w:rsidR="00563175" w:rsidRPr="003D6545">
        <w:rPr>
          <w:rFonts w:ascii="Times New Roman" w:hAnsi="Times New Roman" w:cs="Times New Roman"/>
          <w:sz w:val="24"/>
          <w:szCs w:val="24"/>
        </w:rPr>
        <w:t>RM15-24</w:t>
      </w:r>
      <w:r w:rsidR="004F0E29">
        <w:rPr>
          <w:rFonts w:ascii="Times New Roman" w:hAnsi="Times New Roman" w:cs="Times New Roman"/>
          <w:sz w:val="24"/>
          <w:szCs w:val="24"/>
        </w:rPr>
        <w:t>-000</w:t>
      </w:r>
      <w:r w:rsidRPr="003D6545">
        <w:rPr>
          <w:rFonts w:ascii="Times New Roman" w:hAnsi="Times New Roman" w:cs="Times New Roman"/>
          <w:sz w:val="24"/>
          <w:szCs w:val="24"/>
        </w:rPr>
        <w:t xml:space="preserve"> follows:</w:t>
      </w:r>
    </w:p>
    <w:p w14:paraId="0898B1A7" w14:textId="77777777" w:rsidR="00630A34" w:rsidRPr="003D6545" w:rsidRDefault="00630A34" w:rsidP="003D6545">
      <w:pPr>
        <w:spacing w:after="0" w:line="240" w:lineRule="auto"/>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3D6545" w14:paraId="33F1528F" w14:textId="77777777" w:rsidTr="00A80014">
        <w:tc>
          <w:tcPr>
            <w:tcW w:w="3182" w:type="dxa"/>
            <w:tcBorders>
              <w:top w:val="single" w:sz="4" w:space="0" w:color="auto"/>
              <w:left w:val="single" w:sz="4" w:space="0" w:color="auto"/>
              <w:bottom w:val="single" w:sz="4" w:space="0" w:color="auto"/>
              <w:right w:val="single" w:sz="4" w:space="0" w:color="auto"/>
            </w:tcBorders>
            <w:shd w:val="clear" w:color="auto" w:fill="CCCCCC"/>
          </w:tcPr>
          <w:p w14:paraId="3ECE7C38" w14:textId="77777777" w:rsidR="00630A34" w:rsidRPr="003D6545" w:rsidRDefault="00630A34" w:rsidP="003D6545">
            <w:pPr>
              <w:spacing w:after="0" w:line="240" w:lineRule="auto"/>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12804A56" w14:textId="469A661D" w:rsidR="00630A34" w:rsidRPr="003D6545" w:rsidRDefault="00A95E06" w:rsidP="003D654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Annual </w:t>
            </w:r>
            <w:r w:rsidR="00EA5ADE" w:rsidRPr="003D6545">
              <w:rPr>
                <w:rFonts w:ascii="Times New Roman" w:hAnsi="Times New Roman" w:cs="Times New Roman"/>
                <w:b/>
                <w:sz w:val="24"/>
                <w:szCs w:val="24"/>
              </w:rPr>
              <w:t xml:space="preserve">Federal </w:t>
            </w:r>
            <w:r w:rsidR="00630A34" w:rsidRPr="003D6545">
              <w:rPr>
                <w:rFonts w:ascii="Times New Roman" w:hAnsi="Times New Roman" w:cs="Times New Roman"/>
                <w:b/>
                <w:sz w:val="24"/>
                <w:szCs w:val="24"/>
              </w:rPr>
              <w:t xml:space="preserve">Employee </w:t>
            </w:r>
            <w:r w:rsidR="00F95CFB" w:rsidRPr="003D6545">
              <w:rPr>
                <w:rFonts w:ascii="Times New Roman" w:hAnsi="Times New Roman" w:cs="Times New Roman"/>
                <w:b/>
                <w:sz w:val="24"/>
                <w:szCs w:val="24"/>
              </w:rPr>
              <w:t xml:space="preserve"> </w:t>
            </w:r>
            <w:r w:rsidR="00EA5ADE" w:rsidRPr="003D6545">
              <w:rPr>
                <w:rFonts w:ascii="Times New Roman" w:hAnsi="Times New Roman" w:cs="Times New Roman"/>
                <w:b/>
                <w:sz w:val="24"/>
                <w:szCs w:val="24"/>
              </w:rPr>
              <w:t>Hours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5EB07E7C" w14:textId="77777777" w:rsidR="00630A34" w:rsidRPr="003D6545" w:rsidRDefault="00630A34" w:rsidP="003D6545">
            <w:pPr>
              <w:spacing w:after="0" w:line="240" w:lineRule="auto"/>
              <w:rPr>
                <w:rFonts w:ascii="Times New Roman" w:hAnsi="Times New Roman" w:cs="Times New Roman"/>
                <w:b/>
                <w:sz w:val="24"/>
                <w:szCs w:val="24"/>
              </w:rPr>
            </w:pPr>
            <w:r w:rsidRPr="003D6545">
              <w:rPr>
                <w:rFonts w:ascii="Times New Roman" w:hAnsi="Times New Roman" w:cs="Times New Roman"/>
                <w:b/>
                <w:sz w:val="24"/>
                <w:szCs w:val="24"/>
              </w:rPr>
              <w:t>Estimated Annual Federal Cost</w:t>
            </w:r>
          </w:p>
        </w:tc>
      </w:tr>
      <w:tr w:rsidR="001B3E94" w:rsidRPr="003D6545" w14:paraId="3C89F946" w14:textId="77777777" w:rsidTr="00363749">
        <w:tc>
          <w:tcPr>
            <w:tcW w:w="9378" w:type="dxa"/>
            <w:gridSpan w:val="3"/>
            <w:tcBorders>
              <w:top w:val="single" w:sz="4" w:space="0" w:color="auto"/>
              <w:left w:val="single" w:sz="4" w:space="0" w:color="auto"/>
              <w:bottom w:val="single" w:sz="4" w:space="0" w:color="auto"/>
              <w:right w:val="single" w:sz="4" w:space="0" w:color="auto"/>
            </w:tcBorders>
          </w:tcPr>
          <w:p w14:paraId="343A52DF" w14:textId="66A8B539" w:rsidR="001B3E94" w:rsidRPr="003D6545" w:rsidRDefault="001B3E94" w:rsidP="003D6545">
            <w:pPr>
              <w:spacing w:after="0" w:line="240" w:lineRule="auto"/>
              <w:jc w:val="center"/>
              <w:rPr>
                <w:rFonts w:ascii="Times New Roman" w:hAnsi="Times New Roman" w:cs="Times New Roman"/>
                <w:b/>
                <w:sz w:val="24"/>
                <w:szCs w:val="24"/>
              </w:rPr>
            </w:pPr>
            <w:r w:rsidRPr="003D6545">
              <w:rPr>
                <w:rFonts w:ascii="Times New Roman" w:hAnsi="Times New Roman" w:cs="Times New Roman"/>
                <w:b/>
                <w:sz w:val="24"/>
                <w:szCs w:val="24"/>
              </w:rPr>
              <w:t>FERC-516</w:t>
            </w:r>
            <w:r w:rsidR="007247CA">
              <w:rPr>
                <w:rFonts w:ascii="Times New Roman" w:hAnsi="Times New Roman" w:cs="Times New Roman"/>
                <w:b/>
                <w:sz w:val="24"/>
                <w:szCs w:val="24"/>
              </w:rPr>
              <w:t>, additions due to the NOPR in RM15-24-000</w:t>
            </w:r>
          </w:p>
        </w:tc>
      </w:tr>
      <w:tr w:rsidR="00630A34" w:rsidRPr="003D6545" w14:paraId="2B34F725" w14:textId="77777777" w:rsidTr="00983086">
        <w:tc>
          <w:tcPr>
            <w:tcW w:w="3182" w:type="dxa"/>
            <w:tcBorders>
              <w:top w:val="single" w:sz="4" w:space="0" w:color="auto"/>
              <w:left w:val="single" w:sz="4" w:space="0" w:color="auto"/>
              <w:bottom w:val="single" w:sz="4" w:space="0" w:color="auto"/>
              <w:right w:val="single" w:sz="4" w:space="0" w:color="auto"/>
            </w:tcBorders>
            <w:hideMark/>
          </w:tcPr>
          <w:p w14:paraId="4BF906EC" w14:textId="25060D11" w:rsidR="00630A34" w:rsidRPr="003D6545" w:rsidRDefault="00630A34" w:rsidP="007247CA">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FERC-516 Analysis and Processing of </w:t>
            </w:r>
            <w:r w:rsidR="007247CA">
              <w:rPr>
                <w:rFonts w:ascii="Times New Roman" w:hAnsi="Times New Roman" w:cs="Times New Roman"/>
                <w:sz w:val="24"/>
                <w:szCs w:val="24"/>
              </w:rPr>
              <w:t>F</w:t>
            </w:r>
            <w:r w:rsidRPr="003D6545">
              <w:rPr>
                <w:rFonts w:ascii="Times New Roman" w:hAnsi="Times New Roman" w:cs="Times New Roman"/>
                <w:sz w:val="24"/>
                <w:szCs w:val="24"/>
              </w:rPr>
              <w:t>ilings</w:t>
            </w:r>
            <w:r w:rsidR="0050608E">
              <w:rPr>
                <w:rFonts w:ascii="Times New Roman" w:hAnsi="Times New Roman" w:cs="Times New Roman"/>
                <w:sz w:val="24"/>
                <w:szCs w:val="24"/>
              </w:rPr>
              <w:t>, each year for Years 1 and 2</w:t>
            </w:r>
            <w:r w:rsidRPr="003D6545">
              <w:rPr>
                <w:rFonts w:ascii="Times New Roman" w:hAnsi="Times New Roman" w:cs="Times New Roman"/>
                <w:sz w:val="24"/>
                <w:szCs w:val="24"/>
                <w:vertAlign w:val="superscript"/>
              </w:rPr>
              <w:footnoteReference w:id="13"/>
            </w:r>
          </w:p>
        </w:tc>
        <w:tc>
          <w:tcPr>
            <w:tcW w:w="3201" w:type="dxa"/>
            <w:tcBorders>
              <w:top w:val="single" w:sz="4" w:space="0" w:color="auto"/>
              <w:left w:val="single" w:sz="4" w:space="0" w:color="auto"/>
              <w:bottom w:val="single" w:sz="4" w:space="0" w:color="auto"/>
              <w:right w:val="single" w:sz="4" w:space="0" w:color="auto"/>
            </w:tcBorders>
            <w:vAlign w:val="bottom"/>
            <w:hideMark/>
          </w:tcPr>
          <w:p w14:paraId="2B8B76CF" w14:textId="39226104" w:rsidR="00630A34" w:rsidRPr="003D6545" w:rsidRDefault="00A95E06" w:rsidP="003D654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400 hrs.</w:t>
            </w:r>
          </w:p>
        </w:tc>
        <w:tc>
          <w:tcPr>
            <w:tcW w:w="2995" w:type="dxa"/>
            <w:tcBorders>
              <w:top w:val="single" w:sz="4" w:space="0" w:color="auto"/>
              <w:left w:val="single" w:sz="4" w:space="0" w:color="auto"/>
              <w:bottom w:val="single" w:sz="4" w:space="0" w:color="auto"/>
              <w:right w:val="single" w:sz="4" w:space="0" w:color="auto"/>
            </w:tcBorders>
            <w:vAlign w:val="bottom"/>
            <w:hideMark/>
          </w:tcPr>
          <w:p w14:paraId="2059AC55" w14:textId="76F09A69" w:rsidR="00630A34" w:rsidRPr="003D6545" w:rsidRDefault="00A95E06" w:rsidP="003D654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$28,800</w:t>
            </w:r>
          </w:p>
        </w:tc>
      </w:tr>
      <w:tr w:rsidR="001B3E94" w:rsidRPr="003D6545" w14:paraId="40E49323" w14:textId="77777777" w:rsidTr="00983086">
        <w:tc>
          <w:tcPr>
            <w:tcW w:w="3182" w:type="dxa"/>
            <w:tcBorders>
              <w:top w:val="single" w:sz="4" w:space="0" w:color="auto"/>
              <w:left w:val="single" w:sz="4" w:space="0" w:color="auto"/>
              <w:bottom w:val="single" w:sz="4" w:space="0" w:color="auto"/>
              <w:right w:val="single" w:sz="4" w:space="0" w:color="auto"/>
            </w:tcBorders>
          </w:tcPr>
          <w:p w14:paraId="78EBDF3A" w14:textId="3B399816" w:rsidR="001B3E94" w:rsidRPr="003D6545" w:rsidRDefault="001B3E94"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PRA</w:t>
            </w:r>
            <w:r w:rsidRPr="003D6545">
              <w:rPr>
                <w:rFonts w:ascii="Times New Roman" w:hAnsi="Times New Roman" w:cs="Times New Roman"/>
                <w:sz w:val="24"/>
                <w:szCs w:val="24"/>
                <w:vertAlign w:val="superscript"/>
              </w:rPr>
              <w:footnoteReference w:id="14"/>
            </w:r>
            <w:r w:rsidRPr="003D6545">
              <w:rPr>
                <w:rFonts w:ascii="Times New Roman" w:hAnsi="Times New Roman" w:cs="Times New Roman"/>
                <w:sz w:val="24"/>
                <w:szCs w:val="24"/>
              </w:rPr>
              <w:t xml:space="preserve"> Administrative Cost </w:t>
            </w:r>
          </w:p>
        </w:tc>
        <w:tc>
          <w:tcPr>
            <w:tcW w:w="3201" w:type="dxa"/>
            <w:tcBorders>
              <w:top w:val="single" w:sz="4" w:space="0" w:color="auto"/>
              <w:left w:val="single" w:sz="4" w:space="0" w:color="auto"/>
              <w:bottom w:val="single" w:sz="4" w:space="0" w:color="auto"/>
              <w:right w:val="single" w:sz="4" w:space="0" w:color="auto"/>
            </w:tcBorders>
            <w:vAlign w:val="bottom"/>
          </w:tcPr>
          <w:p w14:paraId="0BDFA597" w14:textId="77777777" w:rsidR="001B3E94" w:rsidRPr="003D6545" w:rsidRDefault="001B3E94" w:rsidP="003D6545">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1DE04C87" w14:textId="7476D287" w:rsidR="001B3E94" w:rsidRPr="003D6545" w:rsidRDefault="00C138F2" w:rsidP="003D6545">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$5,193</w:t>
            </w:r>
          </w:p>
        </w:tc>
      </w:tr>
      <w:tr w:rsidR="00D306DD" w:rsidRPr="007247CA" w14:paraId="70B3BF9D" w14:textId="77777777" w:rsidTr="00983086">
        <w:tc>
          <w:tcPr>
            <w:tcW w:w="3182" w:type="dxa"/>
            <w:tcBorders>
              <w:top w:val="single" w:sz="4" w:space="0" w:color="auto"/>
              <w:left w:val="single" w:sz="4" w:space="0" w:color="auto"/>
              <w:bottom w:val="single" w:sz="4" w:space="0" w:color="auto"/>
              <w:right w:val="single" w:sz="4" w:space="0" w:color="auto"/>
            </w:tcBorders>
          </w:tcPr>
          <w:p w14:paraId="5DABFCEA" w14:textId="2C6F0C5A" w:rsidR="00D306DD" w:rsidRPr="003D6545" w:rsidRDefault="001F4604"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Total</w:t>
            </w:r>
          </w:p>
        </w:tc>
        <w:tc>
          <w:tcPr>
            <w:tcW w:w="3201" w:type="dxa"/>
            <w:tcBorders>
              <w:top w:val="single" w:sz="4" w:space="0" w:color="auto"/>
              <w:left w:val="single" w:sz="4" w:space="0" w:color="auto"/>
              <w:bottom w:val="single" w:sz="4" w:space="0" w:color="auto"/>
              <w:right w:val="single" w:sz="4" w:space="0" w:color="auto"/>
            </w:tcBorders>
            <w:vAlign w:val="bottom"/>
          </w:tcPr>
          <w:p w14:paraId="2A127CC5" w14:textId="77777777" w:rsidR="00D306DD" w:rsidRPr="003D6545" w:rsidRDefault="00D306DD" w:rsidP="003D6545">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22494A4A" w14:textId="219A8EB0" w:rsidR="00D306DD" w:rsidRPr="007247CA" w:rsidRDefault="0050608E" w:rsidP="003D6545">
            <w:pPr>
              <w:spacing w:after="0" w:line="240" w:lineRule="auto"/>
              <w:jc w:val="right"/>
              <w:rPr>
                <w:rFonts w:ascii="Times New Roman" w:hAnsi="Times New Roman" w:cs="Times New Roman"/>
                <w:sz w:val="24"/>
                <w:szCs w:val="24"/>
              </w:rPr>
            </w:pPr>
            <w:r w:rsidRPr="007247CA">
              <w:rPr>
                <w:rFonts w:ascii="Times New Roman" w:hAnsi="Times New Roman" w:cs="Times New Roman"/>
                <w:sz w:val="24"/>
                <w:szCs w:val="24"/>
              </w:rPr>
              <w:t>$33,993</w:t>
            </w:r>
          </w:p>
        </w:tc>
      </w:tr>
    </w:tbl>
    <w:p w14:paraId="64E41800" w14:textId="77777777" w:rsidR="00630A34" w:rsidRPr="003D6545" w:rsidRDefault="00630A34" w:rsidP="003D6545">
      <w:pPr>
        <w:spacing w:after="0" w:line="240" w:lineRule="auto"/>
        <w:rPr>
          <w:rFonts w:ascii="Times New Roman" w:hAnsi="Times New Roman" w:cs="Times New Roman"/>
          <w:sz w:val="24"/>
          <w:szCs w:val="24"/>
        </w:rPr>
      </w:pPr>
    </w:p>
    <w:p w14:paraId="3C6BFF56" w14:textId="64FF9DAF" w:rsidR="00154181" w:rsidRPr="003D6545" w:rsidRDefault="006B437C"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These additional costs </w:t>
      </w:r>
      <w:r w:rsidR="00C12232" w:rsidRPr="003D6545">
        <w:rPr>
          <w:rFonts w:ascii="Times New Roman" w:hAnsi="Times New Roman" w:cs="Times New Roman"/>
          <w:sz w:val="24"/>
          <w:szCs w:val="24"/>
        </w:rPr>
        <w:t xml:space="preserve">for the NOPR in </w:t>
      </w:r>
      <w:r w:rsidR="00563175" w:rsidRPr="003D6545">
        <w:rPr>
          <w:rFonts w:ascii="Times New Roman" w:hAnsi="Times New Roman" w:cs="Times New Roman"/>
          <w:sz w:val="24"/>
          <w:szCs w:val="24"/>
        </w:rPr>
        <w:t>RM15-24</w:t>
      </w:r>
      <w:r w:rsidR="004C001C">
        <w:rPr>
          <w:rFonts w:ascii="Times New Roman" w:hAnsi="Times New Roman" w:cs="Times New Roman"/>
          <w:sz w:val="24"/>
          <w:szCs w:val="24"/>
        </w:rPr>
        <w:t>-000</w:t>
      </w:r>
      <w:r w:rsidR="00C12232" w:rsidRPr="003D6545">
        <w:rPr>
          <w:rFonts w:ascii="Times New Roman" w:hAnsi="Times New Roman" w:cs="Times New Roman"/>
          <w:sz w:val="24"/>
          <w:szCs w:val="24"/>
        </w:rPr>
        <w:t xml:space="preserve"> </w:t>
      </w:r>
      <w:r w:rsidRPr="003D6545">
        <w:rPr>
          <w:rFonts w:ascii="Times New Roman" w:hAnsi="Times New Roman" w:cs="Times New Roman"/>
          <w:sz w:val="24"/>
          <w:szCs w:val="24"/>
        </w:rPr>
        <w:t>will be added to the existing Federal</w:t>
      </w:r>
      <w:r w:rsidR="001C1550" w:rsidRPr="003D6545">
        <w:rPr>
          <w:rFonts w:ascii="Times New Roman" w:hAnsi="Times New Roman" w:cs="Times New Roman"/>
          <w:sz w:val="24"/>
          <w:szCs w:val="24"/>
        </w:rPr>
        <w:t xml:space="preserve"> costs for</w:t>
      </w:r>
      <w:r w:rsidR="00916744" w:rsidRPr="003D6545">
        <w:rPr>
          <w:rFonts w:ascii="Times New Roman" w:hAnsi="Times New Roman" w:cs="Times New Roman"/>
          <w:sz w:val="24"/>
          <w:szCs w:val="24"/>
        </w:rPr>
        <w:t xml:space="preserve"> </w:t>
      </w:r>
      <w:r w:rsidR="00154181" w:rsidRPr="003D6545">
        <w:rPr>
          <w:rFonts w:ascii="Times New Roman" w:hAnsi="Times New Roman" w:cs="Times New Roman"/>
          <w:sz w:val="24"/>
          <w:szCs w:val="24"/>
        </w:rPr>
        <w:t xml:space="preserve">FERC-516, of </w:t>
      </w:r>
      <w:r w:rsidR="00916744" w:rsidRPr="003D6545">
        <w:rPr>
          <w:rFonts w:ascii="Times New Roman" w:hAnsi="Times New Roman" w:cs="Times New Roman"/>
          <w:sz w:val="24"/>
          <w:szCs w:val="24"/>
        </w:rPr>
        <w:t>$2,808,964</w:t>
      </w:r>
      <w:r w:rsidR="00AD14B6" w:rsidRPr="003D6545">
        <w:rPr>
          <w:rStyle w:val="FootnoteReference"/>
          <w:rFonts w:ascii="Times New Roman" w:hAnsi="Times New Roman" w:cs="Times New Roman"/>
          <w:sz w:val="24"/>
          <w:szCs w:val="24"/>
          <w:vertAlign w:val="superscript"/>
        </w:rPr>
        <w:footnoteReference w:id="15"/>
      </w:r>
      <w:r w:rsidR="00154181" w:rsidRPr="003D6545">
        <w:rPr>
          <w:rFonts w:ascii="Times New Roman" w:hAnsi="Times New Roman" w:cs="Times New Roman"/>
          <w:sz w:val="24"/>
          <w:szCs w:val="24"/>
        </w:rPr>
        <w:t xml:space="preserve">, giving a new total of </w:t>
      </w:r>
      <w:r w:rsidR="0050608E" w:rsidRPr="003D6545">
        <w:rPr>
          <w:rFonts w:ascii="Times New Roman" w:hAnsi="Times New Roman" w:cs="Times New Roman"/>
          <w:sz w:val="24"/>
          <w:szCs w:val="24"/>
        </w:rPr>
        <w:t>$</w:t>
      </w:r>
      <w:r w:rsidR="0050608E">
        <w:rPr>
          <w:rFonts w:ascii="Times New Roman" w:hAnsi="Times New Roman" w:cs="Times New Roman"/>
          <w:sz w:val="24"/>
          <w:szCs w:val="24"/>
        </w:rPr>
        <w:t>2,842,957.</w:t>
      </w:r>
      <w:r w:rsidR="0050608E" w:rsidRPr="003D6545">
        <w:rPr>
          <w:rFonts w:ascii="Times New Roman" w:hAnsi="Times New Roman" w:cs="Times New Roman"/>
          <w:sz w:val="24"/>
          <w:szCs w:val="24"/>
        </w:rPr>
        <w:t xml:space="preserve"> </w:t>
      </w:r>
    </w:p>
    <w:p w14:paraId="48BC8A05" w14:textId="77777777" w:rsidR="006B437C" w:rsidRPr="003D6545" w:rsidRDefault="006B437C" w:rsidP="003D6545">
      <w:pPr>
        <w:spacing w:after="0" w:line="240" w:lineRule="auto"/>
        <w:rPr>
          <w:rFonts w:ascii="Times New Roman" w:hAnsi="Times New Roman" w:cs="Times New Roman"/>
          <w:sz w:val="24"/>
          <w:szCs w:val="24"/>
        </w:rPr>
      </w:pPr>
    </w:p>
    <w:p w14:paraId="42D17F53" w14:textId="6FFD61D5" w:rsidR="00630A34" w:rsidRPr="003D6545" w:rsidRDefault="006B437C"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 xml:space="preserve">The Commission bases its estimate of the </w:t>
      </w:r>
      <w:r w:rsidR="004C001C">
        <w:rPr>
          <w:rFonts w:ascii="Times New Roman" w:hAnsi="Times New Roman" w:cs="Times New Roman"/>
          <w:sz w:val="24"/>
          <w:szCs w:val="24"/>
        </w:rPr>
        <w:t>“</w:t>
      </w:r>
      <w:r w:rsidRPr="003D6545">
        <w:rPr>
          <w:rFonts w:ascii="Times New Roman" w:hAnsi="Times New Roman" w:cs="Times New Roman"/>
          <w:sz w:val="24"/>
          <w:szCs w:val="24"/>
        </w:rPr>
        <w:t xml:space="preserve">Analysis and Processing of </w:t>
      </w:r>
      <w:r w:rsidR="007247CA">
        <w:rPr>
          <w:rFonts w:ascii="Times New Roman" w:hAnsi="Times New Roman" w:cs="Times New Roman"/>
          <w:sz w:val="24"/>
          <w:szCs w:val="24"/>
        </w:rPr>
        <w:t>F</w:t>
      </w:r>
      <w:r w:rsidRPr="003D6545">
        <w:rPr>
          <w:rFonts w:ascii="Times New Roman" w:hAnsi="Times New Roman" w:cs="Times New Roman"/>
          <w:sz w:val="24"/>
          <w:szCs w:val="24"/>
        </w:rPr>
        <w:t>ilings</w:t>
      </w:r>
      <w:r w:rsidR="004C001C">
        <w:rPr>
          <w:rFonts w:ascii="Times New Roman" w:hAnsi="Times New Roman" w:cs="Times New Roman"/>
          <w:sz w:val="24"/>
          <w:szCs w:val="24"/>
        </w:rPr>
        <w:t>”</w:t>
      </w:r>
      <w:r w:rsidRPr="003D6545">
        <w:rPr>
          <w:rFonts w:ascii="Times New Roman" w:hAnsi="Times New Roman" w:cs="Times New Roman"/>
          <w:sz w:val="24"/>
          <w:szCs w:val="24"/>
        </w:rPr>
        <w:t xml:space="preserve"> cost to the Federal Government on salaries and benefits for professional and clerical support.  This estimated cost represents staff analysis, decision making, and review of any actual filings made in response to the information collection.  </w:t>
      </w:r>
    </w:p>
    <w:p w14:paraId="35ABC53E" w14:textId="77777777" w:rsidR="006B437C" w:rsidRPr="003D6545" w:rsidRDefault="006B437C" w:rsidP="003D6545">
      <w:pPr>
        <w:spacing w:after="0" w:line="240" w:lineRule="auto"/>
        <w:rPr>
          <w:rFonts w:ascii="Times New Roman" w:hAnsi="Times New Roman" w:cs="Times New Roman"/>
          <w:sz w:val="24"/>
          <w:szCs w:val="24"/>
        </w:rPr>
      </w:pPr>
    </w:p>
    <w:p w14:paraId="6FBC9124" w14:textId="77777777" w:rsidR="00A276F5" w:rsidRPr="003D6545" w:rsidRDefault="00A276F5"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REASONS FOR CHANGES IN BURDEN INCLUDING THE NEED FOR ANY INCREASE</w:t>
      </w:r>
    </w:p>
    <w:p w14:paraId="611B0F04" w14:textId="77777777" w:rsidR="003316E0" w:rsidRPr="003D6545" w:rsidRDefault="003316E0" w:rsidP="003D6545">
      <w:pPr>
        <w:spacing w:after="0" w:line="240" w:lineRule="auto"/>
        <w:rPr>
          <w:rFonts w:ascii="Times New Roman" w:hAnsi="Times New Roman" w:cs="Times New Roman"/>
          <w:sz w:val="24"/>
          <w:szCs w:val="24"/>
        </w:rPr>
      </w:pPr>
    </w:p>
    <w:p w14:paraId="2682FF20" w14:textId="7A3FDCC0" w:rsidR="003515F8" w:rsidRPr="003D6545" w:rsidRDefault="008A26B1" w:rsidP="003D6545">
      <w:pPr>
        <w:spacing w:after="0" w:line="240" w:lineRule="auto"/>
        <w:rPr>
          <w:rFonts w:ascii="Times New Roman" w:hAnsi="Times New Roman" w:cs="Times New Roman"/>
          <w:sz w:val="24"/>
          <w:szCs w:val="24"/>
        </w:rPr>
      </w:pPr>
      <w:r w:rsidRPr="003D6545">
        <w:rPr>
          <w:rFonts w:ascii="Times New Roman" w:hAnsi="Times New Roman" w:cs="Times New Roman"/>
          <w:b/>
          <w:sz w:val="24"/>
          <w:szCs w:val="24"/>
        </w:rPr>
        <w:t>Current Inventory</w:t>
      </w:r>
      <w:r w:rsidR="00BC5A3C" w:rsidRPr="00463089">
        <w:rPr>
          <w:rFonts w:ascii="Times New Roman" w:hAnsi="Times New Roman" w:cs="Times New Roman"/>
          <w:sz w:val="24"/>
          <w:szCs w:val="24"/>
        </w:rPr>
        <w:t xml:space="preserve"> </w:t>
      </w:r>
      <w:r w:rsidR="00BC5A3C" w:rsidRPr="00463089">
        <w:rPr>
          <w:rFonts w:ascii="Times New Roman" w:hAnsi="Times New Roman" w:cs="Times New Roman"/>
          <w:b/>
          <w:sz w:val="24"/>
          <w:szCs w:val="24"/>
        </w:rPr>
        <w:t>for FERC-516</w:t>
      </w:r>
      <w:r w:rsidRPr="00E77499">
        <w:rPr>
          <w:rFonts w:ascii="Times New Roman" w:hAnsi="Times New Roman" w:cs="Times New Roman"/>
          <w:b/>
          <w:sz w:val="24"/>
          <w:szCs w:val="24"/>
        </w:rPr>
        <w:t>.</w:t>
      </w:r>
      <w:r w:rsidRPr="003D6545">
        <w:rPr>
          <w:rFonts w:ascii="Times New Roman" w:hAnsi="Times New Roman" w:cs="Times New Roman"/>
          <w:sz w:val="24"/>
          <w:szCs w:val="24"/>
        </w:rPr>
        <w:t xml:space="preserve">  The current total estimated OMB-approved burden is 498,250 hours.  The </w:t>
      </w:r>
      <w:r w:rsidR="00A27C78" w:rsidRPr="003D6545">
        <w:rPr>
          <w:rFonts w:ascii="Times New Roman" w:hAnsi="Times New Roman" w:cs="Times New Roman"/>
          <w:sz w:val="24"/>
          <w:szCs w:val="24"/>
        </w:rPr>
        <w:t xml:space="preserve">existing </w:t>
      </w:r>
      <w:r w:rsidRPr="003D6545">
        <w:rPr>
          <w:rFonts w:ascii="Times New Roman" w:hAnsi="Times New Roman" w:cs="Times New Roman"/>
          <w:sz w:val="24"/>
          <w:szCs w:val="24"/>
        </w:rPr>
        <w:t>tariff filings related to the electric utility industry are not affected by this NOPR in RM15-24</w:t>
      </w:r>
      <w:r w:rsidR="004F0E29">
        <w:rPr>
          <w:rFonts w:ascii="Times New Roman" w:hAnsi="Times New Roman" w:cs="Times New Roman"/>
          <w:sz w:val="24"/>
          <w:szCs w:val="24"/>
        </w:rPr>
        <w:t>-000</w:t>
      </w:r>
      <w:r w:rsidRPr="003D6545">
        <w:rPr>
          <w:rFonts w:ascii="Times New Roman" w:hAnsi="Times New Roman" w:cs="Times New Roman"/>
          <w:sz w:val="24"/>
          <w:szCs w:val="24"/>
        </w:rPr>
        <w:t xml:space="preserve">.  With respect to </w:t>
      </w:r>
      <w:r w:rsidR="003515F8" w:rsidRPr="003D6545">
        <w:rPr>
          <w:rFonts w:ascii="Times New Roman" w:hAnsi="Times New Roman" w:cs="Times New Roman"/>
          <w:sz w:val="24"/>
          <w:szCs w:val="24"/>
        </w:rPr>
        <w:t xml:space="preserve">FERC-516, FERC requires this information in order to perform its mandated oversight and review responsibilities with respect to electric market-based rates being just and reasonable.  Without this information, the Commission would be unable to meet its statutory responsibility under </w:t>
      </w:r>
      <w:r w:rsidR="00302A58">
        <w:rPr>
          <w:rFonts w:ascii="Times New Roman" w:hAnsi="Times New Roman" w:cs="Times New Roman"/>
          <w:sz w:val="24"/>
          <w:szCs w:val="24"/>
        </w:rPr>
        <w:t>s</w:t>
      </w:r>
      <w:r w:rsidR="003515F8" w:rsidRPr="003D6545">
        <w:rPr>
          <w:rFonts w:ascii="Times New Roman" w:hAnsi="Times New Roman" w:cs="Times New Roman"/>
          <w:sz w:val="24"/>
          <w:szCs w:val="24"/>
        </w:rPr>
        <w:t xml:space="preserve">ection 205 of the FPA to ensure </w:t>
      </w:r>
      <w:r w:rsidR="008A1B1F" w:rsidRPr="003D6545">
        <w:rPr>
          <w:rFonts w:ascii="Times New Roman" w:hAnsi="Times New Roman" w:cs="Times New Roman"/>
          <w:sz w:val="24"/>
          <w:szCs w:val="24"/>
        </w:rPr>
        <w:t>public</w:t>
      </w:r>
      <w:r w:rsidR="003515F8" w:rsidRPr="003D6545">
        <w:rPr>
          <w:rFonts w:ascii="Times New Roman" w:hAnsi="Times New Roman" w:cs="Times New Roman"/>
          <w:sz w:val="24"/>
          <w:szCs w:val="24"/>
        </w:rPr>
        <w:t xml:space="preserve"> utility rates and tariffs are just and reasonable.  Failing to meet this responsibility could result in public utilities charging rates that are not just and reasonable.</w:t>
      </w:r>
    </w:p>
    <w:p w14:paraId="29E67A38" w14:textId="77777777" w:rsidR="008A26B1" w:rsidRPr="003D6545" w:rsidRDefault="008A26B1" w:rsidP="003D6545">
      <w:pPr>
        <w:spacing w:after="0" w:line="240" w:lineRule="auto"/>
        <w:rPr>
          <w:rFonts w:ascii="Times New Roman" w:hAnsi="Times New Roman" w:cs="Times New Roman"/>
          <w:sz w:val="24"/>
          <w:szCs w:val="24"/>
        </w:rPr>
      </w:pPr>
    </w:p>
    <w:p w14:paraId="2B04257F" w14:textId="14E57389" w:rsidR="00D76508" w:rsidRDefault="008A26B1" w:rsidP="003D6545">
      <w:pPr>
        <w:spacing w:after="0" w:line="240" w:lineRule="auto"/>
        <w:rPr>
          <w:rFonts w:ascii="Times New Roman" w:hAnsi="Times New Roman" w:cs="Times New Roman"/>
          <w:sz w:val="24"/>
          <w:szCs w:val="24"/>
        </w:rPr>
      </w:pPr>
      <w:r w:rsidRPr="003D6545">
        <w:rPr>
          <w:rFonts w:ascii="Times New Roman" w:hAnsi="Times New Roman" w:cs="Times New Roman"/>
          <w:b/>
          <w:sz w:val="24"/>
          <w:szCs w:val="24"/>
        </w:rPr>
        <w:t>NOPR in RM1</w:t>
      </w:r>
      <w:r w:rsidR="0030149C" w:rsidRPr="003D6545">
        <w:rPr>
          <w:rFonts w:ascii="Times New Roman" w:hAnsi="Times New Roman" w:cs="Times New Roman"/>
          <w:b/>
          <w:sz w:val="24"/>
          <w:szCs w:val="24"/>
        </w:rPr>
        <w:t>5</w:t>
      </w:r>
      <w:r w:rsidRPr="003D6545">
        <w:rPr>
          <w:rFonts w:ascii="Times New Roman" w:hAnsi="Times New Roman" w:cs="Times New Roman"/>
          <w:b/>
          <w:sz w:val="24"/>
          <w:szCs w:val="24"/>
        </w:rPr>
        <w:t>-24</w:t>
      </w:r>
      <w:r w:rsidR="00224C33">
        <w:rPr>
          <w:rFonts w:ascii="Times New Roman" w:hAnsi="Times New Roman" w:cs="Times New Roman"/>
          <w:b/>
          <w:sz w:val="24"/>
          <w:szCs w:val="24"/>
        </w:rPr>
        <w:t>-000</w:t>
      </w:r>
      <w:r w:rsidRPr="003D6545">
        <w:rPr>
          <w:rFonts w:ascii="Times New Roman" w:hAnsi="Times New Roman" w:cs="Times New Roman"/>
          <w:b/>
          <w:sz w:val="24"/>
          <w:szCs w:val="24"/>
        </w:rPr>
        <w:t>.</w:t>
      </w:r>
      <w:r w:rsidRPr="003D6545">
        <w:rPr>
          <w:rFonts w:ascii="Times New Roman" w:hAnsi="Times New Roman" w:cs="Times New Roman"/>
          <w:sz w:val="24"/>
          <w:szCs w:val="24"/>
        </w:rPr>
        <w:t xml:space="preserve">  </w:t>
      </w:r>
      <w:r w:rsidR="00A27C78" w:rsidRPr="003D6545">
        <w:rPr>
          <w:rFonts w:ascii="Times New Roman" w:hAnsi="Times New Roman" w:cs="Times New Roman"/>
          <w:sz w:val="24"/>
          <w:szCs w:val="24"/>
        </w:rPr>
        <w:t xml:space="preserve">This NOPR proposes to require that RTOs/ISOs make compliance tariff filings, etc.  </w:t>
      </w:r>
      <w:r w:rsidR="00CE680E" w:rsidRPr="003D6545">
        <w:rPr>
          <w:rFonts w:ascii="Times New Roman" w:hAnsi="Times New Roman" w:cs="Times New Roman"/>
          <w:sz w:val="24"/>
          <w:szCs w:val="24"/>
        </w:rPr>
        <w:t xml:space="preserve">in order to </w:t>
      </w:r>
      <w:r w:rsidR="000921EA" w:rsidRPr="000921EA">
        <w:rPr>
          <w:rFonts w:ascii="Times New Roman" w:hAnsi="Times New Roman" w:cs="Times New Roman"/>
          <w:sz w:val="24"/>
          <w:szCs w:val="24"/>
        </w:rPr>
        <w:t xml:space="preserve">conform their tariffs to the reforms proposed in the NOPR, or </w:t>
      </w:r>
      <w:r w:rsidR="004869D1">
        <w:rPr>
          <w:rFonts w:ascii="Times New Roman" w:hAnsi="Times New Roman" w:cs="Times New Roman"/>
          <w:sz w:val="24"/>
          <w:szCs w:val="24"/>
        </w:rPr>
        <w:t xml:space="preserve">to </w:t>
      </w:r>
      <w:r w:rsidR="000921EA" w:rsidRPr="000921EA">
        <w:rPr>
          <w:rFonts w:ascii="Times New Roman" w:hAnsi="Times New Roman" w:cs="Times New Roman"/>
          <w:sz w:val="24"/>
          <w:szCs w:val="24"/>
        </w:rPr>
        <w:t>show how they already compl</w:t>
      </w:r>
      <w:r w:rsidR="004869D1">
        <w:rPr>
          <w:rFonts w:ascii="Times New Roman" w:hAnsi="Times New Roman" w:cs="Times New Roman"/>
          <w:sz w:val="24"/>
          <w:szCs w:val="24"/>
        </w:rPr>
        <w:t>y</w:t>
      </w:r>
      <w:r w:rsidR="000921EA" w:rsidRPr="000921EA">
        <w:rPr>
          <w:rFonts w:ascii="Times New Roman" w:hAnsi="Times New Roman" w:cs="Times New Roman"/>
          <w:sz w:val="24"/>
          <w:szCs w:val="24"/>
        </w:rPr>
        <w:t xml:space="preserve"> with one or both proposed reforms.</w:t>
      </w:r>
      <w:r w:rsidR="00C94D42">
        <w:rPr>
          <w:rFonts w:ascii="Times New Roman" w:hAnsi="Times New Roman" w:cs="Times New Roman"/>
          <w:sz w:val="24"/>
          <w:szCs w:val="24"/>
        </w:rPr>
        <w:t xml:space="preserve">  Making compliance filings to conform RTO/ISO tariffs to the reforms proposed in the NOPR, or to show how RTO/ISO tariffs already comply with one or both proposed reforms</w:t>
      </w:r>
      <w:r w:rsidR="00B8024E">
        <w:rPr>
          <w:rFonts w:ascii="Times New Roman" w:hAnsi="Times New Roman" w:cs="Times New Roman"/>
          <w:sz w:val="24"/>
          <w:szCs w:val="24"/>
        </w:rPr>
        <w:t>,</w:t>
      </w:r>
      <w:r w:rsidR="00C94D42">
        <w:rPr>
          <w:rFonts w:ascii="Times New Roman" w:hAnsi="Times New Roman" w:cs="Times New Roman"/>
          <w:sz w:val="24"/>
          <w:szCs w:val="24"/>
        </w:rPr>
        <w:t xml:space="preserve"> would </w:t>
      </w:r>
      <w:r w:rsidR="00B8024E">
        <w:rPr>
          <w:rFonts w:ascii="Times New Roman" w:hAnsi="Times New Roman" w:cs="Times New Roman"/>
          <w:sz w:val="24"/>
          <w:szCs w:val="24"/>
        </w:rPr>
        <w:t xml:space="preserve">assist the Commission in fulfilling its statutory obligation to </w:t>
      </w:r>
      <w:r w:rsidR="00C94D42">
        <w:rPr>
          <w:rFonts w:ascii="Times New Roman" w:hAnsi="Times New Roman" w:cs="Times New Roman"/>
          <w:sz w:val="24"/>
          <w:szCs w:val="24"/>
        </w:rPr>
        <w:t>ensure that RTO/ISO tariffs are just and reasonable.</w:t>
      </w:r>
    </w:p>
    <w:p w14:paraId="398EAB51" w14:textId="77777777" w:rsidR="00463089" w:rsidRPr="003D6545" w:rsidRDefault="00463089" w:rsidP="003D6545">
      <w:pPr>
        <w:spacing w:after="0" w:line="240" w:lineRule="auto"/>
        <w:rPr>
          <w:rFonts w:ascii="Times New Roman" w:hAnsi="Times New Roman" w:cs="Times New Roman"/>
          <w:sz w:val="24"/>
          <w:szCs w:val="24"/>
        </w:rPr>
      </w:pPr>
    </w:p>
    <w:p w14:paraId="6F12AE0E" w14:textId="76503191" w:rsidR="003316E0" w:rsidRPr="003D6545" w:rsidRDefault="00CE680E" w:rsidP="003D6545">
      <w:pPr>
        <w:spacing w:after="0" w:line="240" w:lineRule="auto"/>
        <w:rPr>
          <w:rFonts w:ascii="Times New Roman" w:hAnsi="Times New Roman" w:cs="Times New Roman"/>
          <w:sz w:val="24"/>
          <w:szCs w:val="24"/>
        </w:rPr>
      </w:pPr>
      <w:r w:rsidRPr="003D6545">
        <w:rPr>
          <w:rFonts w:ascii="Times New Roman" w:hAnsi="Times New Roman" w:cs="Times New Roman"/>
          <w:b/>
          <w:sz w:val="24"/>
          <w:szCs w:val="24"/>
        </w:rPr>
        <w:t xml:space="preserve">Summary, including proposed changes.  </w:t>
      </w:r>
      <w:r w:rsidR="00026117" w:rsidRPr="003D6545">
        <w:rPr>
          <w:rFonts w:ascii="Times New Roman" w:hAnsi="Times New Roman" w:cs="Times New Roman"/>
          <w:sz w:val="24"/>
          <w:szCs w:val="24"/>
        </w:rPr>
        <w:t xml:space="preserve">The following </w:t>
      </w:r>
      <w:r w:rsidR="00D76508" w:rsidRPr="003D6545">
        <w:rPr>
          <w:rFonts w:ascii="Times New Roman" w:hAnsi="Times New Roman" w:cs="Times New Roman"/>
          <w:sz w:val="24"/>
          <w:szCs w:val="24"/>
        </w:rPr>
        <w:t>table show</w:t>
      </w:r>
      <w:r w:rsidRPr="003D6545">
        <w:rPr>
          <w:rFonts w:ascii="Times New Roman" w:hAnsi="Times New Roman" w:cs="Times New Roman"/>
          <w:sz w:val="24"/>
          <w:szCs w:val="24"/>
        </w:rPr>
        <w:t>s</w:t>
      </w:r>
      <w:r w:rsidR="00B95800" w:rsidRPr="003D6545">
        <w:rPr>
          <w:rFonts w:ascii="Times New Roman" w:hAnsi="Times New Roman" w:cs="Times New Roman"/>
          <w:sz w:val="24"/>
          <w:szCs w:val="24"/>
        </w:rPr>
        <w:t xml:space="preserve"> </w:t>
      </w:r>
      <w:r w:rsidR="00AB2354" w:rsidRPr="003D6545">
        <w:rPr>
          <w:rFonts w:ascii="Times New Roman" w:hAnsi="Times New Roman" w:cs="Times New Roman"/>
          <w:sz w:val="24"/>
          <w:szCs w:val="24"/>
        </w:rPr>
        <w:t xml:space="preserve">the current OMB-approved inventory, as well as </w:t>
      </w:r>
      <w:r w:rsidR="00D76508" w:rsidRPr="003D6545">
        <w:rPr>
          <w:rFonts w:ascii="Times New Roman" w:hAnsi="Times New Roman" w:cs="Times New Roman"/>
          <w:sz w:val="24"/>
          <w:szCs w:val="24"/>
        </w:rPr>
        <w:t xml:space="preserve">the </w:t>
      </w:r>
      <w:r w:rsidR="0007704B" w:rsidRPr="003D6545">
        <w:rPr>
          <w:rFonts w:ascii="Times New Roman" w:hAnsi="Times New Roman" w:cs="Times New Roman"/>
          <w:sz w:val="24"/>
          <w:szCs w:val="24"/>
        </w:rPr>
        <w:t xml:space="preserve">estimated annual </w:t>
      </w:r>
      <w:r w:rsidR="00D76508" w:rsidRPr="003D6545">
        <w:rPr>
          <w:rFonts w:ascii="Times New Roman" w:hAnsi="Times New Roman" w:cs="Times New Roman"/>
          <w:sz w:val="24"/>
          <w:szCs w:val="24"/>
        </w:rPr>
        <w:t xml:space="preserve">impact </w:t>
      </w:r>
      <w:r w:rsidR="00682F33" w:rsidRPr="003D6545">
        <w:rPr>
          <w:rFonts w:ascii="Times New Roman" w:hAnsi="Times New Roman" w:cs="Times New Roman"/>
          <w:sz w:val="24"/>
          <w:szCs w:val="24"/>
        </w:rPr>
        <w:t>(averaged over Years 1-3 as described above)</w:t>
      </w:r>
      <w:r w:rsidR="004F0E29">
        <w:rPr>
          <w:rFonts w:ascii="Times New Roman" w:hAnsi="Times New Roman" w:cs="Times New Roman"/>
          <w:sz w:val="24"/>
          <w:szCs w:val="24"/>
        </w:rPr>
        <w:t xml:space="preserve"> </w:t>
      </w:r>
      <w:r w:rsidR="00D76508" w:rsidRPr="003D6545">
        <w:rPr>
          <w:rFonts w:ascii="Times New Roman" w:hAnsi="Times New Roman" w:cs="Times New Roman"/>
          <w:sz w:val="24"/>
          <w:szCs w:val="24"/>
        </w:rPr>
        <w:t xml:space="preserve">of the changes discussed </w:t>
      </w:r>
      <w:r w:rsidR="00B432B9" w:rsidRPr="003D6545">
        <w:rPr>
          <w:rFonts w:ascii="Times New Roman" w:hAnsi="Times New Roman" w:cs="Times New Roman"/>
          <w:sz w:val="24"/>
          <w:szCs w:val="24"/>
        </w:rPr>
        <w:t xml:space="preserve">in this </w:t>
      </w:r>
      <w:r w:rsidR="00521FFF" w:rsidRPr="003D6545">
        <w:rPr>
          <w:rFonts w:ascii="Times New Roman" w:hAnsi="Times New Roman" w:cs="Times New Roman"/>
          <w:sz w:val="24"/>
          <w:szCs w:val="24"/>
        </w:rPr>
        <w:t xml:space="preserve">NOPR </w:t>
      </w:r>
      <w:r w:rsidR="00682F33" w:rsidRPr="003D6545">
        <w:rPr>
          <w:rFonts w:ascii="Times New Roman" w:hAnsi="Times New Roman" w:cs="Times New Roman"/>
          <w:sz w:val="24"/>
          <w:szCs w:val="24"/>
        </w:rPr>
        <w:t>in RM15-24</w:t>
      </w:r>
      <w:r w:rsidR="004F0E29">
        <w:rPr>
          <w:rFonts w:ascii="Times New Roman" w:hAnsi="Times New Roman" w:cs="Times New Roman"/>
          <w:sz w:val="24"/>
          <w:szCs w:val="24"/>
        </w:rPr>
        <w:t>-000</w:t>
      </w:r>
      <w:r w:rsidR="00682F33" w:rsidRPr="003D6545">
        <w:rPr>
          <w:rFonts w:ascii="Times New Roman" w:hAnsi="Times New Roman" w:cs="Times New Roman"/>
          <w:sz w:val="24"/>
          <w:szCs w:val="24"/>
        </w:rPr>
        <w:t xml:space="preserve"> </w:t>
      </w:r>
      <w:r w:rsidR="00521FFF" w:rsidRPr="003D6545">
        <w:rPr>
          <w:rFonts w:ascii="Times New Roman" w:hAnsi="Times New Roman" w:cs="Times New Roman"/>
          <w:sz w:val="24"/>
          <w:szCs w:val="24"/>
        </w:rPr>
        <w:t xml:space="preserve">and </w:t>
      </w:r>
      <w:r w:rsidR="00B432B9" w:rsidRPr="003D6545">
        <w:rPr>
          <w:rFonts w:ascii="Times New Roman" w:hAnsi="Times New Roman" w:cs="Times New Roman"/>
          <w:sz w:val="24"/>
          <w:szCs w:val="24"/>
        </w:rPr>
        <w:t>supporting statement</w:t>
      </w:r>
      <w:r w:rsidR="00D76508" w:rsidRPr="003D6545">
        <w:rPr>
          <w:rFonts w:ascii="Times New Roman" w:hAnsi="Times New Roman" w:cs="Times New Roman"/>
          <w:sz w:val="24"/>
          <w:szCs w:val="24"/>
        </w:rPr>
        <w:t>.</w:t>
      </w:r>
      <w:bookmarkStart w:id="1" w:name="_GoBack"/>
      <w:bookmarkEnd w:id="1"/>
    </w:p>
    <w:p w14:paraId="3D5BF4D9" w14:textId="77777777" w:rsidR="00D76508" w:rsidRPr="003D6545" w:rsidRDefault="00D76508" w:rsidP="003D6545">
      <w:pPr>
        <w:spacing w:after="0" w:line="240" w:lineRule="auto"/>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3316E0" w:rsidRPr="003D6545" w14:paraId="2DDAFEBA" w14:textId="77777777" w:rsidTr="00A80014">
        <w:trPr>
          <w:trHeight w:val="870"/>
        </w:trPr>
        <w:tc>
          <w:tcPr>
            <w:tcW w:w="2589" w:type="dxa"/>
            <w:shd w:val="clear" w:color="auto" w:fill="D9D9D9"/>
            <w:vAlign w:val="bottom"/>
          </w:tcPr>
          <w:p w14:paraId="7714C46B" w14:textId="5A29B76D" w:rsidR="003316E0" w:rsidRPr="003D6545" w:rsidRDefault="00D76508" w:rsidP="003D6545">
            <w:pPr>
              <w:spacing w:after="0" w:line="240" w:lineRule="auto"/>
              <w:rPr>
                <w:rFonts w:ascii="Times New Roman" w:hAnsi="Times New Roman" w:cs="Times New Roman"/>
                <w:b/>
                <w:sz w:val="24"/>
                <w:szCs w:val="24"/>
              </w:rPr>
            </w:pPr>
            <w:r w:rsidRPr="003D6545">
              <w:rPr>
                <w:rFonts w:ascii="Times New Roman" w:hAnsi="Times New Roman" w:cs="Times New Roman"/>
                <w:b/>
                <w:sz w:val="24"/>
                <w:szCs w:val="24"/>
              </w:rPr>
              <w:t>FERC-516</w:t>
            </w:r>
          </w:p>
        </w:tc>
        <w:tc>
          <w:tcPr>
            <w:tcW w:w="1779" w:type="dxa"/>
            <w:shd w:val="clear" w:color="auto" w:fill="D9D9D9"/>
            <w:vAlign w:val="bottom"/>
          </w:tcPr>
          <w:p w14:paraId="72C021F2" w14:textId="77777777" w:rsidR="003316E0" w:rsidRPr="003D6545" w:rsidRDefault="003316E0" w:rsidP="003D6545">
            <w:pPr>
              <w:spacing w:after="0" w:line="240" w:lineRule="auto"/>
              <w:rPr>
                <w:rFonts w:ascii="Times New Roman" w:hAnsi="Times New Roman" w:cs="Times New Roman"/>
                <w:b/>
                <w:sz w:val="24"/>
                <w:szCs w:val="24"/>
              </w:rPr>
            </w:pPr>
            <w:r w:rsidRPr="003D6545">
              <w:rPr>
                <w:rFonts w:ascii="Times New Roman" w:hAnsi="Times New Roman" w:cs="Times New Roman"/>
                <w:b/>
                <w:sz w:val="24"/>
                <w:szCs w:val="24"/>
              </w:rPr>
              <w:t>Total Request</w:t>
            </w:r>
          </w:p>
        </w:tc>
        <w:tc>
          <w:tcPr>
            <w:tcW w:w="1959" w:type="dxa"/>
            <w:shd w:val="clear" w:color="auto" w:fill="D9D9D9"/>
            <w:vAlign w:val="bottom"/>
          </w:tcPr>
          <w:p w14:paraId="4FE34277" w14:textId="77777777" w:rsidR="003316E0" w:rsidRPr="003D6545" w:rsidRDefault="003316E0" w:rsidP="003D6545">
            <w:pPr>
              <w:spacing w:after="0" w:line="240" w:lineRule="auto"/>
              <w:rPr>
                <w:rFonts w:ascii="Times New Roman" w:hAnsi="Times New Roman" w:cs="Times New Roman"/>
                <w:b/>
                <w:sz w:val="24"/>
                <w:szCs w:val="24"/>
              </w:rPr>
            </w:pPr>
            <w:r w:rsidRPr="003D6545">
              <w:rPr>
                <w:rFonts w:ascii="Times New Roman" w:hAnsi="Times New Roman" w:cs="Times New Roman"/>
                <w:b/>
                <w:sz w:val="24"/>
                <w:szCs w:val="24"/>
              </w:rPr>
              <w:t>Previously Approved</w:t>
            </w:r>
          </w:p>
        </w:tc>
        <w:tc>
          <w:tcPr>
            <w:tcW w:w="1683" w:type="dxa"/>
            <w:shd w:val="clear" w:color="auto" w:fill="D9D9D9"/>
            <w:vAlign w:val="bottom"/>
          </w:tcPr>
          <w:p w14:paraId="5C79AB51" w14:textId="77777777" w:rsidR="003316E0" w:rsidRPr="003D6545" w:rsidRDefault="003316E0" w:rsidP="003D6545">
            <w:pPr>
              <w:spacing w:after="0" w:line="240" w:lineRule="auto"/>
              <w:rPr>
                <w:rFonts w:ascii="Times New Roman" w:hAnsi="Times New Roman" w:cs="Times New Roman"/>
                <w:b/>
                <w:sz w:val="24"/>
                <w:szCs w:val="24"/>
              </w:rPr>
            </w:pPr>
            <w:r w:rsidRPr="003D6545">
              <w:rPr>
                <w:rFonts w:ascii="Times New Roman" w:hAnsi="Times New Roman" w:cs="Times New Roman"/>
                <w:b/>
                <w:sz w:val="24"/>
                <w:szCs w:val="24"/>
              </w:rPr>
              <w:t>Change due to Adjustment in Estimate</w:t>
            </w:r>
          </w:p>
        </w:tc>
        <w:tc>
          <w:tcPr>
            <w:tcW w:w="1357" w:type="dxa"/>
            <w:shd w:val="clear" w:color="auto" w:fill="D9D9D9"/>
            <w:vAlign w:val="bottom"/>
          </w:tcPr>
          <w:p w14:paraId="42AE2555" w14:textId="77777777" w:rsidR="003316E0" w:rsidRPr="003D6545" w:rsidRDefault="003316E0" w:rsidP="003D6545">
            <w:pPr>
              <w:spacing w:after="0" w:line="240" w:lineRule="auto"/>
              <w:rPr>
                <w:rFonts w:ascii="Times New Roman" w:hAnsi="Times New Roman" w:cs="Times New Roman"/>
                <w:b/>
                <w:sz w:val="24"/>
                <w:szCs w:val="24"/>
              </w:rPr>
            </w:pPr>
            <w:r w:rsidRPr="003D6545">
              <w:rPr>
                <w:rFonts w:ascii="Times New Roman" w:hAnsi="Times New Roman" w:cs="Times New Roman"/>
                <w:b/>
                <w:sz w:val="24"/>
                <w:szCs w:val="24"/>
              </w:rPr>
              <w:t>Change Due to Agency Discretion</w:t>
            </w:r>
          </w:p>
        </w:tc>
      </w:tr>
      <w:tr w:rsidR="003316E0" w:rsidRPr="003D6545" w14:paraId="0D5A36AF" w14:textId="77777777" w:rsidTr="00A80014">
        <w:trPr>
          <w:trHeight w:val="591"/>
        </w:trPr>
        <w:tc>
          <w:tcPr>
            <w:tcW w:w="2589" w:type="dxa"/>
          </w:tcPr>
          <w:p w14:paraId="456AFF09" w14:textId="77777777" w:rsidR="003316E0" w:rsidRPr="003D6545" w:rsidRDefault="003316E0"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Annual Number of Responses</w:t>
            </w:r>
          </w:p>
        </w:tc>
        <w:tc>
          <w:tcPr>
            <w:tcW w:w="1779" w:type="dxa"/>
            <w:vAlign w:val="center"/>
          </w:tcPr>
          <w:p w14:paraId="34C6D177" w14:textId="6F783499" w:rsidR="003316E0" w:rsidRPr="003D6545" w:rsidRDefault="00C63B6A" w:rsidP="003D6545">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5,</w:t>
            </w:r>
            <w:r w:rsidR="00606919" w:rsidRPr="003D6545">
              <w:rPr>
                <w:rFonts w:ascii="Times New Roman" w:hAnsi="Times New Roman" w:cs="Times New Roman"/>
                <w:sz w:val="24"/>
                <w:szCs w:val="24"/>
              </w:rPr>
              <w:t>553</w:t>
            </w:r>
          </w:p>
        </w:tc>
        <w:tc>
          <w:tcPr>
            <w:tcW w:w="1959" w:type="dxa"/>
            <w:vAlign w:val="center"/>
          </w:tcPr>
          <w:p w14:paraId="4A5E89DD" w14:textId="7BEA3FE4" w:rsidR="003316E0" w:rsidRPr="003D6545" w:rsidRDefault="007F74B4" w:rsidP="003D6545">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5,547</w:t>
            </w:r>
          </w:p>
        </w:tc>
        <w:tc>
          <w:tcPr>
            <w:tcW w:w="1683" w:type="dxa"/>
            <w:vAlign w:val="center"/>
          </w:tcPr>
          <w:p w14:paraId="27DBAFA4" w14:textId="77777777" w:rsidR="003316E0" w:rsidRPr="003D6545" w:rsidRDefault="003316E0" w:rsidP="003D6545">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0</w:t>
            </w:r>
          </w:p>
        </w:tc>
        <w:tc>
          <w:tcPr>
            <w:tcW w:w="1357" w:type="dxa"/>
            <w:vAlign w:val="center"/>
          </w:tcPr>
          <w:p w14:paraId="31EDDD94" w14:textId="42493B09" w:rsidR="003316E0" w:rsidRPr="003D6545" w:rsidRDefault="00C63B6A" w:rsidP="003D6545">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w:t>
            </w:r>
            <w:r w:rsidR="00606919" w:rsidRPr="003D6545">
              <w:rPr>
                <w:rFonts w:ascii="Times New Roman" w:hAnsi="Times New Roman" w:cs="Times New Roman"/>
                <w:sz w:val="24"/>
                <w:szCs w:val="24"/>
              </w:rPr>
              <w:t>6</w:t>
            </w:r>
          </w:p>
        </w:tc>
      </w:tr>
      <w:tr w:rsidR="003316E0" w:rsidRPr="003D6545" w14:paraId="659E21F0" w14:textId="77777777" w:rsidTr="00A80014">
        <w:trPr>
          <w:trHeight w:val="575"/>
        </w:trPr>
        <w:tc>
          <w:tcPr>
            <w:tcW w:w="2589" w:type="dxa"/>
          </w:tcPr>
          <w:p w14:paraId="58F088BA" w14:textId="77777777" w:rsidR="003316E0" w:rsidRPr="003D6545" w:rsidRDefault="003316E0"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Annual Time Burden (Hr)</w:t>
            </w:r>
          </w:p>
        </w:tc>
        <w:tc>
          <w:tcPr>
            <w:tcW w:w="1779" w:type="dxa"/>
            <w:vAlign w:val="center"/>
          </w:tcPr>
          <w:p w14:paraId="1EBA2768" w14:textId="3A58ACE7" w:rsidR="003316E0" w:rsidRPr="003D6545" w:rsidRDefault="00606919" w:rsidP="00EF5630">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502,</w:t>
            </w:r>
            <w:r w:rsidR="00EF5630">
              <w:rPr>
                <w:rFonts w:ascii="Times New Roman" w:hAnsi="Times New Roman" w:cs="Times New Roman"/>
                <w:sz w:val="24"/>
                <w:szCs w:val="24"/>
              </w:rPr>
              <w:t>790</w:t>
            </w:r>
          </w:p>
        </w:tc>
        <w:tc>
          <w:tcPr>
            <w:tcW w:w="1959" w:type="dxa"/>
            <w:vAlign w:val="center"/>
          </w:tcPr>
          <w:p w14:paraId="66868078" w14:textId="6BEA41B7" w:rsidR="003316E0" w:rsidRPr="003D6545" w:rsidRDefault="007F74B4" w:rsidP="003D6545">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498,250</w:t>
            </w:r>
          </w:p>
        </w:tc>
        <w:tc>
          <w:tcPr>
            <w:tcW w:w="1683" w:type="dxa"/>
            <w:vAlign w:val="center"/>
          </w:tcPr>
          <w:p w14:paraId="50FB6491" w14:textId="77777777" w:rsidR="003316E0" w:rsidRPr="003D6545" w:rsidRDefault="003316E0" w:rsidP="003D6545">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0</w:t>
            </w:r>
          </w:p>
        </w:tc>
        <w:tc>
          <w:tcPr>
            <w:tcW w:w="1357" w:type="dxa"/>
            <w:vAlign w:val="center"/>
          </w:tcPr>
          <w:p w14:paraId="574DFADF" w14:textId="76EDE837" w:rsidR="003316E0" w:rsidRPr="003D6545" w:rsidRDefault="00C63B6A" w:rsidP="00EF5630">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w:t>
            </w:r>
            <w:r w:rsidR="00EF5630">
              <w:rPr>
                <w:rFonts w:ascii="Times New Roman" w:hAnsi="Times New Roman" w:cs="Times New Roman"/>
                <w:sz w:val="24"/>
                <w:szCs w:val="24"/>
              </w:rPr>
              <w:t>4,540</w:t>
            </w:r>
          </w:p>
        </w:tc>
      </w:tr>
      <w:tr w:rsidR="003316E0" w:rsidRPr="003D6545" w14:paraId="4D61CA99" w14:textId="77777777" w:rsidTr="00A80014">
        <w:trPr>
          <w:trHeight w:val="295"/>
        </w:trPr>
        <w:tc>
          <w:tcPr>
            <w:tcW w:w="2589" w:type="dxa"/>
          </w:tcPr>
          <w:p w14:paraId="7E88E7B9" w14:textId="77777777" w:rsidR="003316E0" w:rsidRPr="003D6545" w:rsidRDefault="003316E0"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Annual Cost Burden ($)</w:t>
            </w:r>
          </w:p>
        </w:tc>
        <w:tc>
          <w:tcPr>
            <w:tcW w:w="1779" w:type="dxa"/>
            <w:vAlign w:val="center"/>
          </w:tcPr>
          <w:p w14:paraId="652EA7DB" w14:textId="77777777" w:rsidR="003316E0" w:rsidRPr="003D6545" w:rsidRDefault="003316E0" w:rsidP="003D6545">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0</w:t>
            </w:r>
          </w:p>
        </w:tc>
        <w:tc>
          <w:tcPr>
            <w:tcW w:w="1959" w:type="dxa"/>
            <w:vAlign w:val="center"/>
          </w:tcPr>
          <w:p w14:paraId="49EA5BF1" w14:textId="77777777" w:rsidR="003316E0" w:rsidRPr="003D6545" w:rsidRDefault="003316E0" w:rsidP="003D6545">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0</w:t>
            </w:r>
          </w:p>
        </w:tc>
        <w:tc>
          <w:tcPr>
            <w:tcW w:w="1683" w:type="dxa"/>
            <w:vAlign w:val="center"/>
          </w:tcPr>
          <w:p w14:paraId="3ED60F28" w14:textId="77777777" w:rsidR="003316E0" w:rsidRPr="003D6545" w:rsidRDefault="003316E0" w:rsidP="003D6545">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0</w:t>
            </w:r>
          </w:p>
        </w:tc>
        <w:tc>
          <w:tcPr>
            <w:tcW w:w="1357" w:type="dxa"/>
            <w:vAlign w:val="center"/>
          </w:tcPr>
          <w:p w14:paraId="35104CDF" w14:textId="15892B50" w:rsidR="003316E0" w:rsidRPr="003D6545" w:rsidRDefault="00C63B6A" w:rsidP="003D6545">
            <w:pPr>
              <w:spacing w:after="0" w:line="240" w:lineRule="auto"/>
              <w:jc w:val="right"/>
              <w:rPr>
                <w:rFonts w:ascii="Times New Roman" w:hAnsi="Times New Roman" w:cs="Times New Roman"/>
                <w:sz w:val="24"/>
                <w:szCs w:val="24"/>
              </w:rPr>
            </w:pPr>
            <w:r w:rsidRPr="003D6545">
              <w:rPr>
                <w:rFonts w:ascii="Times New Roman" w:hAnsi="Times New Roman" w:cs="Times New Roman"/>
                <w:sz w:val="24"/>
                <w:szCs w:val="24"/>
              </w:rPr>
              <w:t>0</w:t>
            </w:r>
          </w:p>
        </w:tc>
      </w:tr>
    </w:tbl>
    <w:p w14:paraId="3AAC4ED7" w14:textId="77777777" w:rsidR="003316E0" w:rsidRPr="003D6545" w:rsidRDefault="003316E0" w:rsidP="003D6545">
      <w:pPr>
        <w:spacing w:after="0" w:line="240" w:lineRule="auto"/>
        <w:rPr>
          <w:rFonts w:ascii="Times New Roman" w:hAnsi="Times New Roman" w:cs="Times New Roman"/>
          <w:sz w:val="24"/>
          <w:szCs w:val="24"/>
        </w:rPr>
      </w:pPr>
    </w:p>
    <w:p w14:paraId="6FBC9128" w14:textId="77777777" w:rsidR="00A276F5" w:rsidRPr="003D6545" w:rsidRDefault="00414F32"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TIME SCHEDULE FOR PUBLICATION OF DATA</w:t>
      </w:r>
    </w:p>
    <w:p w14:paraId="6FBC9129" w14:textId="77777777" w:rsidR="00414F32" w:rsidRPr="003D6545" w:rsidRDefault="00414F32" w:rsidP="003D6545">
      <w:pPr>
        <w:spacing w:after="0" w:line="240" w:lineRule="auto"/>
        <w:rPr>
          <w:rFonts w:ascii="Times New Roman" w:hAnsi="Times New Roman" w:cs="Times New Roman"/>
          <w:sz w:val="24"/>
          <w:szCs w:val="24"/>
        </w:rPr>
      </w:pPr>
    </w:p>
    <w:p w14:paraId="38C99BDC" w14:textId="4E39DE54" w:rsidR="003515F8" w:rsidRPr="003D6545" w:rsidRDefault="003515F8" w:rsidP="003D6545">
      <w:pPr>
        <w:spacing w:after="0" w:line="240" w:lineRule="auto"/>
        <w:rPr>
          <w:rFonts w:ascii="Times New Roman" w:hAnsi="Times New Roman" w:cs="Times New Roman"/>
          <w:color w:val="92D050"/>
          <w:sz w:val="24"/>
          <w:szCs w:val="24"/>
        </w:rPr>
      </w:pPr>
      <w:r w:rsidRPr="003D6545">
        <w:rPr>
          <w:rFonts w:ascii="Times New Roman" w:hAnsi="Times New Roman" w:cs="Times New Roman"/>
          <w:sz w:val="24"/>
          <w:szCs w:val="24"/>
        </w:rPr>
        <w:t xml:space="preserve">Unless confidential treatment is sought, the FERC-516 NOPR-related tariff filing is publicly posted in our eTariff and eLibrary web-based systems when filed.  </w:t>
      </w:r>
      <w:r w:rsidR="00197A36" w:rsidRPr="003D6545">
        <w:rPr>
          <w:rFonts w:ascii="Times New Roman" w:hAnsi="Times New Roman" w:cs="Times New Roman"/>
          <w:sz w:val="24"/>
          <w:szCs w:val="24"/>
        </w:rPr>
        <w:t xml:space="preserve">FERC does not publish any </w:t>
      </w:r>
      <w:r w:rsidRPr="003D6545">
        <w:rPr>
          <w:rFonts w:ascii="Times New Roman" w:hAnsi="Times New Roman" w:cs="Times New Roman"/>
          <w:sz w:val="24"/>
          <w:szCs w:val="24"/>
        </w:rPr>
        <w:t xml:space="preserve">other </w:t>
      </w:r>
      <w:r w:rsidR="00197A36" w:rsidRPr="003D6545">
        <w:rPr>
          <w:rFonts w:ascii="Times New Roman" w:hAnsi="Times New Roman" w:cs="Times New Roman"/>
          <w:sz w:val="24"/>
          <w:szCs w:val="24"/>
        </w:rPr>
        <w:t>data associated with th</w:t>
      </w:r>
      <w:r w:rsidR="00682F33" w:rsidRPr="003D6545">
        <w:rPr>
          <w:rFonts w:ascii="Times New Roman" w:hAnsi="Times New Roman" w:cs="Times New Roman"/>
          <w:sz w:val="24"/>
          <w:szCs w:val="24"/>
        </w:rPr>
        <w:t>i</w:t>
      </w:r>
      <w:r w:rsidR="00197A36" w:rsidRPr="003D6545">
        <w:rPr>
          <w:rFonts w:ascii="Times New Roman" w:hAnsi="Times New Roman" w:cs="Times New Roman"/>
          <w:sz w:val="24"/>
          <w:szCs w:val="24"/>
        </w:rPr>
        <w:t>s collection.</w:t>
      </w:r>
      <w:r w:rsidRPr="003D6545">
        <w:rPr>
          <w:rFonts w:ascii="Times New Roman" w:hAnsi="Times New Roman" w:cs="Times New Roman"/>
          <w:sz w:val="24"/>
          <w:szCs w:val="24"/>
        </w:rPr>
        <w:t xml:space="preserve"> </w:t>
      </w:r>
    </w:p>
    <w:p w14:paraId="6FBC912A" w14:textId="5A48E016" w:rsidR="00414F32" w:rsidRPr="003D6545" w:rsidRDefault="00414F32" w:rsidP="003D6545">
      <w:pPr>
        <w:spacing w:after="0" w:line="240" w:lineRule="auto"/>
        <w:rPr>
          <w:rFonts w:ascii="Times New Roman" w:hAnsi="Times New Roman" w:cs="Times New Roman"/>
          <w:sz w:val="24"/>
          <w:szCs w:val="24"/>
        </w:rPr>
      </w:pPr>
    </w:p>
    <w:p w14:paraId="6FBC912B" w14:textId="77777777" w:rsidR="00414F32" w:rsidRPr="003D6545" w:rsidRDefault="00414F32"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DISPLAY OF EXPIRATION DATE</w:t>
      </w:r>
    </w:p>
    <w:p w14:paraId="136EBB9A" w14:textId="77777777" w:rsidR="00F50384" w:rsidRPr="003D6545" w:rsidRDefault="00F50384" w:rsidP="003D6545">
      <w:pPr>
        <w:spacing w:after="0" w:line="240" w:lineRule="auto"/>
        <w:rPr>
          <w:rFonts w:ascii="Times New Roman" w:hAnsi="Times New Roman" w:cs="Times New Roman"/>
          <w:sz w:val="24"/>
          <w:szCs w:val="24"/>
        </w:rPr>
      </w:pPr>
    </w:p>
    <w:p w14:paraId="623C5206" w14:textId="78B1252B" w:rsidR="00F50384" w:rsidRPr="003D6545" w:rsidRDefault="00F50384"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 clearance information and expiration date</w:t>
      </w:r>
      <w:r w:rsidR="001D5974" w:rsidRPr="003D6545">
        <w:rPr>
          <w:rFonts w:ascii="Times New Roman" w:hAnsi="Times New Roman" w:cs="Times New Roman"/>
          <w:sz w:val="24"/>
          <w:szCs w:val="24"/>
        </w:rPr>
        <w:t>s</w:t>
      </w:r>
      <w:r w:rsidRPr="003D6545">
        <w:rPr>
          <w:rFonts w:ascii="Times New Roman" w:hAnsi="Times New Roman" w:cs="Times New Roman"/>
          <w:sz w:val="24"/>
          <w:szCs w:val="24"/>
        </w:rPr>
        <w:t xml:space="preserve"> are available at </w:t>
      </w:r>
      <w:hyperlink r:id="rId14" w:history="1">
        <w:r w:rsidRPr="003D6545">
          <w:rPr>
            <w:rStyle w:val="Hyperlink"/>
            <w:rFonts w:ascii="Times New Roman" w:hAnsi="Times New Roman" w:cs="Times New Roman"/>
            <w:sz w:val="24"/>
            <w:szCs w:val="24"/>
          </w:rPr>
          <w:t>http://www.ferc.gov/docs-filing/info-collections.asp</w:t>
        </w:r>
      </w:hyperlink>
      <w:r w:rsidRPr="003D6545">
        <w:rPr>
          <w:rFonts w:ascii="Times New Roman" w:hAnsi="Times New Roman" w:cs="Times New Roman"/>
          <w:sz w:val="24"/>
          <w:szCs w:val="24"/>
        </w:rPr>
        <w:t xml:space="preserve">. </w:t>
      </w:r>
    </w:p>
    <w:p w14:paraId="1340FB24" w14:textId="77777777" w:rsidR="00197A36" w:rsidRPr="003D6545" w:rsidRDefault="00197A36" w:rsidP="003D6545">
      <w:pPr>
        <w:spacing w:after="0" w:line="240" w:lineRule="auto"/>
        <w:rPr>
          <w:rFonts w:ascii="Times New Roman" w:hAnsi="Times New Roman" w:cs="Times New Roman"/>
          <w:sz w:val="24"/>
          <w:szCs w:val="24"/>
        </w:rPr>
      </w:pPr>
    </w:p>
    <w:p w14:paraId="6FBC912E" w14:textId="77777777" w:rsidR="00414F32" w:rsidRPr="003D6545" w:rsidRDefault="00414F32" w:rsidP="003D6545">
      <w:pPr>
        <w:pStyle w:val="ListParagraph"/>
        <w:numPr>
          <w:ilvl w:val="0"/>
          <w:numId w:val="1"/>
        </w:numPr>
        <w:spacing w:after="0" w:line="240" w:lineRule="auto"/>
        <w:ind w:left="360"/>
        <w:rPr>
          <w:rFonts w:ascii="Times New Roman" w:hAnsi="Times New Roman" w:cs="Times New Roman"/>
          <w:b/>
          <w:sz w:val="24"/>
          <w:szCs w:val="24"/>
        </w:rPr>
      </w:pPr>
      <w:r w:rsidRPr="003D6545">
        <w:rPr>
          <w:rFonts w:ascii="Times New Roman" w:hAnsi="Times New Roman" w:cs="Times New Roman"/>
          <w:b/>
          <w:sz w:val="24"/>
          <w:szCs w:val="24"/>
        </w:rPr>
        <w:t>EXCEPTIONS TO THE CERTIFICATION STATEMENT</w:t>
      </w:r>
    </w:p>
    <w:p w14:paraId="3EBB5059" w14:textId="77777777" w:rsidR="000E34F4" w:rsidRPr="003D6545" w:rsidRDefault="000E34F4" w:rsidP="003D6545">
      <w:pPr>
        <w:spacing w:after="0" w:line="240" w:lineRule="auto"/>
        <w:rPr>
          <w:rFonts w:ascii="Times New Roman" w:hAnsi="Times New Roman" w:cs="Times New Roman"/>
          <w:b/>
          <w:sz w:val="24"/>
          <w:szCs w:val="24"/>
        </w:rPr>
      </w:pPr>
    </w:p>
    <w:p w14:paraId="24634F2E" w14:textId="74D5EF46" w:rsidR="00F1100F" w:rsidRPr="003D6545" w:rsidRDefault="00EB35C2" w:rsidP="003D6545">
      <w:pPr>
        <w:spacing w:after="0" w:line="240" w:lineRule="auto"/>
        <w:rPr>
          <w:rFonts w:ascii="Times New Roman" w:hAnsi="Times New Roman" w:cs="Times New Roman"/>
          <w:sz w:val="24"/>
          <w:szCs w:val="24"/>
        </w:rPr>
      </w:pPr>
      <w:r w:rsidRPr="003D6545">
        <w:rPr>
          <w:rFonts w:ascii="Times New Roman" w:hAnsi="Times New Roman" w:cs="Times New Roman"/>
          <w:sz w:val="24"/>
          <w:szCs w:val="24"/>
        </w:rPr>
        <w:t>There are no exceptions.</w:t>
      </w:r>
    </w:p>
    <w:p w14:paraId="6FBC9131" w14:textId="6FCCF5B5" w:rsidR="00414F32" w:rsidRPr="003D6545" w:rsidRDefault="00414F32" w:rsidP="003D6545">
      <w:pPr>
        <w:spacing w:after="0" w:line="240" w:lineRule="auto"/>
        <w:rPr>
          <w:rFonts w:ascii="Times New Roman" w:hAnsi="Times New Roman" w:cs="Times New Roman"/>
          <w:sz w:val="24"/>
          <w:szCs w:val="24"/>
        </w:rPr>
      </w:pPr>
    </w:p>
    <w:sectPr w:rsidR="00414F32" w:rsidRPr="003D654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D7627" w14:textId="77777777" w:rsidR="004337FD" w:rsidRDefault="004337FD" w:rsidP="00FD66F1">
      <w:pPr>
        <w:spacing w:after="0" w:line="240" w:lineRule="auto"/>
      </w:pPr>
      <w:r>
        <w:separator/>
      </w:r>
    </w:p>
  </w:endnote>
  <w:endnote w:type="continuationSeparator" w:id="0">
    <w:p w14:paraId="08565286" w14:textId="77777777" w:rsidR="004337FD" w:rsidRDefault="004337FD" w:rsidP="00FD66F1">
      <w:pPr>
        <w:spacing w:after="0" w:line="240" w:lineRule="auto"/>
      </w:pPr>
      <w:r>
        <w:continuationSeparator/>
      </w:r>
    </w:p>
  </w:endnote>
  <w:endnote w:type="continuationNotice" w:id="1">
    <w:p w14:paraId="7380A6FA" w14:textId="77777777" w:rsidR="004337FD" w:rsidRDefault="00433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noProof/>
      </w:rPr>
    </w:sdtEndPr>
    <w:sdtContent>
      <w:p w14:paraId="6FBC913A" w14:textId="77777777" w:rsidR="00DB1B57" w:rsidRDefault="00DB1B57">
        <w:pPr>
          <w:pStyle w:val="Footer"/>
          <w:jc w:val="right"/>
        </w:pPr>
        <w:r>
          <w:fldChar w:fldCharType="begin"/>
        </w:r>
        <w:r>
          <w:instrText xml:space="preserve"> PAGE   \* MERGEFORMAT </w:instrText>
        </w:r>
        <w:r>
          <w:fldChar w:fldCharType="separate"/>
        </w:r>
        <w:r w:rsidR="00854878">
          <w:rPr>
            <w:noProof/>
          </w:rPr>
          <w:t>6</w:t>
        </w:r>
        <w:r>
          <w:rPr>
            <w:noProof/>
          </w:rPr>
          <w:fldChar w:fldCharType="end"/>
        </w:r>
      </w:p>
    </w:sdtContent>
  </w:sdt>
  <w:p w14:paraId="6FBC913B" w14:textId="77777777" w:rsidR="00DB1B57" w:rsidRDefault="00DB1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073F6" w14:textId="77777777" w:rsidR="004337FD" w:rsidRDefault="004337FD" w:rsidP="00FD66F1">
      <w:pPr>
        <w:spacing w:after="0" w:line="240" w:lineRule="auto"/>
      </w:pPr>
      <w:r>
        <w:separator/>
      </w:r>
    </w:p>
  </w:footnote>
  <w:footnote w:type="continuationSeparator" w:id="0">
    <w:p w14:paraId="7EAD35FC" w14:textId="77777777" w:rsidR="004337FD" w:rsidRDefault="004337FD" w:rsidP="00FD66F1">
      <w:pPr>
        <w:spacing w:after="0" w:line="240" w:lineRule="auto"/>
      </w:pPr>
      <w:r>
        <w:continuationSeparator/>
      </w:r>
    </w:p>
  </w:footnote>
  <w:footnote w:type="continuationNotice" w:id="1">
    <w:p w14:paraId="070B17A5" w14:textId="77777777" w:rsidR="004337FD" w:rsidRDefault="004337FD">
      <w:pPr>
        <w:spacing w:after="0" w:line="240" w:lineRule="auto"/>
      </w:pPr>
    </w:p>
  </w:footnote>
  <w:footnote w:id="2">
    <w:p w14:paraId="5E98E22B" w14:textId="58648619" w:rsidR="00727199" w:rsidRPr="00727199" w:rsidRDefault="00727199">
      <w:pPr>
        <w:pStyle w:val="FootnoteText"/>
        <w:rPr>
          <w:sz w:val="24"/>
          <w:szCs w:val="24"/>
        </w:rPr>
      </w:pPr>
      <w:r w:rsidRPr="00727199">
        <w:rPr>
          <w:rStyle w:val="FootnoteReference"/>
          <w:sz w:val="24"/>
          <w:szCs w:val="24"/>
          <w:vertAlign w:val="superscript"/>
        </w:rPr>
        <w:footnoteRef/>
      </w:r>
      <w:r w:rsidRPr="00727199">
        <w:rPr>
          <w:sz w:val="24"/>
          <w:szCs w:val="24"/>
        </w:rPr>
        <w:t xml:space="preserve"> The NOPR is posted in FERC’s eLibrary at </w:t>
      </w:r>
      <w:hyperlink r:id="rId1" w:history="1">
        <w:r w:rsidRPr="00727199">
          <w:rPr>
            <w:rStyle w:val="Hyperlink"/>
            <w:sz w:val="24"/>
            <w:szCs w:val="24"/>
          </w:rPr>
          <w:t>http://elibrary.ferc.gov/idmws/common/opennat.asp?fileID=13989182</w:t>
        </w:r>
      </w:hyperlink>
      <w:r w:rsidRPr="00727199">
        <w:rPr>
          <w:sz w:val="24"/>
          <w:szCs w:val="24"/>
        </w:rPr>
        <w:t xml:space="preserve">.  Commissioner LaFleur’s statement is available at </w:t>
      </w:r>
      <w:hyperlink r:id="rId2" w:history="1">
        <w:r w:rsidRPr="00727199">
          <w:rPr>
            <w:rStyle w:val="Hyperlink"/>
            <w:sz w:val="24"/>
            <w:szCs w:val="24"/>
          </w:rPr>
          <w:t>http://elibrary.ferc.gov/idmws/common/opennat.asp?fileID=13991253</w:t>
        </w:r>
      </w:hyperlink>
      <w:r w:rsidRPr="00727199">
        <w:rPr>
          <w:sz w:val="24"/>
          <w:szCs w:val="24"/>
        </w:rPr>
        <w:t xml:space="preserve">; a News Release is posted at </w:t>
      </w:r>
      <w:hyperlink r:id="rId3" w:history="1">
        <w:r w:rsidRPr="00727199">
          <w:rPr>
            <w:rStyle w:val="Hyperlink"/>
            <w:sz w:val="24"/>
            <w:szCs w:val="24"/>
          </w:rPr>
          <w:t>http://elibrary.ferc.gov/idmws/common/opennat.asp?fileID=13989191</w:t>
        </w:r>
      </w:hyperlink>
      <w:r w:rsidRPr="00727199">
        <w:rPr>
          <w:sz w:val="24"/>
          <w:szCs w:val="24"/>
        </w:rPr>
        <w:t>.</w:t>
      </w:r>
    </w:p>
  </w:footnote>
  <w:footnote w:id="3">
    <w:p w14:paraId="5E79B7EA" w14:textId="1ABDE479" w:rsidR="00DB1B57" w:rsidRPr="00137CA8" w:rsidRDefault="00DB1B57">
      <w:pPr>
        <w:pStyle w:val="FootnoteText"/>
        <w:rPr>
          <w:sz w:val="24"/>
          <w:szCs w:val="24"/>
        </w:rPr>
      </w:pPr>
      <w:r w:rsidRPr="007D432D">
        <w:rPr>
          <w:rStyle w:val="FootnoteReference"/>
          <w:sz w:val="24"/>
          <w:szCs w:val="24"/>
          <w:vertAlign w:val="superscript"/>
        </w:rPr>
        <w:footnoteRef/>
      </w:r>
      <w:r w:rsidRPr="00137CA8">
        <w:rPr>
          <w:sz w:val="24"/>
          <w:szCs w:val="24"/>
        </w:rPr>
        <w:t xml:space="preserve"> 16 U.S.C. 824d(a)</w:t>
      </w:r>
      <w:r w:rsidR="008C1798">
        <w:rPr>
          <w:sz w:val="24"/>
          <w:szCs w:val="24"/>
        </w:rPr>
        <w:t>.</w:t>
      </w:r>
    </w:p>
  </w:footnote>
  <w:footnote w:id="4">
    <w:p w14:paraId="7DCF5D7E" w14:textId="61FC61F0" w:rsidR="00DB1B57" w:rsidRPr="00286C9B" w:rsidRDefault="00DB1B57">
      <w:pPr>
        <w:pStyle w:val="FootnoteText"/>
        <w:rPr>
          <w:sz w:val="24"/>
          <w:szCs w:val="24"/>
        </w:rPr>
      </w:pPr>
      <w:r w:rsidRPr="007D432D">
        <w:rPr>
          <w:rStyle w:val="FootnoteReference"/>
          <w:sz w:val="24"/>
          <w:szCs w:val="24"/>
          <w:vertAlign w:val="superscript"/>
        </w:rPr>
        <w:footnoteRef/>
      </w:r>
      <w:r w:rsidRPr="00286C9B">
        <w:rPr>
          <w:sz w:val="24"/>
          <w:szCs w:val="24"/>
        </w:rPr>
        <w:t xml:space="preserve"> 13 CFR 121.101 (2014).</w:t>
      </w:r>
    </w:p>
  </w:footnote>
  <w:footnote w:id="5">
    <w:p w14:paraId="5D416C74" w14:textId="7AD379E4" w:rsidR="00DB1B57" w:rsidRDefault="00DB1B57">
      <w:pPr>
        <w:pStyle w:val="FootnoteText"/>
      </w:pPr>
      <w:r w:rsidRPr="007D432D">
        <w:rPr>
          <w:rStyle w:val="FootnoteReference"/>
          <w:sz w:val="24"/>
          <w:szCs w:val="24"/>
          <w:vertAlign w:val="superscript"/>
        </w:rPr>
        <w:footnoteRef/>
      </w:r>
      <w:r w:rsidRPr="00286C9B">
        <w:rPr>
          <w:sz w:val="24"/>
          <w:szCs w:val="24"/>
        </w:rPr>
        <w:t xml:space="preserve"> SBA Final Rule on “Small Business Size Standards:  Utilities,” 78 FR 77,343 (Dec. 23, 2013).</w:t>
      </w:r>
    </w:p>
  </w:footnote>
  <w:footnote w:id="6">
    <w:p w14:paraId="55141066" w14:textId="02B44EA1" w:rsidR="00DB1B57" w:rsidRPr="004765EB" w:rsidRDefault="00DB1B57">
      <w:pPr>
        <w:pStyle w:val="FootnoteText"/>
        <w:rPr>
          <w:sz w:val="24"/>
          <w:szCs w:val="24"/>
        </w:rPr>
      </w:pPr>
      <w:r w:rsidRPr="007D432D">
        <w:rPr>
          <w:rStyle w:val="FootnoteReference"/>
          <w:sz w:val="24"/>
          <w:szCs w:val="24"/>
          <w:vertAlign w:val="superscript"/>
        </w:rPr>
        <w:footnoteRef/>
      </w:r>
      <w:r w:rsidRPr="004765EB">
        <w:rPr>
          <w:sz w:val="24"/>
          <w:szCs w:val="24"/>
        </w:rPr>
        <w:t xml:space="preserve"> The Commission does not expect other entities to incur compliance costs as a result of the reforms proposed in this NOPR</w:t>
      </w:r>
      <w:r>
        <w:rPr>
          <w:sz w:val="24"/>
          <w:szCs w:val="24"/>
        </w:rPr>
        <w:t xml:space="preserve"> in RM15-24</w:t>
      </w:r>
      <w:r w:rsidR="008C1798">
        <w:rPr>
          <w:sz w:val="24"/>
          <w:szCs w:val="24"/>
        </w:rPr>
        <w:t>-000</w:t>
      </w:r>
      <w:r w:rsidRPr="004765EB">
        <w:rPr>
          <w:sz w:val="24"/>
          <w:szCs w:val="24"/>
        </w:rPr>
        <w:t xml:space="preserve">, but is seeking detailed comments on whether other entities, such as load-serving entities, would incur costs as a result of the </w:t>
      </w:r>
      <w:r>
        <w:rPr>
          <w:sz w:val="24"/>
          <w:szCs w:val="24"/>
        </w:rPr>
        <w:t>proposed reforms.</w:t>
      </w:r>
    </w:p>
  </w:footnote>
  <w:footnote w:id="7">
    <w:p w14:paraId="4C24F9B6" w14:textId="77777777" w:rsidR="00DB1B57" w:rsidRPr="00A72004" w:rsidRDefault="00DB1B57" w:rsidP="0030149C">
      <w:pPr>
        <w:pStyle w:val="FootnoteText"/>
        <w:spacing w:before="240"/>
        <w:rPr>
          <w:sz w:val="24"/>
          <w:szCs w:val="24"/>
        </w:rPr>
      </w:pPr>
      <w:r w:rsidRPr="00A72004">
        <w:rPr>
          <w:rStyle w:val="FootnoteReference"/>
          <w:vertAlign w:val="superscript"/>
        </w:rPr>
        <w:footnoteRef/>
      </w:r>
      <w:r w:rsidRPr="007B447B">
        <w:t xml:space="preserve"> </w:t>
      </w:r>
      <w:r w:rsidRPr="00A72004">
        <w:rPr>
          <w:sz w:val="24"/>
          <w:szCs w:val="24"/>
        </w:rPr>
        <w:t xml:space="preserve">The estimated hourly cost (salary plus benefits) provided in this section are based on the salary figures for May 2014 posted by the Bureau of Labor Statistics for the Utilities sector (available at </w:t>
      </w:r>
      <w:r w:rsidRPr="00A72004">
        <w:rPr>
          <w:color w:val="000000" w:themeColor="text1"/>
          <w:sz w:val="24"/>
          <w:szCs w:val="24"/>
        </w:rPr>
        <w:t>http://www.bls.gov/oes/current/naics2_22.htm#13-0000</w:t>
      </w:r>
      <w:r w:rsidRPr="00A72004">
        <w:rPr>
          <w:sz w:val="24"/>
          <w:szCs w:val="24"/>
        </w:rPr>
        <w:t>) and scaled to reflect benefits using the relative importance of employer costs in employee compensation from March 2015 (available at http://www.bls.gov/news.release/ecec.nr0.htm).  The hourly estimates for salary plus benefits are:</w:t>
      </w:r>
    </w:p>
    <w:p w14:paraId="418C8EAA" w14:textId="77777777" w:rsidR="00DB1B57" w:rsidRPr="00A72004" w:rsidRDefault="00DB1B57" w:rsidP="0030149C">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A72004">
        <w:rPr>
          <w:rFonts w:ascii="Times New Roman" w:hAnsi="Times New Roman" w:cs="Times New Roman"/>
          <w:sz w:val="24"/>
          <w:szCs w:val="24"/>
        </w:rPr>
        <w:t>Legal (code 23-0000), $129.87</w:t>
      </w:r>
    </w:p>
    <w:p w14:paraId="4849D78A" w14:textId="77777777" w:rsidR="00DB1B57" w:rsidRPr="00A72004" w:rsidRDefault="00DB1B57" w:rsidP="0030149C">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A72004">
        <w:rPr>
          <w:rFonts w:ascii="Times New Roman" w:hAnsi="Times New Roman" w:cs="Times New Roman"/>
          <w:sz w:val="24"/>
          <w:szCs w:val="24"/>
        </w:rPr>
        <w:t>Computer and mathematical (code 15-0000), $58.25</w:t>
      </w:r>
    </w:p>
    <w:p w14:paraId="53DEA36C" w14:textId="77777777" w:rsidR="00DB1B57" w:rsidRPr="00A72004" w:rsidRDefault="00DB1B57" w:rsidP="0030149C">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A72004">
        <w:rPr>
          <w:rFonts w:ascii="Times New Roman" w:hAnsi="Times New Roman" w:cs="Times New Roman"/>
          <w:sz w:val="24"/>
          <w:szCs w:val="24"/>
        </w:rPr>
        <w:t>Information systems manager (code 11-3021), $94.55</w:t>
      </w:r>
    </w:p>
    <w:p w14:paraId="1F303B5B" w14:textId="77777777" w:rsidR="00DB1B57" w:rsidRPr="00A72004" w:rsidRDefault="00DB1B57" w:rsidP="0030149C">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A72004">
        <w:rPr>
          <w:rFonts w:ascii="Times New Roman" w:hAnsi="Times New Roman" w:cs="Times New Roman"/>
          <w:sz w:val="24"/>
          <w:szCs w:val="24"/>
        </w:rPr>
        <w:t>IT security analyst (code 15-1122), $63.55</w:t>
      </w:r>
    </w:p>
    <w:p w14:paraId="1861D2B9" w14:textId="77777777" w:rsidR="00DB1B57" w:rsidRPr="00A72004" w:rsidRDefault="00DB1B57" w:rsidP="0030149C">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A72004">
        <w:rPr>
          <w:rFonts w:ascii="Times New Roman" w:hAnsi="Times New Roman" w:cs="Times New Roman"/>
          <w:sz w:val="24"/>
          <w:szCs w:val="24"/>
        </w:rPr>
        <w:t>Auditing and accounting (code 13-2011), $51.11</w:t>
      </w:r>
    </w:p>
    <w:p w14:paraId="7BDDD3AD" w14:textId="77777777" w:rsidR="00DB1B57" w:rsidRPr="00A72004" w:rsidRDefault="00DB1B57" w:rsidP="0030149C">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A72004">
        <w:rPr>
          <w:rFonts w:ascii="Times New Roman" w:hAnsi="Times New Roman" w:cs="Times New Roman"/>
          <w:sz w:val="24"/>
          <w:szCs w:val="24"/>
        </w:rPr>
        <w:t>Information and record clerk (code 43-4199), $37.50</w:t>
      </w:r>
    </w:p>
    <w:p w14:paraId="080E9733" w14:textId="77777777" w:rsidR="00DB1B57" w:rsidRPr="00A72004" w:rsidRDefault="00DB1B57" w:rsidP="0030149C">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A72004">
        <w:rPr>
          <w:rFonts w:ascii="Times New Roman" w:hAnsi="Times New Roman" w:cs="Times New Roman"/>
          <w:sz w:val="24"/>
          <w:szCs w:val="24"/>
        </w:rPr>
        <w:t>Electrical Engineer  (code 17-2071), $66.45</w:t>
      </w:r>
    </w:p>
    <w:p w14:paraId="32CB430A" w14:textId="335CD8ED" w:rsidR="00DB1B57" w:rsidRPr="00A72004" w:rsidRDefault="00DB1B57" w:rsidP="0030149C">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A72004">
        <w:rPr>
          <w:rFonts w:ascii="Times New Roman" w:hAnsi="Times New Roman" w:cs="Times New Roman"/>
          <w:sz w:val="24"/>
          <w:szCs w:val="24"/>
        </w:rPr>
        <w:t>Economist (code 19-3011), $73.04</w:t>
      </w:r>
    </w:p>
    <w:p w14:paraId="3AD7A35C" w14:textId="6AEDBC82" w:rsidR="00DB1B57" w:rsidRPr="00A72004" w:rsidRDefault="00DB1B57" w:rsidP="0030149C">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A72004">
        <w:rPr>
          <w:rFonts w:ascii="Times New Roman" w:hAnsi="Times New Roman" w:cs="Times New Roman"/>
          <w:sz w:val="24"/>
          <w:szCs w:val="24"/>
        </w:rPr>
        <w:t>Computer and Information Systems Manager (code 11-3021),$94.55</w:t>
      </w:r>
    </w:p>
    <w:p w14:paraId="7DA2DA42" w14:textId="77777777" w:rsidR="00DB1B57" w:rsidRPr="00A72004" w:rsidRDefault="00DB1B57" w:rsidP="0030149C">
      <w:pPr>
        <w:widowControl w:val="0"/>
        <w:numPr>
          <w:ilvl w:val="0"/>
          <w:numId w:val="8"/>
        </w:numPr>
        <w:autoSpaceDE w:val="0"/>
        <w:autoSpaceDN w:val="0"/>
        <w:adjustRightInd w:val="0"/>
        <w:spacing w:after="0" w:line="240" w:lineRule="auto"/>
        <w:rPr>
          <w:rFonts w:ascii="Times New Roman" w:hAnsi="Times New Roman" w:cs="Times New Roman"/>
          <w:sz w:val="24"/>
          <w:szCs w:val="24"/>
        </w:rPr>
      </w:pPr>
      <w:r w:rsidRPr="00A72004">
        <w:rPr>
          <w:rFonts w:ascii="Times New Roman" w:hAnsi="Times New Roman" w:cs="Times New Roman"/>
          <w:sz w:val="24"/>
          <w:szCs w:val="24"/>
        </w:rPr>
        <w:t>Management (code 11-0000), $78.04</w:t>
      </w:r>
    </w:p>
    <w:p w14:paraId="6B9C0E02" w14:textId="77777777" w:rsidR="00DB1B57" w:rsidRPr="00A72004" w:rsidRDefault="00DB1B57" w:rsidP="0030149C">
      <w:pPr>
        <w:rPr>
          <w:rFonts w:ascii="Times New Roman" w:hAnsi="Times New Roman" w:cs="Times New Roman"/>
          <w:sz w:val="24"/>
          <w:szCs w:val="24"/>
        </w:rPr>
      </w:pPr>
      <w:r w:rsidRPr="00A72004">
        <w:rPr>
          <w:rFonts w:ascii="Times New Roman" w:hAnsi="Times New Roman" w:cs="Times New Roman"/>
          <w:sz w:val="24"/>
          <w:szCs w:val="24"/>
        </w:rPr>
        <w:t xml:space="preserve">The average hourly cost (salary plus benefits), weighting all of these skill sets evenly, is $74.69.  The Commission rounds it to $75 per hour. </w:t>
      </w:r>
    </w:p>
  </w:footnote>
  <w:footnote w:id="8">
    <w:p w14:paraId="5CD2627A" w14:textId="3D65C076" w:rsidR="00DB1B57" w:rsidRPr="00A72004" w:rsidRDefault="00DB1B57" w:rsidP="0030149C">
      <w:pPr>
        <w:pStyle w:val="FootnoteText"/>
        <w:spacing w:before="240"/>
        <w:rPr>
          <w:sz w:val="24"/>
          <w:szCs w:val="24"/>
        </w:rPr>
      </w:pPr>
      <w:r w:rsidRPr="00A72004">
        <w:rPr>
          <w:rStyle w:val="FootnoteReference"/>
          <w:sz w:val="24"/>
          <w:szCs w:val="24"/>
          <w:vertAlign w:val="superscript"/>
        </w:rPr>
        <w:footnoteRef/>
      </w:r>
      <w:r w:rsidRPr="00A72004">
        <w:rPr>
          <w:sz w:val="24"/>
          <w:szCs w:val="24"/>
          <w:vertAlign w:val="superscript"/>
        </w:rPr>
        <w:t xml:space="preserve"> </w:t>
      </w:r>
      <w:r w:rsidRPr="00A72004">
        <w:rPr>
          <w:sz w:val="24"/>
          <w:szCs w:val="24"/>
        </w:rPr>
        <w:t>The RTOs</w:t>
      </w:r>
      <w:r w:rsidR="00541A6C">
        <w:rPr>
          <w:sz w:val="24"/>
          <w:szCs w:val="24"/>
        </w:rPr>
        <w:t>/</w:t>
      </w:r>
      <w:r w:rsidRPr="00A72004">
        <w:rPr>
          <w:sz w:val="24"/>
          <w:szCs w:val="24"/>
        </w:rPr>
        <w:t xml:space="preserve">ISOs (CAISO, ISO-NE, MISO, NYISO, PJM, and SPP) are required to comply with the reforms proposed in this NOPR.  Three RTOs/ISOs (CAISO, NYISO, and SPP) currently align real-time settlement with their dispatch intervals and thus likely would be burdened less by that aspect of the reforms proposed in this NOPR. </w:t>
      </w:r>
    </w:p>
  </w:footnote>
  <w:footnote w:id="9">
    <w:p w14:paraId="5E284404" w14:textId="2B2EE01C" w:rsidR="00DB1B57" w:rsidRPr="00A72004" w:rsidRDefault="00DB1B57">
      <w:pPr>
        <w:pStyle w:val="FootnoteText"/>
        <w:rPr>
          <w:sz w:val="24"/>
          <w:szCs w:val="24"/>
        </w:rPr>
      </w:pPr>
      <w:r w:rsidRPr="00A72004">
        <w:rPr>
          <w:rStyle w:val="FootnoteReference"/>
          <w:sz w:val="24"/>
          <w:szCs w:val="24"/>
          <w:vertAlign w:val="superscript"/>
        </w:rPr>
        <w:footnoteRef/>
      </w:r>
      <w:r w:rsidRPr="00A72004">
        <w:rPr>
          <w:sz w:val="24"/>
          <w:szCs w:val="24"/>
          <w:vertAlign w:val="superscript"/>
        </w:rPr>
        <w:t xml:space="preserve"> </w:t>
      </w:r>
      <w:r w:rsidRPr="00A72004">
        <w:rPr>
          <w:sz w:val="24"/>
          <w:szCs w:val="24"/>
        </w:rPr>
        <w:t xml:space="preserve">For administrative purposes of this </w:t>
      </w:r>
      <w:r w:rsidR="00873779">
        <w:rPr>
          <w:sz w:val="24"/>
          <w:szCs w:val="24"/>
        </w:rPr>
        <w:t>Paperwork Reduction Act (</w:t>
      </w:r>
      <w:r w:rsidRPr="00A72004">
        <w:rPr>
          <w:sz w:val="24"/>
          <w:szCs w:val="24"/>
        </w:rPr>
        <w:t>PRA</w:t>
      </w:r>
      <w:r w:rsidR="00873779">
        <w:rPr>
          <w:sz w:val="24"/>
          <w:szCs w:val="24"/>
        </w:rPr>
        <w:t>)</w:t>
      </w:r>
      <w:r w:rsidRPr="00A72004">
        <w:rPr>
          <w:sz w:val="24"/>
          <w:szCs w:val="24"/>
        </w:rPr>
        <w:t xml:space="preserve"> submittal to OMB through ROCIS, the burden hours and burden cost will be averaged over three years (despite the burden actually being completed over Years 1-2), giving an annual average of </w:t>
      </w:r>
      <w:r w:rsidR="002A61BD" w:rsidRPr="002A61BD">
        <w:rPr>
          <w:sz w:val="24"/>
          <w:szCs w:val="24"/>
        </w:rPr>
        <w:t xml:space="preserve">4,540 </w:t>
      </w:r>
      <w:r w:rsidRPr="00A72004">
        <w:rPr>
          <w:sz w:val="24"/>
          <w:szCs w:val="24"/>
        </w:rPr>
        <w:t>hours over Years 1-3.  The burden will then be removed after Year 3.</w:t>
      </w:r>
    </w:p>
    <w:p w14:paraId="2F649376" w14:textId="74381B0D" w:rsidR="00606919" w:rsidRPr="00A72004" w:rsidRDefault="00606919">
      <w:pPr>
        <w:pStyle w:val="FootnoteText"/>
        <w:rPr>
          <w:sz w:val="24"/>
          <w:szCs w:val="24"/>
        </w:rPr>
      </w:pPr>
      <w:r w:rsidRPr="00A72004">
        <w:rPr>
          <w:sz w:val="24"/>
          <w:szCs w:val="24"/>
        </w:rPr>
        <w:t>Similarly</w:t>
      </w:r>
      <w:r w:rsidR="00532BF6">
        <w:rPr>
          <w:sz w:val="24"/>
          <w:szCs w:val="24"/>
        </w:rPr>
        <w:t>,</w:t>
      </w:r>
      <w:r w:rsidRPr="00A72004">
        <w:rPr>
          <w:sz w:val="24"/>
          <w:szCs w:val="24"/>
        </w:rPr>
        <w:t xml:space="preserve"> the </w:t>
      </w:r>
      <w:r w:rsidR="00532BF6">
        <w:rPr>
          <w:sz w:val="24"/>
          <w:szCs w:val="24"/>
        </w:rPr>
        <w:t xml:space="preserve">number </w:t>
      </w:r>
      <w:r w:rsidRPr="00A72004">
        <w:rPr>
          <w:sz w:val="24"/>
          <w:szCs w:val="24"/>
        </w:rPr>
        <w:t>of responses (6+6 in Year 1, plus 6 in Year 2, totaling 18 in Years 1 and 2) will be averaged over 3 years (giving an annual average of +6 responses</w:t>
      </w:r>
      <w:r w:rsidR="00EF5630">
        <w:rPr>
          <w:sz w:val="24"/>
          <w:szCs w:val="24"/>
        </w:rPr>
        <w:t>)</w:t>
      </w:r>
      <w:r w:rsidRPr="00A72004">
        <w:rPr>
          <w:sz w:val="24"/>
          <w:szCs w:val="24"/>
        </w:rPr>
        <w:t>.</w:t>
      </w:r>
    </w:p>
  </w:footnote>
  <w:footnote w:id="10">
    <w:p w14:paraId="0E18D6FD" w14:textId="34F96F61" w:rsidR="00DB1B57" w:rsidRPr="00A72004" w:rsidRDefault="00DB1B57" w:rsidP="00A72004">
      <w:pPr>
        <w:pStyle w:val="FootnoteText"/>
        <w:rPr>
          <w:sz w:val="24"/>
          <w:szCs w:val="24"/>
        </w:rPr>
      </w:pPr>
      <w:r w:rsidRPr="00A72004">
        <w:rPr>
          <w:rStyle w:val="FootnoteReference"/>
          <w:sz w:val="24"/>
          <w:szCs w:val="24"/>
          <w:vertAlign w:val="superscript"/>
        </w:rPr>
        <w:footnoteRef/>
      </w:r>
      <w:r w:rsidRPr="00A72004">
        <w:rPr>
          <w:sz w:val="24"/>
          <w:szCs w:val="24"/>
        </w:rPr>
        <w:t xml:space="preserve"> The costs for </w:t>
      </w:r>
      <w:r w:rsidR="00CA2482">
        <w:rPr>
          <w:sz w:val="24"/>
          <w:szCs w:val="24"/>
        </w:rPr>
        <w:t>Y</w:t>
      </w:r>
      <w:r w:rsidRPr="00A72004">
        <w:rPr>
          <w:sz w:val="24"/>
          <w:szCs w:val="24"/>
        </w:rPr>
        <w:t xml:space="preserve">ear 1 would consist of filing proposed tariff changes to the Commission within four months of a Final Rule plus initial implementation.  The costs for </w:t>
      </w:r>
      <w:r w:rsidR="00CA2482">
        <w:rPr>
          <w:sz w:val="24"/>
          <w:szCs w:val="24"/>
        </w:rPr>
        <w:t>Y</w:t>
      </w:r>
      <w:r w:rsidRPr="00A72004">
        <w:rPr>
          <w:sz w:val="24"/>
          <w:szCs w:val="24"/>
        </w:rPr>
        <w:t>ear 2 would consist of any remaining implementation within the twelve months after the tariff filing is required.</w:t>
      </w:r>
    </w:p>
  </w:footnote>
  <w:footnote w:id="11">
    <w:p w14:paraId="120A7C1F" w14:textId="1737A131" w:rsidR="00DB1B57" w:rsidRPr="00A72004" w:rsidRDefault="00DB1B57">
      <w:pPr>
        <w:pStyle w:val="FootnoteText"/>
        <w:rPr>
          <w:sz w:val="24"/>
          <w:szCs w:val="24"/>
        </w:rPr>
      </w:pPr>
      <w:r w:rsidRPr="00A72004">
        <w:rPr>
          <w:rStyle w:val="FootnoteReference"/>
          <w:sz w:val="24"/>
          <w:szCs w:val="24"/>
          <w:vertAlign w:val="superscript"/>
        </w:rPr>
        <w:footnoteRef/>
      </w:r>
      <w:r w:rsidRPr="00A72004">
        <w:rPr>
          <w:sz w:val="24"/>
          <w:szCs w:val="24"/>
          <w:vertAlign w:val="superscript"/>
        </w:rPr>
        <w:t xml:space="preserve"> </w:t>
      </w:r>
      <w:r w:rsidRPr="00A72004">
        <w:rPr>
          <w:sz w:val="24"/>
          <w:szCs w:val="24"/>
        </w:rPr>
        <w:t xml:space="preserve">For administrative purposes of this PRA submittal to OMB through ROCIS, the burden hours and burden cost will be averaged over three years (despite the burden actually being completed over Years 1-2), giving an annual average of </w:t>
      </w:r>
      <w:r w:rsidR="00A20FE4">
        <w:rPr>
          <w:sz w:val="24"/>
          <w:szCs w:val="24"/>
        </w:rPr>
        <w:t>4,540 hours and $340,500</w:t>
      </w:r>
      <w:r w:rsidR="00A9169E">
        <w:rPr>
          <w:sz w:val="24"/>
          <w:szCs w:val="24"/>
        </w:rPr>
        <w:t xml:space="preserve"> </w:t>
      </w:r>
      <w:r w:rsidRPr="00A72004">
        <w:rPr>
          <w:sz w:val="24"/>
          <w:szCs w:val="24"/>
        </w:rPr>
        <w:t xml:space="preserve">over Years 1-3.  The burden and associated cost will then be removed </w:t>
      </w:r>
      <w:r w:rsidR="00A20FE4">
        <w:rPr>
          <w:sz w:val="24"/>
          <w:szCs w:val="24"/>
        </w:rPr>
        <w:t xml:space="preserve">from FERC-516 </w:t>
      </w:r>
      <w:r w:rsidRPr="00A72004">
        <w:rPr>
          <w:sz w:val="24"/>
          <w:szCs w:val="24"/>
        </w:rPr>
        <w:t>after Year 3.</w:t>
      </w:r>
    </w:p>
  </w:footnote>
  <w:footnote w:id="12">
    <w:p w14:paraId="69FC5444" w14:textId="77777777" w:rsidR="00DB1B57" w:rsidRDefault="00DB1B57" w:rsidP="0030149C">
      <w:pPr>
        <w:pStyle w:val="FootnoteText"/>
      </w:pPr>
      <w:r w:rsidRPr="00A72004">
        <w:rPr>
          <w:rStyle w:val="FootnoteReference"/>
          <w:rFonts w:eastAsiaTheme="majorEastAsia"/>
          <w:sz w:val="24"/>
          <w:szCs w:val="24"/>
          <w:vertAlign w:val="superscript"/>
        </w:rPr>
        <w:footnoteRef/>
      </w:r>
      <w:r w:rsidRPr="00A72004">
        <w:rPr>
          <w:sz w:val="24"/>
          <w:szCs w:val="24"/>
        </w:rPr>
        <w:t xml:space="preserve"> ISO-NE Comments, Docket No. AD14-14-000, at 23 (Mar. 6, 2015); GDF SUEZ Comments, Docket No. AD14-14-000, at 10 (Mar. 6, 2015).  </w:t>
      </w:r>
    </w:p>
  </w:footnote>
  <w:footnote w:id="13">
    <w:p w14:paraId="14BB80D0" w14:textId="7AA4CDEF" w:rsidR="00DB1B57" w:rsidRPr="00A72004" w:rsidRDefault="00DB1B57" w:rsidP="00630A34">
      <w:pPr>
        <w:pStyle w:val="FootnoteText"/>
        <w:rPr>
          <w:sz w:val="24"/>
          <w:szCs w:val="24"/>
        </w:rPr>
      </w:pPr>
      <w:r w:rsidRPr="00A72004">
        <w:rPr>
          <w:rStyle w:val="FootnoteReference"/>
          <w:sz w:val="24"/>
          <w:szCs w:val="24"/>
          <w:vertAlign w:val="superscript"/>
        </w:rPr>
        <w:footnoteRef/>
      </w:r>
      <w:r w:rsidRPr="00A72004">
        <w:rPr>
          <w:sz w:val="24"/>
          <w:szCs w:val="24"/>
        </w:rPr>
        <w:t xml:space="preserve"> The </w:t>
      </w:r>
      <w:r w:rsidR="0031448C">
        <w:rPr>
          <w:sz w:val="24"/>
          <w:szCs w:val="24"/>
        </w:rPr>
        <w:t>F</w:t>
      </w:r>
      <w:r w:rsidRPr="00A72004">
        <w:rPr>
          <w:sz w:val="24"/>
          <w:szCs w:val="24"/>
        </w:rPr>
        <w:t xml:space="preserve">ederal </w:t>
      </w:r>
      <w:r w:rsidR="0031448C">
        <w:rPr>
          <w:sz w:val="24"/>
          <w:szCs w:val="24"/>
        </w:rPr>
        <w:t>C</w:t>
      </w:r>
      <w:r w:rsidRPr="00A72004">
        <w:rPr>
          <w:sz w:val="24"/>
          <w:szCs w:val="24"/>
        </w:rPr>
        <w:t>ost of analysis and processing of filings is based upon FERC’s 2015 FTE (full time equivalent) average salary plus benefits of $149,489 (or $72 per hour).</w:t>
      </w:r>
    </w:p>
  </w:footnote>
  <w:footnote w:id="14">
    <w:p w14:paraId="2080A7C2" w14:textId="756CF622" w:rsidR="00DB1B57" w:rsidRPr="00A72004" w:rsidRDefault="00DB1B57" w:rsidP="001B3E94">
      <w:pPr>
        <w:pStyle w:val="FootnoteText"/>
        <w:rPr>
          <w:sz w:val="24"/>
          <w:szCs w:val="24"/>
        </w:rPr>
      </w:pPr>
      <w:r w:rsidRPr="00A72004">
        <w:rPr>
          <w:rStyle w:val="FootnoteReference"/>
          <w:sz w:val="24"/>
          <w:szCs w:val="24"/>
          <w:vertAlign w:val="superscript"/>
        </w:rPr>
        <w:footnoteRef/>
      </w:r>
      <w:r w:rsidRPr="00A72004">
        <w:rPr>
          <w:sz w:val="24"/>
          <w:szCs w:val="24"/>
        </w:rPr>
        <w:t xml:space="preserve"> 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(not just this proposed rule), and other changes to the collection. </w:t>
      </w:r>
    </w:p>
  </w:footnote>
  <w:footnote w:id="15">
    <w:p w14:paraId="0A3722AB" w14:textId="20DA1A07" w:rsidR="00DB1B57" w:rsidRDefault="00DB1B57">
      <w:pPr>
        <w:pStyle w:val="FootnoteText"/>
      </w:pPr>
      <w:r w:rsidRPr="00A72004">
        <w:rPr>
          <w:rStyle w:val="FootnoteReference"/>
          <w:sz w:val="24"/>
          <w:szCs w:val="24"/>
          <w:vertAlign w:val="superscript"/>
        </w:rPr>
        <w:footnoteRef/>
      </w:r>
      <w:r w:rsidRPr="00A72004">
        <w:rPr>
          <w:sz w:val="24"/>
          <w:szCs w:val="24"/>
        </w:rPr>
        <w:t xml:space="preserve"> The supporting statement for ICR 201409-1902-005 (for the final rule in Docket No. RM05-5-022) says in part that “... the total additional Federal Cost for the FERC-516 is $371,570 ....  These additional costs will be added to the existing Federal costs for a total of $2,437,394 for the FERC-516 ....”  However, it appears that the additional $371,570 for the final rule in RM05-5-022 was inadvertently not added to the meta-data field for </w:t>
      </w:r>
      <w:r w:rsidR="008E1B72">
        <w:rPr>
          <w:sz w:val="24"/>
          <w:szCs w:val="24"/>
        </w:rPr>
        <w:t>F</w:t>
      </w:r>
      <w:r w:rsidRPr="00A72004">
        <w:rPr>
          <w:sz w:val="24"/>
          <w:szCs w:val="24"/>
        </w:rPr>
        <w:t xml:space="preserve">ederal </w:t>
      </w:r>
      <w:r w:rsidR="008E1B72">
        <w:rPr>
          <w:sz w:val="24"/>
          <w:szCs w:val="24"/>
        </w:rPr>
        <w:t>C</w:t>
      </w:r>
      <w:r w:rsidRPr="00A72004">
        <w:rPr>
          <w:sz w:val="24"/>
          <w:szCs w:val="24"/>
        </w:rPr>
        <w:t xml:space="preserve">ost in reginfo.gov and ROCIS because that figure continued to be $2,437,394.  Therefore the </w:t>
      </w:r>
      <w:r w:rsidR="006439AA">
        <w:rPr>
          <w:sz w:val="24"/>
          <w:szCs w:val="24"/>
        </w:rPr>
        <w:t>F</w:t>
      </w:r>
      <w:r w:rsidRPr="00A72004">
        <w:rPr>
          <w:sz w:val="24"/>
          <w:szCs w:val="24"/>
        </w:rPr>
        <w:t xml:space="preserve">ederal </w:t>
      </w:r>
      <w:r w:rsidR="006439AA">
        <w:rPr>
          <w:sz w:val="24"/>
          <w:szCs w:val="24"/>
        </w:rPr>
        <w:t>C</w:t>
      </w:r>
      <w:r w:rsidRPr="00A72004">
        <w:rPr>
          <w:sz w:val="24"/>
          <w:szCs w:val="24"/>
        </w:rPr>
        <w:t>ost field for FERC-516 should be $2,437,394 + $371,570, or $2,808,964, before implementation of this NOPR in RM15-24</w:t>
      </w:r>
      <w:r w:rsidR="008E1B72">
        <w:rPr>
          <w:sz w:val="24"/>
          <w:szCs w:val="24"/>
        </w:rPr>
        <w:t>-000</w:t>
      </w:r>
      <w:r w:rsidRPr="00A72004">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81ED9" w14:textId="2C5DE86E" w:rsidR="00DB1B57" w:rsidRPr="004715C5" w:rsidRDefault="00DB1B57" w:rsidP="004715C5">
    <w:pPr>
      <w:pStyle w:val="Header"/>
      <w:rPr>
        <w:rFonts w:ascii="Times New Roman" w:hAnsi="Times New Roman" w:cs="Times New Roman"/>
        <w:b/>
        <w:sz w:val="24"/>
        <w:szCs w:val="24"/>
      </w:rPr>
    </w:pPr>
    <w:r w:rsidRPr="004715C5">
      <w:rPr>
        <w:rFonts w:ascii="Times New Roman" w:hAnsi="Times New Roman" w:cs="Times New Roman"/>
        <w:b/>
        <w:sz w:val="24"/>
        <w:szCs w:val="24"/>
      </w:rPr>
      <w:t>FERC-516 (OMB Control N</w:t>
    </w:r>
    <w:r>
      <w:rPr>
        <w:rFonts w:ascii="Times New Roman" w:hAnsi="Times New Roman" w:cs="Times New Roman"/>
        <w:b/>
        <w:sz w:val="24"/>
        <w:szCs w:val="24"/>
      </w:rPr>
      <w:t>o.</w:t>
    </w:r>
    <w:r w:rsidRPr="004715C5">
      <w:rPr>
        <w:rFonts w:ascii="Times New Roman" w:hAnsi="Times New Roman" w:cs="Times New Roman"/>
        <w:b/>
        <w:sz w:val="24"/>
        <w:szCs w:val="24"/>
      </w:rPr>
      <w:t xml:space="preserve"> 1902-0096)</w:t>
    </w:r>
    <w:r>
      <w:rPr>
        <w:rFonts w:ascii="Times New Roman" w:hAnsi="Times New Roman" w:cs="Times New Roman"/>
        <w:b/>
        <w:sz w:val="24"/>
        <w:szCs w:val="24"/>
      </w:rPr>
      <w:t>,</w:t>
    </w:r>
  </w:p>
  <w:p w14:paraId="6FBC9137" w14:textId="4E7C322B" w:rsidR="00DB1B57" w:rsidRPr="007247CA" w:rsidRDefault="00DB1B57" w:rsidP="00AD3DE5">
    <w:pPr>
      <w:pStyle w:val="Header"/>
      <w:rPr>
        <w:rFonts w:ascii="Times New Roman" w:hAnsi="Times New Roman" w:cs="Times New Roman"/>
        <w:b/>
        <w:sz w:val="24"/>
        <w:szCs w:val="24"/>
      </w:rPr>
    </w:pPr>
    <w:r>
      <w:rPr>
        <w:rFonts w:ascii="Times New Roman" w:hAnsi="Times New Roman" w:cs="Times New Roman"/>
        <w:b/>
        <w:sz w:val="24"/>
        <w:szCs w:val="24"/>
      </w:rPr>
      <w:t xml:space="preserve">as modified in the </w:t>
    </w:r>
    <w:r w:rsidRPr="007247CA">
      <w:rPr>
        <w:rFonts w:ascii="Times New Roman" w:hAnsi="Times New Roman" w:cs="Times New Roman"/>
        <w:b/>
        <w:sz w:val="24"/>
        <w:szCs w:val="24"/>
      </w:rPr>
      <w:t>NOPR (issued 9/</w:t>
    </w:r>
    <w:r w:rsidR="004F0E29" w:rsidRPr="007247CA">
      <w:rPr>
        <w:rFonts w:ascii="Times New Roman" w:hAnsi="Times New Roman" w:cs="Times New Roman"/>
        <w:b/>
        <w:sz w:val="24"/>
        <w:szCs w:val="24"/>
      </w:rPr>
      <w:t>17</w:t>
    </w:r>
    <w:r w:rsidRPr="007247CA">
      <w:rPr>
        <w:rFonts w:ascii="Times New Roman" w:hAnsi="Times New Roman" w:cs="Times New Roman"/>
        <w:b/>
        <w:sz w:val="24"/>
        <w:szCs w:val="24"/>
      </w:rPr>
      <w:t>/2015) in Docket No. RM15-24</w:t>
    </w:r>
    <w:r w:rsidR="004F0E29" w:rsidRPr="007247CA">
      <w:rPr>
        <w:rFonts w:ascii="Times New Roman" w:hAnsi="Times New Roman" w:cs="Times New Roman"/>
        <w:b/>
        <w:sz w:val="24"/>
        <w:szCs w:val="24"/>
      </w:rPr>
      <w:t>-000</w:t>
    </w:r>
  </w:p>
  <w:p w14:paraId="447CC386" w14:textId="6E341014" w:rsidR="00DB1B57" w:rsidRPr="004715C5" w:rsidRDefault="00DB1B57" w:rsidP="00AD3DE5">
    <w:pPr>
      <w:pStyle w:val="Header"/>
      <w:rPr>
        <w:rFonts w:ascii="Times New Roman" w:hAnsi="Times New Roman" w:cs="Times New Roman"/>
        <w:b/>
        <w:sz w:val="24"/>
        <w:szCs w:val="24"/>
      </w:rPr>
    </w:pPr>
    <w:r w:rsidRPr="007247CA">
      <w:rPr>
        <w:rFonts w:ascii="Times New Roman" w:hAnsi="Times New Roman" w:cs="Times New Roman"/>
        <w:b/>
        <w:sz w:val="24"/>
        <w:szCs w:val="24"/>
      </w:rPr>
      <w:t xml:space="preserve">RIN: </w:t>
    </w:r>
    <w:r w:rsidR="00372CE3" w:rsidRPr="007247CA">
      <w:rPr>
        <w:rFonts w:ascii="Times New Roman" w:hAnsi="Times New Roman" w:cs="Times New Roman"/>
        <w:b/>
        <w:sz w:val="24"/>
        <w:szCs w:val="24"/>
      </w:rPr>
      <w:t>1902-AF12</w:t>
    </w:r>
  </w:p>
  <w:p w14:paraId="6FBC9138" w14:textId="77777777" w:rsidR="00DB1B57" w:rsidRDefault="00DB1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1CA7"/>
    <w:multiLevelType w:val="hybridMultilevel"/>
    <w:tmpl w:val="CCB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17CC7"/>
    <w:multiLevelType w:val="hybridMultilevel"/>
    <w:tmpl w:val="8136728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2A565407"/>
    <w:multiLevelType w:val="hybridMultilevel"/>
    <w:tmpl w:val="CD34E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
    <w:nsid w:val="49116067"/>
    <w:multiLevelType w:val="hybridMultilevel"/>
    <w:tmpl w:val="1A0216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36F6"/>
    <w:rsid w:val="0002242D"/>
    <w:rsid w:val="00026117"/>
    <w:rsid w:val="00032244"/>
    <w:rsid w:val="00035845"/>
    <w:rsid w:val="00037E50"/>
    <w:rsid w:val="00055815"/>
    <w:rsid w:val="00074DC8"/>
    <w:rsid w:val="0007704B"/>
    <w:rsid w:val="00090629"/>
    <w:rsid w:val="000921EA"/>
    <w:rsid w:val="000A7CBB"/>
    <w:rsid w:val="000B0C37"/>
    <w:rsid w:val="000B1908"/>
    <w:rsid w:val="000C2704"/>
    <w:rsid w:val="000D16AE"/>
    <w:rsid w:val="000E34F4"/>
    <w:rsid w:val="000F0997"/>
    <w:rsid w:val="000F34E5"/>
    <w:rsid w:val="000F6D3C"/>
    <w:rsid w:val="0011419F"/>
    <w:rsid w:val="00122655"/>
    <w:rsid w:val="00131BBB"/>
    <w:rsid w:val="001348AC"/>
    <w:rsid w:val="00136012"/>
    <w:rsid w:val="00137BA9"/>
    <w:rsid w:val="00137CA8"/>
    <w:rsid w:val="00143103"/>
    <w:rsid w:val="00154181"/>
    <w:rsid w:val="00155FCD"/>
    <w:rsid w:val="001606B6"/>
    <w:rsid w:val="001628BF"/>
    <w:rsid w:val="001628FA"/>
    <w:rsid w:val="001678D3"/>
    <w:rsid w:val="00172229"/>
    <w:rsid w:val="00181727"/>
    <w:rsid w:val="00185730"/>
    <w:rsid w:val="00185ACA"/>
    <w:rsid w:val="00197A36"/>
    <w:rsid w:val="001A23A3"/>
    <w:rsid w:val="001B3E94"/>
    <w:rsid w:val="001C1550"/>
    <w:rsid w:val="001C1E51"/>
    <w:rsid w:val="001D5696"/>
    <w:rsid w:val="001D5974"/>
    <w:rsid w:val="001F4604"/>
    <w:rsid w:val="001F76EF"/>
    <w:rsid w:val="00214798"/>
    <w:rsid w:val="00220CB1"/>
    <w:rsid w:val="002244B4"/>
    <w:rsid w:val="00224C33"/>
    <w:rsid w:val="0022604B"/>
    <w:rsid w:val="00230B5D"/>
    <w:rsid w:val="00230C1A"/>
    <w:rsid w:val="00241805"/>
    <w:rsid w:val="00243BFF"/>
    <w:rsid w:val="0025203F"/>
    <w:rsid w:val="00255CCF"/>
    <w:rsid w:val="0026674D"/>
    <w:rsid w:val="00267372"/>
    <w:rsid w:val="002763B3"/>
    <w:rsid w:val="0028361F"/>
    <w:rsid w:val="00286C9B"/>
    <w:rsid w:val="00287E1F"/>
    <w:rsid w:val="00293588"/>
    <w:rsid w:val="002A4322"/>
    <w:rsid w:val="002A61BD"/>
    <w:rsid w:val="002B13E2"/>
    <w:rsid w:val="002C4468"/>
    <w:rsid w:val="002D6F4E"/>
    <w:rsid w:val="002E48FD"/>
    <w:rsid w:val="002F1B03"/>
    <w:rsid w:val="0030149C"/>
    <w:rsid w:val="00302A58"/>
    <w:rsid w:val="00307830"/>
    <w:rsid w:val="00312013"/>
    <w:rsid w:val="0031275C"/>
    <w:rsid w:val="00313383"/>
    <w:rsid w:val="0031448C"/>
    <w:rsid w:val="00316732"/>
    <w:rsid w:val="00323532"/>
    <w:rsid w:val="003316E0"/>
    <w:rsid w:val="00340DFE"/>
    <w:rsid w:val="00345419"/>
    <w:rsid w:val="003515F8"/>
    <w:rsid w:val="00363749"/>
    <w:rsid w:val="00370146"/>
    <w:rsid w:val="00372CE3"/>
    <w:rsid w:val="003804AA"/>
    <w:rsid w:val="00382A51"/>
    <w:rsid w:val="00395DDD"/>
    <w:rsid w:val="003A5971"/>
    <w:rsid w:val="003B3B61"/>
    <w:rsid w:val="003C0C7E"/>
    <w:rsid w:val="003D0F2B"/>
    <w:rsid w:val="003D6545"/>
    <w:rsid w:val="003E13F3"/>
    <w:rsid w:val="003E7B94"/>
    <w:rsid w:val="003F71E1"/>
    <w:rsid w:val="0040502E"/>
    <w:rsid w:val="004115D5"/>
    <w:rsid w:val="00414F32"/>
    <w:rsid w:val="00425D3F"/>
    <w:rsid w:val="0042731D"/>
    <w:rsid w:val="004276A5"/>
    <w:rsid w:val="004337FD"/>
    <w:rsid w:val="00463089"/>
    <w:rsid w:val="00466C57"/>
    <w:rsid w:val="004715C5"/>
    <w:rsid w:val="004765EB"/>
    <w:rsid w:val="00482F51"/>
    <w:rsid w:val="004869D1"/>
    <w:rsid w:val="004C001C"/>
    <w:rsid w:val="004C4C89"/>
    <w:rsid w:val="004C5E0E"/>
    <w:rsid w:val="004D608E"/>
    <w:rsid w:val="004D7DA8"/>
    <w:rsid w:val="004F0E29"/>
    <w:rsid w:val="004F6977"/>
    <w:rsid w:val="0050608E"/>
    <w:rsid w:val="00521FFF"/>
    <w:rsid w:val="00522F69"/>
    <w:rsid w:val="0053287C"/>
    <w:rsid w:val="00532BF6"/>
    <w:rsid w:val="00541A6C"/>
    <w:rsid w:val="005474BF"/>
    <w:rsid w:val="0055290C"/>
    <w:rsid w:val="005565B5"/>
    <w:rsid w:val="00563175"/>
    <w:rsid w:val="0056772F"/>
    <w:rsid w:val="00570685"/>
    <w:rsid w:val="00571C5E"/>
    <w:rsid w:val="00571EC8"/>
    <w:rsid w:val="00574076"/>
    <w:rsid w:val="0057700F"/>
    <w:rsid w:val="00583B41"/>
    <w:rsid w:val="005866D6"/>
    <w:rsid w:val="005A2792"/>
    <w:rsid w:val="005A3F23"/>
    <w:rsid w:val="005A71BE"/>
    <w:rsid w:val="005B501F"/>
    <w:rsid w:val="005B77CE"/>
    <w:rsid w:val="005C1545"/>
    <w:rsid w:val="005C3EAC"/>
    <w:rsid w:val="005C615A"/>
    <w:rsid w:val="005D235C"/>
    <w:rsid w:val="005D73E9"/>
    <w:rsid w:val="005F1C3C"/>
    <w:rsid w:val="005F6B8C"/>
    <w:rsid w:val="00605B9C"/>
    <w:rsid w:val="00606919"/>
    <w:rsid w:val="00615A5C"/>
    <w:rsid w:val="006166FA"/>
    <w:rsid w:val="00630A34"/>
    <w:rsid w:val="0063196F"/>
    <w:rsid w:val="00632BBE"/>
    <w:rsid w:val="006439AA"/>
    <w:rsid w:val="00646AB5"/>
    <w:rsid w:val="00664BC0"/>
    <w:rsid w:val="00676985"/>
    <w:rsid w:val="00682F33"/>
    <w:rsid w:val="00690136"/>
    <w:rsid w:val="00690B37"/>
    <w:rsid w:val="006A4AD1"/>
    <w:rsid w:val="006B437C"/>
    <w:rsid w:val="006D1C4E"/>
    <w:rsid w:val="006D78F5"/>
    <w:rsid w:val="0070799F"/>
    <w:rsid w:val="00707EC1"/>
    <w:rsid w:val="007247CA"/>
    <w:rsid w:val="00727199"/>
    <w:rsid w:val="0074195A"/>
    <w:rsid w:val="00773AEB"/>
    <w:rsid w:val="00787670"/>
    <w:rsid w:val="007A2F92"/>
    <w:rsid w:val="007B447B"/>
    <w:rsid w:val="007C28CF"/>
    <w:rsid w:val="007D0FC9"/>
    <w:rsid w:val="007D432D"/>
    <w:rsid w:val="007E7C0F"/>
    <w:rsid w:val="007F2F2F"/>
    <w:rsid w:val="007F74B4"/>
    <w:rsid w:val="00812EF1"/>
    <w:rsid w:val="008352B4"/>
    <w:rsid w:val="00843A92"/>
    <w:rsid w:val="00854878"/>
    <w:rsid w:val="00857577"/>
    <w:rsid w:val="008619E1"/>
    <w:rsid w:val="00862AA0"/>
    <w:rsid w:val="008640C3"/>
    <w:rsid w:val="008725DB"/>
    <w:rsid w:val="00873779"/>
    <w:rsid w:val="00876F75"/>
    <w:rsid w:val="008911E8"/>
    <w:rsid w:val="008A1B1F"/>
    <w:rsid w:val="008A21A4"/>
    <w:rsid w:val="008A26B1"/>
    <w:rsid w:val="008A2B11"/>
    <w:rsid w:val="008A5C6B"/>
    <w:rsid w:val="008A76A0"/>
    <w:rsid w:val="008B703B"/>
    <w:rsid w:val="008C1798"/>
    <w:rsid w:val="008C238C"/>
    <w:rsid w:val="008C288D"/>
    <w:rsid w:val="008D310F"/>
    <w:rsid w:val="008E1B72"/>
    <w:rsid w:val="008E70CD"/>
    <w:rsid w:val="008E7899"/>
    <w:rsid w:val="009041B9"/>
    <w:rsid w:val="00913A8B"/>
    <w:rsid w:val="00916744"/>
    <w:rsid w:val="0092440D"/>
    <w:rsid w:val="00936070"/>
    <w:rsid w:val="00940395"/>
    <w:rsid w:val="00940BBD"/>
    <w:rsid w:val="00950ECA"/>
    <w:rsid w:val="00956605"/>
    <w:rsid w:val="00957900"/>
    <w:rsid w:val="0096601C"/>
    <w:rsid w:val="00970FE4"/>
    <w:rsid w:val="00983086"/>
    <w:rsid w:val="009C0135"/>
    <w:rsid w:val="009E1190"/>
    <w:rsid w:val="00A03E2E"/>
    <w:rsid w:val="00A13882"/>
    <w:rsid w:val="00A1673A"/>
    <w:rsid w:val="00A20FE4"/>
    <w:rsid w:val="00A21355"/>
    <w:rsid w:val="00A276F5"/>
    <w:rsid w:val="00A27C78"/>
    <w:rsid w:val="00A3140F"/>
    <w:rsid w:val="00A3379C"/>
    <w:rsid w:val="00A56DF5"/>
    <w:rsid w:val="00A63343"/>
    <w:rsid w:val="00A646B3"/>
    <w:rsid w:val="00A72004"/>
    <w:rsid w:val="00A72E7B"/>
    <w:rsid w:val="00A80014"/>
    <w:rsid w:val="00A9169E"/>
    <w:rsid w:val="00A95E06"/>
    <w:rsid w:val="00A96B65"/>
    <w:rsid w:val="00AA38F1"/>
    <w:rsid w:val="00AB2354"/>
    <w:rsid w:val="00AB4B12"/>
    <w:rsid w:val="00AB63CA"/>
    <w:rsid w:val="00AC32B9"/>
    <w:rsid w:val="00AC56F9"/>
    <w:rsid w:val="00AD14B6"/>
    <w:rsid w:val="00AD3DE5"/>
    <w:rsid w:val="00AE59AD"/>
    <w:rsid w:val="00B044A4"/>
    <w:rsid w:val="00B047E2"/>
    <w:rsid w:val="00B14E8C"/>
    <w:rsid w:val="00B26977"/>
    <w:rsid w:val="00B27783"/>
    <w:rsid w:val="00B432B9"/>
    <w:rsid w:val="00B44020"/>
    <w:rsid w:val="00B62259"/>
    <w:rsid w:val="00B66628"/>
    <w:rsid w:val="00B721AF"/>
    <w:rsid w:val="00B8024E"/>
    <w:rsid w:val="00B95800"/>
    <w:rsid w:val="00BA1C7D"/>
    <w:rsid w:val="00BA7C56"/>
    <w:rsid w:val="00BC248C"/>
    <w:rsid w:val="00BC5A3C"/>
    <w:rsid w:val="00BD46DC"/>
    <w:rsid w:val="00BD59CC"/>
    <w:rsid w:val="00C01698"/>
    <w:rsid w:val="00C06256"/>
    <w:rsid w:val="00C12232"/>
    <w:rsid w:val="00C138F2"/>
    <w:rsid w:val="00C32305"/>
    <w:rsid w:val="00C33EDB"/>
    <w:rsid w:val="00C50C77"/>
    <w:rsid w:val="00C510DD"/>
    <w:rsid w:val="00C63B6A"/>
    <w:rsid w:val="00C94D42"/>
    <w:rsid w:val="00CA0069"/>
    <w:rsid w:val="00CA2482"/>
    <w:rsid w:val="00CA495F"/>
    <w:rsid w:val="00CA59C3"/>
    <w:rsid w:val="00CD78AF"/>
    <w:rsid w:val="00CE2735"/>
    <w:rsid w:val="00CE680E"/>
    <w:rsid w:val="00CF4176"/>
    <w:rsid w:val="00CF759C"/>
    <w:rsid w:val="00D04207"/>
    <w:rsid w:val="00D05A67"/>
    <w:rsid w:val="00D075A0"/>
    <w:rsid w:val="00D1096D"/>
    <w:rsid w:val="00D160B9"/>
    <w:rsid w:val="00D27419"/>
    <w:rsid w:val="00D306DD"/>
    <w:rsid w:val="00D349D4"/>
    <w:rsid w:val="00D355BD"/>
    <w:rsid w:val="00D7505E"/>
    <w:rsid w:val="00D76508"/>
    <w:rsid w:val="00D80FBD"/>
    <w:rsid w:val="00D95509"/>
    <w:rsid w:val="00D9639B"/>
    <w:rsid w:val="00DA65A7"/>
    <w:rsid w:val="00DB1B57"/>
    <w:rsid w:val="00DB34AF"/>
    <w:rsid w:val="00DC4E36"/>
    <w:rsid w:val="00DD1976"/>
    <w:rsid w:val="00DE0AB7"/>
    <w:rsid w:val="00E03105"/>
    <w:rsid w:val="00E11CA6"/>
    <w:rsid w:val="00E14565"/>
    <w:rsid w:val="00E20612"/>
    <w:rsid w:val="00E46868"/>
    <w:rsid w:val="00E5569D"/>
    <w:rsid w:val="00E5742F"/>
    <w:rsid w:val="00E636D7"/>
    <w:rsid w:val="00E66E17"/>
    <w:rsid w:val="00E75E2A"/>
    <w:rsid w:val="00E77499"/>
    <w:rsid w:val="00E87A4F"/>
    <w:rsid w:val="00EA1977"/>
    <w:rsid w:val="00EA5ADE"/>
    <w:rsid w:val="00EA752C"/>
    <w:rsid w:val="00EB35C2"/>
    <w:rsid w:val="00EB374E"/>
    <w:rsid w:val="00EB3E6F"/>
    <w:rsid w:val="00EB4FE8"/>
    <w:rsid w:val="00EC7715"/>
    <w:rsid w:val="00ED5560"/>
    <w:rsid w:val="00EF5630"/>
    <w:rsid w:val="00F0300B"/>
    <w:rsid w:val="00F1100F"/>
    <w:rsid w:val="00F118DB"/>
    <w:rsid w:val="00F12DC2"/>
    <w:rsid w:val="00F132A1"/>
    <w:rsid w:val="00F14038"/>
    <w:rsid w:val="00F152DF"/>
    <w:rsid w:val="00F16AFE"/>
    <w:rsid w:val="00F20171"/>
    <w:rsid w:val="00F22CFE"/>
    <w:rsid w:val="00F23AEA"/>
    <w:rsid w:val="00F3085D"/>
    <w:rsid w:val="00F50384"/>
    <w:rsid w:val="00F725E6"/>
    <w:rsid w:val="00F73647"/>
    <w:rsid w:val="00F74C9B"/>
    <w:rsid w:val="00F80112"/>
    <w:rsid w:val="00F81142"/>
    <w:rsid w:val="00F8440A"/>
    <w:rsid w:val="00F91086"/>
    <w:rsid w:val="00F95A9B"/>
    <w:rsid w:val="00F95CFB"/>
    <w:rsid w:val="00FA3586"/>
    <w:rsid w:val="00FB5060"/>
    <w:rsid w:val="00FB7B6F"/>
    <w:rsid w:val="00FD0340"/>
    <w:rsid w:val="00FD66F1"/>
    <w:rsid w:val="00FE7B25"/>
    <w:rsid w:val="00FF0796"/>
    <w:rsid w:val="00FF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BC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F503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F50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08447">
      <w:bodyDiv w:val="1"/>
      <w:marLeft w:val="0"/>
      <w:marRight w:val="0"/>
      <w:marTop w:val="0"/>
      <w:marBottom w:val="0"/>
      <w:divBdr>
        <w:top w:val="none" w:sz="0" w:space="0" w:color="auto"/>
        <w:left w:val="none" w:sz="0" w:space="0" w:color="auto"/>
        <w:bottom w:val="none" w:sz="0" w:space="0" w:color="auto"/>
        <w:right w:val="none" w:sz="0" w:space="0" w:color="auto"/>
      </w:divBdr>
    </w:div>
    <w:div w:id="1271623192">
      <w:bodyDiv w:val="1"/>
      <w:marLeft w:val="0"/>
      <w:marRight w:val="0"/>
      <w:marTop w:val="0"/>
      <w:marBottom w:val="0"/>
      <w:divBdr>
        <w:top w:val="none" w:sz="0" w:space="0" w:color="auto"/>
        <w:left w:val="none" w:sz="0" w:space="0" w:color="auto"/>
        <w:bottom w:val="none" w:sz="0" w:space="0" w:color="auto"/>
        <w:right w:val="none" w:sz="0" w:space="0" w:color="auto"/>
      </w:divBdr>
    </w:div>
    <w:div w:id="1589919473">
      <w:bodyDiv w:val="1"/>
      <w:marLeft w:val="0"/>
      <w:marRight w:val="0"/>
      <w:marTop w:val="0"/>
      <w:marBottom w:val="0"/>
      <w:divBdr>
        <w:top w:val="none" w:sz="0" w:space="0" w:color="auto"/>
        <w:left w:val="none" w:sz="0" w:space="0" w:color="auto"/>
        <w:bottom w:val="none" w:sz="0" w:space="0" w:color="auto"/>
        <w:right w:val="none" w:sz="0" w:space="0" w:color="auto"/>
      </w:divBdr>
    </w:div>
    <w:div w:id="18305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tariff.a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library.ferc.gov/idmws/common/opennat.asp?fileID=13989191" TargetMode="External"/><Relationship Id="rId2" Type="http://schemas.openxmlformats.org/officeDocument/2006/relationships/hyperlink" Target="http://elibrary.ferc.gov/idmws/common/opennat.asp?fileID=13991253" TargetMode="External"/><Relationship Id="rId1" Type="http://schemas.openxmlformats.org/officeDocument/2006/relationships/hyperlink" Target="http://elibrary.ferc.gov/idmws/common/opennat.asp?fileID=13989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ate xmlns="d6eefc7d-9817-4fa6-84d5-3bc009be21b8">2015-09-21T04:00:00+00:00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516</_x0031__x002e__x0020_Collection_x0020_Number>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RM15-24</_x0031__x002e__x0020_Docket_x0020_Number>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4479-0543-455B-A152-110FB41B2830}">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d6eefc7d-9817-4fa6-84d5-3bc009be21b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3.xml><?xml version="1.0" encoding="utf-8"?>
<ds:datastoreItem xmlns:ds="http://schemas.openxmlformats.org/officeDocument/2006/customXml" ds:itemID="{416EAB37-9C6D-45CB-B580-701E57D2C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8B3A1-E140-4B1E-B4D0-D6EE2DAFE1FF}">
  <ds:schemaRefs>
    <ds:schemaRef ds:uri="http://schemas.microsoft.com/office/2006/metadata/customXsn"/>
  </ds:schemaRefs>
</ds:datastoreItem>
</file>

<file path=customXml/itemProps5.xml><?xml version="1.0" encoding="utf-8"?>
<ds:datastoreItem xmlns:ds="http://schemas.openxmlformats.org/officeDocument/2006/customXml" ds:itemID="{E1A5972B-7D26-48F6-8A50-F8A24CA9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9-21-15b_RM15-24 supporting statement</vt:lpstr>
    </vt:vector>
  </TitlesOfParts>
  <Company>FERC</Company>
  <LinksUpToDate>false</LinksUpToDate>
  <CharactersWithSpaces>14886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9-21-15b_RM15-24 supporting statement</dc:title>
  <dc:creator>ferc</dc:creator>
  <cp:lastModifiedBy>Ellen Brown</cp:lastModifiedBy>
  <cp:revision>2</cp:revision>
  <dcterms:created xsi:type="dcterms:W3CDTF">2015-09-21T20:48:00Z</dcterms:created>
  <dcterms:modified xsi:type="dcterms:W3CDTF">2015-09-21T20:48:00Z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