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4CD6" w:rsidRPr="00146F35" w:rsidRDefault="00095C53" w:rsidP="00A7661C">
      <w:pPr>
        <w:tabs>
          <w:tab w:val="center" w:pos="4680"/>
        </w:tabs>
        <w:jc w:val="center"/>
        <w:rPr>
          <w:b/>
          <w:bCs/>
        </w:rPr>
      </w:pPr>
      <w:r w:rsidRPr="00146F35">
        <w:rPr>
          <w:b/>
          <w:bCs/>
        </w:rPr>
        <w:fldChar w:fldCharType="begin"/>
      </w:r>
      <w:r w:rsidR="00CA4CD6" w:rsidRPr="00146F35">
        <w:rPr>
          <w:b/>
          <w:bCs/>
        </w:rPr>
        <w:instrText>tc \l2 "SF</w:instrText>
      </w:r>
      <w:r w:rsidRPr="00146F35">
        <w:rPr>
          <w:b/>
          <w:bCs/>
        </w:rPr>
        <w:fldChar w:fldCharType="end"/>
      </w:r>
      <w:r w:rsidR="00CA4CD6" w:rsidRPr="00146F35">
        <w:rPr>
          <w:b/>
          <w:bCs/>
        </w:rPr>
        <w:t>SUPPORTING STATEMENT</w:t>
      </w:r>
    </w:p>
    <w:p w:rsidR="00CA4CD6" w:rsidRPr="00146F35" w:rsidRDefault="00CA4CD6" w:rsidP="00504745">
      <w:pPr>
        <w:tabs>
          <w:tab w:val="center" w:pos="4680"/>
        </w:tabs>
        <w:outlineLvl w:val="0"/>
      </w:pPr>
      <w:r w:rsidRPr="00146F35">
        <w:rPr>
          <w:b/>
          <w:bCs/>
        </w:rPr>
        <w:tab/>
        <w:t>ENVIRONMENTAL PROTECTION AGENCY</w:t>
      </w:r>
    </w:p>
    <w:p w:rsidR="00CA4CD6" w:rsidRPr="00146F35" w:rsidRDefault="00CA4CD6">
      <w:pPr>
        <w:tabs>
          <w:tab w:val="center" w:pos="4680"/>
        </w:tabs>
      </w:pPr>
      <w:r w:rsidRPr="00146F35">
        <w:tab/>
      </w:r>
    </w:p>
    <w:p w:rsidR="00CA4CD6" w:rsidRPr="00146F35" w:rsidRDefault="004D7D15">
      <w:r w:rsidRPr="00146F35">
        <w:rPr>
          <w:b/>
        </w:rPr>
        <w:t>NESHAP for the Surface Coating of Large Household and Commercial Appliances (40 CFR Part 63, Subpart NNNN)</w:t>
      </w:r>
      <w:r w:rsidR="00AB549D" w:rsidRPr="00146F35">
        <w:rPr>
          <w:b/>
        </w:rPr>
        <w:t xml:space="preserve"> </w:t>
      </w:r>
      <w:r w:rsidRPr="00146F35">
        <w:rPr>
          <w:b/>
        </w:rPr>
        <w:t>(Renewal)</w:t>
      </w:r>
    </w:p>
    <w:p w:rsidR="00CA4CD6" w:rsidRPr="00146F35" w:rsidRDefault="00CA4CD6"/>
    <w:p w:rsidR="00CA4CD6" w:rsidRPr="00146F35" w:rsidRDefault="00CA4CD6" w:rsidP="00504745">
      <w:pPr>
        <w:outlineLvl w:val="0"/>
        <w:rPr>
          <w:b/>
          <w:bCs/>
        </w:rPr>
      </w:pPr>
      <w:r w:rsidRPr="00146F35">
        <w:rPr>
          <w:b/>
          <w:bCs/>
        </w:rPr>
        <w:t>1.  Identification of the Information Collection</w:t>
      </w:r>
    </w:p>
    <w:p w:rsidR="00CA4CD6" w:rsidRPr="00146F35" w:rsidRDefault="00CA4CD6">
      <w:pPr>
        <w:rPr>
          <w:b/>
          <w:bCs/>
        </w:rPr>
      </w:pPr>
    </w:p>
    <w:p w:rsidR="00CA4CD6" w:rsidRPr="00146F35" w:rsidRDefault="00CA4CD6">
      <w:pPr>
        <w:ind w:firstLine="720"/>
        <w:rPr>
          <w:b/>
          <w:bCs/>
        </w:rPr>
      </w:pPr>
      <w:r w:rsidRPr="00146F35">
        <w:rPr>
          <w:b/>
          <w:bCs/>
        </w:rPr>
        <w:t>1(a)  Title of the Information Collection</w:t>
      </w:r>
    </w:p>
    <w:p w:rsidR="00CA4CD6" w:rsidRPr="00146F35" w:rsidRDefault="00CA4CD6">
      <w:pPr>
        <w:rPr>
          <w:b/>
          <w:bCs/>
        </w:rPr>
      </w:pPr>
    </w:p>
    <w:p w:rsidR="00CA4CD6" w:rsidRPr="00146F35" w:rsidRDefault="004D7D15" w:rsidP="002B29A5">
      <w:pPr>
        <w:rPr>
          <w:bCs/>
        </w:rPr>
      </w:pPr>
      <w:r w:rsidRPr="00146F35">
        <w:rPr>
          <w:bCs/>
        </w:rPr>
        <w:t>NESHAP for the Surface Coating of Large Household and Commercial Appliances (40 CFR Part 63, Subpart NNNN)</w:t>
      </w:r>
      <w:r w:rsidR="00AB549D" w:rsidRPr="00146F35">
        <w:rPr>
          <w:bCs/>
        </w:rPr>
        <w:t xml:space="preserve"> (Renewal)</w:t>
      </w:r>
      <w:r w:rsidR="002B29A5" w:rsidRPr="00146F35">
        <w:rPr>
          <w:bCs/>
        </w:rPr>
        <w:t xml:space="preserve">, EPA ICR Number </w:t>
      </w:r>
      <w:r w:rsidRPr="00146F35">
        <w:rPr>
          <w:bCs/>
        </w:rPr>
        <w:t>1954.06</w:t>
      </w:r>
      <w:r w:rsidR="002B29A5" w:rsidRPr="00146F35">
        <w:rPr>
          <w:bCs/>
        </w:rPr>
        <w:t>, OMB Control Number 2060-</w:t>
      </w:r>
      <w:r w:rsidRPr="00146F35">
        <w:rPr>
          <w:bCs/>
        </w:rPr>
        <w:t>0457</w:t>
      </w:r>
      <w:r w:rsidR="002B29A5" w:rsidRPr="00146F35">
        <w:rPr>
          <w:bCs/>
        </w:rPr>
        <w:t xml:space="preserve">. </w:t>
      </w:r>
    </w:p>
    <w:p w:rsidR="00CA4CD6" w:rsidRPr="00146F35" w:rsidRDefault="00CA4CD6">
      <w:pPr>
        <w:rPr>
          <w:b/>
          <w:bCs/>
        </w:rPr>
      </w:pPr>
    </w:p>
    <w:p w:rsidR="00CA4CD6" w:rsidRPr="00146F35" w:rsidRDefault="00CA4CD6">
      <w:pPr>
        <w:ind w:firstLine="720"/>
      </w:pPr>
      <w:r w:rsidRPr="00146F35">
        <w:rPr>
          <w:b/>
          <w:bCs/>
        </w:rPr>
        <w:t>1(b)  Short Characterization/Abstract</w:t>
      </w:r>
    </w:p>
    <w:p w:rsidR="00CA4CD6" w:rsidRPr="00146F35" w:rsidRDefault="00CA4CD6"/>
    <w:p w:rsidR="00CA4CD6" w:rsidRPr="00146F35" w:rsidRDefault="00CA4CD6">
      <w:pPr>
        <w:ind w:firstLine="720"/>
      </w:pPr>
      <w:r w:rsidRPr="00146F35">
        <w:t xml:space="preserve">The National Emission Standards for Hazardous Air Pollutants (NESHAP) for the </w:t>
      </w:r>
      <w:r w:rsidR="004D7D15" w:rsidRPr="00146F35">
        <w:t xml:space="preserve">NESHAP for the Surface Coating of Large Household and Commercial Appliances </w:t>
      </w:r>
      <w:r w:rsidRPr="00146F35">
        <w:t xml:space="preserve">were proposed on </w:t>
      </w:r>
      <w:r w:rsidR="004D7D15" w:rsidRPr="00146F35">
        <w:t>December 22, 2000</w:t>
      </w:r>
      <w:r w:rsidRPr="00146F35">
        <w:t xml:space="preserve"> and promulgated on </w:t>
      </w:r>
      <w:r w:rsidR="004D7D15" w:rsidRPr="00146F35">
        <w:t>July 23, 2002</w:t>
      </w:r>
      <w:r w:rsidRPr="00146F35">
        <w:t xml:space="preserve">.  These regulations apply </w:t>
      </w:r>
      <w:r w:rsidR="00724BC7" w:rsidRPr="00146F35">
        <w:t xml:space="preserve">to existing and new </w:t>
      </w:r>
      <w:r w:rsidR="00AB4816">
        <w:t xml:space="preserve">facilities </w:t>
      </w:r>
      <w:r w:rsidR="004D7D15" w:rsidRPr="00146F35">
        <w:t>that perform surface coating of large household and commercial appliances and related parts where the total Hazardous Air Pollutants (HAPs) emitted are greater than or equal to 10 tons per year of any one HAP, or where the total HAPs emitted are greater than or equal to 25 tons per year of any combination of HAPs</w:t>
      </w:r>
      <w:r w:rsidRPr="00146F35">
        <w:t>.  New facilities include those that commenced construction</w:t>
      </w:r>
      <w:r w:rsidR="004D7D15" w:rsidRPr="00146F35">
        <w:t xml:space="preserve"> </w:t>
      </w:r>
      <w:r w:rsidRPr="00146F35">
        <w:t xml:space="preserve">or reconstruction after the date of proposal.  This information is being collected to assure compliance with 40 CFR </w:t>
      </w:r>
      <w:r w:rsidR="006810C3" w:rsidRPr="00146F35">
        <w:t xml:space="preserve">Part </w:t>
      </w:r>
      <w:r w:rsidRPr="00146F35">
        <w:t xml:space="preserve">63, </w:t>
      </w:r>
      <w:r w:rsidR="006810C3" w:rsidRPr="00146F35">
        <w:t xml:space="preserve">Subpart </w:t>
      </w:r>
      <w:r w:rsidR="004D7D15" w:rsidRPr="00146F35">
        <w:t>NNNN</w:t>
      </w:r>
      <w:r w:rsidRPr="00146F35">
        <w:t>.</w:t>
      </w:r>
    </w:p>
    <w:p w:rsidR="00CA4CD6" w:rsidRPr="00146F35" w:rsidRDefault="00CA4CD6"/>
    <w:p w:rsidR="00CA4CD6" w:rsidRPr="00146F35" w:rsidRDefault="00CA4CD6">
      <w:pPr>
        <w:ind w:firstLine="720"/>
      </w:pPr>
      <w:r w:rsidRPr="00146F35">
        <w:t>In general, all NESHAP</w:t>
      </w:r>
      <w:r w:rsidR="004D7D15" w:rsidRPr="00146F35">
        <w:t xml:space="preserve"> </w:t>
      </w:r>
      <w:r w:rsidRPr="00146F35">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CA4CD6" w:rsidRPr="00146F35" w:rsidRDefault="00CA4CD6"/>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  Based on our consultations with ind</w:t>
      </w:r>
      <w:r w:rsidR="0080374F">
        <w:t>ustry representatives, there is</w:t>
      </w:r>
      <w:r w:rsidRPr="00146F35">
        <w:t xml:space="preserve"> an average of </w:t>
      </w:r>
      <w:r w:rsidR="004D7D15" w:rsidRPr="00146F35">
        <w:t>one</w:t>
      </w:r>
      <w:r w:rsidRPr="00146F35">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pPr>
    </w:p>
    <w:p w:rsidR="0049607B" w:rsidRDefault="0049607B" w:rsidP="0049607B">
      <w:pPr>
        <w:pBdr>
          <w:top w:val="single" w:sz="6" w:space="0" w:color="FFFFFF"/>
          <w:left w:val="single" w:sz="6" w:space="0" w:color="FFFFFF"/>
          <w:bottom w:val="single" w:sz="6" w:space="0" w:color="FFFFFF"/>
          <w:right w:val="single" w:sz="6" w:space="0" w:color="FFFFFF"/>
        </w:pBdr>
        <w:ind w:firstLine="720"/>
      </w:pPr>
      <w:r w:rsidRPr="00146F35">
        <w:t xml:space="preserve">All of the large household and commercial appliance surface coating facilities in the United States are owned and operated by the </w:t>
      </w:r>
      <w:r>
        <w:t>private</w:t>
      </w:r>
      <w:r w:rsidRPr="00146F35">
        <w:t xml:space="preserve"> industry (the “Affected Public”).  None of the facilities in the United States are owned by state, local, tribal or the Federal government.  They are all privately owned, for-profit businesses. The burden to the “Affected Public” may be found in Table 1: Annual Respondent Burden and Cost – </w:t>
      </w:r>
      <w:r w:rsidRPr="00146F35">
        <w:rPr>
          <w:bCs/>
        </w:rPr>
        <w:t xml:space="preserve">NESHAP for the Surface Coating of </w:t>
      </w:r>
      <w:r w:rsidRPr="00146F35">
        <w:rPr>
          <w:bCs/>
        </w:rPr>
        <w:lastRenderedPageBreak/>
        <w:t>Large Household and Commercial Appliances (40 CFR Part 63, Subpart NNNN)</w:t>
      </w:r>
      <w:r w:rsidRPr="00146F35" w:rsidDel="00AB549D">
        <w:t xml:space="preserve"> </w:t>
      </w:r>
      <w:r w:rsidRPr="00146F35">
        <w:t xml:space="preserve">(Renewal).  The burden to the “Federal Government” is attributed entirely to work performed by federal employees or government contractors and can be found in Table 2: Average Annual EPA Burden and Cost – </w:t>
      </w:r>
      <w:r w:rsidRPr="00146F35">
        <w:rPr>
          <w:bCs/>
        </w:rPr>
        <w:t>NESHAP for the Surface Coating of Large Household and Commercial Appliances (40 CFR Part 63, Subpart NNNN)</w:t>
      </w:r>
      <w:r w:rsidRPr="00146F35" w:rsidDel="00AB549D">
        <w:t xml:space="preserve"> </w:t>
      </w:r>
      <w:r w:rsidRPr="00146F35">
        <w:t>(Renewal).</w:t>
      </w:r>
    </w:p>
    <w:p w:rsidR="0049607B" w:rsidRPr="00146F35" w:rsidRDefault="0049607B" w:rsidP="0049607B">
      <w:pPr>
        <w:pBdr>
          <w:top w:val="single" w:sz="6" w:space="0" w:color="FFFFFF"/>
          <w:left w:val="single" w:sz="6" w:space="0" w:color="FFFFFF"/>
          <w:bottom w:val="single" w:sz="6" w:space="0" w:color="FFFFFF"/>
          <w:right w:val="single" w:sz="6" w:space="0" w:color="FFFFFF"/>
        </w:pBdr>
        <w:ind w:firstLine="720"/>
      </w:pPr>
    </w:p>
    <w:p w:rsidR="00CA4CD6" w:rsidRPr="00146F35" w:rsidRDefault="00E10DA7">
      <w:pPr>
        <w:pBdr>
          <w:top w:val="single" w:sz="6" w:space="0" w:color="FFFFFF"/>
          <w:left w:val="single" w:sz="6" w:space="0" w:color="FFFFFF"/>
          <w:bottom w:val="single" w:sz="6" w:space="0" w:color="FFFFFF"/>
          <w:right w:val="single" w:sz="6" w:space="0" w:color="FFFFFF"/>
        </w:pBdr>
        <w:ind w:firstLine="720"/>
      </w:pPr>
      <w:r w:rsidRPr="00146F35">
        <w:t xml:space="preserve">Over the next three years, </w:t>
      </w:r>
      <w:r w:rsidR="0049607B">
        <w:t xml:space="preserve">approximately </w:t>
      </w:r>
      <w:r w:rsidR="00D077F6" w:rsidRPr="00146F35">
        <w:t>114</w:t>
      </w:r>
      <w:r w:rsidR="004D7D15" w:rsidRPr="00146F35">
        <w:t xml:space="preserve"> </w:t>
      </w:r>
      <w:r w:rsidR="00CA4CD6" w:rsidRPr="00146F35">
        <w:t xml:space="preserve">respondents </w:t>
      </w:r>
      <w:r w:rsidRPr="00146F35">
        <w:t>per year will be subject to the standard</w:t>
      </w:r>
      <w:r w:rsidR="00CA4CD6" w:rsidRPr="00146F35">
        <w:t xml:space="preserve">, and </w:t>
      </w:r>
      <w:r w:rsidR="004D7D15" w:rsidRPr="00146F35">
        <w:t>four</w:t>
      </w:r>
      <w:r w:rsidR="00CA4CD6" w:rsidRPr="00146F35">
        <w:t xml:space="preserve"> </w:t>
      </w:r>
      <w:r w:rsidRPr="00146F35">
        <w:t xml:space="preserve">additional </w:t>
      </w:r>
      <w:r w:rsidR="00CA4CD6" w:rsidRPr="00146F35">
        <w:t xml:space="preserve">respondents </w:t>
      </w:r>
      <w:r w:rsidRPr="00146F35">
        <w:t xml:space="preserve">per year </w:t>
      </w:r>
      <w:r w:rsidR="00CA4CD6" w:rsidRPr="00146F35">
        <w:t xml:space="preserve">will become subject to the </w:t>
      </w:r>
      <w:r w:rsidRPr="00146F35">
        <w:t xml:space="preserve">standard.  </w:t>
      </w:r>
      <w:r w:rsidR="00AB4816">
        <w:t xml:space="preserve">The estimate is based on the industry growth rate developed during previous renewals.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AB549D" w:rsidP="0049607B">
      <w:pPr>
        <w:pBdr>
          <w:top w:val="single" w:sz="6" w:space="0" w:color="FFFFFF"/>
          <w:left w:val="single" w:sz="6" w:space="0" w:color="FFFFFF"/>
          <w:bottom w:val="single" w:sz="6" w:space="0" w:color="FFFFFF"/>
          <w:right w:val="single" w:sz="6" w:space="0" w:color="FFFFFF"/>
        </w:pBdr>
        <w:ind w:firstLine="720"/>
      </w:pPr>
      <w:r w:rsidRPr="00146F35">
        <w:t>The Office of Management and Budget</w:t>
      </w:r>
      <w:r w:rsidR="00CA4CD6" w:rsidRPr="00146F35">
        <w:t xml:space="preserve"> </w:t>
      </w:r>
      <w:r w:rsidRPr="00146F35">
        <w:t>(</w:t>
      </w:r>
      <w:r w:rsidR="00CA4CD6" w:rsidRPr="00146F35">
        <w:t>OMB</w:t>
      </w:r>
      <w:r w:rsidRPr="00146F35">
        <w:t>)</w:t>
      </w:r>
      <w:r w:rsidR="00CA4CD6" w:rsidRPr="00146F35">
        <w:t xml:space="preserve"> approved the currently active ICR without any Terms of Clearance.</w:t>
      </w:r>
      <w:r w:rsidR="002B29A5" w:rsidRPr="00146F35">
        <w:t xml:space="preserve"> </w:t>
      </w:r>
    </w:p>
    <w:p w:rsidR="002B29A5" w:rsidRPr="00146F35" w:rsidRDefault="002B29A5" w:rsidP="002B29A5"/>
    <w:p w:rsidR="00CA4CD6" w:rsidRPr="00146F35" w:rsidRDefault="00CA4CD6" w:rsidP="00504745">
      <w:pPr>
        <w:pBdr>
          <w:top w:val="single" w:sz="6" w:space="0" w:color="FFFFFF"/>
          <w:left w:val="single" w:sz="6" w:space="0" w:color="FFFFFF"/>
          <w:bottom w:val="single" w:sz="6" w:space="0" w:color="FFFFFF"/>
          <w:right w:val="single" w:sz="6" w:space="0" w:color="FFFFFF"/>
        </w:pBdr>
        <w:outlineLvl w:val="0"/>
      </w:pPr>
      <w:r w:rsidRPr="00146F35">
        <w:rPr>
          <w:b/>
          <w:bCs/>
        </w:rPr>
        <w:t>2.  Need for and Use of the Collection</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rPr>
          <w:b/>
          <w:bCs/>
        </w:rPr>
      </w:pPr>
      <w:r w:rsidRPr="00146F35">
        <w:rPr>
          <w:b/>
          <w:bCs/>
        </w:rPr>
        <w:t>2(a)  Need/Authority for the Collection</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AB549D" w:rsidRPr="00146F35">
        <w:t xml:space="preserve"> </w:t>
      </w:r>
      <w:r w:rsidRPr="00146F35">
        <w:t xml:space="preserve">In addition, section 114(a) states that the Administrator may require any owner/operator subject to any requirement of this Act to: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left="1440" w:right="1440"/>
      </w:pPr>
      <w:r w:rsidRPr="00146F3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In the Administrator's judgment, </w:t>
      </w:r>
      <w:r w:rsidR="00AB549D" w:rsidRPr="00146F35">
        <w:t xml:space="preserve">HAP </w:t>
      </w:r>
      <w:r w:rsidRPr="00146F35">
        <w:t xml:space="preserve">emissions from </w:t>
      </w:r>
      <w:r w:rsidR="00AB549D" w:rsidRPr="00146F35">
        <w:t>household and commercial appliance surface coating facilities</w:t>
      </w:r>
      <w:r w:rsidR="00AB549D" w:rsidRPr="00146F35" w:rsidDel="00AB549D">
        <w:t xml:space="preserve"> </w:t>
      </w:r>
      <w:r w:rsidRPr="00146F35">
        <w:t>cause or contribute to air pollution that may reasonably be anticipated to endanger public health or welfare.  Therefore, the NESHAP</w:t>
      </w:r>
      <w:r w:rsidR="0080374F">
        <w:t xml:space="preserve"> </w:t>
      </w:r>
      <w:r w:rsidRPr="00146F35">
        <w:t>w</w:t>
      </w:r>
      <w:r w:rsidR="0080374F">
        <w:t>as</w:t>
      </w:r>
      <w:r w:rsidRPr="00146F35">
        <w:t xml:space="preserve"> promulgated for this source category at 40 CFR </w:t>
      </w:r>
      <w:r w:rsidR="006810C3" w:rsidRPr="00146F35">
        <w:t xml:space="preserve">Part </w:t>
      </w:r>
      <w:r w:rsidRPr="00146F35">
        <w:t>63,</w:t>
      </w:r>
      <w:r w:rsidRPr="00146F35">
        <w:rPr>
          <w:b/>
          <w:bCs/>
          <w:i/>
          <w:iCs/>
        </w:rPr>
        <w:t xml:space="preserve"> </w:t>
      </w:r>
      <w:r w:rsidR="006810C3" w:rsidRPr="00146F35">
        <w:t xml:space="preserve">Subpart </w:t>
      </w:r>
      <w:r w:rsidR="00AB549D" w:rsidRPr="00146F35">
        <w:t>NNNN</w:t>
      </w:r>
      <w:r w:rsidRPr="00146F35">
        <w:t>.</w:t>
      </w:r>
    </w:p>
    <w:p w:rsidR="00CA4CD6" w:rsidRPr="00146F35" w:rsidRDefault="00CA4CD6">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2(b)  Practical Utility/Users of the Data</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recordkeeping and reporting requirements in the standard ensure compliance with the</w:t>
      </w:r>
      <w:r w:rsidR="00BC11E9" w:rsidRPr="00146F35">
        <w:t xml:space="preserve"> applicable regulations which w</w:t>
      </w:r>
      <w:r w:rsidRPr="00146F35">
        <w:t xml:space="preserve">ere promulgated in accordance with the Clean Air Act.  The </w:t>
      </w:r>
      <w:r w:rsidRPr="00146F35">
        <w:lastRenderedPageBreak/>
        <w:t>collected information is also used for targeting inspections and as evidence in legal proceedings.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Performance tests are required in order to determine an affected facility</w:t>
      </w:r>
      <w:r w:rsidR="00724BC7" w:rsidRPr="00146F35">
        <w:t>’</w:t>
      </w:r>
      <w:r w:rsidRPr="00146F35">
        <w:t xml:space="preserve">s initial capability to comply with the emission standard. Continuous emission monitors are used to ensure compliance with the standard at all times.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AB549D" w:rsidRPr="00146F35">
        <w:t>,</w:t>
      </w:r>
      <w:r w:rsidRPr="00146F35">
        <w:t xml:space="preserve"> leaks are being detected and repaired</w:t>
      </w:r>
      <w:r w:rsidR="00AB549D" w:rsidRPr="00146F35">
        <w:t>,</w:t>
      </w:r>
      <w:r w:rsidRPr="00146F35">
        <w:t xml:space="preserve"> and the standard </w:t>
      </w:r>
      <w:r w:rsidR="00AB549D" w:rsidRPr="00146F35">
        <w:t xml:space="preserve">is </w:t>
      </w:r>
      <w:r w:rsidRPr="00146F35">
        <w:t>being met.  The performance test may also be observed.</w:t>
      </w:r>
    </w:p>
    <w:p w:rsidR="00CA4CD6" w:rsidRPr="00146F35" w:rsidRDefault="00CA4CD6">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required semiannual reports are used to determine periods of excess emissions, identify problems at the facility, verify operation/maintenance procedures and for compliance determinations.</w:t>
      </w:r>
    </w:p>
    <w:p w:rsidR="00606DEF" w:rsidRPr="00146F35" w:rsidRDefault="00606DEF">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146F35">
        <w:rPr>
          <w:b/>
          <w:bCs/>
        </w:rPr>
        <w:t>3.  Nonduplication, Consultations, and Other Collection Criteria</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rPr>
          <w:b/>
          <w:bCs/>
        </w:rPr>
      </w:pPr>
      <w:r w:rsidRPr="00146F35">
        <w:t>The requested recordkeeping an</w:t>
      </w:r>
      <w:r w:rsidR="003F1AFC" w:rsidRPr="00146F35">
        <w:t xml:space="preserve">d reporting are required under </w:t>
      </w:r>
      <w:r w:rsidRPr="00146F35">
        <w:t xml:space="preserve">40 CFR </w:t>
      </w:r>
      <w:r w:rsidR="006810C3" w:rsidRPr="00146F35">
        <w:t xml:space="preserve">Part </w:t>
      </w:r>
      <w:r w:rsidRPr="00146F35">
        <w:t xml:space="preserve">63, </w:t>
      </w:r>
      <w:r w:rsidR="006810C3" w:rsidRPr="00146F35">
        <w:t>Subpart</w:t>
      </w:r>
      <w:r w:rsidR="003F1AFC" w:rsidRPr="00146F35">
        <w:t xml:space="preserve"> </w:t>
      </w:r>
      <w:r w:rsidR="00AB549D" w:rsidRPr="00146F35">
        <w:t>NNNN</w:t>
      </w:r>
      <w:r w:rsidRPr="00146F35">
        <w:t>.</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3(a)  Nonduplication</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3(b)  Public Notice Required Prior to ICR Submission to OMB</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An announcement of a public comment period for the renewal of this ICR was published in the </w:t>
      </w:r>
      <w:r w:rsidRPr="00146F35">
        <w:rPr>
          <w:u w:val="single"/>
        </w:rPr>
        <w:t>Federal Register</w:t>
      </w:r>
      <w:r w:rsidRPr="00146F35">
        <w:t xml:space="preserve"> (</w:t>
      </w:r>
      <w:r w:rsidR="004D7D15" w:rsidRPr="00146F35">
        <w:t>79</w:t>
      </w:r>
      <w:r w:rsidRPr="00146F35">
        <w:t xml:space="preserve"> </w:t>
      </w:r>
      <w:r w:rsidRPr="00146F35">
        <w:rPr>
          <w:u w:val="single"/>
        </w:rPr>
        <w:t>FR</w:t>
      </w:r>
      <w:r w:rsidRPr="00146F35">
        <w:t xml:space="preserve"> </w:t>
      </w:r>
      <w:r w:rsidR="004D7D15" w:rsidRPr="00146F35">
        <w:t>30117</w:t>
      </w:r>
      <w:r w:rsidRPr="00146F35">
        <w:t xml:space="preserve">) on </w:t>
      </w:r>
      <w:r w:rsidR="004D7D15" w:rsidRPr="00146F35">
        <w:t>May 27, 2014</w:t>
      </w:r>
      <w:r w:rsidRPr="00146F35">
        <w:t xml:space="preserve">. No comments were received on the burden published in the </w:t>
      </w:r>
      <w:r w:rsidRPr="00146F35">
        <w:rPr>
          <w:u w:val="single"/>
        </w:rPr>
        <w:t>Federal Register</w:t>
      </w:r>
      <w:r w:rsidRPr="00146F35">
        <w:t xml:space="preserve">. </w:t>
      </w:r>
    </w:p>
    <w:p w:rsidR="00CA4CD6" w:rsidRPr="00146F35" w:rsidRDefault="00CA4CD6">
      <w:pPr>
        <w:pBdr>
          <w:top w:val="single" w:sz="6" w:space="0" w:color="FFFFFF"/>
          <w:left w:val="single" w:sz="6" w:space="0" w:color="FFFFFF"/>
          <w:bottom w:val="single" w:sz="6" w:space="0" w:color="FFFFFF"/>
          <w:right w:val="single" w:sz="6" w:space="0" w:color="FFFFFF"/>
        </w:pBdr>
      </w:pPr>
    </w:p>
    <w:p w:rsidR="00123889" w:rsidRPr="00146F35" w:rsidRDefault="00123889" w:rsidP="00123889">
      <w:pPr>
        <w:pBdr>
          <w:top w:val="single" w:sz="6" w:space="0" w:color="FFFFFF"/>
          <w:left w:val="single" w:sz="6" w:space="0" w:color="FFFFFF"/>
          <w:bottom w:val="single" w:sz="6" w:space="0" w:color="FFFFFF"/>
          <w:right w:val="single" w:sz="6" w:space="0" w:color="FFFFFF"/>
        </w:pBdr>
        <w:ind w:firstLine="720"/>
      </w:pPr>
      <w:r w:rsidRPr="00146F35">
        <w:rPr>
          <w:b/>
          <w:bCs/>
        </w:rPr>
        <w:t>3(c)  Consultations</w:t>
      </w:r>
    </w:p>
    <w:p w:rsidR="004B1F6C" w:rsidRPr="00146F35" w:rsidRDefault="004B1F6C">
      <w:pPr>
        <w:pBdr>
          <w:top w:val="single" w:sz="6" w:space="0" w:color="FFFFFF"/>
          <w:left w:val="single" w:sz="6" w:space="0" w:color="FFFFFF"/>
          <w:bottom w:val="single" w:sz="6" w:space="0" w:color="FFFFFF"/>
          <w:right w:val="single" w:sz="6" w:space="0" w:color="FFFFFF"/>
        </w:pBdr>
      </w:pPr>
    </w:p>
    <w:p w:rsidR="004B1F6C" w:rsidRPr="00146F35" w:rsidRDefault="002B6993">
      <w:pPr>
        <w:widowControl/>
        <w:ind w:firstLine="720"/>
      </w:pPr>
      <w:r w:rsidRPr="00146F35">
        <w:t>The Agency has consulted i</w:t>
      </w:r>
      <w:r w:rsidR="00E25DB6" w:rsidRPr="00146F35">
        <w:rPr>
          <w:bCs/>
        </w:rPr>
        <w:t xml:space="preserve">ndustry experts and internal data sources </w:t>
      </w:r>
      <w:r w:rsidRPr="00146F35">
        <w:rPr>
          <w:bCs/>
        </w:rPr>
        <w:t xml:space="preserve">to </w:t>
      </w:r>
      <w:r w:rsidR="00E25DB6" w:rsidRPr="00146F35">
        <w:rPr>
          <w:bCs/>
        </w:rPr>
        <w:t>project</w:t>
      </w:r>
      <w:r w:rsidRPr="00146F35">
        <w:rPr>
          <w:bCs/>
        </w:rPr>
        <w:t xml:space="preserve"> the number of affected facilities and </w:t>
      </w:r>
      <w:r w:rsidR="00E25DB6" w:rsidRPr="00146F35">
        <w:rPr>
          <w:bCs/>
        </w:rPr>
        <w:t>industry growth over the next three years.</w:t>
      </w:r>
      <w:r w:rsidR="00E25DB6" w:rsidRPr="00146F35">
        <w:rPr>
          <w:b/>
          <w:bCs/>
        </w:rPr>
        <w:t xml:space="preserve">  </w:t>
      </w:r>
      <w:r w:rsidR="00277F42" w:rsidRPr="00146F35">
        <w:t xml:space="preserve">The primary source of information as reported by industry, in compliance with the recordkeeping and reporting provisions in the standard, is </w:t>
      </w:r>
      <w:r w:rsidR="0036229C" w:rsidRPr="00146F35">
        <w:t xml:space="preserve">Enforcement and Compliance History Online (ECHO), </w:t>
      </w:r>
      <w:r w:rsidR="00277F42" w:rsidRPr="00146F35">
        <w:t xml:space="preserve">which is operated and maintained by EPA's Office of Compliance.  </w:t>
      </w:r>
      <w:r w:rsidR="0036229C" w:rsidRPr="00146F35">
        <w:t>ECHO</w:t>
      </w:r>
      <w:r w:rsidR="00277F42" w:rsidRPr="00146F35">
        <w:t xml:space="preserve"> is EPA</w:t>
      </w:r>
      <w:r w:rsidR="00560AD2" w:rsidRPr="00146F35">
        <w:t>’</w:t>
      </w:r>
      <w:r w:rsidR="00277F42" w:rsidRPr="00146F35">
        <w:t xml:space="preserve">s database for the collection, maintenance, and retrieval of all compliance data.  The growth rate for the industry is based on our consultations with the Agency’s internal industry experts. </w:t>
      </w:r>
    </w:p>
    <w:p w:rsidR="00277F42" w:rsidRPr="00146F35" w:rsidRDefault="00277F42" w:rsidP="00277F42"/>
    <w:p w:rsidR="00AB549D" w:rsidRPr="00146F35" w:rsidDel="006F6808" w:rsidRDefault="0029006A" w:rsidP="00AB549D">
      <w:pPr>
        <w:ind w:firstLine="720"/>
      </w:pPr>
      <w:r w:rsidRPr="00146F35">
        <w:t>I</w:t>
      </w:r>
      <w:r w:rsidR="00123889" w:rsidRPr="00146F35">
        <w:t>ndustry trade association</w:t>
      </w:r>
      <w:r w:rsidR="00AB549D" w:rsidRPr="00146F35">
        <w:t>s</w:t>
      </w:r>
      <w:r w:rsidR="00123889" w:rsidRPr="00146F35">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AB549D" w:rsidRPr="00146F35" w:rsidDel="006F6808">
        <w:t xml:space="preserve"> In developing this ICR, we contacted </w:t>
      </w:r>
      <w:r w:rsidR="0080374F" w:rsidRPr="00146F35" w:rsidDel="006F6808">
        <w:t>the</w:t>
      </w:r>
      <w:r w:rsidR="00AB549D" w:rsidRPr="00146F35" w:rsidDel="006F6808">
        <w:t xml:space="preserve"> </w:t>
      </w:r>
      <w:r w:rsidR="00146F35" w:rsidRPr="00146F35">
        <w:t xml:space="preserve">Association of Home Appliance Manufacturers </w:t>
      </w:r>
      <w:r w:rsidR="00AB549D" w:rsidRPr="00146F35" w:rsidDel="006F6808">
        <w:t xml:space="preserve">at </w:t>
      </w:r>
      <w:r w:rsidR="00146F35" w:rsidRPr="00146F35">
        <w:t>(202) 872-5955</w:t>
      </w:r>
      <w:r w:rsidR="00AB549D" w:rsidRPr="00146F35" w:rsidDel="006F6808">
        <w:t xml:space="preserve"> and the </w:t>
      </w:r>
      <w:r w:rsidR="00146F35" w:rsidRPr="00146F35">
        <w:t>Air-Conditioning, Heating, and Refrigeration Institute</w:t>
      </w:r>
      <w:r w:rsidR="00AB549D" w:rsidRPr="00146F35" w:rsidDel="006F6808">
        <w:t xml:space="preserve"> at </w:t>
      </w:r>
      <w:r w:rsidR="00146F35" w:rsidRPr="00146F35">
        <w:t>(703) 524-8800</w:t>
      </w:r>
      <w:r w:rsidR="00AB549D" w:rsidRPr="00146F35" w:rsidDel="006F6808">
        <w:t>.</w:t>
      </w:r>
    </w:p>
    <w:p w:rsidR="00277F42" w:rsidRPr="00146F35" w:rsidRDefault="00277F42" w:rsidP="00123889"/>
    <w:p w:rsidR="004B1F6C" w:rsidRPr="00146F35" w:rsidRDefault="00D42D52">
      <w:pPr>
        <w:widowControl/>
        <w:ind w:firstLine="720"/>
      </w:pPr>
      <w:r w:rsidRPr="00146F35">
        <w:rPr>
          <w:bCs/>
        </w:rPr>
        <w:t xml:space="preserve">It is our policy to respond after a thorough review of comments received since the last ICR renewal as well as those submitted in response to the </w:t>
      </w:r>
      <w:r w:rsidR="005253D4" w:rsidRPr="00146F35">
        <w:rPr>
          <w:bCs/>
        </w:rPr>
        <w:t>f</w:t>
      </w:r>
      <w:r w:rsidRPr="00146F35">
        <w:rPr>
          <w:bCs/>
        </w:rPr>
        <w:t xml:space="preserve">irst </w:t>
      </w:r>
      <w:r w:rsidRPr="00146F35">
        <w:rPr>
          <w:bCs/>
          <w:u w:val="single"/>
        </w:rPr>
        <w:t>Federal Register</w:t>
      </w:r>
      <w:r w:rsidRPr="00146F35">
        <w:rPr>
          <w:bCs/>
        </w:rPr>
        <w:t xml:space="preserve"> </w:t>
      </w:r>
      <w:r w:rsidR="005253D4" w:rsidRPr="00146F35">
        <w:rPr>
          <w:bCs/>
        </w:rPr>
        <w:t>n</w:t>
      </w:r>
      <w:r w:rsidRPr="00146F35">
        <w:rPr>
          <w:bCs/>
        </w:rPr>
        <w:t xml:space="preserve">otice.  </w:t>
      </w:r>
      <w:r w:rsidR="0029006A" w:rsidRPr="00146F35">
        <w:t>In this case, no comments were received</w:t>
      </w:r>
      <w:r w:rsidR="00AB549D" w:rsidRPr="00146F35">
        <w:t>.</w:t>
      </w:r>
      <w:r w:rsidR="0029006A" w:rsidRPr="00146F35">
        <w:t xml:space="preserve"> </w:t>
      </w:r>
    </w:p>
    <w:p w:rsidR="00123889" w:rsidRPr="00146F35" w:rsidRDefault="00123889">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3(d)  Effects of Less Frequent Collection</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146F35">
        <w:t xml:space="preserve">the proper </w:t>
      </w:r>
      <w:r w:rsidRPr="00146F35">
        <w:t xml:space="preserve">operation and maintenance of control equipment </w:t>
      </w:r>
      <w:r w:rsidR="002C1F95" w:rsidRPr="00146F35">
        <w:t>and the possibility of detecting violations would be less likely.</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3(e)  General Guidelines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101B40">
      <w:pPr>
        <w:pBdr>
          <w:top w:val="single" w:sz="6" w:space="0" w:color="FFFFFF"/>
          <w:left w:val="single" w:sz="6" w:space="0" w:color="FFFFFF"/>
          <w:bottom w:val="single" w:sz="6" w:space="0" w:color="FFFFFF"/>
          <w:right w:val="single" w:sz="6" w:space="0" w:color="FFFFFF"/>
        </w:pBdr>
        <w:ind w:firstLine="720"/>
      </w:pPr>
      <w:r w:rsidRPr="00146F35">
        <w:t>T</w:t>
      </w:r>
      <w:r w:rsidR="00CA4CD6" w:rsidRPr="00146F35">
        <w:t xml:space="preserve">hese reporting or recordkeeping requirements </w:t>
      </w:r>
      <w:r w:rsidRPr="00146F35">
        <w:t xml:space="preserve">do not </w:t>
      </w:r>
      <w:r w:rsidR="00CA4CD6" w:rsidRPr="00146F35">
        <w:t xml:space="preserve">violate any of the regulations </w:t>
      </w:r>
      <w:r w:rsidR="00206932" w:rsidRPr="00146F35">
        <w:t>promulgated by</w:t>
      </w:r>
      <w:r w:rsidRPr="00146F35">
        <w:t xml:space="preserve"> </w:t>
      </w:r>
      <w:r w:rsidR="00CA4CD6" w:rsidRPr="00146F35">
        <w:t xml:space="preserve">OMB </w:t>
      </w:r>
      <w:r w:rsidRPr="00146F35">
        <w:t>under</w:t>
      </w:r>
      <w:r w:rsidR="00CA4CD6" w:rsidRPr="00146F35">
        <w:t xml:space="preserve"> 5 CFR </w:t>
      </w:r>
      <w:r w:rsidR="003B384B" w:rsidRPr="00146F35">
        <w:t xml:space="preserve">Part </w:t>
      </w:r>
      <w:r w:rsidR="00CA4CD6" w:rsidRPr="00146F35">
        <w:t xml:space="preserve">1320, </w:t>
      </w:r>
      <w:r w:rsidR="003B384B" w:rsidRPr="00146F35">
        <w:t xml:space="preserve">Section </w:t>
      </w:r>
      <w:r w:rsidR="00CA4CD6" w:rsidRPr="00146F35">
        <w:t>1320.5.</w:t>
      </w:r>
    </w:p>
    <w:p w:rsidR="00CA4CD6" w:rsidRPr="00146F35" w:rsidRDefault="00CA4CD6">
      <w:pPr>
        <w:pBdr>
          <w:top w:val="single" w:sz="6" w:space="0" w:color="FFFFFF"/>
          <w:left w:val="single" w:sz="6" w:space="0" w:color="FFFFFF"/>
          <w:bottom w:val="single" w:sz="6" w:space="0" w:color="FFFFFF"/>
          <w:right w:val="single" w:sz="6" w:space="0" w:color="FFFFFF"/>
        </w:pBdr>
      </w:pPr>
    </w:p>
    <w:p w:rsidR="00D0664A" w:rsidRPr="00146F35" w:rsidRDefault="00AB549D" w:rsidP="003E2595">
      <w:pPr>
        <w:pBdr>
          <w:top w:val="single" w:sz="6" w:space="0" w:color="FFFFFF"/>
          <w:left w:val="single" w:sz="6" w:space="0" w:color="FFFFFF"/>
          <w:bottom w:val="single" w:sz="6" w:space="0" w:color="FFFFFF"/>
          <w:right w:val="single" w:sz="6" w:space="0" w:color="FFFFFF"/>
        </w:pBdr>
      </w:pPr>
      <w:r w:rsidRPr="00146F35">
        <w:tab/>
      </w:r>
      <w:r w:rsidR="00CA4CD6" w:rsidRPr="00146F35">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F20584" w:rsidRPr="00146F35">
        <w:t xml:space="preserve">with </w:t>
      </w:r>
      <w:r w:rsidR="00CA4CD6" w:rsidRPr="00146F35">
        <w:t xml:space="preserve">the Part 70 permit program and the five year statute of limitations on which the permit program is based.  </w:t>
      </w:r>
      <w:r w:rsidR="005F42F8" w:rsidRPr="00146F35">
        <w:t>T</w:t>
      </w:r>
      <w:r w:rsidR="00CA4CD6" w:rsidRPr="00146F35">
        <w:t>he retention of records for five years allow</w:t>
      </w:r>
      <w:r w:rsidR="005F42F8" w:rsidRPr="00146F35">
        <w:t>s</w:t>
      </w:r>
      <w:r w:rsidR="00CA4CD6" w:rsidRPr="00146F35">
        <w:t xml:space="preserve"> EPA to establish the compliance history of a source</w:t>
      </w:r>
      <w:r w:rsidR="005F42F8" w:rsidRPr="00146F35">
        <w:t xml:space="preserve">, </w:t>
      </w:r>
      <w:r w:rsidR="00CA4CD6" w:rsidRPr="00146F35">
        <w:t xml:space="preserve">any pattern of </w:t>
      </w:r>
      <w:r w:rsidR="005F42F8" w:rsidRPr="00146F35">
        <w:t>non-</w:t>
      </w:r>
      <w:r w:rsidR="00CA4CD6" w:rsidRPr="00146F35">
        <w:t>compliance</w:t>
      </w:r>
      <w:r w:rsidR="005F42F8" w:rsidRPr="00146F35">
        <w:t xml:space="preserve"> and to determine the appropriate level of enforcement action.  </w:t>
      </w:r>
      <w:r w:rsidR="00CA4CD6" w:rsidRPr="00146F35">
        <w:t xml:space="preserve">EPA has found that the most flagrant violators have violations extending beyond five years.  </w:t>
      </w:r>
      <w:r w:rsidR="005F42F8" w:rsidRPr="00146F35">
        <w:t xml:space="preserve">In addition, </w:t>
      </w:r>
      <w:r w:rsidR="00CA4CD6" w:rsidRPr="00146F35">
        <w:t xml:space="preserve">EPA would be prevented from pursuing the violators due to the destruction or nonexistence of </w:t>
      </w:r>
      <w:r w:rsidR="005F42F8" w:rsidRPr="00146F35">
        <w:t xml:space="preserve">essential </w:t>
      </w:r>
      <w:r w:rsidR="00CA4CD6" w:rsidRPr="00146F35">
        <w:t>records</w:t>
      </w:r>
      <w:r w:rsidR="005F42F8" w:rsidRPr="00146F35">
        <w:t>.</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3(f)  Confidentiality</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146F35">
        <w:rPr>
          <w:u w:val="single"/>
        </w:rPr>
        <w:t>FR</w:t>
      </w:r>
      <w:r w:rsidRPr="00146F35">
        <w:t xml:space="preserve"> 36902, September 1, 1976; amended by 43 </w:t>
      </w:r>
      <w:r w:rsidRPr="00146F35">
        <w:rPr>
          <w:u w:val="single"/>
        </w:rPr>
        <w:t>FR</w:t>
      </w:r>
      <w:r w:rsidRPr="00146F35">
        <w:t xml:space="preserve"> 40000, September 8, 1978; 43 </w:t>
      </w:r>
      <w:r w:rsidRPr="00146F35">
        <w:rPr>
          <w:u w:val="single"/>
        </w:rPr>
        <w:t>FR</w:t>
      </w:r>
      <w:r w:rsidRPr="00146F35">
        <w:t xml:space="preserve"> 42251, September 20, 1978; 44 </w:t>
      </w:r>
      <w:r w:rsidRPr="00146F35">
        <w:rPr>
          <w:u w:val="single"/>
        </w:rPr>
        <w:t>FR</w:t>
      </w:r>
      <w:r w:rsidRPr="00146F35">
        <w:t xml:space="preserve"> 17674, March 23, 1979).</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3(g)  Sensitive Questions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40391F">
      <w:pPr>
        <w:pBdr>
          <w:top w:val="single" w:sz="6" w:space="0" w:color="FFFFFF"/>
          <w:left w:val="single" w:sz="6" w:space="0" w:color="FFFFFF"/>
          <w:bottom w:val="single" w:sz="6" w:space="0" w:color="FFFFFF"/>
          <w:right w:val="single" w:sz="6" w:space="0" w:color="FFFFFF"/>
        </w:pBdr>
        <w:ind w:firstLine="720"/>
      </w:pPr>
      <w:r w:rsidRPr="00146F35">
        <w:t>T</w:t>
      </w:r>
      <w:r w:rsidR="00CA4CD6" w:rsidRPr="00146F35">
        <w:t xml:space="preserve">he reporting or recordkeeping requirements </w:t>
      </w:r>
      <w:r w:rsidRPr="00146F35">
        <w:t xml:space="preserve">in the standard do not </w:t>
      </w:r>
      <w:r w:rsidR="00B46A57" w:rsidRPr="00146F35">
        <w:t xml:space="preserve">include </w:t>
      </w:r>
      <w:r w:rsidR="00CA4CD6" w:rsidRPr="00146F35">
        <w:t>sensitive questions.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146F35">
        <w:rPr>
          <w:b/>
          <w:bCs/>
        </w:rPr>
        <w:t>4.  The Respondents and the Information Requested</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4(a)  Respondents/SIC Codes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respondents to the recordkeeping and reporting requirements are </w:t>
      </w:r>
      <w:r w:rsidR="00AC6FF8">
        <w:t>facilities</w:t>
      </w:r>
      <w:r w:rsidR="00AB549D" w:rsidRPr="00146F35">
        <w:t xml:space="preserve"> that perform surface coating of large household and commercial appliances and related parts</w:t>
      </w:r>
      <w:r w:rsidRPr="00146F35">
        <w:t xml:space="preserve">.  The </w:t>
      </w:r>
      <w:r w:rsidR="00CF2B37" w:rsidRPr="00146F35">
        <w:t>United States Standard Industrial Classification (</w:t>
      </w:r>
      <w:r w:rsidRPr="00146F35">
        <w:t>SIC</w:t>
      </w:r>
      <w:r w:rsidR="00CF2B37" w:rsidRPr="00146F35">
        <w:t>)</w:t>
      </w:r>
      <w:r w:rsidRPr="00146F35">
        <w:t xml:space="preserve"> code for the respondents affected by the standard </w:t>
      </w:r>
      <w:r w:rsidR="00AB549D" w:rsidRPr="00146F35">
        <w:t xml:space="preserve">and </w:t>
      </w:r>
      <w:r w:rsidR="00AC6FF8">
        <w:t xml:space="preserve">the </w:t>
      </w:r>
      <w:r w:rsidRPr="00146F35">
        <w:t>correspond</w:t>
      </w:r>
      <w:r w:rsidR="00AB549D" w:rsidRPr="00146F35">
        <w:t>ing</w:t>
      </w:r>
      <w:r w:rsidRPr="00146F35">
        <w:t xml:space="preserve"> North American Industry Classification System</w:t>
      </w:r>
      <w:r w:rsidR="00CF2B37" w:rsidRPr="00146F35">
        <w:t xml:space="preserve"> (NAICS</w:t>
      </w:r>
      <w:r w:rsidRPr="00146F35">
        <w:t xml:space="preserve">) </w:t>
      </w:r>
      <w:r w:rsidR="00AB549D" w:rsidRPr="00146F35">
        <w:t>codes</w:t>
      </w:r>
      <w:r w:rsidRPr="00146F35">
        <w:t xml:space="preserve"> </w:t>
      </w:r>
      <w:r w:rsidR="00AB549D" w:rsidRPr="00146F35">
        <w:t>are listed below for this source category:</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6300"/>
        <w:gridCol w:w="1350"/>
        <w:gridCol w:w="1710"/>
      </w:tblGrid>
      <w:tr w:rsidR="00CA4CD6" w:rsidRPr="00146F35" w:rsidTr="00707FD3">
        <w:tc>
          <w:tcPr>
            <w:tcW w:w="6300" w:type="dxa"/>
            <w:tcBorders>
              <w:top w:val="single" w:sz="7" w:space="0" w:color="000000"/>
              <w:left w:val="single" w:sz="7" w:space="0" w:color="000000"/>
              <w:bottom w:val="single" w:sz="6" w:space="0" w:color="FFFFFF"/>
              <w:right w:val="single" w:sz="6" w:space="0" w:color="FFFFFF"/>
            </w:tcBorders>
          </w:tcPr>
          <w:p w:rsidR="00CA4CD6" w:rsidRPr="00146F35" w:rsidRDefault="00CA4CD6" w:rsidP="00CF2B37">
            <w:pPr>
              <w:spacing w:line="120" w:lineRule="exact"/>
              <w:jc w:val="center"/>
            </w:pPr>
          </w:p>
          <w:p w:rsidR="00CA4CD6" w:rsidRPr="00146F35"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Standard</w:t>
            </w:r>
            <w:r w:rsidR="004C701D" w:rsidRPr="00146F35">
              <w:rPr>
                <w:b/>
                <w:bCs/>
              </w:rPr>
              <w:t xml:space="preserve"> </w:t>
            </w:r>
            <w:r w:rsidR="00AB549D" w:rsidRPr="00146F35">
              <w:rPr>
                <w:b/>
              </w:rPr>
              <w:t>(40 CFR Part 63, Subpart NNNN)</w:t>
            </w:r>
          </w:p>
        </w:tc>
        <w:tc>
          <w:tcPr>
            <w:tcW w:w="1350" w:type="dxa"/>
            <w:tcBorders>
              <w:top w:val="single" w:sz="7" w:space="0" w:color="000000"/>
              <w:left w:val="single" w:sz="7" w:space="0" w:color="000000"/>
              <w:bottom w:val="single" w:sz="6" w:space="0" w:color="FFFFFF"/>
              <w:right w:val="single" w:sz="6" w:space="0" w:color="FFFFFF"/>
            </w:tcBorders>
          </w:tcPr>
          <w:p w:rsidR="00CA4CD6" w:rsidRPr="00146F35" w:rsidRDefault="00CA4CD6" w:rsidP="00CF2B37">
            <w:pPr>
              <w:spacing w:line="120" w:lineRule="exact"/>
              <w:jc w:val="center"/>
              <w:rPr>
                <w:b/>
                <w:bCs/>
              </w:rPr>
            </w:pPr>
          </w:p>
          <w:p w:rsidR="00CA4CD6" w:rsidRPr="00146F35"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SIC Codes</w:t>
            </w:r>
          </w:p>
        </w:tc>
        <w:tc>
          <w:tcPr>
            <w:tcW w:w="1710" w:type="dxa"/>
            <w:tcBorders>
              <w:top w:val="single" w:sz="7" w:space="0" w:color="000000"/>
              <w:left w:val="single" w:sz="7" w:space="0" w:color="000000"/>
              <w:bottom w:val="single" w:sz="6" w:space="0" w:color="FFFFFF"/>
              <w:right w:val="single" w:sz="7" w:space="0" w:color="000000"/>
            </w:tcBorders>
          </w:tcPr>
          <w:p w:rsidR="00CA4CD6" w:rsidRPr="00146F35" w:rsidRDefault="00CA4CD6" w:rsidP="00CF2B37">
            <w:pPr>
              <w:spacing w:line="120" w:lineRule="exact"/>
              <w:jc w:val="center"/>
              <w:rPr>
                <w:b/>
                <w:bCs/>
              </w:rPr>
            </w:pPr>
          </w:p>
          <w:p w:rsidR="00CA4CD6" w:rsidRPr="00146F35"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NAICS Codes</w:t>
            </w:r>
          </w:p>
        </w:tc>
      </w:tr>
      <w:tr w:rsidR="00AB549D" w:rsidRPr="00146F35" w:rsidTr="00707FD3">
        <w:tc>
          <w:tcPr>
            <w:tcW w:w="630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r w:rsidRPr="00146F35">
              <w:t>Household Cooking Appliance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pPr>
              <w:jc w:val="center"/>
            </w:pPr>
            <w:r w:rsidRPr="00146F35">
              <w:t>3631</w:t>
            </w:r>
          </w:p>
        </w:tc>
        <w:tc>
          <w:tcPr>
            <w:tcW w:w="1710" w:type="dxa"/>
            <w:tcBorders>
              <w:top w:val="single" w:sz="7" w:space="0" w:color="000000"/>
              <w:left w:val="single" w:sz="7" w:space="0" w:color="000000"/>
              <w:bottom w:val="single" w:sz="6" w:space="0" w:color="FFFFFF"/>
              <w:right w:val="single" w:sz="7" w:space="0" w:color="000000"/>
            </w:tcBorders>
            <w:vAlign w:val="center"/>
          </w:tcPr>
          <w:p w:rsidR="00AB549D" w:rsidRPr="00146F35" w:rsidRDefault="00AB549D" w:rsidP="00AB549D">
            <w:pPr>
              <w:jc w:val="center"/>
            </w:pPr>
            <w:r w:rsidRPr="00146F35">
              <w:t>335221</w:t>
            </w:r>
          </w:p>
        </w:tc>
      </w:tr>
      <w:tr w:rsidR="00AB549D" w:rsidRPr="00146F35" w:rsidTr="00707FD3">
        <w:tc>
          <w:tcPr>
            <w:tcW w:w="630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r w:rsidRPr="00146F35">
              <w:t>Household Refrigerator and Home Freezer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pPr>
              <w:jc w:val="center"/>
            </w:pPr>
            <w:r w:rsidRPr="00146F35">
              <w:t>3632</w:t>
            </w:r>
          </w:p>
        </w:tc>
        <w:tc>
          <w:tcPr>
            <w:tcW w:w="1710" w:type="dxa"/>
            <w:tcBorders>
              <w:top w:val="single" w:sz="7" w:space="0" w:color="000000"/>
              <w:left w:val="single" w:sz="7" w:space="0" w:color="000000"/>
              <w:bottom w:val="single" w:sz="6" w:space="0" w:color="FFFFFF"/>
              <w:right w:val="single" w:sz="7" w:space="0" w:color="000000"/>
            </w:tcBorders>
            <w:vAlign w:val="center"/>
          </w:tcPr>
          <w:p w:rsidR="00AB549D" w:rsidRPr="00146F35" w:rsidRDefault="00AB549D" w:rsidP="00AB549D">
            <w:pPr>
              <w:jc w:val="center"/>
            </w:pPr>
            <w:r w:rsidRPr="00146F35">
              <w:t>335222</w:t>
            </w:r>
          </w:p>
        </w:tc>
      </w:tr>
      <w:tr w:rsidR="00AB549D" w:rsidRPr="00146F35" w:rsidTr="00707FD3">
        <w:tc>
          <w:tcPr>
            <w:tcW w:w="630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r w:rsidRPr="00146F35">
              <w:t>Household Laundry Equipment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pPr>
              <w:jc w:val="center"/>
            </w:pPr>
            <w:r w:rsidRPr="00146F35">
              <w:t>3633</w:t>
            </w:r>
          </w:p>
        </w:tc>
        <w:tc>
          <w:tcPr>
            <w:tcW w:w="1710" w:type="dxa"/>
            <w:tcBorders>
              <w:top w:val="single" w:sz="7" w:space="0" w:color="000000"/>
              <w:left w:val="single" w:sz="7" w:space="0" w:color="000000"/>
              <w:bottom w:val="single" w:sz="6" w:space="0" w:color="FFFFFF"/>
              <w:right w:val="single" w:sz="7" w:space="0" w:color="000000"/>
            </w:tcBorders>
            <w:vAlign w:val="center"/>
          </w:tcPr>
          <w:p w:rsidR="00AB549D" w:rsidRPr="00146F35" w:rsidRDefault="00AB549D" w:rsidP="00AB549D">
            <w:pPr>
              <w:jc w:val="center"/>
            </w:pPr>
            <w:r w:rsidRPr="00146F35">
              <w:t>335224</w:t>
            </w:r>
          </w:p>
        </w:tc>
      </w:tr>
      <w:tr w:rsidR="00AB549D" w:rsidRPr="00146F35" w:rsidTr="00707FD3">
        <w:tc>
          <w:tcPr>
            <w:tcW w:w="630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r w:rsidRPr="00146F35">
              <w:t>Other Major Household Appliance Manufacturing</w:t>
            </w:r>
          </w:p>
        </w:tc>
        <w:tc>
          <w:tcPr>
            <w:tcW w:w="1350" w:type="dxa"/>
            <w:tcBorders>
              <w:top w:val="single" w:sz="7" w:space="0" w:color="000000"/>
              <w:left w:val="single" w:sz="7" w:space="0" w:color="000000"/>
              <w:bottom w:val="single" w:sz="6" w:space="0" w:color="FFFFFF"/>
              <w:right w:val="single" w:sz="6" w:space="0" w:color="FFFFFF"/>
            </w:tcBorders>
            <w:vAlign w:val="center"/>
          </w:tcPr>
          <w:p w:rsidR="00AB549D" w:rsidRPr="00146F35" w:rsidRDefault="00AB549D" w:rsidP="00AB549D">
            <w:pPr>
              <w:jc w:val="center"/>
            </w:pPr>
            <w:r w:rsidRPr="00146F35">
              <w:t>3639</w:t>
            </w:r>
          </w:p>
        </w:tc>
        <w:tc>
          <w:tcPr>
            <w:tcW w:w="1710" w:type="dxa"/>
            <w:tcBorders>
              <w:top w:val="single" w:sz="7" w:space="0" w:color="000000"/>
              <w:left w:val="single" w:sz="7" w:space="0" w:color="000000"/>
              <w:bottom w:val="single" w:sz="6" w:space="0" w:color="FFFFFF"/>
              <w:right w:val="single" w:sz="7" w:space="0" w:color="000000"/>
            </w:tcBorders>
            <w:vAlign w:val="center"/>
          </w:tcPr>
          <w:p w:rsidR="00AB549D" w:rsidRPr="00146F35" w:rsidRDefault="00AB549D" w:rsidP="00AB549D">
            <w:pPr>
              <w:jc w:val="center"/>
            </w:pPr>
            <w:r w:rsidRPr="00146F35">
              <w:t>335228</w:t>
            </w:r>
          </w:p>
        </w:tc>
      </w:tr>
      <w:tr w:rsidR="00AB549D" w:rsidRPr="00146F35" w:rsidTr="00707FD3">
        <w:tc>
          <w:tcPr>
            <w:tcW w:w="630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r w:rsidRPr="00146F35">
              <w:t>Commercial laundry, Drycleaning, and Pressing Machine</w:t>
            </w:r>
          </w:p>
          <w:p w:rsidR="00AB549D" w:rsidRPr="00146F35" w:rsidRDefault="00AB549D" w:rsidP="00AB549D">
            <w:r w:rsidRPr="00146F35">
              <w:t>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pPr>
              <w:jc w:val="center"/>
            </w:pPr>
            <w:r w:rsidRPr="00146F35">
              <w:t>3582</w:t>
            </w:r>
          </w:p>
        </w:tc>
        <w:tc>
          <w:tcPr>
            <w:tcW w:w="1710" w:type="dxa"/>
            <w:tcBorders>
              <w:top w:val="single" w:sz="7" w:space="0" w:color="000000"/>
              <w:left w:val="single" w:sz="7" w:space="0" w:color="000000"/>
              <w:bottom w:val="single" w:sz="7" w:space="0" w:color="000000"/>
              <w:right w:val="single" w:sz="7" w:space="0" w:color="000000"/>
            </w:tcBorders>
            <w:vAlign w:val="center"/>
          </w:tcPr>
          <w:p w:rsidR="00AB549D" w:rsidRPr="00146F35" w:rsidRDefault="00AB549D" w:rsidP="00AB549D">
            <w:pPr>
              <w:jc w:val="center"/>
            </w:pPr>
            <w:r w:rsidRPr="00146F35">
              <w:t>333312</w:t>
            </w:r>
          </w:p>
        </w:tc>
      </w:tr>
      <w:tr w:rsidR="00AB549D" w:rsidRPr="00146F35" w:rsidTr="00707FD3">
        <w:tc>
          <w:tcPr>
            <w:tcW w:w="630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r w:rsidRPr="00146F35">
              <w:t>Air-Conditioning and Warm Air Heating Equipment and Commercial and Industrial Refrigeration Equipment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pPr>
              <w:jc w:val="center"/>
            </w:pPr>
            <w:r w:rsidRPr="00146F35">
              <w:t>3585</w:t>
            </w:r>
          </w:p>
        </w:tc>
        <w:tc>
          <w:tcPr>
            <w:tcW w:w="1710" w:type="dxa"/>
            <w:tcBorders>
              <w:top w:val="single" w:sz="7" w:space="0" w:color="000000"/>
              <w:left w:val="single" w:sz="7" w:space="0" w:color="000000"/>
              <w:bottom w:val="single" w:sz="7" w:space="0" w:color="000000"/>
              <w:right w:val="single" w:sz="7" w:space="0" w:color="000000"/>
            </w:tcBorders>
            <w:vAlign w:val="center"/>
          </w:tcPr>
          <w:p w:rsidR="00AB549D" w:rsidRPr="00146F35" w:rsidRDefault="00AB549D" w:rsidP="00AB549D">
            <w:pPr>
              <w:jc w:val="center"/>
            </w:pPr>
            <w:r w:rsidRPr="00146F35">
              <w:t>333415</w:t>
            </w:r>
          </w:p>
        </w:tc>
      </w:tr>
      <w:tr w:rsidR="00AB549D" w:rsidRPr="00146F35" w:rsidTr="00707FD3">
        <w:tc>
          <w:tcPr>
            <w:tcW w:w="630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r w:rsidRPr="00146F35">
              <w:t>Other Commercial and Service Industry Machinery Manufacturing</w:t>
            </w:r>
          </w:p>
        </w:tc>
        <w:tc>
          <w:tcPr>
            <w:tcW w:w="1350" w:type="dxa"/>
            <w:tcBorders>
              <w:top w:val="single" w:sz="7" w:space="0" w:color="000000"/>
              <w:left w:val="single" w:sz="7" w:space="0" w:color="000000"/>
              <w:bottom w:val="single" w:sz="7" w:space="0" w:color="000000"/>
              <w:right w:val="single" w:sz="6" w:space="0" w:color="FFFFFF"/>
            </w:tcBorders>
            <w:vAlign w:val="center"/>
          </w:tcPr>
          <w:p w:rsidR="00AB549D" w:rsidRPr="00146F35" w:rsidRDefault="00AB549D" w:rsidP="00AB549D">
            <w:pPr>
              <w:jc w:val="center"/>
            </w:pPr>
            <w:r w:rsidRPr="00146F35">
              <w:t>3589</w:t>
            </w:r>
          </w:p>
        </w:tc>
        <w:tc>
          <w:tcPr>
            <w:tcW w:w="1710" w:type="dxa"/>
            <w:tcBorders>
              <w:top w:val="single" w:sz="7" w:space="0" w:color="000000"/>
              <w:left w:val="single" w:sz="7" w:space="0" w:color="000000"/>
              <w:bottom w:val="single" w:sz="7" w:space="0" w:color="000000"/>
              <w:right w:val="single" w:sz="7" w:space="0" w:color="000000"/>
            </w:tcBorders>
            <w:vAlign w:val="center"/>
          </w:tcPr>
          <w:p w:rsidR="00AB549D" w:rsidRPr="00146F35" w:rsidRDefault="00AB549D" w:rsidP="00AB549D">
            <w:pPr>
              <w:jc w:val="center"/>
            </w:pPr>
            <w:r w:rsidRPr="00146F35">
              <w:t>333319</w:t>
            </w:r>
          </w:p>
        </w:tc>
      </w:tr>
    </w:tbl>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4(b)  Information Requested</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146F35">
        <w:rPr>
          <w:b/>
          <w:bCs/>
        </w:rPr>
        <w:t>(i)  Data Items</w:t>
      </w:r>
    </w:p>
    <w:p w:rsidR="00CA4CD6" w:rsidRPr="00146F35" w:rsidRDefault="00CA4CD6">
      <w:pPr>
        <w:pBdr>
          <w:top w:val="single" w:sz="6" w:space="0" w:color="FFFFFF"/>
          <w:left w:val="single" w:sz="6" w:space="0" w:color="FFFFFF"/>
          <w:bottom w:val="single" w:sz="6" w:space="0" w:color="FFFFFF"/>
          <w:right w:val="single" w:sz="6" w:space="0" w:color="FFFFFF"/>
        </w:pBdr>
      </w:pPr>
    </w:p>
    <w:p w:rsidR="00707FD3" w:rsidRPr="00146F35" w:rsidRDefault="00817E8B" w:rsidP="00707FD3">
      <w:pPr>
        <w:ind w:firstLine="720"/>
      </w:pPr>
      <w:r w:rsidRPr="00146F35">
        <w:t>I</w:t>
      </w:r>
      <w:r w:rsidR="00CA4CD6" w:rsidRPr="00146F35">
        <w:t>n this ICR</w:t>
      </w:r>
      <w:r w:rsidRPr="00146F35">
        <w:t>, all the data</w:t>
      </w:r>
      <w:r w:rsidR="00CA4CD6" w:rsidRPr="00146F35">
        <w:t xml:space="preserve"> </w:t>
      </w:r>
      <w:r w:rsidRPr="00146F35">
        <w:t xml:space="preserve">that is </w:t>
      </w:r>
      <w:r w:rsidR="00CA4CD6" w:rsidRPr="00146F35">
        <w:t xml:space="preserve">recorded or reported </w:t>
      </w:r>
      <w:r w:rsidRPr="00146F35">
        <w:t>is</w:t>
      </w:r>
      <w:r w:rsidR="00CA4CD6" w:rsidRPr="00146F35">
        <w:t xml:space="preserve"> required by</w:t>
      </w:r>
      <w:r w:rsidR="00AC6FF8">
        <w:t xml:space="preserve"> the</w:t>
      </w:r>
      <w:r w:rsidR="00CA4CD6" w:rsidRPr="00146F35">
        <w:t xml:space="preserve"> </w:t>
      </w:r>
      <w:r w:rsidR="00707FD3" w:rsidRPr="00146F35">
        <w:t>NESHAP for the Surface Coating of Large Household and Commercial Appliances (40 CFR Part 63, Subpart NNNN).</w:t>
      </w:r>
    </w:p>
    <w:p w:rsidR="00707FD3" w:rsidRPr="00146F35" w:rsidRDefault="00707FD3" w:rsidP="00707FD3">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A source must make the following reports:</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146F35" w:rsidTr="003E25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146F35" w:rsidRDefault="00CA4CD6">
            <w:pPr>
              <w:spacing w:line="120" w:lineRule="exact"/>
            </w:pPr>
          </w:p>
          <w:p w:rsidR="00CA4CD6" w:rsidRPr="00146F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146F35">
              <w:rPr>
                <w:b/>
              </w:rPr>
              <w:t>Notification</w:t>
            </w:r>
            <w:r w:rsidR="006E4A6E" w:rsidRPr="00146F35">
              <w:rPr>
                <w:b/>
              </w:rPr>
              <w:t>s</w:t>
            </w:r>
          </w:p>
        </w:tc>
      </w:tr>
      <w:tr w:rsidR="00707FD3" w:rsidRPr="00146F35" w:rsidTr="0080374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63.4110(a)(1), 63.9(b)</w:t>
            </w:r>
          </w:p>
        </w:tc>
      </w:tr>
      <w:tr w:rsidR="00707FD3" w:rsidRPr="00146F35" w:rsidTr="0080374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63.4110(a)(2), 63.4110(b), 63.9(h)</w:t>
            </w:r>
          </w:p>
        </w:tc>
      </w:tr>
      <w:tr w:rsidR="00707FD3" w:rsidRPr="00146F35" w:rsidTr="0080374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lastRenderedPageBreak/>
              <w:t>Notification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63.5</w:t>
            </w:r>
          </w:p>
        </w:tc>
      </w:tr>
      <w:tr w:rsidR="00707FD3" w:rsidRPr="00146F35" w:rsidTr="0080374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853BF8" w:rsidRPr="00853BF8" w:rsidRDefault="00853BF8" w:rsidP="00853BF8">
            <w:pPr>
              <w:pStyle w:val="Heading2"/>
              <w:spacing w:after="0" w:afterAutospacing="0"/>
              <w:rPr>
                <w:b w:val="0"/>
                <w:sz w:val="24"/>
                <w:szCs w:val="24"/>
              </w:rPr>
            </w:pPr>
            <w:r w:rsidRPr="00853BF8">
              <w:rPr>
                <w:b w:val="0"/>
                <w:sz w:val="24"/>
                <w:szCs w:val="24"/>
              </w:rPr>
              <w:t>63.4110</w:t>
            </w:r>
            <w:r>
              <w:rPr>
                <w:b w:val="0"/>
                <w:sz w:val="24"/>
                <w:szCs w:val="24"/>
              </w:rPr>
              <w:t>(a)</w:t>
            </w:r>
          </w:p>
          <w:p w:rsidR="00707FD3" w:rsidRPr="00146F35" w:rsidRDefault="00707FD3" w:rsidP="0080374F">
            <w:r w:rsidRPr="00146F35">
              <w:t>63.9(b)</w:t>
            </w:r>
          </w:p>
        </w:tc>
      </w:tr>
      <w:tr w:rsidR="00707FD3" w:rsidRPr="00146F35" w:rsidTr="0080374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853BF8" w:rsidRPr="00853BF8" w:rsidRDefault="00853BF8" w:rsidP="00853BF8">
            <w:pPr>
              <w:pStyle w:val="Heading2"/>
              <w:spacing w:after="0" w:afterAutospacing="0"/>
              <w:rPr>
                <w:b w:val="0"/>
                <w:sz w:val="24"/>
                <w:szCs w:val="24"/>
              </w:rPr>
            </w:pPr>
            <w:r w:rsidRPr="00853BF8">
              <w:rPr>
                <w:b w:val="0"/>
                <w:sz w:val="24"/>
                <w:szCs w:val="24"/>
              </w:rPr>
              <w:t>63.4110</w:t>
            </w:r>
            <w:r>
              <w:rPr>
                <w:b w:val="0"/>
                <w:sz w:val="24"/>
                <w:szCs w:val="24"/>
              </w:rPr>
              <w:t>(a)</w:t>
            </w:r>
          </w:p>
          <w:p w:rsidR="00707FD3" w:rsidRPr="00146F35" w:rsidRDefault="00853BF8" w:rsidP="00853BF8">
            <w:r w:rsidRPr="00853BF8">
              <w:t xml:space="preserve"> </w:t>
            </w:r>
            <w:r w:rsidR="00707FD3" w:rsidRPr="00146F35">
              <w:t>63.7(b)</w:t>
            </w:r>
          </w:p>
        </w:tc>
      </w:tr>
    </w:tbl>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gridCol w:w="12"/>
      </w:tblGrid>
      <w:tr w:rsidR="00A73600" w:rsidRPr="00146F35"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146F35" w:rsidRDefault="00CA4CD6">
            <w:pPr>
              <w:spacing w:line="120" w:lineRule="exact"/>
            </w:pPr>
          </w:p>
          <w:p w:rsidR="00CA4CD6" w:rsidRPr="00146F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146F35">
              <w:rPr>
                <w:b/>
              </w:rPr>
              <w:t>Reports</w:t>
            </w:r>
          </w:p>
        </w:tc>
      </w:tr>
      <w:tr w:rsidR="00707FD3" w:rsidRPr="00146F35" w:rsidTr="00707FD3">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Semiannual report</w:t>
            </w:r>
          </w:p>
        </w:tc>
        <w:tc>
          <w:tcPr>
            <w:tcW w:w="208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63.4120</w:t>
            </w:r>
          </w:p>
        </w:tc>
      </w:tr>
      <w:tr w:rsidR="00707FD3" w:rsidRPr="00146F35" w:rsidTr="00707FD3">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Excess emissions report</w:t>
            </w:r>
          </w:p>
        </w:tc>
        <w:tc>
          <w:tcPr>
            <w:tcW w:w="208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63.4120(c</w:t>
            </w:r>
            <w:r w:rsidR="00853BF8">
              <w:t>)</w:t>
            </w:r>
            <w:r w:rsidRPr="00146F35">
              <w:t>,(d),(e),(f),(g)</w:t>
            </w:r>
          </w:p>
        </w:tc>
      </w:tr>
      <w:tr w:rsidR="00707FD3" w:rsidRPr="00146F35" w:rsidTr="00707FD3">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Report of performance test</w:t>
            </w:r>
          </w:p>
        </w:tc>
        <w:tc>
          <w:tcPr>
            <w:tcW w:w="208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63.4120(h)</w:t>
            </w:r>
          </w:p>
        </w:tc>
      </w:tr>
      <w:tr w:rsidR="00707FD3" w:rsidRPr="00146F35" w:rsidTr="00707FD3">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Startup, shutdown, malfunction report</w:t>
            </w:r>
          </w:p>
        </w:tc>
        <w:tc>
          <w:tcPr>
            <w:tcW w:w="208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63.4120(j)</w:t>
            </w:r>
          </w:p>
        </w:tc>
      </w:tr>
    </w:tbl>
    <w:p w:rsidR="00CA4CD6" w:rsidRPr="00146F35" w:rsidRDefault="00CA4CD6">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A source must keep the following records:</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gridCol w:w="12"/>
      </w:tblGrid>
      <w:tr w:rsidR="00A73600" w:rsidRPr="00146F35"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146F35" w:rsidRDefault="00CA4CD6">
            <w:pPr>
              <w:spacing w:line="120" w:lineRule="exact"/>
            </w:pPr>
          </w:p>
          <w:p w:rsidR="00CA4CD6" w:rsidRPr="00146F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146F35">
              <w:rPr>
                <w:b/>
              </w:rPr>
              <w:t>Recordkeeping</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Five year retention of records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63.4131(b), 63.10(b)</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Material formulation data</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63.4130(b)</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Records of HAP content calculations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(c)</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Copies of notifications and reports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(a)</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Records of names of materials used</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(d)</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HAP fractions in each material used</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(e)</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Coating solids fraction in each material used</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(f)</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Density of materials used</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(g)</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Documentation of waste material shipped offsite</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(h)</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Start-up, shutdown, and malfunction plan/records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(j),(k),63.6(e)</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Documentation of control device performance tests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(k),63.10(b)</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Values measured by continuous monitoring systems</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(k)</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Monitoring system calibrations, maintenance</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(k)</w:t>
            </w:r>
          </w:p>
        </w:tc>
      </w:tr>
      <w:tr w:rsidR="00707FD3" w:rsidRPr="00146F35" w:rsidTr="00707FD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Periods of monitoring system failure/shutdown</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707FD3" w:rsidRPr="00146F35" w:rsidRDefault="00707FD3" w:rsidP="0080374F">
            <w:r w:rsidRPr="00146F35">
              <w:t>63.413</w:t>
            </w:r>
            <w:r w:rsidR="00424208">
              <w:t>0</w:t>
            </w:r>
            <w:r w:rsidRPr="00146F35">
              <w:t>(j),(k)</w:t>
            </w:r>
          </w:p>
        </w:tc>
      </w:tr>
    </w:tbl>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outlineLvl w:val="0"/>
      </w:pPr>
      <w:r w:rsidRPr="00146F35">
        <w:rPr>
          <w:u w:val="single"/>
        </w:rPr>
        <w:t>Electronic Reporting</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2743D2">
      <w:pPr>
        <w:pBdr>
          <w:top w:val="single" w:sz="6" w:space="0" w:color="FFFFFF"/>
          <w:left w:val="single" w:sz="6" w:space="0" w:color="FFFFFF"/>
          <w:bottom w:val="single" w:sz="6" w:space="0" w:color="FFFFFF"/>
          <w:right w:val="single" w:sz="6" w:space="0" w:color="FFFFFF"/>
        </w:pBdr>
        <w:ind w:firstLine="720"/>
      </w:pPr>
      <w:r w:rsidRPr="00146F35">
        <w:t>Some of the r</w:t>
      </w:r>
      <w:r w:rsidR="00CA4CD6" w:rsidRPr="00146F35">
        <w:t xml:space="preserve">espondents are using monitoring equipment that automatically records parameter data.  Although personnel at the affected facility must </w:t>
      </w:r>
      <w:r w:rsidRPr="00146F35">
        <w:t xml:space="preserve">still </w:t>
      </w:r>
      <w:r w:rsidR="00CA4CD6" w:rsidRPr="00146F35">
        <w:t xml:space="preserve">evaluate the data, internal automation has significantly reduced the burden associated with monitoring and recordkeeping at </w:t>
      </w:r>
      <w:r w:rsidRPr="00146F35">
        <w:t>a</w:t>
      </w:r>
      <w:r w:rsidR="00CA4CD6" w:rsidRPr="00146F35">
        <w:t xml:space="preserve"> plant site.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146F35">
        <w:rPr>
          <w:b/>
          <w:bCs/>
        </w:rPr>
        <w:t>(ii)  Respondent Activities</w:t>
      </w:r>
      <w:r w:rsidRPr="00146F35">
        <w:rPr>
          <w:b/>
          <w:bCs/>
        </w:rPr>
        <w:tab/>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146F35">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146F35">
              <w:rPr>
                <w:b/>
                <w:bCs/>
              </w:rPr>
              <w:t>Respondent Activities</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rPr>
                <w:b/>
                <w:bCs/>
              </w:rPr>
            </w:pPr>
          </w:p>
          <w:p w:rsidR="00CA4CD6" w:rsidRPr="00146F35" w:rsidRDefault="0049607B">
            <w:pPr>
              <w:pBdr>
                <w:top w:val="single" w:sz="6" w:space="0" w:color="FFFFFF"/>
                <w:left w:val="single" w:sz="6" w:space="0" w:color="FFFFFF"/>
                <w:bottom w:val="single" w:sz="6" w:space="0" w:color="FFFFFF"/>
                <w:right w:val="single" w:sz="6" w:space="0" w:color="FFFFFF"/>
              </w:pBdr>
              <w:spacing w:after="55"/>
            </w:pPr>
            <w:r>
              <w:t>Familiarization with the regulatory requirements</w:t>
            </w:r>
            <w:r w:rsidR="00CA4CD6" w:rsidRPr="00146F35">
              <w:t>.</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rsidP="00707FD3">
            <w:pPr>
              <w:pBdr>
                <w:top w:val="single" w:sz="6" w:space="0" w:color="FFFFFF"/>
                <w:left w:val="single" w:sz="6" w:space="0" w:color="FFFFFF"/>
                <w:bottom w:val="single" w:sz="6" w:space="0" w:color="FFFFFF"/>
                <w:right w:val="single" w:sz="6" w:space="0" w:color="FFFFFF"/>
              </w:pBdr>
              <w:spacing w:after="55"/>
            </w:pPr>
            <w:r w:rsidRPr="00146F35">
              <w:t xml:space="preserve">Install, calibrate, maintain, and operate CMS for </w:t>
            </w:r>
            <w:r w:rsidR="00707FD3" w:rsidRPr="00146F35">
              <w:t>temperature, gas flow, or pressure drop for oxidizer, carbon adsorber, condense, concentrator, or capture system</w:t>
            </w:r>
            <w:r w:rsidRPr="00146F35">
              <w:t>.</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 xml:space="preserve">Perform initial performance test, Reference Method </w:t>
            </w:r>
            <w:r w:rsidR="00707FD3" w:rsidRPr="00146F35">
              <w:t>1, 1A, 2, 2A, 2C, 2D, 2F, 2G, 3, 3A, 3B, 4, 24, 25, 25A, 204, 204A, 204B, 204C, 204D, 204E, 204F, 311, or ASTM Method D1475-98, D2697-86, D6093-97</w:t>
            </w:r>
            <w:r w:rsidRPr="00146F35">
              <w:t xml:space="preserve"> test, and repeat performance tests if necessary.</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Write the notifications and reports listed above.</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Enter information required to be recorded above.</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Submit the required reports developing, acquiring, installing, and utilizing technology and systems for the purpose of collecting, validating, and verifying information.</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Develop, acquire, install, and utilize technology and systems for the purpose of processing and maintaining information.</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Develop, acquire, install, and utilize technology and systems for the purpose of disclosing and providing information.</w:t>
            </w:r>
          </w:p>
        </w:tc>
      </w:tr>
      <w:tr w:rsidR="00CA4CD6" w:rsidRPr="00146F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5"/>
            </w:pPr>
            <w:r w:rsidRPr="00146F35">
              <w:t>Train personnel to be able to respond to a collection of information.</w:t>
            </w:r>
          </w:p>
        </w:tc>
      </w:tr>
      <w:tr w:rsidR="00CA4CD6" w:rsidRPr="00146F35">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74"/>
            </w:pPr>
            <w:r w:rsidRPr="00146F35">
              <w:t>Transmit, or otherwise disclose the information.</w:t>
            </w:r>
          </w:p>
        </w:tc>
      </w:tr>
    </w:tbl>
    <w:p w:rsidR="00CA4CD6" w:rsidRPr="00146F35" w:rsidRDefault="00CA4CD6">
      <w:pPr>
        <w:pBdr>
          <w:top w:val="single" w:sz="6" w:space="0" w:color="FFFFFF"/>
          <w:left w:val="single" w:sz="6" w:space="0" w:color="FFFFFF"/>
          <w:bottom w:val="single" w:sz="6" w:space="0" w:color="FFFFFF"/>
          <w:right w:val="single" w:sz="6" w:space="0" w:color="FFFFFF"/>
        </w:pBdr>
      </w:pPr>
    </w:p>
    <w:p w:rsidR="00CF2B37" w:rsidRPr="00146F35" w:rsidRDefault="00CF2B37">
      <w:pPr>
        <w:pBdr>
          <w:top w:val="single" w:sz="6" w:space="0" w:color="FFFFFF"/>
          <w:left w:val="single" w:sz="6" w:space="0" w:color="FFFFFF"/>
          <w:bottom w:val="single" w:sz="6" w:space="0" w:color="FFFFFF"/>
          <w:right w:val="single" w:sz="6" w:space="0" w:color="FFFFFF"/>
        </w:pBdr>
        <w:rPr>
          <w:b/>
          <w:bCs/>
        </w:rPr>
      </w:pPr>
    </w:p>
    <w:p w:rsidR="00CA4CD6" w:rsidRPr="00146F3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146F35">
        <w:rPr>
          <w:b/>
          <w:bCs/>
        </w:rPr>
        <w:t>5.  The Information Collected:  Agency Activities, Collection Methodology, and Information Management</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5(a)  Agency Activities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EPA conducts the following activities in connection with the acquisition, analysis, storage, and distribution of the required information.</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146F35">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Agency Activities</w:t>
            </w:r>
          </w:p>
        </w:tc>
      </w:tr>
      <w:tr w:rsidR="00707FD3" w:rsidRPr="00146F35" w:rsidTr="0080374F">
        <w:tc>
          <w:tcPr>
            <w:tcW w:w="9360" w:type="dxa"/>
            <w:tcBorders>
              <w:top w:val="single" w:sz="6" w:space="0" w:color="000000"/>
              <w:left w:val="single" w:sz="6" w:space="0" w:color="000000"/>
              <w:bottom w:val="single" w:sz="6" w:space="0" w:color="000000"/>
              <w:right w:val="single" w:sz="6" w:space="0" w:color="000000"/>
            </w:tcBorders>
          </w:tcPr>
          <w:p w:rsidR="00707FD3" w:rsidRPr="00146F35" w:rsidRDefault="00707FD3" w:rsidP="0080374F">
            <w:r w:rsidRPr="00146F35">
              <w:t>Observe initial performance tests and repeat performance tests if necessary.</w:t>
            </w:r>
          </w:p>
        </w:tc>
      </w:tr>
      <w:tr w:rsidR="00CA4CD6" w:rsidRPr="00146F35">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pPr>
            <w:r w:rsidRPr="00146F35">
              <w:t>Review notifications and reports, including performance test reports, and excess emissions reports, required to be submitted by industry.</w:t>
            </w:r>
          </w:p>
        </w:tc>
      </w:tr>
      <w:tr w:rsidR="00CA4CD6" w:rsidRPr="00146F35">
        <w:tc>
          <w:tcPr>
            <w:tcW w:w="9360"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pPr>
            <w:r w:rsidRPr="00146F35">
              <w:t>Audit facility records.</w:t>
            </w:r>
          </w:p>
        </w:tc>
      </w:tr>
      <w:tr w:rsidR="00CA4CD6" w:rsidRPr="00146F35">
        <w:tc>
          <w:tcPr>
            <w:tcW w:w="9360" w:type="dxa"/>
            <w:tcBorders>
              <w:top w:val="single" w:sz="7" w:space="0" w:color="000000"/>
              <w:left w:val="single" w:sz="7" w:space="0" w:color="000000"/>
              <w:bottom w:val="single" w:sz="7" w:space="0" w:color="000000"/>
              <w:right w:val="single" w:sz="7" w:space="0" w:color="000000"/>
            </w:tcBorders>
          </w:tcPr>
          <w:p w:rsidR="00CA4CD6" w:rsidRPr="00146F35" w:rsidRDefault="00CA4CD6">
            <w:pPr>
              <w:spacing w:line="120" w:lineRule="exact"/>
            </w:pPr>
          </w:p>
          <w:p w:rsidR="00CA4CD6" w:rsidRPr="00146F35" w:rsidRDefault="00CA4CD6" w:rsidP="0036229C">
            <w:pPr>
              <w:pBdr>
                <w:top w:val="single" w:sz="6" w:space="0" w:color="FFFFFF"/>
                <w:left w:val="single" w:sz="6" w:space="0" w:color="FFFFFF"/>
                <w:bottom w:val="single" w:sz="6" w:space="0" w:color="FFFFFF"/>
                <w:right w:val="single" w:sz="6" w:space="0" w:color="FFFFFF"/>
              </w:pBdr>
              <w:spacing w:after="72"/>
            </w:pPr>
            <w:r w:rsidRPr="00146F35">
              <w:lastRenderedPageBreak/>
              <w:t xml:space="preserve">Input, analyze, and maintain data in </w:t>
            </w:r>
            <w:r w:rsidR="0036229C" w:rsidRPr="00146F35">
              <w:t xml:space="preserve">Integrated Compliance Information System (ICIS) and ECHO. </w:t>
            </w:r>
          </w:p>
        </w:tc>
      </w:tr>
    </w:tbl>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5(b)  Collection Methodology and Management</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Following notification of startup, the reviewing authority </w:t>
      </w:r>
      <w:r w:rsidR="002B29A7" w:rsidRPr="00146F35">
        <w:t xml:space="preserve">could </w:t>
      </w:r>
      <w:r w:rsidRPr="00146F35">
        <w:t>inspect the source to determine whether the pollution control devices are properly installed and operated. Performance test reports are used by the Agency to discern a source</w:t>
      </w:r>
      <w:r w:rsidR="004C701D" w:rsidRPr="00146F35">
        <w:t>’</w:t>
      </w:r>
      <w:r w:rsidRPr="00146F35">
        <w:t>s initial capability to comply with the emission standard</w:t>
      </w:r>
      <w:r w:rsidR="00707FD3" w:rsidRPr="00146F35">
        <w:t xml:space="preserve">. </w:t>
      </w:r>
      <w:r w:rsidRPr="00146F35">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Information contained in </w:t>
      </w:r>
      <w:r w:rsidR="004C701D" w:rsidRPr="00146F35">
        <w:t xml:space="preserve">the reports is </w:t>
      </w:r>
      <w:r w:rsidR="0036229C" w:rsidRPr="00146F35">
        <w:t xml:space="preserve">reported by state and local governments in the ICIS Air database </w:t>
      </w:r>
      <w:r w:rsidRPr="00146F35">
        <w:t xml:space="preserve">which is operated and maintained by EPA's Office of Compliance.  </w:t>
      </w:r>
      <w:r w:rsidR="0036229C" w:rsidRPr="00146F35">
        <w:t>ICIS</w:t>
      </w:r>
      <w:r w:rsidR="004C701D" w:rsidRPr="00146F35">
        <w:t xml:space="preserve"> </w:t>
      </w:r>
      <w:r w:rsidRPr="00146F35">
        <w:t>is EPA</w:t>
      </w:r>
      <w:r w:rsidR="004C701D" w:rsidRPr="00146F35">
        <w:t>’</w:t>
      </w:r>
      <w:r w:rsidRPr="00146F35">
        <w:t xml:space="preserve">s database for the collection, maintenance, and retrieval of compliance data for industrial and government-owned facilities.  EPA uses </w:t>
      </w:r>
      <w:r w:rsidR="0036229C" w:rsidRPr="00146F35">
        <w:t>ICIS</w:t>
      </w:r>
      <w:r w:rsidRPr="00146F35">
        <w:t xml:space="preserve"> for tracking air pollution compliance and enforcement by local and state regulatory agencies, EPA regional offices and EPA headquarters.  EPA and its delegated Authorities can edit, store, retrieve and analyze the data.</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 The records required by this regulation must be retained by the owner/operator for five years.</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5(c)  Small Entity Flexibility</w:t>
      </w:r>
    </w:p>
    <w:p w:rsidR="00CA4CD6" w:rsidRPr="00146F35" w:rsidRDefault="00CA4CD6" w:rsidP="006E4A6E">
      <w:pPr>
        <w:pBdr>
          <w:top w:val="single" w:sz="6" w:space="0" w:color="FFFFFF"/>
          <w:left w:val="single" w:sz="6" w:space="0" w:color="FFFFFF"/>
          <w:bottom w:val="single" w:sz="6" w:space="0" w:color="FFFFFF"/>
          <w:right w:val="single" w:sz="6" w:space="0" w:color="FFFFFF"/>
        </w:pBdr>
      </w:pPr>
    </w:p>
    <w:p w:rsidR="006F69F5" w:rsidRDefault="00707FD3">
      <w:pPr>
        <w:ind w:firstLine="720"/>
      </w:pPr>
      <w:r w:rsidRPr="00146F35">
        <w:t xml:space="preserve">A majority of the respondents are </w:t>
      </w:r>
      <w:r w:rsidR="006F69F5">
        <w:t>small businesses</w:t>
      </w:r>
      <w:r w:rsidRPr="00146F35">
        <w:t xml:space="preserve">.  </w:t>
      </w:r>
      <w:r w:rsidR="006F69F5">
        <w:t>T</w:t>
      </w:r>
      <w:r w:rsidRPr="00146F35">
        <w:t xml:space="preserve">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  </w:t>
      </w:r>
    </w:p>
    <w:p w:rsidR="006F69F5" w:rsidRDefault="006F69F5">
      <w:pPr>
        <w:ind w:firstLine="720"/>
      </w:pPr>
    </w:p>
    <w:p w:rsidR="00AC6A8F" w:rsidRDefault="00707FD3">
      <w:pPr>
        <w:ind w:firstLine="720"/>
      </w:pPr>
      <w:r w:rsidRPr="00146F35">
        <w:t>In the Background Information for the Large Appliance Surface Coating Operations NESHAP</w:t>
      </w:r>
      <w:r w:rsidRPr="00146F35">
        <w:rPr>
          <w:rStyle w:val="FootnoteReference"/>
          <w:vertAlign w:val="superscript"/>
        </w:rPr>
        <w:footnoteReference w:id="1"/>
      </w:r>
      <w:r w:rsidRPr="00146F35">
        <w:t>, 57 percent of the parent companies affected by proposed action were estimated to be small entities as defined by the Small Business Administration.  The Agency assumes that 57 percent of the 1</w:t>
      </w:r>
      <w:r w:rsidR="006F69F5">
        <w:t>14</w:t>
      </w:r>
      <w:r w:rsidRPr="00146F35">
        <w:t xml:space="preserve"> facilities affected by this ICR, or </w:t>
      </w:r>
      <w:r w:rsidR="006F69F5">
        <w:t>65</w:t>
      </w:r>
      <w:r w:rsidRPr="00146F35">
        <w:t xml:space="preserve"> facilities, are small entities.</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5(d)  Collection Schedule</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rPr>
          <w:b/>
          <w:bCs/>
        </w:rPr>
      </w:pPr>
      <w:r w:rsidRPr="00146F35">
        <w:t xml:space="preserve">The specific frequency for each information collection activity within this request is shown in </w:t>
      </w:r>
      <w:r w:rsidR="007A458D" w:rsidRPr="00146F35">
        <w:t xml:space="preserve">below </w:t>
      </w:r>
      <w:r w:rsidRPr="00146F35">
        <w:t xml:space="preserve">Table 1: </w:t>
      </w:r>
      <w:r w:rsidR="00CF2B37" w:rsidRPr="00146F35">
        <w:t>Annual Respondent Burden and Cost –</w:t>
      </w:r>
      <w:r w:rsidRPr="00146F35">
        <w:t xml:space="preserve"> </w:t>
      </w:r>
      <w:r w:rsidR="00AB549D" w:rsidRPr="00146F35">
        <w:rPr>
          <w:bCs/>
        </w:rPr>
        <w:t>NESHAP for the Surface Coating of Large Household and Commercial Appliances (40 CFR Part 63, Subpart NNNN)</w:t>
      </w:r>
      <w:r w:rsidR="00AB549D" w:rsidRPr="00146F35" w:rsidDel="00AB549D">
        <w:t xml:space="preserve"> </w:t>
      </w:r>
      <w:r w:rsidR="00AB549D" w:rsidRPr="00146F35">
        <w:t>(Renewal)</w:t>
      </w:r>
      <w:r w:rsidRPr="00146F35">
        <w:t>.</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146F35">
        <w:rPr>
          <w:b/>
          <w:bCs/>
        </w:rPr>
        <w:t>6.  Estimating the Burden and Cost of the Collection</w:t>
      </w:r>
    </w:p>
    <w:p w:rsidR="00CA4CD6" w:rsidRPr="00146F35"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146F35" w:rsidRDefault="00CA4CD6" w:rsidP="004C701D">
      <w:pPr>
        <w:pBdr>
          <w:top w:val="single" w:sz="6" w:space="1" w:color="FFFFFF"/>
          <w:left w:val="single" w:sz="6" w:space="0" w:color="FFFFFF"/>
          <w:bottom w:val="single" w:sz="6" w:space="0" w:color="FFFFFF"/>
          <w:right w:val="single" w:sz="6" w:space="0" w:color="FFFFFF"/>
        </w:pBdr>
        <w:ind w:firstLine="720"/>
      </w:pPr>
      <w:r w:rsidRPr="00146F35">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Pr="00146F35" w:rsidRDefault="00CA4CD6" w:rsidP="004C701D">
      <w:pPr>
        <w:pBdr>
          <w:top w:val="single" w:sz="6" w:space="1" w:color="FFFFFF"/>
          <w:left w:val="single" w:sz="6" w:space="0" w:color="FFFFFF"/>
          <w:bottom w:val="single" w:sz="6" w:space="0" w:color="FFFFFF"/>
          <w:right w:val="single" w:sz="6" w:space="0" w:color="FFFFFF"/>
        </w:pBdr>
      </w:pPr>
    </w:p>
    <w:p w:rsidR="00CA4CD6" w:rsidRPr="00146F35" w:rsidRDefault="00CA4CD6" w:rsidP="004C701D">
      <w:pPr>
        <w:pBdr>
          <w:top w:val="single" w:sz="6" w:space="1" w:color="FFFFFF"/>
          <w:left w:val="single" w:sz="6" w:space="0" w:color="FFFFFF"/>
          <w:bottom w:val="single" w:sz="6" w:space="0" w:color="FFFFFF"/>
          <w:right w:val="single" w:sz="6" w:space="0" w:color="FFFFFF"/>
        </w:pBdr>
        <w:ind w:firstLine="720"/>
      </w:pPr>
      <w:r w:rsidRPr="00146F35">
        <w:t>The Agency may not conduct or sponsor, and a person is not required to respond to, a collection of information unless it displays a currently valid OMB Control Number.</w:t>
      </w:r>
    </w:p>
    <w:p w:rsidR="00CA4CD6" w:rsidRPr="00146F35" w:rsidRDefault="00CA4CD6" w:rsidP="004C701D">
      <w:pPr>
        <w:pBdr>
          <w:top w:val="single" w:sz="6" w:space="1" w:color="FFFFFF"/>
          <w:left w:val="single" w:sz="6" w:space="0" w:color="FFFFFF"/>
          <w:bottom w:val="single" w:sz="6" w:space="0" w:color="FFFFFF"/>
          <w:right w:val="single" w:sz="6" w:space="0" w:color="FFFFFF"/>
        </w:pBdr>
      </w:pPr>
    </w:p>
    <w:p w:rsidR="00CA4CD6" w:rsidRPr="00146F35" w:rsidRDefault="00CA4CD6" w:rsidP="004C701D">
      <w:pPr>
        <w:pBdr>
          <w:top w:val="single" w:sz="6" w:space="1" w:color="FFFFFF"/>
          <w:left w:val="single" w:sz="6" w:space="0" w:color="FFFFFF"/>
          <w:bottom w:val="single" w:sz="6" w:space="0" w:color="FFFFFF"/>
          <w:right w:val="single" w:sz="6" w:space="0" w:color="FFFFFF"/>
        </w:pBdr>
        <w:ind w:firstLine="720"/>
      </w:pPr>
      <w:r w:rsidRPr="00146F35">
        <w:rPr>
          <w:b/>
          <w:bCs/>
        </w:rPr>
        <w:t>6(a)  Estimating Respondent Burden</w:t>
      </w:r>
    </w:p>
    <w:p w:rsidR="00CA4CD6" w:rsidRPr="00146F35" w:rsidRDefault="00CA4CD6" w:rsidP="004C701D">
      <w:pPr>
        <w:pBdr>
          <w:top w:val="single" w:sz="6" w:space="1" w:color="FFFFFF"/>
          <w:left w:val="single" w:sz="6" w:space="0" w:color="FFFFFF"/>
          <w:bottom w:val="single" w:sz="6" w:space="0" w:color="FFFFFF"/>
          <w:right w:val="single" w:sz="6" w:space="0" w:color="FFFFFF"/>
        </w:pBdr>
      </w:pPr>
    </w:p>
    <w:p w:rsidR="00CA4CD6" w:rsidRPr="00146F35" w:rsidRDefault="00CA4CD6" w:rsidP="004C701D">
      <w:pPr>
        <w:pBdr>
          <w:top w:val="single" w:sz="6" w:space="1" w:color="FFFFFF"/>
          <w:left w:val="single" w:sz="6" w:space="0" w:color="FFFFFF"/>
          <w:bottom w:val="single" w:sz="6" w:space="0" w:color="FFFFFF"/>
          <w:right w:val="single" w:sz="6" w:space="0" w:color="FFFFFF"/>
        </w:pBdr>
        <w:ind w:firstLine="720"/>
      </w:pPr>
      <w:r w:rsidRPr="00146F35">
        <w:t>The average annual burden to industry over the next three years from these recordkeeping and reporting requirement</w:t>
      </w:r>
      <w:r w:rsidR="004C701D" w:rsidRPr="00146F35">
        <w:t xml:space="preserve">s is estimated to be </w:t>
      </w:r>
      <w:r w:rsidR="00E83086" w:rsidRPr="00146F35">
        <w:t>36,5</w:t>
      </w:r>
      <w:r w:rsidR="00821D20">
        <w:t>00</w:t>
      </w:r>
      <w:r w:rsidR="00E83086" w:rsidRPr="00146F35">
        <w:t xml:space="preserve"> </w:t>
      </w:r>
      <w:r w:rsidR="004C701D" w:rsidRPr="00146F35">
        <w:t>(</w:t>
      </w:r>
      <w:r w:rsidRPr="00146F35">
        <w:t xml:space="preserve">Total Labor Hours from Table 1). </w:t>
      </w:r>
      <w:r w:rsidR="001C5991" w:rsidRPr="00146F35">
        <w:t xml:space="preserve">  T</w:t>
      </w:r>
      <w:r w:rsidRPr="00146F35">
        <w:t>hese hours are based on Agency studies and background documen</w:t>
      </w:r>
      <w:r w:rsidR="004C701D" w:rsidRPr="00146F35">
        <w:t xml:space="preserve">ts from the development of the </w:t>
      </w:r>
      <w:r w:rsidRPr="00146F35">
        <w:t>regulation, Agency knowledge and experience with the NESHAP</w:t>
      </w:r>
      <w:r w:rsidR="00707FD3" w:rsidRPr="00146F35">
        <w:t xml:space="preserve"> </w:t>
      </w:r>
      <w:r w:rsidRPr="00146F35">
        <w:t>program, the previously approved ICR, and any comments received.</w:t>
      </w:r>
    </w:p>
    <w:p w:rsidR="00CA4CD6" w:rsidRPr="00146F35" w:rsidRDefault="00CA4CD6" w:rsidP="004C701D">
      <w:pPr>
        <w:pBdr>
          <w:top w:val="single" w:sz="6" w:space="1" w:color="FFFFFF"/>
          <w:left w:val="single" w:sz="6" w:space="0" w:color="FFFFFF"/>
          <w:bottom w:val="single" w:sz="6" w:space="0" w:color="FFFFFF"/>
          <w:right w:val="single" w:sz="6" w:space="0" w:color="FFFFFF"/>
        </w:pBdr>
      </w:pPr>
    </w:p>
    <w:p w:rsidR="002712EB" w:rsidRPr="00146F35"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146F35">
        <w:rPr>
          <w:b/>
          <w:bCs/>
        </w:rPr>
        <w:t>6(b)  Estimating Respondent Costs</w:t>
      </w:r>
    </w:p>
    <w:p w:rsidR="002712EB" w:rsidRPr="00146F35" w:rsidRDefault="002712EB" w:rsidP="004C701D">
      <w:pPr>
        <w:pBdr>
          <w:top w:val="single" w:sz="6" w:space="1" w:color="FFFFFF"/>
          <w:left w:val="single" w:sz="6" w:space="0" w:color="FFFFFF"/>
          <w:bottom w:val="single" w:sz="6" w:space="0" w:color="FFFFFF"/>
          <w:right w:val="single" w:sz="6" w:space="0" w:color="FFFFFF"/>
        </w:pBdr>
        <w:rPr>
          <w:b/>
          <w:bCs/>
        </w:rPr>
      </w:pPr>
    </w:p>
    <w:p w:rsidR="002712EB" w:rsidRPr="00146F35"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146F35">
        <w:rPr>
          <w:b/>
          <w:bCs/>
        </w:rPr>
        <w:t>(i)  Estimating Labor Costs</w:t>
      </w:r>
      <w:r w:rsidRPr="00146F35">
        <w:t xml:space="preserve"> </w:t>
      </w:r>
    </w:p>
    <w:p w:rsidR="002712EB" w:rsidRPr="00146F35" w:rsidRDefault="002712EB" w:rsidP="004C701D">
      <w:pPr>
        <w:pBdr>
          <w:top w:val="single" w:sz="6" w:space="1" w:color="FFFFFF"/>
          <w:left w:val="single" w:sz="6" w:space="0" w:color="FFFFFF"/>
          <w:bottom w:val="single" w:sz="6" w:space="0" w:color="FFFFFF"/>
          <w:right w:val="single" w:sz="6" w:space="0" w:color="FFFFFF"/>
        </w:pBdr>
      </w:pPr>
      <w:r w:rsidRPr="00146F35">
        <w:t xml:space="preserve"> </w:t>
      </w:r>
    </w:p>
    <w:p w:rsidR="002712EB" w:rsidRPr="00146F35" w:rsidRDefault="002712EB" w:rsidP="004C701D">
      <w:pPr>
        <w:pBdr>
          <w:top w:val="single" w:sz="6" w:space="1" w:color="FFFFFF"/>
          <w:left w:val="single" w:sz="6" w:space="0" w:color="FFFFFF"/>
          <w:bottom w:val="single" w:sz="6" w:space="0" w:color="FFFFFF"/>
          <w:right w:val="single" w:sz="6" w:space="0" w:color="FFFFFF"/>
        </w:pBdr>
        <w:ind w:firstLine="720"/>
      </w:pPr>
      <w:r w:rsidRPr="00146F35">
        <w:t xml:space="preserve">This ICR uses the following labor rates: </w:t>
      </w:r>
    </w:p>
    <w:p w:rsidR="002712EB" w:rsidRPr="00146F35" w:rsidRDefault="002712EB" w:rsidP="004C701D">
      <w:pPr>
        <w:pBdr>
          <w:top w:val="single" w:sz="6" w:space="1" w:color="FFFFFF"/>
          <w:left w:val="single" w:sz="6" w:space="0" w:color="FFFFFF"/>
          <w:bottom w:val="single" w:sz="6" w:space="0" w:color="FFFFFF"/>
          <w:right w:val="single" w:sz="6" w:space="0" w:color="FFFFFF"/>
        </w:pBdr>
      </w:pPr>
    </w:p>
    <w:p w:rsidR="002712EB" w:rsidRPr="00146F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Managerial</w:t>
      </w:r>
      <w:r w:rsidRPr="00146F35">
        <w:tab/>
        <w:t>$</w:t>
      </w:r>
      <w:r w:rsidR="00BA5BCC" w:rsidRPr="00146F35">
        <w:t>129</w:t>
      </w:r>
      <w:r w:rsidR="004F6FCD" w:rsidRPr="00146F35">
        <w:t>.</w:t>
      </w:r>
      <w:r w:rsidR="00BA5BCC" w:rsidRPr="00146F35">
        <w:t xml:space="preserve">93 </w:t>
      </w:r>
      <w:r w:rsidRPr="00146F35">
        <w:t>($</w:t>
      </w:r>
      <w:r w:rsidR="00BA5BCC" w:rsidRPr="00146F35">
        <w:t>61.87</w:t>
      </w:r>
      <w:r w:rsidR="00D043CA" w:rsidRPr="00146F35">
        <w:t xml:space="preserve"> </w:t>
      </w:r>
      <w:r w:rsidRPr="00146F35">
        <w:t xml:space="preserve">+ 110%)   </w:t>
      </w:r>
    </w:p>
    <w:p w:rsidR="002712EB" w:rsidRPr="00146F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Technical</w:t>
      </w:r>
      <w:r w:rsidRPr="00146F35">
        <w:tab/>
        <w:t>$</w:t>
      </w:r>
      <w:r w:rsidR="00BA5BCC" w:rsidRPr="00146F35">
        <w:t>103</w:t>
      </w:r>
      <w:r w:rsidR="00861489" w:rsidRPr="00146F35">
        <w:t>.</w:t>
      </w:r>
      <w:r w:rsidR="00BA5BCC" w:rsidRPr="00146F35">
        <w:t xml:space="preserve">97 </w:t>
      </w:r>
      <w:r w:rsidRPr="00146F35">
        <w:t>($</w:t>
      </w:r>
      <w:r w:rsidR="00BA5BCC" w:rsidRPr="00146F35">
        <w:t>49.51</w:t>
      </w:r>
      <w:r w:rsidRPr="00146F35">
        <w:t xml:space="preserve"> + 110%)</w:t>
      </w:r>
    </w:p>
    <w:p w:rsidR="002712EB" w:rsidRPr="00146F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Clerical</w:t>
      </w:r>
      <w:r w:rsidRPr="00146F35">
        <w:tab/>
        <w:t>$</w:t>
      </w:r>
      <w:r w:rsidR="00102B52" w:rsidRPr="00146F35">
        <w:t>5</w:t>
      </w:r>
      <w:r w:rsidR="00F87E6A" w:rsidRPr="00146F35">
        <w:t>1</w:t>
      </w:r>
      <w:r w:rsidRPr="00146F35">
        <w:t>.</w:t>
      </w:r>
      <w:r w:rsidR="00BA5BCC" w:rsidRPr="00146F35">
        <w:t xml:space="preserve">79 </w:t>
      </w:r>
      <w:r w:rsidRPr="00146F35">
        <w:t>($2</w:t>
      </w:r>
      <w:r w:rsidR="00102B52" w:rsidRPr="00146F35">
        <w:t>4</w:t>
      </w:r>
      <w:r w:rsidRPr="00146F35">
        <w:t>.</w:t>
      </w:r>
      <w:r w:rsidR="00BA5BCC" w:rsidRPr="00146F35">
        <w:t xml:space="preserve">66 </w:t>
      </w:r>
      <w:r w:rsidRPr="00146F35">
        <w:t>+ 110%)</w:t>
      </w:r>
    </w:p>
    <w:p w:rsidR="002712EB" w:rsidRPr="00146F35" w:rsidRDefault="002712EB" w:rsidP="002712EB">
      <w:pPr>
        <w:pBdr>
          <w:top w:val="single" w:sz="6" w:space="0" w:color="FFFFFF"/>
          <w:left w:val="single" w:sz="6" w:space="0" w:color="FFFFFF"/>
          <w:bottom w:val="single" w:sz="6" w:space="0" w:color="FFFFFF"/>
          <w:right w:val="single" w:sz="6" w:space="0" w:color="FFFFFF"/>
        </w:pBdr>
      </w:pPr>
    </w:p>
    <w:p w:rsidR="002712EB" w:rsidRPr="00146F35" w:rsidRDefault="002712EB" w:rsidP="0081579D">
      <w:pPr>
        <w:pBdr>
          <w:top w:val="single" w:sz="6" w:space="0" w:color="FFFFFF"/>
          <w:left w:val="single" w:sz="6" w:space="0" w:color="FFFFFF"/>
          <w:bottom w:val="single" w:sz="6" w:space="0" w:color="FFFFFF"/>
          <w:right w:val="single" w:sz="6" w:space="0" w:color="FFFFFF"/>
        </w:pBdr>
      </w:pPr>
      <w:r w:rsidRPr="00146F35">
        <w:t xml:space="preserve">These rates are from the United States Department of Labor, Bureau of Labor Statistics, </w:t>
      </w:r>
      <w:r w:rsidR="00BA5BCC" w:rsidRPr="00146F35">
        <w:t xml:space="preserve">June </w:t>
      </w:r>
      <w:r w:rsidR="00D043CA" w:rsidRPr="00146F35">
        <w:t>2014</w:t>
      </w:r>
      <w:r w:rsidRPr="00146F35">
        <w:t xml:space="preserve">, </w:t>
      </w:r>
      <w:r w:rsidR="004C701D" w:rsidRPr="00146F35">
        <w:t>“</w:t>
      </w:r>
      <w:r w:rsidRPr="00146F35">
        <w:t>Table 2. Civilian Workers, by occupational and industry group.</w:t>
      </w:r>
      <w:r w:rsidR="004C701D" w:rsidRPr="00146F35">
        <w:t>”</w:t>
      </w:r>
      <w:r w:rsidRPr="00146F35">
        <w:t xml:space="preserve">  The rates are from column 1, </w:t>
      </w:r>
      <w:r w:rsidR="004C701D" w:rsidRPr="00146F35">
        <w:t>“</w:t>
      </w:r>
      <w:r w:rsidRPr="00146F35">
        <w:t>Total compensation.</w:t>
      </w:r>
      <w:r w:rsidR="004C701D" w:rsidRPr="00146F35">
        <w:t>”</w:t>
      </w:r>
      <w:r w:rsidRPr="00146F35">
        <w:t xml:space="preserve">  The rates have been increased by 110 percent to account for the benefit packages available to those employed by private industry.</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146F35">
        <w:rPr>
          <w:b/>
          <w:bCs/>
        </w:rPr>
        <w:t>(ii)  Estimating Capital/Startup and Operation and Maintenance Costs</w:t>
      </w:r>
    </w:p>
    <w:p w:rsidR="006F69F5" w:rsidRPr="00146F35" w:rsidRDefault="006F69F5" w:rsidP="00504745">
      <w:pPr>
        <w:pBdr>
          <w:top w:val="single" w:sz="6" w:space="0" w:color="FFFFFF"/>
          <w:left w:val="single" w:sz="6" w:space="0" w:color="FFFFFF"/>
          <w:bottom w:val="single" w:sz="6" w:space="0" w:color="FFFFFF"/>
          <w:right w:val="single" w:sz="6" w:space="0" w:color="FFFFFF"/>
        </w:pBdr>
        <w:ind w:firstLine="1440"/>
        <w:outlineLvl w:val="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type of industry costs associated with the information collection activities in the subject standard are both labor costs which are addressed elsewhere in this ICR and the costs </w:t>
      </w:r>
      <w:r w:rsidRPr="00146F35">
        <w:lastRenderedPageBreak/>
        <w:t>associated with continuous monitoring.  Th</w:t>
      </w:r>
      <w:r w:rsidR="006F69F5">
        <w:t>e capital/startup costs are one-</w:t>
      </w:r>
      <w:r w:rsidRPr="00146F35">
        <w:t>time costs when a facility becomes subject to the regulation.  The annual operation and maintenance costs are the ongoing costs to maintain the monitors and other costs such as photocopying and postage.</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146F35">
        <w:rPr>
          <w:b/>
          <w:bCs/>
        </w:rPr>
        <w:t>(iii)  Capital/Startup vs. Operation and Maintenance (O&amp;M) Costs</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458"/>
      </w:tblGrid>
      <w:tr w:rsidR="00A73600" w:rsidRPr="00146F35" w:rsidTr="00D077F6">
        <w:trPr>
          <w:tblHeader/>
        </w:trPr>
        <w:tc>
          <w:tcPr>
            <w:tcW w:w="9468" w:type="dxa"/>
            <w:gridSpan w:val="7"/>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Capital/Startup vs. Operation and Maintenance (O&amp;M) Costs</w:t>
            </w:r>
          </w:p>
        </w:tc>
      </w:tr>
      <w:tr w:rsidR="00CA4CD6" w:rsidRPr="00146F35" w:rsidTr="00D077F6">
        <w:tc>
          <w:tcPr>
            <w:tcW w:w="117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b/>
                <w:bCs/>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(A)</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(B)</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(C)</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(D)</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(E)</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(F)</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Respondents  with O&amp;M</w:t>
            </w:r>
          </w:p>
        </w:tc>
        <w:tc>
          <w:tcPr>
            <w:tcW w:w="1458" w:type="dxa"/>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(G)</w:t>
            </w:r>
          </w:p>
          <w:p w:rsidR="00CA4CD6" w:rsidRPr="00146F35" w:rsidRDefault="00CA4CD6">
            <w:pPr>
              <w:pBdr>
                <w:top w:val="single" w:sz="6" w:space="0" w:color="FFFFFF"/>
                <w:left w:val="single" w:sz="6" w:space="0" w:color="FFFFFF"/>
                <w:bottom w:val="single" w:sz="6" w:space="0" w:color="FFFFFF"/>
                <w:right w:val="single" w:sz="6" w:space="0" w:color="FFFFFF"/>
              </w:pBdr>
              <w:rPr>
                <w:sz w:val="20"/>
                <w:szCs w:val="20"/>
              </w:rPr>
            </w:pPr>
            <w:r w:rsidRPr="00146F35">
              <w:rPr>
                <w:sz w:val="20"/>
                <w:szCs w:val="20"/>
              </w:rPr>
              <w:t>Total O&amp;M,</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(E X F)</w:t>
            </w:r>
          </w:p>
        </w:tc>
      </w:tr>
      <w:tr w:rsidR="00D077F6" w:rsidRPr="00146F35" w:rsidTr="00D077F6">
        <w:tc>
          <w:tcPr>
            <w:tcW w:w="117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CEM</w:t>
            </w:r>
          </w:p>
        </w:tc>
        <w:tc>
          <w:tcPr>
            <w:tcW w:w="144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$16,000</w:t>
            </w:r>
          </w:p>
        </w:tc>
        <w:tc>
          <w:tcPr>
            <w:tcW w:w="135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4</w:t>
            </w:r>
          </w:p>
        </w:tc>
        <w:tc>
          <w:tcPr>
            <w:tcW w:w="144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$64,000</w:t>
            </w:r>
          </w:p>
        </w:tc>
        <w:tc>
          <w:tcPr>
            <w:tcW w:w="135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$5,</w:t>
            </w:r>
            <w:r w:rsidR="006F69F5">
              <w:rPr>
                <w:sz w:val="20"/>
              </w:rPr>
              <w:t>4</w:t>
            </w:r>
            <w:r w:rsidRPr="00146F35">
              <w:rPr>
                <w:sz w:val="20"/>
              </w:rPr>
              <w:t>00</w:t>
            </w:r>
          </w:p>
        </w:tc>
        <w:tc>
          <w:tcPr>
            <w:tcW w:w="1260" w:type="dxa"/>
            <w:tcBorders>
              <w:top w:val="single" w:sz="7" w:space="0" w:color="000000"/>
              <w:left w:val="single" w:sz="7" w:space="0" w:color="000000"/>
              <w:bottom w:val="single" w:sz="7" w:space="0" w:color="000000"/>
              <w:right w:val="single" w:sz="6" w:space="0" w:color="FFFFFF"/>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114</w:t>
            </w:r>
          </w:p>
        </w:tc>
        <w:tc>
          <w:tcPr>
            <w:tcW w:w="1458" w:type="dxa"/>
            <w:tcBorders>
              <w:top w:val="single" w:sz="7" w:space="0" w:color="000000"/>
              <w:left w:val="single" w:sz="7" w:space="0" w:color="000000"/>
              <w:bottom w:val="single" w:sz="7" w:space="0" w:color="000000"/>
              <w:right w:val="single" w:sz="7" w:space="0" w:color="000000"/>
            </w:tcBorders>
            <w:vAlign w:val="center"/>
          </w:tcPr>
          <w:p w:rsidR="00D077F6" w:rsidRPr="00146F35" w:rsidRDefault="00D077F6" w:rsidP="006F69F5">
            <w:pPr>
              <w:pBdr>
                <w:top w:val="single" w:sz="6" w:space="0" w:color="FFFFFF"/>
                <w:left w:val="single" w:sz="6" w:space="0" w:color="FFFFFF"/>
                <w:bottom w:val="single" w:sz="6" w:space="0" w:color="FFFFFF"/>
                <w:right w:val="single" w:sz="6" w:space="0" w:color="FFFFFF"/>
              </w:pBdr>
              <w:spacing w:after="72"/>
              <w:jc w:val="center"/>
            </w:pPr>
            <w:r w:rsidRPr="00146F35">
              <w:rPr>
                <w:sz w:val="20"/>
              </w:rPr>
              <w:t>$</w:t>
            </w:r>
            <w:r w:rsidR="006F69F5">
              <w:rPr>
                <w:sz w:val="20"/>
              </w:rPr>
              <w:t>615</w:t>
            </w:r>
            <w:r w:rsidRPr="00146F35">
              <w:rPr>
                <w:sz w:val="20"/>
              </w:rPr>
              <w:t>,</w:t>
            </w:r>
            <w:r w:rsidR="006F69F5">
              <w:rPr>
                <w:sz w:val="20"/>
              </w:rPr>
              <w:t>6</w:t>
            </w:r>
            <w:r w:rsidRPr="00146F35">
              <w:rPr>
                <w:sz w:val="20"/>
              </w:rPr>
              <w:t>00</w:t>
            </w:r>
          </w:p>
        </w:tc>
      </w:tr>
      <w:tr w:rsidR="00821D20" w:rsidRPr="00821D20" w:rsidTr="00D077F6">
        <w:tc>
          <w:tcPr>
            <w:tcW w:w="117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Total (rounded)</w:t>
            </w:r>
          </w:p>
        </w:tc>
        <w:tc>
          <w:tcPr>
            <w:tcW w:w="144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$64,000</w:t>
            </w:r>
          </w:p>
        </w:tc>
        <w:tc>
          <w:tcPr>
            <w:tcW w:w="135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p>
        </w:tc>
        <w:tc>
          <w:tcPr>
            <w:tcW w:w="1458" w:type="dxa"/>
            <w:tcBorders>
              <w:top w:val="single" w:sz="7" w:space="0" w:color="000000"/>
              <w:left w:val="single" w:sz="7" w:space="0" w:color="000000"/>
              <w:bottom w:val="single" w:sz="7" w:space="0" w:color="000000"/>
              <w:right w:val="single" w:sz="7" w:space="0" w:color="000000"/>
            </w:tcBorders>
            <w:vAlign w:val="center"/>
          </w:tcPr>
          <w:p w:rsidR="00821D20" w:rsidRPr="00821D20" w:rsidRDefault="00821D20" w:rsidP="006F69F5">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$616,000</w:t>
            </w:r>
          </w:p>
        </w:tc>
      </w:tr>
    </w:tbl>
    <w:p w:rsidR="00CA4CD6" w:rsidRDefault="006F69F5" w:rsidP="006F69F5">
      <w:r w:rsidRPr="006C5E21">
        <w:rPr>
          <w:sz w:val="20"/>
          <w:vertAlign w:val="superscript"/>
        </w:rPr>
        <w:t>1</w:t>
      </w:r>
      <w:r w:rsidRPr="006C5E21">
        <w:rPr>
          <w:sz w:val="20"/>
        </w:rPr>
        <w:t>Comments received from Whirlpool Corporation during industry consultation suggested that annual O&amp;M cost can vary from 24 to 80 hours at a technicians pay grade. To calculate annual O&amp;M costs, an average of 52 hours was assumed and multiplied by the technical labor rate of $</w:t>
      </w:r>
      <w:r>
        <w:rPr>
          <w:sz w:val="20"/>
        </w:rPr>
        <w:t>103.97</w:t>
      </w:r>
      <w:r w:rsidRPr="006C5E21">
        <w:rPr>
          <w:sz w:val="20"/>
        </w:rPr>
        <w:t>.</w:t>
      </w:r>
      <w:r w:rsidR="00CA4CD6" w:rsidRPr="00146F35">
        <w:t xml:space="preserve"> </w:t>
      </w:r>
      <w:r w:rsidR="00CA4CD6" w:rsidRPr="00146F35">
        <w:tab/>
      </w:r>
    </w:p>
    <w:p w:rsidR="00821D20" w:rsidRPr="00821D20" w:rsidRDefault="00821D20" w:rsidP="006F69F5">
      <w:pPr>
        <w:rPr>
          <w:sz w:val="20"/>
          <w:szCs w:val="20"/>
        </w:rPr>
      </w:pPr>
      <w:r w:rsidRPr="00821D20">
        <w:rPr>
          <w:sz w:val="20"/>
          <w:szCs w:val="20"/>
        </w:rPr>
        <w:t xml:space="preserve">Note: Totals have been rounded to 3 significant digits. Figures may not add exactly due to rounding. </w:t>
      </w:r>
    </w:p>
    <w:p w:rsidR="006F69F5" w:rsidRPr="00146F35" w:rsidRDefault="006F69F5">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total capital/startup costs for this ICR are $</w:t>
      </w:r>
      <w:r w:rsidR="00D077F6" w:rsidRPr="00146F35">
        <w:t>64,000</w:t>
      </w:r>
      <w:r w:rsidRPr="00146F35">
        <w:t>.  This is the total o</w:t>
      </w:r>
      <w:r w:rsidR="00507EC5" w:rsidRPr="00146F35">
        <w:t xml:space="preserve">f column D in the above table.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total operation and maintenance (</w:t>
      </w:r>
      <w:r w:rsidR="003F1AFC" w:rsidRPr="00146F35">
        <w:t>O&amp;M) costs for this ICR are $</w:t>
      </w:r>
      <w:r w:rsidR="006F69F5">
        <w:t>61</w:t>
      </w:r>
      <w:r w:rsidR="00821D20">
        <w:t>6</w:t>
      </w:r>
      <w:r w:rsidR="00D077F6" w:rsidRPr="00146F35">
        <w:t>,</w:t>
      </w:r>
      <w:r w:rsidR="00821D20">
        <w:t>0</w:t>
      </w:r>
      <w:r w:rsidR="00D077F6" w:rsidRPr="00146F35">
        <w:t>00</w:t>
      </w:r>
      <w:r w:rsidRPr="00146F35">
        <w:t xml:space="preserve">.  </w:t>
      </w:r>
      <w:r w:rsidR="00507EC5" w:rsidRPr="00146F35">
        <w:t xml:space="preserve">This is the total of column G. </w:t>
      </w:r>
    </w:p>
    <w:p w:rsidR="004C701D" w:rsidRPr="00146F35" w:rsidRDefault="004C701D">
      <w:pPr>
        <w:pBdr>
          <w:top w:val="single" w:sz="6" w:space="0" w:color="FFFFFF"/>
          <w:left w:val="single" w:sz="6" w:space="0" w:color="FFFFFF"/>
          <w:bottom w:val="single" w:sz="6" w:space="0" w:color="FFFFFF"/>
          <w:right w:val="single" w:sz="6" w:space="0" w:color="FFFFFF"/>
        </w:pBdr>
        <w:ind w:firstLine="720"/>
      </w:pPr>
    </w:p>
    <w:p w:rsidR="004B1F6C"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average annual cost for capital/startup and operation and maintenance costs to industry over the next three years of the ICR is estimated to be $</w:t>
      </w:r>
      <w:r w:rsidR="00D077F6" w:rsidRPr="00146F35">
        <w:t>6</w:t>
      </w:r>
      <w:r w:rsidR="00821D20">
        <w:t>80</w:t>
      </w:r>
      <w:r w:rsidR="00D077F6" w:rsidRPr="00146F35">
        <w:t>,</w:t>
      </w:r>
      <w:r w:rsidR="00821D20">
        <w:t>0</w:t>
      </w:r>
      <w:r w:rsidR="00D077F6" w:rsidRPr="00146F35">
        <w:t>00</w:t>
      </w:r>
      <w:r w:rsidRPr="00146F35">
        <w:t xml:space="preserve">. </w:t>
      </w:r>
      <w:r w:rsidR="001C5991" w:rsidRPr="00146F35">
        <w:t xml:space="preserve">  These are recordkeeping costs</w:t>
      </w:r>
      <w:r w:rsidR="00D077F6" w:rsidRPr="00146F35">
        <w:t>.</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rPr>
          <w:b/>
          <w:bCs/>
        </w:rPr>
        <w:t>6(c)  Estimating Agency Burden and Cost</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only costs to the Agency are those costs associated with analysis of the reported information.  EPA's overall compliance and enforcement program i</w:t>
      </w:r>
      <w:r w:rsidR="005C42AC" w:rsidRPr="00146F35">
        <w:t xml:space="preserve">ncludes activities such as the </w:t>
      </w:r>
      <w:r w:rsidRPr="00146F35">
        <w:t>examination of records maint</w:t>
      </w:r>
      <w:r w:rsidR="0035325B" w:rsidRPr="00146F35">
        <w:t xml:space="preserve">ained by the respondents, </w:t>
      </w:r>
      <w:r w:rsidRPr="00146F35">
        <w:t xml:space="preserve">periodic inspection of sources of emissions, and the publication and distribution of collected information.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The average annual Agency cost during the three years of the ICR is estimated to be $</w:t>
      </w:r>
      <w:r w:rsidR="00EC40F1" w:rsidRPr="00146F35">
        <w:t>154,</w:t>
      </w:r>
      <w:r w:rsidR="00821D20">
        <w:t>000</w:t>
      </w:r>
      <w:r w:rsidRPr="00146F35">
        <w:t xml:space="preserve">.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This cost is based on the average hourly labor rate as follows:</w:t>
      </w:r>
    </w:p>
    <w:p w:rsidR="00D2273E" w:rsidRPr="00146F35" w:rsidRDefault="00D2273E" w:rsidP="00D2273E"/>
    <w:p w:rsidR="00CA4CD6" w:rsidRPr="00146F35" w:rsidRDefault="00D2273E" w:rsidP="00D2273E">
      <w:r w:rsidRPr="00146F35">
        <w:tab/>
      </w:r>
      <w:r w:rsidRPr="00146F35">
        <w:tab/>
      </w:r>
      <w:r w:rsidR="00CA4CD6" w:rsidRPr="00146F35">
        <w:t>Managerial</w:t>
      </w:r>
      <w:r w:rsidR="00CA4CD6" w:rsidRPr="00146F35">
        <w:tab/>
        <w:t>$</w:t>
      </w:r>
      <w:r w:rsidR="00A038EC" w:rsidRPr="00146F35">
        <w:t>6</w:t>
      </w:r>
      <w:r w:rsidR="002B517F" w:rsidRPr="00146F35">
        <w:t>2.</w:t>
      </w:r>
      <w:r w:rsidR="003D536B" w:rsidRPr="00146F35">
        <w:t>90</w:t>
      </w:r>
      <w:r w:rsidR="00CA4CD6" w:rsidRPr="00146F35">
        <w:t xml:space="preserve"> (GS-13, Step 5, $</w:t>
      </w:r>
      <w:r w:rsidR="009018EC" w:rsidRPr="00146F35">
        <w:t>3</w:t>
      </w:r>
      <w:r w:rsidR="003D536B" w:rsidRPr="00146F35">
        <w:t>9.31</w:t>
      </w:r>
      <w:r w:rsidR="00CA4CD6" w:rsidRPr="00146F35">
        <w:t xml:space="preserve"> </w:t>
      </w:r>
      <w:r w:rsidR="00E77D5E" w:rsidRPr="00146F35">
        <w:t>+ 60%</w:t>
      </w:r>
      <w:r w:rsidR="00D46FA2" w:rsidRPr="00146F35">
        <w:t xml:space="preserve">) </w:t>
      </w:r>
    </w:p>
    <w:p w:rsidR="00CA4CD6" w:rsidRPr="00146F35" w:rsidRDefault="00D2273E" w:rsidP="00D2273E">
      <w:r w:rsidRPr="00146F35">
        <w:tab/>
      </w:r>
      <w:r w:rsidRPr="00146F35">
        <w:tab/>
      </w:r>
      <w:r w:rsidR="00CA4CD6" w:rsidRPr="00146F35">
        <w:t>Technical</w:t>
      </w:r>
      <w:r w:rsidR="00CA4CD6" w:rsidRPr="00146F35">
        <w:tab/>
        <w:t>$</w:t>
      </w:r>
      <w:r w:rsidR="009018EC" w:rsidRPr="00146F35">
        <w:t>4</w:t>
      </w:r>
      <w:r w:rsidR="002B517F" w:rsidRPr="00146F35">
        <w:t>6</w:t>
      </w:r>
      <w:r w:rsidR="00A038EC" w:rsidRPr="00146F35">
        <w:t>.</w:t>
      </w:r>
      <w:r w:rsidR="003D536B" w:rsidRPr="00146F35">
        <w:t>67</w:t>
      </w:r>
      <w:r w:rsidR="00CA4CD6" w:rsidRPr="00146F35">
        <w:t xml:space="preserve"> (GS-12, Step 1, $</w:t>
      </w:r>
      <w:r w:rsidR="00A038EC" w:rsidRPr="00146F35">
        <w:t>2</w:t>
      </w:r>
      <w:r w:rsidR="003D536B" w:rsidRPr="00146F35">
        <w:t>9</w:t>
      </w:r>
      <w:r w:rsidR="00A038EC" w:rsidRPr="00146F35">
        <w:t>.</w:t>
      </w:r>
      <w:r w:rsidR="003D536B" w:rsidRPr="00146F35">
        <w:t>17</w:t>
      </w:r>
      <w:r w:rsidR="00CA4CD6" w:rsidRPr="00146F35">
        <w:t xml:space="preserve"> </w:t>
      </w:r>
      <w:r w:rsidR="00E77D5E" w:rsidRPr="00146F35">
        <w:t>+ 60%</w:t>
      </w:r>
      <w:r w:rsidR="00CA4CD6" w:rsidRPr="00146F35">
        <w:t>)</w:t>
      </w:r>
    </w:p>
    <w:p w:rsidR="00CA4CD6" w:rsidRPr="00146F35" w:rsidRDefault="00D2273E" w:rsidP="00D2273E">
      <w:r w:rsidRPr="00146F35">
        <w:tab/>
      </w:r>
      <w:r w:rsidRPr="00146F35">
        <w:tab/>
      </w:r>
      <w:r w:rsidR="00CA4CD6" w:rsidRPr="00146F35">
        <w:t>Clerical</w:t>
      </w:r>
      <w:r w:rsidR="00CA4CD6" w:rsidRPr="00146F35">
        <w:tab/>
        <w:t>$2</w:t>
      </w:r>
      <w:r w:rsidR="002B517F" w:rsidRPr="00146F35">
        <w:t>5.</w:t>
      </w:r>
      <w:r w:rsidR="003D536B" w:rsidRPr="00146F35">
        <w:t>25</w:t>
      </w:r>
      <w:r w:rsidR="00CA4CD6" w:rsidRPr="00146F35">
        <w:t xml:space="preserve"> (GS-6, Step 3, $</w:t>
      </w:r>
      <w:r w:rsidR="00A038EC" w:rsidRPr="00146F35">
        <w:t>15.</w:t>
      </w:r>
      <w:r w:rsidR="003D536B" w:rsidRPr="00146F35">
        <w:t>78</w:t>
      </w:r>
      <w:r w:rsidR="00CA4CD6" w:rsidRPr="00146F35">
        <w:t xml:space="preserve"> </w:t>
      </w:r>
      <w:r w:rsidR="00E77D5E" w:rsidRPr="00146F35">
        <w:t>+ 60%</w:t>
      </w:r>
      <w:r w:rsidR="00CA4CD6" w:rsidRPr="00146F35">
        <w:t>)</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pPr>
      <w:r w:rsidRPr="00146F35">
        <w:t>These rates are from the Office of Personnel Management (OPM)</w:t>
      </w:r>
      <w:r w:rsidR="007A458D" w:rsidRPr="00146F35">
        <w:t>,</w:t>
      </w:r>
      <w:r w:rsidRPr="00146F35">
        <w:t xml:space="preserve"> 20</w:t>
      </w:r>
      <w:r w:rsidR="002B517F" w:rsidRPr="00146F35">
        <w:t>1</w:t>
      </w:r>
      <w:r w:rsidR="003D536B" w:rsidRPr="00146F35">
        <w:t>4</w:t>
      </w:r>
      <w:r w:rsidRPr="00146F35">
        <w:t xml:space="preserve"> General Schedule</w:t>
      </w:r>
      <w:r w:rsidR="007A458D" w:rsidRPr="00146F35">
        <w:t>,</w:t>
      </w:r>
      <w:r w:rsidRPr="00146F35">
        <w:t xml:space="preserve"> which excludes locality rates of pay.</w:t>
      </w:r>
      <w:r w:rsidR="00E77D5E" w:rsidRPr="00146F35">
        <w:t xml:space="preserve">  The rates have been increased by 60</w:t>
      </w:r>
      <w:r w:rsidR="00D2273E" w:rsidRPr="00146F35">
        <w:t xml:space="preserve"> percent</w:t>
      </w:r>
      <w:r w:rsidR="00E77D5E" w:rsidRPr="00146F35">
        <w:t xml:space="preserve"> to account for the benefit packages available to government employees.  </w:t>
      </w:r>
      <w:r w:rsidRPr="00146F35">
        <w:t xml:space="preserve">Details upon which this estimate is based appear </w:t>
      </w:r>
      <w:r w:rsidR="007A458D" w:rsidRPr="00146F35">
        <w:t xml:space="preserve">below in </w:t>
      </w:r>
      <w:r w:rsidRPr="00146F35">
        <w:t xml:space="preserve">Table 2: </w:t>
      </w:r>
      <w:r w:rsidR="00CF2B37" w:rsidRPr="00146F35">
        <w:t>Average Annual EPA Burden and Cost –</w:t>
      </w:r>
      <w:r w:rsidR="00144F35" w:rsidRPr="00146F35">
        <w:t xml:space="preserve"> </w:t>
      </w:r>
      <w:r w:rsidR="00AB549D" w:rsidRPr="00146F35">
        <w:rPr>
          <w:bCs/>
        </w:rPr>
        <w:t>NESHAP for the Surface Coating of Large Household and Commercial Appliances (40 CFR Part 63, Subpart NNNN)</w:t>
      </w:r>
      <w:r w:rsidR="00AB549D" w:rsidRPr="00146F35" w:rsidDel="00AB549D">
        <w:t xml:space="preserve"> </w:t>
      </w:r>
      <w:r w:rsidR="00AB549D" w:rsidRPr="00146F35">
        <w:t>(Renewal).</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rPr>
          <w:b/>
          <w:bCs/>
        </w:rPr>
      </w:pPr>
      <w:r w:rsidRPr="00146F35">
        <w:rPr>
          <w:b/>
          <w:bCs/>
        </w:rPr>
        <w:t>6(d)  Estimating the Respondent Universe and Total Burden and Costs</w:t>
      </w:r>
    </w:p>
    <w:p w:rsidR="00CA4CD6" w:rsidRPr="00146F35" w:rsidRDefault="00CA4CD6">
      <w:pPr>
        <w:pBdr>
          <w:top w:val="single" w:sz="6" w:space="0" w:color="FFFFFF"/>
          <w:left w:val="single" w:sz="6" w:space="0" w:color="FFFFFF"/>
          <w:bottom w:val="single" w:sz="6" w:space="0" w:color="FFFFFF"/>
          <w:right w:val="single" w:sz="6" w:space="0" w:color="FFFFFF"/>
        </w:pBdr>
        <w:rPr>
          <w:b/>
          <w:bCs/>
        </w:rP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Based on our research for this ICR, on average over the next three years, approximately </w:t>
      </w:r>
      <w:r w:rsidR="00D077F6" w:rsidRPr="00146F35">
        <w:t>110</w:t>
      </w:r>
      <w:r w:rsidRPr="00146F35">
        <w:t xml:space="preserve"> existing respondents will be subject to the standard.  It is estimated that an additional </w:t>
      </w:r>
      <w:r w:rsidR="00D077F6" w:rsidRPr="00146F35">
        <w:t>four</w:t>
      </w:r>
      <w:r w:rsidRPr="00146F35">
        <w:t xml:space="preserve"> respondents per year will become subject.  The overall average number of responden</w:t>
      </w:r>
      <w:r w:rsidR="0035325B" w:rsidRPr="00146F35">
        <w:t>ts, as shown in the table below,</w:t>
      </w:r>
      <w:r w:rsidRPr="00146F35">
        <w:t xml:space="preserve"> is </w:t>
      </w:r>
      <w:r w:rsidR="00D077F6" w:rsidRPr="00146F35">
        <w:t>114</w:t>
      </w:r>
      <w:r w:rsidRPr="00146F35">
        <w:t xml:space="preserve"> per year.  </w:t>
      </w:r>
    </w:p>
    <w:p w:rsidR="00CA4CD6" w:rsidRPr="00146F35" w:rsidRDefault="00CA4CD6">
      <w:pPr>
        <w:pBdr>
          <w:top w:val="single" w:sz="6" w:space="0" w:color="FFFFFF"/>
          <w:left w:val="single" w:sz="6" w:space="0" w:color="FFFFFF"/>
          <w:bottom w:val="single" w:sz="6" w:space="0" w:color="FFFFFF"/>
          <w:right w:val="single" w:sz="6" w:space="0" w:color="FFFFFF"/>
        </w:pBdr>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number of respondents is calculated using the following table </w:t>
      </w:r>
      <w:r w:rsidR="002B29A7" w:rsidRPr="00146F35">
        <w:t xml:space="preserve">that </w:t>
      </w:r>
      <w:r w:rsidRPr="00146F35">
        <w:t xml:space="preserve">addresses the three years covered by this ICR.  </w:t>
      </w:r>
    </w:p>
    <w:p w:rsidR="00CA4CD6" w:rsidRPr="00146F35"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146F35" w:rsidTr="008779D0">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Number of Respondents</w:t>
            </w:r>
          </w:p>
        </w:tc>
      </w:tr>
      <w:tr w:rsidR="00A73600" w:rsidRPr="00146F35" w:rsidTr="008779D0">
        <w:tc>
          <w:tcPr>
            <w:tcW w:w="90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b/>
                <w:bCs/>
              </w:rPr>
            </w:pP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18"/>
                <w:szCs w:val="18"/>
              </w:rPr>
            </w:pP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146F35">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146F35" w:rsidRDefault="00CA4CD6">
            <w:pPr>
              <w:spacing w:line="120" w:lineRule="exact"/>
              <w:rPr>
                <w:sz w:val="18"/>
                <w:szCs w:val="18"/>
              </w:rPr>
            </w:pP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146F35">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Pr="00146F35" w:rsidRDefault="00CA4CD6">
            <w:pPr>
              <w:spacing w:line="120" w:lineRule="exact"/>
              <w:rPr>
                <w:sz w:val="18"/>
                <w:szCs w:val="18"/>
              </w:rPr>
            </w:pP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146F35" w:rsidTr="003F1AFC">
        <w:tc>
          <w:tcPr>
            <w:tcW w:w="900" w:type="dxa"/>
            <w:tcBorders>
              <w:top w:val="single" w:sz="7" w:space="0" w:color="000000"/>
              <w:left w:val="single" w:sz="7" w:space="0" w:color="000000"/>
              <w:bottom w:val="single" w:sz="8" w:space="0" w:color="000000"/>
              <w:right w:val="single" w:sz="6" w:space="0" w:color="FFFFFF"/>
            </w:tcBorders>
          </w:tcPr>
          <w:p w:rsidR="00CA4CD6" w:rsidRPr="00146F35" w:rsidRDefault="00CA4CD6">
            <w:pPr>
              <w:spacing w:line="120" w:lineRule="exact"/>
              <w:rPr>
                <w:sz w:val="18"/>
                <w:szCs w:val="18"/>
              </w:rPr>
            </w:pPr>
          </w:p>
          <w:p w:rsidR="00CA4CD6" w:rsidRPr="00146F35"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146F35">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(A)</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 xml:space="preserve">Number of New Respondents </w:t>
            </w:r>
            <w:r w:rsidRPr="00146F35">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(B)</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(C)</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(D)</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Pr="00146F35" w:rsidRDefault="00CA4CD6">
            <w:pPr>
              <w:spacing w:line="120" w:lineRule="exact"/>
              <w:rPr>
                <w:sz w:val="20"/>
                <w:szCs w:val="20"/>
              </w:rPr>
            </w:pPr>
          </w:p>
          <w:p w:rsidR="00CA4CD6" w:rsidRPr="00146F3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(E)</w:t>
            </w:r>
          </w:p>
          <w:p w:rsidR="00CA4CD6" w:rsidRPr="00146F35" w:rsidRDefault="00CA4CD6">
            <w:pPr>
              <w:pBdr>
                <w:top w:val="single" w:sz="6" w:space="0" w:color="FFFFFF"/>
                <w:left w:val="single" w:sz="6" w:space="0" w:color="FFFFFF"/>
                <w:bottom w:val="single" w:sz="6" w:space="0" w:color="FFFFFF"/>
                <w:right w:val="single" w:sz="6" w:space="0" w:color="FFFFFF"/>
              </w:pBdr>
              <w:rPr>
                <w:sz w:val="20"/>
                <w:szCs w:val="20"/>
              </w:rPr>
            </w:pPr>
            <w:r w:rsidRPr="00146F35">
              <w:rPr>
                <w:sz w:val="20"/>
                <w:szCs w:val="20"/>
              </w:rPr>
              <w:t>Number of Respondents</w:t>
            </w:r>
          </w:p>
          <w:p w:rsidR="00CA4CD6" w:rsidRPr="00146F3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(E=A+B+C-D)</w:t>
            </w:r>
          </w:p>
        </w:tc>
      </w:tr>
      <w:tr w:rsidR="00D077F6" w:rsidRPr="00146F35" w:rsidTr="00424208">
        <w:tc>
          <w:tcPr>
            <w:tcW w:w="900" w:type="dxa"/>
            <w:tcBorders>
              <w:top w:val="single" w:sz="8" w:space="0" w:color="000000"/>
              <w:left w:val="single" w:sz="8" w:space="0" w:color="000000"/>
              <w:bottom w:val="single" w:sz="6" w:space="0" w:color="000000"/>
              <w:right w:val="single" w:sz="6" w:space="0" w:color="000000"/>
            </w:tcBorders>
          </w:tcPr>
          <w:p w:rsidR="00D077F6" w:rsidRPr="00146F35" w:rsidRDefault="00D077F6">
            <w:pPr>
              <w:spacing w:line="120" w:lineRule="exact"/>
              <w:rPr>
                <w:sz w:val="20"/>
                <w:szCs w:val="20"/>
              </w:rPr>
            </w:pPr>
          </w:p>
          <w:p w:rsidR="00D077F6" w:rsidRPr="00146F35" w:rsidRDefault="00D077F6">
            <w:pPr>
              <w:pBdr>
                <w:top w:val="single" w:sz="6" w:space="0" w:color="FFFFFF"/>
                <w:left w:val="single" w:sz="6" w:space="0" w:color="FFFFFF"/>
                <w:bottom w:val="single" w:sz="6" w:space="0" w:color="FFFFFF"/>
                <w:right w:val="single" w:sz="6" w:space="0" w:color="FFFFFF"/>
              </w:pBdr>
              <w:spacing w:after="52"/>
              <w:jc w:val="center"/>
              <w:rPr>
                <w:sz w:val="18"/>
                <w:szCs w:val="18"/>
              </w:rPr>
            </w:pPr>
            <w:r w:rsidRPr="00146F35">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4</w:t>
            </w:r>
          </w:p>
        </w:tc>
        <w:tc>
          <w:tcPr>
            <w:tcW w:w="1282" w:type="dxa"/>
            <w:tcBorders>
              <w:top w:val="single" w:sz="8"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106</w:t>
            </w:r>
          </w:p>
        </w:tc>
        <w:tc>
          <w:tcPr>
            <w:tcW w:w="2070" w:type="dxa"/>
            <w:tcBorders>
              <w:top w:val="single" w:sz="8"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D077F6" w:rsidRPr="00146F35" w:rsidRDefault="00D077F6" w:rsidP="00424208">
            <w:pPr>
              <w:keepNext/>
              <w:keepLines/>
              <w:jc w:val="center"/>
              <w:rPr>
                <w:sz w:val="20"/>
              </w:rPr>
            </w:pPr>
            <w:r w:rsidRPr="00146F35">
              <w:rPr>
                <w:sz w:val="20"/>
              </w:rPr>
              <w:t>110</w:t>
            </w:r>
          </w:p>
        </w:tc>
      </w:tr>
      <w:tr w:rsidR="00D077F6" w:rsidRPr="00146F35" w:rsidTr="00424208">
        <w:tc>
          <w:tcPr>
            <w:tcW w:w="900" w:type="dxa"/>
            <w:tcBorders>
              <w:top w:val="single" w:sz="6" w:space="0" w:color="000000"/>
              <w:left w:val="single" w:sz="8" w:space="0" w:color="000000"/>
              <w:bottom w:val="single" w:sz="6" w:space="0" w:color="000000"/>
              <w:right w:val="single" w:sz="6" w:space="0" w:color="000000"/>
            </w:tcBorders>
          </w:tcPr>
          <w:p w:rsidR="00D077F6" w:rsidRPr="00146F35" w:rsidRDefault="00D077F6">
            <w:pPr>
              <w:spacing w:line="120" w:lineRule="exact"/>
              <w:rPr>
                <w:sz w:val="18"/>
                <w:szCs w:val="18"/>
              </w:rPr>
            </w:pPr>
          </w:p>
          <w:p w:rsidR="00D077F6" w:rsidRPr="00146F35" w:rsidRDefault="00D077F6">
            <w:pPr>
              <w:pBdr>
                <w:top w:val="single" w:sz="6" w:space="0" w:color="FFFFFF"/>
                <w:left w:val="single" w:sz="6" w:space="0" w:color="FFFFFF"/>
                <w:bottom w:val="single" w:sz="6" w:space="0" w:color="FFFFFF"/>
                <w:right w:val="single" w:sz="6" w:space="0" w:color="FFFFFF"/>
              </w:pBdr>
              <w:spacing w:after="52"/>
              <w:jc w:val="center"/>
              <w:rPr>
                <w:sz w:val="18"/>
                <w:szCs w:val="18"/>
              </w:rPr>
            </w:pPr>
            <w:r w:rsidRPr="00146F35">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4</w:t>
            </w:r>
          </w:p>
        </w:tc>
        <w:tc>
          <w:tcPr>
            <w:tcW w:w="1282"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110</w:t>
            </w:r>
          </w:p>
        </w:tc>
        <w:tc>
          <w:tcPr>
            <w:tcW w:w="2070"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077F6" w:rsidRPr="00146F35" w:rsidRDefault="00D077F6" w:rsidP="00424208">
            <w:pPr>
              <w:keepNext/>
              <w:keepLines/>
              <w:jc w:val="center"/>
              <w:rPr>
                <w:sz w:val="20"/>
              </w:rPr>
            </w:pPr>
            <w:r w:rsidRPr="00146F35">
              <w:rPr>
                <w:sz w:val="20"/>
              </w:rPr>
              <w:t>114</w:t>
            </w:r>
          </w:p>
        </w:tc>
      </w:tr>
      <w:tr w:rsidR="00D077F6" w:rsidRPr="00146F35" w:rsidTr="00424208">
        <w:tc>
          <w:tcPr>
            <w:tcW w:w="900" w:type="dxa"/>
            <w:tcBorders>
              <w:top w:val="single" w:sz="6" w:space="0" w:color="000000"/>
              <w:left w:val="single" w:sz="8" w:space="0" w:color="000000"/>
              <w:bottom w:val="single" w:sz="6" w:space="0" w:color="000000"/>
              <w:right w:val="single" w:sz="6" w:space="0" w:color="000000"/>
            </w:tcBorders>
          </w:tcPr>
          <w:p w:rsidR="00D077F6" w:rsidRPr="00146F35" w:rsidRDefault="00D077F6">
            <w:pPr>
              <w:spacing w:line="120" w:lineRule="exact"/>
              <w:rPr>
                <w:sz w:val="18"/>
                <w:szCs w:val="18"/>
              </w:rPr>
            </w:pPr>
          </w:p>
          <w:p w:rsidR="00D077F6" w:rsidRPr="00146F35" w:rsidRDefault="00D077F6">
            <w:pPr>
              <w:pBdr>
                <w:top w:val="single" w:sz="6" w:space="0" w:color="FFFFFF"/>
                <w:left w:val="single" w:sz="6" w:space="0" w:color="FFFFFF"/>
                <w:bottom w:val="single" w:sz="6" w:space="0" w:color="FFFFFF"/>
                <w:right w:val="single" w:sz="6" w:space="0" w:color="FFFFFF"/>
              </w:pBdr>
              <w:spacing w:after="72"/>
              <w:jc w:val="center"/>
              <w:rPr>
                <w:sz w:val="18"/>
                <w:szCs w:val="18"/>
              </w:rPr>
            </w:pPr>
            <w:r w:rsidRPr="00146F35">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4</w:t>
            </w:r>
          </w:p>
        </w:tc>
        <w:tc>
          <w:tcPr>
            <w:tcW w:w="1282"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114</w:t>
            </w:r>
          </w:p>
        </w:tc>
        <w:tc>
          <w:tcPr>
            <w:tcW w:w="2070"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077F6" w:rsidRPr="00146F35" w:rsidRDefault="00D077F6" w:rsidP="00424208">
            <w:pPr>
              <w:keepNext/>
              <w:keepLines/>
              <w:jc w:val="center"/>
              <w:rPr>
                <w:sz w:val="20"/>
              </w:rPr>
            </w:pPr>
            <w:r w:rsidRPr="00146F35">
              <w:rPr>
                <w:sz w:val="20"/>
              </w:rPr>
              <w:t>118</w:t>
            </w:r>
          </w:p>
        </w:tc>
      </w:tr>
      <w:tr w:rsidR="00D077F6" w:rsidRPr="00146F35" w:rsidTr="00424208">
        <w:tc>
          <w:tcPr>
            <w:tcW w:w="900" w:type="dxa"/>
            <w:tcBorders>
              <w:top w:val="single" w:sz="6" w:space="0" w:color="000000"/>
              <w:left w:val="single" w:sz="8" w:space="0" w:color="000000"/>
              <w:bottom w:val="single" w:sz="8" w:space="0" w:color="000000"/>
              <w:right w:val="single" w:sz="6" w:space="0" w:color="000000"/>
            </w:tcBorders>
          </w:tcPr>
          <w:p w:rsidR="00D077F6" w:rsidRPr="00146F35" w:rsidRDefault="00D077F6">
            <w:pPr>
              <w:spacing w:line="120" w:lineRule="exact"/>
              <w:rPr>
                <w:sz w:val="18"/>
                <w:szCs w:val="18"/>
              </w:rPr>
            </w:pPr>
          </w:p>
          <w:p w:rsidR="00D077F6" w:rsidRPr="00146F35" w:rsidRDefault="00D077F6">
            <w:pPr>
              <w:pBdr>
                <w:top w:val="single" w:sz="6" w:space="0" w:color="FFFFFF"/>
                <w:left w:val="single" w:sz="6" w:space="0" w:color="FFFFFF"/>
                <w:bottom w:val="single" w:sz="6" w:space="0" w:color="FFFFFF"/>
                <w:right w:val="single" w:sz="6" w:space="0" w:color="FFFFFF"/>
              </w:pBdr>
              <w:spacing w:after="72"/>
              <w:jc w:val="center"/>
              <w:rPr>
                <w:sz w:val="18"/>
                <w:szCs w:val="18"/>
              </w:rPr>
            </w:pPr>
            <w:r w:rsidRPr="00146F35">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4</w:t>
            </w:r>
          </w:p>
        </w:tc>
        <w:tc>
          <w:tcPr>
            <w:tcW w:w="1282" w:type="dxa"/>
            <w:tcBorders>
              <w:top w:val="single" w:sz="6" w:space="0" w:color="000000"/>
              <w:left w:val="single" w:sz="6" w:space="0" w:color="000000"/>
              <w:bottom w:val="single" w:sz="8"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110</w:t>
            </w:r>
          </w:p>
        </w:tc>
        <w:tc>
          <w:tcPr>
            <w:tcW w:w="2070" w:type="dxa"/>
            <w:tcBorders>
              <w:top w:val="single" w:sz="6" w:space="0" w:color="000000"/>
              <w:left w:val="single" w:sz="6" w:space="0" w:color="000000"/>
              <w:bottom w:val="single" w:sz="8"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D077F6" w:rsidRPr="00146F35" w:rsidRDefault="00D077F6" w:rsidP="00424208">
            <w:pPr>
              <w:keepNext/>
              <w:keepLines/>
              <w:jc w:val="center"/>
              <w:rPr>
                <w:sz w:val="20"/>
              </w:rPr>
            </w:pPr>
            <w:r w:rsidRPr="00146F35">
              <w:rPr>
                <w:sz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D077F6" w:rsidRPr="00146F35" w:rsidRDefault="00D077F6" w:rsidP="00424208">
            <w:pPr>
              <w:keepNext/>
              <w:keepLines/>
              <w:jc w:val="center"/>
              <w:rPr>
                <w:sz w:val="20"/>
              </w:rPr>
            </w:pPr>
            <w:r w:rsidRPr="00146F35">
              <w:rPr>
                <w:sz w:val="20"/>
              </w:rPr>
              <w:t>114</w:t>
            </w:r>
          </w:p>
        </w:tc>
      </w:tr>
    </w:tbl>
    <w:p w:rsidR="00CA4CD6" w:rsidRPr="00146F35"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146F35">
        <w:rPr>
          <w:vertAlign w:val="superscript"/>
        </w:rPr>
        <w:t>1</w:t>
      </w:r>
      <w:r w:rsidRPr="00146F35">
        <w:t xml:space="preserve"> </w:t>
      </w:r>
      <w:r w:rsidRPr="00146F35">
        <w:rPr>
          <w:sz w:val="20"/>
          <w:szCs w:val="20"/>
        </w:rPr>
        <w:t>New respondents include sources with constructed, reconstructed and modified affected facilities.</w:t>
      </w:r>
    </w:p>
    <w:p w:rsidR="00CA4CD6" w:rsidRPr="00146F35" w:rsidRDefault="00CA4CD6">
      <w:pPr>
        <w:pBdr>
          <w:top w:val="single" w:sz="6" w:space="0" w:color="FFFFFF"/>
          <w:left w:val="single" w:sz="6" w:space="0" w:color="FFFFFF"/>
          <w:bottom w:val="single" w:sz="6" w:space="0" w:color="FFFFFF"/>
          <w:right w:val="single" w:sz="6" w:space="0" w:color="FFFFFF"/>
        </w:pBdr>
        <w:ind w:firstLine="5760"/>
      </w:pPr>
    </w:p>
    <w:p w:rsidR="00CA4CD6" w:rsidRPr="00146F35" w:rsidRDefault="002B29A7">
      <w:pPr>
        <w:pBdr>
          <w:top w:val="single" w:sz="6" w:space="0" w:color="FFFFFF"/>
          <w:left w:val="single" w:sz="6" w:space="0" w:color="FFFFFF"/>
          <w:bottom w:val="single" w:sz="6" w:space="0" w:color="FFFFFF"/>
          <w:right w:val="single" w:sz="6" w:space="0" w:color="FFFFFF"/>
        </w:pBdr>
        <w:ind w:firstLine="720"/>
      </w:pPr>
      <w:r w:rsidRPr="00146F35">
        <w:t>C</w:t>
      </w:r>
      <w:r w:rsidR="00CA4CD6" w:rsidRPr="00146F35">
        <w:t>olumn D is subtracted</w:t>
      </w:r>
      <w:r w:rsidRPr="00146F35">
        <w:t xml:space="preserve"> to avoid double-counting respondents</w:t>
      </w:r>
      <w:r w:rsidR="00CA4CD6" w:rsidRPr="00146F35">
        <w:t>.</w:t>
      </w:r>
      <w:r w:rsidRPr="00146F35">
        <w:t xml:space="preserve">  </w:t>
      </w:r>
      <w:r w:rsidR="00CA4CD6" w:rsidRPr="00146F35">
        <w:t xml:space="preserve">As shown above, the average Number of Respondents over the three year period of this ICR is </w:t>
      </w:r>
      <w:r w:rsidR="00D077F6" w:rsidRPr="00146F35">
        <w:t>114</w:t>
      </w:r>
      <w:r w:rsidR="00507EC5" w:rsidRPr="00146F35">
        <w:t xml:space="preserve">. </w:t>
      </w:r>
    </w:p>
    <w:p w:rsidR="00D077F6" w:rsidRPr="00146F35" w:rsidRDefault="00D077F6">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total number of annual responses per year is calculated using the following table: </w:t>
      </w:r>
    </w:p>
    <w:p w:rsidR="00CA4CD6" w:rsidRPr="00146F35"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146F35" w:rsidTr="008779D0">
        <w:trPr>
          <w:tblHeader/>
        </w:trPr>
        <w:tc>
          <w:tcPr>
            <w:tcW w:w="9180" w:type="dxa"/>
            <w:gridSpan w:val="5"/>
          </w:tcPr>
          <w:p w:rsidR="00CA4CD6" w:rsidRPr="00146F35" w:rsidRDefault="00CA4CD6">
            <w:pPr>
              <w:spacing w:line="120" w:lineRule="exact"/>
            </w:pPr>
          </w:p>
          <w:p w:rsidR="00CA4CD6" w:rsidRPr="00146F35"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146F35">
              <w:rPr>
                <w:b/>
                <w:bCs/>
              </w:rPr>
              <w:t>Total Annual Responses</w:t>
            </w:r>
          </w:p>
        </w:tc>
      </w:tr>
      <w:tr w:rsidR="00CA4CD6" w:rsidRPr="006F69F5">
        <w:tc>
          <w:tcPr>
            <w:tcW w:w="2700" w:type="dxa"/>
          </w:tcPr>
          <w:p w:rsidR="00CA4CD6" w:rsidRPr="006F69F5" w:rsidRDefault="00CA4CD6" w:rsidP="0035325B">
            <w:pPr>
              <w:spacing w:line="120" w:lineRule="exact"/>
              <w:jc w:val="center"/>
              <w:rPr>
                <w:b/>
                <w:bCs/>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(A)</w:t>
            </w: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Information Collection Activity</w:t>
            </w:r>
          </w:p>
        </w:tc>
        <w:tc>
          <w:tcPr>
            <w:tcW w:w="1260" w:type="dxa"/>
          </w:tcPr>
          <w:p w:rsidR="00CA4CD6" w:rsidRPr="006F69F5" w:rsidRDefault="00CA4CD6" w:rsidP="0035325B">
            <w:pPr>
              <w:spacing w:line="120" w:lineRule="exact"/>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(B)</w:t>
            </w: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Number of Respondents</w:t>
            </w:r>
          </w:p>
        </w:tc>
        <w:tc>
          <w:tcPr>
            <w:tcW w:w="1260" w:type="dxa"/>
          </w:tcPr>
          <w:p w:rsidR="00CA4CD6" w:rsidRPr="006F69F5" w:rsidRDefault="00CA4CD6" w:rsidP="0035325B">
            <w:pPr>
              <w:spacing w:line="120" w:lineRule="exact"/>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(C)</w:t>
            </w: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Number of Responses</w:t>
            </w:r>
          </w:p>
        </w:tc>
        <w:tc>
          <w:tcPr>
            <w:tcW w:w="1890" w:type="dxa"/>
          </w:tcPr>
          <w:p w:rsidR="00CA4CD6" w:rsidRPr="006F69F5" w:rsidRDefault="00CA4CD6" w:rsidP="0035325B">
            <w:pPr>
              <w:spacing w:line="120" w:lineRule="exact"/>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(D)</w:t>
            </w:r>
          </w:p>
          <w:p w:rsidR="00CA4CD6" w:rsidRPr="006F69F5"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lastRenderedPageBreak/>
              <w:t>Number of Existing Respondents That Keep Records But Do Not Submit Reports</w:t>
            </w:r>
          </w:p>
        </w:tc>
        <w:tc>
          <w:tcPr>
            <w:tcW w:w="2070" w:type="dxa"/>
          </w:tcPr>
          <w:p w:rsidR="00CA4CD6" w:rsidRPr="006F69F5" w:rsidRDefault="00CA4CD6" w:rsidP="0035325B">
            <w:pPr>
              <w:spacing w:line="120" w:lineRule="exact"/>
              <w:jc w:val="center"/>
              <w:rPr>
                <w:sz w:val="20"/>
                <w:szCs w:val="20"/>
              </w:rPr>
            </w:pP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(E)</w:t>
            </w:r>
          </w:p>
          <w:p w:rsidR="00CA4CD6" w:rsidRPr="006F69F5"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lastRenderedPageBreak/>
              <w:t>Total Annual  Responses</w:t>
            </w:r>
          </w:p>
          <w:p w:rsidR="00CA4CD6" w:rsidRPr="006F69F5"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E=(BxC)+D</w:t>
            </w:r>
          </w:p>
        </w:tc>
      </w:tr>
      <w:tr w:rsidR="00F90C96" w:rsidRPr="006F69F5" w:rsidTr="00B42026">
        <w:tc>
          <w:tcPr>
            <w:tcW w:w="2700" w:type="dxa"/>
            <w:vAlign w:val="center"/>
          </w:tcPr>
          <w:p w:rsidR="00F90C96" w:rsidRPr="006F69F5" w:rsidRDefault="00F90C96" w:rsidP="00B42026">
            <w:pPr>
              <w:rPr>
                <w:sz w:val="20"/>
                <w:szCs w:val="20"/>
              </w:rPr>
            </w:pPr>
            <w:r w:rsidRPr="006F69F5">
              <w:rPr>
                <w:sz w:val="20"/>
                <w:szCs w:val="20"/>
              </w:rPr>
              <w:lastRenderedPageBreak/>
              <w:t>Notification of compliance status</w:t>
            </w:r>
          </w:p>
        </w:tc>
        <w:tc>
          <w:tcPr>
            <w:tcW w:w="1260" w:type="dxa"/>
            <w:vAlign w:val="center"/>
          </w:tcPr>
          <w:p w:rsidR="00F90C96" w:rsidRPr="006F69F5" w:rsidRDefault="00F90C96" w:rsidP="00B42026">
            <w:pPr>
              <w:jc w:val="center"/>
              <w:rPr>
                <w:sz w:val="20"/>
                <w:szCs w:val="20"/>
              </w:rPr>
            </w:pPr>
            <w:r w:rsidRPr="006F69F5">
              <w:rPr>
                <w:sz w:val="20"/>
                <w:szCs w:val="20"/>
              </w:rPr>
              <w:t>4</w:t>
            </w:r>
          </w:p>
        </w:tc>
        <w:tc>
          <w:tcPr>
            <w:tcW w:w="1260" w:type="dxa"/>
            <w:vAlign w:val="center"/>
          </w:tcPr>
          <w:p w:rsidR="00F90C96" w:rsidRPr="006F69F5" w:rsidRDefault="00F90C96" w:rsidP="00B42026">
            <w:pPr>
              <w:jc w:val="center"/>
              <w:rPr>
                <w:sz w:val="20"/>
                <w:szCs w:val="20"/>
              </w:rPr>
            </w:pPr>
            <w:r w:rsidRPr="006F69F5">
              <w:rPr>
                <w:sz w:val="20"/>
                <w:szCs w:val="20"/>
              </w:rPr>
              <w:t>1</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4</w:t>
            </w:r>
          </w:p>
        </w:tc>
      </w:tr>
      <w:tr w:rsidR="00F90C96" w:rsidRPr="006F69F5" w:rsidTr="00B42026">
        <w:tc>
          <w:tcPr>
            <w:tcW w:w="2700" w:type="dxa"/>
            <w:vAlign w:val="center"/>
          </w:tcPr>
          <w:p w:rsidR="00F90C96" w:rsidRPr="006F69F5" w:rsidRDefault="00F90C96" w:rsidP="00B42026">
            <w:pPr>
              <w:rPr>
                <w:sz w:val="20"/>
                <w:szCs w:val="20"/>
              </w:rPr>
            </w:pPr>
            <w:r w:rsidRPr="006F69F5">
              <w:rPr>
                <w:sz w:val="20"/>
                <w:szCs w:val="20"/>
              </w:rPr>
              <w:t>Notification of construction/reconstruction</w:t>
            </w:r>
          </w:p>
        </w:tc>
        <w:tc>
          <w:tcPr>
            <w:tcW w:w="1260" w:type="dxa"/>
            <w:vAlign w:val="center"/>
          </w:tcPr>
          <w:p w:rsidR="00F90C96" w:rsidRPr="006F69F5" w:rsidRDefault="00F90C96" w:rsidP="00B42026">
            <w:pPr>
              <w:jc w:val="center"/>
              <w:rPr>
                <w:sz w:val="20"/>
                <w:szCs w:val="20"/>
              </w:rPr>
            </w:pPr>
            <w:r w:rsidRPr="006F69F5">
              <w:rPr>
                <w:sz w:val="20"/>
                <w:szCs w:val="20"/>
              </w:rPr>
              <w:t>4</w:t>
            </w:r>
          </w:p>
        </w:tc>
        <w:tc>
          <w:tcPr>
            <w:tcW w:w="1260" w:type="dxa"/>
            <w:vAlign w:val="center"/>
          </w:tcPr>
          <w:p w:rsidR="00F90C96" w:rsidRPr="006F69F5" w:rsidRDefault="00F90C96" w:rsidP="00B42026">
            <w:pPr>
              <w:jc w:val="center"/>
              <w:rPr>
                <w:sz w:val="20"/>
                <w:szCs w:val="20"/>
              </w:rPr>
            </w:pPr>
            <w:r w:rsidRPr="006F69F5">
              <w:rPr>
                <w:sz w:val="20"/>
                <w:szCs w:val="20"/>
              </w:rPr>
              <w:t>1</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4</w:t>
            </w:r>
          </w:p>
        </w:tc>
      </w:tr>
      <w:tr w:rsidR="00F90C96" w:rsidRPr="006F69F5" w:rsidTr="00B42026">
        <w:trPr>
          <w:trHeight w:val="345"/>
        </w:trPr>
        <w:tc>
          <w:tcPr>
            <w:tcW w:w="2700" w:type="dxa"/>
            <w:vAlign w:val="center"/>
          </w:tcPr>
          <w:p w:rsidR="00F90C96" w:rsidRPr="006F69F5" w:rsidRDefault="00F90C96" w:rsidP="00B42026">
            <w:pPr>
              <w:rPr>
                <w:sz w:val="20"/>
                <w:szCs w:val="20"/>
                <w:lang w:val="en-CA"/>
              </w:rPr>
            </w:pPr>
            <w:r w:rsidRPr="006F69F5">
              <w:rPr>
                <w:sz w:val="20"/>
                <w:szCs w:val="20"/>
              </w:rPr>
              <w:t>Notification of actual startup</w:t>
            </w:r>
            <w:r w:rsidRPr="006F69F5">
              <w:rPr>
                <w:sz w:val="20"/>
                <w:szCs w:val="20"/>
                <w:lang w:val="en-CA"/>
              </w:rPr>
              <w:t xml:space="preserve"> </w:t>
            </w:r>
          </w:p>
        </w:tc>
        <w:tc>
          <w:tcPr>
            <w:tcW w:w="1260" w:type="dxa"/>
            <w:vAlign w:val="center"/>
          </w:tcPr>
          <w:p w:rsidR="00F90C96" w:rsidRPr="006F69F5" w:rsidRDefault="00F90C96" w:rsidP="00B42026">
            <w:pPr>
              <w:jc w:val="center"/>
              <w:rPr>
                <w:sz w:val="20"/>
                <w:szCs w:val="20"/>
              </w:rPr>
            </w:pPr>
            <w:r w:rsidRPr="006F69F5">
              <w:rPr>
                <w:sz w:val="20"/>
                <w:szCs w:val="20"/>
              </w:rPr>
              <w:t>4</w:t>
            </w:r>
          </w:p>
        </w:tc>
        <w:tc>
          <w:tcPr>
            <w:tcW w:w="1260" w:type="dxa"/>
            <w:vAlign w:val="center"/>
          </w:tcPr>
          <w:p w:rsidR="00F90C96" w:rsidRPr="006F69F5" w:rsidRDefault="00F90C96" w:rsidP="00B42026">
            <w:pPr>
              <w:jc w:val="center"/>
              <w:rPr>
                <w:sz w:val="20"/>
                <w:szCs w:val="20"/>
              </w:rPr>
            </w:pPr>
            <w:r w:rsidRPr="006F69F5">
              <w:rPr>
                <w:sz w:val="20"/>
                <w:szCs w:val="20"/>
              </w:rPr>
              <w:t>1</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4</w:t>
            </w:r>
          </w:p>
        </w:tc>
      </w:tr>
      <w:tr w:rsidR="00F90C96" w:rsidRPr="006F69F5" w:rsidTr="00B42026">
        <w:tc>
          <w:tcPr>
            <w:tcW w:w="2700" w:type="dxa"/>
            <w:vAlign w:val="center"/>
          </w:tcPr>
          <w:p w:rsidR="00F90C96" w:rsidRPr="006F69F5" w:rsidRDefault="00F90C96" w:rsidP="00B42026">
            <w:pPr>
              <w:rPr>
                <w:sz w:val="20"/>
                <w:szCs w:val="20"/>
              </w:rPr>
            </w:pPr>
            <w:r w:rsidRPr="006F69F5">
              <w:rPr>
                <w:sz w:val="20"/>
                <w:szCs w:val="20"/>
              </w:rPr>
              <w:t>Notification of performance test</w:t>
            </w:r>
            <w:r w:rsidRPr="006F69F5">
              <w:rPr>
                <w:sz w:val="20"/>
                <w:szCs w:val="20"/>
                <w:lang w:val="en-CA"/>
              </w:rPr>
              <w:t xml:space="preserve"> </w:t>
            </w:r>
          </w:p>
        </w:tc>
        <w:tc>
          <w:tcPr>
            <w:tcW w:w="1260" w:type="dxa"/>
            <w:vAlign w:val="center"/>
          </w:tcPr>
          <w:p w:rsidR="00F90C96" w:rsidRPr="006F69F5" w:rsidRDefault="00F90C96" w:rsidP="00B42026">
            <w:pPr>
              <w:jc w:val="center"/>
              <w:rPr>
                <w:sz w:val="20"/>
                <w:szCs w:val="20"/>
              </w:rPr>
            </w:pPr>
            <w:r w:rsidRPr="006F69F5">
              <w:rPr>
                <w:sz w:val="20"/>
                <w:szCs w:val="20"/>
              </w:rPr>
              <w:t>4</w:t>
            </w:r>
          </w:p>
        </w:tc>
        <w:tc>
          <w:tcPr>
            <w:tcW w:w="1260" w:type="dxa"/>
            <w:vAlign w:val="center"/>
          </w:tcPr>
          <w:p w:rsidR="00F90C96" w:rsidRPr="006F69F5" w:rsidRDefault="00F90C96" w:rsidP="00B42026">
            <w:pPr>
              <w:jc w:val="center"/>
              <w:rPr>
                <w:sz w:val="20"/>
                <w:szCs w:val="20"/>
              </w:rPr>
            </w:pPr>
            <w:r w:rsidRPr="006F69F5">
              <w:rPr>
                <w:sz w:val="20"/>
                <w:szCs w:val="20"/>
              </w:rPr>
              <w:t>1</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B42026" w:rsidP="00B42026">
            <w:pPr>
              <w:jc w:val="center"/>
              <w:rPr>
                <w:sz w:val="20"/>
                <w:szCs w:val="20"/>
              </w:rPr>
            </w:pPr>
            <w:r>
              <w:rPr>
                <w:sz w:val="20"/>
                <w:szCs w:val="20"/>
              </w:rPr>
              <w:t>4</w:t>
            </w:r>
          </w:p>
        </w:tc>
      </w:tr>
      <w:tr w:rsidR="00F90C96" w:rsidRPr="006F69F5" w:rsidTr="00B42026">
        <w:trPr>
          <w:trHeight w:val="408"/>
        </w:trPr>
        <w:tc>
          <w:tcPr>
            <w:tcW w:w="2700" w:type="dxa"/>
            <w:vAlign w:val="center"/>
          </w:tcPr>
          <w:p w:rsidR="00F90C96" w:rsidRPr="006F69F5" w:rsidRDefault="00F90C96" w:rsidP="00B42026">
            <w:pPr>
              <w:rPr>
                <w:sz w:val="20"/>
                <w:szCs w:val="20"/>
              </w:rPr>
            </w:pPr>
            <w:r w:rsidRPr="006F69F5">
              <w:rPr>
                <w:sz w:val="20"/>
                <w:szCs w:val="20"/>
              </w:rPr>
              <w:t>Report of performance test</w:t>
            </w:r>
          </w:p>
        </w:tc>
        <w:tc>
          <w:tcPr>
            <w:tcW w:w="1260" w:type="dxa"/>
            <w:vAlign w:val="center"/>
          </w:tcPr>
          <w:p w:rsidR="00F90C96" w:rsidRPr="006F69F5" w:rsidRDefault="00F90C96" w:rsidP="00B42026">
            <w:pPr>
              <w:jc w:val="center"/>
              <w:rPr>
                <w:sz w:val="20"/>
                <w:szCs w:val="20"/>
              </w:rPr>
            </w:pPr>
            <w:r w:rsidRPr="006F69F5">
              <w:rPr>
                <w:sz w:val="20"/>
                <w:szCs w:val="20"/>
              </w:rPr>
              <w:t>4</w:t>
            </w:r>
          </w:p>
        </w:tc>
        <w:tc>
          <w:tcPr>
            <w:tcW w:w="1260" w:type="dxa"/>
            <w:vAlign w:val="center"/>
          </w:tcPr>
          <w:p w:rsidR="00F90C96" w:rsidRPr="006F69F5" w:rsidRDefault="00A962C2" w:rsidP="00B42026">
            <w:pPr>
              <w:jc w:val="center"/>
              <w:rPr>
                <w:sz w:val="20"/>
                <w:szCs w:val="20"/>
              </w:rPr>
            </w:pPr>
            <w:r>
              <w:rPr>
                <w:sz w:val="20"/>
                <w:szCs w:val="20"/>
              </w:rPr>
              <w:t>1.2</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A962C2" w:rsidP="00B42026">
            <w:pPr>
              <w:jc w:val="center"/>
              <w:rPr>
                <w:sz w:val="20"/>
                <w:szCs w:val="20"/>
              </w:rPr>
            </w:pPr>
            <w:r>
              <w:rPr>
                <w:sz w:val="20"/>
                <w:szCs w:val="20"/>
              </w:rPr>
              <w:t>4.8</w:t>
            </w:r>
          </w:p>
        </w:tc>
      </w:tr>
      <w:tr w:rsidR="00F90C96" w:rsidRPr="006F69F5" w:rsidTr="00B42026">
        <w:trPr>
          <w:trHeight w:val="345"/>
        </w:trPr>
        <w:tc>
          <w:tcPr>
            <w:tcW w:w="2700" w:type="dxa"/>
            <w:vAlign w:val="center"/>
          </w:tcPr>
          <w:p w:rsidR="00F90C96" w:rsidRPr="006F69F5" w:rsidRDefault="00F90C96" w:rsidP="00B42026">
            <w:pPr>
              <w:rPr>
                <w:sz w:val="20"/>
                <w:szCs w:val="20"/>
              </w:rPr>
            </w:pPr>
            <w:r w:rsidRPr="006F69F5">
              <w:rPr>
                <w:sz w:val="20"/>
                <w:szCs w:val="20"/>
              </w:rPr>
              <w:t xml:space="preserve">Semiannual report </w:t>
            </w:r>
          </w:p>
        </w:tc>
        <w:tc>
          <w:tcPr>
            <w:tcW w:w="1260" w:type="dxa"/>
            <w:vAlign w:val="center"/>
          </w:tcPr>
          <w:p w:rsidR="00F90C96" w:rsidRPr="006F69F5" w:rsidRDefault="00F90C96" w:rsidP="00B42026">
            <w:pPr>
              <w:jc w:val="center"/>
              <w:rPr>
                <w:sz w:val="20"/>
                <w:szCs w:val="20"/>
              </w:rPr>
            </w:pPr>
            <w:r w:rsidRPr="006F69F5">
              <w:rPr>
                <w:sz w:val="20"/>
                <w:szCs w:val="20"/>
              </w:rPr>
              <w:t>114</w:t>
            </w:r>
          </w:p>
        </w:tc>
        <w:tc>
          <w:tcPr>
            <w:tcW w:w="1260" w:type="dxa"/>
            <w:vAlign w:val="center"/>
          </w:tcPr>
          <w:p w:rsidR="00F90C96" w:rsidRPr="006F69F5" w:rsidRDefault="00F90C96" w:rsidP="00B42026">
            <w:pPr>
              <w:jc w:val="center"/>
              <w:rPr>
                <w:sz w:val="20"/>
                <w:szCs w:val="20"/>
              </w:rPr>
            </w:pPr>
            <w:r w:rsidRPr="006F69F5">
              <w:rPr>
                <w:sz w:val="20"/>
                <w:szCs w:val="20"/>
              </w:rPr>
              <w:t>2</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228</w:t>
            </w:r>
          </w:p>
        </w:tc>
      </w:tr>
      <w:tr w:rsidR="00F90C96" w:rsidRPr="006F69F5" w:rsidTr="00B42026">
        <w:trPr>
          <w:trHeight w:val="435"/>
        </w:trPr>
        <w:tc>
          <w:tcPr>
            <w:tcW w:w="2700" w:type="dxa"/>
            <w:vAlign w:val="center"/>
          </w:tcPr>
          <w:p w:rsidR="00F90C96" w:rsidRPr="006F69F5" w:rsidRDefault="00F90C96" w:rsidP="00B42026">
            <w:pPr>
              <w:rPr>
                <w:sz w:val="20"/>
                <w:szCs w:val="20"/>
              </w:rPr>
            </w:pPr>
            <w:r w:rsidRPr="006F69F5">
              <w:rPr>
                <w:sz w:val="20"/>
                <w:szCs w:val="20"/>
              </w:rPr>
              <w:t>Excess emissions report</w:t>
            </w:r>
          </w:p>
        </w:tc>
        <w:tc>
          <w:tcPr>
            <w:tcW w:w="1260" w:type="dxa"/>
            <w:vAlign w:val="center"/>
          </w:tcPr>
          <w:p w:rsidR="00F90C96" w:rsidRPr="006F69F5" w:rsidRDefault="00F90C96" w:rsidP="00B42026">
            <w:pPr>
              <w:jc w:val="center"/>
              <w:rPr>
                <w:sz w:val="20"/>
                <w:szCs w:val="20"/>
              </w:rPr>
            </w:pPr>
            <w:r w:rsidRPr="006F69F5">
              <w:rPr>
                <w:sz w:val="20"/>
                <w:szCs w:val="20"/>
              </w:rPr>
              <w:t>114</w:t>
            </w:r>
          </w:p>
        </w:tc>
        <w:tc>
          <w:tcPr>
            <w:tcW w:w="1260" w:type="dxa"/>
            <w:vAlign w:val="center"/>
          </w:tcPr>
          <w:p w:rsidR="00F90C96" w:rsidRPr="006F69F5" w:rsidRDefault="00F90C96" w:rsidP="00B42026">
            <w:pPr>
              <w:jc w:val="center"/>
              <w:rPr>
                <w:sz w:val="20"/>
                <w:szCs w:val="20"/>
              </w:rPr>
            </w:pPr>
            <w:r w:rsidRPr="006F69F5">
              <w:rPr>
                <w:sz w:val="20"/>
                <w:szCs w:val="20"/>
              </w:rPr>
              <w:t>0.5</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57</w:t>
            </w:r>
          </w:p>
        </w:tc>
      </w:tr>
      <w:tr w:rsidR="00F90C96" w:rsidRPr="006F69F5" w:rsidTr="00B42026">
        <w:tc>
          <w:tcPr>
            <w:tcW w:w="2700" w:type="dxa"/>
            <w:vAlign w:val="center"/>
          </w:tcPr>
          <w:p w:rsidR="00F90C96" w:rsidRPr="006F69F5" w:rsidRDefault="00F90C96" w:rsidP="00B42026">
            <w:pPr>
              <w:rPr>
                <w:sz w:val="20"/>
                <w:szCs w:val="20"/>
              </w:rPr>
            </w:pPr>
            <w:r w:rsidRPr="006F69F5">
              <w:rPr>
                <w:sz w:val="20"/>
                <w:szCs w:val="20"/>
              </w:rPr>
              <w:t>Startup, shutdown, malfunction report</w:t>
            </w:r>
          </w:p>
        </w:tc>
        <w:tc>
          <w:tcPr>
            <w:tcW w:w="1260" w:type="dxa"/>
            <w:vAlign w:val="center"/>
          </w:tcPr>
          <w:p w:rsidR="00F90C96" w:rsidRPr="006F69F5" w:rsidRDefault="00F90C96" w:rsidP="00B42026">
            <w:pPr>
              <w:jc w:val="center"/>
              <w:rPr>
                <w:sz w:val="20"/>
                <w:szCs w:val="20"/>
              </w:rPr>
            </w:pPr>
            <w:r w:rsidRPr="006F69F5">
              <w:rPr>
                <w:sz w:val="20"/>
                <w:szCs w:val="20"/>
              </w:rPr>
              <w:t>114</w:t>
            </w:r>
          </w:p>
        </w:tc>
        <w:tc>
          <w:tcPr>
            <w:tcW w:w="1260" w:type="dxa"/>
            <w:vAlign w:val="center"/>
          </w:tcPr>
          <w:p w:rsidR="00F90C96" w:rsidRPr="006F69F5" w:rsidRDefault="00F90C96" w:rsidP="00B42026">
            <w:pPr>
              <w:jc w:val="center"/>
              <w:rPr>
                <w:sz w:val="20"/>
                <w:szCs w:val="20"/>
              </w:rPr>
            </w:pPr>
            <w:r w:rsidRPr="006F69F5">
              <w:rPr>
                <w:sz w:val="20"/>
                <w:szCs w:val="20"/>
              </w:rPr>
              <w:t>0.5</w:t>
            </w:r>
          </w:p>
        </w:tc>
        <w:tc>
          <w:tcPr>
            <w:tcW w:w="1890" w:type="dxa"/>
            <w:vAlign w:val="center"/>
          </w:tcPr>
          <w:p w:rsidR="00F90C96" w:rsidRPr="006F69F5" w:rsidRDefault="00F90C96" w:rsidP="00B42026">
            <w:pPr>
              <w:jc w:val="center"/>
              <w:rPr>
                <w:sz w:val="20"/>
                <w:szCs w:val="20"/>
              </w:rPr>
            </w:pPr>
            <w:r w:rsidRPr="006F69F5">
              <w:rPr>
                <w:sz w:val="20"/>
                <w:szCs w:val="20"/>
              </w:rPr>
              <w:t>0</w:t>
            </w:r>
          </w:p>
        </w:tc>
        <w:tc>
          <w:tcPr>
            <w:tcW w:w="2070" w:type="dxa"/>
            <w:vAlign w:val="center"/>
          </w:tcPr>
          <w:p w:rsidR="00F90C96" w:rsidRPr="006F69F5" w:rsidRDefault="00F90C96" w:rsidP="00B42026">
            <w:pPr>
              <w:jc w:val="center"/>
              <w:rPr>
                <w:sz w:val="20"/>
                <w:szCs w:val="20"/>
              </w:rPr>
            </w:pPr>
            <w:r w:rsidRPr="006F69F5">
              <w:rPr>
                <w:sz w:val="20"/>
                <w:szCs w:val="20"/>
              </w:rPr>
              <w:t>57</w:t>
            </w:r>
          </w:p>
        </w:tc>
      </w:tr>
      <w:tr w:rsidR="00F90C96" w:rsidRPr="006F69F5" w:rsidTr="00B42026">
        <w:trPr>
          <w:trHeight w:val="390"/>
        </w:trPr>
        <w:tc>
          <w:tcPr>
            <w:tcW w:w="2700" w:type="dxa"/>
            <w:vAlign w:val="center"/>
          </w:tcPr>
          <w:p w:rsidR="00F90C96" w:rsidRPr="006F69F5" w:rsidRDefault="00F90C96" w:rsidP="00B42026">
            <w:pPr>
              <w:rPr>
                <w:b/>
                <w:sz w:val="20"/>
                <w:szCs w:val="20"/>
              </w:rPr>
            </w:pPr>
            <w:r w:rsidRPr="006F69F5">
              <w:rPr>
                <w:b/>
                <w:sz w:val="20"/>
                <w:szCs w:val="20"/>
              </w:rPr>
              <w:t>Total</w:t>
            </w:r>
          </w:p>
        </w:tc>
        <w:tc>
          <w:tcPr>
            <w:tcW w:w="1260" w:type="dxa"/>
            <w:vAlign w:val="center"/>
          </w:tcPr>
          <w:p w:rsidR="00F90C96" w:rsidRPr="006F69F5" w:rsidRDefault="00F90C96" w:rsidP="00B42026">
            <w:pPr>
              <w:jc w:val="center"/>
              <w:rPr>
                <w:sz w:val="20"/>
                <w:szCs w:val="20"/>
              </w:rPr>
            </w:pPr>
          </w:p>
        </w:tc>
        <w:tc>
          <w:tcPr>
            <w:tcW w:w="1260" w:type="dxa"/>
            <w:vAlign w:val="center"/>
          </w:tcPr>
          <w:p w:rsidR="00F90C96" w:rsidRPr="006F69F5" w:rsidRDefault="00F90C96" w:rsidP="00B42026">
            <w:pPr>
              <w:jc w:val="center"/>
              <w:rPr>
                <w:sz w:val="20"/>
                <w:szCs w:val="20"/>
              </w:rPr>
            </w:pPr>
          </w:p>
        </w:tc>
        <w:tc>
          <w:tcPr>
            <w:tcW w:w="1890" w:type="dxa"/>
            <w:vAlign w:val="center"/>
          </w:tcPr>
          <w:p w:rsidR="00F90C96" w:rsidRPr="006F69F5" w:rsidRDefault="00F90C96" w:rsidP="00B42026">
            <w:pPr>
              <w:jc w:val="center"/>
              <w:rPr>
                <w:sz w:val="20"/>
                <w:szCs w:val="20"/>
              </w:rPr>
            </w:pPr>
          </w:p>
        </w:tc>
        <w:tc>
          <w:tcPr>
            <w:tcW w:w="2070" w:type="dxa"/>
            <w:vAlign w:val="center"/>
          </w:tcPr>
          <w:p w:rsidR="00F90C96" w:rsidRPr="006F69F5" w:rsidRDefault="00F90C96" w:rsidP="00B42026">
            <w:pPr>
              <w:jc w:val="center"/>
              <w:rPr>
                <w:b/>
                <w:sz w:val="20"/>
                <w:szCs w:val="20"/>
              </w:rPr>
            </w:pPr>
            <w:r w:rsidRPr="006F69F5">
              <w:rPr>
                <w:b/>
                <w:sz w:val="20"/>
                <w:szCs w:val="20"/>
              </w:rPr>
              <w:t>36</w:t>
            </w:r>
            <w:r w:rsidR="00B42026">
              <w:rPr>
                <w:b/>
                <w:sz w:val="20"/>
                <w:szCs w:val="20"/>
              </w:rPr>
              <w:t>3</w:t>
            </w:r>
            <w:r w:rsidRPr="006F69F5">
              <w:rPr>
                <w:b/>
                <w:sz w:val="20"/>
                <w:szCs w:val="20"/>
              </w:rPr>
              <w:t xml:space="preserve"> (Rounded)</w:t>
            </w:r>
          </w:p>
        </w:tc>
      </w:tr>
    </w:tbl>
    <w:p w:rsidR="00CA4CD6" w:rsidRPr="00A962C2" w:rsidRDefault="00A962C2">
      <w:pPr>
        <w:pBdr>
          <w:top w:val="single" w:sz="6" w:space="0" w:color="FFFFFF"/>
          <w:left w:val="single" w:sz="6" w:space="0" w:color="FFFFFF"/>
          <w:bottom w:val="single" w:sz="6" w:space="0" w:color="FFFFFF"/>
          <w:right w:val="single" w:sz="6" w:space="0" w:color="FFFFFF"/>
        </w:pBdr>
        <w:rPr>
          <w:sz w:val="20"/>
          <w:szCs w:val="20"/>
        </w:rPr>
      </w:pPr>
      <w:r w:rsidRPr="00A962C2">
        <w:rPr>
          <w:sz w:val="20"/>
          <w:szCs w:val="20"/>
        </w:rPr>
        <w:t xml:space="preserve">Note: We assume initial performance test will fail 20% of the time and that a repeat test will be required. </w:t>
      </w:r>
      <w:r>
        <w:rPr>
          <w:sz w:val="20"/>
          <w:szCs w:val="20"/>
        </w:rPr>
        <w:t xml:space="preserve">In addition, we assume 50% of respondents will have to submit an excess emission report or a SSM report. </w:t>
      </w:r>
    </w:p>
    <w:p w:rsidR="00A962C2" w:rsidRPr="00146F35" w:rsidRDefault="00A962C2">
      <w:pPr>
        <w:pBdr>
          <w:top w:val="single" w:sz="6" w:space="0" w:color="FFFFFF"/>
          <w:left w:val="single" w:sz="6" w:space="0" w:color="FFFFFF"/>
          <w:bottom w:val="single" w:sz="6" w:space="0" w:color="FFFFFF"/>
          <w:right w:val="single" w:sz="6" w:space="0" w:color="FFFFFF"/>
        </w:pBdr>
      </w:pPr>
    </w:p>
    <w:p w:rsidR="004B1F6C"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number of Total Annual Responses is </w:t>
      </w:r>
      <w:r w:rsidR="00F90C96" w:rsidRPr="00146F35">
        <w:t>36</w:t>
      </w:r>
      <w:r w:rsidR="00B42026">
        <w:t>3</w:t>
      </w:r>
      <w:r w:rsidR="00D521F7" w:rsidRPr="00146F35">
        <w:t>.</w:t>
      </w:r>
    </w:p>
    <w:p w:rsidR="00D521F7" w:rsidRPr="00146F35" w:rsidRDefault="00D521F7">
      <w:pPr>
        <w:pBdr>
          <w:top w:val="single" w:sz="6" w:space="0" w:color="FFFFFF"/>
          <w:left w:val="single" w:sz="6" w:space="0" w:color="FFFFFF"/>
          <w:bottom w:val="single" w:sz="6" w:space="0" w:color="FFFFFF"/>
          <w:right w:val="single" w:sz="6" w:space="0" w:color="FFFFFF"/>
        </w:pBdr>
        <w:ind w:firstLine="720"/>
      </w:pPr>
    </w:p>
    <w:p w:rsidR="00CA4CD6" w:rsidRPr="00146F35" w:rsidRDefault="00CA4CD6">
      <w:pPr>
        <w:pBdr>
          <w:top w:val="single" w:sz="6" w:space="0" w:color="FFFFFF"/>
          <w:left w:val="single" w:sz="6" w:space="0" w:color="FFFFFF"/>
          <w:bottom w:val="single" w:sz="6" w:space="0" w:color="FFFFFF"/>
          <w:right w:val="single" w:sz="6" w:space="0" w:color="FFFFFF"/>
        </w:pBdr>
        <w:ind w:firstLine="720"/>
      </w:pPr>
      <w:r w:rsidRPr="00146F35">
        <w:t xml:space="preserve">The total annual labor costs are </w:t>
      </w:r>
      <w:r w:rsidR="00EF3DC4" w:rsidRPr="00146F35">
        <w:t>$3,67</w:t>
      </w:r>
      <w:r w:rsidR="00821D20">
        <w:t>0</w:t>
      </w:r>
      <w:r w:rsidR="00EF3DC4" w:rsidRPr="00146F35">
        <w:t>,</w:t>
      </w:r>
      <w:r w:rsidR="00821D20">
        <w:t>000</w:t>
      </w:r>
      <w:r w:rsidRPr="00146F35">
        <w:t>.</w:t>
      </w:r>
      <w:r w:rsidR="00507EC5" w:rsidRPr="00146F35">
        <w:t xml:space="preserve">  </w:t>
      </w:r>
      <w:r w:rsidRPr="00146F35">
        <w:t xml:space="preserve">Details regarding these estimates may be found </w:t>
      </w:r>
      <w:r w:rsidR="007A458D" w:rsidRPr="00146F35">
        <w:t xml:space="preserve">below </w:t>
      </w:r>
      <w:r w:rsidR="0035325B" w:rsidRPr="00146F35">
        <w:t>in Table 1:</w:t>
      </w:r>
      <w:r w:rsidRPr="00146F35">
        <w:t xml:space="preserve"> Annual Respondent Burden and Cost</w:t>
      </w:r>
      <w:r w:rsidR="00CF2B37" w:rsidRPr="00146F35">
        <w:t xml:space="preserve"> –</w:t>
      </w:r>
      <w:r w:rsidRPr="00146F35">
        <w:t xml:space="preserve"> </w:t>
      </w:r>
      <w:r w:rsidR="00AB549D" w:rsidRPr="00146F35">
        <w:rPr>
          <w:bCs/>
        </w:rPr>
        <w:t>NESHAP for the Surface Coating of Large Household and Commercial Appliances (40 CFR Part 63, Subpart NNNN)</w:t>
      </w:r>
      <w:r w:rsidR="00AB549D" w:rsidRPr="00146F35" w:rsidDel="00AB549D">
        <w:t xml:space="preserve"> </w:t>
      </w:r>
      <w:r w:rsidR="00AB549D" w:rsidRPr="00146F35">
        <w:t>(Renewal)</w:t>
      </w:r>
      <w:r w:rsidRPr="00146F35">
        <w:t>.</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CA4CD6">
      <w:pPr>
        <w:pBdr>
          <w:top w:val="single" w:sz="6" w:space="0" w:color="FFFFFF"/>
          <w:left w:val="single" w:sz="6" w:space="0" w:color="FFFFFF"/>
          <w:bottom w:val="single" w:sz="6" w:space="0" w:color="FFFFFF"/>
          <w:right w:val="single" w:sz="6" w:space="0" w:color="FFFFFF"/>
        </w:pBdr>
        <w:ind w:firstLine="720"/>
      </w:pPr>
      <w:r w:rsidRPr="00AC6A8F">
        <w:rPr>
          <w:b/>
          <w:bCs/>
        </w:rPr>
        <w:t>6(e)  Bottom Line Burden Hours and Cost Tables</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CA4CD6">
      <w:pPr>
        <w:pBdr>
          <w:top w:val="single" w:sz="6" w:space="0" w:color="FFFFFF"/>
          <w:left w:val="single" w:sz="6" w:space="0" w:color="FFFFFF"/>
          <w:bottom w:val="single" w:sz="6" w:space="0" w:color="FFFFFF"/>
          <w:right w:val="single" w:sz="6" w:space="0" w:color="FFFFFF"/>
        </w:pBdr>
        <w:ind w:firstLine="720"/>
      </w:pPr>
      <w:r w:rsidRPr="00AC6A8F">
        <w:t>The detailed bottom line burden hours and cost calculations for the respondents and the Agency are shown in Tables 1 and 2</w:t>
      </w:r>
      <w:r w:rsidR="00FE2099" w:rsidRPr="00AC6A8F">
        <w:t xml:space="preserve"> below</w:t>
      </w:r>
      <w:r w:rsidRPr="00AC6A8F">
        <w:t xml:space="preserve">, respectively, and summarized below.  </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C6A8F">
        <w:rPr>
          <w:b/>
          <w:bCs/>
        </w:rPr>
        <w:t>(i) Respondent Tally</w:t>
      </w:r>
    </w:p>
    <w:p w:rsidR="00CA4CD6" w:rsidRPr="00AC6A8F" w:rsidRDefault="00CA4CD6">
      <w:pPr>
        <w:pBdr>
          <w:top w:val="single" w:sz="6" w:space="0" w:color="FFFFFF"/>
          <w:left w:val="single" w:sz="6" w:space="0" w:color="FFFFFF"/>
          <w:bottom w:val="single" w:sz="6" w:space="0" w:color="FFFFFF"/>
          <w:right w:val="single" w:sz="6" w:space="0" w:color="FFFFFF"/>
        </w:pBdr>
      </w:pPr>
    </w:p>
    <w:p w:rsidR="00144F35" w:rsidRPr="00AC6A8F" w:rsidRDefault="00CA4CD6" w:rsidP="0021722B">
      <w:pPr>
        <w:pBdr>
          <w:top w:val="single" w:sz="6" w:space="0" w:color="FFFFFF"/>
          <w:left w:val="single" w:sz="6" w:space="0" w:color="FFFFFF"/>
          <w:bottom w:val="single" w:sz="6" w:space="0" w:color="FFFFFF"/>
          <w:right w:val="single" w:sz="6" w:space="0" w:color="FFFFFF"/>
        </w:pBdr>
        <w:ind w:firstLine="720"/>
      </w:pPr>
      <w:r w:rsidRPr="00AC6A8F">
        <w:t xml:space="preserve">The total annual labor </w:t>
      </w:r>
      <w:r w:rsidR="002C416A" w:rsidRPr="00AC6A8F">
        <w:t>hours are</w:t>
      </w:r>
      <w:r w:rsidRPr="00AC6A8F">
        <w:t xml:space="preserve"> </w:t>
      </w:r>
      <w:r w:rsidR="00EF3DC4" w:rsidRPr="00AC6A8F">
        <w:t>36,5</w:t>
      </w:r>
      <w:r w:rsidR="00821D20">
        <w:t>00</w:t>
      </w:r>
      <w:r w:rsidRPr="00AC6A8F">
        <w:t>.</w:t>
      </w:r>
      <w:r w:rsidR="00507EC5" w:rsidRPr="00AC6A8F">
        <w:t xml:space="preserve">  </w:t>
      </w:r>
      <w:r w:rsidRPr="00AC6A8F">
        <w:t>Details regarding these estimates may be found in Table 1.  Annual Respondent Burden and Cost</w:t>
      </w:r>
      <w:r w:rsidR="00CF2B37" w:rsidRPr="00AC6A8F">
        <w:t xml:space="preserve"> – </w:t>
      </w:r>
      <w:r w:rsidR="00AB549D" w:rsidRPr="00AC6A8F">
        <w:rPr>
          <w:bCs/>
        </w:rPr>
        <w:t>NESHAP for the Surface Coating of Large Household and Commercial Appliances (40 CFR Part 63, Subpart NNNN)</w:t>
      </w:r>
      <w:r w:rsidR="00AB549D" w:rsidRPr="00AC6A8F" w:rsidDel="00AB549D">
        <w:t xml:space="preserve"> </w:t>
      </w:r>
      <w:r w:rsidR="00AB549D" w:rsidRPr="00AC6A8F">
        <w:t>(Renewal)</w:t>
      </w:r>
      <w:r w:rsidRPr="00AC6A8F">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pPr>
    </w:p>
    <w:p w:rsidR="00821D20" w:rsidRDefault="00821D20" w:rsidP="0021722B">
      <w:pPr>
        <w:pBdr>
          <w:top w:val="single" w:sz="6" w:space="0" w:color="FFFFFF"/>
          <w:left w:val="single" w:sz="6" w:space="0" w:color="FFFFFF"/>
          <w:bottom w:val="single" w:sz="6" w:space="0" w:color="FFFFFF"/>
          <w:right w:val="single" w:sz="6" w:space="0" w:color="FFFFFF"/>
        </w:pBdr>
        <w:ind w:firstLine="720"/>
      </w:pPr>
      <w:r w:rsidRPr="00821D20">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821D20" w:rsidRPr="00AC6A8F" w:rsidRDefault="00821D20" w:rsidP="0021722B">
      <w:pPr>
        <w:pBdr>
          <w:top w:val="single" w:sz="6" w:space="0" w:color="FFFFFF"/>
          <w:left w:val="single" w:sz="6" w:space="0" w:color="FFFFFF"/>
          <w:bottom w:val="single" w:sz="6" w:space="0" w:color="FFFFFF"/>
          <w:right w:val="single" w:sz="6" w:space="0" w:color="FFFFFF"/>
        </w:pBdr>
        <w:ind w:firstLine="720"/>
      </w:pPr>
    </w:p>
    <w:p w:rsidR="00CA4CD6" w:rsidRPr="00AC6A8F" w:rsidRDefault="00CA4CD6" w:rsidP="0021722B">
      <w:pPr>
        <w:pBdr>
          <w:top w:val="single" w:sz="6" w:space="0" w:color="FFFFFF"/>
          <w:left w:val="single" w:sz="6" w:space="0" w:color="FFFFFF"/>
          <w:bottom w:val="single" w:sz="6" w:space="0" w:color="FFFFFF"/>
          <w:right w:val="single" w:sz="6" w:space="0" w:color="FFFFFF"/>
        </w:pBdr>
        <w:ind w:firstLine="720"/>
      </w:pPr>
      <w:r w:rsidRPr="00AC6A8F">
        <w:t xml:space="preserve">Furthermore, the annual public reporting and recordkeeping burden for this collection of information is estimated to average </w:t>
      </w:r>
      <w:r w:rsidR="00173802" w:rsidRPr="00AC6A8F">
        <w:t>10</w:t>
      </w:r>
      <w:r w:rsidR="00B42026">
        <w:t>1</w:t>
      </w:r>
      <w:r w:rsidR="00EF3DC4" w:rsidRPr="00AC6A8F">
        <w:t xml:space="preserve"> </w:t>
      </w:r>
      <w:r w:rsidRPr="00AC6A8F">
        <w:t>hours per response</w:t>
      </w:r>
      <w:r w:rsidR="0021722B" w:rsidRPr="00AC6A8F">
        <w:t>.</w:t>
      </w:r>
    </w:p>
    <w:p w:rsidR="0021722B" w:rsidRPr="00AC6A8F"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AC6A8F" w:rsidRDefault="00CA4CD6">
      <w:pPr>
        <w:pBdr>
          <w:top w:val="single" w:sz="6" w:space="0" w:color="FFFFFF"/>
          <w:left w:val="single" w:sz="6" w:space="0" w:color="FFFFFF"/>
          <w:bottom w:val="single" w:sz="6" w:space="0" w:color="FFFFFF"/>
          <w:right w:val="single" w:sz="6" w:space="0" w:color="FFFFFF"/>
        </w:pBdr>
        <w:ind w:firstLine="720"/>
      </w:pPr>
      <w:r w:rsidRPr="00AC6A8F">
        <w:t xml:space="preserve">The total annual capital/startup and O&amp;M costs to the regulated entity are </w:t>
      </w:r>
      <w:r w:rsidR="00F90C96" w:rsidRPr="00AC6A8F">
        <w:t>$6</w:t>
      </w:r>
      <w:r w:rsidR="00821D20">
        <w:t>80</w:t>
      </w:r>
      <w:r w:rsidR="00F90C96" w:rsidRPr="00AC6A8F">
        <w:t>,</w:t>
      </w:r>
      <w:r w:rsidR="00821D20">
        <w:t>0</w:t>
      </w:r>
      <w:r w:rsidR="00F90C96" w:rsidRPr="00AC6A8F">
        <w:t>00</w:t>
      </w:r>
      <w:r w:rsidR="00507EC5" w:rsidRPr="00AC6A8F">
        <w:t xml:space="preserve">.  </w:t>
      </w:r>
      <w:r w:rsidRPr="00AC6A8F">
        <w:t>The cost calculations are detailed in Section 6(b)(iii), Capital/Startup vs. Operation and Maintenance (O&amp;M) Costs.</w:t>
      </w:r>
    </w:p>
    <w:p w:rsidR="00CA4CD6" w:rsidRPr="00AC6A8F" w:rsidRDefault="00CA4CD6">
      <w:pPr>
        <w:pBdr>
          <w:top w:val="single" w:sz="6" w:space="0" w:color="FFFFFF"/>
          <w:left w:val="single" w:sz="6" w:space="0" w:color="FFFFFF"/>
          <w:bottom w:val="single" w:sz="6" w:space="0" w:color="FFFFFF"/>
          <w:right w:val="single" w:sz="6" w:space="0" w:color="FFFFFF"/>
        </w:pBdr>
        <w:ind w:firstLine="2160"/>
      </w:pPr>
    </w:p>
    <w:p w:rsidR="00CA4CD6" w:rsidRPr="00AC6A8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C6A8F">
        <w:rPr>
          <w:b/>
          <w:bCs/>
        </w:rPr>
        <w:t>(ii) The Agency Tally</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Default="00CA4CD6" w:rsidP="00144F35">
      <w:pPr>
        <w:pBdr>
          <w:top w:val="single" w:sz="6" w:space="0" w:color="FFFFFF"/>
          <w:left w:val="single" w:sz="6" w:space="0" w:color="FFFFFF"/>
          <w:bottom w:val="single" w:sz="6" w:space="0" w:color="FFFFFF"/>
          <w:right w:val="single" w:sz="6" w:space="0" w:color="FFFFFF"/>
        </w:pBdr>
        <w:ind w:firstLine="720"/>
      </w:pPr>
      <w:r w:rsidRPr="00AC6A8F">
        <w:t xml:space="preserve">The average annual Agency burden and cost over next three years is estimated to be </w:t>
      </w:r>
      <w:r w:rsidR="00EF3DC4" w:rsidRPr="00AC6A8F">
        <w:t>3,3</w:t>
      </w:r>
      <w:r w:rsidR="00821D20">
        <w:t>90</w:t>
      </w:r>
      <w:r w:rsidRPr="00AC6A8F">
        <w:t xml:space="preserve"> labor hours at a cost of </w:t>
      </w:r>
      <w:r w:rsidR="00EF3DC4" w:rsidRPr="00AC6A8F">
        <w:t>$154,</w:t>
      </w:r>
      <w:r w:rsidR="00821D20">
        <w:t>000</w:t>
      </w:r>
      <w:r w:rsidR="00144F35" w:rsidRPr="00AC6A8F">
        <w:t xml:space="preserve">.  See Table 2: </w:t>
      </w:r>
      <w:r w:rsidR="00CF2B37" w:rsidRPr="00AC6A8F">
        <w:t>Average Annual EPA Burden and Cost –</w:t>
      </w:r>
      <w:r w:rsidR="00144F35" w:rsidRPr="00AC6A8F">
        <w:t xml:space="preserve"> </w:t>
      </w:r>
      <w:r w:rsidR="00AB549D" w:rsidRPr="00AC6A8F">
        <w:rPr>
          <w:bCs/>
        </w:rPr>
        <w:t>NESHAP for the Surface Coating of Large Household and Commercial Appliances (40 CFR Part 63, Subpart NNNN)</w:t>
      </w:r>
      <w:r w:rsidR="00AB549D" w:rsidRPr="00AC6A8F" w:rsidDel="00AB549D">
        <w:t xml:space="preserve"> </w:t>
      </w:r>
      <w:r w:rsidR="00AB549D" w:rsidRPr="00AC6A8F">
        <w:t>(Renewal)</w:t>
      </w:r>
      <w:r w:rsidRPr="00AC6A8F">
        <w:t>.</w:t>
      </w:r>
    </w:p>
    <w:p w:rsidR="00821D20" w:rsidRDefault="00821D20" w:rsidP="00144F35">
      <w:pPr>
        <w:pBdr>
          <w:top w:val="single" w:sz="6" w:space="0" w:color="FFFFFF"/>
          <w:left w:val="single" w:sz="6" w:space="0" w:color="FFFFFF"/>
          <w:bottom w:val="single" w:sz="6" w:space="0" w:color="FFFFFF"/>
          <w:right w:val="single" w:sz="6" w:space="0" w:color="FFFFFF"/>
        </w:pBdr>
        <w:ind w:firstLine="720"/>
      </w:pPr>
    </w:p>
    <w:p w:rsidR="00821D20" w:rsidRPr="00AC6A8F" w:rsidRDefault="00821D20" w:rsidP="00144F35">
      <w:pPr>
        <w:pBdr>
          <w:top w:val="single" w:sz="6" w:space="0" w:color="FFFFFF"/>
          <w:left w:val="single" w:sz="6" w:space="0" w:color="FFFFFF"/>
          <w:bottom w:val="single" w:sz="6" w:space="0" w:color="FFFFFF"/>
          <w:right w:val="single" w:sz="6" w:space="0" w:color="FFFFFF"/>
        </w:pBdr>
        <w:ind w:firstLine="720"/>
      </w:pPr>
      <w:r w:rsidRPr="00821D20">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CA4CD6">
      <w:pPr>
        <w:pBdr>
          <w:top w:val="single" w:sz="6" w:space="0" w:color="FFFFFF"/>
          <w:left w:val="single" w:sz="6" w:space="0" w:color="FFFFFF"/>
          <w:bottom w:val="single" w:sz="6" w:space="0" w:color="FFFFFF"/>
          <w:right w:val="single" w:sz="6" w:space="0" w:color="FFFFFF"/>
        </w:pBdr>
        <w:ind w:firstLine="720"/>
      </w:pPr>
      <w:r w:rsidRPr="00AC6A8F">
        <w:rPr>
          <w:b/>
          <w:bCs/>
        </w:rPr>
        <w:t>6(f)  Reasons for Change in Burden</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516952" w:rsidP="00AC6A8F">
      <w:pPr>
        <w:ind w:firstLine="720"/>
      </w:pPr>
      <w:r w:rsidRPr="00AC6A8F">
        <w:t xml:space="preserve">There is an increase in the total estimated burden as currently identified in the OMB Inventory of Approved Burdens.  This increase is not due to any program changes.  The change in the burden and cost estimates occurred </w:t>
      </w:r>
      <w:r w:rsidR="00AC6A8F" w:rsidRPr="00AC6A8F">
        <w:t xml:space="preserve">because the total number of respondents has increased, after accounting for anticipated industry growth over three years. </w:t>
      </w:r>
      <w:r w:rsidR="00B42026">
        <w:t xml:space="preserve"> In addition, there is an adjustment increase in the labor rates.  These changes result in an increase in the labor hours, labor costs, </w:t>
      </w:r>
      <w:r w:rsidR="00AC6A8F" w:rsidRPr="00AC6A8F">
        <w:t>O&amp;M costs</w:t>
      </w:r>
      <w:r w:rsidR="00B42026">
        <w:t xml:space="preserve">, and number of responses. </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Pr="00AC6A8F" w:rsidRDefault="00CA4CD6">
      <w:pPr>
        <w:pBdr>
          <w:top w:val="single" w:sz="6" w:space="0" w:color="FFFFFF"/>
          <w:left w:val="single" w:sz="6" w:space="0" w:color="FFFFFF"/>
          <w:bottom w:val="single" w:sz="6" w:space="0" w:color="FFFFFF"/>
          <w:right w:val="single" w:sz="6" w:space="0" w:color="FFFFFF"/>
        </w:pBdr>
        <w:ind w:firstLine="720"/>
      </w:pPr>
      <w:r w:rsidRPr="00AC6A8F">
        <w:rPr>
          <w:b/>
          <w:bCs/>
        </w:rPr>
        <w:t>6(g)  Burden Statement</w:t>
      </w:r>
    </w:p>
    <w:p w:rsidR="00CA4CD6" w:rsidRPr="00AC6A8F"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AC6A8F">
        <w:t xml:space="preserve">The annual public reporting and recordkeeping burden for this collection of information is estimated to average </w:t>
      </w:r>
      <w:r w:rsidR="00AC6A8F" w:rsidRPr="00AC6A8F">
        <w:t>10</w:t>
      </w:r>
      <w:r w:rsidR="00B42026">
        <w:t>1</w:t>
      </w:r>
      <w:r w:rsidRPr="00AC6A8F">
        <w:t xml:space="preserve"> hours per response.  Burden means the total time, effort, or financial resources expended by persons to generate, maintain, retain, or disclose or provide information to or for a Federal agency.  This includes the time needed </w:t>
      </w:r>
      <w:r>
        <w:rPr>
          <w:color w:val="000000"/>
        </w:rPr>
        <w:t>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w:t>
      </w:r>
      <w:r w:rsidR="00CA4CD6" w:rsidRPr="00AC6A8F">
        <w:t xml:space="preserve">established a public docket for this ICR under Docket ID Number </w:t>
      </w:r>
      <w:r w:rsidR="0035325B" w:rsidRPr="00AC6A8F">
        <w:t>EPA-HQ-OECA-201</w:t>
      </w:r>
      <w:r w:rsidR="00E83086" w:rsidRPr="00AC6A8F">
        <w:t>4</w:t>
      </w:r>
      <w:r w:rsidR="0035325B" w:rsidRPr="00AC6A8F">
        <w:t>-</w:t>
      </w:r>
      <w:r w:rsidR="00E83086" w:rsidRPr="00AC6A8F">
        <w:t>0076</w:t>
      </w:r>
      <w:r w:rsidR="00354C15" w:rsidRPr="00AC6A8F">
        <w:t>.  An electronic</w:t>
      </w:r>
      <w:r w:rsidR="00354C15" w:rsidRPr="00354C15">
        <w:t xml:space="preserve">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144A82" w:rsidRPr="00AC6A8F">
        <w:t>-20</w:t>
      </w:r>
      <w:r w:rsidR="0035325B" w:rsidRPr="00AC6A8F">
        <w:t>1</w:t>
      </w:r>
      <w:r w:rsidR="00E83086" w:rsidRPr="00AC6A8F">
        <w:t>4</w:t>
      </w:r>
      <w:r w:rsidR="00CA4CD6" w:rsidRPr="00AC6A8F">
        <w:t>-</w:t>
      </w:r>
      <w:r w:rsidR="00E83086" w:rsidRPr="00AC6A8F">
        <w:t>0076</w:t>
      </w:r>
      <w:r w:rsidR="00CA4CD6" w:rsidRPr="00AC6A8F">
        <w:t xml:space="preserve"> and OMB Control Number </w:t>
      </w:r>
      <w:r w:rsidR="00E83086" w:rsidRPr="00AC6A8F">
        <w:t>2060-0457</w:t>
      </w:r>
      <w:r w:rsidR="00CA4CD6" w:rsidRPr="00AC6A8F">
        <w:t xml:space="preserve"> in any</w:t>
      </w:r>
      <w:r w:rsidR="00CA4CD6">
        <w:t xml:space="preserve">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144F35" w:rsidRDefault="00144F35" w:rsidP="00B42026">
      <w:pPr>
        <w:jc w:val="center"/>
        <w:outlineLvl w:val="0"/>
        <w:rPr>
          <w:b/>
          <w:bCs/>
          <w:color w:val="000000"/>
        </w:rPr>
      </w:pPr>
      <w:r w:rsidRPr="00C4183F">
        <w:rPr>
          <w:b/>
          <w:bCs/>
          <w:color w:val="000000"/>
        </w:rPr>
        <w:lastRenderedPageBreak/>
        <w:t xml:space="preserve">Table 1: Annual Respondent </w:t>
      </w:r>
      <w:r w:rsidRPr="00AC6A8F">
        <w:rPr>
          <w:b/>
          <w:bCs/>
        </w:rPr>
        <w:t xml:space="preserve">Burden and Cost – </w:t>
      </w:r>
      <w:r w:rsidR="00095C53" w:rsidRPr="00095C53">
        <w:rPr>
          <w:b/>
          <w:bCs/>
        </w:rPr>
        <w:t>NESHAP for the Surface Coating of Large Household and Commercial Appliances (40 CFR Part 63, Subpart NNNN)</w:t>
      </w:r>
      <w:r w:rsidR="00095C53" w:rsidRPr="00095C53">
        <w:rPr>
          <w:b/>
        </w:rPr>
        <w:t xml:space="preserve"> (Renewal)</w:t>
      </w:r>
    </w:p>
    <w:p w:rsidR="00144F35" w:rsidRDefault="00144F35" w:rsidP="004F5614">
      <w:pPr>
        <w:outlineLvl w:val="0"/>
        <w:rPr>
          <w:b/>
          <w:bCs/>
          <w:color w:val="000000"/>
        </w:rPr>
      </w:pPr>
    </w:p>
    <w:tbl>
      <w:tblPr>
        <w:tblW w:w="5000" w:type="pct"/>
        <w:tblLook w:val="04A0" w:firstRow="1" w:lastRow="0" w:firstColumn="1" w:lastColumn="0" w:noHBand="0" w:noVBand="1"/>
      </w:tblPr>
      <w:tblGrid>
        <w:gridCol w:w="2973"/>
        <w:gridCol w:w="1316"/>
        <w:gridCol w:w="1256"/>
        <w:gridCol w:w="1316"/>
        <w:gridCol w:w="1256"/>
        <w:gridCol w:w="1261"/>
        <w:gridCol w:w="1261"/>
        <w:gridCol w:w="1261"/>
        <w:gridCol w:w="1366"/>
      </w:tblGrid>
      <w:tr w:rsidR="00AC6A8F" w:rsidRPr="00AC6A8F" w:rsidTr="00AC6A8F">
        <w:trPr>
          <w:trHeight w:val="255"/>
        </w:trPr>
        <w:tc>
          <w:tcPr>
            <w:tcW w:w="1131" w:type="pct"/>
            <w:vMerge w:val="restart"/>
            <w:tcBorders>
              <w:top w:val="single" w:sz="4" w:space="0" w:color="auto"/>
              <w:left w:val="single" w:sz="4" w:space="0" w:color="auto"/>
              <w:bottom w:val="nil"/>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Burden Item</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(A) </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(B)</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(C) </w:t>
            </w:r>
          </w:p>
        </w:tc>
        <w:tc>
          <w:tcPr>
            <w:tcW w:w="484" w:type="pct"/>
            <w:tcBorders>
              <w:top w:val="single" w:sz="4" w:space="0" w:color="auto"/>
              <w:left w:val="nil"/>
              <w:bottom w:val="nil"/>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(D) </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(E)</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(F) </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(G)</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(H)</w:t>
            </w:r>
          </w:p>
        </w:tc>
      </w:tr>
      <w:tr w:rsidR="00AC6A8F" w:rsidRPr="00AC6A8F" w:rsidTr="00AC6A8F">
        <w:trPr>
          <w:trHeight w:val="1050"/>
        </w:trPr>
        <w:tc>
          <w:tcPr>
            <w:tcW w:w="1131" w:type="pct"/>
            <w:vMerge/>
            <w:tcBorders>
              <w:top w:val="single" w:sz="4" w:space="0" w:color="auto"/>
              <w:left w:val="single" w:sz="4" w:space="0" w:color="auto"/>
              <w:bottom w:val="nil"/>
              <w:right w:val="single" w:sz="4" w:space="0" w:color="auto"/>
            </w:tcBorders>
            <w:vAlign w:val="center"/>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Person</w:t>
            </w:r>
            <w:r w:rsidRPr="00AC6A8F">
              <w:rPr>
                <w:color w:val="000000"/>
                <w:sz w:val="20"/>
                <w:szCs w:val="20"/>
              </w:rPr>
              <w:noBreakHyphen/>
              <w:t>Hours per occurrence</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Number of occurrences per year</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Person</w:t>
            </w:r>
            <w:r w:rsidRPr="00AC6A8F">
              <w:rPr>
                <w:color w:val="000000"/>
                <w:sz w:val="20"/>
                <w:szCs w:val="20"/>
              </w:rPr>
              <w:noBreakHyphen/>
              <w:t>Hours per respondent per year</w:t>
            </w:r>
            <w:r w:rsidRPr="00AC6A8F">
              <w:rPr>
                <w:color w:val="000000"/>
                <w:sz w:val="20"/>
                <w:szCs w:val="20"/>
              </w:rPr>
              <w:br/>
              <w:t xml:space="preserve"> (C=A*B)</w:t>
            </w:r>
          </w:p>
        </w:tc>
        <w:tc>
          <w:tcPr>
            <w:tcW w:w="484"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Respondents per year </w:t>
            </w:r>
            <w:r w:rsidRPr="00AC6A8F">
              <w:rPr>
                <w:color w:val="000000"/>
                <w:sz w:val="20"/>
                <w:szCs w:val="20"/>
                <w:vertAlign w:val="superscript"/>
              </w:rPr>
              <w:t>a</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Technical person</w:t>
            </w:r>
            <w:r w:rsidRPr="00AC6A8F">
              <w:rPr>
                <w:color w:val="000000"/>
                <w:sz w:val="20"/>
                <w:szCs w:val="20"/>
              </w:rPr>
              <w:noBreakHyphen/>
              <w:t>hours per year (E=C*D)</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Management person</w:t>
            </w:r>
            <w:r w:rsidRPr="00AC6A8F">
              <w:rPr>
                <w:color w:val="000000"/>
                <w:sz w:val="20"/>
                <w:szCs w:val="20"/>
              </w:rPr>
              <w:noBreakHyphen/>
              <w:t>hours per year</w:t>
            </w:r>
            <w:r w:rsidRPr="00AC6A8F">
              <w:rPr>
                <w:color w:val="000000"/>
                <w:sz w:val="20"/>
                <w:szCs w:val="20"/>
              </w:rPr>
              <w:br/>
              <w:t>(F=E*0.05)</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Clerical person</w:t>
            </w:r>
            <w:r w:rsidRPr="00AC6A8F">
              <w:rPr>
                <w:color w:val="000000"/>
                <w:sz w:val="20"/>
                <w:szCs w:val="20"/>
              </w:rPr>
              <w:noBreakHyphen/>
              <w:t>hours per year (G=E*0.1)</w:t>
            </w:r>
          </w:p>
        </w:tc>
        <w:tc>
          <w:tcPr>
            <w:tcW w:w="484" w:type="pct"/>
            <w:tcBorders>
              <w:top w:val="nil"/>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xml:space="preserve">Annual costs ($) </w:t>
            </w:r>
            <w:r w:rsidRPr="00AC6A8F">
              <w:rPr>
                <w:color w:val="000000"/>
                <w:sz w:val="20"/>
                <w:szCs w:val="20"/>
                <w:vertAlign w:val="superscript"/>
              </w:rPr>
              <w:t>b</w:t>
            </w:r>
          </w:p>
        </w:tc>
      </w:tr>
      <w:tr w:rsidR="00AC6A8F" w:rsidRPr="00AC6A8F" w:rsidTr="00AC6A8F">
        <w:trPr>
          <w:trHeight w:val="315"/>
        </w:trPr>
        <w:tc>
          <w:tcPr>
            <w:tcW w:w="11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6A8F" w:rsidRPr="00AC6A8F" w:rsidRDefault="00AC6A8F" w:rsidP="00821D20">
            <w:pPr>
              <w:widowControl/>
              <w:autoSpaceDE/>
              <w:autoSpaceDN/>
              <w:adjustRightInd/>
              <w:rPr>
                <w:color w:val="000000"/>
                <w:sz w:val="20"/>
                <w:szCs w:val="20"/>
              </w:rPr>
            </w:pPr>
            <w:r w:rsidRPr="00AC6A8F">
              <w:rPr>
                <w:color w:val="000000"/>
                <w:sz w:val="20"/>
                <w:szCs w:val="20"/>
              </w:rPr>
              <w:t xml:space="preserve">1   </w:t>
            </w:r>
            <w:r w:rsidR="00821D20">
              <w:rPr>
                <w:color w:val="000000"/>
                <w:sz w:val="20"/>
                <w:szCs w:val="20"/>
              </w:rPr>
              <w:t>Familiarization with rule requirements</w:t>
            </w:r>
            <w:r w:rsidRPr="00AC6A8F">
              <w:rPr>
                <w:color w:val="000000"/>
                <w:sz w:val="20"/>
                <w:szCs w:val="20"/>
              </w:rPr>
              <w:t xml:space="preserve"> </w:t>
            </w:r>
            <w:r w:rsidRPr="00AC6A8F">
              <w:rPr>
                <w:color w:val="000000"/>
                <w:sz w:val="20"/>
                <w:szCs w:val="20"/>
                <w:vertAlign w:val="superscript"/>
              </w:rPr>
              <w:t>c</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456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22.8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45.6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$52,734.35 </w:t>
            </w:r>
          </w:p>
        </w:tc>
      </w:tr>
      <w:tr w:rsidR="00AC6A8F" w:rsidRPr="00AC6A8F" w:rsidTr="00AC6A8F">
        <w:trPr>
          <w:trHeight w:val="31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2   Plan activities </w:t>
            </w:r>
            <w:r w:rsidRPr="00AC6A8F">
              <w:rPr>
                <w:color w:val="000000"/>
                <w:sz w:val="20"/>
                <w:szCs w:val="20"/>
                <w:vertAlign w:val="superscript"/>
              </w:rPr>
              <w:t>d</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45.6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$105,468.70 </w:t>
            </w:r>
          </w:p>
        </w:tc>
      </w:tr>
      <w:tr w:rsidR="00AC6A8F" w:rsidRPr="00AC6A8F" w:rsidTr="00AC6A8F">
        <w:trPr>
          <w:trHeight w:val="31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3   Training </w:t>
            </w:r>
            <w:r w:rsidRPr="00AC6A8F">
              <w:rPr>
                <w:color w:val="000000"/>
                <w:sz w:val="20"/>
                <w:szCs w:val="20"/>
                <w:vertAlign w:val="superscript"/>
              </w:rPr>
              <w:t>d</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45.6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$105,468.70 </w:t>
            </w:r>
          </w:p>
        </w:tc>
      </w:tr>
      <w:tr w:rsidR="00AC6A8F" w:rsidRPr="00AC6A8F" w:rsidTr="00AC6A8F">
        <w:trPr>
          <w:trHeight w:val="510"/>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4   Create, test, and research and development </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B42026" w:rsidP="00AC6A8F">
            <w:pPr>
              <w:widowControl/>
              <w:autoSpaceDE/>
              <w:autoSpaceDN/>
              <w:adjustRightInd/>
              <w:jc w:val="right"/>
              <w:rPr>
                <w:color w:val="000000"/>
                <w:sz w:val="20"/>
                <w:szCs w:val="20"/>
              </w:rPr>
            </w:pPr>
            <w:r>
              <w:rPr>
                <w:color w:val="000000"/>
                <w:sz w:val="20"/>
                <w:szCs w:val="20"/>
              </w:rPr>
              <w:t>$0</w:t>
            </w:r>
            <w:r w:rsidR="00AC6A8F" w:rsidRPr="00AC6A8F">
              <w:rPr>
                <w:color w:val="000000"/>
                <w:sz w:val="20"/>
                <w:szCs w:val="20"/>
              </w:rPr>
              <w:t xml:space="preserve"> </w:t>
            </w:r>
          </w:p>
        </w:tc>
      </w:tr>
      <w:tr w:rsidR="00AC6A8F" w:rsidRPr="00AC6A8F" w:rsidTr="00AC6A8F">
        <w:trPr>
          <w:trHeight w:val="330"/>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5   Gather information, monitor, and inspect </w:t>
            </w:r>
            <w:r w:rsidRPr="00AC6A8F">
              <w:rPr>
                <w:color w:val="000000"/>
                <w:sz w:val="20"/>
                <w:szCs w:val="20"/>
                <w:vertAlign w:val="superscript"/>
              </w:rPr>
              <w:t>e</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144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16416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820.8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1641.6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$1,898,436.53 </w:t>
            </w:r>
          </w:p>
        </w:tc>
      </w:tr>
      <w:tr w:rsidR="00AC6A8F" w:rsidRPr="00AC6A8F" w:rsidTr="00AC6A8F">
        <w:trPr>
          <w:trHeight w:val="31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6   Process/compile and review </w:t>
            </w:r>
            <w:r w:rsidRPr="00AC6A8F">
              <w:rPr>
                <w:color w:val="000000"/>
                <w:sz w:val="20"/>
                <w:szCs w:val="20"/>
                <w:vertAlign w:val="superscript"/>
              </w:rPr>
              <w:t>f</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10944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547.2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1094.4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$1,265,624.35 </w:t>
            </w:r>
          </w:p>
        </w:tc>
      </w:tr>
      <w:tr w:rsidR="00AC6A8F" w:rsidRPr="00AC6A8F" w:rsidTr="00AC6A8F">
        <w:trPr>
          <w:trHeight w:val="31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7   Complete reports </w:t>
            </w:r>
            <w:r w:rsidRPr="00AC6A8F">
              <w:rPr>
                <w:color w:val="000000"/>
                <w:sz w:val="20"/>
                <w:szCs w:val="20"/>
                <w:vertAlign w:val="superscript"/>
              </w:rPr>
              <w:t>g</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1824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91.2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182.4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$210,937.39 </w:t>
            </w:r>
          </w:p>
        </w:tc>
      </w:tr>
      <w:tr w:rsidR="00AC6A8F" w:rsidRPr="00AC6A8F" w:rsidTr="00AC6A8F">
        <w:trPr>
          <w:trHeight w:val="300"/>
        </w:trPr>
        <w:tc>
          <w:tcPr>
            <w:tcW w:w="3065"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C6A8F" w:rsidRPr="00AC6A8F" w:rsidRDefault="00AC6A8F" w:rsidP="00AC6A8F">
            <w:pPr>
              <w:widowControl/>
              <w:autoSpaceDE/>
              <w:autoSpaceDN/>
              <w:adjustRightInd/>
              <w:rPr>
                <w:b/>
                <w:bCs/>
                <w:i/>
                <w:iCs/>
                <w:color w:val="000000"/>
                <w:sz w:val="20"/>
                <w:szCs w:val="20"/>
              </w:rPr>
            </w:pPr>
            <w:r w:rsidRPr="00AC6A8F">
              <w:rPr>
                <w:b/>
                <w:bCs/>
                <w:i/>
                <w:iCs/>
                <w:color w:val="000000"/>
                <w:sz w:val="20"/>
                <w:szCs w:val="20"/>
              </w:rPr>
              <w:t>Subtotal for Reporting Requirements</w:t>
            </w:r>
          </w:p>
        </w:tc>
        <w:tc>
          <w:tcPr>
            <w:tcW w:w="1451" w:type="pct"/>
            <w:gridSpan w:val="3"/>
            <w:tcBorders>
              <w:top w:val="single" w:sz="4" w:space="0" w:color="auto"/>
              <w:left w:val="nil"/>
              <w:bottom w:val="single" w:sz="4" w:space="0" w:color="auto"/>
              <w:right w:val="single" w:sz="4" w:space="0" w:color="000000"/>
            </w:tcBorders>
            <w:shd w:val="clear" w:color="auto" w:fill="auto"/>
            <w:vAlign w:val="bottom"/>
            <w:hideMark/>
          </w:tcPr>
          <w:p w:rsidR="00AC6A8F" w:rsidRPr="00AC6A8F" w:rsidRDefault="00821D20" w:rsidP="00AC6A8F">
            <w:pPr>
              <w:widowControl/>
              <w:autoSpaceDE/>
              <w:autoSpaceDN/>
              <w:adjustRightInd/>
              <w:jc w:val="center"/>
              <w:rPr>
                <w:b/>
                <w:bCs/>
                <w:i/>
                <w:iCs/>
                <w:color w:val="000000"/>
                <w:sz w:val="20"/>
                <w:szCs w:val="20"/>
              </w:rPr>
            </w:pPr>
            <w:r>
              <w:rPr>
                <w:b/>
                <w:bCs/>
                <w:i/>
                <w:iCs/>
                <w:color w:val="000000"/>
                <w:sz w:val="20"/>
                <w:szCs w:val="20"/>
              </w:rPr>
              <w:t>36,184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b/>
                <w:bCs/>
                <w:color w:val="000000"/>
                <w:sz w:val="20"/>
                <w:szCs w:val="20"/>
              </w:rPr>
            </w:pPr>
            <w:r w:rsidRPr="00AC6A8F">
              <w:rPr>
                <w:b/>
                <w:bCs/>
                <w:color w:val="000000"/>
                <w:sz w:val="20"/>
                <w:szCs w:val="20"/>
              </w:rPr>
              <w:t xml:space="preserve">$3,638,670.01 </w:t>
            </w:r>
          </w:p>
        </w:tc>
      </w:tr>
      <w:tr w:rsidR="00AC6A8F" w:rsidRPr="00AC6A8F" w:rsidTr="00AC6A8F">
        <w:trPr>
          <w:trHeight w:val="31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8   Record/disclose </w:t>
            </w:r>
            <w:r w:rsidRPr="00AC6A8F">
              <w:rPr>
                <w:color w:val="000000"/>
                <w:sz w:val="20"/>
                <w:szCs w:val="20"/>
                <w:vertAlign w:val="superscript"/>
              </w:rPr>
              <w:t>h</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228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22.8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$26,367.17 </w:t>
            </w:r>
          </w:p>
        </w:tc>
      </w:tr>
      <w:tr w:rsidR="00AC6A8F" w:rsidRPr="00AC6A8F" w:rsidTr="00AC6A8F">
        <w:trPr>
          <w:trHeight w:val="25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9   Store/file</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0.25</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0.5</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57</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2.85</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5.7</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$6,591.79 </w:t>
            </w:r>
          </w:p>
        </w:tc>
      </w:tr>
      <w:tr w:rsidR="00AC6A8F" w:rsidRPr="00AC6A8F" w:rsidTr="00AC6A8F">
        <w:trPr>
          <w:trHeight w:val="255"/>
        </w:trPr>
        <w:tc>
          <w:tcPr>
            <w:tcW w:w="1131"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10  LDAR reporting and recordkeeping</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B42026" w:rsidP="00AC6A8F">
            <w:pPr>
              <w:widowControl/>
              <w:autoSpaceDE/>
              <w:autoSpaceDN/>
              <w:adjustRightInd/>
              <w:jc w:val="right"/>
              <w:rPr>
                <w:color w:val="000000"/>
                <w:sz w:val="20"/>
                <w:szCs w:val="20"/>
              </w:rPr>
            </w:pPr>
            <w:r>
              <w:rPr>
                <w:color w:val="000000"/>
                <w:sz w:val="20"/>
                <w:szCs w:val="20"/>
              </w:rPr>
              <w:t>$0</w:t>
            </w:r>
            <w:r w:rsidR="00AC6A8F" w:rsidRPr="00AC6A8F">
              <w:rPr>
                <w:color w:val="000000"/>
                <w:sz w:val="20"/>
                <w:szCs w:val="20"/>
              </w:rPr>
              <w:t xml:space="preserve"> </w:t>
            </w:r>
          </w:p>
        </w:tc>
      </w:tr>
      <w:tr w:rsidR="00AC6A8F" w:rsidRPr="00AC6A8F" w:rsidTr="00AC6A8F">
        <w:trPr>
          <w:trHeight w:val="285"/>
        </w:trPr>
        <w:tc>
          <w:tcPr>
            <w:tcW w:w="3065"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C6A8F" w:rsidRPr="00AC6A8F" w:rsidRDefault="00AC6A8F" w:rsidP="00AC6A8F">
            <w:pPr>
              <w:widowControl/>
              <w:autoSpaceDE/>
              <w:autoSpaceDN/>
              <w:adjustRightInd/>
              <w:rPr>
                <w:b/>
                <w:bCs/>
                <w:i/>
                <w:iCs/>
                <w:color w:val="000000"/>
                <w:sz w:val="20"/>
                <w:szCs w:val="20"/>
              </w:rPr>
            </w:pPr>
            <w:r w:rsidRPr="00AC6A8F">
              <w:rPr>
                <w:b/>
                <w:bCs/>
                <w:i/>
                <w:iCs/>
                <w:color w:val="000000"/>
                <w:sz w:val="20"/>
                <w:szCs w:val="20"/>
              </w:rPr>
              <w:t>Subtotal for Recordkeeping Requirements</w:t>
            </w:r>
          </w:p>
        </w:tc>
        <w:tc>
          <w:tcPr>
            <w:tcW w:w="1451" w:type="pct"/>
            <w:gridSpan w:val="3"/>
            <w:tcBorders>
              <w:top w:val="single" w:sz="4" w:space="0" w:color="auto"/>
              <w:left w:val="nil"/>
              <w:bottom w:val="single" w:sz="4" w:space="0" w:color="auto"/>
              <w:right w:val="single" w:sz="4" w:space="0" w:color="000000"/>
            </w:tcBorders>
            <w:shd w:val="clear" w:color="auto" w:fill="auto"/>
            <w:vAlign w:val="bottom"/>
            <w:hideMark/>
          </w:tcPr>
          <w:p w:rsidR="00AC6A8F" w:rsidRPr="00AC6A8F" w:rsidRDefault="00821D20" w:rsidP="00AC6A8F">
            <w:pPr>
              <w:widowControl/>
              <w:autoSpaceDE/>
              <w:autoSpaceDN/>
              <w:adjustRightInd/>
              <w:jc w:val="center"/>
              <w:rPr>
                <w:b/>
                <w:bCs/>
                <w:i/>
                <w:iCs/>
                <w:color w:val="000000"/>
                <w:sz w:val="20"/>
                <w:szCs w:val="20"/>
              </w:rPr>
            </w:pPr>
            <w:r>
              <w:rPr>
                <w:b/>
                <w:bCs/>
                <w:i/>
                <w:iCs/>
                <w:color w:val="000000"/>
                <w:sz w:val="20"/>
                <w:szCs w:val="20"/>
              </w:rPr>
              <w:t>328</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b/>
                <w:bCs/>
                <w:color w:val="000000"/>
                <w:sz w:val="20"/>
                <w:szCs w:val="20"/>
              </w:rPr>
            </w:pPr>
            <w:r w:rsidRPr="00AC6A8F">
              <w:rPr>
                <w:b/>
                <w:bCs/>
                <w:color w:val="000000"/>
                <w:sz w:val="20"/>
                <w:szCs w:val="20"/>
              </w:rPr>
              <w:t xml:space="preserve">$32,958.97 </w:t>
            </w:r>
          </w:p>
        </w:tc>
      </w:tr>
      <w:tr w:rsidR="00AC6A8F" w:rsidRPr="00AC6A8F" w:rsidTr="00AC6A8F">
        <w:trPr>
          <w:trHeight w:val="270"/>
        </w:trPr>
        <w:tc>
          <w:tcPr>
            <w:tcW w:w="3065"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TOTAL ANNUAL BURDEN AND COST (rounded)</w:t>
            </w:r>
          </w:p>
        </w:tc>
        <w:tc>
          <w:tcPr>
            <w:tcW w:w="1451" w:type="pct"/>
            <w:gridSpan w:val="3"/>
            <w:tcBorders>
              <w:top w:val="single" w:sz="4" w:space="0" w:color="auto"/>
              <w:left w:val="nil"/>
              <w:bottom w:val="single" w:sz="4" w:space="0" w:color="auto"/>
              <w:right w:val="single" w:sz="4" w:space="0" w:color="000000"/>
            </w:tcBorders>
            <w:shd w:val="clear" w:color="auto" w:fill="auto"/>
            <w:vAlign w:val="bottom"/>
            <w:hideMark/>
          </w:tcPr>
          <w:p w:rsidR="00AC6A8F" w:rsidRPr="00AC6A8F" w:rsidRDefault="00821D20" w:rsidP="00AC6A8F">
            <w:pPr>
              <w:widowControl/>
              <w:autoSpaceDE/>
              <w:autoSpaceDN/>
              <w:adjustRightInd/>
              <w:jc w:val="center"/>
              <w:rPr>
                <w:b/>
                <w:bCs/>
                <w:i/>
                <w:iCs/>
                <w:color w:val="000000"/>
                <w:sz w:val="20"/>
                <w:szCs w:val="20"/>
              </w:rPr>
            </w:pPr>
            <w:r>
              <w:rPr>
                <w:b/>
                <w:bCs/>
                <w:i/>
                <w:iCs/>
                <w:color w:val="000000"/>
                <w:sz w:val="20"/>
                <w:szCs w:val="20"/>
              </w:rPr>
              <w:t>36,500</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821D20" w:rsidP="00821D20">
            <w:pPr>
              <w:widowControl/>
              <w:autoSpaceDE/>
              <w:autoSpaceDN/>
              <w:adjustRightInd/>
              <w:jc w:val="right"/>
              <w:rPr>
                <w:b/>
                <w:bCs/>
                <w:i/>
                <w:iCs/>
                <w:color w:val="000000"/>
                <w:sz w:val="20"/>
                <w:szCs w:val="20"/>
              </w:rPr>
            </w:pPr>
            <w:r>
              <w:rPr>
                <w:b/>
                <w:bCs/>
                <w:i/>
                <w:iCs/>
                <w:color w:val="000000"/>
                <w:sz w:val="20"/>
                <w:szCs w:val="20"/>
              </w:rPr>
              <w:t>$3,670,000</w:t>
            </w:r>
            <w:r w:rsidR="00AC6A8F" w:rsidRPr="00AC6A8F">
              <w:rPr>
                <w:b/>
                <w:bCs/>
                <w:i/>
                <w:iCs/>
                <w:color w:val="000000"/>
                <w:sz w:val="20"/>
                <w:szCs w:val="20"/>
              </w:rPr>
              <w:t xml:space="preserve"> </w:t>
            </w:r>
          </w:p>
        </w:tc>
      </w:tr>
      <w:tr w:rsidR="00AC6A8F" w:rsidRPr="00AC6A8F" w:rsidTr="00AC6A8F">
        <w:trPr>
          <w:trHeight w:val="270"/>
        </w:trPr>
        <w:tc>
          <w:tcPr>
            <w:tcW w:w="4516"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Capital and O&amp;M Cost (see Section 6(b)(iii)):</w:t>
            </w:r>
          </w:p>
        </w:tc>
        <w:tc>
          <w:tcPr>
            <w:tcW w:w="484" w:type="pct"/>
            <w:tcBorders>
              <w:top w:val="nil"/>
              <w:left w:val="nil"/>
              <w:bottom w:val="single" w:sz="4" w:space="0" w:color="auto"/>
              <w:right w:val="single" w:sz="4" w:space="0" w:color="auto"/>
            </w:tcBorders>
            <w:shd w:val="clear" w:color="auto" w:fill="auto"/>
            <w:noWrap/>
            <w:vAlign w:val="bottom"/>
            <w:hideMark/>
          </w:tcPr>
          <w:p w:rsidR="00AC6A8F" w:rsidRPr="00B42026" w:rsidRDefault="00AC6A8F" w:rsidP="00821D20">
            <w:pPr>
              <w:widowControl/>
              <w:autoSpaceDE/>
              <w:autoSpaceDN/>
              <w:adjustRightInd/>
              <w:jc w:val="right"/>
              <w:rPr>
                <w:bCs/>
                <w:i/>
                <w:iCs/>
                <w:color w:val="000000"/>
                <w:sz w:val="20"/>
                <w:szCs w:val="20"/>
              </w:rPr>
            </w:pPr>
            <w:r w:rsidRPr="00B42026">
              <w:rPr>
                <w:bCs/>
                <w:i/>
                <w:iCs/>
                <w:color w:val="000000"/>
                <w:sz w:val="20"/>
                <w:szCs w:val="20"/>
              </w:rPr>
              <w:t>$6</w:t>
            </w:r>
            <w:r w:rsidR="00821D20">
              <w:rPr>
                <w:bCs/>
                <w:i/>
                <w:iCs/>
                <w:color w:val="000000"/>
                <w:sz w:val="20"/>
                <w:szCs w:val="20"/>
              </w:rPr>
              <w:t>80</w:t>
            </w:r>
            <w:r w:rsidRPr="00B42026">
              <w:rPr>
                <w:bCs/>
                <w:i/>
                <w:iCs/>
                <w:color w:val="000000"/>
                <w:sz w:val="20"/>
                <w:szCs w:val="20"/>
              </w:rPr>
              <w:t>,</w:t>
            </w:r>
            <w:r w:rsidR="00821D20">
              <w:rPr>
                <w:bCs/>
                <w:i/>
                <w:iCs/>
                <w:color w:val="000000"/>
                <w:sz w:val="20"/>
                <w:szCs w:val="20"/>
              </w:rPr>
              <w:t>0</w:t>
            </w:r>
            <w:r w:rsidRPr="00B42026">
              <w:rPr>
                <w:bCs/>
                <w:i/>
                <w:iCs/>
                <w:color w:val="000000"/>
                <w:sz w:val="20"/>
                <w:szCs w:val="20"/>
              </w:rPr>
              <w:t>00</w:t>
            </w:r>
          </w:p>
        </w:tc>
      </w:tr>
      <w:tr w:rsidR="00AC6A8F" w:rsidRPr="00AC6A8F" w:rsidTr="00AC6A8F">
        <w:trPr>
          <w:trHeight w:val="270"/>
        </w:trPr>
        <w:tc>
          <w:tcPr>
            <w:tcW w:w="4516"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TOTAL COST:</w:t>
            </w:r>
          </w:p>
        </w:tc>
        <w:tc>
          <w:tcPr>
            <w:tcW w:w="484"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821D20">
            <w:pPr>
              <w:widowControl/>
              <w:autoSpaceDE/>
              <w:autoSpaceDN/>
              <w:adjustRightInd/>
              <w:jc w:val="right"/>
              <w:rPr>
                <w:b/>
                <w:bCs/>
                <w:i/>
                <w:iCs/>
                <w:color w:val="000000"/>
                <w:sz w:val="20"/>
                <w:szCs w:val="20"/>
              </w:rPr>
            </w:pPr>
            <w:r w:rsidRPr="00AC6A8F">
              <w:rPr>
                <w:b/>
                <w:bCs/>
                <w:i/>
                <w:iCs/>
                <w:color w:val="000000"/>
                <w:sz w:val="20"/>
                <w:szCs w:val="20"/>
              </w:rPr>
              <w:t>$4,3</w:t>
            </w:r>
            <w:r w:rsidR="00B42026">
              <w:rPr>
                <w:b/>
                <w:bCs/>
                <w:i/>
                <w:iCs/>
                <w:color w:val="000000"/>
                <w:sz w:val="20"/>
                <w:szCs w:val="20"/>
              </w:rPr>
              <w:t>5</w:t>
            </w:r>
            <w:r w:rsidR="00821D20">
              <w:rPr>
                <w:b/>
                <w:bCs/>
                <w:i/>
                <w:iCs/>
                <w:color w:val="000000"/>
                <w:sz w:val="20"/>
                <w:szCs w:val="20"/>
              </w:rPr>
              <w:t>0</w:t>
            </w:r>
            <w:r w:rsidRPr="00AC6A8F">
              <w:rPr>
                <w:b/>
                <w:bCs/>
                <w:i/>
                <w:iCs/>
                <w:color w:val="000000"/>
                <w:sz w:val="20"/>
                <w:szCs w:val="20"/>
              </w:rPr>
              <w:t>,</w:t>
            </w:r>
            <w:r w:rsidR="00821D20">
              <w:rPr>
                <w:b/>
                <w:bCs/>
                <w:i/>
                <w:iCs/>
                <w:color w:val="000000"/>
                <w:sz w:val="20"/>
                <w:szCs w:val="20"/>
              </w:rPr>
              <w:t>000</w:t>
            </w:r>
            <w:r w:rsidRPr="00AC6A8F">
              <w:rPr>
                <w:b/>
                <w:bCs/>
                <w:i/>
                <w:iCs/>
                <w:color w:val="000000"/>
                <w:sz w:val="20"/>
                <w:szCs w:val="20"/>
              </w:rPr>
              <w:t xml:space="preserve"> </w:t>
            </w:r>
          </w:p>
        </w:tc>
      </w:tr>
    </w:tbl>
    <w:p w:rsidR="00AC6A8F" w:rsidRPr="00821D20" w:rsidRDefault="00821D20" w:rsidP="00504745">
      <w:pPr>
        <w:outlineLvl w:val="0"/>
        <w:rPr>
          <w:bCs/>
          <w:color w:val="000000"/>
          <w:sz w:val="20"/>
          <w:szCs w:val="20"/>
        </w:rPr>
      </w:pPr>
      <w:r>
        <w:rPr>
          <w:b/>
          <w:bCs/>
          <w:color w:val="000000"/>
          <w:sz w:val="20"/>
          <w:szCs w:val="20"/>
        </w:rPr>
        <w:t xml:space="preserve">Note: </w:t>
      </w:r>
      <w:r>
        <w:rPr>
          <w:bCs/>
          <w:color w:val="000000"/>
          <w:sz w:val="20"/>
          <w:szCs w:val="20"/>
        </w:rPr>
        <w:t xml:space="preserve">Totals have been rounded to 3 significant digits. Figures may not add exactly due to rounding. </w:t>
      </w:r>
    </w:p>
    <w:p w:rsidR="00821D20" w:rsidRDefault="00821D20" w:rsidP="00504745">
      <w:pPr>
        <w:outlineLvl w:val="0"/>
        <w:rPr>
          <w:b/>
          <w:bCs/>
          <w:color w:val="000000"/>
        </w:rPr>
      </w:pPr>
    </w:p>
    <w:tbl>
      <w:tblPr>
        <w:tblW w:w="5000" w:type="pct"/>
        <w:tblLook w:val="04A0" w:firstRow="1" w:lastRow="0" w:firstColumn="1" w:lastColumn="0" w:noHBand="0" w:noVBand="1"/>
      </w:tblPr>
      <w:tblGrid>
        <w:gridCol w:w="3650"/>
        <w:gridCol w:w="1571"/>
        <w:gridCol w:w="1571"/>
        <w:gridCol w:w="1574"/>
        <w:gridCol w:w="1475"/>
        <w:gridCol w:w="855"/>
        <w:gridCol w:w="855"/>
        <w:gridCol w:w="856"/>
        <w:gridCol w:w="859"/>
      </w:tblGrid>
      <w:tr w:rsidR="00AC6A8F" w:rsidRPr="00AC6A8F" w:rsidTr="00AC6A8F">
        <w:trPr>
          <w:trHeight w:val="255"/>
        </w:trPr>
        <w:tc>
          <w:tcPr>
            <w:tcW w:w="1125"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Assumptions:</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660"/>
        </w:trPr>
        <w:tc>
          <w:tcPr>
            <w:tcW w:w="5000" w:type="pct"/>
            <w:gridSpan w:val="9"/>
            <w:tcBorders>
              <w:top w:val="nil"/>
              <w:left w:val="nil"/>
              <w:bottom w:val="nil"/>
              <w:right w:val="nil"/>
            </w:tcBorders>
            <w:shd w:val="clear" w:color="auto" w:fill="auto"/>
            <w:vAlign w:val="bottom"/>
            <w:hideMark/>
          </w:tcPr>
          <w:p w:rsidR="00AC6A8F" w:rsidRPr="00AC6A8F" w:rsidRDefault="00AC6A8F" w:rsidP="00AC6A8F">
            <w:pPr>
              <w:widowControl/>
              <w:autoSpaceDE/>
              <w:autoSpaceDN/>
              <w:adjustRightInd/>
              <w:rPr>
                <w:color w:val="000000"/>
              </w:rPr>
            </w:pPr>
            <w:r w:rsidRPr="00AC6A8F">
              <w:rPr>
                <w:color w:val="000000"/>
                <w:vertAlign w:val="superscript"/>
              </w:rPr>
              <w:lastRenderedPageBreak/>
              <w:t>a</w:t>
            </w:r>
            <w:r w:rsidRPr="00AC6A8F">
              <w:rPr>
                <w:color w:val="000000"/>
                <w:sz w:val="20"/>
                <w:szCs w:val="20"/>
              </w:rPr>
              <w:t xml:space="preserve">  We have assumed that the average number of respondents that will be subject to the rule will be 114. There will be four additional new sources that will become subject to the rule over the three-year period of this ICR. </w:t>
            </w:r>
          </w:p>
        </w:tc>
      </w:tr>
      <w:tr w:rsidR="00AC6A8F" w:rsidRPr="00AC6A8F" w:rsidTr="00AC6A8F">
        <w:trPr>
          <w:trHeight w:val="945"/>
        </w:trPr>
        <w:tc>
          <w:tcPr>
            <w:tcW w:w="5000" w:type="pct"/>
            <w:gridSpan w:val="9"/>
            <w:tcBorders>
              <w:top w:val="nil"/>
              <w:left w:val="nil"/>
              <w:bottom w:val="nil"/>
              <w:right w:val="nil"/>
            </w:tcBorders>
            <w:shd w:val="clear" w:color="auto" w:fill="auto"/>
            <w:vAlign w:val="bottom"/>
            <w:hideMark/>
          </w:tcPr>
          <w:p w:rsidR="00AC6A8F" w:rsidRPr="00AC6A8F" w:rsidRDefault="00AC6A8F" w:rsidP="00AC6A8F">
            <w:pPr>
              <w:widowControl/>
              <w:autoSpaceDE/>
              <w:autoSpaceDN/>
              <w:adjustRightInd/>
              <w:rPr>
                <w:color w:val="000000"/>
              </w:rPr>
            </w:pPr>
            <w:r w:rsidRPr="00AC6A8F">
              <w:rPr>
                <w:color w:val="000000"/>
                <w:vertAlign w:val="superscript"/>
              </w:rPr>
              <w:t>b</w:t>
            </w:r>
            <w:r w:rsidRPr="00AC6A8F">
              <w:rPr>
                <w:color w:val="000000"/>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 to account for the benefit packages available to those employed by private industry.</w:t>
            </w:r>
          </w:p>
        </w:tc>
      </w:tr>
      <w:tr w:rsidR="00AC6A8F" w:rsidRPr="00AC6A8F" w:rsidTr="00AC6A8F">
        <w:trPr>
          <w:trHeight w:val="315"/>
        </w:trPr>
        <w:tc>
          <w:tcPr>
            <w:tcW w:w="2578" w:type="pct"/>
            <w:gridSpan w:val="4"/>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c</w:t>
            </w:r>
            <w:r w:rsidRPr="00AC6A8F">
              <w:rPr>
                <w:color w:val="000000"/>
                <w:sz w:val="20"/>
                <w:szCs w:val="20"/>
              </w:rPr>
              <w:t xml:space="preserve">  We have assumed that each respondent will take 4 hours to read the rule and instructions.</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315"/>
        </w:trPr>
        <w:tc>
          <w:tcPr>
            <w:tcW w:w="3063" w:type="pct"/>
            <w:gridSpan w:val="5"/>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d</w:t>
            </w:r>
            <w:r w:rsidRPr="00AC6A8F">
              <w:rPr>
                <w:color w:val="000000"/>
                <w:sz w:val="20"/>
                <w:szCs w:val="20"/>
              </w:rPr>
              <w:t xml:space="preserve">  We have assumed that it will take eight hours for each respondent to plan activities and eight hours for training.</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315"/>
        </w:trPr>
        <w:tc>
          <w:tcPr>
            <w:tcW w:w="3063" w:type="pct"/>
            <w:gridSpan w:val="5"/>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e</w:t>
            </w:r>
            <w:r w:rsidRPr="00AC6A8F">
              <w:rPr>
                <w:color w:val="000000"/>
                <w:sz w:val="20"/>
                <w:szCs w:val="20"/>
              </w:rPr>
              <w:t xml:space="preserve">  We have assumed that each respondent will take twelve hours twelve times per year to complete task.</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315"/>
        </w:trPr>
        <w:tc>
          <w:tcPr>
            <w:tcW w:w="2578" w:type="pct"/>
            <w:gridSpan w:val="4"/>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f</w:t>
            </w:r>
            <w:r w:rsidRPr="00AC6A8F">
              <w:rPr>
                <w:color w:val="000000"/>
                <w:sz w:val="20"/>
                <w:szCs w:val="20"/>
              </w:rPr>
              <w:t xml:space="preserve">  We have assumed that each respondent will take eight hours twelve times per year to complete task.</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315"/>
        </w:trPr>
        <w:tc>
          <w:tcPr>
            <w:tcW w:w="2578" w:type="pct"/>
            <w:gridSpan w:val="4"/>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g</w:t>
            </w:r>
            <w:r w:rsidRPr="00AC6A8F">
              <w:rPr>
                <w:color w:val="000000"/>
                <w:sz w:val="20"/>
                <w:szCs w:val="20"/>
              </w:rPr>
              <w:t xml:space="preserve">  We have assumed that each respondent will take eight hours twice per year to complete reports.</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r w:rsidR="00AC6A8F" w:rsidRPr="00AC6A8F" w:rsidTr="00AC6A8F">
        <w:trPr>
          <w:trHeight w:val="315"/>
        </w:trPr>
        <w:tc>
          <w:tcPr>
            <w:tcW w:w="3063" w:type="pct"/>
            <w:gridSpan w:val="5"/>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vertAlign w:val="superscript"/>
              </w:rPr>
              <w:t>h</w:t>
            </w:r>
            <w:r w:rsidRPr="00AC6A8F">
              <w:rPr>
                <w:color w:val="000000"/>
                <w:sz w:val="20"/>
                <w:szCs w:val="20"/>
              </w:rPr>
              <w:t xml:space="preserve">  We have assumed that each respondent will take one hour two times per week to record and disclose information.</w:t>
            </w: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c>
          <w:tcPr>
            <w:tcW w:w="484"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sz w:val="20"/>
                <w:szCs w:val="20"/>
              </w:rPr>
            </w:pPr>
          </w:p>
        </w:tc>
      </w:tr>
    </w:tbl>
    <w:p w:rsidR="00144F35" w:rsidRPr="00AC6A8F" w:rsidRDefault="00144F35" w:rsidP="00B42026">
      <w:pPr>
        <w:jc w:val="center"/>
        <w:outlineLvl w:val="0"/>
        <w:rPr>
          <w:b/>
          <w:bCs/>
        </w:rPr>
      </w:pPr>
      <w:r>
        <w:rPr>
          <w:b/>
          <w:bCs/>
          <w:color w:val="000000"/>
        </w:rPr>
        <w:br w:type="page"/>
      </w:r>
      <w:r w:rsidRPr="00C4183F">
        <w:rPr>
          <w:b/>
          <w:bCs/>
          <w:color w:val="000000"/>
        </w:rPr>
        <w:lastRenderedPageBreak/>
        <w:t>Table 2:</w:t>
      </w:r>
      <w:r>
        <w:rPr>
          <w:b/>
          <w:bCs/>
          <w:color w:val="000000"/>
        </w:rPr>
        <w:t xml:space="preserve"> Average Annual EPA Burden </w:t>
      </w:r>
      <w:r w:rsidRPr="00AC6A8F">
        <w:rPr>
          <w:b/>
          <w:bCs/>
        </w:rPr>
        <w:t xml:space="preserve">and Cost – </w:t>
      </w:r>
      <w:r w:rsidR="00095C53" w:rsidRPr="00095C53">
        <w:rPr>
          <w:b/>
          <w:bCs/>
        </w:rPr>
        <w:t>NESHAP for the Surface Coating of Large Household and Commercial Appliances (40 CFR Part 63, Subpart NNNN)</w:t>
      </w:r>
      <w:r w:rsidR="00095C53" w:rsidRPr="00095C53">
        <w:rPr>
          <w:b/>
        </w:rPr>
        <w:t xml:space="preserve"> (Renewal)</w:t>
      </w:r>
    </w:p>
    <w:p w:rsidR="00144F35" w:rsidRPr="00AC6A8F" w:rsidRDefault="00144F35" w:rsidP="004F5614">
      <w:pPr>
        <w:outlineLvl w:val="0"/>
        <w:rPr>
          <w:b/>
          <w:bCs/>
        </w:rPr>
      </w:pPr>
    </w:p>
    <w:tbl>
      <w:tblPr>
        <w:tblW w:w="5000" w:type="pct"/>
        <w:tblLook w:val="04A0" w:firstRow="1" w:lastRow="0" w:firstColumn="1" w:lastColumn="0" w:noHBand="0" w:noVBand="1"/>
      </w:tblPr>
      <w:tblGrid>
        <w:gridCol w:w="3490"/>
        <w:gridCol w:w="1272"/>
        <w:gridCol w:w="1171"/>
        <w:gridCol w:w="1094"/>
        <w:gridCol w:w="1239"/>
        <w:gridCol w:w="1261"/>
        <w:gridCol w:w="1261"/>
        <w:gridCol w:w="1262"/>
        <w:gridCol w:w="1216"/>
      </w:tblGrid>
      <w:tr w:rsidR="00AC6A8F" w:rsidRPr="00AC6A8F" w:rsidTr="00821D20">
        <w:trPr>
          <w:trHeight w:val="300"/>
        </w:trPr>
        <w:tc>
          <w:tcPr>
            <w:tcW w:w="1316" w:type="pct"/>
            <w:vMerge w:val="restart"/>
            <w:tcBorders>
              <w:top w:val="single" w:sz="4" w:space="0" w:color="auto"/>
              <w:left w:val="single" w:sz="4" w:space="0" w:color="auto"/>
              <w:bottom w:val="nil"/>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Activity</w:t>
            </w:r>
          </w:p>
        </w:tc>
        <w:tc>
          <w:tcPr>
            <w:tcW w:w="479"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(A)</w:t>
            </w:r>
          </w:p>
        </w:tc>
        <w:tc>
          <w:tcPr>
            <w:tcW w:w="441"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(B)</w:t>
            </w:r>
          </w:p>
        </w:tc>
        <w:tc>
          <w:tcPr>
            <w:tcW w:w="412"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(C)</w:t>
            </w:r>
          </w:p>
        </w:tc>
        <w:tc>
          <w:tcPr>
            <w:tcW w:w="467"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(D)</w:t>
            </w:r>
          </w:p>
        </w:tc>
        <w:tc>
          <w:tcPr>
            <w:tcW w:w="475"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(E)</w:t>
            </w:r>
          </w:p>
        </w:tc>
        <w:tc>
          <w:tcPr>
            <w:tcW w:w="475"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(F)</w:t>
            </w:r>
          </w:p>
        </w:tc>
        <w:tc>
          <w:tcPr>
            <w:tcW w:w="475"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(G)</w:t>
            </w:r>
          </w:p>
        </w:tc>
        <w:tc>
          <w:tcPr>
            <w:tcW w:w="458" w:type="pct"/>
            <w:tcBorders>
              <w:top w:val="single" w:sz="4" w:space="0" w:color="auto"/>
              <w:left w:val="nil"/>
              <w:bottom w:val="single" w:sz="4" w:space="0" w:color="auto"/>
              <w:right w:val="single" w:sz="4" w:space="0" w:color="auto"/>
            </w:tcBorders>
            <w:shd w:val="clear" w:color="auto" w:fill="auto"/>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(H)</w:t>
            </w:r>
          </w:p>
        </w:tc>
      </w:tr>
      <w:tr w:rsidR="00AC6A8F" w:rsidRPr="00AC6A8F" w:rsidTr="00821D20">
        <w:trPr>
          <w:trHeight w:val="1215"/>
        </w:trPr>
        <w:tc>
          <w:tcPr>
            <w:tcW w:w="1316" w:type="pct"/>
            <w:vMerge/>
            <w:tcBorders>
              <w:top w:val="single" w:sz="4" w:space="0" w:color="auto"/>
              <w:left w:val="single" w:sz="4" w:space="0" w:color="auto"/>
              <w:bottom w:val="nil"/>
              <w:right w:val="single" w:sz="4" w:space="0" w:color="auto"/>
            </w:tcBorders>
            <w:vAlign w:val="center"/>
            <w:hideMark/>
          </w:tcPr>
          <w:p w:rsidR="00AC6A8F" w:rsidRPr="00AC6A8F" w:rsidRDefault="00AC6A8F" w:rsidP="00AC6A8F">
            <w:pPr>
              <w:widowControl/>
              <w:autoSpaceDE/>
              <w:autoSpaceDN/>
              <w:adjustRightInd/>
              <w:rPr>
                <w:color w:val="000000"/>
                <w:sz w:val="20"/>
                <w:szCs w:val="20"/>
              </w:rPr>
            </w:pPr>
          </w:p>
        </w:tc>
        <w:tc>
          <w:tcPr>
            <w:tcW w:w="479"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Person</w:t>
            </w:r>
            <w:r w:rsidRPr="00AC6A8F">
              <w:rPr>
                <w:color w:val="000000"/>
                <w:sz w:val="20"/>
                <w:szCs w:val="20"/>
              </w:rPr>
              <w:noBreakHyphen/>
              <w:t>hours per activity</w:t>
            </w:r>
          </w:p>
        </w:tc>
        <w:tc>
          <w:tcPr>
            <w:tcW w:w="441"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Number of occur</w:t>
            </w:r>
            <w:r w:rsidR="00FF3307">
              <w:rPr>
                <w:color w:val="000000"/>
                <w:sz w:val="20"/>
                <w:szCs w:val="20"/>
              </w:rPr>
              <w:t>r</w:t>
            </w:r>
            <w:r w:rsidRPr="00AC6A8F">
              <w:rPr>
                <w:color w:val="000000"/>
                <w:sz w:val="20"/>
                <w:szCs w:val="20"/>
              </w:rPr>
              <w:t>ences per year</w:t>
            </w:r>
          </w:p>
        </w:tc>
        <w:tc>
          <w:tcPr>
            <w:tcW w:w="412"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 xml:space="preserve">Person hours per respondent per year </w:t>
            </w:r>
            <w:r w:rsidRPr="00AC6A8F">
              <w:rPr>
                <w:color w:val="000000"/>
                <w:sz w:val="20"/>
                <w:szCs w:val="20"/>
              </w:rPr>
              <w:br/>
              <w:t>(C = A*B)</w:t>
            </w:r>
          </w:p>
        </w:tc>
        <w:tc>
          <w:tcPr>
            <w:tcW w:w="467"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Respondents per year</w:t>
            </w:r>
            <w:r w:rsidRPr="00AC6A8F">
              <w:rPr>
                <w:color w:val="000000"/>
                <w:sz w:val="20"/>
                <w:szCs w:val="20"/>
                <w:vertAlign w:val="superscript"/>
              </w:rPr>
              <w:t>a</w:t>
            </w:r>
          </w:p>
        </w:tc>
        <w:tc>
          <w:tcPr>
            <w:tcW w:w="475"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Technical person</w:t>
            </w:r>
            <w:r w:rsidRPr="00AC6A8F">
              <w:rPr>
                <w:color w:val="000000"/>
                <w:sz w:val="20"/>
                <w:szCs w:val="20"/>
              </w:rPr>
              <w:noBreakHyphen/>
              <w:t>hours per year</w:t>
            </w:r>
            <w:r w:rsidRPr="00AC6A8F">
              <w:rPr>
                <w:color w:val="000000"/>
                <w:sz w:val="20"/>
                <w:szCs w:val="20"/>
              </w:rPr>
              <w:br/>
              <w:t>(E=C*D)</w:t>
            </w:r>
          </w:p>
        </w:tc>
        <w:tc>
          <w:tcPr>
            <w:tcW w:w="475"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Management person</w:t>
            </w:r>
            <w:r w:rsidRPr="00AC6A8F">
              <w:rPr>
                <w:color w:val="000000"/>
                <w:sz w:val="20"/>
                <w:szCs w:val="20"/>
              </w:rPr>
              <w:noBreakHyphen/>
              <w:t>hours per year</w:t>
            </w:r>
            <w:r w:rsidRPr="00AC6A8F">
              <w:rPr>
                <w:color w:val="000000"/>
                <w:sz w:val="20"/>
                <w:szCs w:val="20"/>
              </w:rPr>
              <w:br/>
              <w:t>(F=E*0.05)</w:t>
            </w:r>
          </w:p>
        </w:tc>
        <w:tc>
          <w:tcPr>
            <w:tcW w:w="475"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Clerical person</w:t>
            </w:r>
            <w:r w:rsidRPr="00AC6A8F">
              <w:rPr>
                <w:color w:val="000000"/>
                <w:sz w:val="20"/>
                <w:szCs w:val="20"/>
              </w:rPr>
              <w:noBreakHyphen/>
              <w:t>hours per year</w:t>
            </w:r>
            <w:r w:rsidRPr="00AC6A8F">
              <w:rPr>
                <w:color w:val="000000"/>
                <w:sz w:val="20"/>
                <w:szCs w:val="20"/>
              </w:rPr>
              <w:br/>
              <w:t>(G=E*0.1)</w:t>
            </w:r>
          </w:p>
        </w:tc>
        <w:tc>
          <w:tcPr>
            <w:tcW w:w="458" w:type="pct"/>
            <w:tcBorders>
              <w:top w:val="nil"/>
              <w:left w:val="nil"/>
              <w:bottom w:val="single" w:sz="4" w:space="0" w:color="auto"/>
              <w:right w:val="single" w:sz="4" w:space="0" w:color="auto"/>
            </w:tcBorders>
            <w:shd w:val="clear" w:color="auto" w:fill="auto"/>
            <w:vAlign w:val="center"/>
            <w:hideMark/>
          </w:tcPr>
          <w:p w:rsidR="00AC6A8F" w:rsidRPr="00AC6A8F" w:rsidRDefault="00AC6A8F" w:rsidP="00B42026">
            <w:pPr>
              <w:widowControl/>
              <w:autoSpaceDE/>
              <w:autoSpaceDN/>
              <w:adjustRightInd/>
              <w:jc w:val="center"/>
              <w:rPr>
                <w:color w:val="000000"/>
                <w:sz w:val="20"/>
                <w:szCs w:val="20"/>
              </w:rPr>
            </w:pPr>
            <w:r w:rsidRPr="00AC6A8F">
              <w:rPr>
                <w:color w:val="000000"/>
                <w:sz w:val="20"/>
                <w:szCs w:val="20"/>
              </w:rPr>
              <w:t>Annual</w:t>
            </w:r>
            <w:r w:rsidRPr="00AC6A8F">
              <w:rPr>
                <w:color w:val="000000"/>
                <w:sz w:val="20"/>
                <w:szCs w:val="20"/>
              </w:rPr>
              <w:br/>
              <w:t xml:space="preserve"> Costs ($/yr) </w:t>
            </w:r>
            <w:r w:rsidRPr="00AC6A8F">
              <w:rPr>
                <w:color w:val="000000"/>
                <w:sz w:val="20"/>
                <w:szCs w:val="20"/>
                <w:vertAlign w:val="superscript"/>
              </w:rPr>
              <w:t>b</w:t>
            </w:r>
          </w:p>
        </w:tc>
      </w:tr>
      <w:tr w:rsidR="00AC6A8F" w:rsidRPr="00AC6A8F" w:rsidTr="00821D20">
        <w:trPr>
          <w:trHeight w:val="330"/>
        </w:trPr>
        <w:tc>
          <w:tcPr>
            <w:tcW w:w="13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6A8F" w:rsidRPr="00AC6A8F" w:rsidRDefault="00AC6A8F" w:rsidP="00B42026">
            <w:pPr>
              <w:widowControl/>
              <w:autoSpaceDE/>
              <w:autoSpaceDN/>
              <w:adjustRightInd/>
              <w:rPr>
                <w:color w:val="000000"/>
                <w:sz w:val="20"/>
                <w:szCs w:val="20"/>
              </w:rPr>
            </w:pPr>
            <w:r w:rsidRPr="00AC6A8F">
              <w:rPr>
                <w:color w:val="000000"/>
                <w:sz w:val="20"/>
                <w:szCs w:val="20"/>
              </w:rPr>
              <w:t xml:space="preserve">1   Initial performance test </w:t>
            </w:r>
            <w:r w:rsidRPr="00AC6A8F">
              <w:rPr>
                <w:color w:val="000000"/>
                <w:sz w:val="20"/>
                <w:szCs w:val="20"/>
                <w:vertAlign w:val="superscript"/>
              </w:rPr>
              <w:t>c</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24</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24</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96</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4.8</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9.6</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$5,024.64 </w:t>
            </w:r>
          </w:p>
        </w:tc>
      </w:tr>
      <w:tr w:rsidR="00B42026" w:rsidRPr="00AC6A8F" w:rsidTr="00821D20">
        <w:trPr>
          <w:trHeight w:val="33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B42026" w:rsidRPr="00AC6A8F" w:rsidRDefault="00B42026" w:rsidP="00AC6A8F">
            <w:pPr>
              <w:widowControl/>
              <w:autoSpaceDE/>
              <w:autoSpaceDN/>
              <w:adjustRightInd/>
              <w:rPr>
                <w:color w:val="000000"/>
                <w:sz w:val="20"/>
                <w:szCs w:val="20"/>
              </w:rPr>
            </w:pPr>
            <w:r w:rsidRPr="00AC6A8F">
              <w:rPr>
                <w:color w:val="000000"/>
                <w:sz w:val="20"/>
                <w:szCs w:val="20"/>
              </w:rPr>
              <w:t xml:space="preserve">2   Repeat performance test </w:t>
            </w:r>
            <w:r w:rsidRPr="00AC6A8F">
              <w:rPr>
                <w:color w:val="000000"/>
                <w:sz w:val="20"/>
                <w:szCs w:val="20"/>
                <w:vertAlign w:val="superscript"/>
              </w:rPr>
              <w:t>d</w:t>
            </w:r>
          </w:p>
        </w:tc>
        <w:tc>
          <w:tcPr>
            <w:tcW w:w="479" w:type="pct"/>
            <w:tcBorders>
              <w:top w:val="nil"/>
              <w:left w:val="nil"/>
              <w:bottom w:val="single" w:sz="4" w:space="0" w:color="auto"/>
              <w:right w:val="single" w:sz="4" w:space="0" w:color="auto"/>
            </w:tcBorders>
            <w:shd w:val="clear" w:color="auto" w:fill="auto"/>
            <w:vAlign w:val="bottom"/>
            <w:hideMark/>
          </w:tcPr>
          <w:p w:rsidR="00B42026" w:rsidRPr="00AC6A8F" w:rsidRDefault="00B42026" w:rsidP="00AC6A8F">
            <w:pPr>
              <w:widowControl/>
              <w:autoSpaceDE/>
              <w:autoSpaceDN/>
              <w:adjustRightInd/>
              <w:jc w:val="center"/>
              <w:rPr>
                <w:color w:val="000000"/>
                <w:sz w:val="20"/>
                <w:szCs w:val="20"/>
              </w:rPr>
            </w:pPr>
            <w:r w:rsidRPr="00AC6A8F">
              <w:rPr>
                <w:color w:val="000000"/>
                <w:sz w:val="20"/>
                <w:szCs w:val="20"/>
              </w:rPr>
              <w:t>24</w:t>
            </w:r>
          </w:p>
        </w:tc>
        <w:tc>
          <w:tcPr>
            <w:tcW w:w="441" w:type="pct"/>
            <w:tcBorders>
              <w:top w:val="nil"/>
              <w:left w:val="nil"/>
              <w:bottom w:val="single" w:sz="4" w:space="0" w:color="auto"/>
              <w:right w:val="single" w:sz="4" w:space="0" w:color="auto"/>
            </w:tcBorders>
            <w:shd w:val="clear" w:color="auto" w:fill="auto"/>
            <w:vAlign w:val="bottom"/>
            <w:hideMark/>
          </w:tcPr>
          <w:p w:rsidR="00B42026" w:rsidRPr="00AC6A8F" w:rsidRDefault="00B42026" w:rsidP="00AC6A8F">
            <w:pPr>
              <w:widowControl/>
              <w:autoSpaceDE/>
              <w:autoSpaceDN/>
              <w:adjustRightInd/>
              <w:jc w:val="center"/>
              <w:rPr>
                <w:color w:val="000000"/>
                <w:sz w:val="20"/>
                <w:szCs w:val="20"/>
              </w:rPr>
            </w:pPr>
            <w:r w:rsidRPr="00AC6A8F">
              <w:rPr>
                <w:color w:val="000000"/>
                <w:sz w:val="20"/>
                <w:szCs w:val="20"/>
              </w:rPr>
              <w:t>0.2</w:t>
            </w:r>
          </w:p>
        </w:tc>
        <w:tc>
          <w:tcPr>
            <w:tcW w:w="412" w:type="pct"/>
            <w:tcBorders>
              <w:top w:val="nil"/>
              <w:left w:val="nil"/>
              <w:bottom w:val="single" w:sz="4" w:space="0" w:color="auto"/>
              <w:right w:val="single" w:sz="4" w:space="0" w:color="auto"/>
            </w:tcBorders>
            <w:shd w:val="clear" w:color="auto" w:fill="auto"/>
            <w:vAlign w:val="bottom"/>
            <w:hideMark/>
          </w:tcPr>
          <w:p w:rsidR="00B42026" w:rsidRPr="00AC6A8F" w:rsidRDefault="00B42026" w:rsidP="00AC6A8F">
            <w:pPr>
              <w:widowControl/>
              <w:autoSpaceDE/>
              <w:autoSpaceDN/>
              <w:adjustRightInd/>
              <w:jc w:val="center"/>
              <w:rPr>
                <w:color w:val="000000"/>
                <w:sz w:val="20"/>
                <w:szCs w:val="20"/>
              </w:rPr>
            </w:pPr>
            <w:r>
              <w:rPr>
                <w:color w:val="000000"/>
                <w:sz w:val="20"/>
                <w:szCs w:val="20"/>
              </w:rPr>
              <w:t>4.8</w:t>
            </w:r>
          </w:p>
        </w:tc>
        <w:tc>
          <w:tcPr>
            <w:tcW w:w="467" w:type="pct"/>
            <w:tcBorders>
              <w:top w:val="nil"/>
              <w:left w:val="nil"/>
              <w:bottom w:val="single" w:sz="4" w:space="0" w:color="auto"/>
              <w:right w:val="single" w:sz="4" w:space="0" w:color="auto"/>
            </w:tcBorders>
            <w:shd w:val="clear" w:color="auto" w:fill="auto"/>
            <w:vAlign w:val="bottom"/>
            <w:hideMark/>
          </w:tcPr>
          <w:p w:rsidR="00B42026" w:rsidRPr="00AC6A8F" w:rsidRDefault="00B42026" w:rsidP="00AC6A8F">
            <w:pPr>
              <w:widowControl/>
              <w:autoSpaceDE/>
              <w:autoSpaceDN/>
              <w:adjustRightInd/>
              <w:jc w:val="center"/>
              <w:rPr>
                <w:color w:val="000000"/>
                <w:sz w:val="20"/>
                <w:szCs w:val="20"/>
              </w:rPr>
            </w:pPr>
            <w:r w:rsidRPr="00AC6A8F">
              <w:rPr>
                <w:color w:val="000000"/>
                <w:sz w:val="20"/>
                <w:szCs w:val="20"/>
              </w:rPr>
              <w:t>4</w:t>
            </w:r>
          </w:p>
        </w:tc>
        <w:tc>
          <w:tcPr>
            <w:tcW w:w="475" w:type="pct"/>
            <w:tcBorders>
              <w:top w:val="nil"/>
              <w:left w:val="nil"/>
              <w:bottom w:val="single" w:sz="4" w:space="0" w:color="auto"/>
              <w:right w:val="single" w:sz="4" w:space="0" w:color="auto"/>
            </w:tcBorders>
            <w:shd w:val="clear" w:color="auto" w:fill="auto"/>
            <w:vAlign w:val="bottom"/>
            <w:hideMark/>
          </w:tcPr>
          <w:p w:rsidR="00B42026" w:rsidRDefault="00B42026">
            <w:pPr>
              <w:jc w:val="center"/>
              <w:rPr>
                <w:color w:val="000000"/>
                <w:sz w:val="20"/>
                <w:szCs w:val="20"/>
              </w:rPr>
            </w:pPr>
            <w:r>
              <w:rPr>
                <w:color w:val="000000"/>
                <w:sz w:val="20"/>
                <w:szCs w:val="20"/>
              </w:rPr>
              <w:t>19.2</w:t>
            </w:r>
          </w:p>
        </w:tc>
        <w:tc>
          <w:tcPr>
            <w:tcW w:w="475" w:type="pct"/>
            <w:tcBorders>
              <w:top w:val="nil"/>
              <w:left w:val="nil"/>
              <w:bottom w:val="single" w:sz="4" w:space="0" w:color="auto"/>
              <w:right w:val="single" w:sz="4" w:space="0" w:color="auto"/>
            </w:tcBorders>
            <w:shd w:val="clear" w:color="auto" w:fill="auto"/>
            <w:vAlign w:val="bottom"/>
            <w:hideMark/>
          </w:tcPr>
          <w:p w:rsidR="00B42026" w:rsidRDefault="00B42026">
            <w:pPr>
              <w:jc w:val="center"/>
              <w:rPr>
                <w:color w:val="000000"/>
                <w:sz w:val="20"/>
                <w:szCs w:val="20"/>
              </w:rPr>
            </w:pPr>
            <w:r>
              <w:rPr>
                <w:color w:val="000000"/>
                <w:sz w:val="20"/>
                <w:szCs w:val="20"/>
              </w:rPr>
              <w:t>0.96</w:t>
            </w:r>
          </w:p>
        </w:tc>
        <w:tc>
          <w:tcPr>
            <w:tcW w:w="475" w:type="pct"/>
            <w:tcBorders>
              <w:top w:val="nil"/>
              <w:left w:val="nil"/>
              <w:bottom w:val="single" w:sz="4" w:space="0" w:color="auto"/>
              <w:right w:val="single" w:sz="4" w:space="0" w:color="auto"/>
            </w:tcBorders>
            <w:shd w:val="clear" w:color="auto" w:fill="auto"/>
            <w:vAlign w:val="bottom"/>
            <w:hideMark/>
          </w:tcPr>
          <w:p w:rsidR="00B42026" w:rsidRDefault="00B42026">
            <w:pPr>
              <w:jc w:val="center"/>
              <w:rPr>
                <w:color w:val="000000"/>
                <w:sz w:val="20"/>
                <w:szCs w:val="20"/>
              </w:rPr>
            </w:pPr>
            <w:r>
              <w:rPr>
                <w:color w:val="000000"/>
                <w:sz w:val="20"/>
                <w:szCs w:val="20"/>
              </w:rPr>
              <w:t>1.92</w:t>
            </w:r>
          </w:p>
        </w:tc>
        <w:tc>
          <w:tcPr>
            <w:tcW w:w="458" w:type="pct"/>
            <w:tcBorders>
              <w:top w:val="nil"/>
              <w:left w:val="nil"/>
              <w:bottom w:val="single" w:sz="4" w:space="0" w:color="auto"/>
              <w:right w:val="single" w:sz="4" w:space="0" w:color="auto"/>
            </w:tcBorders>
            <w:shd w:val="clear" w:color="auto" w:fill="auto"/>
            <w:vAlign w:val="bottom"/>
            <w:hideMark/>
          </w:tcPr>
          <w:p w:rsidR="00B42026" w:rsidRDefault="00B42026">
            <w:pPr>
              <w:jc w:val="right"/>
              <w:rPr>
                <w:color w:val="000000"/>
                <w:sz w:val="20"/>
                <w:szCs w:val="20"/>
              </w:rPr>
            </w:pPr>
            <w:r>
              <w:rPr>
                <w:color w:val="000000"/>
                <w:sz w:val="20"/>
                <w:szCs w:val="20"/>
              </w:rPr>
              <w:t xml:space="preserve">$1,004.93 </w:t>
            </w:r>
          </w:p>
        </w:tc>
      </w:tr>
      <w:tr w:rsidR="00AC6A8F" w:rsidRPr="00AC6A8F" w:rsidTr="00821D20">
        <w:trPr>
          <w:trHeight w:val="30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3   Report review </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w:t>
            </w:r>
          </w:p>
        </w:tc>
      </w:tr>
      <w:tr w:rsidR="00AC6A8F" w:rsidRPr="00AC6A8F" w:rsidTr="00821D20">
        <w:trPr>
          <w:trHeight w:val="33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  a) Initial notification </w:t>
            </w:r>
            <w:r w:rsidRPr="00AC6A8F">
              <w:rPr>
                <w:color w:val="000000"/>
                <w:sz w:val="20"/>
                <w:szCs w:val="20"/>
                <w:vertAlign w:val="superscript"/>
              </w:rPr>
              <w:t>e</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$1,674.88 </w:t>
            </w:r>
          </w:p>
        </w:tc>
      </w:tr>
      <w:tr w:rsidR="00AC6A8F" w:rsidRPr="00AC6A8F" w:rsidTr="00821D20">
        <w:trPr>
          <w:trHeight w:val="33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  b) Notification of performance test </w:t>
            </w:r>
            <w:r w:rsidRPr="00AC6A8F">
              <w:rPr>
                <w:color w:val="000000"/>
                <w:sz w:val="20"/>
                <w:szCs w:val="20"/>
                <w:vertAlign w:val="superscript"/>
              </w:rPr>
              <w:t>e</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$1,674.88 </w:t>
            </w:r>
          </w:p>
        </w:tc>
      </w:tr>
      <w:tr w:rsidR="00AC6A8F" w:rsidRPr="00AC6A8F" w:rsidTr="00821D20">
        <w:trPr>
          <w:trHeight w:val="33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  c) Notification of compliance status </w:t>
            </w:r>
            <w:r w:rsidRPr="00AC6A8F">
              <w:rPr>
                <w:color w:val="000000"/>
                <w:sz w:val="20"/>
                <w:szCs w:val="20"/>
                <w:vertAlign w:val="superscript"/>
              </w:rPr>
              <w:t>e</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8</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4</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1.6</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3.2</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$1,674.88 </w:t>
            </w:r>
          </w:p>
        </w:tc>
      </w:tr>
      <w:tr w:rsidR="00AC6A8F" w:rsidRPr="00AC6A8F" w:rsidTr="00821D20">
        <w:trPr>
          <w:trHeight w:val="33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color w:val="000000"/>
                <w:sz w:val="20"/>
                <w:szCs w:val="20"/>
              </w:rPr>
            </w:pPr>
            <w:r w:rsidRPr="00AC6A8F">
              <w:rPr>
                <w:color w:val="000000"/>
                <w:sz w:val="20"/>
                <w:szCs w:val="20"/>
              </w:rPr>
              <w:t xml:space="preserve">  d) Semiannual reports </w:t>
            </w:r>
            <w:r w:rsidRPr="00AC6A8F">
              <w:rPr>
                <w:color w:val="000000"/>
                <w:sz w:val="20"/>
                <w:szCs w:val="20"/>
                <w:vertAlign w:val="superscript"/>
              </w:rPr>
              <w:t>f</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12</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24</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114</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2736</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136.8</w:t>
            </w:r>
          </w:p>
        </w:tc>
        <w:tc>
          <w:tcPr>
            <w:tcW w:w="475"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273.6</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right"/>
              <w:rPr>
                <w:color w:val="000000"/>
                <w:sz w:val="20"/>
                <w:szCs w:val="20"/>
              </w:rPr>
            </w:pPr>
            <w:r w:rsidRPr="00AC6A8F">
              <w:rPr>
                <w:color w:val="000000"/>
                <w:sz w:val="20"/>
                <w:szCs w:val="20"/>
              </w:rPr>
              <w:t xml:space="preserve">$143,202.24 </w:t>
            </w:r>
          </w:p>
        </w:tc>
      </w:tr>
      <w:tr w:rsidR="00AC6A8F" w:rsidRPr="00AC6A8F" w:rsidTr="00821D20">
        <w:trPr>
          <w:trHeight w:val="300"/>
        </w:trPr>
        <w:tc>
          <w:tcPr>
            <w:tcW w:w="1316" w:type="pct"/>
            <w:tcBorders>
              <w:top w:val="nil"/>
              <w:left w:val="single" w:sz="4" w:space="0" w:color="auto"/>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TOTAL ANNUAL BURDEN AND COST (rounded)</w:t>
            </w:r>
          </w:p>
        </w:tc>
        <w:tc>
          <w:tcPr>
            <w:tcW w:w="479"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41"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12"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AC6A8F">
            <w:pPr>
              <w:widowControl/>
              <w:autoSpaceDE/>
              <w:autoSpaceDN/>
              <w:adjustRightInd/>
              <w:jc w:val="center"/>
              <w:rPr>
                <w:color w:val="000000"/>
                <w:sz w:val="20"/>
                <w:szCs w:val="20"/>
              </w:rPr>
            </w:pPr>
            <w:r w:rsidRPr="00AC6A8F">
              <w:rPr>
                <w:color w:val="000000"/>
                <w:sz w:val="20"/>
                <w:szCs w:val="20"/>
              </w:rPr>
              <w:t> </w:t>
            </w:r>
          </w:p>
        </w:tc>
        <w:tc>
          <w:tcPr>
            <w:tcW w:w="1426" w:type="pct"/>
            <w:gridSpan w:val="3"/>
            <w:tcBorders>
              <w:top w:val="single" w:sz="4" w:space="0" w:color="auto"/>
              <w:left w:val="nil"/>
              <w:bottom w:val="single" w:sz="4" w:space="0" w:color="auto"/>
              <w:right w:val="single" w:sz="4" w:space="0" w:color="auto"/>
            </w:tcBorders>
            <w:shd w:val="clear" w:color="auto" w:fill="auto"/>
            <w:vAlign w:val="bottom"/>
            <w:hideMark/>
          </w:tcPr>
          <w:p w:rsidR="00AC6A8F" w:rsidRPr="00AC6A8F" w:rsidRDefault="00AC6A8F" w:rsidP="00B42026">
            <w:pPr>
              <w:widowControl/>
              <w:autoSpaceDE/>
              <w:autoSpaceDN/>
              <w:adjustRightInd/>
              <w:jc w:val="center"/>
              <w:rPr>
                <w:b/>
                <w:bCs/>
                <w:color w:val="000000"/>
                <w:sz w:val="20"/>
                <w:szCs w:val="20"/>
              </w:rPr>
            </w:pPr>
            <w:r w:rsidRPr="00AC6A8F">
              <w:rPr>
                <w:b/>
                <w:bCs/>
                <w:color w:val="000000"/>
                <w:sz w:val="20"/>
                <w:szCs w:val="20"/>
              </w:rPr>
              <w:t>3,3</w:t>
            </w:r>
            <w:r w:rsidR="00821D20">
              <w:rPr>
                <w:b/>
                <w:bCs/>
                <w:color w:val="000000"/>
                <w:sz w:val="20"/>
                <w:szCs w:val="20"/>
              </w:rPr>
              <w:t>90</w:t>
            </w:r>
          </w:p>
        </w:tc>
        <w:tc>
          <w:tcPr>
            <w:tcW w:w="458" w:type="pct"/>
            <w:tcBorders>
              <w:top w:val="nil"/>
              <w:left w:val="nil"/>
              <w:bottom w:val="single" w:sz="4" w:space="0" w:color="auto"/>
              <w:right w:val="single" w:sz="4" w:space="0" w:color="auto"/>
            </w:tcBorders>
            <w:shd w:val="clear" w:color="auto" w:fill="auto"/>
            <w:vAlign w:val="bottom"/>
            <w:hideMark/>
          </w:tcPr>
          <w:p w:rsidR="00AC6A8F" w:rsidRPr="00AC6A8F" w:rsidRDefault="00AC6A8F" w:rsidP="00821D20">
            <w:pPr>
              <w:widowControl/>
              <w:autoSpaceDE/>
              <w:autoSpaceDN/>
              <w:adjustRightInd/>
              <w:jc w:val="right"/>
              <w:rPr>
                <w:b/>
                <w:bCs/>
                <w:color w:val="000000"/>
                <w:sz w:val="20"/>
                <w:szCs w:val="20"/>
              </w:rPr>
            </w:pPr>
            <w:r w:rsidRPr="00AC6A8F">
              <w:rPr>
                <w:b/>
                <w:bCs/>
                <w:color w:val="000000"/>
                <w:sz w:val="20"/>
                <w:szCs w:val="20"/>
              </w:rPr>
              <w:t>$154,</w:t>
            </w:r>
            <w:r w:rsidR="00821D20">
              <w:rPr>
                <w:b/>
                <w:bCs/>
                <w:color w:val="000000"/>
                <w:sz w:val="20"/>
                <w:szCs w:val="20"/>
              </w:rPr>
              <w:t>000</w:t>
            </w:r>
            <w:r w:rsidRPr="00AC6A8F">
              <w:rPr>
                <w:b/>
                <w:bCs/>
                <w:color w:val="000000"/>
                <w:sz w:val="20"/>
                <w:szCs w:val="20"/>
              </w:rPr>
              <w:t xml:space="preserve"> </w:t>
            </w:r>
          </w:p>
        </w:tc>
      </w:tr>
    </w:tbl>
    <w:p w:rsidR="00144F35" w:rsidRPr="00821D20" w:rsidRDefault="00821D20" w:rsidP="00821D20">
      <w:pPr>
        <w:outlineLvl w:val="0"/>
        <w:rPr>
          <w:bCs/>
          <w:color w:val="000000"/>
          <w:sz w:val="20"/>
          <w:szCs w:val="20"/>
        </w:rPr>
      </w:pPr>
      <w:r>
        <w:rPr>
          <w:b/>
          <w:bCs/>
          <w:color w:val="000000"/>
          <w:sz w:val="20"/>
          <w:szCs w:val="20"/>
        </w:rPr>
        <w:t xml:space="preserve">Note: </w:t>
      </w:r>
      <w:r>
        <w:rPr>
          <w:bCs/>
          <w:color w:val="000000"/>
          <w:sz w:val="20"/>
          <w:szCs w:val="20"/>
        </w:rPr>
        <w:t xml:space="preserve">Totals have been rounded to 3 significant digits. Figures may not add exactly due to rounding. </w:t>
      </w:r>
    </w:p>
    <w:tbl>
      <w:tblPr>
        <w:tblW w:w="5000" w:type="pct"/>
        <w:tblLook w:val="04A0" w:firstRow="1" w:lastRow="0" w:firstColumn="1" w:lastColumn="0" w:noHBand="0" w:noVBand="1"/>
      </w:tblPr>
      <w:tblGrid>
        <w:gridCol w:w="3668"/>
        <w:gridCol w:w="1021"/>
        <w:gridCol w:w="958"/>
        <w:gridCol w:w="1144"/>
        <w:gridCol w:w="1144"/>
        <w:gridCol w:w="1332"/>
        <w:gridCol w:w="1335"/>
        <w:gridCol w:w="1332"/>
        <w:gridCol w:w="1332"/>
      </w:tblGrid>
      <w:tr w:rsidR="00AC6A8F" w:rsidRPr="00AC6A8F" w:rsidTr="00AC6A8F">
        <w:trPr>
          <w:trHeight w:val="300"/>
        </w:trPr>
        <w:tc>
          <w:tcPr>
            <w:tcW w:w="1416"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b/>
                <w:bCs/>
                <w:color w:val="000000"/>
                <w:sz w:val="20"/>
                <w:szCs w:val="20"/>
              </w:rPr>
            </w:pPr>
            <w:r w:rsidRPr="00AC6A8F">
              <w:rPr>
                <w:b/>
                <w:bCs/>
                <w:color w:val="000000"/>
                <w:sz w:val="20"/>
                <w:szCs w:val="20"/>
              </w:rPr>
              <w:t>Assumptions:</w:t>
            </w:r>
          </w:p>
        </w:tc>
        <w:tc>
          <w:tcPr>
            <w:tcW w:w="378"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353"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426"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426"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r>
      <w:tr w:rsidR="00AC6A8F" w:rsidRPr="00AC6A8F" w:rsidTr="00AC6A8F">
        <w:trPr>
          <w:trHeight w:val="375"/>
        </w:trPr>
        <w:tc>
          <w:tcPr>
            <w:tcW w:w="5000" w:type="pct"/>
            <w:gridSpan w:val="9"/>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color w:val="000000"/>
              </w:rPr>
            </w:pPr>
            <w:r w:rsidRPr="00AC6A8F">
              <w:rPr>
                <w:color w:val="000000"/>
                <w:vertAlign w:val="superscript"/>
              </w:rPr>
              <w:t xml:space="preserve">a </w:t>
            </w:r>
            <w:r w:rsidRPr="00AC6A8F">
              <w:rPr>
                <w:color w:val="000000"/>
                <w:sz w:val="20"/>
                <w:szCs w:val="20"/>
              </w:rPr>
              <w:t xml:space="preserve"> We have assumed that the average number of respondents that will be subject to the rule will be 114. There will be four additional sources that will become subject to the rule over the three-year period of this ICR</w:t>
            </w:r>
          </w:p>
        </w:tc>
      </w:tr>
      <w:tr w:rsidR="00AC6A8F" w:rsidRPr="00AC6A8F" w:rsidTr="00AC6A8F">
        <w:trPr>
          <w:trHeight w:val="945"/>
        </w:trPr>
        <w:tc>
          <w:tcPr>
            <w:tcW w:w="5000" w:type="pct"/>
            <w:gridSpan w:val="9"/>
            <w:tcBorders>
              <w:top w:val="nil"/>
              <w:left w:val="nil"/>
              <w:bottom w:val="nil"/>
              <w:right w:val="nil"/>
            </w:tcBorders>
            <w:shd w:val="clear" w:color="auto" w:fill="auto"/>
            <w:vAlign w:val="bottom"/>
            <w:hideMark/>
          </w:tcPr>
          <w:p w:rsidR="00AC6A8F" w:rsidRPr="00AC6A8F" w:rsidRDefault="00AC6A8F" w:rsidP="00AC6A8F">
            <w:pPr>
              <w:widowControl/>
              <w:autoSpaceDE/>
              <w:autoSpaceDN/>
              <w:adjustRightInd/>
              <w:rPr>
                <w:color w:val="000000"/>
              </w:rPr>
            </w:pPr>
            <w:r w:rsidRPr="00AC6A8F">
              <w:rPr>
                <w:color w:val="000000"/>
                <w:vertAlign w:val="superscript"/>
              </w:rPr>
              <w:t xml:space="preserve">b </w:t>
            </w:r>
            <w:r w:rsidRPr="00AC6A8F">
              <w:rPr>
                <w:color w:val="000000"/>
                <w:sz w:val="20"/>
                <w:szCs w:val="20"/>
              </w:rPr>
              <w:t xml:space="preserve"> This cost is based on the following labor rates: Managerial rate of $62.90 (GS-13, Step 5, $39.31 + 60%), Technical rate of $46.67 (GS-12, Step 1, $29.17 + 60%), and Clerical rate of $25.25 (GS-6, Step3, $15.78 + 60%).  These rates are from the Office of Personnel Management (OPM), 2014 General Schedule, which excludes locality rates of pay.  The rates have been increased by 60 percent to account for the benefit packages available to government employees.</w:t>
            </w:r>
          </w:p>
        </w:tc>
      </w:tr>
      <w:tr w:rsidR="00AC6A8F" w:rsidRPr="00AC6A8F" w:rsidTr="00AC6A8F">
        <w:trPr>
          <w:trHeight w:val="330"/>
        </w:trPr>
        <w:tc>
          <w:tcPr>
            <w:tcW w:w="4000" w:type="pct"/>
            <w:gridSpan w:val="7"/>
            <w:tcBorders>
              <w:top w:val="nil"/>
              <w:left w:val="nil"/>
              <w:bottom w:val="nil"/>
              <w:right w:val="nil"/>
            </w:tcBorders>
            <w:shd w:val="clear" w:color="auto" w:fill="auto"/>
            <w:noWrap/>
            <w:vAlign w:val="bottom"/>
            <w:hideMark/>
          </w:tcPr>
          <w:p w:rsidR="00AC6A8F" w:rsidRPr="00C62D11" w:rsidRDefault="00AC6A8F" w:rsidP="00C62D11">
            <w:pPr>
              <w:widowControl/>
              <w:autoSpaceDE/>
              <w:autoSpaceDN/>
              <w:adjustRightInd/>
              <w:rPr>
                <w:sz w:val="20"/>
                <w:szCs w:val="20"/>
              </w:rPr>
            </w:pPr>
            <w:r w:rsidRPr="00C62D11">
              <w:rPr>
                <w:sz w:val="20"/>
                <w:szCs w:val="20"/>
                <w:vertAlign w:val="superscript"/>
              </w:rPr>
              <w:t>c</w:t>
            </w:r>
            <w:r w:rsidRPr="00C62D11">
              <w:rPr>
                <w:sz w:val="20"/>
                <w:szCs w:val="20"/>
              </w:rPr>
              <w:t xml:space="preserve">  We have assumed that it will take 24 hours to complete the task for each respondent. </w:t>
            </w: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r>
      <w:tr w:rsidR="00AC6A8F" w:rsidRPr="00AC6A8F" w:rsidTr="00AC6A8F">
        <w:trPr>
          <w:trHeight w:val="330"/>
        </w:trPr>
        <w:tc>
          <w:tcPr>
            <w:tcW w:w="5000" w:type="pct"/>
            <w:gridSpan w:val="9"/>
            <w:tcBorders>
              <w:top w:val="nil"/>
              <w:left w:val="nil"/>
              <w:bottom w:val="nil"/>
              <w:right w:val="nil"/>
            </w:tcBorders>
            <w:shd w:val="clear" w:color="auto" w:fill="auto"/>
            <w:noWrap/>
            <w:vAlign w:val="bottom"/>
            <w:hideMark/>
          </w:tcPr>
          <w:p w:rsidR="00AC6A8F" w:rsidRPr="00C62D11" w:rsidRDefault="00AC6A8F" w:rsidP="00B42026">
            <w:pPr>
              <w:widowControl/>
              <w:autoSpaceDE/>
              <w:autoSpaceDN/>
              <w:adjustRightInd/>
              <w:rPr>
                <w:sz w:val="20"/>
                <w:szCs w:val="20"/>
              </w:rPr>
            </w:pPr>
            <w:r w:rsidRPr="00C62D11">
              <w:rPr>
                <w:sz w:val="20"/>
                <w:szCs w:val="20"/>
                <w:vertAlign w:val="superscript"/>
              </w:rPr>
              <w:t>d</w:t>
            </w:r>
            <w:r w:rsidRPr="00C62D11">
              <w:rPr>
                <w:sz w:val="20"/>
                <w:szCs w:val="20"/>
              </w:rPr>
              <w:t xml:space="preserve">  We have assumed that </w:t>
            </w:r>
            <w:r w:rsidR="00B42026">
              <w:rPr>
                <w:sz w:val="20"/>
                <w:szCs w:val="20"/>
              </w:rPr>
              <w:t>tests</w:t>
            </w:r>
            <w:r w:rsidRPr="00C62D11">
              <w:rPr>
                <w:sz w:val="20"/>
                <w:szCs w:val="20"/>
              </w:rPr>
              <w:t xml:space="preserve"> will fail </w:t>
            </w:r>
            <w:r w:rsidR="00B42026">
              <w:rPr>
                <w:sz w:val="20"/>
                <w:szCs w:val="20"/>
              </w:rPr>
              <w:t xml:space="preserve">20% of the time </w:t>
            </w:r>
            <w:r w:rsidRPr="00C62D11">
              <w:rPr>
                <w:sz w:val="20"/>
                <w:szCs w:val="20"/>
              </w:rPr>
              <w:t>and that it will take 24 hours to complete the task.</w:t>
            </w:r>
          </w:p>
        </w:tc>
      </w:tr>
      <w:tr w:rsidR="00AC6A8F" w:rsidRPr="00AC6A8F" w:rsidTr="00AC6A8F">
        <w:trPr>
          <w:trHeight w:val="330"/>
        </w:trPr>
        <w:tc>
          <w:tcPr>
            <w:tcW w:w="4500" w:type="pct"/>
            <w:gridSpan w:val="8"/>
            <w:tcBorders>
              <w:top w:val="nil"/>
              <w:left w:val="nil"/>
              <w:bottom w:val="nil"/>
              <w:right w:val="nil"/>
            </w:tcBorders>
            <w:shd w:val="clear" w:color="auto" w:fill="auto"/>
            <w:noWrap/>
            <w:vAlign w:val="bottom"/>
            <w:hideMark/>
          </w:tcPr>
          <w:p w:rsidR="00AC6A8F" w:rsidRPr="00C62D11" w:rsidRDefault="00AC6A8F" w:rsidP="00C62D11">
            <w:pPr>
              <w:widowControl/>
              <w:autoSpaceDE/>
              <w:autoSpaceDN/>
              <w:adjustRightInd/>
              <w:rPr>
                <w:sz w:val="20"/>
                <w:szCs w:val="20"/>
              </w:rPr>
            </w:pPr>
            <w:r w:rsidRPr="00C62D11">
              <w:rPr>
                <w:sz w:val="20"/>
                <w:szCs w:val="20"/>
                <w:vertAlign w:val="superscript"/>
              </w:rPr>
              <w:t>e</w:t>
            </w:r>
            <w:r w:rsidRPr="00C62D11">
              <w:rPr>
                <w:sz w:val="20"/>
                <w:szCs w:val="20"/>
              </w:rPr>
              <w:t xml:space="preserve">  We have assumed that it will take 8 hours to complete the task for each respondent. </w:t>
            </w: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r>
      <w:tr w:rsidR="00AC6A8F" w:rsidRPr="00AC6A8F" w:rsidTr="00AC6A8F">
        <w:trPr>
          <w:trHeight w:val="330"/>
        </w:trPr>
        <w:tc>
          <w:tcPr>
            <w:tcW w:w="4000" w:type="pct"/>
            <w:gridSpan w:val="7"/>
            <w:tcBorders>
              <w:top w:val="nil"/>
              <w:left w:val="nil"/>
              <w:bottom w:val="nil"/>
              <w:right w:val="nil"/>
            </w:tcBorders>
            <w:shd w:val="clear" w:color="auto" w:fill="auto"/>
            <w:noWrap/>
            <w:vAlign w:val="bottom"/>
            <w:hideMark/>
          </w:tcPr>
          <w:p w:rsidR="00AC6A8F" w:rsidRPr="00C62D11" w:rsidRDefault="00AC6A8F" w:rsidP="00C62D11">
            <w:pPr>
              <w:widowControl/>
              <w:autoSpaceDE/>
              <w:autoSpaceDN/>
              <w:adjustRightInd/>
              <w:rPr>
                <w:sz w:val="20"/>
                <w:szCs w:val="20"/>
              </w:rPr>
            </w:pPr>
            <w:r w:rsidRPr="00C62D11">
              <w:rPr>
                <w:sz w:val="20"/>
                <w:szCs w:val="20"/>
                <w:vertAlign w:val="superscript"/>
              </w:rPr>
              <w:t>f</w:t>
            </w:r>
            <w:r w:rsidRPr="00C62D11">
              <w:rPr>
                <w:sz w:val="20"/>
                <w:szCs w:val="20"/>
              </w:rPr>
              <w:t xml:space="preserve">  We have assumed that it will take 12 hours to complete the task for each respondent. </w:t>
            </w: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c>
          <w:tcPr>
            <w:tcW w:w="500" w:type="pct"/>
            <w:tcBorders>
              <w:top w:val="nil"/>
              <w:left w:val="nil"/>
              <w:bottom w:val="nil"/>
              <w:right w:val="nil"/>
            </w:tcBorders>
            <w:shd w:val="clear" w:color="auto" w:fill="auto"/>
            <w:noWrap/>
            <w:vAlign w:val="bottom"/>
            <w:hideMark/>
          </w:tcPr>
          <w:p w:rsidR="00AC6A8F" w:rsidRPr="00AC6A8F" w:rsidRDefault="00AC6A8F" w:rsidP="00AC6A8F">
            <w:pPr>
              <w:widowControl/>
              <w:autoSpaceDE/>
              <w:autoSpaceDN/>
              <w:adjustRightInd/>
              <w:rPr>
                <w:rFonts w:ascii="Calibri" w:hAnsi="Calibri"/>
                <w:color w:val="000000"/>
                <w:sz w:val="22"/>
                <w:szCs w:val="22"/>
              </w:rPr>
            </w:pPr>
          </w:p>
        </w:tc>
      </w:tr>
    </w:tbl>
    <w:p w:rsidR="00AC6A8F" w:rsidRDefault="00AC6A8F" w:rsidP="00F340DF">
      <w:pPr>
        <w:rPr>
          <w:color w:val="000000"/>
        </w:rPr>
      </w:pPr>
    </w:p>
    <w:sectPr w:rsidR="00AC6A8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62B" w:rsidRDefault="00F7662B">
      <w:r>
        <w:separator/>
      </w:r>
    </w:p>
  </w:endnote>
  <w:endnote w:type="continuationSeparator" w:id="0">
    <w:p w:rsidR="00F7662B" w:rsidRDefault="00F7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62B" w:rsidRDefault="00F7662B">
      <w:r>
        <w:separator/>
      </w:r>
    </w:p>
  </w:footnote>
  <w:footnote w:type="continuationSeparator" w:id="0">
    <w:p w:rsidR="00F7662B" w:rsidRDefault="00F7662B">
      <w:r>
        <w:continuationSeparator/>
      </w:r>
    </w:p>
  </w:footnote>
  <w:footnote w:id="1">
    <w:p w:rsidR="00B42026" w:rsidRDefault="00B42026" w:rsidP="00707FD3">
      <w:pPr>
        <w:pStyle w:val="FootnoteText"/>
      </w:pPr>
      <w:r w:rsidRPr="00920F01">
        <w:rPr>
          <w:rStyle w:val="FootnoteReference"/>
          <w:vertAlign w:val="superscript"/>
        </w:rPr>
        <w:footnoteRef/>
      </w:r>
      <w:r>
        <w:t xml:space="preserve"> National Emission Standards for Hazardous Air Pollutants (NESHAP) for Source Category: Large Appliances Surface Coating Operations – Background Information for Proposed Standards, September 2000, EPA-453/R-00-006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26" w:rsidRDefault="00821D20">
    <w:pPr>
      <w:framePr w:w="9361" w:wrap="notBeside" w:vAnchor="text" w:hAnchor="text" w:x="1" w:y="1"/>
      <w:jc w:val="center"/>
    </w:pPr>
    <w:r>
      <w:fldChar w:fldCharType="begin"/>
    </w:r>
    <w:r>
      <w:instrText xml:space="preserve">PAGE </w:instrText>
    </w:r>
    <w:r>
      <w:fldChar w:fldCharType="separate"/>
    </w:r>
    <w:r w:rsidR="005048CD">
      <w:rPr>
        <w:noProof/>
      </w:rPr>
      <w:t>2</w:t>
    </w:r>
    <w:r>
      <w:rPr>
        <w:noProof/>
      </w:rPr>
      <w:fldChar w:fldCharType="end"/>
    </w:r>
  </w:p>
  <w:p w:rsidR="00B42026" w:rsidRDefault="00B42026"/>
  <w:p w:rsidR="00B42026" w:rsidRDefault="00B4202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5449"/>
    <w:rsid w:val="0003619B"/>
    <w:rsid w:val="00055BDF"/>
    <w:rsid w:val="00055DC5"/>
    <w:rsid w:val="00095C53"/>
    <w:rsid w:val="000A1FBB"/>
    <w:rsid w:val="000A687C"/>
    <w:rsid w:val="000D2272"/>
    <w:rsid w:val="000F772C"/>
    <w:rsid w:val="00101B40"/>
    <w:rsid w:val="00102B52"/>
    <w:rsid w:val="0010697C"/>
    <w:rsid w:val="00123889"/>
    <w:rsid w:val="00126A7C"/>
    <w:rsid w:val="001356D4"/>
    <w:rsid w:val="0014079D"/>
    <w:rsid w:val="00144978"/>
    <w:rsid w:val="00144A82"/>
    <w:rsid w:val="00144F35"/>
    <w:rsid w:val="00146F35"/>
    <w:rsid w:val="0015433E"/>
    <w:rsid w:val="00173802"/>
    <w:rsid w:val="00186DA3"/>
    <w:rsid w:val="00195753"/>
    <w:rsid w:val="001A0B41"/>
    <w:rsid w:val="001B0B9A"/>
    <w:rsid w:val="001B35F2"/>
    <w:rsid w:val="001C37A7"/>
    <w:rsid w:val="001C5991"/>
    <w:rsid w:val="001D5739"/>
    <w:rsid w:val="001D7301"/>
    <w:rsid w:val="001D762C"/>
    <w:rsid w:val="001F19FF"/>
    <w:rsid w:val="002041C5"/>
    <w:rsid w:val="002063FE"/>
    <w:rsid w:val="00206932"/>
    <w:rsid w:val="00212064"/>
    <w:rsid w:val="0021722B"/>
    <w:rsid w:val="0022738C"/>
    <w:rsid w:val="00234A28"/>
    <w:rsid w:val="00236DB3"/>
    <w:rsid w:val="002431D9"/>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2AF0"/>
    <w:rsid w:val="003139FC"/>
    <w:rsid w:val="00341540"/>
    <w:rsid w:val="003511C6"/>
    <w:rsid w:val="0035325B"/>
    <w:rsid w:val="00354C15"/>
    <w:rsid w:val="0036229C"/>
    <w:rsid w:val="00377D7F"/>
    <w:rsid w:val="003B384B"/>
    <w:rsid w:val="003C4B46"/>
    <w:rsid w:val="003C5023"/>
    <w:rsid w:val="003D536B"/>
    <w:rsid w:val="003D6951"/>
    <w:rsid w:val="003E2595"/>
    <w:rsid w:val="003E30B5"/>
    <w:rsid w:val="003E3BD0"/>
    <w:rsid w:val="003E4C18"/>
    <w:rsid w:val="003F1AFC"/>
    <w:rsid w:val="0040391F"/>
    <w:rsid w:val="00424208"/>
    <w:rsid w:val="004367D0"/>
    <w:rsid w:val="0044133C"/>
    <w:rsid w:val="00455557"/>
    <w:rsid w:val="00473407"/>
    <w:rsid w:val="00484A45"/>
    <w:rsid w:val="0049607B"/>
    <w:rsid w:val="004A4B25"/>
    <w:rsid w:val="004B1F6C"/>
    <w:rsid w:val="004C5E95"/>
    <w:rsid w:val="004C701D"/>
    <w:rsid w:val="004D7D15"/>
    <w:rsid w:val="004F1469"/>
    <w:rsid w:val="004F5614"/>
    <w:rsid w:val="004F6FCD"/>
    <w:rsid w:val="00504745"/>
    <w:rsid w:val="005048CD"/>
    <w:rsid w:val="00507EC5"/>
    <w:rsid w:val="00516952"/>
    <w:rsid w:val="005253D4"/>
    <w:rsid w:val="00525AD7"/>
    <w:rsid w:val="00551815"/>
    <w:rsid w:val="00560AD2"/>
    <w:rsid w:val="00565A51"/>
    <w:rsid w:val="00571260"/>
    <w:rsid w:val="00583626"/>
    <w:rsid w:val="005A1986"/>
    <w:rsid w:val="005B5DE8"/>
    <w:rsid w:val="005C3665"/>
    <w:rsid w:val="005C42AC"/>
    <w:rsid w:val="005D385C"/>
    <w:rsid w:val="005E194B"/>
    <w:rsid w:val="005F42F8"/>
    <w:rsid w:val="00601205"/>
    <w:rsid w:val="00606DEF"/>
    <w:rsid w:val="00631517"/>
    <w:rsid w:val="00635DBD"/>
    <w:rsid w:val="0064789C"/>
    <w:rsid w:val="006741F7"/>
    <w:rsid w:val="006810C3"/>
    <w:rsid w:val="00683464"/>
    <w:rsid w:val="00694B55"/>
    <w:rsid w:val="006D1B12"/>
    <w:rsid w:val="006E4A6E"/>
    <w:rsid w:val="006E642B"/>
    <w:rsid w:val="006F6808"/>
    <w:rsid w:val="006F69F5"/>
    <w:rsid w:val="00707FD3"/>
    <w:rsid w:val="00724BC7"/>
    <w:rsid w:val="00763160"/>
    <w:rsid w:val="00780612"/>
    <w:rsid w:val="00786A20"/>
    <w:rsid w:val="007A0634"/>
    <w:rsid w:val="007A16F4"/>
    <w:rsid w:val="007A458D"/>
    <w:rsid w:val="007C090D"/>
    <w:rsid w:val="007C0FAA"/>
    <w:rsid w:val="007E6FF4"/>
    <w:rsid w:val="007F07FB"/>
    <w:rsid w:val="00801440"/>
    <w:rsid w:val="0080374F"/>
    <w:rsid w:val="00810507"/>
    <w:rsid w:val="00813E69"/>
    <w:rsid w:val="0081579D"/>
    <w:rsid w:val="00817E8B"/>
    <w:rsid w:val="00821D20"/>
    <w:rsid w:val="008271C3"/>
    <w:rsid w:val="008338D4"/>
    <w:rsid w:val="00837642"/>
    <w:rsid w:val="0084255D"/>
    <w:rsid w:val="00850ACF"/>
    <w:rsid w:val="00852038"/>
    <w:rsid w:val="00853BF8"/>
    <w:rsid w:val="00861489"/>
    <w:rsid w:val="008779D0"/>
    <w:rsid w:val="0088639E"/>
    <w:rsid w:val="008A46EB"/>
    <w:rsid w:val="008A722E"/>
    <w:rsid w:val="008B00BD"/>
    <w:rsid w:val="008B02A3"/>
    <w:rsid w:val="008B407C"/>
    <w:rsid w:val="008E65E6"/>
    <w:rsid w:val="008F285B"/>
    <w:rsid w:val="008F4564"/>
    <w:rsid w:val="009018EC"/>
    <w:rsid w:val="00906EDB"/>
    <w:rsid w:val="00912E00"/>
    <w:rsid w:val="00923C46"/>
    <w:rsid w:val="00932997"/>
    <w:rsid w:val="009513C0"/>
    <w:rsid w:val="009670A2"/>
    <w:rsid w:val="009711DB"/>
    <w:rsid w:val="009749C2"/>
    <w:rsid w:val="00990A4A"/>
    <w:rsid w:val="009A0125"/>
    <w:rsid w:val="009A0F50"/>
    <w:rsid w:val="009A16CD"/>
    <w:rsid w:val="009C06F5"/>
    <w:rsid w:val="009D4045"/>
    <w:rsid w:val="009D6567"/>
    <w:rsid w:val="009E0F31"/>
    <w:rsid w:val="009F1C23"/>
    <w:rsid w:val="00A007F5"/>
    <w:rsid w:val="00A038EC"/>
    <w:rsid w:val="00A145B0"/>
    <w:rsid w:val="00A15172"/>
    <w:rsid w:val="00A26EF7"/>
    <w:rsid w:val="00A277D6"/>
    <w:rsid w:val="00A379F8"/>
    <w:rsid w:val="00A54CF3"/>
    <w:rsid w:val="00A54EEA"/>
    <w:rsid w:val="00A56BFF"/>
    <w:rsid w:val="00A73600"/>
    <w:rsid w:val="00A74C1E"/>
    <w:rsid w:val="00A7661C"/>
    <w:rsid w:val="00A81C07"/>
    <w:rsid w:val="00A949F7"/>
    <w:rsid w:val="00A95BC7"/>
    <w:rsid w:val="00A962C2"/>
    <w:rsid w:val="00A962DF"/>
    <w:rsid w:val="00AA4008"/>
    <w:rsid w:val="00AB45B6"/>
    <w:rsid w:val="00AB4816"/>
    <w:rsid w:val="00AB549D"/>
    <w:rsid w:val="00AC6A8F"/>
    <w:rsid w:val="00AC6FF8"/>
    <w:rsid w:val="00AC7A83"/>
    <w:rsid w:val="00AF70A1"/>
    <w:rsid w:val="00B07F79"/>
    <w:rsid w:val="00B16C07"/>
    <w:rsid w:val="00B42026"/>
    <w:rsid w:val="00B46A57"/>
    <w:rsid w:val="00B65754"/>
    <w:rsid w:val="00B66231"/>
    <w:rsid w:val="00B769F1"/>
    <w:rsid w:val="00B82025"/>
    <w:rsid w:val="00BA0A91"/>
    <w:rsid w:val="00BA4887"/>
    <w:rsid w:val="00BA5BCC"/>
    <w:rsid w:val="00BB3390"/>
    <w:rsid w:val="00BB3C1A"/>
    <w:rsid w:val="00BC11E9"/>
    <w:rsid w:val="00BC6DEF"/>
    <w:rsid w:val="00BD7CAE"/>
    <w:rsid w:val="00BE2989"/>
    <w:rsid w:val="00BE7A11"/>
    <w:rsid w:val="00BF722F"/>
    <w:rsid w:val="00C04D9F"/>
    <w:rsid w:val="00C13FE8"/>
    <w:rsid w:val="00C13FF8"/>
    <w:rsid w:val="00C30A60"/>
    <w:rsid w:val="00C33ABA"/>
    <w:rsid w:val="00C37BB6"/>
    <w:rsid w:val="00C52EFD"/>
    <w:rsid w:val="00C60D19"/>
    <w:rsid w:val="00C62D11"/>
    <w:rsid w:val="00C64378"/>
    <w:rsid w:val="00C75CF0"/>
    <w:rsid w:val="00C808B5"/>
    <w:rsid w:val="00C82DB6"/>
    <w:rsid w:val="00CA4CD6"/>
    <w:rsid w:val="00CA7DA0"/>
    <w:rsid w:val="00CC358D"/>
    <w:rsid w:val="00CC48AB"/>
    <w:rsid w:val="00CC58F6"/>
    <w:rsid w:val="00CD2069"/>
    <w:rsid w:val="00CD280D"/>
    <w:rsid w:val="00CF2B37"/>
    <w:rsid w:val="00D043CA"/>
    <w:rsid w:val="00D0664A"/>
    <w:rsid w:val="00D077F6"/>
    <w:rsid w:val="00D13D9A"/>
    <w:rsid w:val="00D14A8D"/>
    <w:rsid w:val="00D21198"/>
    <w:rsid w:val="00D2273E"/>
    <w:rsid w:val="00D42D52"/>
    <w:rsid w:val="00D46FA2"/>
    <w:rsid w:val="00D5080D"/>
    <w:rsid w:val="00D521F7"/>
    <w:rsid w:val="00D56F5F"/>
    <w:rsid w:val="00D61B37"/>
    <w:rsid w:val="00D63B96"/>
    <w:rsid w:val="00D92F66"/>
    <w:rsid w:val="00D95819"/>
    <w:rsid w:val="00DA7285"/>
    <w:rsid w:val="00DB59E1"/>
    <w:rsid w:val="00DD0312"/>
    <w:rsid w:val="00DD1AC1"/>
    <w:rsid w:val="00DD7D49"/>
    <w:rsid w:val="00DF5C4E"/>
    <w:rsid w:val="00E10DA7"/>
    <w:rsid w:val="00E1538C"/>
    <w:rsid w:val="00E25DB6"/>
    <w:rsid w:val="00E276CD"/>
    <w:rsid w:val="00E32EDA"/>
    <w:rsid w:val="00E53137"/>
    <w:rsid w:val="00E702F6"/>
    <w:rsid w:val="00E72D70"/>
    <w:rsid w:val="00E77D5E"/>
    <w:rsid w:val="00E83086"/>
    <w:rsid w:val="00E868BB"/>
    <w:rsid w:val="00EA37A9"/>
    <w:rsid w:val="00EA7026"/>
    <w:rsid w:val="00EC4074"/>
    <w:rsid w:val="00EC40F1"/>
    <w:rsid w:val="00ED741E"/>
    <w:rsid w:val="00EF113F"/>
    <w:rsid w:val="00EF3DC4"/>
    <w:rsid w:val="00F02EB3"/>
    <w:rsid w:val="00F033F0"/>
    <w:rsid w:val="00F03803"/>
    <w:rsid w:val="00F066C9"/>
    <w:rsid w:val="00F114EC"/>
    <w:rsid w:val="00F1237E"/>
    <w:rsid w:val="00F20584"/>
    <w:rsid w:val="00F20822"/>
    <w:rsid w:val="00F30FDB"/>
    <w:rsid w:val="00F340DF"/>
    <w:rsid w:val="00F538BC"/>
    <w:rsid w:val="00F7662B"/>
    <w:rsid w:val="00F87E6A"/>
    <w:rsid w:val="00F9092B"/>
    <w:rsid w:val="00F90C96"/>
    <w:rsid w:val="00F92D22"/>
    <w:rsid w:val="00FB0650"/>
    <w:rsid w:val="00FB4D98"/>
    <w:rsid w:val="00FB6378"/>
    <w:rsid w:val="00FB7BCE"/>
    <w:rsid w:val="00FC4E09"/>
    <w:rsid w:val="00FD72B2"/>
    <w:rsid w:val="00FE2099"/>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32BB09-2144-4C75-8FEF-992807D3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853BF8"/>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579D"/>
    <w:rPr>
      <w:sz w:val="24"/>
      <w:szCs w:val="24"/>
    </w:rPr>
  </w:style>
  <w:style w:type="paragraph" w:styleId="FootnoteText">
    <w:name w:val="footnote text"/>
    <w:basedOn w:val="Normal"/>
    <w:link w:val="FootnoteTextChar"/>
    <w:semiHidden/>
    <w:rsid w:val="00707FD3"/>
    <w:rPr>
      <w:sz w:val="20"/>
      <w:szCs w:val="20"/>
    </w:rPr>
  </w:style>
  <w:style w:type="character" w:customStyle="1" w:styleId="FootnoteTextChar">
    <w:name w:val="Footnote Text Char"/>
    <w:basedOn w:val="DefaultParagraphFont"/>
    <w:link w:val="FootnoteText"/>
    <w:semiHidden/>
    <w:rsid w:val="00707FD3"/>
  </w:style>
  <w:style w:type="character" w:customStyle="1" w:styleId="Heading2Char">
    <w:name w:val="Heading 2 Char"/>
    <w:basedOn w:val="DefaultParagraphFont"/>
    <w:link w:val="Heading2"/>
    <w:uiPriority w:val="9"/>
    <w:rsid w:val="00853BF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2519151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91720964">
      <w:bodyDiv w:val="1"/>
      <w:marLeft w:val="0"/>
      <w:marRight w:val="0"/>
      <w:marTop w:val="0"/>
      <w:marBottom w:val="0"/>
      <w:divBdr>
        <w:top w:val="none" w:sz="0" w:space="0" w:color="auto"/>
        <w:left w:val="none" w:sz="0" w:space="0" w:color="auto"/>
        <w:bottom w:val="none" w:sz="0" w:space="0" w:color="auto"/>
        <w:right w:val="none" w:sz="0" w:space="0" w:color="auto"/>
      </w:divBdr>
    </w:div>
    <w:div w:id="1170289868">
      <w:bodyDiv w:val="1"/>
      <w:marLeft w:val="0"/>
      <w:marRight w:val="0"/>
      <w:marTop w:val="0"/>
      <w:marBottom w:val="0"/>
      <w:divBdr>
        <w:top w:val="none" w:sz="0" w:space="0" w:color="auto"/>
        <w:left w:val="none" w:sz="0" w:space="0" w:color="auto"/>
        <w:bottom w:val="none" w:sz="0" w:space="0" w:color="auto"/>
        <w:right w:val="none" w:sz="0" w:space="0" w:color="auto"/>
      </w:divBdr>
    </w:div>
    <w:div w:id="1467968368">
      <w:bodyDiv w:val="1"/>
      <w:marLeft w:val="0"/>
      <w:marRight w:val="0"/>
      <w:marTop w:val="0"/>
      <w:marBottom w:val="0"/>
      <w:divBdr>
        <w:top w:val="none" w:sz="0" w:space="0" w:color="auto"/>
        <w:left w:val="none" w:sz="0" w:space="0" w:color="auto"/>
        <w:bottom w:val="none" w:sz="0" w:space="0" w:color="auto"/>
        <w:right w:val="none" w:sz="0" w:space="0" w:color="auto"/>
      </w:divBdr>
    </w:div>
    <w:div w:id="1625312351">
      <w:bodyDiv w:val="1"/>
      <w:marLeft w:val="0"/>
      <w:marRight w:val="0"/>
      <w:marTop w:val="0"/>
      <w:marBottom w:val="0"/>
      <w:divBdr>
        <w:top w:val="none" w:sz="0" w:space="0" w:color="auto"/>
        <w:left w:val="none" w:sz="0" w:space="0" w:color="auto"/>
        <w:bottom w:val="none" w:sz="0" w:space="0" w:color="auto"/>
        <w:right w:val="none" w:sz="0" w:space="0" w:color="auto"/>
      </w:divBdr>
    </w:div>
    <w:div w:id="1887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6D44-7B47-4D59-83DC-D105E192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2015-09-12T01:15:00Z</dcterms:created>
  <dcterms:modified xsi:type="dcterms:W3CDTF">2015-09-12T01:15:00Z</dcterms:modified>
</cp:coreProperties>
</file>