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EB62" w14:textId="77777777" w:rsidR="00F20932" w:rsidRPr="00F60F16" w:rsidRDefault="00F20932">
      <w:pPr>
        <w:pStyle w:val="Title"/>
        <w:rPr>
          <w:rFonts w:ascii="Arial Black" w:hAnsi="Arial Black"/>
          <w:b w:val="0"/>
          <w:bCs w:val="0"/>
          <w:color w:val="auto"/>
        </w:rPr>
      </w:pPr>
      <w:r w:rsidRPr="00F60F16">
        <w:rPr>
          <w:rFonts w:ascii="Arial Black" w:hAnsi="Arial Black"/>
          <w:b w:val="0"/>
          <w:bCs w:val="0"/>
          <w:color w:val="auto"/>
        </w:rPr>
        <w:t>PAPERWORK REDUCTION ACT</w:t>
      </w:r>
    </w:p>
    <w:p w14:paraId="44F0DE7A" w14:textId="77777777" w:rsidR="00F20932" w:rsidRPr="00F60F16" w:rsidRDefault="00F20932">
      <w:pPr>
        <w:pStyle w:val="Default"/>
        <w:jc w:val="center"/>
        <w:rPr>
          <w:rFonts w:ascii="Arial" w:hAnsi="Arial" w:cs="Arial"/>
          <w:color w:val="auto"/>
          <w:sz w:val="20"/>
        </w:rPr>
      </w:pPr>
      <w:r w:rsidRPr="00F60F16">
        <w:rPr>
          <w:rFonts w:ascii="Arial Black" w:hAnsi="Arial Black" w:cs="Arial"/>
          <w:color w:val="auto"/>
          <w:szCs w:val="20"/>
        </w:rPr>
        <w:t>CHANGE WORKSHEET</w:t>
      </w:r>
    </w:p>
    <w:tbl>
      <w:tblPr>
        <w:tblW w:w="11407" w:type="dxa"/>
        <w:tblInd w:w="-827" w:type="dxa"/>
        <w:tblLook w:val="0000" w:firstRow="0" w:lastRow="0" w:firstColumn="0" w:lastColumn="0" w:noHBand="0" w:noVBand="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:rsidR="00C37F2B" w:rsidRPr="00F60F16" w14:paraId="63B1E861" w14:textId="77777777"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93B9EC" w14:textId="77777777" w:rsidR="00F20932" w:rsidRPr="00F60F16" w:rsidRDefault="00F20932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</w:pPr>
            <w:r w:rsidRPr="00F60F16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Agency/</w:t>
            </w:r>
            <w:proofErr w:type="spellStart"/>
            <w:r w:rsidRPr="00F60F16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Subagency</w:t>
            </w:r>
            <w:proofErr w:type="spellEnd"/>
            <w:r w:rsidRPr="00F60F16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 </w:t>
            </w:r>
          </w:p>
          <w:p w14:paraId="29507724" w14:textId="77777777" w:rsidR="00F20932" w:rsidRPr="00F60F16" w:rsidRDefault="00F20932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</w:pPr>
          </w:p>
          <w:p w14:paraId="0EF762D8" w14:textId="77777777" w:rsidR="00F20932" w:rsidRPr="00F60F16" w:rsidRDefault="00F20932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F60F16">
              <w:rPr>
                <w:rFonts w:ascii="Arial" w:hAnsi="Arial" w:cs="Arial"/>
                <w:b/>
                <w:bCs/>
                <w:color w:val="auto"/>
              </w:rPr>
              <w:t>U.S. Department of Housing and Urban Development</w:t>
            </w:r>
          </w:p>
          <w:p w14:paraId="4397A5E0" w14:textId="77777777" w:rsidR="00F20932" w:rsidRPr="00F60F16" w:rsidRDefault="00F20932" w:rsidP="000D619C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F60F16">
              <w:rPr>
                <w:rFonts w:ascii="Arial" w:hAnsi="Arial" w:cs="Arial"/>
                <w:color w:val="auto"/>
                <w:sz w:val="20"/>
              </w:rPr>
              <w:t xml:space="preserve">Office of Housing, Office of Multifamily Housing, Office of </w:t>
            </w:r>
            <w:r w:rsidR="000D619C">
              <w:rPr>
                <w:rFonts w:ascii="Arial" w:hAnsi="Arial" w:cs="Arial"/>
                <w:color w:val="auto"/>
                <w:sz w:val="20"/>
              </w:rPr>
              <w:t>Multifamily Production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C35F10" w14:textId="77777777" w:rsidR="00C37F2B" w:rsidRPr="00F60F16" w:rsidRDefault="00C37F2B">
            <w:pPr>
              <w:pStyle w:val="Heading2"/>
              <w:rPr>
                <w:color w:val="auto"/>
              </w:rPr>
            </w:pPr>
            <w:r w:rsidRPr="00F60F16">
              <w:rPr>
                <w:color w:val="auto"/>
              </w:rPr>
              <w:t xml:space="preserve">OMB Control Number </w:t>
            </w:r>
          </w:p>
          <w:p w14:paraId="0122B6BE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  <w:p w14:paraId="2BC946E7" w14:textId="77777777" w:rsidR="00C37F2B" w:rsidRPr="00F60F16" w:rsidRDefault="008A7D9F" w:rsidP="000D619C">
            <w:pPr>
              <w:jc w:val="center"/>
              <w:rPr>
                <w:rFonts w:cs="Arial"/>
                <w:szCs w:val="18"/>
              </w:rPr>
            </w:pPr>
            <w:r w:rsidRPr="00F60F16">
              <w:t>2502-05</w:t>
            </w:r>
            <w:r w:rsidR="000D619C">
              <w:t>00</w:t>
            </w:r>
          </w:p>
        </w:tc>
      </w:tr>
      <w:tr w:rsidR="00C37F2B" w:rsidRPr="00F60F16" w14:paraId="4DB52DA3" w14:textId="77777777"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2CBC20" w14:textId="77777777" w:rsidR="00C37F2B" w:rsidRPr="00F60F16" w:rsidRDefault="00C37F2B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szCs w:val="18"/>
              </w:rPr>
            </w:pPr>
            <w:r w:rsidRPr="00F60F16"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szCs w:val="18"/>
              </w:rPr>
              <w:t>Enter only items that change</w:t>
            </w:r>
          </w:p>
          <w:p w14:paraId="3E39E28E" w14:textId="77777777" w:rsidR="00C37F2B" w:rsidRPr="00F60F16" w:rsidRDefault="00C37F2B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color w:val="auto"/>
                <w:sz w:val="16"/>
                <w:szCs w:val="18"/>
              </w:rPr>
            </w:pPr>
            <w:r w:rsidRPr="00F60F16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:rsidR="00C37F2B" w:rsidRPr="00F60F16" w14:paraId="47854978" w14:textId="77777777">
        <w:trPr>
          <w:trHeight w:val="753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3AA4AE11" w14:textId="77777777" w:rsidR="00C37F2B" w:rsidRPr="00F60F16" w:rsidRDefault="00C3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F60F16">
              <w:rPr>
                <w:rFonts w:ascii="Arial" w:hAnsi="Arial" w:cs="Arial"/>
                <w:b/>
                <w:bCs/>
                <w:color w:val="auto"/>
                <w:sz w:val="20"/>
              </w:rPr>
              <w:t>Agency form number(s)</w:t>
            </w:r>
          </w:p>
          <w:p w14:paraId="5AB69293" w14:textId="77777777" w:rsidR="00C37F2B" w:rsidRPr="00F60F16" w:rsidRDefault="00C37F2B" w:rsidP="00C3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</w:rPr>
            </w:pPr>
          </w:p>
          <w:p w14:paraId="2921E76C" w14:textId="77777777" w:rsidR="00C37F2B" w:rsidRPr="00F60F16" w:rsidRDefault="00C37F2B" w:rsidP="00C3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7E1CB" w14:textId="77777777" w:rsidR="00C37F2B" w:rsidRPr="00F60F16" w:rsidRDefault="00C37F2B">
            <w:pPr>
              <w:pStyle w:val="Heading1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5DEE21" w14:textId="77777777" w:rsidR="00C37F2B" w:rsidRPr="00F60F16" w:rsidRDefault="00C37F2B">
            <w:pPr>
              <w:pStyle w:val="Heading1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C37F2B" w:rsidRPr="00F60F16" w14:paraId="4D7D789E" w14:textId="77777777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5F606692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04BD10C" w14:textId="77777777" w:rsidR="00C37F2B" w:rsidRPr="00F60F16" w:rsidRDefault="008B5FCD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34,472 (projects and mortgagors) + 184 (HFAs)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14:paraId="479F8350" w14:textId="1621D5F6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0251B77C" w14:textId="77777777">
        <w:trPr>
          <w:cantSplit/>
          <w:trHeight w:val="182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14:paraId="61891618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6321889C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A61C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2B470D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3AAF57E5" w14:textId="77777777">
        <w:trPr>
          <w:cantSplit/>
          <w:trHeight w:val="202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14:paraId="13F8C9E5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4A66125C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3ECB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04D6C0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3DDA8A59" w14:textId="77777777"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14:paraId="73CBC55A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B5F13BD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14:paraId="39853837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7E1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DFFEAAB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178F8DC9" w14:textId="77777777">
        <w:trPr>
          <w:cantSplit/>
          <w:trHeight w:val="171"/>
        </w:trPr>
        <w:tc>
          <w:tcPr>
            <w:tcW w:w="374" w:type="dxa"/>
            <w:tcBorders>
              <w:left w:val="single" w:sz="12" w:space="0" w:color="000000"/>
            </w:tcBorders>
          </w:tcPr>
          <w:p w14:paraId="03FA4536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333DEA08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FE55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9F50362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797D65E9" w14:textId="77777777">
        <w:trPr>
          <w:cantSplit/>
          <w:trHeight w:val="184"/>
        </w:trPr>
        <w:tc>
          <w:tcPr>
            <w:tcW w:w="374" w:type="dxa"/>
            <w:tcBorders>
              <w:left w:val="single" w:sz="12" w:space="0" w:color="000000"/>
            </w:tcBorders>
          </w:tcPr>
          <w:p w14:paraId="793F20EC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05DEF3D3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53CA351" w14:textId="77777777" w:rsidR="00C37F2B" w:rsidRPr="00F60F16" w:rsidRDefault="008B5FCD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No change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524713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44FDC9A8" w14:textId="77777777">
        <w:trPr>
          <w:cantSplit/>
          <w:trHeight w:val="204"/>
        </w:trPr>
        <w:tc>
          <w:tcPr>
            <w:tcW w:w="374" w:type="dxa"/>
            <w:tcBorders>
              <w:left w:val="single" w:sz="12" w:space="0" w:color="000000"/>
            </w:tcBorders>
          </w:tcPr>
          <w:p w14:paraId="5ABB9CD2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6A7C03D2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2AB7FD5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53E179" w14:textId="77777777" w:rsidR="00C37F2B" w:rsidRPr="00F60F16" w:rsidRDefault="00C37F2B" w:rsidP="00C37F2B">
            <w:pPr>
              <w:ind w:right="1184"/>
              <w:jc w:val="right"/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 xml:space="preserve">  </w:t>
            </w:r>
          </w:p>
        </w:tc>
      </w:tr>
      <w:tr w:rsidR="00C37F2B" w:rsidRPr="00F60F16" w14:paraId="4DF8B6FF" w14:textId="77777777">
        <w:trPr>
          <w:cantSplit/>
          <w:trHeight w:val="215"/>
        </w:trPr>
        <w:tc>
          <w:tcPr>
            <w:tcW w:w="374" w:type="dxa"/>
            <w:tcBorders>
              <w:left w:val="single" w:sz="12" w:space="0" w:color="000000"/>
            </w:tcBorders>
          </w:tcPr>
          <w:p w14:paraId="572DFEAF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A905273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14:paraId="2DB7B535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BAF8B44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7EA7D1" w14:textId="77777777" w:rsidR="00C37F2B" w:rsidRPr="00F60F16" w:rsidRDefault="00C37F2B" w:rsidP="00C37F2B">
            <w:pPr>
              <w:ind w:right="1184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61150B65" w14:textId="77777777">
        <w:trPr>
          <w:cantSplit/>
          <w:trHeight w:val="22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14:paraId="599125B5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14:paraId="30607F20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9B776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6FFCC43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4BE821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6F7B3A94" w14:textId="77777777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F631C3C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83F19AB" w14:textId="77777777" w:rsidR="00C37F2B" w:rsidRPr="00F60F16" w:rsidRDefault="008B5FCD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$1,447,824 (projects and mortgagors) +$67,536 (HFAs)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7C86FF1" w14:textId="2B19EDF3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C37F2B" w:rsidRPr="00F60F16" w14:paraId="681C6E86" w14:textId="77777777">
        <w:trPr>
          <w:cantSplit/>
          <w:trHeight w:val="20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65832B49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14:paraId="74208288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3C94A5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151F2D60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0E3C435C" w14:textId="77777777">
        <w:trPr>
          <w:cantSplit/>
          <w:trHeight w:val="21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25C902CB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2B7CDFBE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A04620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AF2C1D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523A91C2" w14:textId="77777777">
        <w:trPr>
          <w:cantSplit/>
          <w:trHeight w:val="21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38F0C656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07F5A7A3" w14:textId="77777777" w:rsidR="00C37F2B" w:rsidRPr="00F60F16" w:rsidRDefault="00C37F2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color w:val="auto"/>
                <w:szCs w:val="18"/>
              </w:rPr>
            </w:pPr>
            <w:r w:rsidRPr="00F60F16">
              <w:rPr>
                <w:rFonts w:ascii="Arial" w:eastAsia="Times New Roman" w:hAnsi="Arial" w:cs="Arial"/>
                <w:color w:val="auto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2CDC3F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0A5A65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24E70CD7" w14:textId="77777777">
        <w:trPr>
          <w:cantSplit/>
          <w:trHeight w:val="22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2BF69ABE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2E9B27A4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114C9666" w14:textId="77777777" w:rsidR="00C37F2B" w:rsidRPr="00F60F16" w:rsidRDefault="008B5FCD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No change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327609" w14:textId="77777777" w:rsidR="00C37F2B" w:rsidRPr="00F60F16" w:rsidRDefault="00C37F2B" w:rsidP="00C37F2B">
            <w:pPr>
              <w:ind w:right="1201"/>
              <w:jc w:val="right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561A7642" w14:textId="77777777">
        <w:trPr>
          <w:cantSplit/>
          <w:trHeight w:val="24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4EE45837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29191418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42249597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8B9687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6DA88F9A" w14:textId="77777777">
        <w:trPr>
          <w:cantSplit/>
          <w:trHeight w:val="241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5037AB2D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2AEB817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14:paraId="03D8FC90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365DC841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6D828F8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130BD1BB" w14:textId="77777777">
        <w:trPr>
          <w:cantSplit/>
          <w:trHeight w:val="24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99FB28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0C45233F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365E926" w14:textId="77777777" w:rsidR="00C37F2B" w:rsidRPr="00F60F16" w:rsidRDefault="00C37F2B">
            <w:pPr>
              <w:rPr>
                <w:rFonts w:cs="Arial"/>
                <w:sz w:val="18"/>
                <w:szCs w:val="18"/>
              </w:rPr>
            </w:pPr>
            <w:r w:rsidRPr="00F60F16"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07AE38AA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C08DC7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27C3841D" w14:textId="77777777"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799C85" w14:textId="77777777" w:rsidR="00B47B15" w:rsidRDefault="00C37F2B" w:rsidP="0033433A">
            <w:pPr>
              <w:ind w:left="197"/>
              <w:rPr>
                <w:rFonts w:cs="Arial"/>
                <w:sz w:val="20"/>
                <w:szCs w:val="18"/>
              </w:rPr>
            </w:pPr>
            <w:r w:rsidRPr="0038152C">
              <w:rPr>
                <w:rFonts w:cs="Arial"/>
                <w:sz w:val="20"/>
                <w:szCs w:val="18"/>
              </w:rPr>
              <w:t xml:space="preserve">This request is </w:t>
            </w:r>
            <w:r w:rsidR="004458FB">
              <w:rPr>
                <w:rFonts w:cs="Arial"/>
                <w:sz w:val="20"/>
                <w:szCs w:val="18"/>
              </w:rPr>
              <w:t>based on proposed changes to the 542(c) Risk Sharing Program regulation 24 CFR 266</w:t>
            </w:r>
            <w:r w:rsidR="00947F5E">
              <w:rPr>
                <w:rFonts w:cs="Arial"/>
                <w:sz w:val="20"/>
                <w:szCs w:val="18"/>
              </w:rPr>
              <w:t>, which has not been updated since 2</w:t>
            </w:r>
            <w:r w:rsidR="00E24E53">
              <w:rPr>
                <w:rFonts w:cs="Arial"/>
                <w:sz w:val="20"/>
                <w:szCs w:val="18"/>
              </w:rPr>
              <w:t>0</w:t>
            </w:r>
            <w:r w:rsidR="00947F5E">
              <w:rPr>
                <w:rFonts w:cs="Arial"/>
                <w:sz w:val="20"/>
                <w:szCs w:val="18"/>
              </w:rPr>
              <w:t xml:space="preserve">00. </w:t>
            </w:r>
            <w:r w:rsidR="0033433A">
              <w:rPr>
                <w:rFonts w:cs="Arial"/>
                <w:sz w:val="20"/>
                <w:szCs w:val="18"/>
              </w:rPr>
              <w:t>The Risk Sharing program delegates underwriting and servicing functions to the participating Housing Finance Agency (HFA) with limited reviews required by HUD.  T</w:t>
            </w:r>
            <w:r w:rsidR="00947F5E">
              <w:rPr>
                <w:rFonts w:cs="Arial"/>
                <w:sz w:val="20"/>
                <w:szCs w:val="18"/>
              </w:rPr>
              <w:t xml:space="preserve">he </w:t>
            </w:r>
            <w:r w:rsidR="00E24E53">
              <w:rPr>
                <w:rFonts w:cs="Arial"/>
                <w:sz w:val="20"/>
                <w:szCs w:val="18"/>
              </w:rPr>
              <w:t xml:space="preserve">changes in the </w:t>
            </w:r>
            <w:r w:rsidR="00947F5E">
              <w:rPr>
                <w:rFonts w:cs="Arial"/>
                <w:sz w:val="20"/>
                <w:szCs w:val="18"/>
              </w:rPr>
              <w:t xml:space="preserve">proposed rule </w:t>
            </w:r>
            <w:r w:rsidR="00B32A96">
              <w:rPr>
                <w:rFonts w:cs="Arial"/>
                <w:sz w:val="20"/>
                <w:szCs w:val="18"/>
              </w:rPr>
              <w:t xml:space="preserve">are non-substantive </w:t>
            </w:r>
            <w:r w:rsidR="0033433A">
              <w:rPr>
                <w:rFonts w:cs="Arial"/>
                <w:sz w:val="20"/>
                <w:szCs w:val="18"/>
              </w:rPr>
              <w:t>a</w:t>
            </w:r>
            <w:r w:rsidR="00B32A96">
              <w:rPr>
                <w:rFonts w:cs="Arial"/>
                <w:sz w:val="20"/>
                <w:szCs w:val="18"/>
              </w:rPr>
              <w:t xml:space="preserve">nd </w:t>
            </w:r>
            <w:r w:rsidR="00E24E53">
              <w:rPr>
                <w:rFonts w:cs="Arial"/>
                <w:sz w:val="20"/>
                <w:szCs w:val="18"/>
              </w:rPr>
              <w:t xml:space="preserve">can be categorized as 1) ‘conforming’ </w:t>
            </w:r>
            <w:r w:rsidR="004A0CD9">
              <w:rPr>
                <w:rFonts w:cs="Arial"/>
                <w:sz w:val="20"/>
                <w:szCs w:val="18"/>
              </w:rPr>
              <w:t xml:space="preserve">such as to </w:t>
            </w:r>
            <w:r w:rsidR="00E24E53">
              <w:rPr>
                <w:rFonts w:cs="Arial"/>
                <w:sz w:val="20"/>
                <w:szCs w:val="18"/>
              </w:rPr>
              <w:t xml:space="preserve">delete </w:t>
            </w:r>
            <w:r w:rsidR="00947F5E">
              <w:rPr>
                <w:rFonts w:cs="Arial"/>
                <w:sz w:val="20"/>
                <w:szCs w:val="18"/>
              </w:rPr>
              <w:t xml:space="preserve">references to </w:t>
            </w:r>
            <w:r w:rsidR="004A0CD9">
              <w:rPr>
                <w:rFonts w:cs="Arial"/>
                <w:sz w:val="20"/>
                <w:szCs w:val="18"/>
              </w:rPr>
              <w:t xml:space="preserve">the program as a </w:t>
            </w:r>
            <w:r w:rsidR="00947F5E">
              <w:rPr>
                <w:rFonts w:cs="Arial"/>
                <w:sz w:val="20"/>
                <w:szCs w:val="18"/>
              </w:rPr>
              <w:t>pilot</w:t>
            </w:r>
            <w:r w:rsidR="004A0CD9">
              <w:rPr>
                <w:rFonts w:cs="Arial"/>
                <w:sz w:val="20"/>
                <w:szCs w:val="18"/>
              </w:rPr>
              <w:t xml:space="preserve"> </w:t>
            </w:r>
            <w:r w:rsidR="00E24E53">
              <w:rPr>
                <w:rFonts w:cs="Arial"/>
                <w:sz w:val="20"/>
                <w:szCs w:val="18"/>
              </w:rPr>
              <w:t>which changed when t</w:t>
            </w:r>
            <w:r w:rsidR="00947F5E">
              <w:rPr>
                <w:rFonts w:cs="Arial"/>
                <w:sz w:val="20"/>
                <w:szCs w:val="18"/>
              </w:rPr>
              <w:t>he FY 2001 HUD Appropriations Act made the program permanent</w:t>
            </w:r>
            <w:r w:rsidR="00E24E53">
              <w:rPr>
                <w:rFonts w:cs="Arial"/>
                <w:sz w:val="20"/>
                <w:szCs w:val="18"/>
              </w:rPr>
              <w:t xml:space="preserve">; and 2) ‘updating’ </w:t>
            </w:r>
            <w:r w:rsidR="004A0CD9">
              <w:rPr>
                <w:rFonts w:cs="Arial"/>
                <w:sz w:val="20"/>
                <w:szCs w:val="18"/>
              </w:rPr>
              <w:t xml:space="preserve">or </w:t>
            </w:r>
            <w:r w:rsidR="00E24E53">
              <w:rPr>
                <w:rFonts w:cs="Arial"/>
                <w:sz w:val="20"/>
                <w:szCs w:val="18"/>
              </w:rPr>
              <w:t xml:space="preserve">clarifying obsolete </w:t>
            </w:r>
            <w:r w:rsidR="00B47B15">
              <w:rPr>
                <w:rFonts w:cs="Arial"/>
                <w:sz w:val="20"/>
                <w:szCs w:val="18"/>
              </w:rPr>
              <w:t xml:space="preserve">and/or conflicting </w:t>
            </w:r>
            <w:r w:rsidR="004E114E">
              <w:rPr>
                <w:rFonts w:cs="Arial"/>
                <w:sz w:val="20"/>
                <w:szCs w:val="18"/>
              </w:rPr>
              <w:t>references</w:t>
            </w:r>
            <w:r w:rsidR="00E24E53">
              <w:rPr>
                <w:rFonts w:cs="Arial"/>
                <w:sz w:val="20"/>
                <w:szCs w:val="18"/>
              </w:rPr>
              <w:t xml:space="preserve">; and 3) </w:t>
            </w:r>
            <w:r w:rsidR="004A0CD9">
              <w:rPr>
                <w:rFonts w:cs="Arial"/>
                <w:sz w:val="20"/>
                <w:szCs w:val="18"/>
              </w:rPr>
              <w:t xml:space="preserve">provide greater flexibility </w:t>
            </w:r>
            <w:r w:rsidR="00B32A96">
              <w:rPr>
                <w:rFonts w:cs="Arial"/>
                <w:sz w:val="20"/>
                <w:szCs w:val="18"/>
              </w:rPr>
              <w:t xml:space="preserve">to HFAs assuming </w:t>
            </w:r>
            <w:r w:rsidR="00B47B15">
              <w:rPr>
                <w:rFonts w:cs="Arial"/>
                <w:sz w:val="20"/>
                <w:szCs w:val="18"/>
              </w:rPr>
              <w:t>50% of the risk</w:t>
            </w:r>
            <w:r w:rsidR="00B32A96">
              <w:rPr>
                <w:rFonts w:cs="Arial"/>
                <w:sz w:val="20"/>
                <w:szCs w:val="18"/>
              </w:rPr>
              <w:t xml:space="preserve">, </w:t>
            </w:r>
            <w:r w:rsidR="00E24E53">
              <w:rPr>
                <w:rFonts w:cs="Arial"/>
                <w:sz w:val="20"/>
                <w:szCs w:val="18"/>
              </w:rPr>
              <w:t xml:space="preserve">and also better align certain polices with </w:t>
            </w:r>
            <w:r w:rsidR="004A0CD9">
              <w:rPr>
                <w:rFonts w:cs="Arial"/>
                <w:sz w:val="20"/>
                <w:szCs w:val="18"/>
              </w:rPr>
              <w:t xml:space="preserve">industry practices and other </w:t>
            </w:r>
            <w:r w:rsidR="00E24E53">
              <w:rPr>
                <w:rFonts w:cs="Arial"/>
                <w:sz w:val="20"/>
                <w:szCs w:val="18"/>
              </w:rPr>
              <w:t>FHA</w:t>
            </w:r>
            <w:r w:rsidR="004A0CD9">
              <w:rPr>
                <w:rFonts w:cs="Arial"/>
                <w:sz w:val="20"/>
                <w:szCs w:val="18"/>
              </w:rPr>
              <w:t xml:space="preserve"> </w:t>
            </w:r>
            <w:r w:rsidR="00B32A96">
              <w:rPr>
                <w:rFonts w:cs="Arial"/>
                <w:sz w:val="20"/>
                <w:szCs w:val="18"/>
              </w:rPr>
              <w:t xml:space="preserve">multifamily </w:t>
            </w:r>
            <w:r w:rsidR="004A0CD9">
              <w:rPr>
                <w:rFonts w:cs="Arial"/>
                <w:sz w:val="20"/>
                <w:szCs w:val="18"/>
              </w:rPr>
              <w:t xml:space="preserve">programs. </w:t>
            </w:r>
            <w:r w:rsidR="0033433A">
              <w:rPr>
                <w:rFonts w:cs="Arial"/>
                <w:sz w:val="20"/>
                <w:szCs w:val="18"/>
              </w:rPr>
              <w:t xml:space="preserve">Examples of such changes are allowing non-fully amortizing loan terms; limited cash-out in refinance transactions, and underwriting to Section 8 rents under certain conditions. </w:t>
            </w:r>
          </w:p>
          <w:p w14:paraId="1F766CE4" w14:textId="77777777" w:rsidR="00C32168" w:rsidRPr="0038152C" w:rsidRDefault="00C32168" w:rsidP="00C32168">
            <w:pPr>
              <w:rPr>
                <w:rFonts w:cs="Arial"/>
                <w:sz w:val="20"/>
                <w:szCs w:val="18"/>
              </w:rPr>
            </w:pPr>
          </w:p>
          <w:p w14:paraId="1D3C20C0" w14:textId="7385DDA3" w:rsidR="0033433A" w:rsidRPr="00084257" w:rsidRDefault="0033433A" w:rsidP="0033433A">
            <w:pPr>
              <w:ind w:left="197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HUD is not </w:t>
            </w:r>
            <w:r w:rsidR="00C32168" w:rsidRPr="0038152C">
              <w:rPr>
                <w:rFonts w:cs="Arial"/>
                <w:sz w:val="20"/>
                <w:szCs w:val="18"/>
              </w:rPr>
              <w:t>collecting any new information</w:t>
            </w:r>
            <w:r w:rsidR="00E87FA3">
              <w:rPr>
                <w:rFonts w:cs="Arial"/>
                <w:sz w:val="20"/>
                <w:szCs w:val="18"/>
              </w:rPr>
              <w:t xml:space="preserve"> during</w:t>
            </w:r>
            <w:r w:rsidR="00E87FA3" w:rsidRPr="00E87FA3">
              <w:rPr>
                <w:rFonts w:cs="Arial"/>
                <w:sz w:val="20"/>
                <w:szCs w:val="18"/>
              </w:rPr>
              <w:t xml:space="preserve"> (1) HFA Application and Approval; (2) Mortgage Insurance Processing and Endorsement; (3) Program Monitoring and Evaluation; </w:t>
            </w:r>
            <w:r w:rsidR="00E87FA3">
              <w:rPr>
                <w:rFonts w:cs="Arial"/>
                <w:sz w:val="20"/>
                <w:szCs w:val="18"/>
              </w:rPr>
              <w:t xml:space="preserve">or </w:t>
            </w:r>
            <w:r w:rsidR="00E87FA3" w:rsidRPr="00E87FA3">
              <w:rPr>
                <w:rFonts w:cs="Arial"/>
                <w:sz w:val="20"/>
                <w:szCs w:val="18"/>
              </w:rPr>
              <w:t>(4) Mortgage Insurance Termi</w:t>
            </w:r>
            <w:r w:rsidR="00E87FA3">
              <w:rPr>
                <w:rFonts w:cs="Arial"/>
                <w:sz w:val="20"/>
                <w:szCs w:val="18"/>
              </w:rPr>
              <w:t>nations, Defaults, and Claims</w:t>
            </w:r>
            <w:r>
              <w:rPr>
                <w:rFonts w:cs="Arial"/>
                <w:sz w:val="20"/>
                <w:szCs w:val="18"/>
              </w:rPr>
              <w:t xml:space="preserve"> and there are no changes to HUD’s forms.  </w:t>
            </w:r>
            <w:r w:rsidR="00476FB0">
              <w:rPr>
                <w:rFonts w:cs="Arial"/>
                <w:sz w:val="20"/>
                <w:szCs w:val="18"/>
              </w:rPr>
              <w:t>The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="0087675E">
              <w:rPr>
                <w:rFonts w:cs="Arial"/>
                <w:sz w:val="20"/>
                <w:szCs w:val="18"/>
              </w:rPr>
              <w:t>project</w:t>
            </w:r>
            <w:r w:rsidR="00640622">
              <w:rPr>
                <w:rFonts w:cs="Arial"/>
                <w:sz w:val="20"/>
                <w:szCs w:val="18"/>
              </w:rPr>
              <w:t xml:space="preserve"> </w:t>
            </w:r>
            <w:r w:rsidR="0087675E">
              <w:rPr>
                <w:rFonts w:cs="Arial"/>
                <w:sz w:val="20"/>
                <w:szCs w:val="18"/>
              </w:rPr>
              <w:t>mortgagor</w:t>
            </w:r>
            <w:r w:rsidR="00640622">
              <w:rPr>
                <w:rFonts w:cs="Arial"/>
                <w:sz w:val="20"/>
                <w:szCs w:val="18"/>
              </w:rPr>
              <w:t xml:space="preserve"> and the </w:t>
            </w:r>
            <w:r w:rsidR="006D0DCC">
              <w:rPr>
                <w:rFonts w:cs="Arial"/>
                <w:sz w:val="20"/>
                <w:szCs w:val="18"/>
              </w:rPr>
              <w:t xml:space="preserve">HFA </w:t>
            </w:r>
            <w:r w:rsidR="00640622">
              <w:rPr>
                <w:rFonts w:cs="Arial"/>
                <w:sz w:val="20"/>
                <w:szCs w:val="18"/>
              </w:rPr>
              <w:t>lender do</w:t>
            </w:r>
            <w:r>
              <w:rPr>
                <w:rFonts w:cs="Arial"/>
                <w:sz w:val="20"/>
                <w:szCs w:val="18"/>
              </w:rPr>
              <w:t xml:space="preserve"> not need to submit any additional information or complete any additional forms to continue to participate in the program. </w:t>
            </w:r>
          </w:p>
          <w:p w14:paraId="26C128E3" w14:textId="77777777" w:rsidR="00C32168" w:rsidRPr="0038152C" w:rsidRDefault="0033433A" w:rsidP="00C32168">
            <w:pPr>
              <w:ind w:left="79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 </w:t>
            </w:r>
          </w:p>
          <w:p w14:paraId="5B4A5CB6" w14:textId="77777777" w:rsidR="00C37F2B" w:rsidRPr="0038152C" w:rsidRDefault="00C37F2B" w:rsidP="009D41A9">
            <w:pPr>
              <w:ind w:left="197"/>
              <w:rPr>
                <w:rFonts w:cs="Arial"/>
                <w:sz w:val="20"/>
                <w:szCs w:val="18"/>
              </w:rPr>
            </w:pPr>
            <w:r w:rsidRPr="0038152C">
              <w:rPr>
                <w:rFonts w:cs="Arial"/>
                <w:sz w:val="20"/>
                <w:szCs w:val="18"/>
              </w:rPr>
              <w:t>Th</w:t>
            </w:r>
            <w:r w:rsidR="00084257">
              <w:rPr>
                <w:rFonts w:cs="Arial"/>
                <w:sz w:val="20"/>
                <w:szCs w:val="18"/>
              </w:rPr>
              <w:t xml:space="preserve">e proposed rule </w:t>
            </w:r>
            <w:r w:rsidRPr="0038152C">
              <w:rPr>
                <w:rFonts w:cs="Arial"/>
                <w:sz w:val="20"/>
                <w:szCs w:val="18"/>
              </w:rPr>
              <w:t xml:space="preserve">covers the same environment, has the same functions, uses the same or similar forms and collects the same information as </w:t>
            </w:r>
            <w:r w:rsidR="00084257">
              <w:rPr>
                <w:rFonts w:cs="Arial"/>
                <w:sz w:val="20"/>
                <w:szCs w:val="18"/>
              </w:rPr>
              <w:t xml:space="preserve">what is currently required by participating Risk Sharing lenders. </w:t>
            </w:r>
          </w:p>
          <w:p w14:paraId="4ED3A090" w14:textId="77777777" w:rsidR="00C37F2B" w:rsidRPr="0038152C" w:rsidRDefault="00C37F2B" w:rsidP="00C37F2B">
            <w:pPr>
              <w:ind w:left="79"/>
              <w:rPr>
                <w:rFonts w:cs="Arial"/>
                <w:sz w:val="20"/>
                <w:szCs w:val="18"/>
              </w:rPr>
            </w:pPr>
          </w:p>
        </w:tc>
      </w:tr>
      <w:tr w:rsidR="00C37F2B" w:rsidRPr="00F60F16" w14:paraId="7E245BE8" w14:textId="77777777">
        <w:trPr>
          <w:cantSplit/>
          <w:trHeight w:val="1250"/>
        </w:trPr>
        <w:tc>
          <w:tcPr>
            <w:tcW w:w="598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2B0112C" w14:textId="77777777" w:rsidR="00C37F2B" w:rsidRPr="00F60F16" w:rsidRDefault="00C37F2B">
            <w:pPr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8F8726" w14:textId="77777777" w:rsidR="00C37F2B" w:rsidRPr="00F60F16" w:rsidRDefault="00C37F2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color w:val="auto"/>
                <w:szCs w:val="18"/>
              </w:rPr>
            </w:pPr>
            <w:r w:rsidRPr="00F60F16">
              <w:rPr>
                <w:rFonts w:ascii="Arial" w:eastAsia="Times New Roman" w:hAnsi="Arial" w:cs="Arial"/>
                <w:color w:val="auto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407F31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For OIRA Use</w:t>
            </w:r>
          </w:p>
          <w:p w14:paraId="4D5C5217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_______________</w:t>
            </w:r>
          </w:p>
          <w:p w14:paraId="69C62DA5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  <w:r w:rsidRPr="00F60F16">
              <w:rPr>
                <w:rFonts w:cs="Arial"/>
                <w:sz w:val="20"/>
                <w:szCs w:val="18"/>
              </w:rPr>
              <w:t>______________</w:t>
            </w:r>
          </w:p>
          <w:p w14:paraId="72D2055B" w14:textId="77777777" w:rsidR="00C37F2B" w:rsidRPr="00F60F16" w:rsidRDefault="00C37F2B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</w:tbl>
    <w:p w14:paraId="53E6CA0B" w14:textId="77777777" w:rsidR="00C37F2B" w:rsidRPr="00F60F16" w:rsidRDefault="00C37F2B">
      <w:pPr>
        <w:pStyle w:val="Default"/>
        <w:ind w:left="-748"/>
        <w:rPr>
          <w:rFonts w:ascii="Arial" w:hAnsi="Arial" w:cs="Arial"/>
          <w:color w:val="auto"/>
          <w:sz w:val="20"/>
        </w:rPr>
      </w:pPr>
      <w:r w:rsidRPr="00F60F16">
        <w:rPr>
          <w:rFonts w:ascii="Arial" w:hAnsi="Arial" w:cs="Arial"/>
          <w:color w:val="auto"/>
          <w:sz w:val="20"/>
        </w:rPr>
        <w:t>**This form cannot be used to extend an expiration date.</w:t>
      </w:r>
    </w:p>
    <w:p w14:paraId="57E1DE16" w14:textId="77777777" w:rsidR="00C37F2B" w:rsidRPr="00F60F16" w:rsidRDefault="00C37F2B">
      <w:pPr>
        <w:ind w:left="-720" w:right="-1112"/>
        <w:rPr>
          <w:rFonts w:cs="Arial"/>
          <w:sz w:val="20"/>
        </w:rPr>
      </w:pPr>
      <w:r w:rsidRPr="00F60F16">
        <w:rPr>
          <w:rFonts w:cs="Arial"/>
          <w:sz w:val="20"/>
        </w:rPr>
        <w:t>OMB FORM 83-C</w:t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</w:r>
      <w:r w:rsidRPr="00F60F16">
        <w:rPr>
          <w:rFonts w:cs="Arial"/>
          <w:sz w:val="20"/>
        </w:rPr>
        <w:tab/>
        <w:t xml:space="preserve">       10/95 </w:t>
      </w:r>
    </w:p>
    <w:sectPr w:rsidR="00C37F2B" w:rsidRPr="00F60F16"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6602"/>
    <w:multiLevelType w:val="hybridMultilevel"/>
    <w:tmpl w:val="4E7EA6BE"/>
    <w:lvl w:ilvl="0" w:tplc="EC7A9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CB4"/>
    <w:rsid w:val="00084257"/>
    <w:rsid w:val="000B6C33"/>
    <w:rsid w:val="000D619C"/>
    <w:rsid w:val="0019261B"/>
    <w:rsid w:val="00224C06"/>
    <w:rsid w:val="002A716A"/>
    <w:rsid w:val="0033433A"/>
    <w:rsid w:val="0038152C"/>
    <w:rsid w:val="004458FB"/>
    <w:rsid w:val="00476FB0"/>
    <w:rsid w:val="004A0CD9"/>
    <w:rsid w:val="004E114E"/>
    <w:rsid w:val="005750F4"/>
    <w:rsid w:val="00631AA2"/>
    <w:rsid w:val="00640622"/>
    <w:rsid w:val="006A6F48"/>
    <w:rsid w:val="006B02CE"/>
    <w:rsid w:val="006D0DCC"/>
    <w:rsid w:val="00770947"/>
    <w:rsid w:val="008044BA"/>
    <w:rsid w:val="0087675E"/>
    <w:rsid w:val="00896CB4"/>
    <w:rsid w:val="008A7D9F"/>
    <w:rsid w:val="008B5FCD"/>
    <w:rsid w:val="008E59D2"/>
    <w:rsid w:val="00912B56"/>
    <w:rsid w:val="00947F5E"/>
    <w:rsid w:val="0097358E"/>
    <w:rsid w:val="009D41A9"/>
    <w:rsid w:val="00AB48A9"/>
    <w:rsid w:val="00B32A96"/>
    <w:rsid w:val="00B47B15"/>
    <w:rsid w:val="00B83BDF"/>
    <w:rsid w:val="00BF604F"/>
    <w:rsid w:val="00C32168"/>
    <w:rsid w:val="00C37F2B"/>
    <w:rsid w:val="00DB031B"/>
    <w:rsid w:val="00DC6282"/>
    <w:rsid w:val="00E019C2"/>
    <w:rsid w:val="00E22062"/>
    <w:rsid w:val="00E24E53"/>
    <w:rsid w:val="00E41094"/>
    <w:rsid w:val="00E87FA3"/>
    <w:rsid w:val="00F20932"/>
    <w:rsid w:val="00F55376"/>
    <w:rsid w:val="00F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  <w:style w:type="paragraph" w:styleId="BodyTextIndent">
    <w:name w:val="Body Text Indent"/>
    <w:basedOn w:val="Normal"/>
    <w:rsid w:val="00F20973"/>
    <w:pPr>
      <w:tabs>
        <w:tab w:val="left" w:pos="360"/>
      </w:tabs>
      <w:overflowPunct w:val="0"/>
      <w:autoSpaceDE w:val="0"/>
      <w:autoSpaceDN w:val="0"/>
      <w:adjustRightInd w:val="0"/>
      <w:spacing w:before="160"/>
      <w:ind w:left="360" w:hanging="360"/>
      <w:textAlignment w:val="baseline"/>
    </w:pPr>
    <w:rPr>
      <w:rFonts w:ascii="Times New Roman" w:hAnsi="Times New Roman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  <w:style w:type="paragraph" w:styleId="BodyTextIndent">
    <w:name w:val="Body Text Indent"/>
    <w:basedOn w:val="Normal"/>
    <w:rsid w:val="00F20973"/>
    <w:pPr>
      <w:tabs>
        <w:tab w:val="left" w:pos="360"/>
      </w:tabs>
      <w:overflowPunct w:val="0"/>
      <w:autoSpaceDE w:val="0"/>
      <w:autoSpaceDN w:val="0"/>
      <w:adjustRightInd w:val="0"/>
      <w:spacing w:before="160"/>
      <w:ind w:left="360" w:hanging="360"/>
      <w:textAlignment w:val="baseline"/>
    </w:pPr>
    <w:rPr>
      <w:rFonts w:ascii="Times New Roman" w:hAnsi="Times New Roman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HUD User</cp:lastModifiedBy>
  <cp:revision>3</cp:revision>
  <cp:lastPrinted>2014-06-09T20:07:00Z</cp:lastPrinted>
  <dcterms:created xsi:type="dcterms:W3CDTF">2015-09-09T13:47:00Z</dcterms:created>
  <dcterms:modified xsi:type="dcterms:W3CDTF">2015-09-09T16:26:00Z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-1819636415</vt:i4>
  </property>
  <property fmtid="{D5CDD505-2E9C-101B-9397-08002B2CF9AE}" pid="3" name="_NewReviewCycle">
    <vt:lpwstr/>
  </property>
  <property fmtid="{D5CDD505-2E9C-101B-9397-08002B2CF9AE}" pid="4" name="_EmailSubject">
    <vt:lpwstr>Clearance #628: FR-5881-P-01 Revisions to Section 542(c) Housing Finance Agencies Risk - Sharing Program:  Revisions to Regulations - Review requested</vt:lpwstr>
  </property>
  <property fmtid="{D5CDD505-2E9C-101B-9397-08002B2CF9AE}" pid="5" name="_AuthorEmail">
    <vt:lpwstr>Diana.J.Talios@hud.gov</vt:lpwstr>
  </property>
  <property fmtid="{D5CDD505-2E9C-101B-9397-08002B2CF9AE}" pid="6" name="_AuthorEmailDisplayName">
    <vt:lpwstr>Talios, Diana J</vt:lpwstr>
  </property>
  <property fmtid="{D5CDD505-2E9C-101B-9397-08002B2CF9AE}" pid="7" name="_PreviousAdHocReviewCycleID">
    <vt:i4>-832977828</vt:i4>
  </property>
  <property fmtid="{D5CDD505-2E9C-101B-9397-08002B2CF9AE}" pid="8" name="_ReviewingToolsShownOnce">
    <vt:lpwstr/>
  </property>
</Properties>
</file>