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48D" w:rsidRPr="00BA10EF" w:rsidRDefault="00396DE9" w:rsidP="00275570">
      <w:pPr>
        <w:jc w:val="center"/>
        <w:rPr>
          <w:rFonts w:ascii="Arial" w:hAnsi="Arial" w:cs="Arial"/>
          <w:sz w:val="22"/>
        </w:rPr>
      </w:pPr>
      <w:r w:rsidRPr="00BA10EF">
        <w:rPr>
          <w:rFonts w:ascii="Arial" w:hAnsi="Arial" w:cs="Arial"/>
          <w:sz w:val="22"/>
        </w:rPr>
        <w:t>1</w:t>
      </w:r>
      <w:r w:rsidR="00103ABE" w:rsidRPr="00BA10EF">
        <w:rPr>
          <w:rFonts w:ascii="Arial" w:hAnsi="Arial" w:cs="Arial"/>
          <w:sz w:val="22"/>
        </w:rPr>
        <w:t xml:space="preserve">FINAL </w:t>
      </w:r>
      <w:r w:rsidR="00275570" w:rsidRPr="00BA10EF">
        <w:rPr>
          <w:rFonts w:ascii="Arial" w:hAnsi="Arial" w:cs="Arial"/>
          <w:sz w:val="22"/>
        </w:rPr>
        <w:t>SUPPORTING STATEMENT</w:t>
      </w:r>
    </w:p>
    <w:p w:rsidR="00275570" w:rsidRPr="00BA10EF" w:rsidRDefault="00275570" w:rsidP="00275570">
      <w:pPr>
        <w:jc w:val="center"/>
        <w:rPr>
          <w:rFonts w:ascii="Arial" w:hAnsi="Arial" w:cs="Arial"/>
          <w:sz w:val="22"/>
        </w:rPr>
      </w:pPr>
      <w:r w:rsidRPr="00BA10EF">
        <w:rPr>
          <w:rFonts w:ascii="Arial" w:hAnsi="Arial" w:cs="Arial"/>
          <w:sz w:val="22"/>
        </w:rPr>
        <w:t>FOR</w:t>
      </w:r>
    </w:p>
    <w:p w:rsidR="00A2441F" w:rsidRPr="00BA10EF" w:rsidRDefault="00A2441F" w:rsidP="00D520E8">
      <w:pPr>
        <w:tabs>
          <w:tab w:val="left" w:pos="360"/>
          <w:tab w:val="left" w:pos="720"/>
          <w:tab w:val="left" w:pos="1080"/>
        </w:tabs>
        <w:jc w:val="center"/>
        <w:rPr>
          <w:rFonts w:ascii="Arial" w:hAnsi="Arial" w:cs="Arial"/>
          <w:sz w:val="22"/>
        </w:rPr>
      </w:pPr>
      <w:r w:rsidRPr="00BA10EF">
        <w:rPr>
          <w:rFonts w:ascii="Arial" w:hAnsi="Arial" w:cs="Arial"/>
          <w:sz w:val="22"/>
        </w:rPr>
        <w:t>DESTINATIONS OF RELEASED PAT</w:t>
      </w:r>
      <w:r w:rsidR="008B7080" w:rsidRPr="00BA10EF">
        <w:rPr>
          <w:rFonts w:ascii="Arial" w:hAnsi="Arial" w:cs="Arial"/>
          <w:sz w:val="22"/>
        </w:rPr>
        <w:t>IENTS</w:t>
      </w:r>
      <w:r w:rsidRPr="00BA10EF">
        <w:rPr>
          <w:rFonts w:ascii="Arial" w:hAnsi="Arial" w:cs="Arial"/>
          <w:sz w:val="22"/>
        </w:rPr>
        <w:t xml:space="preserve"> FOLLOWING TREATMENT WITH IODINE-131 AND ESTIMATION OF DOSES TO MEMBERS OF THE PUBLIC AT LOCATIONS OTHER THAN C</w:t>
      </w:r>
      <w:r w:rsidR="006059D0" w:rsidRPr="00BA10EF">
        <w:rPr>
          <w:rFonts w:ascii="Arial" w:hAnsi="Arial" w:cs="Arial"/>
          <w:sz w:val="22"/>
        </w:rPr>
        <w:t>ONVENTIONAL RESIDENC</w:t>
      </w:r>
      <w:r w:rsidR="008E7FC3" w:rsidRPr="00BA10EF">
        <w:rPr>
          <w:rFonts w:ascii="Arial" w:hAnsi="Arial" w:cs="Arial"/>
          <w:sz w:val="22"/>
        </w:rPr>
        <w:t>ES</w:t>
      </w:r>
      <w:r w:rsidRPr="00BA10EF">
        <w:rPr>
          <w:rFonts w:ascii="Arial" w:hAnsi="Arial" w:cs="Arial"/>
          <w:sz w:val="22"/>
        </w:rPr>
        <w:t xml:space="preserve"> R</w:t>
      </w:r>
      <w:r w:rsidR="008E7FC3" w:rsidRPr="00BA10EF">
        <w:rPr>
          <w:rFonts w:ascii="Arial" w:hAnsi="Arial" w:cs="Arial"/>
          <w:sz w:val="22"/>
        </w:rPr>
        <w:t>ECEIVING</w:t>
      </w:r>
      <w:r w:rsidRPr="00BA10EF">
        <w:rPr>
          <w:rFonts w:ascii="Arial" w:hAnsi="Arial" w:cs="Arial"/>
          <w:sz w:val="22"/>
        </w:rPr>
        <w:t xml:space="preserve"> S</w:t>
      </w:r>
      <w:r w:rsidR="008E7FC3" w:rsidRPr="00BA10EF">
        <w:rPr>
          <w:rFonts w:ascii="Arial" w:hAnsi="Arial" w:cs="Arial"/>
          <w:sz w:val="22"/>
        </w:rPr>
        <w:t>UCH</w:t>
      </w:r>
      <w:r w:rsidRPr="00BA10EF">
        <w:rPr>
          <w:rFonts w:ascii="Arial" w:hAnsi="Arial" w:cs="Arial"/>
          <w:sz w:val="22"/>
        </w:rPr>
        <w:t xml:space="preserve"> P</w:t>
      </w:r>
      <w:r w:rsidR="008E7FC3" w:rsidRPr="00BA10EF">
        <w:rPr>
          <w:rFonts w:ascii="Arial" w:hAnsi="Arial" w:cs="Arial"/>
          <w:sz w:val="22"/>
        </w:rPr>
        <w:t>ATIENTS</w:t>
      </w:r>
    </w:p>
    <w:p w:rsidR="008E7FC3" w:rsidRPr="00BA10EF" w:rsidRDefault="008E7FC3" w:rsidP="00A2441F">
      <w:pPr>
        <w:tabs>
          <w:tab w:val="left" w:pos="360"/>
          <w:tab w:val="left" w:pos="720"/>
          <w:tab w:val="left" w:pos="1080"/>
        </w:tabs>
        <w:rPr>
          <w:rFonts w:ascii="Arial" w:hAnsi="Arial" w:cs="Arial"/>
          <w:sz w:val="22"/>
        </w:rPr>
      </w:pPr>
    </w:p>
    <w:p w:rsidR="00930565" w:rsidRPr="00BA10EF" w:rsidRDefault="008E7FC3" w:rsidP="00275570">
      <w:pPr>
        <w:jc w:val="center"/>
        <w:rPr>
          <w:rFonts w:ascii="Arial" w:hAnsi="Arial" w:cs="Arial"/>
          <w:sz w:val="22"/>
        </w:rPr>
      </w:pPr>
      <w:r w:rsidRPr="00BA10EF" w:rsidDel="00A2441F">
        <w:rPr>
          <w:rFonts w:ascii="Arial" w:hAnsi="Arial" w:cs="Arial"/>
          <w:b/>
          <w:sz w:val="22"/>
        </w:rPr>
        <w:t xml:space="preserve"> </w:t>
      </w:r>
      <w:r w:rsidR="00930565" w:rsidRPr="00BA10EF">
        <w:rPr>
          <w:rFonts w:ascii="Arial" w:hAnsi="Arial" w:cs="Arial"/>
          <w:sz w:val="22"/>
        </w:rPr>
        <w:t>(3150-XXXX)</w:t>
      </w:r>
    </w:p>
    <w:p w:rsidR="00930565" w:rsidRPr="00BA10EF" w:rsidRDefault="00711F58" w:rsidP="00275570">
      <w:pPr>
        <w:jc w:val="center"/>
        <w:rPr>
          <w:rFonts w:ascii="Arial" w:hAnsi="Arial" w:cs="Arial"/>
          <w:sz w:val="22"/>
        </w:rPr>
      </w:pPr>
      <w:r w:rsidRPr="00BA10EF">
        <w:rPr>
          <w:rFonts w:ascii="Arial" w:hAnsi="Arial" w:cs="Arial"/>
          <w:sz w:val="22"/>
        </w:rPr>
        <w:t>---</w:t>
      </w:r>
    </w:p>
    <w:p w:rsidR="00930565" w:rsidRPr="00BA10EF" w:rsidRDefault="00930565" w:rsidP="00275570">
      <w:pPr>
        <w:jc w:val="center"/>
        <w:rPr>
          <w:rFonts w:ascii="Arial" w:hAnsi="Arial" w:cs="Arial"/>
          <w:sz w:val="22"/>
        </w:rPr>
      </w:pPr>
      <w:r w:rsidRPr="00BA10EF">
        <w:rPr>
          <w:rFonts w:ascii="Arial" w:hAnsi="Arial" w:cs="Arial"/>
          <w:sz w:val="22"/>
        </w:rPr>
        <w:t>NEW</w:t>
      </w:r>
    </w:p>
    <w:p w:rsidR="00275570" w:rsidRPr="00BA10EF" w:rsidRDefault="00275570" w:rsidP="00275570">
      <w:pPr>
        <w:jc w:val="center"/>
        <w:rPr>
          <w:rFonts w:ascii="Arial" w:hAnsi="Arial" w:cs="Arial"/>
          <w:b/>
          <w:sz w:val="22"/>
        </w:rPr>
      </w:pPr>
    </w:p>
    <w:p w:rsidR="00930565" w:rsidRPr="00BA10EF" w:rsidRDefault="00930565" w:rsidP="00B643FC">
      <w:pPr>
        <w:rPr>
          <w:rFonts w:ascii="Arial" w:hAnsi="Arial" w:cs="Arial"/>
          <w:sz w:val="22"/>
          <w:u w:val="single"/>
        </w:rPr>
      </w:pPr>
      <w:r w:rsidRPr="00BA10EF">
        <w:rPr>
          <w:rFonts w:ascii="Arial" w:hAnsi="Arial" w:cs="Arial"/>
          <w:sz w:val="22"/>
          <w:u w:val="single"/>
        </w:rPr>
        <w:t>Description of the Information Collection</w:t>
      </w:r>
    </w:p>
    <w:p w:rsidR="00930565" w:rsidRPr="00BA10EF" w:rsidRDefault="00930565" w:rsidP="00B643FC">
      <w:pPr>
        <w:rPr>
          <w:rFonts w:ascii="Arial" w:hAnsi="Arial" w:cs="Arial"/>
          <w:sz w:val="22"/>
        </w:rPr>
      </w:pPr>
    </w:p>
    <w:p w:rsidR="00930565" w:rsidRPr="00BA10EF" w:rsidRDefault="00B643FC" w:rsidP="006059D0">
      <w:pPr>
        <w:rPr>
          <w:rFonts w:ascii="Arial" w:hAnsi="Arial" w:cs="Arial"/>
          <w:sz w:val="22"/>
        </w:rPr>
      </w:pPr>
      <w:r w:rsidRPr="00BA10EF">
        <w:rPr>
          <w:rFonts w:ascii="Arial" w:hAnsi="Arial" w:cs="Arial"/>
          <w:sz w:val="22"/>
        </w:rPr>
        <w:t>This supporting statement provides additional information regarding the Nuclear Regulatory Commission</w:t>
      </w:r>
      <w:r w:rsidR="00D0352D" w:rsidRPr="00BA10EF">
        <w:rPr>
          <w:rFonts w:ascii="Arial" w:hAnsi="Arial" w:cs="Arial"/>
          <w:sz w:val="22"/>
        </w:rPr>
        <w:t>’</w:t>
      </w:r>
      <w:r w:rsidRPr="00BA10EF">
        <w:rPr>
          <w:rFonts w:ascii="Arial" w:hAnsi="Arial" w:cs="Arial"/>
          <w:sz w:val="22"/>
        </w:rPr>
        <w:t>s (NRC’s</w:t>
      </w:r>
      <w:r w:rsidR="00824392" w:rsidRPr="00BA10EF">
        <w:rPr>
          <w:rFonts w:ascii="Arial" w:hAnsi="Arial" w:cs="Arial"/>
          <w:sz w:val="22"/>
        </w:rPr>
        <w:t xml:space="preserve"> or the Commission’s</w:t>
      </w:r>
      <w:r w:rsidRPr="00BA10EF">
        <w:rPr>
          <w:rFonts w:ascii="Arial" w:hAnsi="Arial" w:cs="Arial"/>
          <w:sz w:val="22"/>
        </w:rPr>
        <w:t xml:space="preserve">) new </w:t>
      </w:r>
      <w:r w:rsidR="00C34F60" w:rsidRPr="00BA10EF">
        <w:rPr>
          <w:rFonts w:ascii="Arial" w:hAnsi="Arial" w:cs="Arial"/>
          <w:sz w:val="22"/>
        </w:rPr>
        <w:t>request for conducting a one-time</w:t>
      </w:r>
      <w:r w:rsidRPr="00BA10EF">
        <w:rPr>
          <w:rFonts w:ascii="Arial" w:hAnsi="Arial" w:cs="Arial"/>
          <w:sz w:val="22"/>
        </w:rPr>
        <w:t xml:space="preserve"> information collection</w:t>
      </w:r>
      <w:r w:rsidR="00C701D7" w:rsidRPr="00BA10EF">
        <w:rPr>
          <w:rFonts w:ascii="Arial" w:hAnsi="Arial" w:cs="Arial"/>
          <w:sz w:val="22"/>
        </w:rPr>
        <w:t xml:space="preserve"> supporting its project: </w:t>
      </w:r>
      <w:r w:rsidR="006059D0" w:rsidRPr="00BA10EF">
        <w:rPr>
          <w:rFonts w:ascii="Arial" w:hAnsi="Arial" w:cs="Arial"/>
          <w:i/>
          <w:sz w:val="22"/>
        </w:rPr>
        <w:t>Destinations of Released Patients Following Treatment with Iodi</w:t>
      </w:r>
      <w:r w:rsidR="00E8408E" w:rsidRPr="00BA10EF">
        <w:rPr>
          <w:rFonts w:ascii="Arial" w:hAnsi="Arial" w:cs="Arial"/>
          <w:i/>
          <w:sz w:val="22"/>
        </w:rPr>
        <w:t>ne-131 and Estimation of Doses t</w:t>
      </w:r>
      <w:r w:rsidR="006059D0" w:rsidRPr="00BA10EF">
        <w:rPr>
          <w:rFonts w:ascii="Arial" w:hAnsi="Arial" w:cs="Arial"/>
          <w:i/>
          <w:sz w:val="22"/>
        </w:rPr>
        <w:t xml:space="preserve">o Members of </w:t>
      </w:r>
      <w:r w:rsidR="006059D0" w:rsidRPr="00ED3C56">
        <w:rPr>
          <w:rFonts w:ascii="Arial" w:hAnsi="Arial" w:cs="Arial"/>
          <w:i/>
          <w:sz w:val="22"/>
        </w:rPr>
        <w:t>the Public at Locations Other Than Conventional Residences Receiving Such Patients</w:t>
      </w:r>
      <w:r w:rsidRPr="00ED3C56">
        <w:rPr>
          <w:rFonts w:ascii="Arial" w:hAnsi="Arial" w:cs="Arial"/>
          <w:sz w:val="22"/>
        </w:rPr>
        <w:t xml:space="preserve">. </w:t>
      </w:r>
      <w:r w:rsidR="006059D0" w:rsidRPr="00ED3C56">
        <w:rPr>
          <w:rFonts w:ascii="Arial" w:hAnsi="Arial" w:cs="Arial"/>
          <w:sz w:val="22"/>
        </w:rPr>
        <w:t xml:space="preserve"> </w:t>
      </w:r>
      <w:r w:rsidR="00930565" w:rsidRPr="00ED3C56">
        <w:rPr>
          <w:rFonts w:ascii="Arial" w:hAnsi="Arial" w:cs="Arial"/>
          <w:sz w:val="22"/>
        </w:rPr>
        <w:t>This is a voluntary information collection to assist the NRC Office of Nuclear Regulatory Research (RES) to determine where patients treated with radioactive iodine (I-131) reside after being released from licensee care</w:t>
      </w:r>
      <w:r w:rsidR="00C701D7" w:rsidRPr="00ED3C56">
        <w:rPr>
          <w:rFonts w:ascii="Arial" w:hAnsi="Arial" w:cs="Arial"/>
          <w:sz w:val="22"/>
        </w:rPr>
        <w:t xml:space="preserve">; </w:t>
      </w:r>
      <w:r w:rsidR="00DE1D50" w:rsidRPr="00ED3C56">
        <w:rPr>
          <w:rFonts w:ascii="Arial" w:hAnsi="Arial" w:cs="Arial"/>
          <w:sz w:val="22"/>
        </w:rPr>
        <w:t>specifically, to what extent they go to locations other than their homes</w:t>
      </w:r>
      <w:r w:rsidR="00824392" w:rsidRPr="00ED3C56">
        <w:rPr>
          <w:rFonts w:ascii="Arial" w:hAnsi="Arial" w:cs="Arial"/>
          <w:sz w:val="22"/>
        </w:rPr>
        <w:t>: f</w:t>
      </w:r>
      <w:r w:rsidR="00DE1D50" w:rsidRPr="00ED3C56">
        <w:rPr>
          <w:rFonts w:ascii="Arial" w:hAnsi="Arial" w:cs="Arial"/>
          <w:sz w:val="22"/>
        </w:rPr>
        <w:t>or example, to hotels, nursing homes, and other institutional sites.</w:t>
      </w:r>
      <w:r w:rsidR="00A5139D" w:rsidRPr="00ED3C56">
        <w:rPr>
          <w:rFonts w:ascii="Arial" w:hAnsi="Arial" w:cs="Arial"/>
          <w:sz w:val="22"/>
        </w:rPr>
        <w:t xml:space="preserve"> In this case, </w:t>
      </w:r>
      <w:r w:rsidR="00C02CB9" w:rsidRPr="00ED3C56">
        <w:rPr>
          <w:rFonts w:ascii="Arial" w:hAnsi="Arial" w:cs="Arial"/>
          <w:sz w:val="22"/>
        </w:rPr>
        <w:t>licensees are</w:t>
      </w:r>
      <w:r w:rsidR="004B6F6E" w:rsidRPr="00ED3C56">
        <w:rPr>
          <w:rFonts w:ascii="Arial" w:hAnsi="Arial" w:cs="Arial"/>
          <w:sz w:val="22"/>
        </w:rPr>
        <w:t xml:space="preserve"> the </w:t>
      </w:r>
      <w:r w:rsidR="00930565" w:rsidRPr="00ED3C56">
        <w:rPr>
          <w:rFonts w:ascii="Arial" w:hAnsi="Arial" w:cs="Arial"/>
          <w:sz w:val="22"/>
        </w:rPr>
        <w:t>hospitals, medical cente</w:t>
      </w:r>
      <w:r w:rsidR="00C701D7" w:rsidRPr="00ED3C56">
        <w:rPr>
          <w:rFonts w:ascii="Arial" w:hAnsi="Arial" w:cs="Arial"/>
          <w:sz w:val="22"/>
        </w:rPr>
        <w:t>rs</w:t>
      </w:r>
      <w:r w:rsidR="00930565" w:rsidRPr="00ED3C56">
        <w:rPr>
          <w:rFonts w:ascii="Arial" w:hAnsi="Arial" w:cs="Arial"/>
          <w:sz w:val="22"/>
        </w:rPr>
        <w:t xml:space="preserve"> outpatient facilities</w:t>
      </w:r>
      <w:r w:rsidR="00C701D7" w:rsidRPr="00ED3C56">
        <w:rPr>
          <w:rFonts w:ascii="Arial" w:hAnsi="Arial" w:cs="Arial"/>
          <w:sz w:val="22"/>
        </w:rPr>
        <w:t>, or other medical facilities that provide I-131 treatment.</w:t>
      </w:r>
      <w:r w:rsidR="00C701D7" w:rsidRPr="00BA10EF">
        <w:rPr>
          <w:rFonts w:ascii="Arial" w:hAnsi="Arial" w:cs="Arial"/>
          <w:sz w:val="22"/>
        </w:rPr>
        <w:t xml:space="preserve"> </w:t>
      </w:r>
    </w:p>
    <w:p w:rsidR="006059D0" w:rsidRPr="00BA10EF" w:rsidRDefault="006059D0" w:rsidP="006059D0">
      <w:pPr>
        <w:rPr>
          <w:rFonts w:ascii="Arial" w:hAnsi="Arial" w:cs="Arial"/>
          <w:sz w:val="22"/>
        </w:rPr>
      </w:pPr>
    </w:p>
    <w:p w:rsidR="00AD3712" w:rsidRPr="00BA10EF" w:rsidRDefault="004E29D2" w:rsidP="00AD3712">
      <w:pPr>
        <w:spacing w:after="240"/>
        <w:rPr>
          <w:rFonts w:ascii="Arial" w:hAnsi="Arial" w:cs="Arial"/>
          <w:sz w:val="22"/>
        </w:rPr>
      </w:pPr>
      <w:r w:rsidRPr="00BA10EF">
        <w:rPr>
          <w:rFonts w:ascii="Arial" w:hAnsi="Arial" w:cs="Arial"/>
          <w:sz w:val="22"/>
        </w:rPr>
        <w:t>The prevailing practice is that p</w:t>
      </w:r>
      <w:r w:rsidR="00930565" w:rsidRPr="00BA10EF">
        <w:rPr>
          <w:rFonts w:ascii="Arial" w:hAnsi="Arial" w:cs="Arial"/>
          <w:sz w:val="22"/>
        </w:rPr>
        <w:t xml:space="preserve">atients are often released from the </w:t>
      </w:r>
      <w:r w:rsidRPr="00BA10EF">
        <w:rPr>
          <w:rFonts w:ascii="Arial" w:hAnsi="Arial" w:cs="Arial"/>
          <w:sz w:val="22"/>
        </w:rPr>
        <w:t xml:space="preserve">medical facilities </w:t>
      </w:r>
      <w:r w:rsidR="00930565" w:rsidRPr="00BA10EF">
        <w:rPr>
          <w:rFonts w:ascii="Arial" w:hAnsi="Arial" w:cs="Arial"/>
          <w:sz w:val="22"/>
        </w:rPr>
        <w:t>following treatment</w:t>
      </w:r>
      <w:r w:rsidR="00216661" w:rsidRPr="00BA10EF">
        <w:rPr>
          <w:rFonts w:ascii="Arial" w:hAnsi="Arial" w:cs="Arial"/>
          <w:sz w:val="22"/>
        </w:rPr>
        <w:t xml:space="preserve"> with radioisotopes </w:t>
      </w:r>
      <w:r w:rsidR="00930565" w:rsidRPr="00BA10EF">
        <w:rPr>
          <w:rFonts w:ascii="Arial" w:hAnsi="Arial" w:cs="Arial"/>
          <w:sz w:val="22"/>
        </w:rPr>
        <w:t xml:space="preserve">if they meet the release conditions specified in the Code of Federal Regulations (CFR) Title 10, Part 35.75, </w:t>
      </w:r>
      <w:r w:rsidR="00930565" w:rsidRPr="00BA10EF">
        <w:rPr>
          <w:rFonts w:ascii="Arial" w:hAnsi="Arial" w:cs="Arial"/>
          <w:i/>
          <w:sz w:val="22"/>
        </w:rPr>
        <w:t>Release of Individuals Containing Unsealed Byproduct Material or Implants Containing Byproduct Material</w:t>
      </w:r>
      <w:r w:rsidR="00930565" w:rsidRPr="00BA10EF">
        <w:rPr>
          <w:rFonts w:ascii="Arial" w:hAnsi="Arial" w:cs="Arial"/>
          <w:sz w:val="22"/>
        </w:rPr>
        <w:t xml:space="preserve">. While there is analytical information indicating that the NRC’s current requirements are appropriate, there </w:t>
      </w:r>
      <w:r w:rsidRPr="00BA10EF">
        <w:rPr>
          <w:rFonts w:ascii="Arial" w:hAnsi="Arial" w:cs="Arial"/>
          <w:sz w:val="22"/>
        </w:rPr>
        <w:t xml:space="preserve">is </w:t>
      </w:r>
      <w:r w:rsidR="00930565" w:rsidRPr="00BA10EF">
        <w:rPr>
          <w:rFonts w:ascii="Arial" w:hAnsi="Arial" w:cs="Arial"/>
          <w:sz w:val="22"/>
        </w:rPr>
        <w:t xml:space="preserve">not </w:t>
      </w:r>
      <w:r w:rsidR="00711F58" w:rsidRPr="00BA10EF">
        <w:rPr>
          <w:rFonts w:ascii="Arial" w:hAnsi="Arial" w:cs="Arial"/>
          <w:sz w:val="22"/>
        </w:rPr>
        <w:t>sufficient</w:t>
      </w:r>
      <w:r w:rsidR="00930565" w:rsidRPr="00BA10EF">
        <w:rPr>
          <w:rFonts w:ascii="Arial" w:hAnsi="Arial" w:cs="Arial"/>
          <w:sz w:val="22"/>
        </w:rPr>
        <w:t xml:space="preserve"> empirical (field measurement) data regarding the doses actually being received by members of the public that are exposed to these patients </w:t>
      </w:r>
      <w:r w:rsidRPr="00BA10EF">
        <w:rPr>
          <w:rFonts w:ascii="Arial" w:hAnsi="Arial" w:cs="Arial"/>
          <w:sz w:val="22"/>
        </w:rPr>
        <w:t xml:space="preserve">in public </w:t>
      </w:r>
      <w:r w:rsidR="00216661" w:rsidRPr="00BA10EF">
        <w:rPr>
          <w:rFonts w:ascii="Arial" w:hAnsi="Arial" w:cs="Arial"/>
          <w:sz w:val="22"/>
        </w:rPr>
        <w:t>venues</w:t>
      </w:r>
      <w:r w:rsidR="00824392" w:rsidRPr="00BA10EF">
        <w:rPr>
          <w:rFonts w:ascii="Arial" w:hAnsi="Arial" w:cs="Arial"/>
          <w:sz w:val="22"/>
        </w:rPr>
        <w:t>,</w:t>
      </w:r>
      <w:r w:rsidRPr="00BA10EF">
        <w:rPr>
          <w:rFonts w:ascii="Arial" w:hAnsi="Arial" w:cs="Arial"/>
          <w:sz w:val="22"/>
        </w:rPr>
        <w:t xml:space="preserve"> </w:t>
      </w:r>
      <w:r w:rsidR="00930565" w:rsidRPr="00BA10EF">
        <w:rPr>
          <w:rFonts w:ascii="Arial" w:hAnsi="Arial" w:cs="Arial"/>
          <w:sz w:val="22"/>
        </w:rPr>
        <w:t xml:space="preserve">or </w:t>
      </w:r>
      <w:r w:rsidRPr="00BA10EF">
        <w:rPr>
          <w:rFonts w:ascii="Arial" w:hAnsi="Arial" w:cs="Arial"/>
          <w:sz w:val="22"/>
        </w:rPr>
        <w:t xml:space="preserve">data </w:t>
      </w:r>
      <w:r w:rsidR="00930565" w:rsidRPr="00BA10EF">
        <w:rPr>
          <w:rFonts w:ascii="Arial" w:hAnsi="Arial" w:cs="Arial"/>
          <w:sz w:val="22"/>
        </w:rPr>
        <w:t xml:space="preserve">regarding the prevalence of patients going to </w:t>
      </w:r>
      <w:r w:rsidRPr="00BA10EF">
        <w:rPr>
          <w:rFonts w:ascii="Arial" w:hAnsi="Arial" w:cs="Arial"/>
          <w:sz w:val="22"/>
        </w:rPr>
        <w:t xml:space="preserve">locations </w:t>
      </w:r>
      <w:r w:rsidR="00930565" w:rsidRPr="00BA10EF">
        <w:rPr>
          <w:rFonts w:ascii="Arial" w:hAnsi="Arial" w:cs="Arial"/>
          <w:sz w:val="22"/>
        </w:rPr>
        <w:t>other than their home</w:t>
      </w:r>
      <w:r w:rsidRPr="00BA10EF">
        <w:rPr>
          <w:rFonts w:ascii="Arial" w:hAnsi="Arial" w:cs="Arial"/>
          <w:sz w:val="22"/>
        </w:rPr>
        <w:t xml:space="preserve"> of record (residence)</w:t>
      </w:r>
      <w:r w:rsidR="00930565" w:rsidRPr="00BA10EF">
        <w:rPr>
          <w:rFonts w:ascii="Arial" w:hAnsi="Arial" w:cs="Arial"/>
          <w:sz w:val="22"/>
        </w:rPr>
        <w:t xml:space="preserve"> following </w:t>
      </w:r>
      <w:r w:rsidRPr="00BA10EF">
        <w:rPr>
          <w:rFonts w:ascii="Arial" w:hAnsi="Arial" w:cs="Arial"/>
          <w:sz w:val="22"/>
        </w:rPr>
        <w:t xml:space="preserve">the medical </w:t>
      </w:r>
      <w:r w:rsidR="00930565" w:rsidRPr="00BA10EF">
        <w:rPr>
          <w:rFonts w:ascii="Arial" w:hAnsi="Arial" w:cs="Arial"/>
          <w:sz w:val="22"/>
        </w:rPr>
        <w:t xml:space="preserve">treatment. </w:t>
      </w:r>
      <w:r w:rsidR="00AD3712" w:rsidRPr="00BA10EF">
        <w:rPr>
          <w:rFonts w:ascii="Arial" w:hAnsi="Arial" w:cs="Arial"/>
          <w:sz w:val="22"/>
        </w:rPr>
        <w:t xml:space="preserve"> </w:t>
      </w:r>
      <w:r w:rsidR="00AD3712" w:rsidRPr="00ED3C56">
        <w:rPr>
          <w:rFonts w:ascii="Arial" w:hAnsi="Arial" w:cs="Arial"/>
          <w:sz w:val="22"/>
        </w:rPr>
        <w:t>The NRC wants to identify the alternative destinations released patients may reside and what internal</w:t>
      </w:r>
      <w:r w:rsidR="00AD3712" w:rsidRPr="00BA10EF">
        <w:rPr>
          <w:rFonts w:ascii="Arial" w:hAnsi="Arial" w:cs="Arial"/>
          <w:sz w:val="22"/>
        </w:rPr>
        <w:t xml:space="preserve"> and external exposures members of the public might receive in order to determine </w:t>
      </w:r>
      <w:r w:rsidR="00B25A34" w:rsidRPr="00BA10EF">
        <w:rPr>
          <w:rFonts w:ascii="Arial" w:hAnsi="Arial" w:cs="Arial"/>
          <w:sz w:val="22"/>
        </w:rPr>
        <w:t xml:space="preserve">how well patient release practices are working and the extent to which the NRC dose criterion is being met. </w:t>
      </w:r>
    </w:p>
    <w:p w:rsidR="00C701D7" w:rsidRPr="00ED3C56" w:rsidRDefault="00930565" w:rsidP="0037315D">
      <w:pPr>
        <w:rPr>
          <w:rFonts w:ascii="Arial" w:hAnsi="Arial" w:cs="Arial"/>
          <w:sz w:val="22"/>
        </w:rPr>
      </w:pPr>
      <w:r w:rsidRPr="00BA10EF">
        <w:rPr>
          <w:rFonts w:ascii="Arial" w:hAnsi="Arial" w:cs="Arial"/>
          <w:sz w:val="22"/>
        </w:rPr>
        <w:t>Therefore, the Commission instructed the staff to obtain analytical and empirical data collected from field measurements</w:t>
      </w:r>
      <w:r w:rsidR="00DE1D50" w:rsidRPr="00BA10EF">
        <w:rPr>
          <w:rFonts w:ascii="Arial" w:hAnsi="Arial" w:cs="Arial"/>
          <w:sz w:val="22"/>
        </w:rPr>
        <w:t xml:space="preserve">, which will be preceded by the surveys identifying treatment facilities that regularly send patients treated with I-131 to locations other than their homes (e.g., hotels and nursing homes), the receiving locations, and such patients themselves. </w:t>
      </w:r>
      <w:r w:rsidR="00AD3712" w:rsidRPr="00BA10EF">
        <w:rPr>
          <w:rFonts w:ascii="Arial" w:hAnsi="Arial" w:cs="Arial"/>
          <w:sz w:val="22"/>
        </w:rPr>
        <w:t xml:space="preserve"> </w:t>
      </w:r>
      <w:r w:rsidR="00C701D7" w:rsidRPr="00ED3C56">
        <w:rPr>
          <w:rFonts w:ascii="Arial" w:hAnsi="Arial" w:cs="Arial"/>
          <w:sz w:val="22"/>
        </w:rPr>
        <w:t>As indicated in Section A.12, there will be four different groups surveyed</w:t>
      </w:r>
      <w:r w:rsidR="00AD3712" w:rsidRPr="00ED3C56">
        <w:rPr>
          <w:rFonts w:ascii="Arial" w:hAnsi="Arial" w:cs="Arial"/>
          <w:sz w:val="22"/>
        </w:rPr>
        <w:t xml:space="preserve"> (i.e., four separate surveys)</w:t>
      </w:r>
      <w:r w:rsidR="00C701D7" w:rsidRPr="00ED3C56">
        <w:rPr>
          <w:rFonts w:ascii="Arial" w:hAnsi="Arial" w:cs="Arial"/>
          <w:sz w:val="22"/>
        </w:rPr>
        <w:t xml:space="preserve">, each with its own questionnaire: treating institutions, members of the Thyroid Cancer Survivors’ Association, patients identified as staying at hotels or nursing homes following treatment, and hotels and nursing homes receiving patients immediately after treatment. </w:t>
      </w:r>
    </w:p>
    <w:p w:rsidR="00306676" w:rsidRPr="00BA10EF" w:rsidRDefault="00306676" w:rsidP="0037315D">
      <w:pPr>
        <w:rPr>
          <w:rFonts w:ascii="Arial" w:hAnsi="Arial" w:cs="Arial"/>
          <w:sz w:val="22"/>
        </w:rPr>
      </w:pPr>
    </w:p>
    <w:p w:rsidR="00ED3C56" w:rsidRDefault="00ED3C56">
      <w:pPr>
        <w:rPr>
          <w:rFonts w:ascii="Arial" w:hAnsi="Arial" w:cs="Arial"/>
          <w:sz w:val="22"/>
        </w:rPr>
      </w:pPr>
      <w:r>
        <w:rPr>
          <w:rFonts w:ascii="Arial" w:hAnsi="Arial" w:cs="Arial"/>
          <w:sz w:val="22"/>
        </w:rPr>
        <w:br w:type="page"/>
      </w:r>
    </w:p>
    <w:p w:rsidR="00AD3712" w:rsidRPr="00BA10EF" w:rsidRDefault="00AD3712" w:rsidP="0037315D">
      <w:pPr>
        <w:rPr>
          <w:rFonts w:ascii="Arial" w:hAnsi="Arial" w:cs="Arial"/>
          <w:sz w:val="22"/>
        </w:rPr>
      </w:pPr>
    </w:p>
    <w:p w:rsidR="00275570" w:rsidRPr="00BA10EF" w:rsidRDefault="00EF0560" w:rsidP="00B643FC">
      <w:pPr>
        <w:pStyle w:val="ListParagraph"/>
        <w:numPr>
          <w:ilvl w:val="0"/>
          <w:numId w:val="43"/>
        </w:numPr>
        <w:spacing w:after="240"/>
        <w:ind w:left="360"/>
        <w:contextualSpacing w:val="0"/>
        <w:rPr>
          <w:rFonts w:ascii="Arial" w:hAnsi="Arial" w:cs="Arial"/>
          <w:sz w:val="22"/>
        </w:rPr>
      </w:pPr>
      <w:r w:rsidRPr="00BA10EF">
        <w:rPr>
          <w:rFonts w:ascii="Arial" w:hAnsi="Arial" w:cs="Arial"/>
          <w:sz w:val="22"/>
        </w:rPr>
        <w:t>JUSTIFICATION</w:t>
      </w:r>
    </w:p>
    <w:p w:rsidR="00275570" w:rsidRPr="00BA10EF" w:rsidRDefault="00930565" w:rsidP="00757BC5">
      <w:pPr>
        <w:pStyle w:val="ListParagraph"/>
        <w:numPr>
          <w:ilvl w:val="0"/>
          <w:numId w:val="42"/>
        </w:numPr>
        <w:spacing w:after="120"/>
        <w:contextualSpacing w:val="0"/>
        <w:rPr>
          <w:rFonts w:ascii="Arial" w:hAnsi="Arial" w:cs="Arial"/>
          <w:sz w:val="22"/>
          <w:u w:val="single"/>
        </w:rPr>
      </w:pPr>
      <w:r w:rsidRPr="00BA10EF">
        <w:rPr>
          <w:rFonts w:ascii="Arial" w:hAnsi="Arial" w:cs="Arial"/>
          <w:sz w:val="22"/>
          <w:u w:val="single"/>
        </w:rPr>
        <w:t>Need for and Practical Utility of the Collection of Information</w:t>
      </w:r>
    </w:p>
    <w:p w:rsidR="0037315D" w:rsidRPr="00BA10EF" w:rsidRDefault="003F677A">
      <w:pPr>
        <w:pStyle w:val="ListParagraph"/>
        <w:autoSpaceDE w:val="0"/>
        <w:autoSpaceDN w:val="0"/>
        <w:adjustRightInd w:val="0"/>
        <w:rPr>
          <w:rFonts w:ascii="Arial" w:hAnsi="Arial" w:cs="Arial"/>
          <w:sz w:val="22"/>
        </w:rPr>
      </w:pPr>
      <w:r>
        <w:rPr>
          <w:rFonts w:ascii="Arial" w:hAnsi="Arial" w:cs="Arial"/>
          <w:color w:val="000000"/>
          <w:sz w:val="22"/>
        </w:rPr>
        <w:t>The NRC</w:t>
      </w:r>
      <w:r w:rsidR="009A6699">
        <w:rPr>
          <w:rFonts w:ascii="Arial" w:hAnsi="Arial" w:cs="Arial"/>
          <w:color w:val="000000"/>
          <w:sz w:val="22"/>
        </w:rPr>
        <w:t xml:space="preserve"> </w:t>
      </w:r>
      <w:r w:rsidR="00412022">
        <w:rPr>
          <w:rFonts w:ascii="Arial" w:hAnsi="Arial" w:cs="Arial"/>
          <w:color w:val="000000"/>
          <w:sz w:val="22"/>
        </w:rPr>
        <w:t>h</w:t>
      </w:r>
      <w:r>
        <w:rPr>
          <w:rFonts w:ascii="Arial" w:hAnsi="Arial" w:cs="Arial"/>
          <w:color w:val="000000"/>
          <w:sz w:val="22"/>
        </w:rPr>
        <w:t>as minimal</w:t>
      </w:r>
      <w:r w:rsidR="00412022">
        <w:rPr>
          <w:rFonts w:ascii="Arial" w:hAnsi="Arial" w:cs="Arial"/>
          <w:color w:val="000000"/>
          <w:sz w:val="22"/>
        </w:rPr>
        <w:t xml:space="preserve"> empirical data on </w:t>
      </w:r>
      <w:r w:rsidRPr="003F677A">
        <w:rPr>
          <w:rFonts w:ascii="Arial" w:hAnsi="Arial" w:cs="Arial"/>
          <w:color w:val="000000"/>
          <w:sz w:val="22"/>
        </w:rPr>
        <w:t>where patients treated with radioactive iodine (I-131) reside after being released from licensee care</w:t>
      </w:r>
      <w:r>
        <w:rPr>
          <w:rFonts w:ascii="Arial" w:hAnsi="Arial" w:cs="Arial"/>
          <w:color w:val="000000"/>
          <w:sz w:val="22"/>
        </w:rPr>
        <w:t xml:space="preserve">.  This information will inform future guidance provided licensees and I-131 patients </w:t>
      </w:r>
      <w:r w:rsidR="00DF5F27">
        <w:rPr>
          <w:rFonts w:ascii="Arial" w:hAnsi="Arial" w:cs="Arial"/>
          <w:color w:val="000000"/>
          <w:sz w:val="22"/>
        </w:rPr>
        <w:t>regarding management of exposure received by public from contact with the patients.</w:t>
      </w:r>
    </w:p>
    <w:p w:rsidR="00CD110B" w:rsidRPr="00BA10EF" w:rsidRDefault="00CD110B" w:rsidP="0037315D">
      <w:pPr>
        <w:pStyle w:val="ListParagraph"/>
        <w:autoSpaceDE w:val="0"/>
        <w:autoSpaceDN w:val="0"/>
        <w:adjustRightInd w:val="0"/>
      </w:pPr>
    </w:p>
    <w:p w:rsidR="00275570" w:rsidRPr="00BA10EF" w:rsidRDefault="00AF6256" w:rsidP="001525BF">
      <w:pPr>
        <w:pStyle w:val="ListParagraph"/>
        <w:numPr>
          <w:ilvl w:val="0"/>
          <w:numId w:val="42"/>
        </w:numPr>
        <w:spacing w:after="120"/>
        <w:contextualSpacing w:val="0"/>
        <w:rPr>
          <w:rFonts w:ascii="Arial" w:hAnsi="Arial" w:cs="Arial"/>
          <w:sz w:val="22"/>
          <w:u w:val="single"/>
        </w:rPr>
      </w:pPr>
      <w:r w:rsidRPr="00BA10EF">
        <w:rPr>
          <w:rFonts w:ascii="Arial" w:hAnsi="Arial" w:cs="Arial"/>
          <w:sz w:val="22"/>
          <w:u w:val="single"/>
        </w:rPr>
        <w:t>Agency Use of Information</w:t>
      </w:r>
    </w:p>
    <w:p w:rsidR="00C34F60" w:rsidRPr="00BA10EF" w:rsidRDefault="00C34F60" w:rsidP="0078088F">
      <w:pPr>
        <w:spacing w:after="240"/>
        <w:ind w:left="720"/>
        <w:rPr>
          <w:rFonts w:ascii="Arial" w:hAnsi="Arial" w:cs="Arial"/>
          <w:sz w:val="22"/>
        </w:rPr>
      </w:pPr>
      <w:r w:rsidRPr="00BA10EF">
        <w:rPr>
          <w:rFonts w:ascii="Arial" w:hAnsi="Arial" w:cs="Arial"/>
          <w:sz w:val="22"/>
        </w:rPr>
        <w:t xml:space="preserve">The data collection will occur as part of a current NRC project, </w:t>
      </w:r>
      <w:r w:rsidRPr="00BA10EF">
        <w:rPr>
          <w:rFonts w:ascii="Arial" w:hAnsi="Arial" w:cs="Arial"/>
          <w:i/>
          <w:sz w:val="22"/>
        </w:rPr>
        <w:t xml:space="preserve">Destinations of Released Patients Following Treatment with Iodine-131, and Estimation of Doses to Members of the Public at Locations Other Than Conventional Residences Receiving Such Patients. </w:t>
      </w:r>
      <w:r w:rsidR="0078088F" w:rsidRPr="00BA10EF">
        <w:rPr>
          <w:rFonts w:ascii="Arial" w:hAnsi="Arial" w:cs="Arial"/>
          <w:sz w:val="22"/>
        </w:rPr>
        <w:t>The results of the data collection will be used by the NRC</w:t>
      </w:r>
      <w:r w:rsidR="001525BF" w:rsidRPr="00BA10EF">
        <w:rPr>
          <w:rFonts w:ascii="Arial" w:hAnsi="Arial" w:cs="Arial"/>
          <w:sz w:val="22"/>
        </w:rPr>
        <w:t>,</w:t>
      </w:r>
      <w:r w:rsidR="0078088F" w:rsidRPr="00BA10EF">
        <w:rPr>
          <w:rFonts w:ascii="Arial" w:hAnsi="Arial" w:cs="Arial"/>
          <w:sz w:val="22"/>
        </w:rPr>
        <w:t xml:space="preserve"> as </w:t>
      </w:r>
      <w:r w:rsidR="001525BF" w:rsidRPr="00BA10EF">
        <w:rPr>
          <w:rFonts w:ascii="Arial" w:hAnsi="Arial" w:cs="Arial"/>
          <w:sz w:val="22"/>
        </w:rPr>
        <w:t>explained in more detail</w:t>
      </w:r>
      <w:r w:rsidR="0078088F" w:rsidRPr="00BA10EF">
        <w:rPr>
          <w:rFonts w:ascii="Arial" w:hAnsi="Arial" w:cs="Arial"/>
          <w:sz w:val="22"/>
        </w:rPr>
        <w:t xml:space="preserve"> </w:t>
      </w:r>
      <w:r w:rsidR="00AF6256" w:rsidRPr="00BA10EF">
        <w:rPr>
          <w:rFonts w:ascii="Arial" w:hAnsi="Arial" w:cs="Arial"/>
          <w:sz w:val="22"/>
        </w:rPr>
        <w:t>above</w:t>
      </w:r>
      <w:r w:rsidR="0078088F" w:rsidRPr="00BA10EF">
        <w:rPr>
          <w:rFonts w:ascii="Arial" w:hAnsi="Arial" w:cs="Arial"/>
          <w:sz w:val="22"/>
        </w:rPr>
        <w:t xml:space="preserve">, </w:t>
      </w:r>
      <w:r w:rsidR="00DF5F27">
        <w:rPr>
          <w:rFonts w:ascii="Arial" w:hAnsi="Arial" w:cs="Arial"/>
          <w:sz w:val="22"/>
        </w:rPr>
        <w:t>to obtain data on where</w:t>
      </w:r>
      <w:r w:rsidR="0078088F" w:rsidRPr="00BA10EF">
        <w:rPr>
          <w:rFonts w:ascii="Arial" w:hAnsi="Arial" w:cs="Arial"/>
          <w:sz w:val="22"/>
        </w:rPr>
        <w:t xml:space="preserve"> patients treated with I-131 reside following treatment</w:t>
      </w:r>
      <w:r w:rsidR="001525BF" w:rsidRPr="00BA10EF">
        <w:rPr>
          <w:rFonts w:ascii="Arial" w:hAnsi="Arial" w:cs="Arial"/>
          <w:sz w:val="22"/>
        </w:rPr>
        <w:t xml:space="preserve">. </w:t>
      </w:r>
      <w:r w:rsidR="001525BF" w:rsidRPr="00ED3C56">
        <w:rPr>
          <w:rFonts w:ascii="Arial" w:hAnsi="Arial" w:cs="Arial"/>
          <w:sz w:val="22"/>
        </w:rPr>
        <w:t xml:space="preserve">This </w:t>
      </w:r>
      <w:r w:rsidR="0078088F" w:rsidRPr="00ED3C56">
        <w:rPr>
          <w:rFonts w:ascii="Arial" w:hAnsi="Arial" w:cs="Arial"/>
          <w:sz w:val="22"/>
        </w:rPr>
        <w:t xml:space="preserve">will contribute to a determination of </w:t>
      </w:r>
      <w:r w:rsidR="00482E2B" w:rsidRPr="00ED3C56">
        <w:rPr>
          <w:rFonts w:ascii="Arial" w:hAnsi="Arial" w:cs="Arial"/>
          <w:sz w:val="22"/>
        </w:rPr>
        <w:t>how well the patient release criteria are working</w:t>
      </w:r>
      <w:r w:rsidR="00DF5F27">
        <w:rPr>
          <w:rFonts w:ascii="Arial" w:hAnsi="Arial" w:cs="Arial"/>
          <w:sz w:val="22"/>
        </w:rPr>
        <w:t>.</w:t>
      </w:r>
      <w:r w:rsidR="00482E2B" w:rsidRPr="00ED3C56">
        <w:rPr>
          <w:rFonts w:ascii="Arial" w:hAnsi="Arial" w:cs="Arial"/>
          <w:sz w:val="22"/>
        </w:rPr>
        <w:t xml:space="preserve"> </w:t>
      </w:r>
    </w:p>
    <w:p w:rsidR="008B7080" w:rsidRPr="00BA10EF" w:rsidRDefault="00AF6256" w:rsidP="008B7080">
      <w:pPr>
        <w:pStyle w:val="ListParagraph"/>
        <w:numPr>
          <w:ilvl w:val="0"/>
          <w:numId w:val="42"/>
        </w:numPr>
        <w:spacing w:after="120"/>
        <w:contextualSpacing w:val="0"/>
        <w:rPr>
          <w:rFonts w:ascii="Arial" w:hAnsi="Arial" w:cs="Arial"/>
          <w:sz w:val="22"/>
          <w:u w:val="single"/>
        </w:rPr>
      </w:pPr>
      <w:r w:rsidRPr="00BA10EF">
        <w:rPr>
          <w:rFonts w:ascii="Arial" w:hAnsi="Arial" w:cs="Arial"/>
          <w:sz w:val="22"/>
          <w:u w:val="single"/>
        </w:rPr>
        <w:t>Reduction of Burden Through</w:t>
      </w:r>
      <w:r w:rsidR="00EF0560" w:rsidRPr="00BA10EF">
        <w:rPr>
          <w:rFonts w:ascii="Arial" w:hAnsi="Arial" w:cs="Arial"/>
          <w:sz w:val="22"/>
          <w:u w:val="single"/>
        </w:rPr>
        <w:t xml:space="preserve"> Information Technology</w:t>
      </w:r>
    </w:p>
    <w:p w:rsidR="008B7080" w:rsidRDefault="008B7080" w:rsidP="008B7080">
      <w:pPr>
        <w:pStyle w:val="ListParagraph"/>
        <w:spacing w:after="120"/>
        <w:contextualSpacing w:val="0"/>
        <w:rPr>
          <w:rFonts w:ascii="Arial" w:hAnsi="Arial" w:cs="Arial"/>
          <w:sz w:val="22"/>
        </w:rPr>
      </w:pPr>
      <w:r w:rsidRPr="00BA10EF">
        <w:rPr>
          <w:rFonts w:ascii="Arial" w:hAnsi="Arial" w:cs="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4C11F2" w:rsidRPr="00BA10EF">
        <w:rPr>
          <w:rFonts w:ascii="Arial" w:hAnsi="Arial" w:cs="Arial"/>
          <w:sz w:val="22"/>
        </w:rPr>
        <w:t>90%</w:t>
      </w:r>
      <w:r w:rsidRPr="00BA10EF">
        <w:rPr>
          <w:rFonts w:ascii="Arial" w:hAnsi="Arial" w:cs="Arial"/>
          <w:sz w:val="22"/>
        </w:rPr>
        <w:t xml:space="preserve"> of the potential responses will be filed electronically</w:t>
      </w:r>
      <w:r w:rsidR="004C11F2" w:rsidRPr="00BA10EF">
        <w:rPr>
          <w:rFonts w:ascii="Arial" w:hAnsi="Arial" w:cs="Arial"/>
          <w:sz w:val="22"/>
        </w:rPr>
        <w:t>.</w:t>
      </w:r>
    </w:p>
    <w:p w:rsidR="00ED3C56" w:rsidRPr="00BA10EF" w:rsidRDefault="00ED3C56" w:rsidP="008B7080">
      <w:pPr>
        <w:pStyle w:val="ListParagraph"/>
        <w:spacing w:after="120"/>
        <w:contextualSpacing w:val="0"/>
        <w:rPr>
          <w:rFonts w:ascii="Arial" w:hAnsi="Arial" w:cs="Arial"/>
          <w:sz w:val="22"/>
          <w:u w:val="single"/>
        </w:rPr>
      </w:pPr>
    </w:p>
    <w:p w:rsidR="00275570" w:rsidRPr="00BA10EF" w:rsidRDefault="00AF6256" w:rsidP="00B25AF1">
      <w:pPr>
        <w:pStyle w:val="ListParagraph"/>
        <w:numPr>
          <w:ilvl w:val="0"/>
          <w:numId w:val="42"/>
        </w:numPr>
        <w:spacing w:after="120"/>
        <w:contextualSpacing w:val="0"/>
        <w:rPr>
          <w:rFonts w:ascii="Arial" w:hAnsi="Arial" w:cs="Arial"/>
          <w:sz w:val="22"/>
          <w:u w:val="single"/>
        </w:rPr>
      </w:pPr>
      <w:r w:rsidRPr="00BA10EF">
        <w:rPr>
          <w:rFonts w:ascii="Arial" w:hAnsi="Arial" w:cs="Arial"/>
          <w:sz w:val="22"/>
          <w:u w:val="single"/>
        </w:rPr>
        <w:t xml:space="preserve">Effort to Identify </w:t>
      </w:r>
      <w:r w:rsidR="00275570" w:rsidRPr="00BA10EF">
        <w:rPr>
          <w:rFonts w:ascii="Arial" w:hAnsi="Arial" w:cs="Arial"/>
          <w:sz w:val="22"/>
          <w:u w:val="single"/>
        </w:rPr>
        <w:t>Duplication</w:t>
      </w:r>
      <w:r w:rsidR="00EF0560" w:rsidRPr="00BA10EF">
        <w:rPr>
          <w:rFonts w:ascii="Arial" w:hAnsi="Arial" w:cs="Arial"/>
          <w:sz w:val="22"/>
          <w:u w:val="single"/>
        </w:rPr>
        <w:t xml:space="preserve"> </w:t>
      </w:r>
      <w:r w:rsidRPr="00BA10EF">
        <w:rPr>
          <w:rFonts w:ascii="Arial" w:hAnsi="Arial" w:cs="Arial"/>
          <w:sz w:val="22"/>
          <w:u w:val="single"/>
        </w:rPr>
        <w:t xml:space="preserve">and Use of Similar </w:t>
      </w:r>
      <w:r w:rsidR="00EF0560" w:rsidRPr="00BA10EF">
        <w:rPr>
          <w:rFonts w:ascii="Arial" w:hAnsi="Arial" w:cs="Arial"/>
          <w:sz w:val="22"/>
          <w:u w:val="single"/>
        </w:rPr>
        <w:t>Information</w:t>
      </w:r>
    </w:p>
    <w:p w:rsidR="00B25AF1" w:rsidRDefault="00B25AF1" w:rsidP="00B25AF1">
      <w:pPr>
        <w:spacing w:after="240"/>
        <w:ind w:left="720"/>
        <w:rPr>
          <w:rFonts w:ascii="Arial" w:hAnsi="Arial" w:cs="Arial"/>
          <w:sz w:val="22"/>
        </w:rPr>
      </w:pPr>
      <w:r w:rsidRPr="00BA10EF">
        <w:rPr>
          <w:rFonts w:ascii="Arial" w:hAnsi="Arial" w:cs="Arial"/>
          <w:sz w:val="22"/>
        </w:rPr>
        <w:t>To the NRC’s knowledge, such a data collection has not been accomplished prior to the current study</w:t>
      </w:r>
      <w:r w:rsidR="00DF5F27">
        <w:rPr>
          <w:rFonts w:ascii="Arial" w:hAnsi="Arial" w:cs="Arial"/>
          <w:sz w:val="22"/>
        </w:rPr>
        <w:t>.</w:t>
      </w:r>
      <w:r w:rsidRPr="00BA10EF">
        <w:rPr>
          <w:rFonts w:ascii="Arial" w:hAnsi="Arial" w:cs="Arial"/>
          <w:sz w:val="22"/>
        </w:rPr>
        <w:t xml:space="preserve"> </w:t>
      </w:r>
    </w:p>
    <w:p w:rsidR="00ED3C56" w:rsidRPr="00BA10EF" w:rsidRDefault="00ED3C56" w:rsidP="00B25AF1">
      <w:pPr>
        <w:spacing w:after="240"/>
        <w:ind w:left="720"/>
        <w:rPr>
          <w:rFonts w:ascii="Arial" w:hAnsi="Arial" w:cs="Arial"/>
          <w:sz w:val="22"/>
        </w:rPr>
      </w:pPr>
    </w:p>
    <w:p w:rsidR="00275570" w:rsidRPr="00BA10EF" w:rsidRDefault="00AF6256" w:rsidP="00757BC5">
      <w:pPr>
        <w:pStyle w:val="ListParagraph"/>
        <w:numPr>
          <w:ilvl w:val="0"/>
          <w:numId w:val="42"/>
        </w:numPr>
        <w:spacing w:after="120"/>
        <w:contextualSpacing w:val="0"/>
        <w:rPr>
          <w:rFonts w:ascii="Arial" w:hAnsi="Arial" w:cs="Arial"/>
          <w:sz w:val="22"/>
          <w:u w:val="single"/>
        </w:rPr>
      </w:pPr>
      <w:r w:rsidRPr="00BA10EF">
        <w:rPr>
          <w:rFonts w:ascii="Arial" w:hAnsi="Arial" w:cs="Arial"/>
          <w:sz w:val="22"/>
          <w:u w:val="single"/>
        </w:rPr>
        <w:t>Effort to Reduce Small Business Burden</w:t>
      </w:r>
    </w:p>
    <w:p w:rsidR="000F1D4C" w:rsidRDefault="000F1D4C" w:rsidP="00757BC5">
      <w:pPr>
        <w:spacing w:after="240"/>
        <w:ind w:left="720"/>
        <w:rPr>
          <w:rFonts w:ascii="Arial" w:hAnsi="Arial" w:cs="Arial"/>
          <w:sz w:val="22"/>
        </w:rPr>
      </w:pPr>
      <w:r w:rsidRPr="00BA10EF">
        <w:rPr>
          <w:rFonts w:ascii="Arial" w:hAnsi="Arial" w:cs="Arial"/>
          <w:sz w:val="22"/>
        </w:rPr>
        <w:t>None of the respondents are small businesses.</w:t>
      </w:r>
    </w:p>
    <w:p w:rsidR="00ED3C56" w:rsidRPr="00BA10EF" w:rsidRDefault="00ED3C56" w:rsidP="00757BC5">
      <w:pPr>
        <w:spacing w:after="240"/>
        <w:ind w:left="720"/>
        <w:rPr>
          <w:rFonts w:ascii="Arial" w:hAnsi="Arial" w:cs="Arial"/>
          <w:sz w:val="22"/>
        </w:rPr>
      </w:pPr>
    </w:p>
    <w:p w:rsidR="00275570" w:rsidRPr="00BA10EF" w:rsidRDefault="00275570" w:rsidP="00B25AF1">
      <w:pPr>
        <w:pStyle w:val="ListParagraph"/>
        <w:numPr>
          <w:ilvl w:val="0"/>
          <w:numId w:val="42"/>
        </w:numPr>
        <w:spacing w:after="120"/>
        <w:contextualSpacing w:val="0"/>
        <w:rPr>
          <w:rFonts w:ascii="Arial" w:hAnsi="Arial" w:cs="Arial"/>
          <w:sz w:val="22"/>
          <w:u w:val="single"/>
        </w:rPr>
      </w:pPr>
      <w:r w:rsidRPr="00BA10EF">
        <w:rPr>
          <w:rFonts w:ascii="Arial" w:hAnsi="Arial" w:cs="Arial"/>
          <w:sz w:val="22"/>
          <w:u w:val="single"/>
        </w:rPr>
        <w:t xml:space="preserve">Consequences </w:t>
      </w:r>
      <w:r w:rsidR="00AF6256" w:rsidRPr="00BA10EF">
        <w:rPr>
          <w:rFonts w:ascii="Arial" w:hAnsi="Arial" w:cs="Arial"/>
          <w:sz w:val="22"/>
          <w:u w:val="single"/>
        </w:rPr>
        <w:t>to Federal Program or Policy Activities if the Collection is not Conducted or is Conducted Less Frequently</w:t>
      </w:r>
    </w:p>
    <w:p w:rsidR="00DF5F27" w:rsidRDefault="00B25AF1" w:rsidP="00ED3C56">
      <w:pPr>
        <w:spacing w:after="240"/>
        <w:ind w:left="720"/>
        <w:rPr>
          <w:rFonts w:ascii="Arial" w:hAnsi="Arial" w:cs="Arial"/>
          <w:sz w:val="22"/>
        </w:rPr>
      </w:pPr>
      <w:r w:rsidRPr="00BA10EF">
        <w:rPr>
          <w:rFonts w:ascii="Arial" w:hAnsi="Arial" w:cs="Arial"/>
          <w:sz w:val="22"/>
        </w:rPr>
        <w:t>The NRC’s mandate to monitor and reduce radiation exposures to the public would be adversely affected if the proposed</w:t>
      </w:r>
      <w:r w:rsidR="001D6199" w:rsidRPr="00BA10EF">
        <w:rPr>
          <w:rFonts w:ascii="Arial" w:hAnsi="Arial" w:cs="Arial"/>
          <w:sz w:val="22"/>
        </w:rPr>
        <w:t>, one-time</w:t>
      </w:r>
      <w:r w:rsidRPr="00BA10EF">
        <w:rPr>
          <w:rFonts w:ascii="Arial" w:hAnsi="Arial" w:cs="Arial"/>
          <w:sz w:val="22"/>
        </w:rPr>
        <w:t xml:space="preserve"> data collection were not performed. As previously mentioned, the data collection will contribute to a determination of </w:t>
      </w:r>
      <w:r w:rsidR="009A6699">
        <w:rPr>
          <w:rFonts w:ascii="Arial" w:hAnsi="Arial" w:cs="Arial"/>
          <w:sz w:val="22"/>
        </w:rPr>
        <w:t>efficacy of</w:t>
      </w:r>
      <w:r w:rsidR="006F6B90" w:rsidRPr="00BA10EF">
        <w:rPr>
          <w:rFonts w:ascii="Arial" w:hAnsi="Arial" w:cs="Arial"/>
          <w:sz w:val="22"/>
        </w:rPr>
        <w:t xml:space="preserve"> the patient release criteria</w:t>
      </w:r>
      <w:r w:rsidR="009A6699">
        <w:rPr>
          <w:rFonts w:ascii="Arial" w:hAnsi="Arial" w:cs="Arial"/>
          <w:sz w:val="22"/>
        </w:rPr>
        <w:t>.</w:t>
      </w:r>
    </w:p>
    <w:p w:rsidR="00ED3C56" w:rsidRDefault="00ED3C56" w:rsidP="00ED3C56">
      <w:pPr>
        <w:spacing w:after="240"/>
        <w:ind w:left="720"/>
        <w:rPr>
          <w:rFonts w:ascii="Arial" w:hAnsi="Arial" w:cs="Arial"/>
          <w:sz w:val="22"/>
        </w:rPr>
      </w:pPr>
    </w:p>
    <w:p w:rsidR="005F444A" w:rsidRPr="00BA10EF" w:rsidRDefault="00715CC3" w:rsidP="00ED3C56">
      <w:pPr>
        <w:spacing w:after="240"/>
        <w:ind w:left="720"/>
        <w:rPr>
          <w:rFonts w:ascii="Arial" w:hAnsi="Arial" w:cs="Arial"/>
          <w:sz w:val="22"/>
          <w:u w:val="single"/>
        </w:rPr>
      </w:pPr>
      <w:r w:rsidRPr="00BA10EF">
        <w:rPr>
          <w:rFonts w:ascii="Arial" w:hAnsi="Arial" w:cs="Arial"/>
          <w:sz w:val="22"/>
          <w:u w:val="single"/>
        </w:rPr>
        <w:lastRenderedPageBreak/>
        <w:t>C</w:t>
      </w:r>
      <w:r w:rsidR="00EF0560" w:rsidRPr="00BA10EF">
        <w:rPr>
          <w:rFonts w:ascii="Arial" w:hAnsi="Arial" w:cs="Arial"/>
          <w:sz w:val="22"/>
          <w:u w:val="single"/>
        </w:rPr>
        <w:t>ircumstances</w:t>
      </w:r>
      <w:r w:rsidR="00B25AF1" w:rsidRPr="00BA10EF">
        <w:rPr>
          <w:rFonts w:ascii="Arial" w:hAnsi="Arial" w:cs="Arial"/>
          <w:sz w:val="22"/>
          <w:u w:val="single"/>
        </w:rPr>
        <w:t xml:space="preserve"> </w:t>
      </w:r>
      <w:r w:rsidR="00AF6256" w:rsidRPr="00BA10EF">
        <w:rPr>
          <w:rFonts w:ascii="Arial" w:hAnsi="Arial" w:cs="Arial"/>
          <w:sz w:val="22"/>
          <w:u w:val="single"/>
        </w:rPr>
        <w:t xml:space="preserve">Which </w:t>
      </w:r>
      <w:r w:rsidR="00B25AF1" w:rsidRPr="00BA10EF">
        <w:rPr>
          <w:rFonts w:ascii="Arial" w:hAnsi="Arial" w:cs="Arial"/>
          <w:sz w:val="22"/>
          <w:u w:val="single"/>
        </w:rPr>
        <w:t>Justif</w:t>
      </w:r>
      <w:r w:rsidR="00AF6256" w:rsidRPr="00BA10EF">
        <w:rPr>
          <w:rFonts w:ascii="Arial" w:hAnsi="Arial" w:cs="Arial"/>
          <w:sz w:val="22"/>
          <w:u w:val="single"/>
        </w:rPr>
        <w:t>y</w:t>
      </w:r>
      <w:r w:rsidR="00B25AF1" w:rsidRPr="00BA10EF">
        <w:rPr>
          <w:rFonts w:ascii="Arial" w:hAnsi="Arial" w:cs="Arial"/>
          <w:sz w:val="22"/>
          <w:u w:val="single"/>
        </w:rPr>
        <w:t xml:space="preserve"> Variation from OMB Guidelines</w:t>
      </w:r>
    </w:p>
    <w:p w:rsidR="00AF6256" w:rsidRPr="00BA10EF" w:rsidRDefault="00B25AF1">
      <w:pPr>
        <w:spacing w:after="240"/>
        <w:ind w:left="720"/>
        <w:rPr>
          <w:rFonts w:ascii="Arial" w:hAnsi="Arial" w:cs="Arial"/>
          <w:sz w:val="22"/>
        </w:rPr>
      </w:pPr>
      <w:r w:rsidRPr="00BA10EF">
        <w:rPr>
          <w:rFonts w:ascii="Arial" w:hAnsi="Arial" w:cs="Arial"/>
          <w:sz w:val="22"/>
        </w:rPr>
        <w:t xml:space="preserve">None of the special circumstances cited in this section is applicable. </w:t>
      </w:r>
    </w:p>
    <w:p w:rsidR="005F444A" w:rsidRPr="00BA10EF" w:rsidRDefault="005F444A" w:rsidP="00EA3404">
      <w:pPr>
        <w:pStyle w:val="ListParagraph"/>
        <w:numPr>
          <w:ilvl w:val="0"/>
          <w:numId w:val="42"/>
        </w:numPr>
        <w:spacing w:after="120"/>
        <w:contextualSpacing w:val="0"/>
        <w:rPr>
          <w:rFonts w:ascii="Arial" w:hAnsi="Arial" w:cs="Arial"/>
          <w:sz w:val="22"/>
          <w:u w:val="single"/>
        </w:rPr>
      </w:pPr>
      <w:r w:rsidRPr="00BA10EF">
        <w:rPr>
          <w:rFonts w:ascii="Arial" w:hAnsi="Arial" w:cs="Arial"/>
          <w:sz w:val="22"/>
          <w:u w:val="single"/>
        </w:rPr>
        <w:t xml:space="preserve">Consultations Outside the </w:t>
      </w:r>
      <w:r w:rsidR="00AF6256" w:rsidRPr="00BA10EF">
        <w:rPr>
          <w:rFonts w:ascii="Arial" w:hAnsi="Arial" w:cs="Arial"/>
          <w:sz w:val="22"/>
          <w:u w:val="single"/>
        </w:rPr>
        <w:t>NRC</w:t>
      </w:r>
    </w:p>
    <w:p w:rsidR="0060297F" w:rsidRPr="00BA10EF" w:rsidRDefault="0060297F" w:rsidP="00745DDC">
      <w:pPr>
        <w:spacing w:after="240"/>
        <w:ind w:left="720"/>
        <w:rPr>
          <w:rFonts w:ascii="Arial" w:hAnsi="Arial" w:cs="Arial"/>
          <w:sz w:val="22"/>
        </w:rPr>
      </w:pPr>
      <w:r w:rsidRPr="00BA10EF">
        <w:rPr>
          <w:rFonts w:ascii="Arial" w:hAnsi="Arial" w:cs="Arial"/>
          <w:sz w:val="22"/>
        </w:rPr>
        <w:t xml:space="preserve">Opportunity for public comment on the information collection requirements </w:t>
      </w:r>
      <w:r w:rsidR="000F1D4C" w:rsidRPr="00BA10EF">
        <w:rPr>
          <w:rFonts w:ascii="Arial" w:hAnsi="Arial" w:cs="Arial"/>
          <w:sz w:val="22"/>
        </w:rPr>
        <w:t>w</w:t>
      </w:r>
      <w:r w:rsidR="004C11F2" w:rsidRPr="00BA10EF">
        <w:rPr>
          <w:rFonts w:ascii="Arial" w:hAnsi="Arial" w:cs="Arial"/>
          <w:sz w:val="22"/>
        </w:rPr>
        <w:t>as been published</w:t>
      </w:r>
      <w:r w:rsidRPr="00BA10EF">
        <w:rPr>
          <w:rFonts w:ascii="Arial" w:hAnsi="Arial" w:cs="Arial"/>
          <w:sz w:val="22"/>
        </w:rPr>
        <w:t xml:space="preserve"> in the </w:t>
      </w:r>
      <w:r w:rsidRPr="00BA10EF">
        <w:rPr>
          <w:rFonts w:ascii="Arial" w:hAnsi="Arial" w:cs="Arial"/>
          <w:i/>
          <w:sz w:val="22"/>
          <w:u w:val="single"/>
        </w:rPr>
        <w:t>Federal Register</w:t>
      </w:r>
      <w:r w:rsidR="000F1D4C" w:rsidRPr="00BA10EF">
        <w:rPr>
          <w:rFonts w:ascii="Arial" w:hAnsi="Arial" w:cs="Arial"/>
          <w:sz w:val="22"/>
        </w:rPr>
        <w:t xml:space="preserve"> on </w:t>
      </w:r>
      <w:r w:rsidR="00163B14" w:rsidRPr="00BA10EF">
        <w:rPr>
          <w:rFonts w:ascii="Arial" w:hAnsi="Arial" w:cs="Arial"/>
          <w:sz w:val="22"/>
        </w:rPr>
        <w:t>May 15, 2015 (80 FR 28715)</w:t>
      </w:r>
      <w:r w:rsidR="004C11F2" w:rsidRPr="00BA10EF">
        <w:rPr>
          <w:rFonts w:ascii="Arial" w:hAnsi="Arial" w:cs="Arial"/>
          <w:i/>
          <w:sz w:val="22"/>
          <w:u w:val="single"/>
        </w:rPr>
        <w:t>.</w:t>
      </w:r>
      <w:r w:rsidR="004C11F2" w:rsidRPr="00BA10EF">
        <w:rPr>
          <w:rFonts w:ascii="Arial" w:hAnsi="Arial" w:cs="Arial"/>
          <w:sz w:val="22"/>
        </w:rPr>
        <w:t xml:space="preserve">  </w:t>
      </w:r>
    </w:p>
    <w:p w:rsidR="00524EDF" w:rsidRPr="00BA10EF" w:rsidRDefault="001D6199" w:rsidP="00843E1C">
      <w:pPr>
        <w:autoSpaceDE w:val="0"/>
        <w:autoSpaceDN w:val="0"/>
        <w:adjustRightInd w:val="0"/>
        <w:ind w:left="720"/>
        <w:rPr>
          <w:rFonts w:ascii="Arial" w:hAnsi="Arial" w:cs="Arial"/>
          <w:sz w:val="22"/>
        </w:rPr>
      </w:pPr>
      <w:r w:rsidRPr="00BA10EF">
        <w:rPr>
          <w:rFonts w:ascii="Arial" w:hAnsi="Arial" w:cs="Arial"/>
          <w:sz w:val="22"/>
        </w:rPr>
        <w:t>The NRC consulted with its contractor for this study, SC&amp;A, Inc., in designing the collection instrument</w:t>
      </w:r>
      <w:r w:rsidR="00805993" w:rsidRPr="00BA10EF">
        <w:rPr>
          <w:rFonts w:ascii="Arial" w:hAnsi="Arial" w:cs="Arial"/>
          <w:sz w:val="22"/>
        </w:rPr>
        <w:t>s</w:t>
      </w:r>
      <w:r w:rsidRPr="00BA10EF">
        <w:rPr>
          <w:rFonts w:ascii="Arial" w:hAnsi="Arial" w:cs="Arial"/>
          <w:sz w:val="22"/>
        </w:rPr>
        <w:t xml:space="preserve">, </w:t>
      </w:r>
      <w:r w:rsidR="00805993" w:rsidRPr="00BA10EF">
        <w:rPr>
          <w:rFonts w:ascii="Arial" w:hAnsi="Arial" w:cs="Arial"/>
          <w:sz w:val="22"/>
        </w:rPr>
        <w:t xml:space="preserve">four </w:t>
      </w:r>
      <w:r w:rsidRPr="00BA10EF">
        <w:rPr>
          <w:rFonts w:ascii="Arial" w:hAnsi="Arial" w:cs="Arial"/>
          <w:sz w:val="22"/>
        </w:rPr>
        <w:t>questionnaire</w:t>
      </w:r>
      <w:r w:rsidR="00805993" w:rsidRPr="00BA10EF">
        <w:rPr>
          <w:rFonts w:ascii="Arial" w:hAnsi="Arial" w:cs="Arial"/>
          <w:sz w:val="22"/>
        </w:rPr>
        <w:t>s</w:t>
      </w:r>
      <w:r w:rsidRPr="00BA10EF">
        <w:rPr>
          <w:rFonts w:ascii="Arial" w:hAnsi="Arial" w:cs="Arial"/>
          <w:sz w:val="22"/>
        </w:rPr>
        <w:t xml:space="preserve">. The SC&amp;A project team contains hospital Radiation Safety Officers, Health Physicists, a medical doctor in Nuclear Medicine, and </w:t>
      </w:r>
      <w:r w:rsidR="00824392" w:rsidRPr="00BA10EF">
        <w:rPr>
          <w:rFonts w:ascii="Arial" w:hAnsi="Arial" w:cs="Arial"/>
          <w:sz w:val="22"/>
        </w:rPr>
        <w:t xml:space="preserve">two </w:t>
      </w:r>
      <w:r w:rsidRPr="00BA10EF">
        <w:rPr>
          <w:rFonts w:ascii="Arial" w:hAnsi="Arial" w:cs="Arial"/>
          <w:sz w:val="22"/>
        </w:rPr>
        <w:t>member</w:t>
      </w:r>
      <w:r w:rsidR="00824392" w:rsidRPr="00BA10EF">
        <w:rPr>
          <w:rFonts w:ascii="Arial" w:hAnsi="Arial" w:cs="Arial"/>
          <w:sz w:val="22"/>
        </w:rPr>
        <w:t>s</w:t>
      </w:r>
      <w:r w:rsidRPr="00BA10EF">
        <w:rPr>
          <w:rFonts w:ascii="Arial" w:hAnsi="Arial" w:cs="Arial"/>
          <w:sz w:val="22"/>
        </w:rPr>
        <w:t xml:space="preserve"> of the Medical Physics </w:t>
      </w:r>
      <w:r w:rsidR="0060297F" w:rsidRPr="00BA10EF">
        <w:rPr>
          <w:rFonts w:ascii="Arial" w:hAnsi="Arial" w:cs="Arial"/>
          <w:sz w:val="22"/>
        </w:rPr>
        <w:t>f</w:t>
      </w:r>
      <w:r w:rsidRPr="00BA10EF">
        <w:rPr>
          <w:rFonts w:ascii="Arial" w:hAnsi="Arial" w:cs="Arial"/>
          <w:sz w:val="22"/>
        </w:rPr>
        <w:t xml:space="preserve">aculty of a large academic institution. They are all familiar with the issues of the study and the information required for collection. In addition, the </w:t>
      </w:r>
      <w:r w:rsidR="00163B14" w:rsidRPr="00BA10EF">
        <w:rPr>
          <w:rFonts w:ascii="Arial" w:hAnsi="Arial" w:cs="Arial"/>
          <w:sz w:val="22"/>
        </w:rPr>
        <w:t>NRC staff conducted a</w:t>
      </w:r>
      <w:r w:rsidRPr="00BA10EF">
        <w:rPr>
          <w:rFonts w:ascii="Arial" w:hAnsi="Arial" w:cs="Arial"/>
          <w:sz w:val="22"/>
        </w:rPr>
        <w:t xml:space="preserve"> </w:t>
      </w:r>
      <w:r w:rsidR="00163B14" w:rsidRPr="00BA10EF">
        <w:rPr>
          <w:rFonts w:ascii="Arial" w:hAnsi="Arial" w:cs="Arial"/>
          <w:sz w:val="22"/>
        </w:rPr>
        <w:t>p</w:t>
      </w:r>
      <w:r w:rsidRPr="00BA10EF">
        <w:rPr>
          <w:rFonts w:ascii="Arial" w:hAnsi="Arial" w:cs="Arial"/>
          <w:sz w:val="22"/>
        </w:rPr>
        <w:t xml:space="preserve">ilot </w:t>
      </w:r>
      <w:r w:rsidR="00163B14" w:rsidRPr="00BA10EF">
        <w:rPr>
          <w:rFonts w:ascii="Arial" w:hAnsi="Arial" w:cs="Arial"/>
          <w:sz w:val="22"/>
        </w:rPr>
        <w:t>s</w:t>
      </w:r>
      <w:r w:rsidRPr="00BA10EF">
        <w:rPr>
          <w:rFonts w:ascii="Arial" w:hAnsi="Arial" w:cs="Arial"/>
          <w:sz w:val="22"/>
        </w:rPr>
        <w:t xml:space="preserve">tudy of nine non-federal treatment facilities in order to gain experience with the use of the </w:t>
      </w:r>
      <w:r w:rsidR="00824392" w:rsidRPr="00BA10EF">
        <w:rPr>
          <w:rFonts w:ascii="Arial" w:hAnsi="Arial" w:cs="Arial"/>
          <w:sz w:val="22"/>
        </w:rPr>
        <w:t xml:space="preserve">treatment facility </w:t>
      </w:r>
      <w:r w:rsidRPr="00BA10EF">
        <w:rPr>
          <w:rFonts w:ascii="Arial" w:hAnsi="Arial" w:cs="Arial"/>
          <w:sz w:val="22"/>
        </w:rPr>
        <w:t xml:space="preserve">questionnaire. </w:t>
      </w:r>
      <w:r w:rsidR="00280EEB" w:rsidRPr="00ED3C56">
        <w:rPr>
          <w:rFonts w:ascii="Arial" w:hAnsi="Arial" w:cs="Arial"/>
          <w:sz w:val="22"/>
        </w:rPr>
        <w:t>Two commenters stated that the collecting of data was not necessary because there is enough reliable published data for exposure to the member of the public. However, this commenter believed that the information have practical utility. Five commenters stated that the proposed collection of information is necessary for the NRC to properly perform its function and the information have practical utility.</w:t>
      </w:r>
    </w:p>
    <w:p w:rsidR="001D6199" w:rsidRPr="00BA10EF" w:rsidRDefault="001D6199" w:rsidP="00843E1C">
      <w:pPr>
        <w:autoSpaceDE w:val="0"/>
        <w:autoSpaceDN w:val="0"/>
        <w:adjustRightInd w:val="0"/>
        <w:ind w:left="720"/>
        <w:rPr>
          <w:rFonts w:ascii="Arial" w:hAnsi="Arial" w:cs="Arial"/>
          <w:color w:val="FF0000"/>
          <w:sz w:val="22"/>
        </w:rPr>
      </w:pPr>
    </w:p>
    <w:p w:rsidR="00874F6B" w:rsidRPr="00BA10EF" w:rsidRDefault="00874F6B" w:rsidP="00B25AF1">
      <w:pPr>
        <w:spacing w:after="240"/>
        <w:ind w:left="720"/>
        <w:rPr>
          <w:rFonts w:ascii="Arial" w:hAnsi="Arial" w:cs="Arial"/>
          <w:sz w:val="22"/>
        </w:rPr>
      </w:pPr>
      <w:r w:rsidRPr="00BA10EF">
        <w:rPr>
          <w:rFonts w:ascii="Arial" w:hAnsi="Arial" w:cs="Arial"/>
          <w:sz w:val="22"/>
        </w:rPr>
        <w:t>The project team consult</w:t>
      </w:r>
      <w:r w:rsidR="00805993" w:rsidRPr="00BA10EF">
        <w:rPr>
          <w:rFonts w:ascii="Arial" w:hAnsi="Arial" w:cs="Arial"/>
          <w:sz w:val="22"/>
        </w:rPr>
        <w:t>ed</w:t>
      </w:r>
      <w:r w:rsidRPr="00BA10EF">
        <w:rPr>
          <w:rFonts w:ascii="Arial" w:hAnsi="Arial" w:cs="Arial"/>
          <w:sz w:val="22"/>
        </w:rPr>
        <w:t xml:space="preserve"> with representatives (e.g., the Executive Director</w:t>
      </w:r>
      <w:r w:rsidR="00163B14" w:rsidRPr="00BA10EF">
        <w:rPr>
          <w:rFonts w:ascii="Arial" w:hAnsi="Arial" w:cs="Arial"/>
          <w:sz w:val="22"/>
        </w:rPr>
        <w:t xml:space="preserve"> </w:t>
      </w:r>
      <w:r w:rsidRPr="00BA10EF">
        <w:rPr>
          <w:rFonts w:ascii="Arial" w:hAnsi="Arial" w:cs="Arial"/>
          <w:sz w:val="22"/>
        </w:rPr>
        <w:t xml:space="preserve">of the Thyroid Cancer Survivors’ Association) of individuals treated with I-131 when designing the simplified questionnaire for individuals. </w:t>
      </w:r>
    </w:p>
    <w:p w:rsidR="005F444A" w:rsidRPr="00BA10EF" w:rsidRDefault="005F444A" w:rsidP="00757BC5">
      <w:pPr>
        <w:pStyle w:val="ListParagraph"/>
        <w:numPr>
          <w:ilvl w:val="0"/>
          <w:numId w:val="42"/>
        </w:numPr>
        <w:spacing w:after="120"/>
        <w:contextualSpacing w:val="0"/>
        <w:rPr>
          <w:rFonts w:ascii="Arial" w:hAnsi="Arial" w:cs="Arial"/>
          <w:sz w:val="22"/>
          <w:u w:val="single"/>
        </w:rPr>
      </w:pPr>
      <w:r w:rsidRPr="00BA10EF">
        <w:rPr>
          <w:rFonts w:ascii="Arial" w:hAnsi="Arial" w:cs="Arial"/>
          <w:sz w:val="22"/>
          <w:u w:val="single"/>
        </w:rPr>
        <w:t>Payment or Gift to Respondents</w:t>
      </w:r>
    </w:p>
    <w:p w:rsidR="00F37758" w:rsidRPr="00BA10EF" w:rsidRDefault="00F37758" w:rsidP="00757BC5">
      <w:pPr>
        <w:spacing w:after="240"/>
        <w:ind w:left="720"/>
        <w:rPr>
          <w:rFonts w:ascii="Arial" w:hAnsi="Arial" w:cs="Arial"/>
          <w:sz w:val="22"/>
        </w:rPr>
      </w:pPr>
      <w:r w:rsidRPr="00BA10EF">
        <w:rPr>
          <w:rFonts w:ascii="Arial" w:hAnsi="Arial" w:cs="Arial"/>
          <w:sz w:val="22"/>
        </w:rPr>
        <w:t>None</w:t>
      </w:r>
      <w:r w:rsidR="00EA3404" w:rsidRPr="00BA10EF">
        <w:rPr>
          <w:rFonts w:ascii="Arial" w:hAnsi="Arial" w:cs="Arial"/>
          <w:sz w:val="22"/>
        </w:rPr>
        <w:t>.</w:t>
      </w:r>
    </w:p>
    <w:p w:rsidR="005F444A" w:rsidRPr="00BA10EF" w:rsidRDefault="005F444A" w:rsidP="00191D48">
      <w:pPr>
        <w:pStyle w:val="ListParagraph"/>
        <w:numPr>
          <w:ilvl w:val="0"/>
          <w:numId w:val="42"/>
        </w:numPr>
        <w:spacing w:after="120"/>
        <w:contextualSpacing w:val="0"/>
        <w:rPr>
          <w:rFonts w:ascii="Arial" w:hAnsi="Arial" w:cs="Arial"/>
          <w:sz w:val="22"/>
          <w:u w:val="single"/>
        </w:rPr>
      </w:pPr>
      <w:r w:rsidRPr="00BA10EF">
        <w:rPr>
          <w:rFonts w:ascii="Arial" w:hAnsi="Arial" w:cs="Arial"/>
          <w:sz w:val="22"/>
          <w:u w:val="single"/>
        </w:rPr>
        <w:t>Confidentiality of Information</w:t>
      </w:r>
    </w:p>
    <w:p w:rsidR="001D6199" w:rsidRPr="005D6301" w:rsidRDefault="005B79E8" w:rsidP="007C606E">
      <w:pPr>
        <w:pStyle w:val="Default"/>
        <w:ind w:left="720"/>
        <w:rPr>
          <w:rFonts w:ascii="Arial" w:hAnsi="Arial" w:cs="Arial"/>
          <w:sz w:val="22"/>
          <w:szCs w:val="22"/>
        </w:rPr>
      </w:pPr>
      <w:r w:rsidRPr="005D6301">
        <w:rPr>
          <w:rFonts w:ascii="Arial" w:hAnsi="Arial" w:cs="Arial"/>
          <w:iCs/>
          <w:sz w:val="22"/>
        </w:rPr>
        <w:t xml:space="preserve">Confidential and proprietary information is protected in accordance with NRC regulations at 10 CFR 9.17(a) and 10 CFR 2.390(b). </w:t>
      </w:r>
      <w:r w:rsidR="007C606E" w:rsidRPr="005D6301">
        <w:rPr>
          <w:rFonts w:ascii="Arial" w:hAnsi="Arial" w:cs="Arial"/>
          <w:sz w:val="22"/>
          <w:szCs w:val="22"/>
        </w:rPr>
        <w:t>The preface to the questionnaire</w:t>
      </w:r>
      <w:r w:rsidR="00874F6B" w:rsidRPr="005D6301">
        <w:rPr>
          <w:rFonts w:ascii="Arial" w:hAnsi="Arial" w:cs="Arial"/>
          <w:sz w:val="22"/>
          <w:szCs w:val="22"/>
        </w:rPr>
        <w:t>s</w:t>
      </w:r>
      <w:r w:rsidR="007C606E" w:rsidRPr="005D6301">
        <w:rPr>
          <w:rFonts w:ascii="Arial" w:hAnsi="Arial" w:cs="Arial"/>
          <w:sz w:val="22"/>
          <w:szCs w:val="22"/>
        </w:rPr>
        <w:t xml:space="preserve"> that will be distributed for the data collection </w:t>
      </w:r>
      <w:r w:rsidR="002D304B" w:rsidRPr="005D6301">
        <w:rPr>
          <w:rFonts w:ascii="Arial" w:hAnsi="Arial" w:cs="Arial"/>
          <w:sz w:val="22"/>
          <w:szCs w:val="22"/>
        </w:rPr>
        <w:t xml:space="preserve">will state that </w:t>
      </w:r>
      <w:r w:rsidR="007C606E" w:rsidRPr="005D6301">
        <w:rPr>
          <w:rFonts w:ascii="Arial" w:hAnsi="Arial" w:cs="Arial"/>
          <w:sz w:val="22"/>
          <w:szCs w:val="22"/>
        </w:rPr>
        <w:t>all responses will be de-identified in any reports released to the public to protect the privacy of the respond</w:t>
      </w:r>
      <w:r w:rsidR="002D304B" w:rsidRPr="005D6301">
        <w:rPr>
          <w:rFonts w:ascii="Arial" w:hAnsi="Arial" w:cs="Arial"/>
          <w:sz w:val="22"/>
          <w:szCs w:val="22"/>
        </w:rPr>
        <w:t xml:space="preserve">ents. </w:t>
      </w:r>
    </w:p>
    <w:p w:rsidR="007C606E" w:rsidRPr="005D6301" w:rsidRDefault="007C606E" w:rsidP="007C606E">
      <w:pPr>
        <w:pStyle w:val="Default"/>
        <w:ind w:left="720"/>
        <w:rPr>
          <w:rFonts w:ascii="Arial" w:hAnsi="Arial" w:cs="Arial"/>
          <w:sz w:val="22"/>
          <w:szCs w:val="22"/>
        </w:rPr>
      </w:pPr>
    </w:p>
    <w:p w:rsidR="007C606E" w:rsidRPr="005D6301" w:rsidRDefault="007C606E" w:rsidP="007C606E">
      <w:pPr>
        <w:tabs>
          <w:tab w:val="left" w:pos="2880"/>
        </w:tabs>
        <w:ind w:left="720"/>
        <w:rPr>
          <w:rFonts w:ascii="Arial" w:hAnsi="Arial" w:cs="Arial"/>
          <w:iCs/>
          <w:sz w:val="22"/>
        </w:rPr>
      </w:pPr>
      <w:r w:rsidRPr="005D6301">
        <w:rPr>
          <w:rFonts w:ascii="Arial" w:hAnsi="Arial" w:cs="Arial"/>
          <w:iCs/>
          <w:sz w:val="22"/>
        </w:rPr>
        <w:t xml:space="preserve">In addition, in the course of performing the project of which the data collection is a part, it is expected that NRC and its contractor personnel might have occasion to view, hold, and become aware of </w:t>
      </w:r>
      <w:r w:rsidR="00B31FA4" w:rsidRPr="005D6301">
        <w:rPr>
          <w:rFonts w:ascii="Arial" w:hAnsi="Arial" w:cs="Arial"/>
          <w:iCs/>
          <w:sz w:val="22"/>
        </w:rPr>
        <w:t>names and phone numbers of the patients, and the workers in the hotels and nursing homes in the study</w:t>
      </w:r>
      <w:r w:rsidRPr="005D6301">
        <w:rPr>
          <w:rFonts w:ascii="Arial" w:hAnsi="Arial" w:cs="Arial"/>
          <w:iCs/>
          <w:sz w:val="22"/>
        </w:rPr>
        <w:t xml:space="preserve"> which must be safeguarded from inadvertent release outside of authorized project needs according to applicable regulations (e.g.</w:t>
      </w:r>
      <w:r w:rsidR="00824392" w:rsidRPr="005D6301">
        <w:rPr>
          <w:rFonts w:ascii="Arial" w:hAnsi="Arial" w:cs="Arial"/>
          <w:iCs/>
          <w:sz w:val="22"/>
        </w:rPr>
        <w:t xml:space="preserve">, </w:t>
      </w:r>
      <w:r w:rsidRPr="005D6301">
        <w:rPr>
          <w:rFonts w:ascii="Arial" w:hAnsi="Arial" w:cs="Arial"/>
          <w:iCs/>
          <w:sz w:val="22"/>
        </w:rPr>
        <w:t xml:space="preserve">the Privacy Act). Both the NRC and its contractor have experience in safeguarding such information. </w:t>
      </w:r>
    </w:p>
    <w:p w:rsidR="007C606E" w:rsidRPr="00BA10EF" w:rsidRDefault="007C606E" w:rsidP="007C606E">
      <w:pPr>
        <w:pStyle w:val="Default"/>
        <w:ind w:left="720"/>
        <w:rPr>
          <w:rFonts w:ascii="Arial" w:hAnsi="Arial" w:cs="Arial"/>
          <w:sz w:val="22"/>
          <w:szCs w:val="22"/>
        </w:rPr>
      </w:pPr>
    </w:p>
    <w:p w:rsidR="005F444A" w:rsidRPr="00BA10EF" w:rsidRDefault="0060297F" w:rsidP="00057B5E">
      <w:pPr>
        <w:pStyle w:val="ListParagraph"/>
        <w:numPr>
          <w:ilvl w:val="0"/>
          <w:numId w:val="42"/>
        </w:numPr>
        <w:spacing w:after="120"/>
        <w:contextualSpacing w:val="0"/>
        <w:rPr>
          <w:rFonts w:ascii="Arial" w:hAnsi="Arial" w:cs="Arial"/>
          <w:sz w:val="22"/>
          <w:u w:val="single"/>
        </w:rPr>
      </w:pPr>
      <w:r w:rsidRPr="00BA10EF">
        <w:rPr>
          <w:rFonts w:ascii="Arial" w:hAnsi="Arial" w:cs="Arial"/>
          <w:sz w:val="22"/>
          <w:u w:val="single"/>
        </w:rPr>
        <w:t xml:space="preserve">Justification for </w:t>
      </w:r>
      <w:r w:rsidR="005F444A" w:rsidRPr="00BA10EF">
        <w:rPr>
          <w:rFonts w:ascii="Arial" w:hAnsi="Arial" w:cs="Arial"/>
          <w:sz w:val="22"/>
          <w:u w:val="single"/>
        </w:rPr>
        <w:t>Sensitive Questions</w:t>
      </w:r>
    </w:p>
    <w:p w:rsidR="007C606E" w:rsidRPr="005D6301" w:rsidRDefault="00057B5E" w:rsidP="007C606E">
      <w:pPr>
        <w:spacing w:after="240"/>
        <w:ind w:left="720"/>
        <w:rPr>
          <w:rFonts w:ascii="Arial" w:hAnsi="Arial" w:cs="Arial"/>
          <w:sz w:val="22"/>
        </w:rPr>
      </w:pPr>
      <w:r w:rsidRPr="005D6301">
        <w:rPr>
          <w:rFonts w:ascii="Arial" w:hAnsi="Arial" w:cs="Arial"/>
          <w:sz w:val="22"/>
        </w:rPr>
        <w:t>The inf</w:t>
      </w:r>
      <w:r w:rsidR="002D304B" w:rsidRPr="005D6301">
        <w:rPr>
          <w:rFonts w:ascii="Arial" w:hAnsi="Arial" w:cs="Arial"/>
          <w:sz w:val="22"/>
        </w:rPr>
        <w:t xml:space="preserve">ormation collection instrument </w:t>
      </w:r>
      <w:r w:rsidRPr="005D6301">
        <w:rPr>
          <w:rFonts w:ascii="Arial" w:hAnsi="Arial" w:cs="Arial"/>
          <w:sz w:val="22"/>
        </w:rPr>
        <w:t xml:space="preserve">for institutions, such as hospitals, that administer </w:t>
      </w:r>
      <w:r w:rsidR="002D304B" w:rsidRPr="005D6301">
        <w:rPr>
          <w:rFonts w:ascii="Arial" w:hAnsi="Arial" w:cs="Arial"/>
          <w:sz w:val="22"/>
        </w:rPr>
        <w:t>I-131 to patients</w:t>
      </w:r>
      <w:r w:rsidR="00824392" w:rsidRPr="005D6301">
        <w:rPr>
          <w:rFonts w:ascii="Arial" w:hAnsi="Arial" w:cs="Arial"/>
          <w:sz w:val="22"/>
        </w:rPr>
        <w:t>,</w:t>
      </w:r>
      <w:r w:rsidR="002D304B" w:rsidRPr="005D6301">
        <w:rPr>
          <w:rFonts w:ascii="Arial" w:hAnsi="Arial" w:cs="Arial"/>
          <w:sz w:val="22"/>
        </w:rPr>
        <w:t xml:space="preserve"> </w:t>
      </w:r>
      <w:r w:rsidR="00623B55" w:rsidRPr="005D6301">
        <w:rPr>
          <w:rFonts w:ascii="Arial" w:hAnsi="Arial" w:cs="Arial"/>
          <w:sz w:val="22"/>
        </w:rPr>
        <w:t xml:space="preserve">will not solicit any information by which individual patients could be identified. </w:t>
      </w:r>
      <w:r w:rsidR="002D304B" w:rsidRPr="005D6301">
        <w:rPr>
          <w:rFonts w:ascii="Arial" w:hAnsi="Arial" w:cs="Arial"/>
          <w:sz w:val="22"/>
        </w:rPr>
        <w:t xml:space="preserve">The instrument for individuals </w:t>
      </w:r>
      <w:r w:rsidR="00163B14" w:rsidRPr="005D6301">
        <w:rPr>
          <w:rFonts w:ascii="Arial" w:hAnsi="Arial" w:cs="Arial"/>
          <w:sz w:val="22"/>
        </w:rPr>
        <w:t xml:space="preserve">was </w:t>
      </w:r>
      <w:r w:rsidR="002D304B" w:rsidRPr="005D6301">
        <w:rPr>
          <w:rFonts w:ascii="Arial" w:hAnsi="Arial" w:cs="Arial"/>
          <w:sz w:val="22"/>
        </w:rPr>
        <w:t xml:space="preserve">designed in consultation with their representative group to </w:t>
      </w:r>
      <w:r w:rsidR="008431A7" w:rsidRPr="005D6301">
        <w:rPr>
          <w:rFonts w:ascii="Arial" w:hAnsi="Arial" w:cs="Arial"/>
          <w:sz w:val="22"/>
        </w:rPr>
        <w:t>avoid</w:t>
      </w:r>
      <w:r w:rsidR="002D304B" w:rsidRPr="005D6301">
        <w:rPr>
          <w:rFonts w:ascii="Arial" w:hAnsi="Arial" w:cs="Arial"/>
          <w:sz w:val="22"/>
        </w:rPr>
        <w:t xml:space="preserve"> any sensitive information. In addition, all collected information will be suitably de-identified to protect privacy. </w:t>
      </w:r>
    </w:p>
    <w:p w:rsidR="00D507AA" w:rsidRPr="00BA10EF" w:rsidRDefault="00D507AA" w:rsidP="00D507AA">
      <w:pPr>
        <w:spacing w:after="120"/>
        <w:ind w:left="360"/>
        <w:rPr>
          <w:rFonts w:ascii="Arial" w:hAnsi="Arial" w:cs="Arial"/>
          <w:sz w:val="22"/>
          <w:u w:val="single"/>
        </w:rPr>
      </w:pPr>
      <w:r w:rsidRPr="00BA10EF">
        <w:rPr>
          <w:rFonts w:ascii="Arial" w:hAnsi="Arial" w:cs="Arial"/>
          <w:sz w:val="22"/>
        </w:rPr>
        <w:lastRenderedPageBreak/>
        <w:t>12.</w:t>
      </w:r>
      <w:r w:rsidRPr="00BA10EF">
        <w:rPr>
          <w:rFonts w:ascii="Arial" w:hAnsi="Arial" w:cs="Arial"/>
          <w:sz w:val="22"/>
        </w:rPr>
        <w:tab/>
      </w:r>
      <w:r w:rsidRPr="00BA10EF">
        <w:rPr>
          <w:rFonts w:ascii="Arial" w:hAnsi="Arial" w:cs="Arial"/>
          <w:sz w:val="22"/>
          <w:u w:val="single"/>
        </w:rPr>
        <w:t xml:space="preserve">Estimated Burden and Burden Hour Cost </w:t>
      </w:r>
    </w:p>
    <w:p w:rsidR="00D507AA" w:rsidRPr="00BA10EF" w:rsidRDefault="00D507AA" w:rsidP="00D507AA">
      <w:pPr>
        <w:spacing w:after="120"/>
        <w:ind w:left="720"/>
        <w:rPr>
          <w:rFonts w:ascii="Arial" w:hAnsi="Arial" w:cs="Arial"/>
          <w:sz w:val="22"/>
        </w:rPr>
      </w:pPr>
      <w:r w:rsidRPr="00BA10EF">
        <w:rPr>
          <w:rFonts w:ascii="Arial" w:hAnsi="Arial" w:cs="Arial"/>
          <w:sz w:val="22"/>
        </w:rPr>
        <w:t xml:space="preserve">Under this request, the NRC intends to send questionnaires: (1) to all non-federal medical facilities (licensed by either the NRC or Agreement States) that treat patients with I-131; (2) through patient associations, to individuals who have been treated with I-131; (3) directly to individuals who have been identified as having stayed at a hotel or nursing home immediately after I-131 treatment; and (4) to hotels or nursing homes that have received patients immediately after I-131 treatment. The four types of data collection will be discussed in turn and the burdens summarized in the following table. Note that the questionnaire for the treating institutions is more complicated than for the other categories of respondents and, therefore, should take longer to complete. </w:t>
      </w:r>
    </w:p>
    <w:p w:rsidR="00D507AA" w:rsidRPr="00BA10EF" w:rsidRDefault="00D507AA" w:rsidP="00D507AA">
      <w:pPr>
        <w:pStyle w:val="ListParagraph"/>
        <w:numPr>
          <w:ilvl w:val="0"/>
          <w:numId w:val="45"/>
        </w:numPr>
        <w:spacing w:after="120"/>
        <w:contextualSpacing w:val="0"/>
        <w:rPr>
          <w:rFonts w:ascii="Arial" w:hAnsi="Arial" w:cs="Arial"/>
          <w:sz w:val="22"/>
        </w:rPr>
      </w:pPr>
      <w:r w:rsidRPr="00BA10EF">
        <w:rPr>
          <w:rFonts w:ascii="Arial" w:hAnsi="Arial" w:cs="Arial"/>
          <w:i/>
          <w:sz w:val="22"/>
        </w:rPr>
        <w:t>Treating Institutions</w:t>
      </w:r>
      <w:r w:rsidRPr="00BA10EF">
        <w:rPr>
          <w:rFonts w:ascii="Arial" w:hAnsi="Arial" w:cs="Arial"/>
          <w:sz w:val="22"/>
        </w:rPr>
        <w:t xml:space="preserve">: The NRC anticipates that it will send questionnaires to about 350 institutions and estimates that it will have about a 50% response rate (Radiation Safety Officers at all these institutions are aware of the patient release issues associated with I-131 treatment). </w:t>
      </w:r>
      <w:r w:rsidR="00F63C77" w:rsidRPr="00BA10EF">
        <w:rPr>
          <w:rFonts w:ascii="Arial" w:hAnsi="Arial" w:cs="Arial"/>
          <w:sz w:val="22"/>
        </w:rPr>
        <w:t xml:space="preserve"> </w:t>
      </w:r>
      <w:r w:rsidRPr="00BA10EF">
        <w:rPr>
          <w:rFonts w:ascii="Arial" w:hAnsi="Arial" w:cs="Arial"/>
          <w:sz w:val="22"/>
        </w:rPr>
        <w:t>Most of the requested information should be readily available</w:t>
      </w:r>
      <w:r w:rsidR="00231DB1" w:rsidRPr="00BA10EF">
        <w:rPr>
          <w:rFonts w:ascii="Arial" w:hAnsi="Arial" w:cs="Arial"/>
          <w:sz w:val="22"/>
        </w:rPr>
        <w:t>.  The NRC staff esti</w:t>
      </w:r>
      <w:r w:rsidR="00C232A2" w:rsidRPr="00BA10EF">
        <w:rPr>
          <w:rFonts w:ascii="Arial" w:hAnsi="Arial" w:cs="Arial"/>
          <w:sz w:val="22"/>
        </w:rPr>
        <w:t>m</w:t>
      </w:r>
      <w:r w:rsidR="00231DB1" w:rsidRPr="00BA10EF">
        <w:rPr>
          <w:rFonts w:ascii="Arial" w:hAnsi="Arial" w:cs="Arial"/>
          <w:sz w:val="22"/>
        </w:rPr>
        <w:t>a</w:t>
      </w:r>
      <w:r w:rsidR="00C232A2" w:rsidRPr="00BA10EF">
        <w:rPr>
          <w:rFonts w:ascii="Arial" w:hAnsi="Arial" w:cs="Arial"/>
          <w:sz w:val="22"/>
        </w:rPr>
        <w:t>tes that it will take</w:t>
      </w:r>
      <w:r w:rsidRPr="00BA10EF">
        <w:rPr>
          <w:rFonts w:ascii="Arial" w:hAnsi="Arial" w:cs="Arial"/>
          <w:sz w:val="22"/>
        </w:rPr>
        <w:t xml:space="preserve"> one hour to gather the information and fill out the questionnaire. This represents a total, one-time burden of about 175 hours and $48,825 for 175 respondents. </w:t>
      </w:r>
      <w:r w:rsidR="00396295" w:rsidRPr="00BA10EF">
        <w:rPr>
          <w:rFonts w:ascii="Arial" w:hAnsi="Arial" w:cs="Arial"/>
          <w:sz w:val="22"/>
        </w:rPr>
        <w:t xml:space="preserve">If the institutions refer patients to NRC for this study, they will get approval from their Institutional </w:t>
      </w:r>
      <w:r w:rsidR="00AA1C46" w:rsidRPr="00BA10EF">
        <w:rPr>
          <w:rFonts w:ascii="Arial" w:hAnsi="Arial" w:cs="Arial"/>
          <w:sz w:val="22"/>
        </w:rPr>
        <w:t>Review Board.</w:t>
      </w:r>
    </w:p>
    <w:p w:rsidR="00D507AA" w:rsidRPr="00BA10EF" w:rsidRDefault="00D507AA" w:rsidP="00D507AA">
      <w:pPr>
        <w:pStyle w:val="ListParagraph"/>
        <w:numPr>
          <w:ilvl w:val="0"/>
          <w:numId w:val="45"/>
        </w:numPr>
        <w:spacing w:after="120"/>
        <w:contextualSpacing w:val="0"/>
        <w:rPr>
          <w:rFonts w:ascii="Arial" w:hAnsi="Arial" w:cs="Arial"/>
          <w:sz w:val="22"/>
        </w:rPr>
      </w:pPr>
      <w:r w:rsidRPr="00BA10EF">
        <w:rPr>
          <w:rFonts w:ascii="Arial" w:hAnsi="Arial" w:cs="Arial"/>
          <w:i/>
          <w:sz w:val="22"/>
        </w:rPr>
        <w:t>Individuals</w:t>
      </w:r>
      <w:r w:rsidRPr="00BA10EF">
        <w:rPr>
          <w:rFonts w:ascii="Arial" w:hAnsi="Arial" w:cs="Arial"/>
          <w:sz w:val="22"/>
        </w:rPr>
        <w:t>: The Thyroid Cancer Survivors’ Association (</w:t>
      </w:r>
      <w:proofErr w:type="spellStart"/>
      <w:r w:rsidRPr="00BA10EF">
        <w:rPr>
          <w:rFonts w:ascii="Arial" w:hAnsi="Arial" w:cs="Arial"/>
          <w:sz w:val="22"/>
        </w:rPr>
        <w:t>ThyCa</w:t>
      </w:r>
      <w:proofErr w:type="spellEnd"/>
      <w:r w:rsidRPr="00BA10EF">
        <w:rPr>
          <w:rFonts w:ascii="Arial" w:hAnsi="Arial" w:cs="Arial"/>
          <w:sz w:val="22"/>
        </w:rPr>
        <w:t xml:space="preserve">) has about 50,000 members. The simple questionnaire, designed in consultation with the Association’s Executive Director, </w:t>
      </w:r>
      <w:r w:rsidR="00231DB1" w:rsidRPr="00BA10EF">
        <w:rPr>
          <w:rFonts w:ascii="Arial" w:hAnsi="Arial" w:cs="Arial"/>
          <w:sz w:val="22"/>
        </w:rPr>
        <w:t>is</w:t>
      </w:r>
      <w:r w:rsidRPr="00BA10EF">
        <w:rPr>
          <w:rFonts w:ascii="Arial" w:hAnsi="Arial" w:cs="Arial"/>
          <w:sz w:val="22"/>
        </w:rPr>
        <w:t xml:space="preserve"> estimated </w:t>
      </w:r>
      <w:r w:rsidR="00C232A2" w:rsidRPr="00BA10EF">
        <w:rPr>
          <w:rFonts w:ascii="Arial" w:hAnsi="Arial" w:cs="Arial"/>
          <w:sz w:val="22"/>
        </w:rPr>
        <w:t xml:space="preserve">to take </w:t>
      </w:r>
      <w:r w:rsidRPr="00BA10EF">
        <w:rPr>
          <w:rFonts w:ascii="Arial" w:hAnsi="Arial" w:cs="Arial"/>
          <w:sz w:val="22"/>
        </w:rPr>
        <w:t xml:space="preserve">15 minutes to complete. The Director estimated a response rate of about 5 – 10%, which is equivalent to 2,500 – 5,000 respondents. Taking the upper bound of the range, the information collection burden would then be 1,500 hours (0.25 x 5,000 = 1,250 hours). This represents a total, one-time burden of about 1,250 hours and $348,750 for 5,000 respondents. </w:t>
      </w:r>
    </w:p>
    <w:p w:rsidR="005D6301" w:rsidRDefault="00D507AA" w:rsidP="007B14A1">
      <w:pPr>
        <w:pStyle w:val="ListParagraph"/>
        <w:numPr>
          <w:ilvl w:val="0"/>
          <w:numId w:val="45"/>
        </w:numPr>
        <w:spacing w:after="120"/>
        <w:contextualSpacing w:val="0"/>
        <w:rPr>
          <w:rFonts w:ascii="Arial" w:hAnsi="Arial" w:cs="Arial"/>
          <w:sz w:val="22"/>
        </w:rPr>
      </w:pPr>
      <w:r w:rsidRPr="005D6301">
        <w:rPr>
          <w:rFonts w:ascii="Arial" w:hAnsi="Arial" w:cs="Arial"/>
          <w:i/>
          <w:sz w:val="22"/>
        </w:rPr>
        <w:t>Patients Staying at Hotels or Nursing Homes Following Treatment</w:t>
      </w:r>
      <w:r w:rsidRPr="005D6301">
        <w:rPr>
          <w:rFonts w:ascii="Arial" w:hAnsi="Arial" w:cs="Arial"/>
          <w:sz w:val="22"/>
        </w:rPr>
        <w:t>:  The NRC estimates that it will be able gather information from about 50 such patients and that it would take about 15 minutes to complete each questionnaire. Those patients will be identified and their cooperation in this study obtained by the Radiation Safety Officers (RSOs) at participating I-131 treatment facilities; then, those patients will be contacted by the NRC and/or its contractor, SC&amp;A to complete a questionnaire. The information collection burden would then be 12.5 hours (0.25 x 50 = 12.5 hours). This represents a total, one-time burden of about 12.5 hours and $3,488 for 50 respondents.</w:t>
      </w:r>
    </w:p>
    <w:p w:rsidR="00D507AA" w:rsidRPr="005D6301" w:rsidRDefault="00D507AA" w:rsidP="007B14A1">
      <w:pPr>
        <w:pStyle w:val="ListParagraph"/>
        <w:numPr>
          <w:ilvl w:val="0"/>
          <w:numId w:val="45"/>
        </w:numPr>
        <w:spacing w:after="120"/>
        <w:contextualSpacing w:val="0"/>
        <w:rPr>
          <w:rFonts w:ascii="Arial" w:hAnsi="Arial" w:cs="Arial"/>
          <w:sz w:val="22"/>
        </w:rPr>
      </w:pPr>
      <w:r w:rsidRPr="005D6301">
        <w:rPr>
          <w:rFonts w:ascii="Arial" w:hAnsi="Arial" w:cs="Arial"/>
          <w:i/>
          <w:sz w:val="22"/>
        </w:rPr>
        <w:t xml:space="preserve">Hotels or Nursing Homes Receiving Patients Immediately </w:t>
      </w:r>
      <w:proofErr w:type="gramStart"/>
      <w:r w:rsidRPr="005D6301">
        <w:rPr>
          <w:rFonts w:ascii="Arial" w:hAnsi="Arial" w:cs="Arial"/>
          <w:i/>
          <w:sz w:val="22"/>
        </w:rPr>
        <w:t>After</w:t>
      </w:r>
      <w:proofErr w:type="gramEnd"/>
      <w:r w:rsidRPr="005D6301">
        <w:rPr>
          <w:rFonts w:ascii="Arial" w:hAnsi="Arial" w:cs="Arial"/>
          <w:i/>
          <w:sz w:val="22"/>
        </w:rPr>
        <w:t xml:space="preserve"> Treatment</w:t>
      </w:r>
      <w:r w:rsidRPr="005D6301">
        <w:rPr>
          <w:rFonts w:ascii="Arial" w:hAnsi="Arial" w:cs="Arial"/>
          <w:sz w:val="22"/>
        </w:rPr>
        <w:t xml:space="preserve">: The NRC estimates that it will be able to gather information from personnel at about 15 such institutions and collect data from three staff personnel at each institution for a total of 45 questionnaires at an estimated 15 minutes each to complete. The information collection burden would then be 11.25 hours (0.25 x 45 = 11.25 hours). This represents a total, one-time burden of about 11.25 hours and $3,139 for 45 respondents. </w:t>
      </w:r>
    </w:p>
    <w:p w:rsidR="005D6301" w:rsidRDefault="005D6301" w:rsidP="008D55D9">
      <w:pPr>
        <w:spacing w:after="120"/>
        <w:rPr>
          <w:rFonts w:ascii="Arial" w:hAnsi="Arial" w:cs="Arial"/>
          <w:sz w:val="22"/>
        </w:rPr>
      </w:pPr>
    </w:p>
    <w:p w:rsidR="005D6301" w:rsidRDefault="005D6301" w:rsidP="008D55D9">
      <w:pPr>
        <w:spacing w:after="120"/>
        <w:rPr>
          <w:rFonts w:ascii="Arial" w:hAnsi="Arial" w:cs="Arial"/>
          <w:sz w:val="22"/>
        </w:rPr>
      </w:pPr>
      <w:bookmarkStart w:id="0" w:name="_GoBack"/>
      <w:bookmarkEnd w:id="0"/>
    </w:p>
    <w:p w:rsidR="005D6301" w:rsidRDefault="005D6301">
      <w:pPr>
        <w:rPr>
          <w:rFonts w:asciiTheme="minorHAnsi" w:hAnsiTheme="minorHAnsi" w:cs="Times New Roman"/>
          <w:b/>
          <w:sz w:val="22"/>
        </w:rPr>
      </w:pPr>
      <w:r>
        <w:rPr>
          <w:rFonts w:asciiTheme="minorHAnsi" w:hAnsiTheme="minorHAnsi" w:cs="Times New Roman"/>
          <w:b/>
          <w:sz w:val="22"/>
        </w:rPr>
        <w:br w:type="page"/>
      </w:r>
    </w:p>
    <w:p w:rsidR="00D507AA" w:rsidRPr="00BA10EF" w:rsidRDefault="00D507AA" w:rsidP="00FB294B">
      <w:pPr>
        <w:spacing w:after="60"/>
        <w:jc w:val="center"/>
        <w:rPr>
          <w:rFonts w:asciiTheme="minorHAnsi" w:hAnsiTheme="minorHAnsi" w:cs="Times New Roman"/>
          <w:b/>
          <w:sz w:val="22"/>
        </w:rPr>
      </w:pPr>
      <w:r w:rsidRPr="00BA10EF">
        <w:rPr>
          <w:rFonts w:asciiTheme="minorHAnsi" w:hAnsiTheme="minorHAnsi" w:cs="Times New Roman"/>
          <w:b/>
          <w:sz w:val="22"/>
        </w:rPr>
        <w:t>Burden Summary</w:t>
      </w:r>
    </w:p>
    <w:tbl>
      <w:tblPr>
        <w:tblStyle w:val="TableGrid"/>
        <w:tblW w:w="0" w:type="auto"/>
        <w:tblInd w:w="-95" w:type="dxa"/>
        <w:tblLook w:val="04A0" w:firstRow="1" w:lastRow="0" w:firstColumn="1" w:lastColumn="0" w:noHBand="0" w:noVBand="1"/>
      </w:tblPr>
      <w:tblGrid>
        <w:gridCol w:w="2304"/>
        <w:gridCol w:w="1296"/>
        <w:gridCol w:w="1338"/>
        <w:gridCol w:w="1092"/>
        <w:gridCol w:w="1080"/>
        <w:gridCol w:w="1350"/>
        <w:gridCol w:w="985"/>
      </w:tblGrid>
      <w:tr w:rsidR="00D507AA" w:rsidRPr="00BA10EF" w:rsidTr="0014778E">
        <w:tc>
          <w:tcPr>
            <w:tcW w:w="2304" w:type="dxa"/>
            <w:tcBorders>
              <w:bottom w:val="single" w:sz="12" w:space="0" w:color="auto"/>
            </w:tcBorders>
            <w:vAlign w:val="center"/>
          </w:tcPr>
          <w:p w:rsidR="00D507AA" w:rsidRPr="00BA10EF" w:rsidRDefault="00D507AA" w:rsidP="004445CA">
            <w:pPr>
              <w:spacing w:before="60" w:after="60"/>
              <w:jc w:val="center"/>
              <w:rPr>
                <w:rFonts w:asciiTheme="minorHAnsi" w:hAnsiTheme="minorHAnsi" w:cs="Times New Roman"/>
                <w:b/>
                <w:sz w:val="20"/>
                <w:szCs w:val="20"/>
              </w:rPr>
            </w:pPr>
            <w:r w:rsidRPr="00BA10EF">
              <w:rPr>
                <w:rFonts w:asciiTheme="minorHAnsi" w:hAnsiTheme="minorHAnsi" w:cs="Times New Roman"/>
                <w:b/>
                <w:sz w:val="20"/>
                <w:szCs w:val="20"/>
              </w:rPr>
              <w:t>Respondent Type</w:t>
            </w:r>
          </w:p>
        </w:tc>
        <w:tc>
          <w:tcPr>
            <w:tcW w:w="1296" w:type="dxa"/>
            <w:tcBorders>
              <w:bottom w:val="single" w:sz="12" w:space="0" w:color="auto"/>
            </w:tcBorders>
            <w:vAlign w:val="center"/>
          </w:tcPr>
          <w:p w:rsidR="00D507AA" w:rsidRPr="00BA10EF" w:rsidRDefault="00D507AA" w:rsidP="004445CA">
            <w:pPr>
              <w:spacing w:before="60" w:after="60"/>
              <w:jc w:val="center"/>
              <w:rPr>
                <w:rFonts w:asciiTheme="minorHAnsi" w:hAnsiTheme="minorHAnsi" w:cs="Times New Roman"/>
                <w:b/>
                <w:sz w:val="20"/>
                <w:szCs w:val="20"/>
              </w:rPr>
            </w:pPr>
            <w:r w:rsidRPr="00BA10EF">
              <w:rPr>
                <w:rFonts w:asciiTheme="minorHAnsi" w:hAnsiTheme="minorHAnsi" w:cs="Times New Roman"/>
                <w:b/>
                <w:sz w:val="20"/>
                <w:szCs w:val="20"/>
              </w:rPr>
              <w:t>No. of Respondents</w:t>
            </w:r>
          </w:p>
        </w:tc>
        <w:tc>
          <w:tcPr>
            <w:tcW w:w="1338" w:type="dxa"/>
            <w:tcBorders>
              <w:bottom w:val="single" w:sz="12" w:space="0" w:color="auto"/>
            </w:tcBorders>
            <w:vAlign w:val="center"/>
          </w:tcPr>
          <w:p w:rsidR="00D507AA" w:rsidRPr="00BA10EF" w:rsidRDefault="00D507AA" w:rsidP="004445CA">
            <w:pPr>
              <w:spacing w:before="60" w:after="60"/>
              <w:jc w:val="center"/>
              <w:rPr>
                <w:rFonts w:asciiTheme="minorHAnsi" w:hAnsiTheme="minorHAnsi" w:cs="Times New Roman"/>
                <w:b/>
                <w:sz w:val="20"/>
                <w:szCs w:val="20"/>
              </w:rPr>
            </w:pPr>
            <w:r w:rsidRPr="00BA10EF">
              <w:rPr>
                <w:rFonts w:asciiTheme="minorHAnsi" w:hAnsiTheme="minorHAnsi" w:cs="Times New Roman"/>
                <w:b/>
                <w:sz w:val="20"/>
                <w:szCs w:val="20"/>
              </w:rPr>
              <w:t>Responses per Respondent</w:t>
            </w:r>
          </w:p>
        </w:tc>
        <w:tc>
          <w:tcPr>
            <w:tcW w:w="1092" w:type="dxa"/>
            <w:tcBorders>
              <w:bottom w:val="single" w:sz="12" w:space="0" w:color="auto"/>
            </w:tcBorders>
            <w:vAlign w:val="center"/>
          </w:tcPr>
          <w:p w:rsidR="00D507AA" w:rsidRPr="00BA10EF" w:rsidRDefault="00D507AA" w:rsidP="004445CA">
            <w:pPr>
              <w:spacing w:before="60" w:after="60"/>
              <w:jc w:val="center"/>
              <w:rPr>
                <w:rFonts w:asciiTheme="minorHAnsi" w:hAnsiTheme="minorHAnsi" w:cs="Times New Roman"/>
                <w:b/>
                <w:sz w:val="20"/>
                <w:szCs w:val="20"/>
              </w:rPr>
            </w:pPr>
            <w:r w:rsidRPr="00BA10EF">
              <w:rPr>
                <w:rFonts w:asciiTheme="minorHAnsi" w:hAnsiTheme="minorHAnsi" w:cs="Times New Roman"/>
                <w:b/>
                <w:sz w:val="20"/>
                <w:szCs w:val="20"/>
              </w:rPr>
              <w:t>Number of Responses</w:t>
            </w:r>
          </w:p>
        </w:tc>
        <w:tc>
          <w:tcPr>
            <w:tcW w:w="1080" w:type="dxa"/>
            <w:tcBorders>
              <w:bottom w:val="single" w:sz="12" w:space="0" w:color="auto"/>
            </w:tcBorders>
            <w:vAlign w:val="center"/>
          </w:tcPr>
          <w:p w:rsidR="00D507AA" w:rsidRPr="00BA10EF" w:rsidRDefault="00D507AA" w:rsidP="004445CA">
            <w:pPr>
              <w:spacing w:before="60" w:after="60"/>
              <w:jc w:val="center"/>
              <w:rPr>
                <w:rFonts w:asciiTheme="minorHAnsi" w:hAnsiTheme="minorHAnsi" w:cs="Times New Roman"/>
                <w:b/>
                <w:sz w:val="20"/>
                <w:szCs w:val="20"/>
              </w:rPr>
            </w:pPr>
            <w:r w:rsidRPr="00BA10EF">
              <w:rPr>
                <w:rFonts w:asciiTheme="minorHAnsi" w:hAnsiTheme="minorHAnsi" w:cs="Times New Roman"/>
                <w:b/>
                <w:sz w:val="20"/>
                <w:szCs w:val="20"/>
              </w:rPr>
              <w:t>Burden Hours per Response</w:t>
            </w:r>
          </w:p>
        </w:tc>
        <w:tc>
          <w:tcPr>
            <w:tcW w:w="1350" w:type="dxa"/>
            <w:tcBorders>
              <w:bottom w:val="single" w:sz="12" w:space="0" w:color="auto"/>
            </w:tcBorders>
            <w:vAlign w:val="center"/>
          </w:tcPr>
          <w:p w:rsidR="00D507AA" w:rsidRPr="00BA10EF" w:rsidRDefault="00D507AA" w:rsidP="004445CA">
            <w:pPr>
              <w:spacing w:before="60" w:after="60"/>
              <w:jc w:val="center"/>
              <w:rPr>
                <w:rFonts w:asciiTheme="minorHAnsi" w:hAnsiTheme="minorHAnsi" w:cs="Times New Roman"/>
                <w:b/>
                <w:sz w:val="20"/>
                <w:szCs w:val="20"/>
              </w:rPr>
            </w:pPr>
            <w:r w:rsidRPr="00BA10EF">
              <w:rPr>
                <w:rFonts w:asciiTheme="minorHAnsi" w:hAnsiTheme="minorHAnsi" w:cs="Times New Roman"/>
                <w:b/>
                <w:sz w:val="20"/>
                <w:szCs w:val="20"/>
              </w:rPr>
              <w:t>Total Annual Burden</w:t>
            </w:r>
          </w:p>
          <w:p w:rsidR="00D507AA" w:rsidRPr="00BA10EF" w:rsidRDefault="00D507AA" w:rsidP="004445CA">
            <w:pPr>
              <w:spacing w:before="60" w:after="60"/>
              <w:jc w:val="center"/>
              <w:rPr>
                <w:rFonts w:asciiTheme="minorHAnsi" w:hAnsiTheme="minorHAnsi" w:cs="Times New Roman"/>
                <w:b/>
                <w:sz w:val="20"/>
                <w:szCs w:val="20"/>
              </w:rPr>
            </w:pPr>
            <w:r w:rsidRPr="00BA10EF">
              <w:rPr>
                <w:rFonts w:asciiTheme="minorHAnsi" w:hAnsiTheme="minorHAnsi" w:cs="Times New Roman"/>
                <w:b/>
                <w:sz w:val="20"/>
                <w:szCs w:val="20"/>
              </w:rPr>
              <w:t>Hours</w:t>
            </w:r>
          </w:p>
        </w:tc>
        <w:tc>
          <w:tcPr>
            <w:tcW w:w="985" w:type="dxa"/>
            <w:tcBorders>
              <w:bottom w:val="single" w:sz="12" w:space="0" w:color="auto"/>
            </w:tcBorders>
            <w:vAlign w:val="center"/>
          </w:tcPr>
          <w:p w:rsidR="00D507AA" w:rsidRPr="00BA10EF" w:rsidRDefault="00D507AA" w:rsidP="004445CA">
            <w:pPr>
              <w:spacing w:before="60" w:after="60"/>
              <w:jc w:val="center"/>
              <w:rPr>
                <w:rFonts w:asciiTheme="minorHAnsi" w:hAnsiTheme="minorHAnsi" w:cs="Times New Roman"/>
                <w:b/>
                <w:sz w:val="20"/>
                <w:szCs w:val="20"/>
              </w:rPr>
            </w:pPr>
            <w:r w:rsidRPr="00BA10EF">
              <w:rPr>
                <w:rFonts w:asciiTheme="minorHAnsi" w:hAnsiTheme="minorHAnsi" w:cs="Times New Roman"/>
                <w:b/>
                <w:sz w:val="20"/>
                <w:szCs w:val="20"/>
              </w:rPr>
              <w:t>Cost</w:t>
            </w:r>
          </w:p>
          <w:p w:rsidR="00D507AA" w:rsidRPr="00BA10EF" w:rsidRDefault="00D507AA" w:rsidP="004445CA">
            <w:pPr>
              <w:spacing w:before="60" w:after="60"/>
              <w:jc w:val="center"/>
              <w:rPr>
                <w:rFonts w:asciiTheme="minorHAnsi" w:hAnsiTheme="minorHAnsi" w:cs="Times New Roman"/>
                <w:b/>
                <w:sz w:val="20"/>
                <w:szCs w:val="20"/>
                <w:vertAlign w:val="superscript"/>
              </w:rPr>
            </w:pPr>
            <w:r w:rsidRPr="00BA10EF">
              <w:rPr>
                <w:rFonts w:asciiTheme="minorHAnsi" w:hAnsiTheme="minorHAnsi" w:cs="Times New Roman"/>
                <w:b/>
                <w:sz w:val="20"/>
                <w:szCs w:val="20"/>
              </w:rPr>
              <w:t>$279/</w:t>
            </w:r>
            <w:proofErr w:type="spellStart"/>
            <w:r w:rsidRPr="00BA10EF">
              <w:rPr>
                <w:rFonts w:asciiTheme="minorHAnsi" w:hAnsiTheme="minorHAnsi" w:cs="Times New Roman"/>
                <w:b/>
                <w:sz w:val="20"/>
                <w:szCs w:val="20"/>
              </w:rPr>
              <w:t>hr</w:t>
            </w:r>
            <w:proofErr w:type="spellEnd"/>
          </w:p>
        </w:tc>
      </w:tr>
      <w:tr w:rsidR="00D507AA" w:rsidRPr="00BA10EF" w:rsidTr="0014778E">
        <w:tc>
          <w:tcPr>
            <w:tcW w:w="2304" w:type="dxa"/>
            <w:tcBorders>
              <w:top w:val="single" w:sz="12" w:space="0" w:color="auto"/>
              <w:bottom w:val="single" w:sz="4" w:space="0" w:color="auto"/>
            </w:tcBorders>
          </w:tcPr>
          <w:p w:rsidR="00D507AA" w:rsidRPr="00BA10EF" w:rsidRDefault="00D507AA" w:rsidP="004445CA">
            <w:pPr>
              <w:spacing w:before="60" w:after="60"/>
              <w:rPr>
                <w:rFonts w:asciiTheme="minorHAnsi" w:hAnsiTheme="minorHAnsi" w:cs="Times New Roman"/>
                <w:sz w:val="20"/>
                <w:szCs w:val="20"/>
              </w:rPr>
            </w:pPr>
            <w:r w:rsidRPr="00BA10EF">
              <w:rPr>
                <w:rFonts w:asciiTheme="minorHAnsi" w:hAnsiTheme="minorHAnsi" w:cs="Times New Roman"/>
                <w:sz w:val="20"/>
                <w:szCs w:val="20"/>
              </w:rPr>
              <w:lastRenderedPageBreak/>
              <w:t>Treating Institutions</w:t>
            </w:r>
          </w:p>
        </w:tc>
        <w:tc>
          <w:tcPr>
            <w:tcW w:w="1296" w:type="dxa"/>
            <w:tcBorders>
              <w:top w:val="single" w:sz="12" w:space="0" w:color="auto"/>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175</w:t>
            </w:r>
          </w:p>
        </w:tc>
        <w:tc>
          <w:tcPr>
            <w:tcW w:w="1338" w:type="dxa"/>
            <w:tcBorders>
              <w:top w:val="single" w:sz="12" w:space="0" w:color="auto"/>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w:t>
            </w:r>
          </w:p>
        </w:tc>
        <w:tc>
          <w:tcPr>
            <w:tcW w:w="1092" w:type="dxa"/>
            <w:tcBorders>
              <w:top w:val="single" w:sz="12" w:space="0" w:color="auto"/>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175</w:t>
            </w:r>
          </w:p>
        </w:tc>
        <w:tc>
          <w:tcPr>
            <w:tcW w:w="1080" w:type="dxa"/>
            <w:tcBorders>
              <w:top w:val="single" w:sz="12" w:space="0" w:color="auto"/>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1.00</w:t>
            </w:r>
          </w:p>
        </w:tc>
        <w:tc>
          <w:tcPr>
            <w:tcW w:w="1350" w:type="dxa"/>
            <w:tcBorders>
              <w:top w:val="single" w:sz="12" w:space="0" w:color="auto"/>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175</w:t>
            </w:r>
          </w:p>
        </w:tc>
        <w:tc>
          <w:tcPr>
            <w:tcW w:w="985" w:type="dxa"/>
            <w:tcBorders>
              <w:top w:val="single" w:sz="12" w:space="0" w:color="auto"/>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$48,825</w:t>
            </w:r>
          </w:p>
        </w:tc>
      </w:tr>
      <w:tr w:rsidR="00D507AA" w:rsidRPr="00BA10EF" w:rsidTr="0014778E">
        <w:tc>
          <w:tcPr>
            <w:tcW w:w="2304" w:type="dxa"/>
            <w:tcBorders>
              <w:bottom w:val="single" w:sz="4" w:space="0" w:color="auto"/>
            </w:tcBorders>
          </w:tcPr>
          <w:p w:rsidR="00D507AA" w:rsidRPr="00BA10EF" w:rsidRDefault="00D507AA" w:rsidP="004445CA">
            <w:pPr>
              <w:spacing w:before="60" w:after="60"/>
              <w:rPr>
                <w:rFonts w:asciiTheme="minorHAnsi" w:hAnsiTheme="minorHAnsi" w:cs="Times New Roman"/>
                <w:sz w:val="20"/>
                <w:szCs w:val="20"/>
              </w:rPr>
            </w:pPr>
            <w:r w:rsidRPr="00BA10EF">
              <w:rPr>
                <w:rFonts w:asciiTheme="minorHAnsi" w:hAnsiTheme="minorHAnsi" w:cs="Times New Roman"/>
                <w:sz w:val="20"/>
                <w:szCs w:val="20"/>
              </w:rPr>
              <w:t>Individuals (</w:t>
            </w:r>
            <w:proofErr w:type="spellStart"/>
            <w:r w:rsidRPr="00BA10EF">
              <w:rPr>
                <w:rFonts w:asciiTheme="minorHAnsi" w:hAnsiTheme="minorHAnsi" w:cs="Times New Roman"/>
                <w:sz w:val="20"/>
                <w:szCs w:val="20"/>
              </w:rPr>
              <w:t>ThyCa</w:t>
            </w:r>
            <w:proofErr w:type="spellEnd"/>
            <w:r w:rsidRPr="00BA10EF">
              <w:rPr>
                <w:rFonts w:asciiTheme="minorHAnsi" w:hAnsiTheme="minorHAnsi" w:cs="Times New Roman"/>
                <w:sz w:val="20"/>
                <w:szCs w:val="20"/>
              </w:rPr>
              <w:t xml:space="preserve">) </w:t>
            </w:r>
          </w:p>
        </w:tc>
        <w:tc>
          <w:tcPr>
            <w:tcW w:w="1296"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5,000</w:t>
            </w:r>
          </w:p>
        </w:tc>
        <w:tc>
          <w:tcPr>
            <w:tcW w:w="1338"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w:t>
            </w:r>
          </w:p>
        </w:tc>
        <w:tc>
          <w:tcPr>
            <w:tcW w:w="1092"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5,000</w:t>
            </w:r>
          </w:p>
        </w:tc>
        <w:tc>
          <w:tcPr>
            <w:tcW w:w="1080"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0.25</w:t>
            </w:r>
          </w:p>
        </w:tc>
        <w:tc>
          <w:tcPr>
            <w:tcW w:w="1350"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1,250</w:t>
            </w:r>
          </w:p>
        </w:tc>
        <w:tc>
          <w:tcPr>
            <w:tcW w:w="985"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$348,750</w:t>
            </w:r>
          </w:p>
        </w:tc>
      </w:tr>
      <w:tr w:rsidR="00D507AA" w:rsidRPr="00BA10EF" w:rsidTr="0014778E">
        <w:tc>
          <w:tcPr>
            <w:tcW w:w="2304" w:type="dxa"/>
            <w:tcBorders>
              <w:bottom w:val="single" w:sz="4" w:space="0" w:color="auto"/>
            </w:tcBorders>
          </w:tcPr>
          <w:p w:rsidR="00D507AA" w:rsidRPr="00BA10EF" w:rsidRDefault="00D507AA" w:rsidP="004445CA">
            <w:pPr>
              <w:spacing w:before="60" w:after="60"/>
              <w:rPr>
                <w:rFonts w:asciiTheme="minorHAnsi" w:hAnsiTheme="minorHAnsi" w:cs="Times New Roman"/>
                <w:sz w:val="20"/>
                <w:szCs w:val="20"/>
              </w:rPr>
            </w:pPr>
            <w:r w:rsidRPr="00BA10EF">
              <w:rPr>
                <w:rFonts w:asciiTheme="minorHAnsi" w:hAnsiTheme="minorHAnsi" w:cs="Times New Roman"/>
                <w:i/>
                <w:sz w:val="20"/>
                <w:szCs w:val="20"/>
              </w:rPr>
              <w:t>Patients Staying at Hotels or Nursing Homes Following Treatment</w:t>
            </w:r>
          </w:p>
        </w:tc>
        <w:tc>
          <w:tcPr>
            <w:tcW w:w="1296"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50</w:t>
            </w:r>
          </w:p>
        </w:tc>
        <w:tc>
          <w:tcPr>
            <w:tcW w:w="1338"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w:t>
            </w:r>
          </w:p>
        </w:tc>
        <w:tc>
          <w:tcPr>
            <w:tcW w:w="1092"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50</w:t>
            </w:r>
          </w:p>
        </w:tc>
        <w:tc>
          <w:tcPr>
            <w:tcW w:w="1080"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0.25</w:t>
            </w:r>
          </w:p>
        </w:tc>
        <w:tc>
          <w:tcPr>
            <w:tcW w:w="1350"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12.5</w:t>
            </w:r>
          </w:p>
        </w:tc>
        <w:tc>
          <w:tcPr>
            <w:tcW w:w="985" w:type="dxa"/>
            <w:tcBorders>
              <w:bottom w:val="single" w:sz="4"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$3,488</w:t>
            </w:r>
          </w:p>
        </w:tc>
      </w:tr>
      <w:tr w:rsidR="00D507AA" w:rsidRPr="00BA10EF" w:rsidTr="0014778E">
        <w:tc>
          <w:tcPr>
            <w:tcW w:w="2304" w:type="dxa"/>
            <w:tcBorders>
              <w:top w:val="single" w:sz="4" w:space="0" w:color="auto"/>
              <w:bottom w:val="single" w:sz="12" w:space="0" w:color="auto"/>
            </w:tcBorders>
          </w:tcPr>
          <w:p w:rsidR="00D507AA" w:rsidRPr="00BA10EF" w:rsidRDefault="00D507AA" w:rsidP="004445CA">
            <w:pPr>
              <w:spacing w:before="60" w:after="60"/>
              <w:rPr>
                <w:rFonts w:asciiTheme="minorHAnsi" w:hAnsiTheme="minorHAnsi" w:cs="Times New Roman"/>
                <w:sz w:val="20"/>
                <w:szCs w:val="20"/>
              </w:rPr>
            </w:pPr>
            <w:r w:rsidRPr="00BA10EF">
              <w:rPr>
                <w:rFonts w:asciiTheme="minorHAnsi" w:hAnsiTheme="minorHAnsi" w:cs="Times New Roman"/>
                <w:i/>
                <w:sz w:val="20"/>
                <w:szCs w:val="20"/>
              </w:rPr>
              <w:t>Hotels or Nursing Homes Receiving Patients Immediately After Treatment</w:t>
            </w:r>
          </w:p>
        </w:tc>
        <w:tc>
          <w:tcPr>
            <w:tcW w:w="1296" w:type="dxa"/>
            <w:tcBorders>
              <w:top w:val="single" w:sz="4" w:space="0" w:color="auto"/>
              <w:bottom w:val="single" w:sz="12"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45</w:t>
            </w:r>
          </w:p>
        </w:tc>
        <w:tc>
          <w:tcPr>
            <w:tcW w:w="1338" w:type="dxa"/>
            <w:tcBorders>
              <w:top w:val="single" w:sz="4" w:space="0" w:color="auto"/>
              <w:bottom w:val="single" w:sz="12"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w:t>
            </w:r>
          </w:p>
        </w:tc>
        <w:tc>
          <w:tcPr>
            <w:tcW w:w="1092" w:type="dxa"/>
            <w:tcBorders>
              <w:top w:val="single" w:sz="4" w:space="0" w:color="auto"/>
              <w:bottom w:val="single" w:sz="12"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45</w:t>
            </w:r>
          </w:p>
        </w:tc>
        <w:tc>
          <w:tcPr>
            <w:tcW w:w="1080" w:type="dxa"/>
            <w:tcBorders>
              <w:top w:val="single" w:sz="4" w:space="0" w:color="auto"/>
              <w:bottom w:val="single" w:sz="12"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0.25</w:t>
            </w:r>
          </w:p>
        </w:tc>
        <w:tc>
          <w:tcPr>
            <w:tcW w:w="1350" w:type="dxa"/>
            <w:tcBorders>
              <w:top w:val="single" w:sz="4" w:space="0" w:color="auto"/>
              <w:bottom w:val="single" w:sz="12"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11.25</w:t>
            </w:r>
          </w:p>
        </w:tc>
        <w:tc>
          <w:tcPr>
            <w:tcW w:w="985" w:type="dxa"/>
            <w:tcBorders>
              <w:top w:val="single" w:sz="4" w:space="0" w:color="auto"/>
              <w:bottom w:val="single" w:sz="12" w:space="0" w:color="auto"/>
            </w:tcBorders>
            <w:vAlign w:val="center"/>
          </w:tcPr>
          <w:p w:rsidR="00D507AA" w:rsidRPr="00BA10EF" w:rsidRDefault="00D507AA" w:rsidP="004445CA">
            <w:pPr>
              <w:spacing w:before="60" w:after="60"/>
              <w:jc w:val="center"/>
              <w:rPr>
                <w:rFonts w:asciiTheme="minorHAnsi" w:hAnsiTheme="minorHAnsi" w:cs="Times New Roman"/>
                <w:sz w:val="20"/>
                <w:szCs w:val="20"/>
              </w:rPr>
            </w:pPr>
            <w:r w:rsidRPr="00BA10EF">
              <w:rPr>
                <w:rFonts w:asciiTheme="minorHAnsi" w:hAnsiTheme="minorHAnsi" w:cs="Times New Roman"/>
                <w:sz w:val="20"/>
                <w:szCs w:val="20"/>
              </w:rPr>
              <w:t>$3,139</w:t>
            </w:r>
          </w:p>
        </w:tc>
      </w:tr>
      <w:tr w:rsidR="00D507AA" w:rsidRPr="00BA10EF" w:rsidTr="0014778E">
        <w:tc>
          <w:tcPr>
            <w:tcW w:w="2304" w:type="dxa"/>
            <w:tcBorders>
              <w:top w:val="single" w:sz="12" w:space="0" w:color="auto"/>
            </w:tcBorders>
          </w:tcPr>
          <w:p w:rsidR="00D507AA" w:rsidRPr="00BA10EF" w:rsidRDefault="00D507AA" w:rsidP="004445CA">
            <w:pPr>
              <w:spacing w:before="60" w:after="60"/>
              <w:rPr>
                <w:rFonts w:asciiTheme="minorHAnsi" w:hAnsiTheme="minorHAnsi" w:cs="Times New Roman"/>
                <w:b/>
                <w:sz w:val="20"/>
                <w:szCs w:val="20"/>
              </w:rPr>
            </w:pPr>
            <w:r w:rsidRPr="00BA10EF">
              <w:rPr>
                <w:rFonts w:asciiTheme="minorHAnsi" w:hAnsiTheme="minorHAnsi" w:cs="Times New Roman"/>
                <w:b/>
                <w:sz w:val="20"/>
                <w:szCs w:val="20"/>
              </w:rPr>
              <w:t>TOTAL</w:t>
            </w:r>
          </w:p>
        </w:tc>
        <w:tc>
          <w:tcPr>
            <w:tcW w:w="1296" w:type="dxa"/>
            <w:tcBorders>
              <w:top w:val="single" w:sz="12" w:space="0" w:color="auto"/>
            </w:tcBorders>
          </w:tcPr>
          <w:p w:rsidR="00D507AA" w:rsidRPr="00BA10EF" w:rsidRDefault="00D507AA" w:rsidP="004445CA">
            <w:pPr>
              <w:spacing w:before="60" w:after="60"/>
              <w:jc w:val="center"/>
              <w:rPr>
                <w:rFonts w:asciiTheme="minorHAnsi" w:hAnsiTheme="minorHAnsi" w:cs="Times New Roman"/>
                <w:b/>
                <w:sz w:val="20"/>
                <w:szCs w:val="20"/>
              </w:rPr>
            </w:pPr>
          </w:p>
        </w:tc>
        <w:tc>
          <w:tcPr>
            <w:tcW w:w="1338" w:type="dxa"/>
            <w:tcBorders>
              <w:top w:val="single" w:sz="12" w:space="0" w:color="auto"/>
            </w:tcBorders>
          </w:tcPr>
          <w:p w:rsidR="00D507AA" w:rsidRPr="00BA10EF" w:rsidRDefault="00D507AA" w:rsidP="004445CA">
            <w:pPr>
              <w:spacing w:before="60" w:after="60"/>
              <w:jc w:val="center"/>
              <w:rPr>
                <w:rFonts w:asciiTheme="minorHAnsi" w:hAnsiTheme="minorHAnsi" w:cs="Times New Roman"/>
                <w:b/>
                <w:sz w:val="20"/>
                <w:szCs w:val="20"/>
              </w:rPr>
            </w:pPr>
          </w:p>
        </w:tc>
        <w:tc>
          <w:tcPr>
            <w:tcW w:w="1092" w:type="dxa"/>
            <w:tcBorders>
              <w:top w:val="single" w:sz="12" w:space="0" w:color="auto"/>
            </w:tcBorders>
          </w:tcPr>
          <w:p w:rsidR="00D507AA" w:rsidRPr="00BA10EF" w:rsidRDefault="00D507AA" w:rsidP="004445CA">
            <w:pPr>
              <w:spacing w:before="60" w:after="60"/>
              <w:jc w:val="center"/>
              <w:rPr>
                <w:rFonts w:asciiTheme="minorHAnsi" w:hAnsiTheme="minorHAnsi" w:cs="Times New Roman"/>
                <w:b/>
                <w:sz w:val="20"/>
                <w:szCs w:val="20"/>
              </w:rPr>
            </w:pPr>
            <w:r w:rsidRPr="00BA10EF">
              <w:rPr>
                <w:rFonts w:asciiTheme="minorHAnsi" w:hAnsiTheme="minorHAnsi" w:cs="Times New Roman"/>
                <w:b/>
                <w:sz w:val="20"/>
                <w:szCs w:val="20"/>
              </w:rPr>
              <w:t>5,270</w:t>
            </w:r>
          </w:p>
        </w:tc>
        <w:tc>
          <w:tcPr>
            <w:tcW w:w="1080" w:type="dxa"/>
            <w:tcBorders>
              <w:top w:val="single" w:sz="12" w:space="0" w:color="auto"/>
            </w:tcBorders>
          </w:tcPr>
          <w:p w:rsidR="00D507AA" w:rsidRPr="00BA10EF" w:rsidRDefault="00D507AA" w:rsidP="004445CA">
            <w:pPr>
              <w:spacing w:before="60" w:after="60"/>
              <w:jc w:val="center"/>
              <w:rPr>
                <w:rFonts w:asciiTheme="minorHAnsi" w:hAnsiTheme="minorHAnsi" w:cs="Times New Roman"/>
                <w:b/>
                <w:sz w:val="20"/>
                <w:szCs w:val="20"/>
              </w:rPr>
            </w:pPr>
          </w:p>
        </w:tc>
        <w:tc>
          <w:tcPr>
            <w:tcW w:w="1350" w:type="dxa"/>
            <w:tcBorders>
              <w:top w:val="single" w:sz="12" w:space="0" w:color="auto"/>
            </w:tcBorders>
          </w:tcPr>
          <w:p w:rsidR="00D507AA" w:rsidRPr="00BA10EF" w:rsidRDefault="00D507AA" w:rsidP="004445CA">
            <w:pPr>
              <w:spacing w:before="60" w:after="60"/>
              <w:jc w:val="center"/>
              <w:rPr>
                <w:rFonts w:asciiTheme="minorHAnsi" w:hAnsiTheme="minorHAnsi" w:cs="Times New Roman"/>
                <w:b/>
                <w:sz w:val="20"/>
                <w:szCs w:val="20"/>
              </w:rPr>
            </w:pPr>
            <w:r w:rsidRPr="00BA10EF">
              <w:rPr>
                <w:rFonts w:asciiTheme="minorHAnsi" w:hAnsiTheme="minorHAnsi" w:cs="Times New Roman"/>
                <w:b/>
                <w:sz w:val="20"/>
                <w:szCs w:val="20"/>
              </w:rPr>
              <w:t>1,449</w:t>
            </w:r>
          </w:p>
        </w:tc>
        <w:tc>
          <w:tcPr>
            <w:tcW w:w="985" w:type="dxa"/>
            <w:tcBorders>
              <w:top w:val="single" w:sz="12" w:space="0" w:color="auto"/>
            </w:tcBorders>
          </w:tcPr>
          <w:p w:rsidR="00D507AA" w:rsidRPr="00BA10EF" w:rsidRDefault="00D507AA" w:rsidP="004445CA">
            <w:pPr>
              <w:spacing w:before="60" w:after="60"/>
              <w:jc w:val="right"/>
              <w:rPr>
                <w:rFonts w:asciiTheme="minorHAnsi" w:hAnsiTheme="minorHAnsi" w:cs="Times New Roman"/>
                <w:b/>
                <w:sz w:val="20"/>
                <w:szCs w:val="20"/>
              </w:rPr>
            </w:pPr>
            <w:r w:rsidRPr="00BA10EF">
              <w:rPr>
                <w:rFonts w:asciiTheme="minorHAnsi" w:hAnsiTheme="minorHAnsi" w:cs="Times New Roman"/>
                <w:b/>
                <w:sz w:val="20"/>
                <w:szCs w:val="20"/>
              </w:rPr>
              <w:t>$404,202</w:t>
            </w:r>
          </w:p>
        </w:tc>
      </w:tr>
    </w:tbl>
    <w:p w:rsidR="00C67065" w:rsidRPr="00BA10EF" w:rsidRDefault="00C67065" w:rsidP="00E614BC">
      <w:pPr>
        <w:spacing w:before="120"/>
        <w:rPr>
          <w:rFonts w:ascii="Arial" w:hAnsi="Arial" w:cs="Arial"/>
          <w:sz w:val="22"/>
        </w:rPr>
      </w:pPr>
    </w:p>
    <w:p w:rsidR="005F444A" w:rsidRPr="00BA10EF" w:rsidRDefault="0027750B" w:rsidP="0027750B">
      <w:pPr>
        <w:spacing w:after="120"/>
        <w:ind w:left="360"/>
        <w:rPr>
          <w:rFonts w:ascii="Arial" w:hAnsi="Arial" w:cs="Arial"/>
          <w:sz w:val="22"/>
          <w:u w:val="single"/>
        </w:rPr>
      </w:pPr>
      <w:r w:rsidRPr="00BA10EF">
        <w:rPr>
          <w:rFonts w:ascii="Arial" w:hAnsi="Arial" w:cs="Arial"/>
          <w:sz w:val="22"/>
          <w:u w:val="single"/>
        </w:rPr>
        <w:t xml:space="preserve">13. </w:t>
      </w:r>
      <w:r w:rsidR="002A3754" w:rsidRPr="00BA10EF">
        <w:rPr>
          <w:rFonts w:ascii="Arial" w:hAnsi="Arial" w:cs="Arial"/>
          <w:sz w:val="22"/>
          <w:u w:val="single"/>
        </w:rPr>
        <w:t>Estimate of Other Additional Costs</w:t>
      </w:r>
    </w:p>
    <w:p w:rsidR="00C67065" w:rsidRPr="00BA10EF" w:rsidRDefault="002A3754" w:rsidP="00AD488B">
      <w:pPr>
        <w:spacing w:after="240"/>
        <w:ind w:left="720"/>
        <w:rPr>
          <w:rFonts w:ascii="Arial" w:hAnsi="Arial" w:cs="Arial"/>
          <w:sz w:val="22"/>
        </w:rPr>
      </w:pPr>
      <w:r w:rsidRPr="00BA10EF">
        <w:rPr>
          <w:rFonts w:ascii="Arial" w:hAnsi="Arial" w:cs="Arial"/>
          <w:sz w:val="22"/>
        </w:rPr>
        <w:t xml:space="preserve">There are no additional costs. </w:t>
      </w:r>
    </w:p>
    <w:p w:rsidR="00456B12" w:rsidRPr="00BA10EF" w:rsidRDefault="002A3754" w:rsidP="0027750B">
      <w:pPr>
        <w:pStyle w:val="ListParagraph"/>
        <w:numPr>
          <w:ilvl w:val="0"/>
          <w:numId w:val="48"/>
        </w:numPr>
        <w:spacing w:after="120"/>
        <w:rPr>
          <w:rFonts w:ascii="Arial" w:hAnsi="Arial" w:cs="Arial"/>
          <w:sz w:val="22"/>
          <w:u w:val="single"/>
        </w:rPr>
      </w:pPr>
      <w:r w:rsidRPr="00BA10EF">
        <w:rPr>
          <w:rFonts w:ascii="Arial" w:hAnsi="Arial" w:cs="Arial"/>
          <w:sz w:val="22"/>
          <w:u w:val="single"/>
        </w:rPr>
        <w:t xml:space="preserve">Estimated Annualized </w:t>
      </w:r>
      <w:r w:rsidR="005F444A" w:rsidRPr="00BA10EF">
        <w:rPr>
          <w:rFonts w:ascii="Arial" w:hAnsi="Arial" w:cs="Arial"/>
          <w:sz w:val="22"/>
          <w:u w:val="single"/>
        </w:rPr>
        <w:t>Cost to the Federal Government</w:t>
      </w:r>
    </w:p>
    <w:p w:rsidR="00456B12" w:rsidRPr="00BA10EF" w:rsidRDefault="00456B12" w:rsidP="0014778E">
      <w:pPr>
        <w:pStyle w:val="ListParagraph"/>
        <w:spacing w:after="240"/>
        <w:contextualSpacing w:val="0"/>
        <w:rPr>
          <w:rFonts w:ascii="Arial" w:hAnsi="Arial" w:cs="Arial"/>
          <w:color w:val="FF0000"/>
          <w:sz w:val="22"/>
        </w:rPr>
      </w:pPr>
      <w:r w:rsidRPr="00BA10EF">
        <w:rPr>
          <w:rFonts w:ascii="Arial" w:hAnsi="Arial" w:cs="Arial"/>
          <w:sz w:val="22"/>
        </w:rPr>
        <w:t xml:space="preserve">The NRC has </w:t>
      </w:r>
      <w:r w:rsidR="003809C6" w:rsidRPr="00BA10EF">
        <w:rPr>
          <w:rFonts w:ascii="Arial" w:hAnsi="Arial" w:cs="Arial"/>
          <w:sz w:val="22"/>
        </w:rPr>
        <w:t xml:space="preserve">awarded the contract to SC&amp;A to perform this study on behalf of this agency. </w:t>
      </w:r>
      <w:r w:rsidR="005B79E8" w:rsidRPr="00BA10EF">
        <w:rPr>
          <w:rFonts w:ascii="Arial" w:hAnsi="Arial" w:cs="Arial"/>
          <w:sz w:val="22"/>
        </w:rPr>
        <w:t xml:space="preserve">The NRC </w:t>
      </w:r>
      <w:r w:rsidR="001E54CC" w:rsidRPr="00BA10EF">
        <w:rPr>
          <w:rFonts w:ascii="Arial" w:hAnsi="Arial" w:cs="Arial"/>
          <w:sz w:val="22"/>
        </w:rPr>
        <w:t xml:space="preserve">estimates approximately </w:t>
      </w:r>
      <w:r w:rsidR="00347803" w:rsidRPr="00BA10EF">
        <w:rPr>
          <w:rFonts w:ascii="Arial" w:hAnsi="Arial" w:cs="Arial"/>
          <w:sz w:val="22"/>
        </w:rPr>
        <w:t>50hrs/</w:t>
      </w:r>
      <w:proofErr w:type="spellStart"/>
      <w:r w:rsidR="00347803" w:rsidRPr="00BA10EF">
        <w:rPr>
          <w:rFonts w:ascii="Arial" w:hAnsi="Arial" w:cs="Arial"/>
          <w:sz w:val="22"/>
        </w:rPr>
        <w:t>yr</w:t>
      </w:r>
      <w:proofErr w:type="spellEnd"/>
      <w:r w:rsidR="00347803" w:rsidRPr="00BA10EF">
        <w:rPr>
          <w:rFonts w:ascii="Arial" w:hAnsi="Arial" w:cs="Arial"/>
          <w:sz w:val="22"/>
        </w:rPr>
        <w:t xml:space="preserve"> to review the study data</w:t>
      </w:r>
      <w:r w:rsidR="005B79E8" w:rsidRPr="00BA10EF">
        <w:rPr>
          <w:rFonts w:ascii="Arial" w:hAnsi="Arial" w:cs="Arial"/>
          <w:sz w:val="22"/>
        </w:rPr>
        <w:t xml:space="preserve"> at</w:t>
      </w:r>
      <w:r w:rsidR="007646CE" w:rsidRPr="00BA10EF">
        <w:rPr>
          <w:rFonts w:ascii="Arial" w:hAnsi="Arial" w:cs="Arial"/>
          <w:sz w:val="22"/>
        </w:rPr>
        <w:t xml:space="preserve"> a cost</w:t>
      </w:r>
      <w:r w:rsidR="00347803" w:rsidRPr="00BA10EF">
        <w:rPr>
          <w:rFonts w:ascii="Arial" w:hAnsi="Arial" w:cs="Arial"/>
          <w:sz w:val="22"/>
        </w:rPr>
        <w:t xml:space="preserve"> of</w:t>
      </w:r>
      <w:r w:rsidR="005B79E8" w:rsidRPr="00BA10EF">
        <w:rPr>
          <w:rFonts w:ascii="Arial" w:hAnsi="Arial" w:cs="Arial"/>
          <w:sz w:val="22"/>
        </w:rPr>
        <w:t xml:space="preserve"> $13,950</w:t>
      </w:r>
      <w:r w:rsidR="00347803" w:rsidRPr="00BA10EF">
        <w:rPr>
          <w:rFonts w:ascii="Arial" w:hAnsi="Arial" w:cs="Arial"/>
          <w:sz w:val="22"/>
        </w:rPr>
        <w:t xml:space="preserve"> (50 hours x $279/hr.)</w:t>
      </w:r>
      <w:r w:rsidR="005B79E8" w:rsidRPr="00BA10EF">
        <w:rPr>
          <w:rFonts w:ascii="Arial" w:hAnsi="Arial" w:cs="Arial"/>
          <w:sz w:val="22"/>
        </w:rPr>
        <w:t xml:space="preserve">.  </w:t>
      </w:r>
      <w:r w:rsidR="00E24BEE" w:rsidRPr="00BA10EF">
        <w:rPr>
          <w:rFonts w:ascii="Arial" w:hAnsi="Arial" w:cs="Arial"/>
          <w:sz w:val="22"/>
        </w:rPr>
        <w:t xml:space="preserve">The NRC has awarded the contract to SC&amp;A to perform this study on behalf of this agency. </w:t>
      </w:r>
      <w:r w:rsidR="003809C6" w:rsidRPr="00BA10EF">
        <w:rPr>
          <w:rFonts w:ascii="Arial" w:hAnsi="Arial" w:cs="Arial"/>
          <w:sz w:val="22"/>
        </w:rPr>
        <w:t xml:space="preserve">The total contract amount is </w:t>
      </w:r>
      <w:r w:rsidR="00897158" w:rsidRPr="00BA10EF">
        <w:rPr>
          <w:rFonts w:ascii="Arial" w:hAnsi="Arial" w:cs="Arial"/>
          <w:sz w:val="22"/>
        </w:rPr>
        <w:t>$</w:t>
      </w:r>
      <w:r w:rsidR="00E24BEE" w:rsidRPr="00BA10EF">
        <w:rPr>
          <w:rFonts w:ascii="Arial" w:hAnsi="Arial" w:cs="Arial"/>
          <w:sz w:val="22"/>
        </w:rPr>
        <w:t>681K</w:t>
      </w:r>
      <w:r w:rsidR="00897158" w:rsidRPr="00BA10EF">
        <w:rPr>
          <w:rFonts w:ascii="Arial" w:hAnsi="Arial" w:cs="Arial"/>
          <w:sz w:val="22"/>
        </w:rPr>
        <w:t>.</w:t>
      </w:r>
    </w:p>
    <w:p w:rsidR="005F444A" w:rsidRPr="00BA10EF" w:rsidRDefault="005F444A" w:rsidP="0027750B">
      <w:pPr>
        <w:pStyle w:val="ListParagraph"/>
        <w:numPr>
          <w:ilvl w:val="0"/>
          <w:numId w:val="48"/>
        </w:numPr>
        <w:spacing w:after="120"/>
        <w:rPr>
          <w:rFonts w:ascii="Arial" w:hAnsi="Arial" w:cs="Arial"/>
          <w:sz w:val="22"/>
          <w:u w:val="single"/>
        </w:rPr>
      </w:pPr>
      <w:r w:rsidRPr="00BA10EF">
        <w:rPr>
          <w:rFonts w:ascii="Arial" w:hAnsi="Arial" w:cs="Arial"/>
          <w:sz w:val="22"/>
          <w:u w:val="single"/>
        </w:rPr>
        <w:t xml:space="preserve">Reasons </w:t>
      </w:r>
      <w:r w:rsidR="00EF0560" w:rsidRPr="00BA10EF">
        <w:rPr>
          <w:rFonts w:ascii="Arial" w:hAnsi="Arial" w:cs="Arial"/>
          <w:sz w:val="22"/>
          <w:u w:val="single"/>
        </w:rPr>
        <w:t>for Change</w:t>
      </w:r>
      <w:r w:rsidR="002A3754" w:rsidRPr="00BA10EF">
        <w:rPr>
          <w:rFonts w:ascii="Arial" w:hAnsi="Arial" w:cs="Arial"/>
          <w:sz w:val="22"/>
          <w:u w:val="single"/>
        </w:rPr>
        <w:t xml:space="preserve"> in Burden or Cost</w:t>
      </w:r>
    </w:p>
    <w:p w:rsidR="00347803" w:rsidRPr="00BA10EF" w:rsidRDefault="00623B55" w:rsidP="00FB294B">
      <w:pPr>
        <w:spacing w:after="240"/>
        <w:ind w:left="720"/>
        <w:rPr>
          <w:rFonts w:ascii="Arial" w:hAnsi="Arial" w:cs="Arial"/>
          <w:sz w:val="22"/>
        </w:rPr>
      </w:pPr>
      <w:r w:rsidRPr="00BA10EF">
        <w:rPr>
          <w:rFonts w:ascii="Arial" w:hAnsi="Arial" w:cs="Arial"/>
          <w:sz w:val="22"/>
        </w:rPr>
        <w:t>This is a new, voluntary, one-time information collection</w:t>
      </w:r>
      <w:r w:rsidR="00103ABE" w:rsidRPr="00BA10EF">
        <w:rPr>
          <w:rFonts w:ascii="Arial" w:hAnsi="Arial" w:cs="Arial"/>
          <w:sz w:val="22"/>
        </w:rPr>
        <w:t xml:space="preserve"> that will result in a burden of 1,449 hours for treating institutions; patients; and hotel and nursing home staff </w:t>
      </w:r>
      <w:r w:rsidR="003D493B" w:rsidRPr="00BA10EF">
        <w:rPr>
          <w:rFonts w:ascii="Arial" w:hAnsi="Arial" w:cs="Arial"/>
          <w:sz w:val="22"/>
        </w:rPr>
        <w:t xml:space="preserve">for </w:t>
      </w:r>
      <w:r w:rsidR="00103ABE" w:rsidRPr="00BA10EF">
        <w:rPr>
          <w:rFonts w:ascii="Arial" w:hAnsi="Arial" w:cs="Arial"/>
          <w:sz w:val="22"/>
        </w:rPr>
        <w:t>responding to surveys about patient destinations following treatment with iodine-131  The surveys seek to determine whether patients are going to locations other than their home, for example, hotels, nursing homes, and other institutional sites, immediately following their release from the hospital or clinic after receiving I-131 treatment.</w:t>
      </w:r>
    </w:p>
    <w:p w:rsidR="005F444A" w:rsidRPr="00BA10EF" w:rsidRDefault="005F444A" w:rsidP="0027750B">
      <w:pPr>
        <w:pStyle w:val="ListParagraph"/>
        <w:numPr>
          <w:ilvl w:val="0"/>
          <w:numId w:val="48"/>
        </w:numPr>
        <w:spacing w:after="120"/>
        <w:contextualSpacing w:val="0"/>
        <w:rPr>
          <w:rFonts w:ascii="Arial" w:hAnsi="Arial" w:cs="Arial"/>
          <w:sz w:val="22"/>
          <w:u w:val="single"/>
        </w:rPr>
      </w:pPr>
      <w:r w:rsidRPr="00BA10EF">
        <w:rPr>
          <w:rFonts w:ascii="Arial" w:hAnsi="Arial" w:cs="Arial"/>
          <w:sz w:val="22"/>
          <w:u w:val="single"/>
        </w:rPr>
        <w:t xml:space="preserve">Publication </w:t>
      </w:r>
      <w:r w:rsidR="002A3754" w:rsidRPr="00BA10EF">
        <w:rPr>
          <w:rFonts w:ascii="Arial" w:hAnsi="Arial" w:cs="Arial"/>
          <w:sz w:val="22"/>
          <w:u w:val="single"/>
        </w:rPr>
        <w:t>for Statistical Use</w:t>
      </w:r>
    </w:p>
    <w:p w:rsidR="00F8645B" w:rsidRPr="00BA10EF" w:rsidRDefault="00103ABE" w:rsidP="005B736A">
      <w:pPr>
        <w:spacing w:after="240"/>
        <w:ind w:left="720"/>
        <w:rPr>
          <w:rFonts w:ascii="Arial" w:hAnsi="Arial" w:cs="Arial"/>
          <w:sz w:val="22"/>
        </w:rPr>
      </w:pPr>
      <w:r w:rsidRPr="00BA10EF">
        <w:rPr>
          <w:rFonts w:ascii="Arial" w:hAnsi="Arial" w:cs="Arial"/>
          <w:sz w:val="22"/>
        </w:rPr>
        <w:t xml:space="preserve">The results and conclusions of the study will be presented in the form of an NRC NUREG/CR report (“contractor report”), which would be made available to the public. </w:t>
      </w:r>
      <w:r w:rsidR="00F63C77" w:rsidRPr="00BA10EF">
        <w:rPr>
          <w:rFonts w:ascii="Arial" w:hAnsi="Arial" w:cs="Arial"/>
          <w:sz w:val="22"/>
        </w:rPr>
        <w:t xml:space="preserve"> </w:t>
      </w:r>
      <w:r w:rsidRPr="00BA10EF">
        <w:rPr>
          <w:rFonts w:ascii="Arial" w:hAnsi="Arial" w:cs="Arial"/>
          <w:sz w:val="22"/>
        </w:rPr>
        <w:t>In addition, it is possible that some of the results might be presented in other professional forums by the NRC contractor, subject to approval by the NRC.</w:t>
      </w:r>
      <w:r w:rsidR="002A5658" w:rsidRPr="00BA10EF">
        <w:rPr>
          <w:rFonts w:ascii="Arial" w:hAnsi="Arial" w:cs="Arial"/>
          <w:sz w:val="22"/>
        </w:rPr>
        <w:t xml:space="preserve"> </w:t>
      </w:r>
      <w:r w:rsidR="00DF5F27">
        <w:rPr>
          <w:rFonts w:ascii="Arial" w:hAnsi="Arial" w:cs="Arial"/>
          <w:sz w:val="22"/>
        </w:rPr>
        <w:t xml:space="preserve">The NRC expects to publish </w:t>
      </w:r>
      <w:r w:rsidR="00260784" w:rsidRPr="00BA10EF">
        <w:rPr>
          <w:rFonts w:ascii="Arial" w:hAnsi="Arial" w:cs="Arial"/>
          <w:sz w:val="22"/>
        </w:rPr>
        <w:t xml:space="preserve">the final report </w:t>
      </w:r>
      <w:r w:rsidR="00C44090">
        <w:rPr>
          <w:rFonts w:ascii="Arial" w:hAnsi="Arial" w:cs="Arial"/>
          <w:sz w:val="22"/>
        </w:rPr>
        <w:t xml:space="preserve">in </w:t>
      </w:r>
      <w:r w:rsidR="00260784" w:rsidRPr="00BA10EF">
        <w:rPr>
          <w:rFonts w:ascii="Arial" w:hAnsi="Arial" w:cs="Arial"/>
          <w:sz w:val="22"/>
        </w:rPr>
        <w:t>February 2017.</w:t>
      </w:r>
      <w:r w:rsidRPr="00BA10EF">
        <w:rPr>
          <w:rFonts w:ascii="Arial" w:hAnsi="Arial" w:cs="Arial"/>
          <w:sz w:val="22"/>
        </w:rPr>
        <w:t xml:space="preserve"> </w:t>
      </w:r>
      <w:r w:rsidR="00F8645B" w:rsidRPr="00BA10EF">
        <w:rPr>
          <w:rFonts w:ascii="Arial" w:hAnsi="Arial" w:cs="Arial"/>
          <w:sz w:val="22"/>
        </w:rPr>
        <w:t xml:space="preserve"> </w:t>
      </w:r>
    </w:p>
    <w:p w:rsidR="005F444A" w:rsidRPr="00BA10EF" w:rsidRDefault="002A3754" w:rsidP="0027750B">
      <w:pPr>
        <w:pStyle w:val="ListParagraph"/>
        <w:numPr>
          <w:ilvl w:val="0"/>
          <w:numId w:val="48"/>
        </w:numPr>
        <w:spacing w:after="120"/>
        <w:contextualSpacing w:val="0"/>
        <w:rPr>
          <w:rFonts w:ascii="Arial" w:hAnsi="Arial" w:cs="Arial"/>
          <w:sz w:val="22"/>
          <w:u w:val="single"/>
        </w:rPr>
      </w:pPr>
      <w:r w:rsidRPr="00BA10EF">
        <w:rPr>
          <w:rFonts w:ascii="Arial" w:hAnsi="Arial" w:cs="Arial"/>
          <w:sz w:val="22"/>
          <w:u w:val="single"/>
        </w:rPr>
        <w:t xml:space="preserve">Reason for Not Displaying the </w:t>
      </w:r>
      <w:r w:rsidR="005F444A" w:rsidRPr="00BA10EF">
        <w:rPr>
          <w:rFonts w:ascii="Arial" w:hAnsi="Arial" w:cs="Arial"/>
          <w:sz w:val="22"/>
          <w:u w:val="single"/>
        </w:rPr>
        <w:t>Expiration Date</w:t>
      </w:r>
    </w:p>
    <w:p w:rsidR="00F37758" w:rsidRPr="00BA10EF" w:rsidRDefault="00424BFD" w:rsidP="00757BC5">
      <w:pPr>
        <w:spacing w:after="240"/>
        <w:ind w:left="720"/>
        <w:rPr>
          <w:rFonts w:ascii="Arial" w:hAnsi="Arial" w:cs="Arial"/>
          <w:sz w:val="22"/>
        </w:rPr>
      </w:pPr>
      <w:r w:rsidRPr="00BA10EF">
        <w:rPr>
          <w:rFonts w:ascii="Arial" w:hAnsi="Arial" w:cs="Arial"/>
          <w:sz w:val="22"/>
        </w:rPr>
        <w:t>I</w:t>
      </w:r>
      <w:r w:rsidR="00623B55" w:rsidRPr="00BA10EF">
        <w:rPr>
          <w:rFonts w:ascii="Arial" w:hAnsi="Arial" w:cs="Arial"/>
          <w:sz w:val="22"/>
        </w:rPr>
        <w:t>nformation collection instrument</w:t>
      </w:r>
      <w:r w:rsidRPr="00BA10EF">
        <w:rPr>
          <w:rFonts w:ascii="Arial" w:hAnsi="Arial" w:cs="Arial"/>
          <w:sz w:val="22"/>
        </w:rPr>
        <w:t>s</w:t>
      </w:r>
      <w:r w:rsidR="00623B55" w:rsidRPr="00BA10EF">
        <w:rPr>
          <w:rFonts w:ascii="Arial" w:hAnsi="Arial" w:cs="Arial"/>
          <w:sz w:val="22"/>
        </w:rPr>
        <w:t xml:space="preserve"> will display the expiration date for OMB approval. </w:t>
      </w:r>
    </w:p>
    <w:p w:rsidR="005F444A" w:rsidRPr="00BA10EF" w:rsidRDefault="005F444A" w:rsidP="0027750B">
      <w:pPr>
        <w:pStyle w:val="ListParagraph"/>
        <w:numPr>
          <w:ilvl w:val="0"/>
          <w:numId w:val="48"/>
        </w:numPr>
        <w:spacing w:after="120"/>
        <w:contextualSpacing w:val="0"/>
        <w:rPr>
          <w:rFonts w:ascii="Arial" w:hAnsi="Arial" w:cs="Arial"/>
          <w:sz w:val="22"/>
          <w:u w:val="single"/>
        </w:rPr>
      </w:pPr>
      <w:r w:rsidRPr="00BA10EF">
        <w:rPr>
          <w:rFonts w:ascii="Arial" w:hAnsi="Arial" w:cs="Arial"/>
          <w:sz w:val="22"/>
          <w:u w:val="single"/>
        </w:rPr>
        <w:t>Exceptions to the Certification Statement</w:t>
      </w:r>
    </w:p>
    <w:p w:rsidR="00F37758" w:rsidRPr="00BA10EF" w:rsidRDefault="008A17A5" w:rsidP="00757BC5">
      <w:pPr>
        <w:ind w:left="720"/>
        <w:rPr>
          <w:rFonts w:ascii="Arial" w:hAnsi="Arial" w:cs="Arial"/>
          <w:sz w:val="22"/>
        </w:rPr>
      </w:pPr>
      <w:r w:rsidRPr="00BA10EF">
        <w:rPr>
          <w:rFonts w:ascii="Arial" w:hAnsi="Arial" w:cs="Arial"/>
          <w:sz w:val="22"/>
        </w:rPr>
        <w:t>Not applicable.</w:t>
      </w:r>
    </w:p>
    <w:p w:rsidR="00275570" w:rsidRPr="00BA10EF" w:rsidRDefault="00275570" w:rsidP="00275570">
      <w:pPr>
        <w:rPr>
          <w:rFonts w:ascii="Arial" w:hAnsi="Arial" w:cs="Arial"/>
          <w:b/>
          <w:sz w:val="22"/>
        </w:rPr>
      </w:pPr>
    </w:p>
    <w:p w:rsidR="00F37758" w:rsidRPr="00BA10EF" w:rsidRDefault="00EF0560" w:rsidP="00B643FC">
      <w:pPr>
        <w:spacing w:after="120"/>
        <w:ind w:left="360" w:hanging="360"/>
        <w:rPr>
          <w:rFonts w:ascii="Arial" w:hAnsi="Arial" w:cs="Arial"/>
          <w:sz w:val="22"/>
        </w:rPr>
      </w:pPr>
      <w:r w:rsidRPr="00BA10EF">
        <w:rPr>
          <w:rFonts w:ascii="Arial" w:hAnsi="Arial" w:cs="Arial"/>
          <w:sz w:val="22"/>
        </w:rPr>
        <w:t>B.</w:t>
      </w:r>
      <w:r w:rsidRPr="00BA10EF">
        <w:rPr>
          <w:rFonts w:ascii="Arial" w:hAnsi="Arial" w:cs="Arial"/>
          <w:b/>
          <w:sz w:val="22"/>
        </w:rPr>
        <w:t xml:space="preserve"> </w:t>
      </w:r>
      <w:r w:rsidR="00B643FC" w:rsidRPr="00BA10EF">
        <w:rPr>
          <w:rFonts w:ascii="Arial" w:hAnsi="Arial" w:cs="Arial"/>
          <w:b/>
          <w:sz w:val="22"/>
        </w:rPr>
        <w:t xml:space="preserve"> </w:t>
      </w:r>
      <w:r w:rsidRPr="00BA10EF">
        <w:rPr>
          <w:rFonts w:ascii="Arial" w:hAnsi="Arial" w:cs="Arial"/>
          <w:sz w:val="22"/>
        </w:rPr>
        <w:t>COLLECTION OF INFORMATION EMPLOYING STATISTICAL METHODS</w:t>
      </w:r>
    </w:p>
    <w:p w:rsidR="00103ABE" w:rsidRPr="00BA10EF" w:rsidRDefault="00B643FC" w:rsidP="0014778E">
      <w:pPr>
        <w:autoSpaceDE w:val="0"/>
        <w:autoSpaceDN w:val="0"/>
        <w:adjustRightInd w:val="0"/>
        <w:spacing w:after="120"/>
        <w:ind w:left="360"/>
        <w:rPr>
          <w:rFonts w:ascii="Arial" w:hAnsi="Arial" w:cs="Arial"/>
          <w:sz w:val="22"/>
        </w:rPr>
      </w:pPr>
      <w:r w:rsidRPr="00BA10EF">
        <w:rPr>
          <w:rFonts w:ascii="Arial" w:hAnsi="Arial" w:cs="Arial"/>
          <w:sz w:val="22"/>
        </w:rPr>
        <w:t>The information collection does not employ statistical methods</w:t>
      </w:r>
      <w:r w:rsidR="00103ABE" w:rsidRPr="00BA10EF">
        <w:rPr>
          <w:rFonts w:ascii="Arial" w:hAnsi="Arial" w:cs="Arial"/>
          <w:sz w:val="22"/>
        </w:rPr>
        <w:t>:</w:t>
      </w:r>
      <w:r w:rsidRPr="00BA10EF">
        <w:rPr>
          <w:rFonts w:ascii="Arial" w:hAnsi="Arial" w:cs="Arial"/>
          <w:sz w:val="22"/>
        </w:rPr>
        <w:t xml:space="preserve"> </w:t>
      </w:r>
    </w:p>
    <w:p w:rsidR="00F37758" w:rsidRPr="00BA10EF" w:rsidRDefault="00F37758" w:rsidP="00ED3C56">
      <w:pPr>
        <w:pStyle w:val="ListBullet"/>
        <w:numPr>
          <w:ilvl w:val="0"/>
          <w:numId w:val="0"/>
        </w:numPr>
        <w:spacing w:after="120"/>
        <w:ind w:left="720"/>
        <w:contextualSpacing w:val="0"/>
        <w:rPr>
          <w:rFonts w:ascii="Arial" w:hAnsi="Arial" w:cs="Arial"/>
          <w:sz w:val="22"/>
        </w:rPr>
      </w:pPr>
    </w:p>
    <w:sectPr w:rsidR="00F37758" w:rsidRPr="00BA10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51" w:rsidRDefault="00247F51" w:rsidP="003B1492">
      <w:r>
        <w:separator/>
      </w:r>
    </w:p>
  </w:endnote>
  <w:endnote w:type="continuationSeparator" w:id="0">
    <w:p w:rsidR="00247F51" w:rsidRDefault="00247F51" w:rsidP="003B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235476"/>
      <w:docPartObj>
        <w:docPartGallery w:val="Page Numbers (Bottom of Page)"/>
        <w:docPartUnique/>
      </w:docPartObj>
    </w:sdtPr>
    <w:sdtEndPr>
      <w:rPr>
        <w:noProof/>
      </w:rPr>
    </w:sdtEndPr>
    <w:sdtContent>
      <w:p w:rsidR="003B1492" w:rsidRDefault="003B1492">
        <w:pPr>
          <w:pStyle w:val="Footer"/>
          <w:jc w:val="center"/>
        </w:pPr>
        <w:r>
          <w:fldChar w:fldCharType="begin"/>
        </w:r>
        <w:r>
          <w:instrText xml:space="preserve"> PAGE   \* MERGEFORMAT </w:instrText>
        </w:r>
        <w:r>
          <w:fldChar w:fldCharType="separate"/>
        </w:r>
        <w:r w:rsidR="005D6301">
          <w:rPr>
            <w:noProof/>
          </w:rPr>
          <w:t>6</w:t>
        </w:r>
        <w:r>
          <w:rPr>
            <w:noProof/>
          </w:rPr>
          <w:fldChar w:fldCharType="end"/>
        </w:r>
      </w:p>
    </w:sdtContent>
  </w:sdt>
  <w:p w:rsidR="003B1492" w:rsidRDefault="003B1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51" w:rsidRDefault="00247F51" w:rsidP="003B1492">
      <w:r>
        <w:separator/>
      </w:r>
    </w:p>
  </w:footnote>
  <w:footnote w:type="continuationSeparator" w:id="0">
    <w:p w:rsidR="00247F51" w:rsidRDefault="00247F51" w:rsidP="003B1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8C055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A3412"/>
    <w:multiLevelType w:val="hybridMultilevel"/>
    <w:tmpl w:val="BBE03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A58B9"/>
    <w:multiLevelType w:val="hybridMultilevel"/>
    <w:tmpl w:val="D1B2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C73DC"/>
    <w:multiLevelType w:val="hybridMultilevel"/>
    <w:tmpl w:val="34E2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B29FF"/>
    <w:multiLevelType w:val="hybridMultilevel"/>
    <w:tmpl w:val="73A64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860BF"/>
    <w:multiLevelType w:val="hybridMultilevel"/>
    <w:tmpl w:val="B4F21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B2F82"/>
    <w:multiLevelType w:val="hybridMultilevel"/>
    <w:tmpl w:val="B386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909EA"/>
    <w:multiLevelType w:val="hybridMultilevel"/>
    <w:tmpl w:val="EF7E5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E1B5E"/>
    <w:multiLevelType w:val="hybridMultilevel"/>
    <w:tmpl w:val="4C281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63B33"/>
    <w:multiLevelType w:val="hybridMultilevel"/>
    <w:tmpl w:val="A9F0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81666"/>
    <w:multiLevelType w:val="hybridMultilevel"/>
    <w:tmpl w:val="0EDC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B5311"/>
    <w:multiLevelType w:val="hybridMultilevel"/>
    <w:tmpl w:val="F3EC5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A345D"/>
    <w:multiLevelType w:val="hybridMultilevel"/>
    <w:tmpl w:val="319CA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4E18"/>
    <w:multiLevelType w:val="hybridMultilevel"/>
    <w:tmpl w:val="4DD8CA8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A58AE"/>
    <w:multiLevelType w:val="hybridMultilevel"/>
    <w:tmpl w:val="79368D30"/>
    <w:lvl w:ilvl="0" w:tplc="F49CB078">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853ED"/>
    <w:multiLevelType w:val="hybridMultilevel"/>
    <w:tmpl w:val="E9841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23E"/>
    <w:multiLevelType w:val="hybridMultilevel"/>
    <w:tmpl w:val="0234E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B31A7"/>
    <w:multiLevelType w:val="hybridMultilevel"/>
    <w:tmpl w:val="2724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2E7E58"/>
    <w:multiLevelType w:val="hybridMultilevel"/>
    <w:tmpl w:val="9712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53396"/>
    <w:multiLevelType w:val="hybridMultilevel"/>
    <w:tmpl w:val="981A9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312687"/>
    <w:multiLevelType w:val="hybridMultilevel"/>
    <w:tmpl w:val="6450D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906861"/>
    <w:multiLevelType w:val="hybridMultilevel"/>
    <w:tmpl w:val="40B6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F16028"/>
    <w:multiLevelType w:val="hybridMultilevel"/>
    <w:tmpl w:val="75664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E52CFF"/>
    <w:multiLevelType w:val="hybridMultilevel"/>
    <w:tmpl w:val="C74E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8E7545"/>
    <w:multiLevelType w:val="hybridMultilevel"/>
    <w:tmpl w:val="6F7C67B4"/>
    <w:lvl w:ilvl="0" w:tplc="D1089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662938"/>
    <w:multiLevelType w:val="hybridMultilevel"/>
    <w:tmpl w:val="E82C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951D6"/>
    <w:multiLevelType w:val="hybridMultilevel"/>
    <w:tmpl w:val="821C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F840A4"/>
    <w:multiLevelType w:val="hybridMultilevel"/>
    <w:tmpl w:val="16F28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825FDF"/>
    <w:multiLevelType w:val="hybridMultilevel"/>
    <w:tmpl w:val="6EC26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D12951"/>
    <w:multiLevelType w:val="hybridMultilevel"/>
    <w:tmpl w:val="8A3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70F68"/>
    <w:multiLevelType w:val="hybridMultilevel"/>
    <w:tmpl w:val="81426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184FFD"/>
    <w:multiLevelType w:val="hybridMultilevel"/>
    <w:tmpl w:val="48D2F8C0"/>
    <w:lvl w:ilvl="0" w:tplc="E28A5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AD74C05"/>
    <w:multiLevelType w:val="hybridMultilevel"/>
    <w:tmpl w:val="636C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402347"/>
    <w:multiLevelType w:val="hybridMultilevel"/>
    <w:tmpl w:val="0154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E11E3E"/>
    <w:multiLevelType w:val="hybridMultilevel"/>
    <w:tmpl w:val="B64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10ED7"/>
    <w:multiLevelType w:val="hybridMultilevel"/>
    <w:tmpl w:val="88E0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723E5F"/>
    <w:multiLevelType w:val="hybridMultilevel"/>
    <w:tmpl w:val="F988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793A53"/>
    <w:multiLevelType w:val="hybridMultilevel"/>
    <w:tmpl w:val="73422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197B85"/>
    <w:multiLevelType w:val="hybridMultilevel"/>
    <w:tmpl w:val="CA8E6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20E0F"/>
    <w:multiLevelType w:val="hybridMultilevel"/>
    <w:tmpl w:val="904E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67C9A"/>
    <w:multiLevelType w:val="hybridMultilevel"/>
    <w:tmpl w:val="E76A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FC7799"/>
    <w:multiLevelType w:val="hybridMultilevel"/>
    <w:tmpl w:val="F000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43059"/>
    <w:multiLevelType w:val="hybridMultilevel"/>
    <w:tmpl w:val="2238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5311C0"/>
    <w:multiLevelType w:val="hybridMultilevel"/>
    <w:tmpl w:val="2DDCA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2A2DF0"/>
    <w:multiLevelType w:val="hybridMultilevel"/>
    <w:tmpl w:val="6512D35A"/>
    <w:lvl w:ilvl="0" w:tplc="9D00B9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782F5C"/>
    <w:multiLevelType w:val="hybridMultilevel"/>
    <w:tmpl w:val="C1046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B6AB1"/>
    <w:multiLevelType w:val="hybridMultilevel"/>
    <w:tmpl w:val="CDF0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D17F1F"/>
    <w:multiLevelType w:val="hybridMultilevel"/>
    <w:tmpl w:val="3450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AB1511"/>
    <w:multiLevelType w:val="hybridMultilevel"/>
    <w:tmpl w:val="C3F63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2"/>
  </w:num>
  <w:num w:numId="4">
    <w:abstractNumId w:val="37"/>
  </w:num>
  <w:num w:numId="5">
    <w:abstractNumId w:val="5"/>
  </w:num>
  <w:num w:numId="6">
    <w:abstractNumId w:val="35"/>
  </w:num>
  <w:num w:numId="7">
    <w:abstractNumId w:val="23"/>
  </w:num>
  <w:num w:numId="8">
    <w:abstractNumId w:val="32"/>
  </w:num>
  <w:num w:numId="9">
    <w:abstractNumId w:val="34"/>
  </w:num>
  <w:num w:numId="10">
    <w:abstractNumId w:val="41"/>
  </w:num>
  <w:num w:numId="11">
    <w:abstractNumId w:val="22"/>
  </w:num>
  <w:num w:numId="12">
    <w:abstractNumId w:val="15"/>
  </w:num>
  <w:num w:numId="13">
    <w:abstractNumId w:val="46"/>
  </w:num>
  <w:num w:numId="14">
    <w:abstractNumId w:val="21"/>
  </w:num>
  <w:num w:numId="15">
    <w:abstractNumId w:val="36"/>
  </w:num>
  <w:num w:numId="16">
    <w:abstractNumId w:val="39"/>
  </w:num>
  <w:num w:numId="17">
    <w:abstractNumId w:val="11"/>
  </w:num>
  <w:num w:numId="18">
    <w:abstractNumId w:val="48"/>
  </w:num>
  <w:num w:numId="19">
    <w:abstractNumId w:val="9"/>
  </w:num>
  <w:num w:numId="20">
    <w:abstractNumId w:val="43"/>
  </w:num>
  <w:num w:numId="21">
    <w:abstractNumId w:val="47"/>
  </w:num>
  <w:num w:numId="22">
    <w:abstractNumId w:val="42"/>
  </w:num>
  <w:num w:numId="23">
    <w:abstractNumId w:val="19"/>
  </w:num>
  <w:num w:numId="24">
    <w:abstractNumId w:val="27"/>
  </w:num>
  <w:num w:numId="25">
    <w:abstractNumId w:val="4"/>
  </w:num>
  <w:num w:numId="26">
    <w:abstractNumId w:val="7"/>
  </w:num>
  <w:num w:numId="27">
    <w:abstractNumId w:val="26"/>
  </w:num>
  <w:num w:numId="28">
    <w:abstractNumId w:val="16"/>
  </w:num>
  <w:num w:numId="29">
    <w:abstractNumId w:val="28"/>
  </w:num>
  <w:num w:numId="30">
    <w:abstractNumId w:val="25"/>
  </w:num>
  <w:num w:numId="31">
    <w:abstractNumId w:val="17"/>
  </w:num>
  <w:num w:numId="32">
    <w:abstractNumId w:val="40"/>
  </w:num>
  <w:num w:numId="33">
    <w:abstractNumId w:val="10"/>
  </w:num>
  <w:num w:numId="34">
    <w:abstractNumId w:val="1"/>
  </w:num>
  <w:num w:numId="35">
    <w:abstractNumId w:val="8"/>
  </w:num>
  <w:num w:numId="36">
    <w:abstractNumId w:val="30"/>
  </w:num>
  <w:num w:numId="37">
    <w:abstractNumId w:val="38"/>
  </w:num>
  <w:num w:numId="38">
    <w:abstractNumId w:val="18"/>
  </w:num>
  <w:num w:numId="39">
    <w:abstractNumId w:val="33"/>
  </w:num>
  <w:num w:numId="40">
    <w:abstractNumId w:val="3"/>
  </w:num>
  <w:num w:numId="41">
    <w:abstractNumId w:val="2"/>
  </w:num>
  <w:num w:numId="42">
    <w:abstractNumId w:val="14"/>
  </w:num>
  <w:num w:numId="43">
    <w:abstractNumId w:val="45"/>
  </w:num>
  <w:num w:numId="44">
    <w:abstractNumId w:val="29"/>
  </w:num>
  <w:num w:numId="45">
    <w:abstractNumId w:val="31"/>
  </w:num>
  <w:num w:numId="46">
    <w:abstractNumId w:val="24"/>
  </w:num>
  <w:num w:numId="47">
    <w:abstractNumId w:val="44"/>
  </w:num>
  <w:num w:numId="48">
    <w:abstractNumId w:val="1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19"/>
    <w:rsid w:val="000047A9"/>
    <w:rsid w:val="000050C6"/>
    <w:rsid w:val="00005462"/>
    <w:rsid w:val="00020522"/>
    <w:rsid w:val="00033404"/>
    <w:rsid w:val="00037963"/>
    <w:rsid w:val="000432B2"/>
    <w:rsid w:val="000536DD"/>
    <w:rsid w:val="00057342"/>
    <w:rsid w:val="00057B5E"/>
    <w:rsid w:val="000657C1"/>
    <w:rsid w:val="00074E1A"/>
    <w:rsid w:val="00077F3E"/>
    <w:rsid w:val="00080366"/>
    <w:rsid w:val="0008048D"/>
    <w:rsid w:val="00086A54"/>
    <w:rsid w:val="000A7830"/>
    <w:rsid w:val="000B3804"/>
    <w:rsid w:val="000D4283"/>
    <w:rsid w:val="000D443B"/>
    <w:rsid w:val="000E26BF"/>
    <w:rsid w:val="000E27F0"/>
    <w:rsid w:val="000F1D4C"/>
    <w:rsid w:val="001032CF"/>
    <w:rsid w:val="00103ABE"/>
    <w:rsid w:val="00106462"/>
    <w:rsid w:val="00142A8A"/>
    <w:rsid w:val="00144EDA"/>
    <w:rsid w:val="0014778E"/>
    <w:rsid w:val="001525BF"/>
    <w:rsid w:val="00160C2B"/>
    <w:rsid w:val="00163B14"/>
    <w:rsid w:val="00164E7A"/>
    <w:rsid w:val="001747C5"/>
    <w:rsid w:val="0017513E"/>
    <w:rsid w:val="00175FB3"/>
    <w:rsid w:val="001903CE"/>
    <w:rsid w:val="00191D48"/>
    <w:rsid w:val="001A46A9"/>
    <w:rsid w:val="001D6199"/>
    <w:rsid w:val="001E0E1F"/>
    <w:rsid w:val="001E2B36"/>
    <w:rsid w:val="001E4DF7"/>
    <w:rsid w:val="001E54CC"/>
    <w:rsid w:val="001E5BA5"/>
    <w:rsid w:val="001E750C"/>
    <w:rsid w:val="001F2658"/>
    <w:rsid w:val="00206731"/>
    <w:rsid w:val="002067DD"/>
    <w:rsid w:val="00213DCE"/>
    <w:rsid w:val="00216661"/>
    <w:rsid w:val="0022241B"/>
    <w:rsid w:val="00231DB1"/>
    <w:rsid w:val="00234186"/>
    <w:rsid w:val="00237DFF"/>
    <w:rsid w:val="00247F51"/>
    <w:rsid w:val="002532CB"/>
    <w:rsid w:val="00260784"/>
    <w:rsid w:val="00260A1C"/>
    <w:rsid w:val="00272481"/>
    <w:rsid w:val="00275570"/>
    <w:rsid w:val="0027750B"/>
    <w:rsid w:val="00280EEB"/>
    <w:rsid w:val="00284159"/>
    <w:rsid w:val="00292DD1"/>
    <w:rsid w:val="002A0D86"/>
    <w:rsid w:val="002A3754"/>
    <w:rsid w:val="002A5658"/>
    <w:rsid w:val="002B0497"/>
    <w:rsid w:val="002B0602"/>
    <w:rsid w:val="002B1D02"/>
    <w:rsid w:val="002B63FF"/>
    <w:rsid w:val="002C7F44"/>
    <w:rsid w:val="002D304B"/>
    <w:rsid w:val="002E3DE4"/>
    <w:rsid w:val="002F1BCB"/>
    <w:rsid w:val="002F3677"/>
    <w:rsid w:val="002F5EA0"/>
    <w:rsid w:val="003023C7"/>
    <w:rsid w:val="0030624F"/>
    <w:rsid w:val="00306676"/>
    <w:rsid w:val="00334224"/>
    <w:rsid w:val="00343824"/>
    <w:rsid w:val="00347803"/>
    <w:rsid w:val="0037315D"/>
    <w:rsid w:val="003809C6"/>
    <w:rsid w:val="00382DC4"/>
    <w:rsid w:val="00396295"/>
    <w:rsid w:val="00396DE9"/>
    <w:rsid w:val="0039702F"/>
    <w:rsid w:val="00397768"/>
    <w:rsid w:val="003A5892"/>
    <w:rsid w:val="003B0363"/>
    <w:rsid w:val="003B0C72"/>
    <w:rsid w:val="003B1492"/>
    <w:rsid w:val="003B5A3A"/>
    <w:rsid w:val="003C2F96"/>
    <w:rsid w:val="003D493B"/>
    <w:rsid w:val="003E6DDE"/>
    <w:rsid w:val="003E7F4C"/>
    <w:rsid w:val="003F1436"/>
    <w:rsid w:val="003F262F"/>
    <w:rsid w:val="003F677A"/>
    <w:rsid w:val="00401042"/>
    <w:rsid w:val="004049E6"/>
    <w:rsid w:val="00406798"/>
    <w:rsid w:val="0040776A"/>
    <w:rsid w:val="00412022"/>
    <w:rsid w:val="004153FB"/>
    <w:rsid w:val="00424BFD"/>
    <w:rsid w:val="00431A02"/>
    <w:rsid w:val="00440604"/>
    <w:rsid w:val="00450145"/>
    <w:rsid w:val="0045445D"/>
    <w:rsid w:val="00456B12"/>
    <w:rsid w:val="00473B6C"/>
    <w:rsid w:val="004824C3"/>
    <w:rsid w:val="00482E2B"/>
    <w:rsid w:val="00491034"/>
    <w:rsid w:val="004916AE"/>
    <w:rsid w:val="004937BE"/>
    <w:rsid w:val="0049689E"/>
    <w:rsid w:val="00497F69"/>
    <w:rsid w:val="004A1E96"/>
    <w:rsid w:val="004A241C"/>
    <w:rsid w:val="004A385B"/>
    <w:rsid w:val="004A48AE"/>
    <w:rsid w:val="004B488A"/>
    <w:rsid w:val="004B6618"/>
    <w:rsid w:val="004B6F6E"/>
    <w:rsid w:val="004C07C4"/>
    <w:rsid w:val="004C11F2"/>
    <w:rsid w:val="004C6710"/>
    <w:rsid w:val="004E29D2"/>
    <w:rsid w:val="004F3244"/>
    <w:rsid w:val="005149D3"/>
    <w:rsid w:val="00524EDF"/>
    <w:rsid w:val="00532829"/>
    <w:rsid w:val="00536F63"/>
    <w:rsid w:val="00545339"/>
    <w:rsid w:val="005479C4"/>
    <w:rsid w:val="00555295"/>
    <w:rsid w:val="005704E8"/>
    <w:rsid w:val="0057368A"/>
    <w:rsid w:val="00583942"/>
    <w:rsid w:val="00585159"/>
    <w:rsid w:val="005859EB"/>
    <w:rsid w:val="00585FE7"/>
    <w:rsid w:val="00590A20"/>
    <w:rsid w:val="005963B4"/>
    <w:rsid w:val="005A039F"/>
    <w:rsid w:val="005A5CCF"/>
    <w:rsid w:val="005A6686"/>
    <w:rsid w:val="005B736A"/>
    <w:rsid w:val="005B79E8"/>
    <w:rsid w:val="005C2387"/>
    <w:rsid w:val="005D57CA"/>
    <w:rsid w:val="005D6301"/>
    <w:rsid w:val="005F444A"/>
    <w:rsid w:val="0060297F"/>
    <w:rsid w:val="00603DFB"/>
    <w:rsid w:val="006059D0"/>
    <w:rsid w:val="00623B55"/>
    <w:rsid w:val="006270B3"/>
    <w:rsid w:val="006332AC"/>
    <w:rsid w:val="00636282"/>
    <w:rsid w:val="00642CFC"/>
    <w:rsid w:val="0066475D"/>
    <w:rsid w:val="0067354A"/>
    <w:rsid w:val="00685876"/>
    <w:rsid w:val="006878F2"/>
    <w:rsid w:val="0069190E"/>
    <w:rsid w:val="006937F5"/>
    <w:rsid w:val="00694261"/>
    <w:rsid w:val="0069466C"/>
    <w:rsid w:val="00695078"/>
    <w:rsid w:val="0069632E"/>
    <w:rsid w:val="006B0C29"/>
    <w:rsid w:val="006C1A06"/>
    <w:rsid w:val="006E2B72"/>
    <w:rsid w:val="006E5174"/>
    <w:rsid w:val="006E68F1"/>
    <w:rsid w:val="006F2FB9"/>
    <w:rsid w:val="006F6B90"/>
    <w:rsid w:val="006F6C69"/>
    <w:rsid w:val="007108C7"/>
    <w:rsid w:val="00711F58"/>
    <w:rsid w:val="00714587"/>
    <w:rsid w:val="00715CC3"/>
    <w:rsid w:val="00717592"/>
    <w:rsid w:val="00720FA0"/>
    <w:rsid w:val="007240EF"/>
    <w:rsid w:val="007254ED"/>
    <w:rsid w:val="0074339E"/>
    <w:rsid w:val="00745041"/>
    <w:rsid w:val="00745DDC"/>
    <w:rsid w:val="00753EB4"/>
    <w:rsid w:val="00757BC5"/>
    <w:rsid w:val="007646CE"/>
    <w:rsid w:val="0078088F"/>
    <w:rsid w:val="00783814"/>
    <w:rsid w:val="007925F6"/>
    <w:rsid w:val="00797FE1"/>
    <w:rsid w:val="007A291F"/>
    <w:rsid w:val="007A4E32"/>
    <w:rsid w:val="007B1F43"/>
    <w:rsid w:val="007B27F8"/>
    <w:rsid w:val="007B57D9"/>
    <w:rsid w:val="007B6740"/>
    <w:rsid w:val="007C1C4F"/>
    <w:rsid w:val="007C2387"/>
    <w:rsid w:val="007C606E"/>
    <w:rsid w:val="007D4399"/>
    <w:rsid w:val="007D7CA2"/>
    <w:rsid w:val="007E1723"/>
    <w:rsid w:val="007E7F61"/>
    <w:rsid w:val="007F003D"/>
    <w:rsid w:val="007F036D"/>
    <w:rsid w:val="007F7DAC"/>
    <w:rsid w:val="00805993"/>
    <w:rsid w:val="00807D49"/>
    <w:rsid w:val="00813B22"/>
    <w:rsid w:val="00824362"/>
    <w:rsid w:val="00824392"/>
    <w:rsid w:val="008269D2"/>
    <w:rsid w:val="0083594B"/>
    <w:rsid w:val="0084243B"/>
    <w:rsid w:val="008431A7"/>
    <w:rsid w:val="00843E1C"/>
    <w:rsid w:val="00855047"/>
    <w:rsid w:val="00863934"/>
    <w:rsid w:val="00865FE2"/>
    <w:rsid w:val="00874F6B"/>
    <w:rsid w:val="00890279"/>
    <w:rsid w:val="00897158"/>
    <w:rsid w:val="008A17A5"/>
    <w:rsid w:val="008A701E"/>
    <w:rsid w:val="008B7080"/>
    <w:rsid w:val="008B7666"/>
    <w:rsid w:val="008C346F"/>
    <w:rsid w:val="008D1F10"/>
    <w:rsid w:val="008D55D9"/>
    <w:rsid w:val="008D70E2"/>
    <w:rsid w:val="008E33DF"/>
    <w:rsid w:val="008E5BBE"/>
    <w:rsid w:val="008E7FC3"/>
    <w:rsid w:val="008F4382"/>
    <w:rsid w:val="00901C3B"/>
    <w:rsid w:val="0091358A"/>
    <w:rsid w:val="0091578F"/>
    <w:rsid w:val="009261B6"/>
    <w:rsid w:val="00930565"/>
    <w:rsid w:val="00932EB6"/>
    <w:rsid w:val="009418D4"/>
    <w:rsid w:val="009649D8"/>
    <w:rsid w:val="0097754C"/>
    <w:rsid w:val="009816F8"/>
    <w:rsid w:val="00981C7A"/>
    <w:rsid w:val="009A1207"/>
    <w:rsid w:val="009A51D9"/>
    <w:rsid w:val="009A5A01"/>
    <w:rsid w:val="009A6699"/>
    <w:rsid w:val="009B2AF0"/>
    <w:rsid w:val="009B7A50"/>
    <w:rsid w:val="009C1BBF"/>
    <w:rsid w:val="009C2BDC"/>
    <w:rsid w:val="009D4B96"/>
    <w:rsid w:val="009D6EEB"/>
    <w:rsid w:val="009F1E99"/>
    <w:rsid w:val="009F454C"/>
    <w:rsid w:val="009F6C92"/>
    <w:rsid w:val="00A0663B"/>
    <w:rsid w:val="00A066C9"/>
    <w:rsid w:val="00A24105"/>
    <w:rsid w:val="00A2441F"/>
    <w:rsid w:val="00A26A27"/>
    <w:rsid w:val="00A32797"/>
    <w:rsid w:val="00A361E4"/>
    <w:rsid w:val="00A3729D"/>
    <w:rsid w:val="00A37C62"/>
    <w:rsid w:val="00A42E19"/>
    <w:rsid w:val="00A4778F"/>
    <w:rsid w:val="00A5139D"/>
    <w:rsid w:val="00A54D49"/>
    <w:rsid w:val="00A65415"/>
    <w:rsid w:val="00A728EF"/>
    <w:rsid w:val="00A72C5E"/>
    <w:rsid w:val="00A72F9B"/>
    <w:rsid w:val="00A837FF"/>
    <w:rsid w:val="00A9064D"/>
    <w:rsid w:val="00A95980"/>
    <w:rsid w:val="00A96712"/>
    <w:rsid w:val="00AA1C46"/>
    <w:rsid w:val="00AB2A65"/>
    <w:rsid w:val="00AC093A"/>
    <w:rsid w:val="00AD2E38"/>
    <w:rsid w:val="00AD3712"/>
    <w:rsid w:val="00AD488B"/>
    <w:rsid w:val="00AE017A"/>
    <w:rsid w:val="00AE48B2"/>
    <w:rsid w:val="00AE637D"/>
    <w:rsid w:val="00AF22E6"/>
    <w:rsid w:val="00AF6256"/>
    <w:rsid w:val="00B10670"/>
    <w:rsid w:val="00B13C55"/>
    <w:rsid w:val="00B20A87"/>
    <w:rsid w:val="00B22FC1"/>
    <w:rsid w:val="00B25A34"/>
    <w:rsid w:val="00B25AF1"/>
    <w:rsid w:val="00B31FA4"/>
    <w:rsid w:val="00B367E9"/>
    <w:rsid w:val="00B643FC"/>
    <w:rsid w:val="00B805F9"/>
    <w:rsid w:val="00B80683"/>
    <w:rsid w:val="00B90276"/>
    <w:rsid w:val="00B9274E"/>
    <w:rsid w:val="00B949E1"/>
    <w:rsid w:val="00BA10EF"/>
    <w:rsid w:val="00BA4384"/>
    <w:rsid w:val="00BA4DE7"/>
    <w:rsid w:val="00BB2BC5"/>
    <w:rsid w:val="00BB33C9"/>
    <w:rsid w:val="00BB7D77"/>
    <w:rsid w:val="00BC26F3"/>
    <w:rsid w:val="00BC28C2"/>
    <w:rsid w:val="00BC5479"/>
    <w:rsid w:val="00BD27AC"/>
    <w:rsid w:val="00BE0351"/>
    <w:rsid w:val="00BE1868"/>
    <w:rsid w:val="00BF19D7"/>
    <w:rsid w:val="00BF6D63"/>
    <w:rsid w:val="00C02CB9"/>
    <w:rsid w:val="00C1622A"/>
    <w:rsid w:val="00C17228"/>
    <w:rsid w:val="00C232A2"/>
    <w:rsid w:val="00C34F60"/>
    <w:rsid w:val="00C42354"/>
    <w:rsid w:val="00C44090"/>
    <w:rsid w:val="00C441A4"/>
    <w:rsid w:val="00C5051F"/>
    <w:rsid w:val="00C5263F"/>
    <w:rsid w:val="00C605ED"/>
    <w:rsid w:val="00C67065"/>
    <w:rsid w:val="00C701D7"/>
    <w:rsid w:val="00C70ABE"/>
    <w:rsid w:val="00C72BB9"/>
    <w:rsid w:val="00C77CC0"/>
    <w:rsid w:val="00C84B45"/>
    <w:rsid w:val="00CB116E"/>
    <w:rsid w:val="00CB1BC6"/>
    <w:rsid w:val="00CB216B"/>
    <w:rsid w:val="00CB28C2"/>
    <w:rsid w:val="00CC4EAD"/>
    <w:rsid w:val="00CD110B"/>
    <w:rsid w:val="00CD5288"/>
    <w:rsid w:val="00CD5CF4"/>
    <w:rsid w:val="00CF25D5"/>
    <w:rsid w:val="00D0352D"/>
    <w:rsid w:val="00D23E92"/>
    <w:rsid w:val="00D26618"/>
    <w:rsid w:val="00D3214F"/>
    <w:rsid w:val="00D43769"/>
    <w:rsid w:val="00D507AA"/>
    <w:rsid w:val="00D520E8"/>
    <w:rsid w:val="00D5230A"/>
    <w:rsid w:val="00D541DE"/>
    <w:rsid w:val="00D61887"/>
    <w:rsid w:val="00D62F52"/>
    <w:rsid w:val="00D6482B"/>
    <w:rsid w:val="00D7577A"/>
    <w:rsid w:val="00D801F9"/>
    <w:rsid w:val="00D9084F"/>
    <w:rsid w:val="00DA04CB"/>
    <w:rsid w:val="00DA09F4"/>
    <w:rsid w:val="00DA36CA"/>
    <w:rsid w:val="00DC0B02"/>
    <w:rsid w:val="00DC0C95"/>
    <w:rsid w:val="00DC45AE"/>
    <w:rsid w:val="00DC660D"/>
    <w:rsid w:val="00DD11B2"/>
    <w:rsid w:val="00DE1D50"/>
    <w:rsid w:val="00DE1F17"/>
    <w:rsid w:val="00DF5F27"/>
    <w:rsid w:val="00E01E55"/>
    <w:rsid w:val="00E07417"/>
    <w:rsid w:val="00E24BEE"/>
    <w:rsid w:val="00E31615"/>
    <w:rsid w:val="00E41878"/>
    <w:rsid w:val="00E544AD"/>
    <w:rsid w:val="00E55A20"/>
    <w:rsid w:val="00E611D0"/>
    <w:rsid w:val="00E614BC"/>
    <w:rsid w:val="00E632D4"/>
    <w:rsid w:val="00E678A1"/>
    <w:rsid w:val="00E772AA"/>
    <w:rsid w:val="00E82D08"/>
    <w:rsid w:val="00E8408E"/>
    <w:rsid w:val="00E84CCE"/>
    <w:rsid w:val="00E91DF5"/>
    <w:rsid w:val="00E92B82"/>
    <w:rsid w:val="00E95B39"/>
    <w:rsid w:val="00EA3404"/>
    <w:rsid w:val="00EA5211"/>
    <w:rsid w:val="00EB2AE6"/>
    <w:rsid w:val="00EB6155"/>
    <w:rsid w:val="00EC2E20"/>
    <w:rsid w:val="00EC713B"/>
    <w:rsid w:val="00ED3C56"/>
    <w:rsid w:val="00ED69C6"/>
    <w:rsid w:val="00EE1DFF"/>
    <w:rsid w:val="00EF0560"/>
    <w:rsid w:val="00EF1AA8"/>
    <w:rsid w:val="00F15E3C"/>
    <w:rsid w:val="00F254C0"/>
    <w:rsid w:val="00F37758"/>
    <w:rsid w:val="00F40F99"/>
    <w:rsid w:val="00F42E45"/>
    <w:rsid w:val="00F57C55"/>
    <w:rsid w:val="00F610AD"/>
    <w:rsid w:val="00F612A5"/>
    <w:rsid w:val="00F63C77"/>
    <w:rsid w:val="00F820BA"/>
    <w:rsid w:val="00F82397"/>
    <w:rsid w:val="00F8645B"/>
    <w:rsid w:val="00F916EF"/>
    <w:rsid w:val="00FA62B7"/>
    <w:rsid w:val="00FA7946"/>
    <w:rsid w:val="00FB294B"/>
    <w:rsid w:val="00FC14E1"/>
    <w:rsid w:val="00FD0229"/>
    <w:rsid w:val="00FE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D5A6E-0D58-4AAA-8316-14D0F441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A0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701E"/>
    <w:pPr>
      <w:ind w:left="720"/>
      <w:contextualSpacing/>
    </w:pPr>
  </w:style>
  <w:style w:type="character" w:styleId="Hyperlink">
    <w:name w:val="Hyperlink"/>
    <w:basedOn w:val="DefaultParagraphFont"/>
    <w:uiPriority w:val="99"/>
    <w:unhideWhenUsed/>
    <w:rsid w:val="00A54D49"/>
    <w:rPr>
      <w:color w:val="0000FF"/>
      <w:u w:val="single"/>
    </w:rPr>
  </w:style>
  <w:style w:type="character" w:customStyle="1" w:styleId="kn">
    <w:name w:val="kn"/>
    <w:basedOn w:val="DefaultParagraphFont"/>
    <w:rsid w:val="0008048D"/>
  </w:style>
  <w:style w:type="character" w:customStyle="1" w:styleId="apple-converted-space">
    <w:name w:val="apple-converted-space"/>
    <w:basedOn w:val="DefaultParagraphFont"/>
    <w:rsid w:val="0008048D"/>
  </w:style>
  <w:style w:type="paragraph" w:styleId="BalloonText">
    <w:name w:val="Balloon Text"/>
    <w:basedOn w:val="Normal"/>
    <w:link w:val="BalloonTextChar"/>
    <w:uiPriority w:val="99"/>
    <w:semiHidden/>
    <w:unhideWhenUsed/>
    <w:rsid w:val="00CB1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16E"/>
    <w:rPr>
      <w:rFonts w:ascii="Segoe UI" w:hAnsi="Segoe UI" w:cs="Segoe UI"/>
      <w:sz w:val="18"/>
      <w:szCs w:val="18"/>
    </w:rPr>
  </w:style>
  <w:style w:type="character" w:customStyle="1" w:styleId="aqj">
    <w:name w:val="aqj"/>
    <w:basedOn w:val="DefaultParagraphFont"/>
    <w:rsid w:val="005A039F"/>
  </w:style>
  <w:style w:type="paragraph" w:styleId="Header">
    <w:name w:val="header"/>
    <w:basedOn w:val="Normal"/>
    <w:link w:val="HeaderChar"/>
    <w:uiPriority w:val="99"/>
    <w:unhideWhenUsed/>
    <w:rsid w:val="003B1492"/>
    <w:pPr>
      <w:tabs>
        <w:tab w:val="center" w:pos="4680"/>
        <w:tab w:val="right" w:pos="9360"/>
      </w:tabs>
    </w:pPr>
  </w:style>
  <w:style w:type="character" w:customStyle="1" w:styleId="HeaderChar">
    <w:name w:val="Header Char"/>
    <w:basedOn w:val="DefaultParagraphFont"/>
    <w:link w:val="Header"/>
    <w:uiPriority w:val="99"/>
    <w:rsid w:val="003B1492"/>
    <w:rPr>
      <w:rFonts w:ascii="Times New Roman" w:hAnsi="Times New Roman"/>
      <w:sz w:val="24"/>
    </w:rPr>
  </w:style>
  <w:style w:type="paragraph" w:styleId="Footer">
    <w:name w:val="footer"/>
    <w:basedOn w:val="Normal"/>
    <w:link w:val="FooterChar"/>
    <w:uiPriority w:val="99"/>
    <w:unhideWhenUsed/>
    <w:rsid w:val="003B1492"/>
    <w:pPr>
      <w:tabs>
        <w:tab w:val="center" w:pos="4680"/>
        <w:tab w:val="right" w:pos="9360"/>
      </w:tabs>
    </w:pPr>
  </w:style>
  <w:style w:type="character" w:customStyle="1" w:styleId="FooterChar">
    <w:name w:val="Footer Char"/>
    <w:basedOn w:val="DefaultParagraphFont"/>
    <w:link w:val="Footer"/>
    <w:uiPriority w:val="99"/>
    <w:rsid w:val="003B1492"/>
    <w:rPr>
      <w:rFonts w:ascii="Times New Roman" w:hAnsi="Times New Roman"/>
      <w:sz w:val="24"/>
    </w:rPr>
  </w:style>
  <w:style w:type="character" w:styleId="FootnoteReference">
    <w:name w:val="footnote reference"/>
    <w:basedOn w:val="DefaultParagraphFont"/>
    <w:uiPriority w:val="99"/>
    <w:semiHidden/>
    <w:rsid w:val="00EA5211"/>
    <w:rPr>
      <w:rFonts w:cs="Times New Roman"/>
      <w:vertAlign w:val="superscript"/>
    </w:rPr>
  </w:style>
  <w:style w:type="paragraph" w:styleId="FootnoteText">
    <w:name w:val="footnote text"/>
    <w:basedOn w:val="Normal"/>
    <w:link w:val="FootnoteTextChar"/>
    <w:uiPriority w:val="99"/>
    <w:semiHidden/>
    <w:rsid w:val="00EA5211"/>
    <w:pPr>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EA5211"/>
    <w:rPr>
      <w:rFonts w:ascii="Arial" w:eastAsia="Times New Roman" w:hAnsi="Arial" w:cs="Times New Roman"/>
      <w:sz w:val="20"/>
      <w:szCs w:val="20"/>
    </w:rPr>
  </w:style>
  <w:style w:type="paragraph" w:customStyle="1" w:styleId="Default">
    <w:name w:val="Default"/>
    <w:rsid w:val="007C606E"/>
    <w:pPr>
      <w:autoSpaceDE w:val="0"/>
      <w:autoSpaceDN w:val="0"/>
      <w:adjustRightInd w:val="0"/>
    </w:pPr>
    <w:rPr>
      <w:rFonts w:ascii="Times New Roman" w:hAnsi="Times New Roman" w:cs="Times New Roman"/>
      <w:color w:val="000000"/>
      <w:sz w:val="24"/>
      <w:szCs w:val="24"/>
    </w:rPr>
  </w:style>
  <w:style w:type="paragraph" w:styleId="CommentText">
    <w:name w:val="annotation text"/>
    <w:basedOn w:val="Normal"/>
    <w:link w:val="CommentTextChar"/>
    <w:uiPriority w:val="99"/>
    <w:rsid w:val="007C606E"/>
    <w:pPr>
      <w:spacing w:after="200"/>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7C606E"/>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9B7A50"/>
    <w:rPr>
      <w:sz w:val="16"/>
      <w:szCs w:val="16"/>
    </w:rPr>
  </w:style>
  <w:style w:type="paragraph" w:styleId="CommentSubject">
    <w:name w:val="annotation subject"/>
    <w:basedOn w:val="CommentText"/>
    <w:next w:val="CommentText"/>
    <w:link w:val="CommentSubjectChar"/>
    <w:uiPriority w:val="99"/>
    <w:semiHidden/>
    <w:unhideWhenUsed/>
    <w:rsid w:val="009B7A50"/>
    <w:pPr>
      <w:spacing w:after="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9B7A50"/>
    <w:rPr>
      <w:rFonts w:ascii="Times New Roman" w:eastAsia="Times New Roman" w:hAnsi="Times New Roman" w:cs="Times New Roman"/>
      <w:b/>
      <w:bCs/>
      <w:sz w:val="20"/>
      <w:szCs w:val="20"/>
    </w:rPr>
  </w:style>
  <w:style w:type="table" w:styleId="TableGrid">
    <w:name w:val="Table Grid"/>
    <w:basedOn w:val="TableNormal"/>
    <w:uiPriority w:val="39"/>
    <w:rsid w:val="00691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03ABE"/>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347446">
      <w:bodyDiv w:val="1"/>
      <w:marLeft w:val="0"/>
      <w:marRight w:val="0"/>
      <w:marTop w:val="0"/>
      <w:marBottom w:val="0"/>
      <w:divBdr>
        <w:top w:val="none" w:sz="0" w:space="0" w:color="auto"/>
        <w:left w:val="none" w:sz="0" w:space="0" w:color="auto"/>
        <w:bottom w:val="none" w:sz="0" w:space="0" w:color="auto"/>
        <w:right w:val="none" w:sz="0" w:space="0" w:color="auto"/>
      </w:divBdr>
      <w:divsChild>
        <w:div w:id="1750231183">
          <w:marLeft w:val="0"/>
          <w:marRight w:val="0"/>
          <w:marTop w:val="0"/>
          <w:marBottom w:val="48"/>
          <w:divBdr>
            <w:top w:val="none" w:sz="0" w:space="0" w:color="auto"/>
            <w:left w:val="none" w:sz="0" w:space="0" w:color="auto"/>
            <w:bottom w:val="none" w:sz="0" w:space="0" w:color="auto"/>
            <w:right w:val="none" w:sz="0" w:space="0" w:color="auto"/>
          </w:divBdr>
        </w:div>
        <w:div w:id="1786391394">
          <w:marLeft w:val="0"/>
          <w:marRight w:val="0"/>
          <w:marTop w:val="0"/>
          <w:marBottom w:val="48"/>
          <w:divBdr>
            <w:top w:val="none" w:sz="0" w:space="0" w:color="auto"/>
            <w:left w:val="none" w:sz="0" w:space="0" w:color="auto"/>
            <w:bottom w:val="none" w:sz="0" w:space="0" w:color="auto"/>
            <w:right w:val="none" w:sz="0" w:space="0" w:color="auto"/>
          </w:divBdr>
        </w:div>
      </w:divsChild>
    </w:div>
    <w:div w:id="1861622742">
      <w:bodyDiv w:val="1"/>
      <w:marLeft w:val="0"/>
      <w:marRight w:val="0"/>
      <w:marTop w:val="0"/>
      <w:marBottom w:val="0"/>
      <w:divBdr>
        <w:top w:val="none" w:sz="0" w:space="0" w:color="auto"/>
        <w:left w:val="none" w:sz="0" w:space="0" w:color="auto"/>
        <w:bottom w:val="none" w:sz="0" w:space="0" w:color="auto"/>
        <w:right w:val="none" w:sz="0" w:space="0" w:color="auto"/>
      </w:divBdr>
      <w:divsChild>
        <w:div w:id="225381028">
          <w:marLeft w:val="0"/>
          <w:marRight w:val="0"/>
          <w:marTop w:val="0"/>
          <w:marBottom w:val="0"/>
          <w:divBdr>
            <w:top w:val="none" w:sz="0" w:space="0" w:color="auto"/>
            <w:left w:val="none" w:sz="0" w:space="0" w:color="auto"/>
            <w:bottom w:val="none" w:sz="0" w:space="0" w:color="auto"/>
            <w:right w:val="none" w:sz="0" w:space="0" w:color="auto"/>
          </w:divBdr>
        </w:div>
        <w:div w:id="1245333627">
          <w:marLeft w:val="0"/>
          <w:marRight w:val="0"/>
          <w:marTop w:val="0"/>
          <w:marBottom w:val="0"/>
          <w:divBdr>
            <w:top w:val="none" w:sz="0" w:space="0" w:color="auto"/>
            <w:left w:val="none" w:sz="0" w:space="0" w:color="auto"/>
            <w:bottom w:val="none" w:sz="0" w:space="0" w:color="auto"/>
            <w:right w:val="none" w:sz="0" w:space="0" w:color="auto"/>
          </w:divBdr>
        </w:div>
        <w:div w:id="968364635">
          <w:marLeft w:val="0"/>
          <w:marRight w:val="0"/>
          <w:marTop w:val="0"/>
          <w:marBottom w:val="0"/>
          <w:divBdr>
            <w:top w:val="none" w:sz="0" w:space="0" w:color="auto"/>
            <w:left w:val="none" w:sz="0" w:space="0" w:color="auto"/>
            <w:bottom w:val="none" w:sz="0" w:space="0" w:color="auto"/>
            <w:right w:val="none" w:sz="0" w:space="0" w:color="auto"/>
          </w:divBdr>
        </w:div>
        <w:div w:id="674458682">
          <w:marLeft w:val="0"/>
          <w:marRight w:val="0"/>
          <w:marTop w:val="0"/>
          <w:marBottom w:val="0"/>
          <w:divBdr>
            <w:top w:val="none" w:sz="0" w:space="0" w:color="auto"/>
            <w:left w:val="none" w:sz="0" w:space="0" w:color="auto"/>
            <w:bottom w:val="none" w:sz="0" w:space="0" w:color="auto"/>
            <w:right w:val="none" w:sz="0" w:space="0" w:color="auto"/>
          </w:divBdr>
        </w:div>
        <w:div w:id="132873577">
          <w:marLeft w:val="0"/>
          <w:marRight w:val="0"/>
          <w:marTop w:val="0"/>
          <w:marBottom w:val="0"/>
          <w:divBdr>
            <w:top w:val="none" w:sz="0" w:space="0" w:color="auto"/>
            <w:left w:val="none" w:sz="0" w:space="0" w:color="auto"/>
            <w:bottom w:val="none" w:sz="0" w:space="0" w:color="auto"/>
            <w:right w:val="none" w:sz="0" w:space="0" w:color="auto"/>
          </w:divBdr>
        </w:div>
        <w:div w:id="1109818012">
          <w:marLeft w:val="0"/>
          <w:marRight w:val="0"/>
          <w:marTop w:val="0"/>
          <w:marBottom w:val="0"/>
          <w:divBdr>
            <w:top w:val="none" w:sz="0" w:space="0" w:color="auto"/>
            <w:left w:val="none" w:sz="0" w:space="0" w:color="auto"/>
            <w:bottom w:val="none" w:sz="0" w:space="0" w:color="auto"/>
            <w:right w:val="none" w:sz="0" w:space="0" w:color="auto"/>
          </w:divBdr>
        </w:div>
        <w:div w:id="1890998077">
          <w:marLeft w:val="0"/>
          <w:marRight w:val="0"/>
          <w:marTop w:val="0"/>
          <w:marBottom w:val="0"/>
          <w:divBdr>
            <w:top w:val="none" w:sz="0" w:space="0" w:color="auto"/>
            <w:left w:val="none" w:sz="0" w:space="0" w:color="auto"/>
            <w:bottom w:val="none" w:sz="0" w:space="0" w:color="auto"/>
            <w:right w:val="none" w:sz="0" w:space="0" w:color="auto"/>
          </w:divBdr>
        </w:div>
        <w:div w:id="1414277138">
          <w:marLeft w:val="0"/>
          <w:marRight w:val="0"/>
          <w:marTop w:val="0"/>
          <w:marBottom w:val="0"/>
          <w:divBdr>
            <w:top w:val="none" w:sz="0" w:space="0" w:color="auto"/>
            <w:left w:val="none" w:sz="0" w:space="0" w:color="auto"/>
            <w:bottom w:val="none" w:sz="0" w:space="0" w:color="auto"/>
            <w:right w:val="none" w:sz="0" w:space="0" w:color="auto"/>
          </w:divBdr>
        </w:div>
        <w:div w:id="1169977122">
          <w:marLeft w:val="0"/>
          <w:marRight w:val="0"/>
          <w:marTop w:val="0"/>
          <w:marBottom w:val="0"/>
          <w:divBdr>
            <w:top w:val="none" w:sz="0" w:space="0" w:color="auto"/>
            <w:left w:val="none" w:sz="0" w:space="0" w:color="auto"/>
            <w:bottom w:val="none" w:sz="0" w:space="0" w:color="auto"/>
            <w:right w:val="none" w:sz="0" w:space="0" w:color="auto"/>
          </w:divBdr>
        </w:div>
        <w:div w:id="527449840">
          <w:marLeft w:val="0"/>
          <w:marRight w:val="0"/>
          <w:marTop w:val="0"/>
          <w:marBottom w:val="0"/>
          <w:divBdr>
            <w:top w:val="none" w:sz="0" w:space="0" w:color="auto"/>
            <w:left w:val="none" w:sz="0" w:space="0" w:color="auto"/>
            <w:bottom w:val="none" w:sz="0" w:space="0" w:color="auto"/>
            <w:right w:val="none" w:sz="0" w:space="0" w:color="auto"/>
          </w:divBdr>
        </w:div>
        <w:div w:id="162429943">
          <w:marLeft w:val="0"/>
          <w:marRight w:val="0"/>
          <w:marTop w:val="0"/>
          <w:marBottom w:val="0"/>
          <w:divBdr>
            <w:top w:val="none" w:sz="0" w:space="0" w:color="auto"/>
            <w:left w:val="none" w:sz="0" w:space="0" w:color="auto"/>
            <w:bottom w:val="none" w:sz="0" w:space="0" w:color="auto"/>
            <w:right w:val="none" w:sz="0" w:space="0" w:color="auto"/>
          </w:divBdr>
        </w:div>
        <w:div w:id="1389109788">
          <w:marLeft w:val="0"/>
          <w:marRight w:val="0"/>
          <w:marTop w:val="0"/>
          <w:marBottom w:val="0"/>
          <w:divBdr>
            <w:top w:val="none" w:sz="0" w:space="0" w:color="auto"/>
            <w:left w:val="none" w:sz="0" w:space="0" w:color="auto"/>
            <w:bottom w:val="none" w:sz="0" w:space="0" w:color="auto"/>
            <w:right w:val="none" w:sz="0" w:space="0" w:color="auto"/>
          </w:divBdr>
        </w:div>
        <w:div w:id="257520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09924-F893-4A51-8DA9-B2DE6C62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2038</Words>
  <Characters>11620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dc:creator>
  <cp:lastModifiedBy>Cullison, David</cp:lastModifiedBy>
  <cp:revision>2</cp:revision>
  <cp:lastPrinted>2016-04-08T13:02:00Z</cp:lastPrinted>
  <dcterms:created xsi:type="dcterms:W3CDTF">2016-06-21T18:22:00Z</dcterms:created>
  <dcterms:modified xsi:type="dcterms:W3CDTF">2016-06-21T18:22:00Z</dcterms:modified>
</cp:coreProperties>
</file>