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956" w:rsidRPr="000A49EE" w:rsidRDefault="00CA4956" w:rsidP="00CA4956">
      <w:pPr>
        <w:pStyle w:val="Heading2"/>
        <w:keepNext/>
        <w:keepLines/>
        <w:numPr>
          <w:ilvl w:val="0"/>
          <w:numId w:val="2"/>
        </w:numPr>
        <w:contextualSpacing w:val="0"/>
      </w:pPr>
      <w:bookmarkStart w:id="0" w:name="_Toc381944845"/>
      <w:bookmarkStart w:id="1" w:name="_Toc385234337"/>
      <w:bookmarkStart w:id="2" w:name="_Toc411262004"/>
      <w:bookmarkStart w:id="3" w:name="_Toc411439984"/>
      <w:bookmarkStart w:id="4" w:name="_Toc427852318"/>
      <w:r w:rsidRPr="00BE27FF">
        <w:t>Universe and Sampling Respondent Selection</w:t>
      </w:r>
      <w:bookmarkEnd w:id="0"/>
      <w:bookmarkEnd w:id="1"/>
      <w:bookmarkEnd w:id="2"/>
      <w:bookmarkEnd w:id="3"/>
      <w:bookmarkEnd w:id="4"/>
      <w:r>
        <w:rPr>
          <w:rFonts w:eastAsiaTheme="majorBidi"/>
        </w:rPr>
        <w:t xml:space="preserve"> </w:t>
      </w:r>
    </w:p>
    <w:p w:rsidR="00CA4956" w:rsidRDefault="00CA4956" w:rsidP="00CA4956">
      <w:pPr>
        <w:spacing w:after="0" w:line="240" w:lineRule="auto"/>
        <w:jc w:val="both"/>
        <w:rPr>
          <w:rFonts w:asciiTheme="majorBidi" w:eastAsiaTheme="majorBidi" w:hAnsiTheme="majorBidi" w:cstheme="majorBidi"/>
          <w:b/>
          <w:bCs/>
        </w:rPr>
      </w:pPr>
      <w:bookmarkStart w:id="5" w:name="_Toc385234142"/>
      <w:bookmarkStart w:id="6" w:name="_Toc385234338"/>
      <w:r w:rsidRPr="7CBBD0AF">
        <w:rPr>
          <w:rFonts w:asciiTheme="majorBidi" w:eastAsiaTheme="majorBidi" w:hAnsiTheme="majorBidi" w:cstheme="majorBidi"/>
          <w:b/>
          <w:bCs/>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5"/>
      <w:bookmarkEnd w:id="6"/>
    </w:p>
    <w:p w:rsidR="00CA4956" w:rsidRDefault="00CA4956" w:rsidP="00CA4956">
      <w:pPr>
        <w:spacing w:after="0" w:line="240" w:lineRule="auto"/>
        <w:jc w:val="both"/>
        <w:rPr>
          <w:rFonts w:asciiTheme="majorBidi" w:eastAsiaTheme="majorBidi" w:hAnsiTheme="majorBidi" w:cstheme="majorBidi"/>
          <w:b/>
          <w:bCs/>
        </w:rPr>
      </w:pPr>
    </w:p>
    <w:p w:rsidR="00CA4956" w:rsidRDefault="00CA4956" w:rsidP="00CA4956">
      <w:pPr>
        <w:spacing w:after="0" w:line="240" w:lineRule="auto"/>
        <w:rPr>
          <w:rFonts w:eastAsiaTheme="majorBidi" w:cs="Times New Roman"/>
          <w:szCs w:val="24"/>
        </w:rPr>
      </w:pPr>
      <w:r>
        <w:rPr>
          <w:rFonts w:eastAsiaTheme="majorBidi" w:cs="Times New Roman"/>
          <w:szCs w:val="24"/>
        </w:rPr>
        <w:t xml:space="preserve">The intake and follow-up instruments will be sent to </w:t>
      </w:r>
      <w:r w:rsidRPr="00F22B86">
        <w:rPr>
          <w:rFonts w:eastAsiaTheme="majorBidi" w:cs="Times New Roman"/>
          <w:szCs w:val="24"/>
        </w:rPr>
        <w:t>all</w:t>
      </w:r>
      <w:r>
        <w:rPr>
          <w:rFonts w:eastAsiaTheme="majorBidi" w:cs="Times New Roman"/>
          <w:szCs w:val="24"/>
        </w:rPr>
        <w:t xml:space="preserve"> </w:t>
      </w:r>
      <w:proofErr w:type="spellStart"/>
      <w:r>
        <w:rPr>
          <w:rFonts w:eastAsiaTheme="majorBidi" w:cs="Times New Roman"/>
          <w:szCs w:val="24"/>
        </w:rPr>
        <w:t>ScaleUp</w:t>
      </w:r>
      <w:proofErr w:type="spellEnd"/>
      <w:r>
        <w:rPr>
          <w:rFonts w:eastAsiaTheme="majorBidi" w:cs="Times New Roman"/>
          <w:szCs w:val="24"/>
        </w:rPr>
        <w:t xml:space="preserve"> participants in C</w:t>
      </w:r>
      <w:r>
        <w:rPr>
          <w:rFonts w:asciiTheme="majorBidi" w:eastAsiaTheme="majorBidi" w:hAnsiTheme="majorBidi" w:cstheme="majorBidi"/>
          <w:szCs w:val="24"/>
        </w:rPr>
        <w:t xml:space="preserve">ohorts 1 and 2 at the eight sites. The participant universe is 272 small businesses that received </w:t>
      </w:r>
      <w:proofErr w:type="spellStart"/>
      <w:r w:rsidRPr="00D12FE6">
        <w:rPr>
          <w:rFonts w:asciiTheme="majorBidi" w:eastAsiaTheme="majorBidi" w:hAnsiTheme="majorBidi" w:cstheme="majorBidi"/>
          <w:szCs w:val="24"/>
        </w:rPr>
        <w:t>ScaleUp</w:t>
      </w:r>
      <w:proofErr w:type="spellEnd"/>
      <w:r w:rsidRPr="00D12FE6">
        <w:rPr>
          <w:rFonts w:asciiTheme="majorBidi" w:eastAsiaTheme="majorBidi" w:hAnsiTheme="majorBidi" w:cstheme="majorBidi"/>
          <w:szCs w:val="24"/>
        </w:rPr>
        <w:t xml:space="preserve"> assistance during </w:t>
      </w:r>
      <w:r>
        <w:rPr>
          <w:rFonts w:asciiTheme="majorBidi" w:eastAsiaTheme="majorBidi" w:hAnsiTheme="majorBidi" w:cstheme="majorBidi"/>
          <w:szCs w:val="24"/>
        </w:rPr>
        <w:t>fiscal</w:t>
      </w:r>
      <w:r w:rsidRPr="00F22B86">
        <w:rPr>
          <w:rFonts w:asciiTheme="majorBidi" w:eastAsiaTheme="majorBidi" w:hAnsiTheme="majorBidi" w:cstheme="majorBidi"/>
          <w:szCs w:val="24"/>
        </w:rPr>
        <w:t xml:space="preserve"> year 2015</w:t>
      </w:r>
      <w:r w:rsidRPr="00D12FE6">
        <w:rPr>
          <w:rFonts w:asciiTheme="majorBidi" w:eastAsiaTheme="majorBidi" w:hAnsiTheme="majorBidi" w:cstheme="majorBidi"/>
          <w:szCs w:val="24"/>
        </w:rPr>
        <w:t>.</w:t>
      </w:r>
      <w:r>
        <w:rPr>
          <w:rFonts w:asciiTheme="majorBidi" w:eastAsiaTheme="majorBidi" w:hAnsiTheme="majorBidi" w:cstheme="majorBidi"/>
          <w:szCs w:val="24"/>
        </w:rPr>
        <w:t xml:space="preserve"> </w:t>
      </w:r>
      <w:r>
        <w:rPr>
          <w:rFonts w:eastAsiaTheme="majorBidi" w:cs="Times New Roman"/>
          <w:szCs w:val="24"/>
        </w:rPr>
        <w:t>A</w:t>
      </w:r>
      <w:r w:rsidRPr="00D9064F">
        <w:rPr>
          <w:rFonts w:eastAsiaTheme="majorBidi" w:cs="Times New Roman"/>
          <w:szCs w:val="24"/>
        </w:rPr>
        <w:t xml:space="preserve"> sampling </w:t>
      </w:r>
      <w:r>
        <w:rPr>
          <w:rFonts w:eastAsiaTheme="majorBidi" w:cs="Times New Roman"/>
          <w:szCs w:val="24"/>
        </w:rPr>
        <w:t xml:space="preserve">strategy will not be used due to the small size of the cohorts. The universe of comparable small businesses that are not participating in the initiative at each site is unknown. The goal is to identify 2,000 potentially comparable businesses and after screening and nonresponse, maintain a comparison group of about 270 businesses. </w:t>
      </w:r>
      <w:r>
        <w:rPr>
          <w:rFonts w:asciiTheme="majorBidi" w:eastAsiaTheme="majorBidi" w:hAnsiTheme="majorBidi" w:cstheme="majorBidi"/>
          <w:szCs w:val="24"/>
        </w:rPr>
        <w:t>The initial list of 2,000</w:t>
      </w:r>
      <w:r w:rsidRPr="00F72E18">
        <w:rPr>
          <w:rFonts w:asciiTheme="majorBidi" w:eastAsiaTheme="majorBidi" w:hAnsiTheme="majorBidi" w:cstheme="majorBidi"/>
          <w:szCs w:val="24"/>
        </w:rPr>
        <w:t xml:space="preserve"> </w:t>
      </w:r>
      <w:r>
        <w:rPr>
          <w:rFonts w:asciiTheme="majorBidi" w:eastAsiaTheme="majorBidi" w:hAnsiTheme="majorBidi" w:cstheme="majorBidi"/>
          <w:szCs w:val="24"/>
        </w:rPr>
        <w:t xml:space="preserve">will </w:t>
      </w:r>
      <w:r w:rsidRPr="00F72E18">
        <w:rPr>
          <w:rFonts w:asciiTheme="majorBidi" w:eastAsiaTheme="majorBidi" w:hAnsiTheme="majorBidi" w:cstheme="majorBidi"/>
          <w:szCs w:val="24"/>
        </w:rPr>
        <w:t>be identified from local</w:t>
      </w:r>
      <w:r>
        <w:rPr>
          <w:rFonts w:asciiTheme="majorBidi" w:eastAsiaTheme="majorBidi" w:hAnsiTheme="majorBidi" w:cstheme="majorBidi"/>
          <w:szCs w:val="24"/>
        </w:rPr>
        <w:t xml:space="preserve"> (e.g. Chambers of Commerce)</w:t>
      </w:r>
      <w:r w:rsidRPr="00F72E18">
        <w:rPr>
          <w:rFonts w:asciiTheme="majorBidi" w:eastAsiaTheme="majorBidi" w:hAnsiTheme="majorBidi" w:cstheme="majorBidi"/>
          <w:szCs w:val="24"/>
        </w:rPr>
        <w:t xml:space="preserve"> and national </w:t>
      </w:r>
      <w:r>
        <w:rPr>
          <w:rFonts w:asciiTheme="majorBidi" w:eastAsiaTheme="majorBidi" w:hAnsiTheme="majorBidi" w:cstheme="majorBidi"/>
          <w:szCs w:val="24"/>
        </w:rPr>
        <w:t xml:space="preserve">(e.g. Hoovers) </w:t>
      </w:r>
      <w:r w:rsidRPr="00F72E18">
        <w:rPr>
          <w:rFonts w:asciiTheme="majorBidi" w:eastAsiaTheme="majorBidi" w:hAnsiTheme="majorBidi" w:cstheme="majorBidi"/>
          <w:szCs w:val="24"/>
        </w:rPr>
        <w:t>small business directories</w:t>
      </w:r>
      <w:r>
        <w:rPr>
          <w:rFonts w:asciiTheme="majorBidi" w:eastAsiaTheme="majorBidi" w:hAnsiTheme="majorBidi" w:cstheme="majorBidi"/>
          <w:szCs w:val="24"/>
        </w:rPr>
        <w:t>.</w:t>
      </w:r>
      <w:r w:rsidRPr="00F72E18">
        <w:rPr>
          <w:rFonts w:asciiTheme="majorBidi" w:eastAsiaTheme="majorBidi" w:hAnsiTheme="majorBidi" w:cstheme="majorBidi"/>
          <w:szCs w:val="24"/>
        </w:rPr>
        <w:t xml:space="preserve"> </w:t>
      </w:r>
      <w:r>
        <w:rPr>
          <w:rFonts w:eastAsiaTheme="majorBidi" w:cs="Times New Roman"/>
          <w:szCs w:val="24"/>
        </w:rPr>
        <w:t xml:space="preserve">It is estimated that 20 percent of businesses identified will respond to the screening questions (400) and 80 percent of those businesses will be eligible to participate (320). The recruitment strategy is built around the need for a minimum number of response units to detect statistically significant differences from the participants, as well as maintaining approximately comparably sized groups between the participants and comparison members across all sites. </w:t>
      </w:r>
    </w:p>
    <w:p w:rsidR="00CA4956" w:rsidRDefault="00CA4956" w:rsidP="00CA4956">
      <w:pPr>
        <w:spacing w:after="0" w:line="240" w:lineRule="auto"/>
        <w:rPr>
          <w:rFonts w:eastAsiaTheme="majorBidi" w:cs="Times New Roman"/>
          <w:szCs w:val="24"/>
        </w:rPr>
      </w:pPr>
    </w:p>
    <w:p w:rsidR="00CA4956" w:rsidRDefault="00CA4956" w:rsidP="00CA4956">
      <w:pPr>
        <w:spacing w:after="0" w:line="240" w:lineRule="auto"/>
        <w:rPr>
          <w:rFonts w:eastAsiaTheme="majorBidi" w:cs="Times New Roman"/>
          <w:szCs w:val="24"/>
        </w:rPr>
      </w:pPr>
      <w:r>
        <w:rPr>
          <w:rFonts w:eastAsiaTheme="majorBidi" w:cs="Times New Roman"/>
          <w:szCs w:val="24"/>
        </w:rPr>
        <w:t>Exhibit 1 details the expected sample sizes. Because matched intake and follow-up surveys are required for the difference-in-difference analysis planned, the minimum response rate (most likely to the follow-up survey) is shown.  The comparison group response rate estimate is based on a similar Department of Labor study that used an incentive for its comparison group (</w:t>
      </w:r>
      <w:proofErr w:type="spellStart"/>
      <w:r>
        <w:rPr>
          <w:rFonts w:cs="Times New Roman"/>
        </w:rPr>
        <w:t>Michaelides</w:t>
      </w:r>
      <w:proofErr w:type="spellEnd"/>
      <w:r w:rsidRPr="00E7582B">
        <w:rPr>
          <w:rFonts w:cs="Times New Roman"/>
        </w:rPr>
        <w:t xml:space="preserve"> and </w:t>
      </w:r>
      <w:proofErr w:type="spellStart"/>
      <w:r w:rsidRPr="00E7582B">
        <w:rPr>
          <w:rFonts w:cs="Times New Roman"/>
        </w:rPr>
        <w:t>Benus</w:t>
      </w:r>
      <w:proofErr w:type="spellEnd"/>
      <w:r>
        <w:rPr>
          <w:rFonts w:cs="Times New Roman"/>
        </w:rPr>
        <w:t xml:space="preserve"> 2012</w:t>
      </w:r>
      <w:r>
        <w:rPr>
          <w:rFonts w:eastAsiaTheme="majorBidi" w:cs="Times New Roman"/>
          <w:szCs w:val="24"/>
        </w:rPr>
        <w:t>). That study achieved an 80 percent response rate. An 80 percent response from participants is higher than is often achieved in business assistance outcome surveys.</w:t>
      </w:r>
      <w:r>
        <w:rPr>
          <w:rStyle w:val="FootnoteReference"/>
          <w:rFonts w:eastAsiaTheme="majorBidi" w:cs="Times New Roman"/>
          <w:szCs w:val="24"/>
        </w:rPr>
        <w:footnoteReference w:id="1"/>
      </w:r>
      <w:r>
        <w:rPr>
          <w:rFonts w:eastAsiaTheme="majorBidi" w:cs="Times New Roman"/>
          <w:szCs w:val="24"/>
        </w:rPr>
        <w:t xml:space="preserve"> However, an intentional awareness strategy was developed at the start of the </w:t>
      </w:r>
      <w:proofErr w:type="spellStart"/>
      <w:r>
        <w:rPr>
          <w:rFonts w:eastAsiaTheme="majorBidi" w:cs="Times New Roman"/>
          <w:szCs w:val="24"/>
        </w:rPr>
        <w:t>ScaleUp</w:t>
      </w:r>
      <w:proofErr w:type="spellEnd"/>
      <w:r>
        <w:rPr>
          <w:rFonts w:eastAsiaTheme="majorBidi" w:cs="Times New Roman"/>
          <w:szCs w:val="24"/>
        </w:rPr>
        <w:t xml:space="preserve"> initiative. This strategy informed </w:t>
      </w:r>
      <w:proofErr w:type="spellStart"/>
      <w:r>
        <w:rPr>
          <w:rFonts w:eastAsiaTheme="majorBidi" w:cs="Times New Roman"/>
          <w:szCs w:val="24"/>
        </w:rPr>
        <w:t>ScaleUp</w:t>
      </w:r>
      <w:proofErr w:type="spellEnd"/>
      <w:r>
        <w:rPr>
          <w:rFonts w:eastAsiaTheme="majorBidi" w:cs="Times New Roman"/>
          <w:szCs w:val="24"/>
        </w:rPr>
        <w:t xml:space="preserve"> administrators of the types and purpose of the data collections so they could inform participants very early on in his/her acceptance to the program. Moreover, the cohort design of the </w:t>
      </w:r>
      <w:proofErr w:type="spellStart"/>
      <w:r>
        <w:rPr>
          <w:rFonts w:eastAsiaTheme="majorBidi" w:cs="Times New Roman"/>
          <w:szCs w:val="24"/>
        </w:rPr>
        <w:t>ScaleUp</w:t>
      </w:r>
      <w:proofErr w:type="spellEnd"/>
      <w:r>
        <w:rPr>
          <w:rFonts w:eastAsiaTheme="majorBidi" w:cs="Times New Roman"/>
          <w:szCs w:val="24"/>
        </w:rPr>
        <w:t xml:space="preserve"> initiative ensures regular contact between participants and administrators. </w:t>
      </w:r>
    </w:p>
    <w:p w:rsidR="00CA4956" w:rsidRDefault="00CA4956" w:rsidP="00CA4956">
      <w:pPr>
        <w:spacing w:after="0" w:line="240" w:lineRule="auto"/>
        <w:rPr>
          <w:rFonts w:eastAsiaTheme="majorBidi" w:cs="Times New Roman"/>
          <w:szCs w:val="24"/>
        </w:rPr>
      </w:pPr>
    </w:p>
    <w:p w:rsidR="00CA4956" w:rsidRDefault="00CA4956" w:rsidP="00CA4956">
      <w:pPr>
        <w:keepNext/>
        <w:keepLines/>
        <w:spacing w:after="0" w:line="240" w:lineRule="auto"/>
        <w:rPr>
          <w:rFonts w:eastAsiaTheme="majorBidi" w:cs="Times New Roman"/>
          <w:b/>
          <w:bCs/>
          <w:szCs w:val="24"/>
        </w:rPr>
      </w:pPr>
      <w:r w:rsidRPr="00451E56">
        <w:rPr>
          <w:rFonts w:eastAsiaTheme="majorBidi" w:cs="Times New Roman"/>
          <w:b/>
          <w:bCs/>
          <w:szCs w:val="24"/>
        </w:rPr>
        <w:lastRenderedPageBreak/>
        <w:t xml:space="preserve">Exhibit 1: Expected Response Rate by Survey Population </w:t>
      </w:r>
    </w:p>
    <w:p w:rsidR="00CA4956" w:rsidRPr="00451E56" w:rsidRDefault="00CA4956" w:rsidP="00CA4956">
      <w:pPr>
        <w:keepNext/>
        <w:keepLines/>
        <w:spacing w:after="0" w:line="240" w:lineRule="auto"/>
        <w:rPr>
          <w:rFonts w:cs="Times New Roman"/>
          <w:b/>
          <w:bCs/>
          <w:szCs w:val="24"/>
        </w:rPr>
      </w:pPr>
    </w:p>
    <w:tbl>
      <w:tblPr>
        <w:tblW w:w="6984" w:type="dxa"/>
        <w:jc w:val="center"/>
        <w:tblLayout w:type="fixed"/>
        <w:tblLook w:val="04A0" w:firstRow="1" w:lastRow="0" w:firstColumn="1" w:lastColumn="0" w:noHBand="0" w:noVBand="1"/>
      </w:tblPr>
      <w:tblGrid>
        <w:gridCol w:w="1889"/>
        <w:gridCol w:w="1605"/>
        <w:gridCol w:w="1553"/>
        <w:gridCol w:w="1937"/>
      </w:tblGrid>
      <w:tr w:rsidR="00CA4956" w:rsidRPr="00451E56" w:rsidTr="0007615F">
        <w:trPr>
          <w:cantSplit/>
          <w:trHeight w:val="600"/>
          <w:jc w:val="center"/>
        </w:trPr>
        <w:tc>
          <w:tcPr>
            <w:tcW w:w="1889"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CA4956" w:rsidRPr="0086116A" w:rsidRDefault="00CA4956" w:rsidP="0007615F">
            <w:pPr>
              <w:keepNext/>
              <w:keepLines/>
              <w:jc w:val="center"/>
              <w:rPr>
                <w:b/>
                <w:color w:val="000000"/>
              </w:rPr>
            </w:pPr>
            <w:r w:rsidRPr="0086116A">
              <w:rPr>
                <w:b/>
                <w:color w:val="000000"/>
              </w:rPr>
              <w:t xml:space="preserve">Type of </w:t>
            </w:r>
            <w:r>
              <w:rPr>
                <w:b/>
                <w:color w:val="000000"/>
              </w:rPr>
              <w:t>respondent</w:t>
            </w:r>
            <w:r w:rsidRPr="0086116A">
              <w:rPr>
                <w:b/>
                <w:color w:val="000000"/>
              </w:rPr>
              <w:t xml:space="preserve"> </w:t>
            </w:r>
          </w:p>
        </w:tc>
        <w:tc>
          <w:tcPr>
            <w:tcW w:w="1605"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CA4956" w:rsidRPr="0086116A" w:rsidRDefault="00CA4956" w:rsidP="0007615F">
            <w:pPr>
              <w:keepNext/>
              <w:keepLines/>
              <w:spacing w:after="0" w:line="240" w:lineRule="auto"/>
              <w:jc w:val="center"/>
              <w:rPr>
                <w:b/>
                <w:color w:val="000000"/>
              </w:rPr>
            </w:pPr>
            <w:r w:rsidRPr="0086116A">
              <w:rPr>
                <w:b/>
                <w:color w:val="000000"/>
              </w:rPr>
              <w:t xml:space="preserve">Universe </w:t>
            </w:r>
          </w:p>
        </w:tc>
        <w:tc>
          <w:tcPr>
            <w:tcW w:w="1553"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CA4956" w:rsidRPr="00CD3329" w:rsidRDefault="00CA4956" w:rsidP="0007615F">
            <w:pPr>
              <w:keepNext/>
              <w:keepLines/>
              <w:spacing w:after="0" w:line="240" w:lineRule="auto"/>
              <w:jc w:val="center"/>
              <w:rPr>
                <w:b/>
                <w:color w:val="000000"/>
              </w:rPr>
            </w:pPr>
            <w:r w:rsidRPr="00CD3329">
              <w:rPr>
                <w:rFonts w:eastAsia="Times New Roman" w:cs="Times New Roman"/>
                <w:b/>
                <w:color w:val="000000"/>
                <w:szCs w:val="24"/>
              </w:rPr>
              <w:t>Expected number of respondents</w:t>
            </w:r>
          </w:p>
        </w:tc>
        <w:tc>
          <w:tcPr>
            <w:tcW w:w="1937"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CA4956" w:rsidRPr="0086116A" w:rsidRDefault="00CA4956" w:rsidP="0007615F">
            <w:pPr>
              <w:keepNext/>
              <w:keepLines/>
              <w:spacing w:after="0" w:line="240" w:lineRule="auto"/>
              <w:jc w:val="center"/>
              <w:rPr>
                <w:b/>
                <w:color w:val="000000"/>
              </w:rPr>
            </w:pPr>
            <w:r w:rsidRPr="0086116A">
              <w:rPr>
                <w:b/>
                <w:color w:val="000000"/>
              </w:rPr>
              <w:t xml:space="preserve">Expected </w:t>
            </w:r>
            <w:r w:rsidRPr="007E0145">
              <w:rPr>
                <w:rFonts w:eastAsia="Times New Roman" w:cs="Times New Roman"/>
                <w:b/>
                <w:color w:val="000000"/>
                <w:szCs w:val="24"/>
              </w:rPr>
              <w:t>Response Rate</w:t>
            </w:r>
            <w:r w:rsidRPr="0086116A">
              <w:rPr>
                <w:b/>
                <w:color w:val="000000"/>
              </w:rPr>
              <w:t xml:space="preserve"> </w:t>
            </w:r>
          </w:p>
        </w:tc>
      </w:tr>
      <w:tr w:rsidR="00CA4956" w:rsidRPr="00451E56" w:rsidTr="0007615F">
        <w:trPr>
          <w:cantSplit/>
          <w:trHeight w:val="300"/>
          <w:jc w:val="center"/>
        </w:trPr>
        <w:tc>
          <w:tcPr>
            <w:tcW w:w="18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956" w:rsidRPr="00451E56" w:rsidRDefault="00CA4956" w:rsidP="0007615F">
            <w:pPr>
              <w:keepNext/>
              <w:keepLines/>
              <w:spacing w:after="0" w:line="240" w:lineRule="auto"/>
              <w:rPr>
                <w:rFonts w:eastAsia="Times New Roman" w:cs="Times New Roman"/>
                <w:color w:val="000000"/>
                <w:szCs w:val="24"/>
              </w:rPr>
            </w:pPr>
            <w:r>
              <w:rPr>
                <w:rFonts w:eastAsia="Times New Roman" w:cs="Times New Roman"/>
                <w:color w:val="000000"/>
                <w:szCs w:val="24"/>
              </w:rPr>
              <w:t>Participant Surveys</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956" w:rsidRPr="00451E56" w:rsidRDefault="00CA4956" w:rsidP="0007615F">
            <w:pPr>
              <w:keepNext/>
              <w:keepLines/>
              <w:spacing w:after="0" w:line="240" w:lineRule="auto"/>
              <w:jc w:val="right"/>
              <w:rPr>
                <w:rFonts w:eastAsia="Times New Roman" w:cs="Times New Roman"/>
                <w:color w:val="000000"/>
                <w:szCs w:val="24"/>
              </w:rPr>
            </w:pPr>
            <w:r>
              <w:rPr>
                <w:rFonts w:eastAsia="Times New Roman" w:cs="Times New Roman"/>
                <w:color w:val="000000"/>
                <w:szCs w:val="24"/>
              </w:rPr>
              <w:t>272</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956" w:rsidRPr="00AE399E" w:rsidRDefault="00CA4956" w:rsidP="0007615F">
            <w:pPr>
              <w:keepNext/>
              <w:keepLines/>
              <w:spacing w:after="0" w:line="240" w:lineRule="auto"/>
              <w:jc w:val="right"/>
              <w:rPr>
                <w:rFonts w:eastAsia="Times New Roman" w:cs="Times New Roman"/>
                <w:color w:val="000000"/>
                <w:szCs w:val="24"/>
              </w:rPr>
            </w:pPr>
            <w:r>
              <w:rPr>
                <w:rFonts w:eastAsia="Times New Roman" w:cs="Times New Roman"/>
                <w:color w:val="000000"/>
                <w:szCs w:val="24"/>
              </w:rPr>
              <w:t>218</w:t>
            </w:r>
          </w:p>
        </w:tc>
        <w:tc>
          <w:tcPr>
            <w:tcW w:w="19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4956" w:rsidRPr="00AE399E" w:rsidRDefault="00CA4956" w:rsidP="0007615F">
            <w:pPr>
              <w:keepNext/>
              <w:keepLines/>
              <w:spacing w:after="0" w:line="240" w:lineRule="auto"/>
              <w:jc w:val="right"/>
              <w:rPr>
                <w:rFonts w:eastAsia="Times New Roman" w:cs="Times New Roman"/>
                <w:color w:val="000000"/>
                <w:szCs w:val="24"/>
              </w:rPr>
            </w:pPr>
            <w:r>
              <w:rPr>
                <w:rFonts w:eastAsia="Times New Roman" w:cs="Times New Roman"/>
                <w:color w:val="000000"/>
                <w:szCs w:val="24"/>
              </w:rPr>
              <w:t>80</w:t>
            </w:r>
            <w:r w:rsidRPr="00AE399E">
              <w:rPr>
                <w:rFonts w:eastAsia="Times New Roman" w:cs="Times New Roman"/>
                <w:color w:val="000000"/>
                <w:szCs w:val="24"/>
              </w:rPr>
              <w:t>%</w:t>
            </w:r>
          </w:p>
        </w:tc>
      </w:tr>
      <w:tr w:rsidR="00CA4956" w:rsidRPr="00451E56" w:rsidTr="0007615F">
        <w:trPr>
          <w:cantSplit/>
          <w:trHeight w:val="300"/>
          <w:jc w:val="center"/>
        </w:trPr>
        <w:tc>
          <w:tcPr>
            <w:tcW w:w="1889" w:type="dxa"/>
            <w:tcBorders>
              <w:top w:val="single" w:sz="4" w:space="0" w:color="auto"/>
              <w:left w:val="single" w:sz="4" w:space="0" w:color="auto"/>
              <w:bottom w:val="single" w:sz="4" w:space="0" w:color="auto"/>
              <w:right w:val="single" w:sz="4" w:space="0" w:color="auto"/>
            </w:tcBorders>
            <w:shd w:val="clear" w:color="auto" w:fill="auto"/>
            <w:vAlign w:val="bottom"/>
          </w:tcPr>
          <w:p w:rsidR="00CA4956" w:rsidRDefault="00CA4956" w:rsidP="0007615F">
            <w:pPr>
              <w:keepNext/>
              <w:keepLines/>
              <w:spacing w:after="0" w:line="240" w:lineRule="auto"/>
              <w:rPr>
                <w:rFonts w:eastAsia="Times New Roman" w:cs="Times New Roman"/>
                <w:color w:val="000000"/>
                <w:szCs w:val="24"/>
              </w:rPr>
            </w:pPr>
            <w:r>
              <w:rPr>
                <w:rFonts w:eastAsia="Times New Roman" w:cs="Times New Roman"/>
                <w:color w:val="000000"/>
                <w:szCs w:val="24"/>
              </w:rPr>
              <w:t>Comparison Group Surveys</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bottom"/>
          </w:tcPr>
          <w:p w:rsidR="00CA4956" w:rsidRDefault="00CA4956" w:rsidP="0007615F">
            <w:pPr>
              <w:keepNext/>
              <w:keepLines/>
              <w:spacing w:after="0" w:line="240" w:lineRule="auto"/>
              <w:jc w:val="right"/>
              <w:rPr>
                <w:rFonts w:eastAsia="Times New Roman" w:cs="Times New Roman"/>
                <w:color w:val="000000"/>
                <w:szCs w:val="24"/>
              </w:rPr>
            </w:pPr>
            <w:r>
              <w:rPr>
                <w:rFonts w:eastAsia="Times New Roman" w:cs="Times New Roman"/>
                <w:color w:val="000000"/>
                <w:szCs w:val="24"/>
              </w:rPr>
              <w:t>320</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tcPr>
          <w:p w:rsidR="00CA4956" w:rsidRPr="00AE399E" w:rsidRDefault="00CA4956" w:rsidP="0007615F">
            <w:pPr>
              <w:keepNext/>
              <w:keepLines/>
              <w:spacing w:after="0" w:line="240" w:lineRule="auto"/>
              <w:jc w:val="right"/>
              <w:rPr>
                <w:rFonts w:eastAsia="Times New Roman" w:cs="Times New Roman"/>
                <w:color w:val="000000"/>
                <w:szCs w:val="24"/>
              </w:rPr>
            </w:pPr>
            <w:r>
              <w:rPr>
                <w:rFonts w:eastAsia="Times New Roman" w:cs="Times New Roman"/>
                <w:color w:val="000000"/>
                <w:szCs w:val="24"/>
              </w:rPr>
              <w:t>256</w:t>
            </w:r>
          </w:p>
        </w:tc>
        <w:tc>
          <w:tcPr>
            <w:tcW w:w="1937" w:type="dxa"/>
            <w:tcBorders>
              <w:top w:val="single" w:sz="4" w:space="0" w:color="auto"/>
              <w:left w:val="single" w:sz="4" w:space="0" w:color="auto"/>
              <w:bottom w:val="single" w:sz="4" w:space="0" w:color="auto"/>
              <w:right w:val="single" w:sz="4" w:space="0" w:color="auto"/>
            </w:tcBorders>
            <w:shd w:val="clear" w:color="auto" w:fill="auto"/>
            <w:vAlign w:val="bottom"/>
          </w:tcPr>
          <w:p w:rsidR="00CA4956" w:rsidRPr="00AE399E" w:rsidRDefault="00CA4956" w:rsidP="0007615F">
            <w:pPr>
              <w:keepNext/>
              <w:keepLines/>
              <w:spacing w:after="0" w:line="240" w:lineRule="auto"/>
              <w:jc w:val="right"/>
              <w:rPr>
                <w:rFonts w:eastAsia="Times New Roman" w:cs="Times New Roman"/>
                <w:color w:val="000000"/>
                <w:szCs w:val="24"/>
              </w:rPr>
            </w:pPr>
            <w:r>
              <w:rPr>
                <w:rFonts w:eastAsia="Times New Roman" w:cs="Times New Roman"/>
                <w:color w:val="000000"/>
                <w:szCs w:val="24"/>
              </w:rPr>
              <w:t>80</w:t>
            </w:r>
            <w:r w:rsidRPr="00AE399E">
              <w:rPr>
                <w:rFonts w:eastAsia="Times New Roman" w:cs="Times New Roman"/>
                <w:color w:val="000000"/>
                <w:szCs w:val="24"/>
              </w:rPr>
              <w:t>%</w:t>
            </w:r>
          </w:p>
        </w:tc>
      </w:tr>
    </w:tbl>
    <w:p w:rsidR="00CA4956" w:rsidRDefault="00CA4956" w:rsidP="00CA4956">
      <w:pPr>
        <w:pStyle w:val="FootnoteText"/>
        <w:ind w:right="360"/>
        <w:rPr>
          <w:rFonts w:cs="Times New Roman"/>
          <w:sz w:val="24"/>
          <w:szCs w:val="24"/>
        </w:rPr>
      </w:pPr>
    </w:p>
    <w:p w:rsidR="00CA4956" w:rsidRPr="000A49EE" w:rsidRDefault="00CA4956" w:rsidP="00CA4956">
      <w:pPr>
        <w:pStyle w:val="Heading2"/>
        <w:keepNext/>
        <w:keepLines/>
        <w:numPr>
          <w:ilvl w:val="0"/>
          <w:numId w:val="2"/>
        </w:numPr>
        <w:contextualSpacing w:val="0"/>
        <w:jc w:val="both"/>
      </w:pPr>
      <w:bookmarkStart w:id="7" w:name="_Toc381944846"/>
      <w:bookmarkStart w:id="8" w:name="_Toc385234339"/>
      <w:bookmarkStart w:id="9" w:name="_Toc411262005"/>
      <w:bookmarkStart w:id="10" w:name="_Toc411439985"/>
      <w:bookmarkStart w:id="11" w:name="_Toc427852319"/>
      <w:r w:rsidRPr="00325763">
        <w:rPr>
          <w:rFonts w:asciiTheme="majorBidi" w:hAnsiTheme="majorBidi"/>
        </w:rPr>
        <w:t xml:space="preserve">Describe the </w:t>
      </w:r>
      <w:r>
        <w:rPr>
          <w:rFonts w:asciiTheme="majorBidi" w:hAnsiTheme="majorBidi"/>
        </w:rPr>
        <w:t>Procedures</w:t>
      </w:r>
      <w:r w:rsidRPr="00325763">
        <w:rPr>
          <w:rFonts w:asciiTheme="majorBidi" w:hAnsiTheme="majorBidi"/>
        </w:rPr>
        <w:t xml:space="preserve"> for the </w:t>
      </w:r>
      <w:r>
        <w:rPr>
          <w:rFonts w:asciiTheme="majorBidi" w:hAnsiTheme="majorBidi"/>
        </w:rPr>
        <w:t>Collection</w:t>
      </w:r>
      <w:r w:rsidRPr="00325763">
        <w:rPr>
          <w:rFonts w:asciiTheme="majorBidi" w:hAnsiTheme="majorBidi"/>
        </w:rPr>
        <w:t xml:space="preserve"> of </w:t>
      </w:r>
      <w:r>
        <w:rPr>
          <w:rFonts w:asciiTheme="majorBidi" w:hAnsiTheme="majorBidi"/>
        </w:rPr>
        <w:t>I</w:t>
      </w:r>
      <w:r w:rsidRPr="00325763">
        <w:rPr>
          <w:rFonts w:asciiTheme="majorBidi" w:hAnsiTheme="majorBidi"/>
        </w:rPr>
        <w:t>nformation</w:t>
      </w:r>
      <w:bookmarkEnd w:id="7"/>
      <w:bookmarkEnd w:id="8"/>
      <w:bookmarkEnd w:id="9"/>
      <w:bookmarkEnd w:id="10"/>
      <w:bookmarkEnd w:id="11"/>
      <w:r>
        <w:rPr>
          <w:rFonts w:eastAsiaTheme="majorBidi"/>
        </w:rPr>
        <w:t xml:space="preserve"> </w:t>
      </w:r>
    </w:p>
    <w:p w:rsidR="00CA4956" w:rsidRDefault="00CA4956" w:rsidP="00CA4956">
      <w:pPr>
        <w:spacing w:after="0" w:line="240" w:lineRule="auto"/>
        <w:jc w:val="both"/>
        <w:rPr>
          <w:rFonts w:asciiTheme="majorBidi" w:eastAsiaTheme="majorBidi" w:hAnsiTheme="majorBidi" w:cstheme="majorBidi"/>
          <w:b/>
          <w:bCs/>
        </w:rPr>
      </w:pPr>
      <w:r w:rsidRPr="7CBBD0AF">
        <w:rPr>
          <w:rFonts w:asciiTheme="majorBidi" w:eastAsiaTheme="majorBidi" w:hAnsiTheme="majorBidi" w:cstheme="majorBidi"/>
          <w:b/>
          <w:bCs/>
        </w:rPr>
        <w:t>Statistical methodology for stratification and sample selection, estimation procedure, degree of accuracy needed for the purpose described in the justification, unusual problems requiring specialized sampling procedures, and any use of periodic (less frequent than annual) data collection cycles to reduce burden.</w:t>
      </w:r>
    </w:p>
    <w:p w:rsidR="00CA4956" w:rsidRDefault="00CA4956" w:rsidP="00CA4956">
      <w:pPr>
        <w:spacing w:after="0" w:line="240" w:lineRule="auto"/>
        <w:jc w:val="both"/>
        <w:rPr>
          <w:rFonts w:asciiTheme="majorBidi" w:eastAsiaTheme="majorBidi" w:hAnsiTheme="majorBidi" w:cstheme="majorBidi"/>
          <w:b/>
          <w:bCs/>
        </w:rPr>
      </w:pPr>
    </w:p>
    <w:p w:rsidR="00CA4956" w:rsidRDefault="00CA4956" w:rsidP="00CA4956">
      <w:pPr>
        <w:spacing w:after="0" w:line="240" w:lineRule="auto"/>
      </w:pPr>
      <w:bookmarkStart w:id="12" w:name="_Toc381944847"/>
      <w:bookmarkStart w:id="13" w:name="_Toc411262006"/>
      <w:bookmarkStart w:id="14" w:name="_Toc411439986"/>
      <w:r>
        <w:rPr>
          <w:rFonts w:eastAsia="Times New Roman" w:cs="Times New Roman"/>
          <w:szCs w:val="24"/>
        </w:rPr>
        <w:t xml:space="preserve">As noted in question 1, no </w:t>
      </w:r>
      <w:r w:rsidRPr="003960EA">
        <w:rPr>
          <w:rFonts w:eastAsia="Times New Roman" w:cs="Times New Roman"/>
          <w:szCs w:val="24"/>
        </w:rPr>
        <w:t xml:space="preserve">sampling </w:t>
      </w:r>
      <w:r>
        <w:rPr>
          <w:rFonts w:eastAsia="Times New Roman" w:cs="Times New Roman"/>
          <w:szCs w:val="24"/>
        </w:rPr>
        <w:t xml:space="preserve">strategy is used in this data collection. Data will be collected from all </w:t>
      </w:r>
      <w:proofErr w:type="spellStart"/>
      <w:r>
        <w:rPr>
          <w:rFonts w:eastAsia="Times New Roman" w:cs="Times New Roman"/>
          <w:szCs w:val="24"/>
        </w:rPr>
        <w:t>ScaleUp</w:t>
      </w:r>
      <w:proofErr w:type="spellEnd"/>
      <w:r>
        <w:rPr>
          <w:rFonts w:eastAsia="Times New Roman" w:cs="Times New Roman"/>
          <w:szCs w:val="24"/>
        </w:rPr>
        <w:t xml:space="preserve"> participants as well as from a matched comparison group of small business owners in the same community. </w:t>
      </w:r>
      <w:r>
        <w:t xml:space="preserve">The estimates will be generalizable to the eight </w:t>
      </w:r>
      <w:proofErr w:type="spellStart"/>
      <w:r>
        <w:t>ScaleUp</w:t>
      </w:r>
      <w:proofErr w:type="spellEnd"/>
      <w:r>
        <w:t xml:space="preserve"> sites, which were selected purposefully to fulfill predefined SBA contract criteria, but will not necessarily be representative of other regions of the U.S. or other locations in which the initiative may be deployed in the future. If the follow-up response rate falls below the expected 80 percent, non-response bias analysis will be conducted using demographic and business information collected in the intake survey and reported in the final report.</w:t>
      </w:r>
      <w:r>
        <w:rPr>
          <w:rStyle w:val="FootnoteReference"/>
        </w:rPr>
        <w:footnoteReference w:id="2"/>
      </w:r>
      <w:r>
        <w:t xml:space="preserve"> </w:t>
      </w:r>
      <w:r w:rsidRPr="00546DF5">
        <w:t>The primary objective of the</w:t>
      </w:r>
      <w:r>
        <w:t xml:space="preserve"> impact</w:t>
      </w:r>
      <w:r w:rsidRPr="00546DF5">
        <w:t xml:space="preserve"> evaluation is to provide statistically valid and reliable estimates of the incremental effects of </w:t>
      </w:r>
      <w:proofErr w:type="spellStart"/>
      <w:r w:rsidRPr="00546DF5">
        <w:t>ScaleUp</w:t>
      </w:r>
      <w:proofErr w:type="spellEnd"/>
      <w:r w:rsidRPr="00546DF5">
        <w:t xml:space="preserve"> services on key </w:t>
      </w:r>
      <w:r>
        <w:t xml:space="preserve">business </w:t>
      </w:r>
      <w:r w:rsidRPr="00546DF5">
        <w:t>outcomes, including revenue and employment growth.</w:t>
      </w:r>
      <w:r>
        <w:t xml:space="preserve"> The entire program rather than the individual sites are the unit of analysis for the statistical methods employed.</w:t>
      </w:r>
    </w:p>
    <w:p w:rsidR="00CA4956" w:rsidRDefault="00CA4956" w:rsidP="00CA4956">
      <w:pPr>
        <w:spacing w:after="0" w:line="240" w:lineRule="auto"/>
      </w:pPr>
    </w:p>
    <w:p w:rsidR="00CA4956" w:rsidRDefault="00CA4956" w:rsidP="00CA4956">
      <w:pPr>
        <w:spacing w:after="0" w:line="240" w:lineRule="auto"/>
        <w:rPr>
          <w:rFonts w:cs="Times New Roman"/>
          <w:szCs w:val="24"/>
        </w:rPr>
      </w:pPr>
      <w:r>
        <w:t>The primary analysis method used is regression adjusted difference-in-difference estimation,</w:t>
      </w:r>
      <w:r>
        <w:rPr>
          <w:rFonts w:cs="Times New Roman"/>
          <w:szCs w:val="24"/>
        </w:rPr>
        <w:t xml:space="preserve"> which allows for the estimation of differences between participants and comparison </w:t>
      </w:r>
      <w:r w:rsidRPr="00990C6B">
        <w:rPr>
          <w:rFonts w:cs="Times New Roman"/>
          <w:szCs w:val="24"/>
        </w:rPr>
        <w:t xml:space="preserve">group </w:t>
      </w:r>
      <w:r>
        <w:rPr>
          <w:rFonts w:cs="Times New Roman"/>
          <w:szCs w:val="24"/>
        </w:rPr>
        <w:t xml:space="preserve">members </w:t>
      </w:r>
      <w:r w:rsidRPr="00990C6B">
        <w:rPr>
          <w:rFonts w:cs="Times New Roman"/>
          <w:szCs w:val="24"/>
        </w:rPr>
        <w:t xml:space="preserve">(the first difference) in the changes over time in key variables </w:t>
      </w:r>
      <w:r>
        <w:rPr>
          <w:rFonts w:cs="Times New Roman"/>
          <w:szCs w:val="24"/>
        </w:rPr>
        <w:t>(the second difference)</w:t>
      </w:r>
      <w:r>
        <w:t xml:space="preserve">. </w:t>
      </w:r>
      <w:r>
        <w:rPr>
          <w:rFonts w:cs="Times New Roman"/>
          <w:szCs w:val="24"/>
        </w:rPr>
        <w:t xml:space="preserve">The changes over time in key small business outcomes (e.g. small business revenue or employment) that are attributable to participation in </w:t>
      </w:r>
      <w:proofErr w:type="spellStart"/>
      <w:r>
        <w:rPr>
          <w:rFonts w:cs="Times New Roman"/>
          <w:szCs w:val="24"/>
        </w:rPr>
        <w:t>ScaleUp</w:t>
      </w:r>
      <w:proofErr w:type="spellEnd"/>
      <w:r>
        <w:rPr>
          <w:rFonts w:cs="Times New Roman"/>
          <w:szCs w:val="24"/>
        </w:rPr>
        <w:t xml:space="preserve"> are estimated, controlling for time period, program participation, location, time-variant community economic characteristics (e.g. local unemployment rates), and time-variant small business characteristics. Estimated standard errors are adjusted appropriately for grouping of data by site.</w:t>
      </w:r>
      <w:r w:rsidRPr="00990C6B">
        <w:rPr>
          <w:rFonts w:cs="Times New Roman"/>
          <w:szCs w:val="24"/>
        </w:rPr>
        <w:t xml:space="preserve"> Double-differencing has the effect of helping control for selection issues by eliminating the influence of </w:t>
      </w:r>
      <w:r>
        <w:rPr>
          <w:rFonts w:cs="Times New Roman"/>
          <w:szCs w:val="24"/>
        </w:rPr>
        <w:t xml:space="preserve">all observed and unobserved </w:t>
      </w:r>
      <w:r w:rsidRPr="00990C6B">
        <w:rPr>
          <w:rFonts w:cs="Times New Roman"/>
          <w:szCs w:val="24"/>
        </w:rPr>
        <w:t>time-invariant characteristics</w:t>
      </w:r>
      <w:r>
        <w:rPr>
          <w:rFonts w:cs="Times New Roman"/>
          <w:szCs w:val="24"/>
        </w:rPr>
        <w:t xml:space="preserve"> (that have time-invariant effects on the outcome in question)</w:t>
      </w:r>
      <w:r w:rsidRPr="00990C6B">
        <w:rPr>
          <w:rFonts w:cs="Times New Roman"/>
          <w:szCs w:val="24"/>
        </w:rPr>
        <w:t>.</w:t>
      </w:r>
      <w:r>
        <w:rPr>
          <w:rFonts w:cs="Times New Roman"/>
          <w:szCs w:val="24"/>
        </w:rPr>
        <w:t xml:space="preserve"> Standard inferential statistics will be employed to determine if estimated differences are statistically significant, using a standard threshold of a 5 percent significance level to reject the null hypothesis of no difference. </w:t>
      </w:r>
    </w:p>
    <w:p w:rsidR="00CA4956" w:rsidRPr="00546DF5" w:rsidRDefault="00CA4956" w:rsidP="00CA4956">
      <w:pPr>
        <w:spacing w:after="0" w:line="240" w:lineRule="auto"/>
        <w:rPr>
          <w:rFonts w:asciiTheme="majorBidi" w:hAnsiTheme="majorBidi"/>
          <w:i/>
        </w:rPr>
      </w:pPr>
    </w:p>
    <w:p w:rsidR="00CA4956" w:rsidRPr="009E6959" w:rsidRDefault="00CA4956" w:rsidP="00CA4956">
      <w:pPr>
        <w:pStyle w:val="Heading2"/>
        <w:keepNext/>
        <w:keepLines/>
        <w:numPr>
          <w:ilvl w:val="0"/>
          <w:numId w:val="2"/>
        </w:numPr>
        <w:contextualSpacing w:val="0"/>
        <w:jc w:val="both"/>
        <w:rPr>
          <w:rFonts w:asciiTheme="majorBidi" w:hAnsiTheme="majorBidi"/>
        </w:rPr>
      </w:pPr>
      <w:bookmarkStart w:id="15" w:name="_Toc427852320"/>
      <w:r w:rsidRPr="00D955BC">
        <w:rPr>
          <w:rFonts w:asciiTheme="majorBidi" w:hAnsiTheme="majorBidi"/>
        </w:rPr>
        <w:lastRenderedPageBreak/>
        <w:t xml:space="preserve">Describe </w:t>
      </w:r>
      <w:r>
        <w:rPr>
          <w:rFonts w:asciiTheme="majorBidi" w:hAnsiTheme="majorBidi"/>
        </w:rPr>
        <w:t xml:space="preserve">Methods to Maximize Response Rates and </w:t>
      </w:r>
      <w:r w:rsidRPr="00D955BC">
        <w:rPr>
          <w:rFonts w:asciiTheme="majorBidi" w:hAnsiTheme="majorBidi"/>
        </w:rPr>
        <w:t xml:space="preserve">methods to </w:t>
      </w:r>
      <w:r>
        <w:rPr>
          <w:rFonts w:asciiTheme="majorBidi" w:hAnsiTheme="majorBidi"/>
        </w:rPr>
        <w:t>Deal</w:t>
      </w:r>
      <w:r w:rsidRPr="00D955BC">
        <w:rPr>
          <w:rFonts w:asciiTheme="majorBidi" w:hAnsiTheme="majorBidi"/>
        </w:rPr>
        <w:t xml:space="preserve"> with </w:t>
      </w:r>
      <w:r>
        <w:rPr>
          <w:rFonts w:asciiTheme="majorBidi" w:hAnsiTheme="majorBidi"/>
        </w:rPr>
        <w:t>Issues</w:t>
      </w:r>
      <w:r w:rsidRPr="00D955BC">
        <w:rPr>
          <w:rFonts w:asciiTheme="majorBidi" w:hAnsiTheme="majorBidi"/>
        </w:rPr>
        <w:t xml:space="preserve"> of </w:t>
      </w:r>
      <w:r>
        <w:rPr>
          <w:rFonts w:asciiTheme="majorBidi" w:hAnsiTheme="majorBidi"/>
        </w:rPr>
        <w:t>Non-R</w:t>
      </w:r>
      <w:r w:rsidRPr="00D955BC">
        <w:rPr>
          <w:rFonts w:asciiTheme="majorBidi" w:hAnsiTheme="majorBidi"/>
        </w:rPr>
        <w:t>esponse</w:t>
      </w:r>
      <w:bookmarkEnd w:id="12"/>
      <w:bookmarkEnd w:id="13"/>
      <w:bookmarkEnd w:id="14"/>
      <w:bookmarkEnd w:id="15"/>
    </w:p>
    <w:p w:rsidR="00CA4956" w:rsidRDefault="00CA4956" w:rsidP="00CA4956">
      <w:pPr>
        <w:spacing w:after="0" w:line="240" w:lineRule="auto"/>
        <w:rPr>
          <w:rFonts w:asciiTheme="majorBidi" w:hAnsiTheme="majorBidi" w:cstheme="majorBidi"/>
          <w:b/>
          <w:bCs/>
        </w:rPr>
      </w:pPr>
      <w:r w:rsidRPr="00BE27FF">
        <w:rPr>
          <w:rFonts w:asciiTheme="majorBidi" w:hAnsiTheme="majorBidi" w:cstheme="majorBidi"/>
          <w:b/>
          <w:bCs/>
        </w:rPr>
        <w:t xml:space="preserve">The accuracy and reliability of information collected must be shown to be adequate for intended uses. For collections based on sampling, a special justification must be provided for any collection that will not yield </w:t>
      </w:r>
      <w:r>
        <w:rPr>
          <w:rFonts w:asciiTheme="majorBidi" w:hAnsiTheme="majorBidi" w:cstheme="majorBidi"/>
          <w:b/>
          <w:bCs/>
        </w:rPr>
        <w:t>“</w:t>
      </w:r>
      <w:r w:rsidRPr="00BE27FF">
        <w:rPr>
          <w:rFonts w:asciiTheme="majorBidi" w:hAnsiTheme="majorBidi" w:cstheme="majorBidi"/>
          <w:b/>
          <w:bCs/>
        </w:rPr>
        <w:t>reliable</w:t>
      </w:r>
      <w:r>
        <w:rPr>
          <w:rFonts w:asciiTheme="majorBidi" w:hAnsiTheme="majorBidi" w:cstheme="majorBidi"/>
          <w:b/>
          <w:bCs/>
        </w:rPr>
        <w:t>”</w:t>
      </w:r>
      <w:r w:rsidRPr="00BE27FF">
        <w:rPr>
          <w:rFonts w:asciiTheme="majorBidi" w:hAnsiTheme="majorBidi" w:cstheme="majorBidi"/>
          <w:b/>
          <w:bCs/>
        </w:rPr>
        <w:t xml:space="preserve"> data that can be generalized to the universe studied.</w:t>
      </w:r>
    </w:p>
    <w:p w:rsidR="00CA4956" w:rsidRDefault="00CA4956" w:rsidP="00CA4956">
      <w:pPr>
        <w:spacing w:after="0" w:line="240" w:lineRule="auto"/>
        <w:rPr>
          <w:rFonts w:asciiTheme="majorBidi" w:hAnsiTheme="majorBidi" w:cstheme="majorBidi"/>
          <w:b/>
          <w:bCs/>
        </w:rPr>
      </w:pPr>
    </w:p>
    <w:p w:rsidR="00CA4956" w:rsidRDefault="00CA4956" w:rsidP="00CA4956">
      <w:pPr>
        <w:spacing w:after="0" w:line="240" w:lineRule="auto"/>
        <w:rPr>
          <w:rFonts w:eastAsiaTheme="majorBidi" w:cs="Times New Roman"/>
          <w:szCs w:val="24"/>
        </w:rPr>
      </w:pPr>
      <w:r>
        <w:t>To maximize the survey response rate and minimize respondent burden, the following data collection techniques will be used</w:t>
      </w:r>
      <w:bookmarkStart w:id="16" w:name="_Toc385234341"/>
      <w:bookmarkStart w:id="17" w:name="_Toc411262007"/>
      <w:bookmarkStart w:id="18" w:name="_Toc411439987"/>
      <w:r w:rsidRPr="00451E56">
        <w:rPr>
          <w:rFonts w:eastAsiaTheme="majorBidi" w:cs="Times New Roman"/>
          <w:szCs w:val="24"/>
        </w:rPr>
        <w:t>.</w:t>
      </w:r>
      <w:r>
        <w:rPr>
          <w:rFonts w:eastAsiaTheme="majorBidi" w:cs="Times New Roman"/>
          <w:szCs w:val="24"/>
        </w:rPr>
        <w:t xml:space="preserve"> Surveys </w:t>
      </w:r>
      <w:r w:rsidRPr="00451E56">
        <w:rPr>
          <w:rFonts w:eastAsiaTheme="majorBidi" w:cs="Times New Roman"/>
          <w:szCs w:val="24"/>
        </w:rPr>
        <w:t xml:space="preserve">will be introduced to </w:t>
      </w:r>
      <w:r>
        <w:rPr>
          <w:rFonts w:eastAsiaTheme="majorBidi" w:cs="Times New Roman"/>
          <w:szCs w:val="24"/>
        </w:rPr>
        <w:t>the cohort participant and comparison group members</w:t>
      </w:r>
      <w:r w:rsidRPr="00451E56">
        <w:rPr>
          <w:rFonts w:eastAsiaTheme="majorBidi" w:cs="Times New Roman"/>
          <w:szCs w:val="24"/>
        </w:rPr>
        <w:t xml:space="preserve"> via an official introduction e-mail</w:t>
      </w:r>
      <w:r>
        <w:rPr>
          <w:rFonts w:eastAsiaTheme="majorBidi" w:cs="Times New Roman"/>
          <w:szCs w:val="24"/>
        </w:rPr>
        <w:t xml:space="preserve"> from the </w:t>
      </w:r>
      <w:proofErr w:type="spellStart"/>
      <w:r>
        <w:rPr>
          <w:rFonts w:eastAsiaTheme="majorBidi" w:cs="Times New Roman"/>
          <w:szCs w:val="24"/>
        </w:rPr>
        <w:t>ScaleUp</w:t>
      </w:r>
      <w:proofErr w:type="spellEnd"/>
      <w:r>
        <w:rPr>
          <w:rFonts w:eastAsiaTheme="majorBidi" w:cs="Times New Roman"/>
          <w:szCs w:val="24"/>
        </w:rPr>
        <w:t xml:space="preserve"> initiative </w:t>
      </w:r>
      <w:r w:rsidRPr="00451E56">
        <w:rPr>
          <w:rFonts w:eastAsiaTheme="majorBidi" w:cs="Times New Roman"/>
          <w:szCs w:val="24"/>
        </w:rPr>
        <w:t>director</w:t>
      </w:r>
      <w:r>
        <w:rPr>
          <w:rFonts w:eastAsiaTheme="majorBidi" w:cs="Times New Roman"/>
          <w:szCs w:val="24"/>
        </w:rPr>
        <w:t xml:space="preserve"> (or SBA in the case of the comparison group)</w:t>
      </w:r>
      <w:r w:rsidRPr="00451E56">
        <w:rPr>
          <w:rFonts w:eastAsiaTheme="majorBidi" w:cs="Times New Roman"/>
          <w:szCs w:val="24"/>
        </w:rPr>
        <w:t xml:space="preserve">. </w:t>
      </w:r>
      <w:r>
        <w:rPr>
          <w:rFonts w:eastAsiaTheme="majorBidi" w:cs="Times New Roman"/>
          <w:szCs w:val="24"/>
        </w:rPr>
        <w:t>This will help to legitimize the survey and highlight its importance.</w:t>
      </w:r>
      <w:r w:rsidRPr="009D1285">
        <w:rPr>
          <w:rFonts w:eastAsiaTheme="majorBidi" w:cs="Times New Roman"/>
          <w:szCs w:val="24"/>
        </w:rPr>
        <w:t xml:space="preserve"> </w:t>
      </w:r>
      <w:r>
        <w:rPr>
          <w:rFonts w:eastAsiaTheme="majorBidi" w:cs="Times New Roman"/>
          <w:szCs w:val="24"/>
        </w:rPr>
        <w:t xml:space="preserve">The introduction outlines potential benefits to the business community resulting from the evaluation. It highlights that the survey will directly contribute to finding </w:t>
      </w:r>
      <w:r w:rsidRPr="002B2889">
        <w:rPr>
          <w:rFonts w:asciiTheme="majorBidi" w:hAnsiTheme="majorBidi" w:cstheme="majorBidi"/>
          <w:szCs w:val="24"/>
        </w:rPr>
        <w:t xml:space="preserve">ways </w:t>
      </w:r>
      <w:r>
        <w:rPr>
          <w:rFonts w:asciiTheme="majorBidi" w:hAnsiTheme="majorBidi" w:cstheme="majorBidi"/>
          <w:szCs w:val="24"/>
        </w:rPr>
        <w:t>to</w:t>
      </w:r>
      <w:r w:rsidRPr="002B2889">
        <w:rPr>
          <w:rFonts w:asciiTheme="majorBidi" w:hAnsiTheme="majorBidi" w:cstheme="majorBidi"/>
          <w:szCs w:val="24"/>
        </w:rPr>
        <w:t xml:space="preserve"> </w:t>
      </w:r>
      <w:r>
        <w:rPr>
          <w:rFonts w:asciiTheme="majorBidi" w:hAnsiTheme="majorBidi" w:cstheme="majorBidi"/>
          <w:szCs w:val="24"/>
        </w:rPr>
        <w:t>further improve</w:t>
      </w:r>
      <w:r w:rsidRPr="002B2889">
        <w:rPr>
          <w:rFonts w:asciiTheme="majorBidi" w:hAnsiTheme="majorBidi" w:cstheme="majorBidi"/>
          <w:szCs w:val="24"/>
        </w:rPr>
        <w:t xml:space="preserve"> the program so that the needs of </w:t>
      </w:r>
      <w:r>
        <w:rPr>
          <w:rFonts w:asciiTheme="majorBidi" w:hAnsiTheme="majorBidi" w:cstheme="majorBidi"/>
          <w:szCs w:val="24"/>
        </w:rPr>
        <w:t>growth-oriented small business owners</w:t>
      </w:r>
      <w:r w:rsidRPr="002B2889">
        <w:rPr>
          <w:rFonts w:asciiTheme="majorBidi" w:hAnsiTheme="majorBidi" w:cstheme="majorBidi"/>
          <w:szCs w:val="24"/>
        </w:rPr>
        <w:t xml:space="preserve"> and entrepreneurs are better served</w:t>
      </w:r>
      <w:r>
        <w:rPr>
          <w:rFonts w:eastAsiaTheme="majorBidi" w:cs="Times New Roman"/>
          <w:szCs w:val="24"/>
        </w:rPr>
        <w:t>. It also explains the confidentiality of the information provided by the respondent.</w:t>
      </w:r>
    </w:p>
    <w:p w:rsidR="00CA4956" w:rsidRPr="0086116A" w:rsidRDefault="00CA4956" w:rsidP="00CA4956">
      <w:pPr>
        <w:spacing w:after="0" w:line="240" w:lineRule="auto"/>
        <w:rPr>
          <w:i/>
        </w:rPr>
      </w:pPr>
    </w:p>
    <w:p w:rsidR="00CA4956" w:rsidRDefault="00CA4956" w:rsidP="00CA4956">
      <w:pPr>
        <w:spacing w:after="0" w:line="240" w:lineRule="auto"/>
        <w:rPr>
          <w:rFonts w:eastAsiaTheme="majorBidi" w:cs="Times New Roman"/>
          <w:szCs w:val="24"/>
        </w:rPr>
      </w:pPr>
      <w:r w:rsidRPr="00451E56">
        <w:rPr>
          <w:rFonts w:eastAsiaTheme="majorBidi" w:cs="Times New Roman"/>
          <w:szCs w:val="24"/>
        </w:rPr>
        <w:t>After th</w:t>
      </w:r>
      <w:r>
        <w:rPr>
          <w:rFonts w:eastAsiaTheme="majorBidi" w:cs="Times New Roman"/>
          <w:szCs w:val="24"/>
        </w:rPr>
        <w:t>e</w:t>
      </w:r>
      <w:r w:rsidRPr="00451E56">
        <w:rPr>
          <w:rFonts w:eastAsiaTheme="majorBidi" w:cs="Times New Roman"/>
          <w:szCs w:val="24"/>
        </w:rPr>
        <w:t xml:space="preserve"> introduction</w:t>
      </w:r>
      <w:r>
        <w:rPr>
          <w:rFonts w:eastAsiaTheme="majorBidi" w:cs="Times New Roman"/>
          <w:szCs w:val="24"/>
        </w:rPr>
        <w:t xml:space="preserve"> letters</w:t>
      </w:r>
      <w:r w:rsidRPr="00451E56">
        <w:rPr>
          <w:rFonts w:eastAsiaTheme="majorBidi" w:cs="Times New Roman"/>
          <w:szCs w:val="24"/>
        </w:rPr>
        <w:t>, Optimal will send an e</w:t>
      </w:r>
      <w:r>
        <w:rPr>
          <w:rFonts w:eastAsiaTheme="majorBidi" w:cs="Times New Roman"/>
          <w:szCs w:val="24"/>
        </w:rPr>
        <w:t>-</w:t>
      </w:r>
      <w:r w:rsidRPr="00451E56">
        <w:rPr>
          <w:rFonts w:eastAsiaTheme="majorBidi" w:cs="Times New Roman"/>
          <w:szCs w:val="24"/>
        </w:rPr>
        <w:t>mail to</w:t>
      </w:r>
      <w:r>
        <w:rPr>
          <w:rFonts w:eastAsiaTheme="majorBidi" w:cs="Times New Roman"/>
          <w:szCs w:val="24"/>
        </w:rPr>
        <w:t xml:space="preserve"> cohort participants</w:t>
      </w:r>
      <w:r w:rsidRPr="00451E56">
        <w:rPr>
          <w:rFonts w:eastAsiaTheme="majorBidi" w:cs="Times New Roman"/>
          <w:szCs w:val="24"/>
        </w:rPr>
        <w:t xml:space="preserve"> </w:t>
      </w:r>
      <w:r>
        <w:rPr>
          <w:rFonts w:eastAsiaTheme="majorBidi" w:cs="Times New Roman"/>
          <w:szCs w:val="24"/>
        </w:rPr>
        <w:t xml:space="preserve">and comparison group members </w:t>
      </w:r>
      <w:r w:rsidRPr="00451E56">
        <w:rPr>
          <w:rFonts w:eastAsiaTheme="majorBidi" w:cs="Times New Roman"/>
          <w:szCs w:val="24"/>
        </w:rPr>
        <w:t>with the direct survey link</w:t>
      </w:r>
      <w:r>
        <w:rPr>
          <w:rFonts w:eastAsiaTheme="majorBidi" w:cs="Times New Roman"/>
          <w:szCs w:val="24"/>
        </w:rPr>
        <w:t xml:space="preserve"> embedded. The surveys are designed to use skip patterns and simple, often multiple-choice answer options to facilitate the ease with which the survey can be completed. Optimal </w:t>
      </w:r>
      <w:r w:rsidRPr="00451E56">
        <w:rPr>
          <w:rFonts w:eastAsiaTheme="majorBidi" w:cs="Times New Roman"/>
          <w:szCs w:val="24"/>
        </w:rPr>
        <w:t>will</w:t>
      </w:r>
      <w:r>
        <w:rPr>
          <w:rFonts w:eastAsiaTheme="majorBidi" w:cs="Times New Roman"/>
          <w:szCs w:val="24"/>
        </w:rPr>
        <w:t xml:space="preserve"> also</w:t>
      </w:r>
      <w:r w:rsidRPr="00451E56">
        <w:rPr>
          <w:rFonts w:eastAsiaTheme="majorBidi" w:cs="Times New Roman"/>
          <w:szCs w:val="24"/>
        </w:rPr>
        <w:t xml:space="preserve"> sen</w:t>
      </w:r>
      <w:r>
        <w:rPr>
          <w:rFonts w:eastAsiaTheme="majorBidi" w:cs="Times New Roman"/>
          <w:szCs w:val="24"/>
        </w:rPr>
        <w:t>d</w:t>
      </w:r>
      <w:r w:rsidRPr="00451E56">
        <w:rPr>
          <w:rFonts w:eastAsiaTheme="majorBidi" w:cs="Times New Roman"/>
          <w:szCs w:val="24"/>
        </w:rPr>
        <w:t xml:space="preserve"> up to </w:t>
      </w:r>
      <w:r>
        <w:rPr>
          <w:rFonts w:eastAsiaTheme="majorBidi" w:cs="Times New Roman"/>
          <w:szCs w:val="24"/>
        </w:rPr>
        <w:t>four</w:t>
      </w:r>
      <w:r w:rsidRPr="00451E56">
        <w:rPr>
          <w:rFonts w:eastAsiaTheme="majorBidi" w:cs="Times New Roman"/>
          <w:szCs w:val="24"/>
        </w:rPr>
        <w:t xml:space="preserve"> reminder e-mails encouraging </w:t>
      </w:r>
      <w:r>
        <w:rPr>
          <w:rFonts w:eastAsiaTheme="majorBidi" w:cs="Times New Roman"/>
          <w:szCs w:val="24"/>
        </w:rPr>
        <w:t>potential survey respondents</w:t>
      </w:r>
      <w:r w:rsidRPr="00451E56">
        <w:rPr>
          <w:rFonts w:eastAsiaTheme="majorBidi" w:cs="Times New Roman"/>
          <w:szCs w:val="24"/>
        </w:rPr>
        <w:t xml:space="preserve"> to complete the survey before the deadline. </w:t>
      </w:r>
      <w:r>
        <w:rPr>
          <w:rFonts w:eastAsiaTheme="majorBidi" w:cs="Times New Roman"/>
          <w:szCs w:val="24"/>
        </w:rPr>
        <w:t xml:space="preserve">The reminders will be sent at different times of the day to increase the probability of reaching respondents at an opportune time. </w:t>
      </w:r>
    </w:p>
    <w:p w:rsidR="00CA4956" w:rsidRDefault="00CA4956" w:rsidP="00CA4956">
      <w:pPr>
        <w:spacing w:after="0" w:line="240" w:lineRule="auto"/>
        <w:rPr>
          <w:rFonts w:eastAsiaTheme="majorBidi" w:cs="Times New Roman"/>
          <w:szCs w:val="24"/>
        </w:rPr>
      </w:pPr>
    </w:p>
    <w:p w:rsidR="00CA4956" w:rsidRDefault="00CA4956" w:rsidP="00CA4956">
      <w:pPr>
        <w:spacing w:after="0" w:line="240" w:lineRule="auto"/>
        <w:rPr>
          <w:rFonts w:asciiTheme="majorBidi" w:eastAsiaTheme="majorBidi" w:hAnsiTheme="majorBidi" w:cstheme="majorBidi"/>
          <w:szCs w:val="24"/>
        </w:rPr>
      </w:pPr>
      <w:r>
        <w:rPr>
          <w:rFonts w:eastAsiaTheme="majorBidi" w:cs="Times New Roman"/>
          <w:szCs w:val="24"/>
        </w:rPr>
        <w:t xml:space="preserve">Importantly, response rates are expected to be extremely low for comparison group members who have not received the free </w:t>
      </w:r>
      <w:proofErr w:type="spellStart"/>
      <w:r>
        <w:rPr>
          <w:rFonts w:eastAsiaTheme="majorBidi" w:cs="Times New Roman"/>
          <w:szCs w:val="24"/>
        </w:rPr>
        <w:t>ScaleUp</w:t>
      </w:r>
      <w:proofErr w:type="spellEnd"/>
      <w:r>
        <w:rPr>
          <w:rFonts w:eastAsiaTheme="majorBidi" w:cs="Times New Roman"/>
          <w:szCs w:val="24"/>
        </w:rPr>
        <w:t xml:space="preserve"> services. As a result, all comparison group members will be offered a $50 VISA gift card incentive for completing each survey. This </w:t>
      </w:r>
      <w:r>
        <w:rPr>
          <w:rFonts w:asciiTheme="majorBidi" w:eastAsiaTheme="majorBidi" w:hAnsiTheme="majorBidi" w:cstheme="majorBidi"/>
          <w:szCs w:val="24"/>
        </w:rPr>
        <w:t>compensation is equivalent to about $100 per hour and is expected to generate high interest in completing the surveys. Among participants, SBA has worked to promote the importance of the study to administrators on multiple occasions since the start of the program and to convey this information to the participants to increase their expectation and willingness to complete the surveys.</w:t>
      </w:r>
    </w:p>
    <w:p w:rsidR="00CA4956" w:rsidRPr="00EE7D14" w:rsidRDefault="00CA4956" w:rsidP="00CA4956">
      <w:pPr>
        <w:spacing w:after="0" w:line="240" w:lineRule="auto"/>
        <w:rPr>
          <w:rFonts w:cs="Times New Roman"/>
          <w:szCs w:val="24"/>
        </w:rPr>
      </w:pPr>
    </w:p>
    <w:p w:rsidR="00CA4956" w:rsidRDefault="00CA4956" w:rsidP="00CA4956">
      <w:pPr>
        <w:pStyle w:val="Heading2"/>
        <w:keepNext/>
        <w:keepLines/>
        <w:numPr>
          <w:ilvl w:val="0"/>
          <w:numId w:val="2"/>
        </w:numPr>
        <w:ind w:left="576"/>
        <w:contextualSpacing w:val="0"/>
        <w:jc w:val="both"/>
        <w:rPr>
          <w:rFonts w:eastAsiaTheme="majorBidi"/>
        </w:rPr>
      </w:pPr>
      <w:bookmarkStart w:id="19" w:name="_Toc427852321"/>
      <w:r w:rsidRPr="00BE27FF">
        <w:rPr>
          <w:rFonts w:asciiTheme="majorBidi" w:hAnsiTheme="majorBidi"/>
        </w:rPr>
        <w:t xml:space="preserve">Describe </w:t>
      </w:r>
      <w:r>
        <w:rPr>
          <w:rFonts w:asciiTheme="majorBidi" w:hAnsiTheme="majorBidi"/>
        </w:rPr>
        <w:t>Any Tests</w:t>
      </w:r>
      <w:r w:rsidRPr="00BE27FF">
        <w:rPr>
          <w:rFonts w:asciiTheme="majorBidi" w:hAnsiTheme="majorBidi"/>
        </w:rPr>
        <w:t xml:space="preserve"> of </w:t>
      </w:r>
      <w:r>
        <w:rPr>
          <w:rFonts w:asciiTheme="majorBidi" w:hAnsiTheme="majorBidi"/>
        </w:rPr>
        <w:t>Procedures</w:t>
      </w:r>
      <w:r w:rsidRPr="00BE27FF">
        <w:rPr>
          <w:rFonts w:asciiTheme="majorBidi" w:hAnsiTheme="majorBidi"/>
        </w:rPr>
        <w:t xml:space="preserve"> or </w:t>
      </w:r>
      <w:r>
        <w:rPr>
          <w:rFonts w:asciiTheme="majorBidi" w:hAnsiTheme="majorBidi"/>
        </w:rPr>
        <w:t>Methods</w:t>
      </w:r>
      <w:r w:rsidRPr="00BE27FF">
        <w:rPr>
          <w:rFonts w:asciiTheme="majorBidi" w:hAnsiTheme="majorBidi"/>
        </w:rPr>
        <w:t xml:space="preserve"> to be </w:t>
      </w:r>
      <w:proofErr w:type="gramStart"/>
      <w:r>
        <w:rPr>
          <w:rFonts w:asciiTheme="majorBidi" w:hAnsiTheme="majorBidi"/>
        </w:rPr>
        <w:t>U</w:t>
      </w:r>
      <w:r w:rsidRPr="00BE27FF">
        <w:rPr>
          <w:rFonts w:asciiTheme="majorBidi" w:hAnsiTheme="majorBidi"/>
        </w:rPr>
        <w:t>ndertaken</w:t>
      </w:r>
      <w:bookmarkEnd w:id="16"/>
      <w:bookmarkEnd w:id="17"/>
      <w:bookmarkEnd w:id="18"/>
      <w:bookmarkEnd w:id="19"/>
      <w:proofErr w:type="gramEnd"/>
    </w:p>
    <w:p w:rsidR="00CA4956" w:rsidRDefault="00CA4956" w:rsidP="00CA4956">
      <w:pPr>
        <w:spacing w:after="0" w:line="240" w:lineRule="auto"/>
        <w:jc w:val="both"/>
        <w:rPr>
          <w:rFonts w:asciiTheme="majorBidi" w:eastAsiaTheme="majorBidi" w:hAnsiTheme="majorBidi" w:cstheme="majorBidi"/>
          <w:b/>
          <w:bCs/>
        </w:rPr>
      </w:pPr>
      <w:r w:rsidRPr="7CBBD0AF">
        <w:rPr>
          <w:rFonts w:asciiTheme="majorBidi" w:eastAsiaTheme="majorBidi" w:hAnsiTheme="majorBidi" w:cstheme="majorBidi"/>
          <w:b/>
          <w:bCs/>
        </w:rPr>
        <w:t>Testing is encouraged as an effective means of refining collections of information to minimize burden and improve utility. Tests must be approved if they call for answers to identical questions from ten or more respondents. A proposed test or set of tests may be submitted for approval separately or in combination with the main collection of information.</w:t>
      </w:r>
    </w:p>
    <w:p w:rsidR="00CA4956" w:rsidRDefault="00CA4956" w:rsidP="00CA4956">
      <w:pPr>
        <w:spacing w:after="0" w:line="240" w:lineRule="auto"/>
        <w:jc w:val="both"/>
        <w:rPr>
          <w:rFonts w:asciiTheme="majorBidi" w:eastAsiaTheme="majorBidi" w:hAnsiTheme="majorBidi" w:cstheme="majorBidi"/>
          <w:b/>
          <w:bCs/>
        </w:rPr>
      </w:pPr>
    </w:p>
    <w:p w:rsidR="00CA4956" w:rsidRDefault="00CA4956" w:rsidP="00CA4956">
      <w:pPr>
        <w:spacing w:after="0" w:line="240" w:lineRule="auto"/>
      </w:pPr>
      <w:r w:rsidRPr="00306B14">
        <w:t xml:space="preserve">The participant and comparison group member intake surveys and the participant and comparison group member follow-up surveys and comparison group screening questionnaire were pretested to ensure reliability, minimize measurement error, and minimize respondent burden. The surveys were revised based on the feedback received from four invited respondents that are comparable in business types and size to the </w:t>
      </w:r>
      <w:proofErr w:type="spellStart"/>
      <w:r w:rsidRPr="00306B14">
        <w:t>ScaleUp</w:t>
      </w:r>
      <w:proofErr w:type="spellEnd"/>
      <w:r w:rsidRPr="00306B14">
        <w:t xml:space="preserve"> participants. Cognitive interviewing methods were used to review the instruments and items the respondent or the researcher noted were problematic, difficult, or time-consuming to answer, were further discussed to determine the reasons for the difficulties and ways to improve the question. </w:t>
      </w:r>
    </w:p>
    <w:p w:rsidR="00CA4956" w:rsidRPr="00306B14" w:rsidRDefault="00CA4956" w:rsidP="00CA4956">
      <w:pPr>
        <w:spacing w:after="0" w:line="240" w:lineRule="auto"/>
      </w:pPr>
    </w:p>
    <w:p w:rsidR="00CA4956" w:rsidRDefault="00CA4956" w:rsidP="00CA4956">
      <w:pPr>
        <w:spacing w:after="0" w:line="240" w:lineRule="auto"/>
      </w:pPr>
      <w:r w:rsidRPr="00306B14">
        <w:lastRenderedPageBreak/>
        <w:t xml:space="preserve">In addition, pretests on internal research staff were completed to provide a burden estimate for the final instruments. </w:t>
      </w:r>
      <w:proofErr w:type="gramStart"/>
      <w:r w:rsidRPr="00306B14">
        <w:t>Staff were</w:t>
      </w:r>
      <w:proofErr w:type="gramEnd"/>
      <w:r w:rsidRPr="00306B14">
        <w:t xml:space="preserve"> instructed to complete the survey in one sitting, at a time and place with minimal distractions. The longer of </w:t>
      </w:r>
      <w:r>
        <w:t>the</w:t>
      </w:r>
      <w:r w:rsidRPr="00306B14">
        <w:t xml:space="preserve"> intake and follow-up instrument </w:t>
      </w:r>
      <w:r>
        <w:t>was</w:t>
      </w:r>
      <w:r w:rsidRPr="00306B14">
        <w:t xml:space="preserve"> used for the </w:t>
      </w:r>
      <w:r>
        <w:t>estimate</w:t>
      </w:r>
      <w:r w:rsidRPr="00306B14">
        <w:t>. The average burden across testers was as follows.</w:t>
      </w:r>
    </w:p>
    <w:p w:rsidR="00CA4956" w:rsidRPr="00306B14" w:rsidRDefault="00CA4956" w:rsidP="00CA4956">
      <w:pPr>
        <w:spacing w:after="0" w:line="240" w:lineRule="auto"/>
      </w:pPr>
    </w:p>
    <w:p w:rsidR="00CA4956" w:rsidRDefault="00CA4956" w:rsidP="00CA4956">
      <w:pPr>
        <w:spacing w:after="0" w:line="240" w:lineRule="auto"/>
        <w:rPr>
          <w:rFonts w:eastAsiaTheme="majorBidi" w:cs="Times New Roman"/>
          <w:b/>
          <w:bCs/>
          <w:szCs w:val="24"/>
        </w:rPr>
      </w:pPr>
      <w:r w:rsidRPr="00306B14">
        <w:rPr>
          <w:rFonts w:eastAsiaTheme="majorBidi" w:cs="Times New Roman"/>
          <w:b/>
          <w:bCs/>
          <w:szCs w:val="24"/>
        </w:rPr>
        <w:t xml:space="preserve">Exhibit 2: Burden estimates </w:t>
      </w:r>
    </w:p>
    <w:p w:rsidR="00CA4956" w:rsidRPr="00306B14" w:rsidRDefault="00CA4956" w:rsidP="00CA4956">
      <w:pPr>
        <w:spacing w:after="0" w:line="240" w:lineRule="auto"/>
        <w:rPr>
          <w:rFonts w:cs="Times New Roman"/>
          <w:b/>
          <w:bCs/>
          <w:szCs w:val="24"/>
        </w:rPr>
      </w:pPr>
    </w:p>
    <w:tbl>
      <w:tblPr>
        <w:tblStyle w:val="LightShading"/>
        <w:tblW w:w="0" w:type="auto"/>
        <w:tblLook w:val="04A0" w:firstRow="1" w:lastRow="0" w:firstColumn="1" w:lastColumn="0" w:noHBand="0" w:noVBand="1"/>
      </w:tblPr>
      <w:tblGrid>
        <w:gridCol w:w="3708"/>
        <w:gridCol w:w="3240"/>
      </w:tblGrid>
      <w:tr w:rsidR="00CA4956" w:rsidRPr="00306B14" w:rsidTr="000761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CA4956" w:rsidRPr="0058140A" w:rsidRDefault="00CA4956" w:rsidP="0007615F">
            <w:pPr>
              <w:spacing w:line="480" w:lineRule="auto"/>
            </w:pPr>
            <w:r w:rsidRPr="0058140A">
              <w:t>Instrument</w:t>
            </w:r>
          </w:p>
        </w:tc>
        <w:tc>
          <w:tcPr>
            <w:tcW w:w="3240" w:type="dxa"/>
          </w:tcPr>
          <w:p w:rsidR="00CA4956" w:rsidRPr="0058140A" w:rsidRDefault="00CA4956" w:rsidP="0007615F">
            <w:pPr>
              <w:spacing w:line="480" w:lineRule="auto"/>
              <w:cnfStyle w:val="100000000000" w:firstRow="1" w:lastRow="0" w:firstColumn="0" w:lastColumn="0" w:oddVBand="0" w:evenVBand="0" w:oddHBand="0" w:evenHBand="0" w:firstRowFirstColumn="0" w:firstRowLastColumn="0" w:lastRowFirstColumn="0" w:lastRowLastColumn="0"/>
            </w:pPr>
            <w:r w:rsidRPr="0058140A">
              <w:t>Average burden in minutes</w:t>
            </w:r>
          </w:p>
        </w:tc>
      </w:tr>
      <w:tr w:rsidR="00CA4956" w:rsidRPr="00306B14" w:rsidTr="00076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rsidR="00CA4956" w:rsidRPr="0058140A" w:rsidRDefault="00CA4956" w:rsidP="0007615F">
            <w:pPr>
              <w:spacing w:line="480" w:lineRule="auto"/>
            </w:pPr>
            <w:r w:rsidRPr="0058140A">
              <w:t>Intake survey</w:t>
            </w:r>
          </w:p>
        </w:tc>
        <w:tc>
          <w:tcPr>
            <w:tcW w:w="3240" w:type="dxa"/>
          </w:tcPr>
          <w:p w:rsidR="00CA4956" w:rsidRPr="0058140A" w:rsidRDefault="00CA4956" w:rsidP="0007615F">
            <w:pPr>
              <w:spacing w:line="480" w:lineRule="auto"/>
              <w:jc w:val="center"/>
              <w:cnfStyle w:val="000000100000" w:firstRow="0" w:lastRow="0" w:firstColumn="0" w:lastColumn="0" w:oddVBand="0" w:evenVBand="0" w:oddHBand="1" w:evenHBand="0" w:firstRowFirstColumn="0" w:firstRowLastColumn="0" w:lastRowFirstColumn="0" w:lastRowLastColumn="0"/>
            </w:pPr>
            <w:r>
              <w:t>17</w:t>
            </w:r>
          </w:p>
        </w:tc>
      </w:tr>
      <w:tr w:rsidR="00CA4956" w:rsidRPr="00306B14" w:rsidTr="0007615F">
        <w:tc>
          <w:tcPr>
            <w:cnfStyle w:val="001000000000" w:firstRow="0" w:lastRow="0" w:firstColumn="1" w:lastColumn="0" w:oddVBand="0" w:evenVBand="0" w:oddHBand="0" w:evenHBand="0" w:firstRowFirstColumn="0" w:firstRowLastColumn="0" w:lastRowFirstColumn="0" w:lastRowLastColumn="0"/>
            <w:tcW w:w="3708" w:type="dxa"/>
          </w:tcPr>
          <w:p w:rsidR="00CA4956" w:rsidRPr="0058140A" w:rsidRDefault="00CA4956" w:rsidP="0007615F">
            <w:pPr>
              <w:spacing w:line="480" w:lineRule="auto"/>
            </w:pPr>
            <w:r w:rsidRPr="0058140A">
              <w:t>Screening questionnaire</w:t>
            </w:r>
          </w:p>
        </w:tc>
        <w:tc>
          <w:tcPr>
            <w:tcW w:w="3240" w:type="dxa"/>
          </w:tcPr>
          <w:p w:rsidR="00CA4956" w:rsidRPr="0058140A" w:rsidRDefault="00CA4956" w:rsidP="0007615F">
            <w:pPr>
              <w:spacing w:line="480" w:lineRule="auto"/>
              <w:jc w:val="center"/>
              <w:cnfStyle w:val="000000000000" w:firstRow="0" w:lastRow="0" w:firstColumn="0" w:lastColumn="0" w:oddVBand="0" w:evenVBand="0" w:oddHBand="0" w:evenHBand="0" w:firstRowFirstColumn="0" w:firstRowLastColumn="0" w:lastRowFirstColumn="0" w:lastRowLastColumn="0"/>
            </w:pPr>
            <w:r w:rsidRPr="0058140A">
              <w:t>6</w:t>
            </w:r>
          </w:p>
        </w:tc>
      </w:tr>
    </w:tbl>
    <w:p w:rsidR="00CA4956" w:rsidRPr="00A97989" w:rsidRDefault="00CA4956" w:rsidP="00CA4956">
      <w:pPr>
        <w:spacing w:after="0" w:line="240" w:lineRule="auto"/>
        <w:rPr>
          <w:highlight w:val="yellow"/>
        </w:rPr>
      </w:pPr>
    </w:p>
    <w:p w:rsidR="00CA4956" w:rsidRDefault="00CA4956" w:rsidP="00CA4956">
      <w:pPr>
        <w:spacing w:after="0" w:line="240" w:lineRule="auto"/>
      </w:pPr>
    </w:p>
    <w:p w:rsidR="00CA4956" w:rsidRPr="008C697C" w:rsidRDefault="00CA4956" w:rsidP="00CA4956">
      <w:pPr>
        <w:pStyle w:val="Heading2"/>
        <w:keepNext/>
        <w:keepLines/>
        <w:numPr>
          <w:ilvl w:val="0"/>
          <w:numId w:val="2"/>
        </w:numPr>
        <w:ind w:left="576"/>
        <w:contextualSpacing w:val="0"/>
        <w:jc w:val="both"/>
      </w:pPr>
      <w:bookmarkStart w:id="20" w:name="_Toc411262008"/>
      <w:bookmarkStart w:id="21" w:name="_Toc411439988"/>
      <w:bookmarkStart w:id="22" w:name="_Toc427852322"/>
      <w:r>
        <w:t>Expert Contact Information</w:t>
      </w:r>
      <w:bookmarkEnd w:id="20"/>
      <w:bookmarkEnd w:id="21"/>
      <w:bookmarkEnd w:id="22"/>
      <w:r w:rsidRPr="008C697C">
        <w:rPr>
          <w:rFonts w:eastAsiaTheme="majorBidi"/>
        </w:rPr>
        <w:t xml:space="preserve"> </w:t>
      </w:r>
    </w:p>
    <w:p w:rsidR="00CA4956" w:rsidRDefault="00CA4956" w:rsidP="00CA4956">
      <w:pPr>
        <w:spacing w:after="0" w:line="240" w:lineRule="auto"/>
        <w:jc w:val="both"/>
        <w:rPr>
          <w:rFonts w:cs="Times New Roman"/>
          <w:b/>
          <w:szCs w:val="24"/>
        </w:rPr>
      </w:pPr>
      <w:r w:rsidRPr="00D866B8">
        <w:rPr>
          <w:rFonts w:cs="Times New Roman"/>
          <w:b/>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CA4956" w:rsidRPr="00D866B8" w:rsidRDefault="00CA4956" w:rsidP="00CA4956">
      <w:pPr>
        <w:spacing w:after="0" w:line="240" w:lineRule="auto"/>
        <w:jc w:val="both"/>
        <w:rPr>
          <w:rFonts w:cs="Times New Roman"/>
          <w:b/>
          <w:szCs w:val="24"/>
        </w:rPr>
      </w:pPr>
    </w:p>
    <w:p w:rsidR="00CA4956" w:rsidRDefault="00CA4956" w:rsidP="00CA4956">
      <w:pPr>
        <w:spacing w:after="0" w:line="240" w:lineRule="auto"/>
        <w:jc w:val="both"/>
      </w:pPr>
      <w:r>
        <w:t xml:space="preserve">The consultants used to design, collect and/or analyze the information for the agency are from Optimal Solutions Group, LLC. The contact information for the </w:t>
      </w:r>
      <w:proofErr w:type="gramStart"/>
      <w:r>
        <w:t>Optimal</w:t>
      </w:r>
      <w:proofErr w:type="gramEnd"/>
      <w:r>
        <w:t xml:space="preserve"> research team is below.</w:t>
      </w:r>
    </w:p>
    <w:p w:rsidR="00CA4956" w:rsidRDefault="00CA4956" w:rsidP="00CA4956">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196"/>
        <w:gridCol w:w="1438"/>
        <w:gridCol w:w="1488"/>
        <w:gridCol w:w="3622"/>
      </w:tblGrid>
      <w:tr w:rsidR="00CA4956" w:rsidRPr="00451E56" w:rsidTr="0007615F">
        <w:trPr>
          <w:cantSplit/>
          <w:trHeight w:val="300"/>
        </w:trPr>
        <w:tc>
          <w:tcPr>
            <w:tcW w:w="0" w:type="auto"/>
            <w:shd w:val="clear" w:color="auto" w:fill="auto"/>
            <w:vAlign w:val="center"/>
          </w:tcPr>
          <w:p w:rsidR="00CA4956" w:rsidRPr="00451E56" w:rsidRDefault="00CA4956" w:rsidP="0007615F">
            <w:pPr>
              <w:spacing w:after="0" w:line="240" w:lineRule="auto"/>
              <w:rPr>
                <w:rFonts w:eastAsia="Times New Roman" w:cs="Times New Roman"/>
                <w:color w:val="000000"/>
                <w:szCs w:val="24"/>
              </w:rPr>
            </w:pPr>
            <w:r w:rsidRPr="00451E56">
              <w:rPr>
                <w:rFonts w:eastAsia="Times New Roman" w:cs="Times New Roman"/>
                <w:color w:val="000000"/>
                <w:szCs w:val="24"/>
              </w:rPr>
              <w:t xml:space="preserve">Program </w:t>
            </w:r>
            <w:r>
              <w:rPr>
                <w:rFonts w:eastAsia="Times New Roman" w:cs="Times New Roman"/>
                <w:color w:val="000000"/>
                <w:szCs w:val="24"/>
              </w:rPr>
              <w:t>E</w:t>
            </w:r>
            <w:r w:rsidRPr="00451E56">
              <w:rPr>
                <w:rFonts w:eastAsia="Times New Roman" w:cs="Times New Roman"/>
                <w:color w:val="000000"/>
                <w:szCs w:val="24"/>
              </w:rPr>
              <w:t>valuation</w:t>
            </w:r>
            <w:r>
              <w:rPr>
                <w:rFonts w:eastAsia="Times New Roman" w:cs="Times New Roman"/>
                <w:color w:val="000000"/>
                <w:szCs w:val="24"/>
              </w:rPr>
              <w:t>/ Labor economist</w:t>
            </w:r>
          </w:p>
        </w:tc>
        <w:tc>
          <w:tcPr>
            <w:tcW w:w="0" w:type="auto"/>
            <w:shd w:val="clear" w:color="auto" w:fill="auto"/>
            <w:vAlign w:val="center"/>
          </w:tcPr>
          <w:p w:rsidR="00CA4956" w:rsidRPr="00451E56" w:rsidRDefault="00CA4956" w:rsidP="0007615F">
            <w:pPr>
              <w:spacing w:after="0" w:line="240" w:lineRule="auto"/>
              <w:rPr>
                <w:rFonts w:eastAsia="Times New Roman" w:cs="Times New Roman"/>
                <w:color w:val="000000"/>
                <w:szCs w:val="24"/>
              </w:rPr>
            </w:pPr>
            <w:r>
              <w:rPr>
                <w:rFonts w:eastAsia="Times New Roman" w:cs="Times New Roman"/>
                <w:color w:val="000000"/>
                <w:szCs w:val="24"/>
              </w:rPr>
              <w:t xml:space="preserve">Laura </w:t>
            </w:r>
            <w:proofErr w:type="spellStart"/>
            <w:r>
              <w:rPr>
                <w:rFonts w:eastAsia="Times New Roman" w:cs="Times New Roman"/>
                <w:color w:val="000000"/>
                <w:szCs w:val="24"/>
              </w:rPr>
              <w:t>Leete</w:t>
            </w:r>
            <w:proofErr w:type="spellEnd"/>
            <w:r>
              <w:rPr>
                <w:rFonts w:eastAsia="Times New Roman" w:cs="Times New Roman"/>
                <w:color w:val="000000"/>
                <w:szCs w:val="24"/>
              </w:rPr>
              <w:t>, Ph.D.</w:t>
            </w:r>
          </w:p>
        </w:tc>
        <w:tc>
          <w:tcPr>
            <w:tcW w:w="0" w:type="auto"/>
            <w:shd w:val="clear" w:color="auto" w:fill="auto"/>
            <w:vAlign w:val="center"/>
          </w:tcPr>
          <w:p w:rsidR="00CA4956" w:rsidRPr="00451E56" w:rsidRDefault="00CA4956" w:rsidP="0007615F">
            <w:pPr>
              <w:spacing w:after="0" w:line="240" w:lineRule="auto"/>
              <w:rPr>
                <w:rFonts w:eastAsia="Times New Roman" w:cs="Times New Roman"/>
                <w:color w:val="000000"/>
                <w:szCs w:val="24"/>
              </w:rPr>
            </w:pPr>
            <w:r>
              <w:rPr>
                <w:rFonts w:eastAsia="Times New Roman" w:cs="Times New Roman"/>
                <w:color w:val="000000"/>
                <w:szCs w:val="24"/>
              </w:rPr>
              <w:t xml:space="preserve">Senior </w:t>
            </w:r>
            <w:r w:rsidRPr="00451E56">
              <w:rPr>
                <w:rFonts w:eastAsia="Times New Roman" w:cs="Times New Roman"/>
                <w:color w:val="000000"/>
                <w:szCs w:val="24"/>
              </w:rPr>
              <w:t xml:space="preserve">Research Associate </w:t>
            </w:r>
          </w:p>
        </w:tc>
        <w:tc>
          <w:tcPr>
            <w:tcW w:w="0" w:type="auto"/>
            <w:shd w:val="clear" w:color="auto" w:fill="auto"/>
            <w:vAlign w:val="center"/>
          </w:tcPr>
          <w:p w:rsidR="00CA4956" w:rsidRPr="00451E56" w:rsidRDefault="00CA4956" w:rsidP="0007615F">
            <w:pPr>
              <w:spacing w:after="0" w:line="240" w:lineRule="auto"/>
              <w:rPr>
                <w:rFonts w:eastAsia="Times New Roman" w:cs="Times New Roman"/>
                <w:color w:val="000000"/>
                <w:szCs w:val="24"/>
              </w:rPr>
            </w:pPr>
            <w:r w:rsidRPr="00451E56">
              <w:rPr>
                <w:rFonts w:eastAsia="Times New Roman" w:cs="Times New Roman"/>
                <w:color w:val="000000"/>
                <w:szCs w:val="24"/>
              </w:rPr>
              <w:t>Optimal Solutions Group, LLC</w:t>
            </w:r>
          </w:p>
        </w:tc>
        <w:tc>
          <w:tcPr>
            <w:tcW w:w="0" w:type="auto"/>
            <w:shd w:val="clear" w:color="auto" w:fill="auto"/>
            <w:vAlign w:val="center"/>
          </w:tcPr>
          <w:p w:rsidR="00CA4956" w:rsidRPr="00451E56" w:rsidRDefault="00CA4956" w:rsidP="0007615F">
            <w:pPr>
              <w:spacing w:after="0" w:line="240" w:lineRule="auto"/>
              <w:rPr>
                <w:rFonts w:eastAsia="Times New Roman" w:cs="Times New Roman"/>
                <w:color w:val="000000"/>
                <w:szCs w:val="24"/>
              </w:rPr>
            </w:pPr>
            <w:r w:rsidRPr="00451E56">
              <w:rPr>
                <w:rFonts w:eastAsia="Times New Roman" w:cs="Times New Roman"/>
                <w:color w:val="000000"/>
                <w:szCs w:val="24"/>
              </w:rPr>
              <w:t> </w:t>
            </w:r>
            <w:hyperlink r:id="rId8" w:history="1">
              <w:r>
                <w:rPr>
                  <w:rStyle w:val="Hyperlink"/>
                  <w:rFonts w:eastAsia="Times New Roman" w:cs="Times New Roman"/>
                  <w:szCs w:val="24"/>
                </w:rPr>
                <w:t>lleete</w:t>
              </w:r>
              <w:r w:rsidRPr="00BC41CD">
                <w:rPr>
                  <w:rStyle w:val="Hyperlink"/>
                  <w:rFonts w:eastAsia="Times New Roman" w:cs="Times New Roman"/>
                  <w:szCs w:val="24"/>
                </w:rPr>
                <w:t>@optimalsolutionsgroup.com</w:t>
              </w:r>
            </w:hyperlink>
            <w:r>
              <w:rPr>
                <w:rFonts w:eastAsia="Times New Roman" w:cs="Times New Roman"/>
                <w:color w:val="000000"/>
                <w:szCs w:val="24"/>
              </w:rPr>
              <w:t xml:space="preserve"> </w:t>
            </w:r>
          </w:p>
        </w:tc>
      </w:tr>
      <w:tr w:rsidR="00CA4956" w:rsidRPr="00451E56" w:rsidTr="0007615F">
        <w:trPr>
          <w:cantSplit/>
          <w:trHeight w:val="300"/>
        </w:trPr>
        <w:tc>
          <w:tcPr>
            <w:tcW w:w="0" w:type="auto"/>
            <w:shd w:val="clear" w:color="auto" w:fill="auto"/>
            <w:vAlign w:val="center"/>
          </w:tcPr>
          <w:p w:rsidR="00CA4956" w:rsidRPr="00451E56" w:rsidRDefault="00CA4956" w:rsidP="0007615F">
            <w:pPr>
              <w:spacing w:after="0" w:line="240" w:lineRule="auto"/>
              <w:rPr>
                <w:rFonts w:eastAsia="Times New Roman" w:cs="Times New Roman"/>
                <w:color w:val="000000"/>
                <w:szCs w:val="24"/>
              </w:rPr>
            </w:pPr>
            <w:r w:rsidRPr="00451E56">
              <w:rPr>
                <w:rFonts w:eastAsia="Times New Roman" w:cs="Times New Roman"/>
                <w:color w:val="000000"/>
                <w:szCs w:val="24"/>
              </w:rPr>
              <w:t xml:space="preserve">Program </w:t>
            </w:r>
            <w:r>
              <w:rPr>
                <w:rFonts w:eastAsia="Times New Roman" w:cs="Times New Roman"/>
                <w:color w:val="000000"/>
                <w:szCs w:val="24"/>
              </w:rPr>
              <w:t>E</w:t>
            </w:r>
            <w:r w:rsidRPr="00451E56">
              <w:rPr>
                <w:rFonts w:eastAsia="Times New Roman" w:cs="Times New Roman"/>
                <w:color w:val="000000"/>
                <w:szCs w:val="24"/>
              </w:rPr>
              <w:t>valuation</w:t>
            </w:r>
            <w:r>
              <w:rPr>
                <w:rFonts w:eastAsia="Times New Roman" w:cs="Times New Roman"/>
                <w:color w:val="000000"/>
                <w:szCs w:val="24"/>
              </w:rPr>
              <w:t>/ Labor economist</w:t>
            </w:r>
          </w:p>
        </w:tc>
        <w:tc>
          <w:tcPr>
            <w:tcW w:w="0" w:type="auto"/>
            <w:shd w:val="clear" w:color="auto" w:fill="auto"/>
            <w:vAlign w:val="center"/>
          </w:tcPr>
          <w:p w:rsidR="00CA4956" w:rsidRPr="00C62EEB" w:rsidRDefault="00CA4956" w:rsidP="0007615F">
            <w:pPr>
              <w:spacing w:after="0" w:line="240" w:lineRule="auto"/>
              <w:rPr>
                <w:rFonts w:cs="Times New Roman"/>
                <w:szCs w:val="24"/>
              </w:rPr>
            </w:pPr>
            <w:r w:rsidRPr="00DD2E56">
              <w:rPr>
                <w:rFonts w:cs="Times New Roman"/>
                <w:szCs w:val="24"/>
              </w:rPr>
              <w:t xml:space="preserve">Mark </w:t>
            </w:r>
            <w:r>
              <w:rPr>
                <w:rFonts w:cs="Times New Roman"/>
                <w:szCs w:val="24"/>
              </w:rPr>
              <w:t>Turner, Ph.D.</w:t>
            </w:r>
          </w:p>
        </w:tc>
        <w:tc>
          <w:tcPr>
            <w:tcW w:w="0" w:type="auto"/>
            <w:shd w:val="clear" w:color="auto" w:fill="auto"/>
            <w:vAlign w:val="center"/>
          </w:tcPr>
          <w:p w:rsidR="00CA4956" w:rsidRPr="00451E56" w:rsidRDefault="00CA4956" w:rsidP="0007615F">
            <w:pPr>
              <w:spacing w:after="0" w:line="240" w:lineRule="auto"/>
              <w:rPr>
                <w:rFonts w:eastAsia="Times New Roman" w:cs="Times New Roman"/>
                <w:color w:val="000000"/>
                <w:szCs w:val="24"/>
              </w:rPr>
            </w:pPr>
            <w:r>
              <w:rPr>
                <w:rFonts w:cs="Times New Roman"/>
                <w:szCs w:val="24"/>
              </w:rPr>
              <w:t>CEO and President</w:t>
            </w:r>
          </w:p>
        </w:tc>
        <w:tc>
          <w:tcPr>
            <w:tcW w:w="0" w:type="auto"/>
            <w:shd w:val="clear" w:color="auto" w:fill="auto"/>
            <w:vAlign w:val="center"/>
          </w:tcPr>
          <w:p w:rsidR="00CA4956" w:rsidRPr="00451E56" w:rsidRDefault="00CA4956" w:rsidP="0007615F">
            <w:pPr>
              <w:spacing w:after="0" w:line="240" w:lineRule="auto"/>
              <w:rPr>
                <w:rFonts w:eastAsia="Times New Roman" w:cs="Times New Roman"/>
                <w:color w:val="000000"/>
                <w:szCs w:val="24"/>
              </w:rPr>
            </w:pPr>
            <w:r w:rsidRPr="00451E56">
              <w:rPr>
                <w:rFonts w:eastAsia="Times New Roman" w:cs="Times New Roman"/>
                <w:color w:val="000000"/>
                <w:szCs w:val="24"/>
              </w:rPr>
              <w:t>Optimal Solutions Group, LLC</w:t>
            </w:r>
          </w:p>
        </w:tc>
        <w:tc>
          <w:tcPr>
            <w:tcW w:w="0" w:type="auto"/>
            <w:shd w:val="clear" w:color="auto" w:fill="auto"/>
            <w:vAlign w:val="center"/>
          </w:tcPr>
          <w:p w:rsidR="00CA4956" w:rsidRPr="00451E56" w:rsidRDefault="00450E3C" w:rsidP="0007615F">
            <w:pPr>
              <w:spacing w:after="0" w:line="240" w:lineRule="auto"/>
              <w:rPr>
                <w:rFonts w:eastAsia="Times New Roman" w:cs="Times New Roman"/>
                <w:color w:val="000000"/>
                <w:szCs w:val="24"/>
              </w:rPr>
            </w:pPr>
            <w:hyperlink r:id="rId9" w:history="1">
              <w:r w:rsidR="00CA4956" w:rsidRPr="00473454">
                <w:rPr>
                  <w:rStyle w:val="Hyperlink"/>
                  <w:rFonts w:eastAsia="Times New Roman" w:cs="Times New Roman"/>
                  <w:szCs w:val="24"/>
                </w:rPr>
                <w:t>mturner@optimalsolutionsgroup.com</w:t>
              </w:r>
            </w:hyperlink>
            <w:r w:rsidR="00CA4956">
              <w:rPr>
                <w:rFonts w:eastAsia="Times New Roman" w:cs="Times New Roman"/>
                <w:color w:val="000000"/>
                <w:szCs w:val="24"/>
              </w:rPr>
              <w:t xml:space="preserve"> </w:t>
            </w:r>
          </w:p>
        </w:tc>
      </w:tr>
      <w:tr w:rsidR="00CA4956" w:rsidRPr="00451E56" w:rsidTr="0007615F">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A4956" w:rsidRPr="00451E56" w:rsidRDefault="00CA4956" w:rsidP="0007615F">
            <w:pPr>
              <w:spacing w:after="0" w:line="240" w:lineRule="auto"/>
              <w:rPr>
                <w:rFonts w:eastAsia="Times New Roman" w:cs="Times New Roman"/>
                <w:color w:val="000000"/>
                <w:szCs w:val="24"/>
              </w:rPr>
            </w:pPr>
            <w:r>
              <w:rPr>
                <w:rFonts w:eastAsia="Times New Roman" w:cs="Times New Roman"/>
                <w:color w:val="000000"/>
                <w:szCs w:val="24"/>
              </w:rPr>
              <w:t>Program Evaluation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A4956" w:rsidRPr="00451E56" w:rsidRDefault="00CA4956" w:rsidP="0007615F">
            <w:pPr>
              <w:spacing w:after="0" w:line="240" w:lineRule="auto"/>
              <w:rPr>
                <w:rFonts w:eastAsia="Times New Roman" w:cs="Times New Roman"/>
                <w:color w:val="000000"/>
                <w:szCs w:val="24"/>
              </w:rPr>
            </w:pPr>
            <w:r>
              <w:rPr>
                <w:rFonts w:eastAsia="Times New Roman" w:cs="Times New Roman"/>
                <w:color w:val="000000"/>
                <w:szCs w:val="24"/>
              </w:rPr>
              <w:t xml:space="preserve">Jennifer Auer, Ph.D.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A4956" w:rsidRPr="00451E56" w:rsidRDefault="00CA4956" w:rsidP="0007615F">
            <w:pPr>
              <w:spacing w:after="0" w:line="240" w:lineRule="auto"/>
              <w:rPr>
                <w:rFonts w:eastAsia="Times New Roman" w:cs="Times New Roman"/>
                <w:color w:val="000000"/>
                <w:szCs w:val="24"/>
              </w:rPr>
            </w:pPr>
            <w:r>
              <w:rPr>
                <w:rFonts w:eastAsia="Times New Roman" w:cs="Times New Roman"/>
                <w:color w:val="000000"/>
                <w:szCs w:val="24"/>
              </w:rPr>
              <w:t>Project Director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A4956" w:rsidRPr="00451E56" w:rsidRDefault="00CA4956" w:rsidP="0007615F">
            <w:pPr>
              <w:spacing w:after="0" w:line="240" w:lineRule="auto"/>
              <w:rPr>
                <w:rFonts w:eastAsia="Times New Roman" w:cs="Times New Roman"/>
                <w:color w:val="000000"/>
                <w:szCs w:val="24"/>
              </w:rPr>
            </w:pPr>
            <w:r w:rsidRPr="00451E56">
              <w:rPr>
                <w:rFonts w:eastAsia="Times New Roman" w:cs="Times New Roman"/>
                <w:color w:val="000000"/>
                <w:szCs w:val="24"/>
              </w:rPr>
              <w:t xml:space="preserve">Optimal Solutions Group, LLC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A4956" w:rsidRPr="00451E56" w:rsidRDefault="00450E3C" w:rsidP="0007615F">
            <w:pPr>
              <w:spacing w:after="0" w:line="240" w:lineRule="auto"/>
              <w:rPr>
                <w:rFonts w:eastAsia="Times New Roman" w:cs="Times New Roman"/>
                <w:color w:val="000000"/>
                <w:szCs w:val="24"/>
              </w:rPr>
            </w:pPr>
            <w:hyperlink r:id="rId10" w:history="1">
              <w:r w:rsidR="00CA4956" w:rsidRPr="00C62EEB">
                <w:rPr>
                  <w:rStyle w:val="Hyperlink"/>
                  <w:rFonts w:eastAsia="Times New Roman" w:cs="Times New Roman"/>
                  <w:szCs w:val="24"/>
                </w:rPr>
                <w:t>jauer@optimalsolutionsgroup.com</w:t>
              </w:r>
            </w:hyperlink>
          </w:p>
        </w:tc>
      </w:tr>
    </w:tbl>
    <w:p w:rsidR="00CA4956" w:rsidRDefault="00CA4956" w:rsidP="00CA4956">
      <w:pPr>
        <w:spacing w:after="0" w:line="240" w:lineRule="auto"/>
        <w:rPr>
          <w:rFonts w:cs="Times New Roman"/>
          <w:szCs w:val="24"/>
        </w:rPr>
      </w:pPr>
    </w:p>
    <w:p w:rsidR="00CA4956" w:rsidRDefault="00CA4956" w:rsidP="00CA4956">
      <w:pPr>
        <w:spacing w:after="0" w:line="240" w:lineRule="auto"/>
        <w:rPr>
          <w:rFonts w:cs="Times New Roman"/>
          <w:szCs w:val="24"/>
        </w:rPr>
      </w:pPr>
      <w:r w:rsidRPr="00451E56">
        <w:rPr>
          <w:rFonts w:cs="Times New Roman"/>
          <w:szCs w:val="24"/>
        </w:rPr>
        <w:t>For questions regarding the study or questionnaire design or statistical methodology, contact</w:t>
      </w:r>
      <w:r>
        <w:rPr>
          <w:rFonts w:cs="Times New Roman"/>
          <w:szCs w:val="24"/>
        </w:rPr>
        <w:t xml:space="preserve"> the staff members listed above at</w:t>
      </w:r>
      <w:r w:rsidRPr="00451E56">
        <w:rPr>
          <w:rFonts w:cs="Times New Roman"/>
          <w:szCs w:val="24"/>
        </w:rPr>
        <w:t>:</w:t>
      </w:r>
    </w:p>
    <w:p w:rsidR="00CA4956" w:rsidRPr="00451E56" w:rsidRDefault="00CA4956" w:rsidP="00CA4956">
      <w:pPr>
        <w:spacing w:after="0" w:line="240" w:lineRule="auto"/>
        <w:rPr>
          <w:rFonts w:cs="Times New Roman"/>
          <w:szCs w:val="24"/>
        </w:rPr>
      </w:pPr>
    </w:p>
    <w:p w:rsidR="00CA4956" w:rsidRPr="00451E56" w:rsidRDefault="00CA4956" w:rsidP="00CA4956">
      <w:pPr>
        <w:spacing w:after="0" w:line="240" w:lineRule="auto"/>
        <w:rPr>
          <w:rFonts w:cs="Times New Roman"/>
          <w:szCs w:val="24"/>
        </w:rPr>
      </w:pPr>
      <w:r w:rsidRPr="00451E56">
        <w:rPr>
          <w:rFonts w:cs="Times New Roman"/>
          <w:szCs w:val="24"/>
        </w:rPr>
        <w:t>Optimal Solutions Group, LLC</w:t>
      </w:r>
    </w:p>
    <w:p w:rsidR="00CA4956" w:rsidRPr="00451E56" w:rsidRDefault="00CA4956" w:rsidP="00CA4956">
      <w:pPr>
        <w:spacing w:after="0" w:line="240" w:lineRule="auto"/>
        <w:rPr>
          <w:rFonts w:cs="Times New Roman"/>
          <w:szCs w:val="24"/>
        </w:rPr>
      </w:pPr>
      <w:r w:rsidRPr="00451E56">
        <w:rPr>
          <w:rFonts w:cs="Times New Roman"/>
          <w:szCs w:val="24"/>
        </w:rPr>
        <w:t>M Square Research Park</w:t>
      </w:r>
    </w:p>
    <w:p w:rsidR="00CA4956" w:rsidRPr="00451E56" w:rsidRDefault="00CA4956" w:rsidP="00CA4956">
      <w:pPr>
        <w:spacing w:after="0" w:line="240" w:lineRule="auto"/>
        <w:rPr>
          <w:rFonts w:cs="Times New Roman"/>
          <w:szCs w:val="24"/>
        </w:rPr>
      </w:pPr>
      <w:r w:rsidRPr="00451E56">
        <w:rPr>
          <w:rFonts w:cs="Times New Roman"/>
          <w:szCs w:val="24"/>
        </w:rPr>
        <w:t>5825 University Research Court, Suite 2800</w:t>
      </w:r>
    </w:p>
    <w:p w:rsidR="00CA4956" w:rsidRPr="00451E56" w:rsidRDefault="00CA4956" w:rsidP="00CA4956">
      <w:pPr>
        <w:spacing w:after="0" w:line="240" w:lineRule="auto"/>
        <w:rPr>
          <w:rFonts w:cs="Times New Roman"/>
          <w:szCs w:val="24"/>
        </w:rPr>
      </w:pPr>
      <w:r w:rsidRPr="00451E56">
        <w:rPr>
          <w:rFonts w:cs="Times New Roman"/>
          <w:szCs w:val="24"/>
        </w:rPr>
        <w:t>College Park, MD 20740-9998</w:t>
      </w:r>
    </w:p>
    <w:p w:rsidR="00CA4956" w:rsidRDefault="00CA4956" w:rsidP="00CA4956">
      <w:pPr>
        <w:spacing w:after="0" w:line="240" w:lineRule="auto"/>
        <w:rPr>
          <w:rFonts w:cs="Times New Roman"/>
          <w:szCs w:val="24"/>
        </w:rPr>
      </w:pPr>
      <w:r w:rsidRPr="00451E56">
        <w:rPr>
          <w:rFonts w:cs="Times New Roman"/>
          <w:szCs w:val="24"/>
        </w:rPr>
        <w:t xml:space="preserve">Telephone: 301-918-7301; </w:t>
      </w:r>
    </w:p>
    <w:p w:rsidR="00CA4956" w:rsidRDefault="00CA4956" w:rsidP="00CA4956">
      <w:pPr>
        <w:spacing w:after="0" w:line="240" w:lineRule="auto"/>
        <w:rPr>
          <w:rFonts w:cs="Times New Roman"/>
          <w:szCs w:val="24"/>
        </w:rPr>
      </w:pPr>
      <w:r>
        <w:rPr>
          <w:rFonts w:cs="Times New Roman"/>
          <w:szCs w:val="24"/>
        </w:rPr>
        <w:t>E</w:t>
      </w:r>
      <w:r w:rsidRPr="00451E56">
        <w:rPr>
          <w:rFonts w:cs="Times New Roman"/>
          <w:szCs w:val="24"/>
        </w:rPr>
        <w:t xml:space="preserve">-mail: </w:t>
      </w:r>
      <w:r>
        <w:rPr>
          <w:rFonts w:cs="Times New Roman"/>
          <w:szCs w:val="24"/>
        </w:rPr>
        <w:t>se</w:t>
      </w:r>
      <w:r w:rsidRPr="00451E56">
        <w:rPr>
          <w:rFonts w:cs="Times New Roman"/>
          <w:szCs w:val="24"/>
        </w:rPr>
        <w:t xml:space="preserve">@optimalsolutionsgroup.com </w:t>
      </w:r>
    </w:p>
    <w:p w:rsidR="00CA4956" w:rsidRPr="00451E56" w:rsidRDefault="00CA4956" w:rsidP="00CA4956">
      <w:pPr>
        <w:spacing w:after="0" w:line="240" w:lineRule="auto"/>
        <w:rPr>
          <w:rFonts w:cs="Times New Roman"/>
          <w:szCs w:val="24"/>
        </w:rPr>
      </w:pPr>
    </w:p>
    <w:p w:rsidR="00CA4956" w:rsidRPr="000057B2" w:rsidRDefault="00CA4956" w:rsidP="00CA4956">
      <w:pPr>
        <w:spacing w:after="0" w:line="240" w:lineRule="auto"/>
        <w:jc w:val="both"/>
        <w:rPr>
          <w:b/>
        </w:rPr>
      </w:pPr>
      <w:r w:rsidRPr="000057B2">
        <w:rPr>
          <w:b/>
        </w:rPr>
        <w:t>References</w:t>
      </w:r>
    </w:p>
    <w:p w:rsidR="00CA4956" w:rsidRDefault="00CA4956" w:rsidP="00CA4956">
      <w:pPr>
        <w:autoSpaceDE w:val="0"/>
        <w:autoSpaceDN w:val="0"/>
        <w:adjustRightInd w:val="0"/>
        <w:snapToGrid w:val="0"/>
        <w:spacing w:after="0" w:line="240" w:lineRule="auto"/>
        <w:rPr>
          <w:rFonts w:cs="Times New Roman"/>
        </w:rPr>
      </w:pPr>
      <w:proofErr w:type="spellStart"/>
      <w:r w:rsidRPr="00E7582B">
        <w:rPr>
          <w:rFonts w:cs="Times New Roman"/>
        </w:rPr>
        <w:t>Michaelides</w:t>
      </w:r>
      <w:proofErr w:type="spellEnd"/>
      <w:r w:rsidRPr="00E7582B">
        <w:rPr>
          <w:rFonts w:cs="Times New Roman"/>
        </w:rPr>
        <w:t xml:space="preserve">, M., and </w:t>
      </w:r>
      <w:proofErr w:type="spellStart"/>
      <w:r w:rsidRPr="00E7582B">
        <w:rPr>
          <w:rFonts w:cs="Times New Roman"/>
        </w:rPr>
        <w:t>Benus</w:t>
      </w:r>
      <w:proofErr w:type="spellEnd"/>
      <w:r w:rsidRPr="00E7582B">
        <w:rPr>
          <w:rFonts w:cs="Times New Roman"/>
        </w:rPr>
        <w:t xml:space="preserve">, J. (April 2012). </w:t>
      </w:r>
      <w:r w:rsidRPr="00E7582B">
        <w:rPr>
          <w:rFonts w:cs="Times New Roman"/>
          <w:i/>
        </w:rPr>
        <w:t xml:space="preserve">Are Self-Employment Training Programs Effective? </w:t>
      </w:r>
      <w:proofErr w:type="gramStart"/>
      <w:r w:rsidRPr="00E7582B">
        <w:rPr>
          <w:rFonts w:cs="Times New Roman"/>
          <w:i/>
        </w:rPr>
        <w:t>Evidence from Project GATE</w:t>
      </w:r>
      <w:r w:rsidRPr="00E7582B">
        <w:rPr>
          <w:rFonts w:cs="Times New Roman"/>
        </w:rPr>
        <w:t>.</w:t>
      </w:r>
      <w:proofErr w:type="gramEnd"/>
      <w:r w:rsidRPr="00E7582B">
        <w:rPr>
          <w:rFonts w:cs="Times New Roman"/>
        </w:rPr>
        <w:t xml:space="preserve"> </w:t>
      </w:r>
      <w:proofErr w:type="gramStart"/>
      <w:r w:rsidRPr="00E7582B">
        <w:rPr>
          <w:rFonts w:cs="Times New Roman"/>
        </w:rPr>
        <w:t>IMPAQ International.</w:t>
      </w:r>
      <w:proofErr w:type="gramEnd"/>
    </w:p>
    <w:p w:rsidR="00CA4956" w:rsidRDefault="00CA4956" w:rsidP="00CA4956">
      <w:pPr>
        <w:autoSpaceDE w:val="0"/>
        <w:autoSpaceDN w:val="0"/>
        <w:adjustRightInd w:val="0"/>
        <w:snapToGrid w:val="0"/>
        <w:spacing w:after="0" w:line="240" w:lineRule="auto"/>
        <w:rPr>
          <w:rFonts w:cs="Times New Roman"/>
        </w:rPr>
      </w:pPr>
    </w:p>
    <w:p w:rsidR="00CA4956" w:rsidRDefault="00CA4956" w:rsidP="00CA4956">
      <w:pPr>
        <w:autoSpaceDE w:val="0"/>
        <w:autoSpaceDN w:val="0"/>
        <w:adjustRightInd w:val="0"/>
        <w:snapToGrid w:val="0"/>
        <w:spacing w:after="0" w:line="240" w:lineRule="auto"/>
        <w:rPr>
          <w:rFonts w:cs="Times New Roman"/>
        </w:rPr>
      </w:pPr>
    </w:p>
    <w:p w:rsidR="00CA4956" w:rsidRDefault="00CA4956" w:rsidP="00CA4956">
      <w:pPr>
        <w:autoSpaceDE w:val="0"/>
        <w:autoSpaceDN w:val="0"/>
        <w:adjustRightInd w:val="0"/>
        <w:snapToGrid w:val="0"/>
        <w:spacing w:after="0" w:line="240" w:lineRule="auto"/>
        <w:rPr>
          <w:rFonts w:cs="Times New Roman"/>
        </w:rPr>
      </w:pPr>
    </w:p>
    <w:p w:rsidR="00CA4956" w:rsidRDefault="00CA4956" w:rsidP="00CA4956">
      <w:pPr>
        <w:rPr>
          <w:rFonts w:asciiTheme="majorBidi" w:hAnsiTheme="majorBidi" w:cstheme="majorBidi"/>
          <w:b/>
          <w:bCs/>
        </w:rPr>
        <w:sectPr w:rsidR="00CA4956" w:rsidSect="00510A1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rsidR="00CA4956" w:rsidRPr="00E7582B" w:rsidRDefault="00CA4956" w:rsidP="00CA4956">
      <w:pPr>
        <w:rPr>
          <w:rFonts w:ascii="Times New Roman" w:hAnsi="Times New Roman" w:cs="Times New Roman"/>
          <w:bCs/>
        </w:rPr>
      </w:pPr>
    </w:p>
    <w:p w:rsidR="00C72AE1" w:rsidRDefault="00C72AE1"/>
    <w:sectPr w:rsidR="00C72AE1" w:rsidSect="0017163B">
      <w:head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956" w:rsidRDefault="00CA4956" w:rsidP="00CA4956">
      <w:pPr>
        <w:spacing w:after="0" w:line="240" w:lineRule="auto"/>
      </w:pPr>
      <w:r>
        <w:separator/>
      </w:r>
    </w:p>
  </w:endnote>
  <w:endnote w:type="continuationSeparator" w:id="0">
    <w:p w:rsidR="00CA4956" w:rsidRDefault="00CA4956" w:rsidP="00CA4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12E" w:rsidRDefault="00E001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238873"/>
      <w:docPartObj>
        <w:docPartGallery w:val="Page Numbers (Bottom of Page)"/>
        <w:docPartUnique/>
      </w:docPartObj>
    </w:sdtPr>
    <w:sdtEndPr>
      <w:rPr>
        <w:noProof/>
      </w:rPr>
    </w:sdtEndPr>
    <w:sdtContent>
      <w:p w:rsidR="00CA4956" w:rsidRDefault="00CA4956">
        <w:pPr>
          <w:pStyle w:val="Footer"/>
          <w:jc w:val="center"/>
        </w:pPr>
        <w:r>
          <w:fldChar w:fldCharType="begin"/>
        </w:r>
        <w:r>
          <w:instrText xml:space="preserve"> PAGE   \* MERGEFORMAT </w:instrText>
        </w:r>
        <w:r>
          <w:fldChar w:fldCharType="separate"/>
        </w:r>
        <w:r w:rsidR="00E0012E">
          <w:rPr>
            <w:noProof/>
          </w:rPr>
          <w:t>1</w:t>
        </w:r>
        <w:r>
          <w:rPr>
            <w:noProof/>
          </w:rPr>
          <w:fldChar w:fldCharType="end"/>
        </w:r>
      </w:p>
    </w:sdtContent>
  </w:sdt>
  <w:p w:rsidR="00CA4956" w:rsidRDefault="00CA49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12E" w:rsidRDefault="00E001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956" w:rsidRDefault="00CA4956" w:rsidP="00CA4956">
      <w:pPr>
        <w:spacing w:after="0" w:line="240" w:lineRule="auto"/>
      </w:pPr>
      <w:r>
        <w:separator/>
      </w:r>
    </w:p>
  </w:footnote>
  <w:footnote w:type="continuationSeparator" w:id="0">
    <w:p w:rsidR="00CA4956" w:rsidRDefault="00CA4956" w:rsidP="00CA4956">
      <w:pPr>
        <w:spacing w:after="0" w:line="240" w:lineRule="auto"/>
      </w:pPr>
      <w:r>
        <w:continuationSeparator/>
      </w:r>
    </w:p>
  </w:footnote>
  <w:footnote w:id="1">
    <w:p w:rsidR="00CA4956" w:rsidRDefault="00CA4956" w:rsidP="00CA4956">
      <w:pPr>
        <w:pStyle w:val="FootnoteText"/>
      </w:pPr>
      <w:r>
        <w:rPr>
          <w:rStyle w:val="FootnoteReference"/>
        </w:rPr>
        <w:footnoteRef/>
      </w:r>
      <w:r>
        <w:t xml:space="preserve"> See examples at </w:t>
      </w:r>
      <w:hyperlink r:id="rId1" w:history="1">
        <w:r w:rsidRPr="003D182E">
          <w:rPr>
            <w:rStyle w:val="Hyperlink"/>
          </w:rPr>
          <w:t>http://www.goldmansachs.com/s/10ksb-docs/29407_Book.pdf</w:t>
        </w:r>
      </w:hyperlink>
      <w:r>
        <w:t xml:space="preserve"> and </w:t>
      </w:r>
      <w:hyperlink r:id="rId2" w:history="1">
        <w:r w:rsidRPr="003D182E">
          <w:rPr>
            <w:rStyle w:val="Hyperlink"/>
          </w:rPr>
          <w:t>https://www.sba.gov/sites/default/files/files/OED_ImpactReport_09302013_Final.pdf</w:t>
        </w:r>
      </w:hyperlink>
      <w:r>
        <w:t xml:space="preserve">. </w:t>
      </w:r>
    </w:p>
  </w:footnote>
  <w:footnote w:id="2">
    <w:p w:rsidR="00CA4956" w:rsidRDefault="00CA4956" w:rsidP="00CA4956">
      <w:pPr>
        <w:pStyle w:val="FootnoteText"/>
      </w:pPr>
      <w:r>
        <w:rPr>
          <w:rStyle w:val="FootnoteReference"/>
        </w:rPr>
        <w:footnoteRef/>
      </w:r>
      <w:r>
        <w:t xml:space="preserve"> It is anticipated that the response rate to intake surveys will be close to 100% because participants will be in weekly classes and administrators can prompt them to complete the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12E" w:rsidRDefault="00E001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56" w:rsidRPr="006A34D8" w:rsidRDefault="00CA4956" w:rsidP="006A34D8">
    <w:pPr>
      <w:pStyle w:val="Header"/>
      <w:jc w:val="center"/>
      <w:rPr>
        <w:rFonts w:asciiTheme="majorBidi" w:hAnsiTheme="majorBidi" w:cstheme="majorBidi"/>
        <w:b/>
        <w:bCs/>
      </w:rPr>
    </w:pPr>
    <w:bookmarkStart w:id="23" w:name="_GoBack"/>
    <w:bookmarkEnd w:id="23"/>
    <w:r w:rsidRPr="006A34D8">
      <w:rPr>
        <w:rFonts w:asciiTheme="majorBidi" w:hAnsiTheme="majorBidi" w:cstheme="majorBidi"/>
        <w:b/>
        <w:bCs/>
      </w:rPr>
      <w:t xml:space="preserve">Supporting Statement for </w:t>
    </w:r>
    <w:proofErr w:type="spellStart"/>
    <w:r>
      <w:rPr>
        <w:rFonts w:asciiTheme="majorBidi" w:hAnsiTheme="majorBidi" w:cstheme="majorBidi"/>
        <w:b/>
        <w:bCs/>
      </w:rPr>
      <w:t>ScaleUp</w:t>
    </w:r>
    <w:proofErr w:type="spellEnd"/>
    <w:r>
      <w:rPr>
        <w:rFonts w:asciiTheme="majorBidi" w:hAnsiTheme="majorBidi" w:cstheme="majorBidi"/>
        <w:b/>
        <w:bCs/>
      </w:rPr>
      <w:t xml:space="preserve"> America Initiative </w:t>
    </w:r>
  </w:p>
  <w:p w:rsidR="00E0012E" w:rsidRDefault="00E0012E" w:rsidP="00E0012E">
    <w:pPr>
      <w:pStyle w:val="Heading1"/>
      <w:spacing w:line="240" w:lineRule="auto"/>
      <w:jc w:val="both"/>
      <w:rPr>
        <w:rFonts w:asciiTheme="majorBidi" w:hAnsiTheme="majorBidi"/>
      </w:rPr>
    </w:pPr>
    <w:bookmarkStart w:id="24" w:name="_Toc427852317"/>
    <w:bookmarkStart w:id="25" w:name="_Toc411439983"/>
    <w:r>
      <w:t xml:space="preserve">PART B. </w:t>
    </w:r>
    <w:r>
      <w:rPr>
        <w:rFonts w:asciiTheme="majorBidi" w:hAnsiTheme="majorBidi"/>
      </w:rPr>
      <w:t>Collections of Information Employing Statistical Methods</w:t>
    </w:r>
    <w:bookmarkEnd w:id="24"/>
    <w:bookmarkEnd w:id="25"/>
  </w:p>
  <w:p w:rsidR="00E0012E" w:rsidRDefault="00E0012E" w:rsidP="00E0012E">
    <w:pPr>
      <w:spacing w:after="0" w:line="240" w:lineRule="auto"/>
    </w:pPr>
  </w:p>
  <w:p w:rsidR="00CA4956" w:rsidRPr="006A34D8" w:rsidRDefault="00E0012E" w:rsidP="00E0012E">
    <w:pPr>
      <w:pStyle w:val="Header"/>
      <w:jc w:val="center"/>
      <w:rPr>
        <w:rFonts w:asciiTheme="majorBidi" w:hAnsiTheme="majorBidi" w:cstheme="majorBidi"/>
        <w:b/>
        <w:bCs/>
      </w:rPr>
    </w:pPr>
    <w:r w:rsidRPr="006A34D8">
      <w:rPr>
        <w:rFonts w:asciiTheme="majorBidi" w:hAnsiTheme="majorBidi" w:cstheme="majorBidi"/>
        <w:b/>
        <w:bCs/>
      </w:rPr>
      <w:t xml:space="preserve"> </w:t>
    </w:r>
    <w:r w:rsidR="00CA4956" w:rsidRPr="006A34D8">
      <w:rPr>
        <w:rFonts w:asciiTheme="majorBidi" w:hAnsiTheme="majorBidi" w:cstheme="majorBidi"/>
        <w:b/>
        <w:bCs/>
      </w:rPr>
      <w:t>(OMB Control Number:</w:t>
    </w:r>
    <w:r w:rsidR="00CA4956">
      <w:rPr>
        <w:rFonts w:asciiTheme="majorBidi" w:hAnsiTheme="majorBidi" w:cstheme="majorBidi"/>
        <w:b/>
        <w:bCs/>
      </w:rPr>
      <w:t xml:space="preserve"> 3245-X</w:t>
    </w:r>
    <w:r w:rsidR="00CA4956" w:rsidRPr="00153605">
      <w:rPr>
        <w:rFonts w:asciiTheme="majorBidi" w:hAnsiTheme="majorBidi" w:cstheme="majorBidi"/>
        <w:b/>
        <w:bCs/>
        <w:highlight w:val="yellow"/>
      </w:rPr>
      <w:t>XXX</w:t>
    </w:r>
    <w:r w:rsidR="00CA4956" w:rsidRPr="006A34D8">
      <w:rPr>
        <w:rFonts w:asciiTheme="majorBidi" w:hAnsiTheme="majorBidi" w:cstheme="majorBidi"/>
        <w:b/>
        <w:bC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12E" w:rsidRDefault="00E001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63B" w:rsidRPr="006A34D8" w:rsidRDefault="00CA4956" w:rsidP="006A34D8">
    <w:pPr>
      <w:pStyle w:val="Header"/>
      <w:jc w:val="center"/>
      <w:rPr>
        <w:rFonts w:asciiTheme="majorBidi" w:hAnsiTheme="majorBidi" w:cstheme="majorBidi"/>
        <w:b/>
        <w:bCs/>
      </w:rPr>
    </w:pPr>
    <w:r w:rsidRPr="006A34D8">
      <w:rPr>
        <w:rFonts w:asciiTheme="majorBidi" w:hAnsiTheme="majorBidi" w:cstheme="majorBidi"/>
        <w:b/>
        <w:bCs/>
      </w:rPr>
      <w:t xml:space="preserve"> (OMB Control Number:</w:t>
    </w:r>
    <w:r>
      <w:rPr>
        <w:rFonts w:asciiTheme="majorBidi" w:hAnsiTheme="majorBidi" w:cstheme="majorBidi"/>
        <w:b/>
        <w:bCs/>
      </w:rPr>
      <w:t xml:space="preserve"> 3245-X</w:t>
    </w:r>
    <w:r w:rsidRPr="00153605">
      <w:rPr>
        <w:rFonts w:asciiTheme="majorBidi" w:hAnsiTheme="majorBidi" w:cstheme="majorBidi"/>
        <w:b/>
        <w:bCs/>
        <w:highlight w:val="yellow"/>
      </w:rPr>
      <w:t>XXX</w:t>
    </w:r>
    <w:r w:rsidRPr="006A34D8">
      <w:rPr>
        <w:rFonts w:asciiTheme="majorBidi" w:hAnsiTheme="majorBidi" w:cstheme="majorBidi"/>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E4EAE"/>
    <w:multiLevelType w:val="hybridMultilevel"/>
    <w:tmpl w:val="85A22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412705"/>
    <w:multiLevelType w:val="hybridMultilevel"/>
    <w:tmpl w:val="987E8B96"/>
    <w:lvl w:ilvl="0" w:tplc="9DD47556">
      <w:start w:val="1"/>
      <w:numFmt w:val="decimal"/>
      <w:pStyle w:val="Heading2"/>
      <w:lvlText w:val="%1."/>
      <w:lvlJc w:val="left"/>
      <w:pPr>
        <w:ind w:left="360" w:hanging="360"/>
      </w:pPr>
      <w:rPr>
        <w:rFonts w:cs="Times New Roman" w:hint="default"/>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956"/>
    <w:rsid w:val="00C72AE1"/>
    <w:rsid w:val="00CA4956"/>
    <w:rsid w:val="00E00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956"/>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E001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ListParagraph"/>
    <w:next w:val="Normal"/>
    <w:link w:val="Heading2Char"/>
    <w:qFormat/>
    <w:rsid w:val="00CA4956"/>
    <w:pPr>
      <w:numPr>
        <w:numId w:val="1"/>
      </w:numPr>
      <w:spacing w:after="0" w:line="240" w:lineRule="auto"/>
      <w:ind w:left="0" w:firstLine="0"/>
      <w:outlineLvl w:val="1"/>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A4956"/>
    <w:rPr>
      <w:b/>
      <w:sz w:val="24"/>
      <w:szCs w:val="24"/>
    </w:rPr>
  </w:style>
  <w:style w:type="paragraph" w:styleId="Header">
    <w:name w:val="header"/>
    <w:basedOn w:val="Normal"/>
    <w:link w:val="HeaderChar"/>
    <w:uiPriority w:val="99"/>
    <w:unhideWhenUsed/>
    <w:rsid w:val="00CA4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956"/>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A4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956"/>
    <w:rPr>
      <w:rFonts w:asciiTheme="minorHAnsi" w:eastAsiaTheme="minorHAnsi" w:hAnsiTheme="minorHAnsi" w:cstheme="minorBidi"/>
      <w:sz w:val="22"/>
      <w:szCs w:val="22"/>
    </w:rPr>
  </w:style>
  <w:style w:type="character" w:styleId="Hyperlink">
    <w:name w:val="Hyperlink"/>
    <w:basedOn w:val="DefaultParagraphFont"/>
    <w:uiPriority w:val="99"/>
    <w:unhideWhenUsed/>
    <w:rsid w:val="00CA4956"/>
    <w:rPr>
      <w:color w:val="0000FF" w:themeColor="hyperlink"/>
      <w:u w:val="single"/>
    </w:rPr>
  </w:style>
  <w:style w:type="paragraph" w:styleId="FootnoteText">
    <w:name w:val="footnote text"/>
    <w:basedOn w:val="Normal"/>
    <w:link w:val="FootnoteTextChar"/>
    <w:uiPriority w:val="99"/>
    <w:unhideWhenUsed/>
    <w:rsid w:val="00CA4956"/>
    <w:pPr>
      <w:spacing w:after="0" w:line="240" w:lineRule="auto"/>
    </w:pPr>
    <w:rPr>
      <w:sz w:val="20"/>
      <w:szCs w:val="20"/>
    </w:rPr>
  </w:style>
  <w:style w:type="character" w:customStyle="1" w:styleId="FootnoteTextChar">
    <w:name w:val="Footnote Text Char"/>
    <w:basedOn w:val="DefaultParagraphFont"/>
    <w:link w:val="FootnoteText"/>
    <w:uiPriority w:val="99"/>
    <w:rsid w:val="00CA4956"/>
    <w:rPr>
      <w:rFonts w:asciiTheme="minorHAnsi" w:eastAsiaTheme="minorHAnsi" w:hAnsiTheme="minorHAnsi" w:cstheme="minorBidi"/>
    </w:rPr>
  </w:style>
  <w:style w:type="character" w:styleId="FootnoteReference">
    <w:name w:val="footnote reference"/>
    <w:basedOn w:val="DefaultParagraphFont"/>
    <w:uiPriority w:val="99"/>
    <w:unhideWhenUsed/>
    <w:rsid w:val="00CA4956"/>
    <w:rPr>
      <w:vertAlign w:val="superscript"/>
    </w:rPr>
  </w:style>
  <w:style w:type="table" w:styleId="LightShading">
    <w:name w:val="Light Shading"/>
    <w:basedOn w:val="TableNormal"/>
    <w:uiPriority w:val="60"/>
    <w:rsid w:val="00CA495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CA4956"/>
    <w:pPr>
      <w:ind w:left="720"/>
      <w:contextualSpacing/>
    </w:pPr>
  </w:style>
  <w:style w:type="character" w:customStyle="1" w:styleId="Heading1Char">
    <w:name w:val="Heading 1 Char"/>
    <w:basedOn w:val="DefaultParagraphFont"/>
    <w:link w:val="Heading1"/>
    <w:rsid w:val="00E0012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956"/>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E001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ListParagraph"/>
    <w:next w:val="Normal"/>
    <w:link w:val="Heading2Char"/>
    <w:qFormat/>
    <w:rsid w:val="00CA4956"/>
    <w:pPr>
      <w:numPr>
        <w:numId w:val="1"/>
      </w:numPr>
      <w:spacing w:after="0" w:line="240" w:lineRule="auto"/>
      <w:ind w:left="0" w:firstLine="0"/>
      <w:outlineLvl w:val="1"/>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A4956"/>
    <w:rPr>
      <w:b/>
      <w:sz w:val="24"/>
      <w:szCs w:val="24"/>
    </w:rPr>
  </w:style>
  <w:style w:type="paragraph" w:styleId="Header">
    <w:name w:val="header"/>
    <w:basedOn w:val="Normal"/>
    <w:link w:val="HeaderChar"/>
    <w:uiPriority w:val="99"/>
    <w:unhideWhenUsed/>
    <w:rsid w:val="00CA4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956"/>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A4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956"/>
    <w:rPr>
      <w:rFonts w:asciiTheme="minorHAnsi" w:eastAsiaTheme="minorHAnsi" w:hAnsiTheme="minorHAnsi" w:cstheme="minorBidi"/>
      <w:sz w:val="22"/>
      <w:szCs w:val="22"/>
    </w:rPr>
  </w:style>
  <w:style w:type="character" w:styleId="Hyperlink">
    <w:name w:val="Hyperlink"/>
    <w:basedOn w:val="DefaultParagraphFont"/>
    <w:uiPriority w:val="99"/>
    <w:unhideWhenUsed/>
    <w:rsid w:val="00CA4956"/>
    <w:rPr>
      <w:color w:val="0000FF" w:themeColor="hyperlink"/>
      <w:u w:val="single"/>
    </w:rPr>
  </w:style>
  <w:style w:type="paragraph" w:styleId="FootnoteText">
    <w:name w:val="footnote text"/>
    <w:basedOn w:val="Normal"/>
    <w:link w:val="FootnoteTextChar"/>
    <w:uiPriority w:val="99"/>
    <w:unhideWhenUsed/>
    <w:rsid w:val="00CA4956"/>
    <w:pPr>
      <w:spacing w:after="0" w:line="240" w:lineRule="auto"/>
    </w:pPr>
    <w:rPr>
      <w:sz w:val="20"/>
      <w:szCs w:val="20"/>
    </w:rPr>
  </w:style>
  <w:style w:type="character" w:customStyle="1" w:styleId="FootnoteTextChar">
    <w:name w:val="Footnote Text Char"/>
    <w:basedOn w:val="DefaultParagraphFont"/>
    <w:link w:val="FootnoteText"/>
    <w:uiPriority w:val="99"/>
    <w:rsid w:val="00CA4956"/>
    <w:rPr>
      <w:rFonts w:asciiTheme="minorHAnsi" w:eastAsiaTheme="minorHAnsi" w:hAnsiTheme="minorHAnsi" w:cstheme="minorBidi"/>
    </w:rPr>
  </w:style>
  <w:style w:type="character" w:styleId="FootnoteReference">
    <w:name w:val="footnote reference"/>
    <w:basedOn w:val="DefaultParagraphFont"/>
    <w:uiPriority w:val="99"/>
    <w:unhideWhenUsed/>
    <w:rsid w:val="00CA4956"/>
    <w:rPr>
      <w:vertAlign w:val="superscript"/>
    </w:rPr>
  </w:style>
  <w:style w:type="table" w:styleId="LightShading">
    <w:name w:val="Light Shading"/>
    <w:basedOn w:val="TableNormal"/>
    <w:uiPriority w:val="60"/>
    <w:rsid w:val="00CA495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CA4956"/>
    <w:pPr>
      <w:ind w:left="720"/>
      <w:contextualSpacing/>
    </w:pPr>
  </w:style>
  <w:style w:type="character" w:customStyle="1" w:styleId="Heading1Char">
    <w:name w:val="Heading 1 Char"/>
    <w:basedOn w:val="DefaultParagraphFont"/>
    <w:link w:val="Heading1"/>
    <w:rsid w:val="00E0012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1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puckett@optimalsolutionsgroup.com" TargetMode="External"/><Relationship Id="rId13" Type="http://schemas.openxmlformats.org/officeDocument/2006/relationships/footer" Target="foot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auer@optimalsolutionsgroup.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turner@optimalsolutionsgroup.co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sba.gov/sites/default/files/files/OED_ImpactReport_09302013_Final.pdf" TargetMode="External"/><Relationship Id="rId1" Type="http://schemas.openxmlformats.org/officeDocument/2006/relationships/hyperlink" Target="http://www.goldmansachs.com/s/10ksb-docs/29407_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95328150.dotm</Template>
  <TotalTime>1</TotalTime>
  <Pages>5</Pages>
  <Words>1662</Words>
  <Characters>9477</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Curtis B.</dc:creator>
  <cp:lastModifiedBy>Rich, Curtis B.</cp:lastModifiedBy>
  <cp:revision>2</cp:revision>
  <dcterms:created xsi:type="dcterms:W3CDTF">2015-09-09T14:24:00Z</dcterms:created>
  <dcterms:modified xsi:type="dcterms:W3CDTF">2015-09-09T14:24:00Z</dcterms:modified>
</cp:coreProperties>
</file>