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EE" w:rsidRPr="004244EE" w:rsidRDefault="004244EE" w:rsidP="004244EE">
      <w:pPr>
        <w:spacing w:before="720" w:line="560" w:lineRule="exact"/>
        <w:ind w:firstLine="0"/>
        <w:rPr>
          <w:rFonts w:ascii="Arial" w:hAnsi="Arial"/>
          <w:caps/>
          <w:spacing w:val="28"/>
          <w:sz w:val="17"/>
          <w:szCs w:val="26"/>
        </w:rPr>
      </w:pPr>
      <w:r w:rsidRPr="004244EE">
        <w:rPr>
          <w:rFonts w:ascii="Arial" w:hAnsi="Arial"/>
          <w:caps/>
          <w:noProof/>
          <w:spacing w:val="28"/>
          <w:sz w:val="17"/>
          <w:szCs w:val="26"/>
        </w:rPr>
        <w:drawing>
          <wp:anchor distT="0" distB="0" distL="114300" distR="114300" simplePos="0" relativeHeight="251659264"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4876800" cy="1247775"/>
                    </a:xfrm>
                    <a:prstGeom prst="rect">
                      <a:avLst/>
                    </a:prstGeom>
                    <a:noFill/>
                  </pic:spPr>
                </pic:pic>
              </a:graphicData>
            </a:graphic>
          </wp:anchor>
        </w:drawing>
      </w:r>
    </w:p>
    <w:p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240" w:line="240" w:lineRule="auto"/>
        <w:ind w:firstLine="0"/>
        <w:rPr>
          <w:rFonts w:ascii="Arial Black" w:hAnsi="Arial Black" w:cs="Arial"/>
          <w:b/>
          <w:color w:val="E70033"/>
          <w:sz w:val="37"/>
          <w:szCs w:val="37"/>
        </w:rPr>
      </w:pPr>
      <w:bookmarkStart w:id="0" w:name="RepTitle"/>
      <w:bookmarkEnd w:id="0"/>
      <w:r w:rsidRPr="004244EE">
        <w:rPr>
          <w:rFonts w:ascii="Arial Black" w:hAnsi="Arial Black" w:cs="Arial"/>
          <w:b/>
          <w:color w:val="E70033"/>
          <w:sz w:val="37"/>
          <w:szCs w:val="37"/>
        </w:rPr>
        <w:t xml:space="preserve">Evaluation of SNAP Employment and Training Pilots </w:t>
      </w:r>
    </w:p>
    <w:p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OMB Supporting Statement</w:t>
      </w:r>
    </w:p>
    <w:p w:rsidR="004244EE" w:rsidRPr="004244EE" w:rsidRDefault="00B8600E" w:rsidP="004244EE">
      <w:pPr>
        <w:pBdr>
          <w:top w:val="single" w:sz="4" w:space="1" w:color="auto"/>
          <w:bottom w:val="single" w:sz="4" w:space="0" w:color="auto"/>
        </w:pBdr>
        <w:tabs>
          <w:tab w:val="left" w:pos="720"/>
          <w:tab w:val="left" w:pos="1080"/>
          <w:tab w:val="left" w:pos="1440"/>
          <w:tab w:val="left" w:pos="1800"/>
        </w:tabs>
        <w:spacing w:after="100" w:line="240" w:lineRule="auto"/>
        <w:ind w:firstLine="0"/>
        <w:rPr>
          <w:rFonts w:ascii="Arial Black" w:hAnsi="Arial Black" w:cs="Arial"/>
          <w:b/>
          <w:color w:val="E70033"/>
          <w:sz w:val="28"/>
          <w:szCs w:val="37"/>
        </w:rPr>
      </w:pPr>
      <w:r>
        <w:rPr>
          <w:rFonts w:ascii="Arial Black" w:hAnsi="Arial Black" w:cs="Arial"/>
          <w:b/>
          <w:color w:val="E70033"/>
          <w:sz w:val="28"/>
          <w:szCs w:val="37"/>
        </w:rPr>
        <w:t>Part B</w:t>
      </w:r>
      <w:r w:rsidR="004244EE" w:rsidRPr="004244EE">
        <w:rPr>
          <w:rFonts w:ascii="Arial Black" w:hAnsi="Arial Black" w:cs="Arial"/>
          <w:b/>
          <w:color w:val="E70033"/>
          <w:sz w:val="28"/>
          <w:szCs w:val="37"/>
        </w:rPr>
        <w:t xml:space="preserve">: </w:t>
      </w:r>
      <w:r>
        <w:rPr>
          <w:rFonts w:ascii="Arial Black" w:hAnsi="Arial Black" w:cs="Arial"/>
          <w:b/>
          <w:color w:val="E70033"/>
          <w:sz w:val="28"/>
          <w:szCs w:val="37"/>
        </w:rPr>
        <w:t>Collections of Information Employing Statistical Methods</w:t>
      </w:r>
    </w:p>
    <w:p w:rsidR="004244EE" w:rsidRPr="004244EE" w:rsidRDefault="000039C7" w:rsidP="004244EE">
      <w:pPr>
        <w:spacing w:line="440" w:lineRule="exact"/>
        <w:ind w:firstLine="0"/>
        <w:jc w:val="right"/>
        <w:rPr>
          <w:rFonts w:ascii="Arial" w:hAnsi="Arial"/>
          <w:sz w:val="34"/>
          <w:szCs w:val="26"/>
        </w:rPr>
      </w:pPr>
      <w:bookmarkStart w:id="1" w:name="DateMark"/>
      <w:bookmarkStart w:id="2" w:name="MPRRef"/>
      <w:bookmarkEnd w:id="1"/>
      <w:bookmarkEnd w:id="2"/>
      <w:r>
        <w:rPr>
          <w:rFonts w:ascii="Arial" w:hAnsi="Arial"/>
          <w:sz w:val="34"/>
          <w:szCs w:val="26"/>
        </w:rPr>
        <w:t>November</w:t>
      </w:r>
      <w:r w:rsidR="007F62A7">
        <w:rPr>
          <w:rFonts w:ascii="Arial" w:hAnsi="Arial"/>
          <w:sz w:val="34"/>
          <w:szCs w:val="26"/>
        </w:rPr>
        <w:t xml:space="preserve"> </w:t>
      </w:r>
      <w:r w:rsidR="00D810B8">
        <w:rPr>
          <w:rFonts w:ascii="Arial" w:hAnsi="Arial"/>
          <w:sz w:val="34"/>
          <w:szCs w:val="26"/>
        </w:rPr>
        <w:t>XX</w:t>
      </w:r>
      <w:r w:rsidR="004244EE" w:rsidRPr="00161CB2">
        <w:rPr>
          <w:rFonts w:ascii="Arial" w:hAnsi="Arial"/>
          <w:sz w:val="34"/>
          <w:szCs w:val="26"/>
        </w:rPr>
        <w:t>, 2015</w:t>
      </w: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t>Submitted to:</w:t>
      </w:r>
    </w:p>
    <w:p w:rsidR="004244EE" w:rsidRPr="004244EE" w:rsidRDefault="004244EE" w:rsidP="004244EE">
      <w:pPr>
        <w:spacing w:line="260" w:lineRule="exact"/>
        <w:ind w:firstLine="0"/>
        <w:jc w:val="right"/>
        <w:rPr>
          <w:rFonts w:ascii="Arial" w:hAnsi="Arial"/>
          <w:sz w:val="16"/>
          <w:szCs w:val="19"/>
        </w:rPr>
      </w:pPr>
      <w:bookmarkStart w:id="3" w:name="Agency"/>
      <w:bookmarkEnd w:id="3"/>
      <w:r w:rsidRPr="004244EE">
        <w:rPr>
          <w:rFonts w:ascii="Arial" w:hAnsi="Arial"/>
          <w:sz w:val="16"/>
          <w:szCs w:val="19"/>
        </w:rPr>
        <w:t xml:space="preserve">Office of Management and Budget </w:t>
      </w: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br/>
        <w:t>Submitted by:</w:t>
      </w:r>
    </w:p>
    <w:p w:rsidR="00C64412" w:rsidRPr="005A7272" w:rsidRDefault="00C64412" w:rsidP="004244EE">
      <w:pPr>
        <w:spacing w:line="260" w:lineRule="exact"/>
        <w:jc w:val="right"/>
        <w:rPr>
          <w:rFonts w:ascii="Arial" w:hAnsi="Arial" w:cs="Arial"/>
          <w:noProof/>
          <w:sz w:val="16"/>
          <w:szCs w:val="19"/>
        </w:rPr>
      </w:pPr>
      <w:r w:rsidRPr="005A7272">
        <w:rPr>
          <w:rFonts w:ascii="Arial" w:hAnsi="Arial" w:cs="Arial"/>
          <w:noProof/>
          <w:sz w:val="16"/>
          <w:szCs w:val="19"/>
        </w:rPr>
        <w:t>Wesley Dean</w:t>
      </w:r>
    </w:p>
    <w:p w:rsidR="004244EE" w:rsidRPr="004244EE" w:rsidRDefault="004244EE" w:rsidP="004244EE">
      <w:pPr>
        <w:spacing w:line="260" w:lineRule="exact"/>
        <w:ind w:firstLine="0"/>
        <w:jc w:val="right"/>
        <w:rPr>
          <w:rFonts w:ascii="Arial" w:hAnsi="Arial"/>
          <w:sz w:val="16"/>
          <w:szCs w:val="19"/>
        </w:rPr>
      </w:pPr>
      <w:r w:rsidRPr="004244EE">
        <w:rPr>
          <w:rFonts w:ascii="Arial" w:hAnsi="Arial"/>
          <w:sz w:val="16"/>
          <w:szCs w:val="19"/>
        </w:rPr>
        <w:t>Food and Nutrition Service</w:t>
      </w:r>
    </w:p>
    <w:p w:rsidR="004244EE" w:rsidRPr="004244EE" w:rsidRDefault="004244EE" w:rsidP="004244EE">
      <w:pPr>
        <w:spacing w:line="260" w:lineRule="exact"/>
        <w:ind w:firstLine="0"/>
        <w:jc w:val="right"/>
        <w:rPr>
          <w:rFonts w:ascii="Arial" w:hAnsi="Arial"/>
          <w:sz w:val="16"/>
          <w:szCs w:val="19"/>
        </w:rPr>
      </w:pPr>
      <w:bookmarkStart w:id="4" w:name="AgencyDept"/>
      <w:bookmarkEnd w:id="4"/>
      <w:r w:rsidRPr="004244EE">
        <w:rPr>
          <w:rFonts w:ascii="Arial" w:hAnsi="Arial"/>
          <w:sz w:val="16"/>
          <w:szCs w:val="19"/>
        </w:rPr>
        <w:t>United States Department of Agriculture</w:t>
      </w:r>
    </w:p>
    <w:p w:rsidR="004244EE" w:rsidRPr="004244EE" w:rsidRDefault="004244EE" w:rsidP="004244EE">
      <w:pPr>
        <w:spacing w:line="260" w:lineRule="exact"/>
        <w:ind w:firstLine="0"/>
        <w:jc w:val="right"/>
        <w:rPr>
          <w:rFonts w:ascii="Arial" w:hAnsi="Arial"/>
          <w:sz w:val="16"/>
          <w:szCs w:val="19"/>
        </w:rPr>
      </w:pPr>
      <w:bookmarkStart w:id="5" w:name="AgencyAddress1"/>
      <w:bookmarkEnd w:id="5"/>
      <w:r w:rsidRPr="004244EE">
        <w:rPr>
          <w:rFonts w:ascii="Arial" w:hAnsi="Arial"/>
          <w:sz w:val="16"/>
          <w:szCs w:val="19"/>
        </w:rPr>
        <w:t>3101 Park Center Drive</w:t>
      </w:r>
    </w:p>
    <w:p w:rsidR="004244EE" w:rsidRPr="004244EE" w:rsidRDefault="004244EE" w:rsidP="004244EE">
      <w:pPr>
        <w:spacing w:after="60" w:line="260" w:lineRule="exact"/>
        <w:ind w:firstLine="0"/>
        <w:contextualSpacing/>
        <w:jc w:val="right"/>
        <w:rPr>
          <w:rFonts w:ascii="Arial" w:hAnsi="Arial"/>
          <w:sz w:val="16"/>
          <w:szCs w:val="19"/>
        </w:rPr>
      </w:pPr>
      <w:bookmarkStart w:id="6" w:name="AgencyAddress2"/>
      <w:bookmarkEnd w:id="6"/>
      <w:r w:rsidRPr="004244EE">
        <w:rPr>
          <w:rFonts w:ascii="Arial" w:hAnsi="Arial"/>
          <w:sz w:val="16"/>
          <w:szCs w:val="19"/>
        </w:rPr>
        <w:t>Alexandria, VA 22302-1500</w:t>
      </w:r>
    </w:p>
    <w:p w:rsidR="004244EE" w:rsidRPr="004244EE" w:rsidRDefault="004244EE" w:rsidP="004244EE">
      <w:pPr>
        <w:spacing w:after="100" w:line="260" w:lineRule="exact"/>
        <w:ind w:firstLine="0"/>
        <w:rPr>
          <w:rFonts w:ascii="Arial" w:hAnsi="Arial"/>
          <w:sz w:val="16"/>
          <w:szCs w:val="19"/>
        </w:rPr>
      </w:pPr>
    </w:p>
    <w:p w:rsidR="00C8092E" w:rsidRDefault="00C8092E" w:rsidP="00C8092E"/>
    <w:p w:rsidR="00C8092E" w:rsidRDefault="00C8092E" w:rsidP="00C8092E"/>
    <w:p w:rsidR="00C8092E" w:rsidRDefault="00C8092E" w:rsidP="00871065">
      <w:pPr>
        <w:pBdr>
          <w:bottom w:val="single" w:sz="2" w:space="1" w:color="auto"/>
        </w:pBdr>
        <w:spacing w:after="240" w:line="240" w:lineRule="auto"/>
        <w:ind w:firstLine="0"/>
        <w:jc w:val="both"/>
        <w:rPr>
          <w:rFonts w:ascii="Arial Black" w:hAnsi="Arial Black"/>
          <w:sz w:val="22"/>
        </w:rPr>
        <w:sectPr w:rsidR="00C8092E" w:rsidSect="004244EE">
          <w:headerReference w:type="default" r:id="rId9"/>
          <w:footerReference w:type="default" r:id="rId10"/>
          <w:pgSz w:w="12240" w:h="15840"/>
          <w:pgMar w:top="1008" w:right="965" w:bottom="1195" w:left="3629" w:header="720" w:footer="720" w:gutter="0"/>
          <w:cols w:space="720"/>
          <w:docGrid w:linePitch="360"/>
        </w:sectPr>
      </w:pPr>
    </w:p>
    <w:p w:rsidR="004244EE" w:rsidRPr="007D492A" w:rsidRDefault="004244EE" w:rsidP="00E74068"/>
    <w:p w:rsidR="004244EE" w:rsidRDefault="004244EE" w:rsidP="00E74068">
      <w:bookmarkStart w:id="7" w:name="AppLetter"/>
      <w:bookmarkEnd w:id="7"/>
    </w:p>
    <w:p w:rsidR="00E74068" w:rsidRDefault="00E74068" w:rsidP="00E74068"/>
    <w:p w:rsidR="00E74068" w:rsidRDefault="00E74068" w:rsidP="00E74068"/>
    <w:p w:rsidR="00E74068" w:rsidRPr="007D492A" w:rsidRDefault="00E74068" w:rsidP="00E74068"/>
    <w:p w:rsidR="004244EE" w:rsidRPr="00E74068" w:rsidRDefault="004244EE" w:rsidP="00E74068">
      <w:pPr>
        <w:jc w:val="center"/>
        <w:rPr>
          <w:b/>
        </w:rPr>
      </w:pPr>
      <w:bookmarkStart w:id="8" w:name="AppTitle"/>
      <w:bookmarkStart w:id="9" w:name="_Toc418599951"/>
      <w:bookmarkEnd w:id="8"/>
      <w:r w:rsidRPr="00E74068">
        <w:rPr>
          <w:b/>
        </w:rPr>
        <w:t>This page left intentionally blank for double-sided copying.</w:t>
      </w:r>
      <w:bookmarkEnd w:id="9"/>
    </w:p>
    <w:p w:rsidR="004244EE" w:rsidRDefault="004244EE" w:rsidP="00E74068"/>
    <w:p w:rsidR="004244EE" w:rsidRDefault="004244EE" w:rsidP="004244EE"/>
    <w:p w:rsidR="004244EE" w:rsidRDefault="004244EE" w:rsidP="00871065">
      <w:pPr>
        <w:pBdr>
          <w:bottom w:val="single" w:sz="2" w:space="1" w:color="auto"/>
        </w:pBdr>
        <w:spacing w:after="240" w:line="240" w:lineRule="auto"/>
        <w:ind w:firstLine="0"/>
        <w:jc w:val="both"/>
        <w:rPr>
          <w:rFonts w:ascii="Arial Black" w:hAnsi="Arial Black"/>
          <w:sz w:val="22"/>
        </w:rPr>
        <w:sectPr w:rsidR="004244EE" w:rsidSect="00C8092E">
          <w:headerReference w:type="default" r:id="rId11"/>
          <w:footerReference w:type="default" r:id="rId12"/>
          <w:pgSz w:w="12240" w:h="15840"/>
          <w:pgMar w:top="1440" w:right="1440" w:bottom="1440" w:left="1440" w:header="720" w:footer="720" w:gutter="0"/>
          <w:pgNumType w:fmt="lowerRoman" w:start="3"/>
          <w:cols w:space="720"/>
          <w:docGrid w:linePitch="360"/>
        </w:sectPr>
      </w:pPr>
    </w:p>
    <w:p w:rsidR="00871065" w:rsidRDefault="00871065" w:rsidP="00871065">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rsidR="00E74068" w:rsidRDefault="00871065">
      <w:pPr>
        <w:pStyle w:val="TOC8"/>
      </w:pPr>
      <w:r>
        <w:t xml:space="preserve">PART </w:t>
      </w:r>
      <w:r w:rsidR="00B8600E">
        <w:t>b</w:t>
      </w:r>
      <w:r>
        <w:t xml:space="preserve">: </w:t>
      </w:r>
      <w:r w:rsidR="00B8600E" w:rsidRPr="00B8600E">
        <w:t>Collections of Information Employing Statistical Methods</w:t>
      </w:r>
    </w:p>
    <w:p w:rsidR="00AB3372" w:rsidRDefault="00C611BE">
      <w:pPr>
        <w:pStyle w:val="TOC1"/>
        <w:rPr>
          <w:rFonts w:asciiTheme="minorHAnsi" w:eastAsiaTheme="minorEastAsia" w:hAnsiTheme="minorHAnsi" w:cstheme="minorBidi"/>
          <w:caps w:val="0"/>
          <w:noProof/>
          <w:sz w:val="22"/>
          <w:szCs w:val="22"/>
        </w:rPr>
      </w:pPr>
      <w:r w:rsidRPr="00C611BE">
        <w:rPr>
          <w:rFonts w:cs="Arial"/>
        </w:rPr>
        <w:fldChar w:fldCharType="begin"/>
      </w:r>
      <w:r w:rsidR="00AB3372">
        <w:rPr>
          <w:rFonts w:cs="Arial"/>
        </w:rPr>
        <w:instrText xml:space="preserve"> TOC \t "H3_Alpha,1,H4_Number,2" </w:instrText>
      </w:r>
      <w:r w:rsidRPr="00C611BE">
        <w:rPr>
          <w:rFonts w:cs="Arial"/>
        </w:rPr>
        <w:fldChar w:fldCharType="separate"/>
      </w:r>
      <w:r w:rsidR="00AB3372">
        <w:rPr>
          <w:noProof/>
        </w:rPr>
        <w:t>B.1</w:t>
      </w:r>
      <w:r w:rsidR="00BB7383">
        <w:rPr>
          <w:noProof/>
        </w:rPr>
        <w:tab/>
      </w:r>
      <w:r w:rsidR="00AB3372">
        <w:rPr>
          <w:noProof/>
        </w:rPr>
        <w:t>Description of respondent universe and sampling methods</w:t>
      </w:r>
      <w:r w:rsidR="00AB3372">
        <w:rPr>
          <w:noProof/>
        </w:rPr>
        <w:tab/>
      </w:r>
      <w:r>
        <w:rPr>
          <w:noProof/>
        </w:rPr>
        <w:fldChar w:fldCharType="begin"/>
      </w:r>
      <w:r w:rsidR="00AB3372">
        <w:rPr>
          <w:noProof/>
        </w:rPr>
        <w:instrText xml:space="preserve"> PAGEREF _Toc432164920 \h </w:instrText>
      </w:r>
      <w:r>
        <w:rPr>
          <w:noProof/>
        </w:rPr>
      </w:r>
      <w:r>
        <w:rPr>
          <w:noProof/>
        </w:rPr>
        <w:fldChar w:fldCharType="separate"/>
      </w:r>
      <w:r w:rsidR="00AB3372">
        <w:rPr>
          <w:noProof/>
        </w:rPr>
        <w:t>1</w:t>
      </w:r>
      <w:r>
        <w:rPr>
          <w:noProof/>
        </w:rPr>
        <w:fldChar w:fldCharType="end"/>
      </w:r>
    </w:p>
    <w:p w:rsidR="00AB3372" w:rsidRDefault="00AB3372">
      <w:pPr>
        <w:pStyle w:val="TOC2"/>
        <w:rPr>
          <w:rFonts w:asciiTheme="minorHAnsi" w:eastAsiaTheme="minorEastAsia" w:hAnsiTheme="minorHAnsi" w:cstheme="minorBidi"/>
          <w:sz w:val="22"/>
          <w:szCs w:val="22"/>
        </w:rPr>
      </w:pPr>
      <w:r>
        <w:t>1. Sample Frame Determination</w:t>
      </w:r>
      <w:r>
        <w:tab/>
      </w:r>
      <w:r w:rsidR="00C611BE">
        <w:fldChar w:fldCharType="begin"/>
      </w:r>
      <w:r>
        <w:instrText xml:space="preserve"> PAGEREF _Toc432164921 \h </w:instrText>
      </w:r>
      <w:r w:rsidR="00C611BE">
        <w:fldChar w:fldCharType="separate"/>
      </w:r>
      <w:r>
        <w:t>6</w:t>
      </w:r>
      <w:r w:rsidR="00C611BE">
        <w:fldChar w:fldCharType="end"/>
      </w:r>
    </w:p>
    <w:p w:rsidR="00AB3372" w:rsidRDefault="00AB337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Design Features</w:t>
      </w:r>
      <w:r>
        <w:tab/>
      </w:r>
      <w:r w:rsidR="00C611BE">
        <w:fldChar w:fldCharType="begin"/>
      </w:r>
      <w:r>
        <w:instrText xml:space="preserve"> PAGEREF _Toc432164922 \h </w:instrText>
      </w:r>
      <w:r w:rsidR="00C611BE">
        <w:fldChar w:fldCharType="separate"/>
      </w:r>
      <w:r>
        <w:t>6</w:t>
      </w:r>
      <w:r w:rsidR="00C611BE">
        <w:fldChar w:fldCharType="end"/>
      </w:r>
    </w:p>
    <w:p w:rsidR="00AB3372" w:rsidRDefault="00AB3372">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Sampling plan</w:t>
      </w:r>
      <w:r>
        <w:tab/>
      </w:r>
      <w:r w:rsidR="00C611BE">
        <w:fldChar w:fldCharType="begin"/>
      </w:r>
      <w:r>
        <w:instrText xml:space="preserve"> PAGEREF _Toc432164923 \h </w:instrText>
      </w:r>
      <w:r w:rsidR="00C611BE">
        <w:fldChar w:fldCharType="separate"/>
      </w:r>
      <w:r>
        <w:t>8</w:t>
      </w:r>
      <w:r w:rsidR="00C611BE">
        <w:fldChar w:fldCharType="end"/>
      </w:r>
    </w:p>
    <w:p w:rsidR="00AB3372" w:rsidRDefault="00AB3372">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Response Rates and Nonresponse Bias Analysis</w:t>
      </w:r>
      <w:r>
        <w:tab/>
      </w:r>
      <w:r w:rsidR="00C611BE">
        <w:fldChar w:fldCharType="begin"/>
      </w:r>
      <w:r>
        <w:instrText xml:space="preserve"> PAGEREF _Toc432164924 \h </w:instrText>
      </w:r>
      <w:r w:rsidR="00C611BE">
        <w:fldChar w:fldCharType="separate"/>
      </w:r>
      <w:r>
        <w:t>10</w:t>
      </w:r>
      <w:r w:rsidR="00C611BE">
        <w:fldChar w:fldCharType="end"/>
      </w:r>
    </w:p>
    <w:p w:rsidR="00AB3372" w:rsidRDefault="00AB3372">
      <w:pPr>
        <w:pStyle w:val="TOC1"/>
        <w:rPr>
          <w:rFonts w:asciiTheme="minorHAnsi" w:eastAsiaTheme="minorEastAsia" w:hAnsiTheme="minorHAnsi" w:cstheme="minorBidi"/>
          <w:caps w:val="0"/>
          <w:noProof/>
          <w:sz w:val="22"/>
          <w:szCs w:val="22"/>
        </w:rPr>
      </w:pPr>
      <w:r>
        <w:rPr>
          <w:noProof/>
        </w:rPr>
        <w:t>B.2</w:t>
      </w:r>
      <w:r w:rsidR="00BB7383">
        <w:rPr>
          <w:noProof/>
        </w:rPr>
        <w:tab/>
      </w:r>
      <w:r>
        <w:rPr>
          <w:noProof/>
        </w:rPr>
        <w:t>Procedures for the collection of information</w:t>
      </w:r>
      <w:r>
        <w:rPr>
          <w:noProof/>
        </w:rPr>
        <w:tab/>
      </w:r>
      <w:r w:rsidR="00C611BE">
        <w:rPr>
          <w:noProof/>
        </w:rPr>
        <w:fldChar w:fldCharType="begin"/>
      </w:r>
      <w:r>
        <w:rPr>
          <w:noProof/>
        </w:rPr>
        <w:instrText xml:space="preserve"> PAGEREF _Toc432164925 \h </w:instrText>
      </w:r>
      <w:r w:rsidR="00C611BE">
        <w:rPr>
          <w:noProof/>
        </w:rPr>
      </w:r>
      <w:r w:rsidR="00C611BE">
        <w:rPr>
          <w:noProof/>
        </w:rPr>
        <w:fldChar w:fldCharType="separate"/>
      </w:r>
      <w:r>
        <w:rPr>
          <w:noProof/>
        </w:rPr>
        <w:t>12</w:t>
      </w:r>
      <w:r w:rsidR="00C611BE">
        <w:rPr>
          <w:noProof/>
        </w:rPr>
        <w:fldChar w:fldCharType="end"/>
      </w:r>
    </w:p>
    <w:p w:rsidR="00AB3372" w:rsidRDefault="00AB3372">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Estimation Procedures</w:t>
      </w:r>
      <w:r>
        <w:tab/>
      </w:r>
      <w:r w:rsidR="00C611BE">
        <w:fldChar w:fldCharType="begin"/>
      </w:r>
      <w:r>
        <w:instrText xml:space="preserve"> PAGEREF _Toc432164926 \h </w:instrText>
      </w:r>
      <w:r w:rsidR="00C611BE">
        <w:fldChar w:fldCharType="separate"/>
      </w:r>
      <w:r>
        <w:t>12</w:t>
      </w:r>
      <w:r w:rsidR="00C611BE">
        <w:fldChar w:fldCharType="end"/>
      </w:r>
    </w:p>
    <w:p w:rsidR="00AB3372" w:rsidRDefault="00AB337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Statistical Power</w:t>
      </w:r>
      <w:r>
        <w:tab/>
      </w:r>
      <w:r w:rsidR="00C611BE">
        <w:fldChar w:fldCharType="begin"/>
      </w:r>
      <w:r>
        <w:instrText xml:space="preserve"> PAGEREF _Toc432164927 \h </w:instrText>
      </w:r>
      <w:r w:rsidR="00C611BE">
        <w:fldChar w:fldCharType="separate"/>
      </w:r>
      <w:r>
        <w:t>16</w:t>
      </w:r>
      <w:r w:rsidR="00C611BE">
        <w:fldChar w:fldCharType="end"/>
      </w:r>
    </w:p>
    <w:p w:rsidR="00AB3372" w:rsidRDefault="00AB3372">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Statistical methodology for sample section</w:t>
      </w:r>
      <w:r>
        <w:tab/>
      </w:r>
      <w:r w:rsidR="00C611BE">
        <w:fldChar w:fldCharType="begin"/>
      </w:r>
      <w:r>
        <w:instrText xml:space="preserve"> PAGEREF _Toc432164928 \h </w:instrText>
      </w:r>
      <w:r w:rsidR="00C611BE">
        <w:fldChar w:fldCharType="separate"/>
      </w:r>
      <w:r>
        <w:t>20</w:t>
      </w:r>
      <w:r w:rsidR="00C611BE">
        <w:fldChar w:fldCharType="end"/>
      </w:r>
    </w:p>
    <w:p w:rsidR="00AB3372" w:rsidRDefault="00AB3372">
      <w:pPr>
        <w:pStyle w:val="TOC1"/>
        <w:rPr>
          <w:rFonts w:asciiTheme="minorHAnsi" w:eastAsiaTheme="minorEastAsia" w:hAnsiTheme="minorHAnsi" w:cstheme="minorBidi"/>
          <w:caps w:val="0"/>
          <w:noProof/>
          <w:sz w:val="22"/>
          <w:szCs w:val="22"/>
        </w:rPr>
      </w:pPr>
      <w:r>
        <w:rPr>
          <w:noProof/>
        </w:rPr>
        <w:t>B.3</w:t>
      </w:r>
      <w:r w:rsidR="00BB7383">
        <w:rPr>
          <w:noProof/>
        </w:rPr>
        <w:tab/>
      </w:r>
      <w:r>
        <w:rPr>
          <w:noProof/>
        </w:rPr>
        <w:t>Methods to maximize response rates and deal with nonresponse</w:t>
      </w:r>
      <w:r>
        <w:rPr>
          <w:noProof/>
        </w:rPr>
        <w:tab/>
      </w:r>
      <w:r w:rsidR="00C611BE">
        <w:rPr>
          <w:noProof/>
        </w:rPr>
        <w:fldChar w:fldCharType="begin"/>
      </w:r>
      <w:r>
        <w:rPr>
          <w:noProof/>
        </w:rPr>
        <w:instrText xml:space="preserve"> PAGEREF _Toc432164929 \h </w:instrText>
      </w:r>
      <w:r w:rsidR="00C611BE">
        <w:rPr>
          <w:noProof/>
        </w:rPr>
      </w:r>
      <w:r w:rsidR="00C611BE">
        <w:rPr>
          <w:noProof/>
        </w:rPr>
        <w:fldChar w:fldCharType="separate"/>
      </w:r>
      <w:r>
        <w:rPr>
          <w:noProof/>
        </w:rPr>
        <w:t>20</w:t>
      </w:r>
      <w:r w:rsidR="00C611BE">
        <w:rPr>
          <w:noProof/>
        </w:rPr>
        <w:fldChar w:fldCharType="end"/>
      </w:r>
    </w:p>
    <w:p w:rsidR="00AB3372" w:rsidRDefault="00AB3372">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Survey Data Collection</w:t>
      </w:r>
      <w:r>
        <w:tab/>
      </w:r>
      <w:r w:rsidR="00C611BE">
        <w:fldChar w:fldCharType="begin"/>
      </w:r>
      <w:r>
        <w:instrText xml:space="preserve"> PAGEREF _Toc432164930 \h </w:instrText>
      </w:r>
      <w:r w:rsidR="00C611BE">
        <w:fldChar w:fldCharType="separate"/>
      </w:r>
      <w:r>
        <w:t>21</w:t>
      </w:r>
      <w:r w:rsidR="00C611BE">
        <w:fldChar w:fldCharType="end"/>
      </w:r>
    </w:p>
    <w:p w:rsidR="00AB3372" w:rsidRDefault="00AB337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Focus group data collection</w:t>
      </w:r>
      <w:r>
        <w:tab/>
      </w:r>
      <w:r w:rsidR="00C611BE">
        <w:fldChar w:fldCharType="begin"/>
      </w:r>
      <w:r>
        <w:instrText xml:space="preserve"> PAGEREF _Toc432164931 \h </w:instrText>
      </w:r>
      <w:r w:rsidR="00C611BE">
        <w:fldChar w:fldCharType="separate"/>
      </w:r>
      <w:r>
        <w:t>26</w:t>
      </w:r>
      <w:r w:rsidR="00C611BE">
        <w:fldChar w:fldCharType="end"/>
      </w:r>
    </w:p>
    <w:p w:rsidR="00AB3372" w:rsidRDefault="00AB3372">
      <w:pPr>
        <w:pStyle w:val="TOC1"/>
        <w:rPr>
          <w:rFonts w:asciiTheme="minorHAnsi" w:eastAsiaTheme="minorEastAsia" w:hAnsiTheme="minorHAnsi" w:cstheme="minorBidi"/>
          <w:caps w:val="0"/>
          <w:noProof/>
          <w:sz w:val="22"/>
          <w:szCs w:val="22"/>
        </w:rPr>
      </w:pPr>
      <w:r>
        <w:rPr>
          <w:noProof/>
        </w:rPr>
        <w:t>B.4.</w:t>
      </w:r>
      <w:r w:rsidR="00BB7383">
        <w:rPr>
          <w:noProof/>
        </w:rPr>
        <w:tab/>
      </w:r>
      <w:r>
        <w:rPr>
          <w:noProof/>
        </w:rPr>
        <w:t>Description of tests of procedures</w:t>
      </w:r>
      <w:r>
        <w:rPr>
          <w:noProof/>
        </w:rPr>
        <w:tab/>
      </w:r>
      <w:r w:rsidR="00C611BE">
        <w:rPr>
          <w:noProof/>
        </w:rPr>
        <w:fldChar w:fldCharType="begin"/>
      </w:r>
      <w:r>
        <w:rPr>
          <w:noProof/>
        </w:rPr>
        <w:instrText xml:space="preserve"> PAGEREF _Toc432164932 \h </w:instrText>
      </w:r>
      <w:r w:rsidR="00C611BE">
        <w:rPr>
          <w:noProof/>
        </w:rPr>
      </w:r>
      <w:r w:rsidR="00C611BE">
        <w:rPr>
          <w:noProof/>
        </w:rPr>
        <w:fldChar w:fldCharType="separate"/>
      </w:r>
      <w:r>
        <w:rPr>
          <w:noProof/>
        </w:rPr>
        <w:t>27</w:t>
      </w:r>
      <w:r w:rsidR="00C611BE">
        <w:rPr>
          <w:noProof/>
        </w:rPr>
        <w:fldChar w:fldCharType="end"/>
      </w:r>
    </w:p>
    <w:p w:rsidR="00AB3372" w:rsidRDefault="00AB3372">
      <w:pPr>
        <w:pStyle w:val="TOC1"/>
        <w:rPr>
          <w:noProof/>
        </w:rPr>
      </w:pPr>
      <w:r>
        <w:rPr>
          <w:noProof/>
        </w:rPr>
        <w:t>B.5.</w:t>
      </w:r>
      <w:r w:rsidR="00BB7383">
        <w:rPr>
          <w:noProof/>
        </w:rPr>
        <w:tab/>
      </w:r>
      <w:r>
        <w:rPr>
          <w:noProof/>
        </w:rPr>
        <w:t>Individuals consulted on statistical aspects of the design</w:t>
      </w:r>
      <w:r>
        <w:rPr>
          <w:noProof/>
        </w:rPr>
        <w:tab/>
      </w:r>
      <w:r w:rsidR="00C611BE">
        <w:rPr>
          <w:noProof/>
        </w:rPr>
        <w:fldChar w:fldCharType="begin"/>
      </w:r>
      <w:r>
        <w:rPr>
          <w:noProof/>
        </w:rPr>
        <w:instrText xml:space="preserve"> PAGEREF _Toc432164933 \h </w:instrText>
      </w:r>
      <w:r w:rsidR="00C611BE">
        <w:rPr>
          <w:noProof/>
        </w:rPr>
      </w:r>
      <w:r w:rsidR="00C611BE">
        <w:rPr>
          <w:noProof/>
        </w:rPr>
        <w:fldChar w:fldCharType="separate"/>
      </w:r>
      <w:r>
        <w:rPr>
          <w:noProof/>
        </w:rPr>
        <w:t>27</w:t>
      </w:r>
      <w:r w:rsidR="00C611BE">
        <w:rPr>
          <w:noProof/>
        </w:rPr>
        <w:fldChar w:fldCharType="end"/>
      </w:r>
    </w:p>
    <w:p w:rsidR="00BB7383" w:rsidRPr="00BB7383" w:rsidRDefault="00BB7383" w:rsidP="00BB7383">
      <w:pPr>
        <w:pStyle w:val="TOC1"/>
        <w:rPr>
          <w:rFonts w:eastAsiaTheme="minorEastAsia"/>
        </w:rPr>
      </w:pPr>
      <w:r w:rsidRPr="00BB7383">
        <w:rPr>
          <w:noProof/>
        </w:rPr>
        <w:t>REFERENCES</w:t>
      </w:r>
      <w:r>
        <w:rPr>
          <w:rFonts w:eastAsiaTheme="minorEastAsia"/>
        </w:rPr>
        <w:tab/>
        <w:t>29</w:t>
      </w:r>
    </w:p>
    <w:p w:rsidR="00B8600E" w:rsidRDefault="00C611BE" w:rsidP="00871065">
      <w:pPr>
        <w:spacing w:after="180" w:line="240" w:lineRule="auto"/>
        <w:ind w:firstLine="0"/>
        <w:jc w:val="both"/>
        <w:rPr>
          <w:rFonts w:ascii="Arial" w:hAnsi="Arial" w:cs="Arial"/>
          <w:sz w:val="20"/>
        </w:rPr>
      </w:pPr>
      <w:r>
        <w:rPr>
          <w:rFonts w:ascii="Arial" w:hAnsi="Arial" w:cs="Arial"/>
          <w:sz w:val="20"/>
        </w:rPr>
        <w:fldChar w:fldCharType="end"/>
      </w:r>
    </w:p>
    <w:p w:rsidR="00B8600E" w:rsidRDefault="00B8600E" w:rsidP="00871065">
      <w:pPr>
        <w:spacing w:after="180" w:line="240" w:lineRule="auto"/>
        <w:ind w:firstLine="0"/>
        <w:jc w:val="both"/>
        <w:rPr>
          <w:rFonts w:ascii="Arial" w:hAnsi="Arial" w:cs="Arial"/>
          <w:sz w:val="20"/>
        </w:rPr>
        <w:sectPr w:rsidR="00B8600E" w:rsidSect="00C8092E">
          <w:headerReference w:type="default" r:id="rId13"/>
          <w:footerReference w:type="default" r:id="rId14"/>
          <w:pgSz w:w="12240" w:h="15840"/>
          <w:pgMar w:top="1440" w:right="1440" w:bottom="1440" w:left="1440" w:header="720" w:footer="720" w:gutter="0"/>
          <w:pgNumType w:fmt="lowerRoman" w:start="3"/>
          <w:cols w:space="720"/>
          <w:docGrid w:linePitch="360"/>
        </w:sectPr>
      </w:pPr>
    </w:p>
    <w:p w:rsidR="00B8600E" w:rsidRPr="003C5AD1" w:rsidRDefault="00B8600E" w:rsidP="003C5AD1">
      <w:pPr>
        <w:jc w:val="center"/>
        <w:rPr>
          <w:b/>
        </w:rPr>
      </w:pPr>
    </w:p>
    <w:p w:rsidR="00B8600E" w:rsidRDefault="00B8600E" w:rsidP="003C5AD1">
      <w:pPr>
        <w:jc w:val="center"/>
        <w:rPr>
          <w:b/>
        </w:rPr>
      </w:pPr>
    </w:p>
    <w:p w:rsidR="00FA3F33" w:rsidRDefault="00FA3F33" w:rsidP="003C5AD1">
      <w:pPr>
        <w:jc w:val="center"/>
        <w:rPr>
          <w:b/>
        </w:rPr>
      </w:pPr>
    </w:p>
    <w:p w:rsidR="00FA3F33" w:rsidRPr="003C5AD1" w:rsidRDefault="00FA3F33" w:rsidP="003C5AD1">
      <w:pPr>
        <w:jc w:val="center"/>
        <w:rPr>
          <w:b/>
        </w:rPr>
      </w:pPr>
    </w:p>
    <w:p w:rsidR="00B8600E" w:rsidRPr="003C5AD1" w:rsidRDefault="00B8600E" w:rsidP="003C5AD1">
      <w:pPr>
        <w:jc w:val="center"/>
        <w:rPr>
          <w:b/>
        </w:rPr>
      </w:pPr>
      <w:bookmarkStart w:id="10" w:name="_Toc418599952"/>
      <w:r w:rsidRPr="003C5AD1">
        <w:rPr>
          <w:b/>
        </w:rPr>
        <w:t>This page left intentionally blank for double-sided copying.</w:t>
      </w:r>
      <w:bookmarkEnd w:id="10"/>
    </w:p>
    <w:p w:rsidR="00871065" w:rsidRDefault="00871065" w:rsidP="00871065">
      <w:pPr>
        <w:spacing w:after="180" w:line="240" w:lineRule="auto"/>
        <w:ind w:firstLine="0"/>
        <w:jc w:val="both"/>
      </w:pPr>
    </w:p>
    <w:p w:rsidR="00871065" w:rsidRDefault="00871065" w:rsidP="00871065">
      <w:pPr>
        <w:sectPr w:rsidR="00871065" w:rsidSect="00E74068">
          <w:headerReference w:type="default" r:id="rId15"/>
          <w:footerReference w:type="default" r:id="rId16"/>
          <w:pgSz w:w="12240" w:h="15840"/>
          <w:pgMar w:top="1440" w:right="1440" w:bottom="1440" w:left="1440" w:header="720" w:footer="720" w:gutter="0"/>
          <w:pgNumType w:fmt="lowerRoman"/>
          <w:cols w:space="720"/>
          <w:docGrid w:linePitch="360"/>
        </w:sectPr>
      </w:pPr>
    </w:p>
    <w:p w:rsidR="00E74068" w:rsidRDefault="00E74068" w:rsidP="00E74068">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EXHIBITS</w:t>
      </w:r>
    </w:p>
    <w:p w:rsidR="00E74068" w:rsidRDefault="00C611BE" w:rsidP="00E74068">
      <w:pPr>
        <w:pStyle w:val="TableofFigures"/>
        <w:rPr>
          <w:rFonts w:asciiTheme="minorHAnsi" w:eastAsiaTheme="minorEastAsia" w:hAnsiTheme="minorHAnsi" w:cstheme="minorBidi"/>
          <w:noProof/>
          <w:sz w:val="22"/>
          <w:szCs w:val="22"/>
        </w:rPr>
      </w:pPr>
      <w:r>
        <w:rPr>
          <w:rFonts w:cs="Arial"/>
        </w:rPr>
        <w:fldChar w:fldCharType="begin"/>
      </w:r>
      <w:r w:rsidR="00E74068">
        <w:rPr>
          <w:rFonts w:cs="Arial"/>
        </w:rPr>
        <w:instrText xml:space="preserve"> TOC \z \t "Mark for Exhibit Title,1" \c "Figure" </w:instrText>
      </w:r>
      <w:r>
        <w:rPr>
          <w:rFonts w:cs="Arial"/>
        </w:rPr>
        <w:fldChar w:fldCharType="separate"/>
      </w:r>
      <w:r w:rsidR="00E74068">
        <w:rPr>
          <w:noProof/>
        </w:rPr>
        <w:t>Exhibit B.1.a Summary of Pilot Project Designs</w:t>
      </w:r>
      <w:r w:rsidR="00E74068">
        <w:rPr>
          <w:noProof/>
          <w:webHidden/>
        </w:rPr>
        <w:tab/>
      </w:r>
      <w:r>
        <w:rPr>
          <w:noProof/>
          <w:webHidden/>
        </w:rPr>
        <w:fldChar w:fldCharType="begin"/>
      </w:r>
      <w:r w:rsidR="00E74068">
        <w:rPr>
          <w:noProof/>
          <w:webHidden/>
        </w:rPr>
        <w:instrText xml:space="preserve"> PAGEREF _Toc432151139 \h </w:instrText>
      </w:r>
      <w:r>
        <w:rPr>
          <w:noProof/>
          <w:webHidden/>
        </w:rPr>
      </w:r>
      <w:r>
        <w:rPr>
          <w:noProof/>
          <w:webHidden/>
        </w:rPr>
        <w:fldChar w:fldCharType="separate"/>
      </w:r>
      <w:r w:rsidR="00E74068">
        <w:rPr>
          <w:noProof/>
          <w:webHidden/>
        </w:rPr>
        <w:t>3</w:t>
      </w:r>
      <w:r>
        <w:rPr>
          <w:noProof/>
          <w:webHidden/>
        </w:rPr>
        <w:fldChar w:fldCharType="end"/>
      </w:r>
    </w:p>
    <w:p w:rsidR="00E74068" w:rsidRDefault="00E74068" w:rsidP="00E74068">
      <w:pPr>
        <w:pStyle w:val="TableofFigures"/>
        <w:rPr>
          <w:rFonts w:asciiTheme="minorHAnsi" w:eastAsiaTheme="minorEastAsia" w:hAnsiTheme="minorHAnsi" w:cstheme="minorBidi"/>
          <w:noProof/>
          <w:sz w:val="22"/>
          <w:szCs w:val="22"/>
        </w:rPr>
      </w:pPr>
      <w:r>
        <w:rPr>
          <w:noProof/>
        </w:rPr>
        <w:t>Exhibit B.2.a. Minimum detectable impacts on primary and secondary outcomes for each site</w:t>
      </w:r>
      <w:r>
        <w:rPr>
          <w:noProof/>
          <w:webHidden/>
        </w:rPr>
        <w:tab/>
      </w:r>
      <w:r w:rsidR="00C611BE">
        <w:rPr>
          <w:noProof/>
          <w:webHidden/>
        </w:rPr>
        <w:fldChar w:fldCharType="begin"/>
      </w:r>
      <w:r>
        <w:rPr>
          <w:noProof/>
          <w:webHidden/>
        </w:rPr>
        <w:instrText xml:space="preserve"> PAGEREF _Toc432151140 \h </w:instrText>
      </w:r>
      <w:r w:rsidR="00C611BE">
        <w:rPr>
          <w:noProof/>
          <w:webHidden/>
        </w:rPr>
      </w:r>
      <w:r w:rsidR="00C611BE">
        <w:rPr>
          <w:noProof/>
          <w:webHidden/>
        </w:rPr>
        <w:fldChar w:fldCharType="separate"/>
      </w:r>
      <w:r>
        <w:rPr>
          <w:noProof/>
          <w:webHidden/>
        </w:rPr>
        <w:t>19</w:t>
      </w:r>
      <w:r w:rsidR="00C611BE">
        <w:rPr>
          <w:noProof/>
          <w:webHidden/>
        </w:rPr>
        <w:fldChar w:fldCharType="end"/>
      </w:r>
    </w:p>
    <w:p w:rsidR="00E74068" w:rsidRDefault="00C611BE" w:rsidP="00A67A0C">
      <w:pPr>
        <w:tabs>
          <w:tab w:val="left" w:pos="720"/>
          <w:tab w:val="right" w:leader="dot" w:pos="9360"/>
        </w:tabs>
        <w:spacing w:before="240" w:after="240" w:line="240" w:lineRule="auto"/>
        <w:ind w:firstLine="0"/>
        <w:jc w:val="both"/>
        <w:rPr>
          <w:rFonts w:ascii="Arial" w:hAnsi="Arial" w:cs="Arial"/>
          <w:sz w:val="20"/>
        </w:rPr>
      </w:pPr>
      <w:r>
        <w:rPr>
          <w:rFonts w:ascii="Arial" w:hAnsi="Arial" w:cs="Arial"/>
          <w:sz w:val="20"/>
        </w:rPr>
        <w:fldChar w:fldCharType="end"/>
      </w:r>
    </w:p>
    <w:p w:rsidR="003E4F1D" w:rsidRPr="000D3529" w:rsidRDefault="003E4F1D" w:rsidP="003E4F1D">
      <w:pPr>
        <w:pBdr>
          <w:bottom w:val="single" w:sz="2" w:space="1" w:color="auto"/>
        </w:pBdr>
        <w:spacing w:after="240" w:line="240" w:lineRule="auto"/>
        <w:ind w:firstLine="0"/>
        <w:jc w:val="both"/>
        <w:rPr>
          <w:rFonts w:ascii="Arial Black" w:hAnsi="Arial Black"/>
          <w:sz w:val="22"/>
        </w:rPr>
      </w:pPr>
      <w:r w:rsidRPr="000D3529">
        <w:rPr>
          <w:rFonts w:ascii="Arial Black" w:hAnsi="Arial Black"/>
          <w:sz w:val="22"/>
        </w:rPr>
        <w:t>ATTACHMENTS</w:t>
      </w: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A</w:t>
      </w:r>
      <w:r w:rsidRPr="00923BAF">
        <w:rPr>
          <w:rFonts w:ascii="Arial" w:hAnsi="Arial" w:cs="Arial"/>
          <w:sz w:val="22"/>
          <w:szCs w:val="22"/>
        </w:rPr>
        <w:tab/>
        <w:t>Agriculture Act of 2014 (The 2014 Farm Bill)</w:t>
      </w:r>
    </w:p>
    <w:p w:rsidR="003E4F1D" w:rsidRPr="00923BAF"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 xml:space="preserve"> </w:t>
      </w: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B</w:t>
      </w:r>
      <w:r w:rsidRPr="00923BAF">
        <w:rPr>
          <w:rFonts w:ascii="Arial" w:hAnsi="Arial" w:cs="Arial"/>
          <w:sz w:val="22"/>
          <w:szCs w:val="22"/>
        </w:rPr>
        <w:tab/>
        <w:t xml:space="preserve">Research </w:t>
      </w:r>
      <w:r>
        <w:rPr>
          <w:rFonts w:ascii="Arial" w:hAnsi="Arial" w:cs="Arial"/>
          <w:sz w:val="22"/>
          <w:szCs w:val="22"/>
        </w:rPr>
        <w:t>Questions,</w:t>
      </w:r>
      <w:r w:rsidRPr="00923BAF">
        <w:rPr>
          <w:rFonts w:ascii="Arial" w:hAnsi="Arial" w:cs="Arial"/>
          <w:sz w:val="22"/>
          <w:szCs w:val="22"/>
        </w:rPr>
        <w:t xml:space="preserve"> Data Sources</w:t>
      </w:r>
      <w:r>
        <w:rPr>
          <w:rFonts w:ascii="Arial" w:hAnsi="Arial" w:cs="Arial"/>
          <w:sz w:val="22"/>
          <w:szCs w:val="22"/>
        </w:rPr>
        <w:t>, and Key Outcomes</w:t>
      </w:r>
    </w:p>
    <w:p w:rsidR="003E4F1D" w:rsidRPr="00E822A3" w:rsidRDefault="003E4F1D" w:rsidP="003E4F1D">
      <w:pPr>
        <w:pStyle w:val="NormalSS"/>
        <w:spacing w:after="0"/>
        <w:ind w:left="900" w:hanging="900"/>
      </w:pPr>
    </w:p>
    <w:p w:rsidR="003E4F1D" w:rsidRPr="008F16E9" w:rsidRDefault="003E4F1D" w:rsidP="003E4F1D">
      <w:pPr>
        <w:pStyle w:val="NormalSScontinued"/>
        <w:spacing w:after="0"/>
        <w:ind w:left="900" w:hanging="900"/>
        <w:rPr>
          <w:rFonts w:ascii="Arial" w:hAnsi="Arial" w:cs="Arial"/>
          <w:sz w:val="22"/>
          <w:szCs w:val="22"/>
        </w:rPr>
      </w:pPr>
      <w:r>
        <w:rPr>
          <w:rFonts w:ascii="Arial" w:hAnsi="Arial" w:cs="Arial"/>
          <w:sz w:val="22"/>
          <w:szCs w:val="22"/>
        </w:rPr>
        <w:t>C.1</w:t>
      </w:r>
      <w:r>
        <w:rPr>
          <w:rFonts w:ascii="Arial" w:hAnsi="Arial" w:cs="Arial"/>
          <w:sz w:val="22"/>
          <w:szCs w:val="22"/>
        </w:rPr>
        <w:tab/>
        <w:t>Registration Document – English</w:t>
      </w:r>
    </w:p>
    <w:p w:rsidR="003E4F1D" w:rsidRPr="00E822A3" w:rsidRDefault="003E4F1D" w:rsidP="003E4F1D">
      <w:pPr>
        <w:pStyle w:val="NormalSS"/>
        <w:spacing w:after="0"/>
        <w:ind w:left="900" w:hanging="900"/>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C.2</w:t>
      </w:r>
      <w:r>
        <w:rPr>
          <w:rFonts w:ascii="Arial" w:hAnsi="Arial" w:cs="Arial"/>
          <w:sz w:val="22"/>
          <w:szCs w:val="22"/>
        </w:rPr>
        <w:tab/>
        <w:t>Registration Document – Spanish</w:t>
      </w:r>
    </w:p>
    <w:p w:rsidR="003E4F1D" w:rsidRPr="008F16E9" w:rsidRDefault="003E4F1D" w:rsidP="003E4F1D">
      <w:pPr>
        <w:pStyle w:val="NormalSS"/>
        <w:spacing w:after="0"/>
        <w:ind w:left="900" w:hanging="900"/>
      </w:pPr>
    </w:p>
    <w:p w:rsidR="003E4F1D" w:rsidRDefault="003E4F1D" w:rsidP="003E4F1D">
      <w:pPr>
        <w:pStyle w:val="NormalSScontinued"/>
        <w:ind w:left="900" w:hanging="900"/>
        <w:rPr>
          <w:rFonts w:ascii="Arial" w:hAnsi="Arial" w:cs="Arial"/>
          <w:sz w:val="22"/>
          <w:szCs w:val="22"/>
        </w:rPr>
      </w:pPr>
      <w:r>
        <w:rPr>
          <w:rFonts w:ascii="Arial" w:hAnsi="Arial" w:cs="Arial"/>
          <w:sz w:val="22"/>
          <w:szCs w:val="22"/>
        </w:rPr>
        <w:t>C.3</w:t>
      </w:r>
      <w:r>
        <w:rPr>
          <w:rFonts w:ascii="Arial" w:hAnsi="Arial" w:cs="Arial"/>
          <w:sz w:val="22"/>
          <w:szCs w:val="22"/>
        </w:rPr>
        <w:tab/>
        <w:t>Registration Document – Screenshot</w:t>
      </w: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D</w:t>
      </w:r>
      <w:r>
        <w:rPr>
          <w:rFonts w:ascii="Arial" w:hAnsi="Arial" w:cs="Arial"/>
          <w:sz w:val="22"/>
          <w:szCs w:val="22"/>
        </w:rPr>
        <w:t>.1</w:t>
      </w:r>
      <w:r w:rsidRPr="00923BAF">
        <w:rPr>
          <w:rFonts w:ascii="Arial" w:hAnsi="Arial" w:cs="Arial"/>
          <w:sz w:val="22"/>
          <w:szCs w:val="22"/>
        </w:rPr>
        <w:tab/>
        <w:t xml:space="preserve">Study Consent </w:t>
      </w:r>
      <w:r w:rsidRPr="00521305">
        <w:rPr>
          <w:rFonts w:ascii="Arial" w:hAnsi="Arial" w:cs="Arial"/>
          <w:sz w:val="22"/>
          <w:szCs w:val="22"/>
        </w:rPr>
        <w:t>Document –</w:t>
      </w:r>
      <w:r>
        <w:rPr>
          <w:rFonts w:ascii="Arial" w:hAnsi="Arial" w:cs="Arial"/>
          <w:sz w:val="22"/>
          <w:szCs w:val="22"/>
        </w:rPr>
        <w:t xml:space="preserve"> English</w:t>
      </w:r>
    </w:p>
    <w:p w:rsidR="003E4F1D" w:rsidRPr="008F16E9" w:rsidRDefault="003E4F1D" w:rsidP="003E4F1D">
      <w:pPr>
        <w:pStyle w:val="NormalSS"/>
        <w:spacing w:after="0"/>
        <w:ind w:left="900" w:hanging="900"/>
      </w:pPr>
    </w:p>
    <w:p w:rsidR="003E4F1D" w:rsidRPr="007E4D69" w:rsidRDefault="003E4F1D" w:rsidP="003E4F1D">
      <w:pPr>
        <w:pStyle w:val="NormalSScontinued"/>
        <w:spacing w:after="0"/>
        <w:ind w:left="900" w:hanging="900"/>
        <w:rPr>
          <w:rFonts w:ascii="Arial" w:hAnsi="Arial" w:cs="Arial"/>
          <w:sz w:val="22"/>
          <w:szCs w:val="22"/>
        </w:rPr>
      </w:pPr>
      <w:r>
        <w:rPr>
          <w:rFonts w:ascii="Arial" w:hAnsi="Arial" w:cs="Arial"/>
          <w:sz w:val="22"/>
          <w:szCs w:val="22"/>
        </w:rPr>
        <w:t>D.2</w:t>
      </w:r>
      <w:r>
        <w:rPr>
          <w:rFonts w:ascii="Arial" w:hAnsi="Arial" w:cs="Arial"/>
          <w:sz w:val="22"/>
          <w:szCs w:val="22"/>
        </w:rPr>
        <w:tab/>
        <w:t>Study Consent Document – Spanish</w:t>
      </w:r>
    </w:p>
    <w:p w:rsidR="003E4F1D" w:rsidRPr="008F16E9" w:rsidRDefault="003E4F1D" w:rsidP="003E4F1D">
      <w:pPr>
        <w:pStyle w:val="NormalSS"/>
        <w:spacing w:after="0"/>
        <w:ind w:left="900" w:hanging="900"/>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D.3</w:t>
      </w:r>
      <w:r>
        <w:rPr>
          <w:rFonts w:ascii="Arial" w:hAnsi="Arial" w:cs="Arial"/>
          <w:sz w:val="22"/>
          <w:szCs w:val="22"/>
        </w:rPr>
        <w:tab/>
        <w:t xml:space="preserve">Study Consent Document Mandatory </w:t>
      </w:r>
      <w:r w:rsidRPr="007E4D69">
        <w:rPr>
          <w:rFonts w:ascii="Arial" w:hAnsi="Arial" w:cs="Arial"/>
          <w:sz w:val="22"/>
          <w:szCs w:val="22"/>
        </w:rPr>
        <w:t>–</w:t>
      </w:r>
      <w:r>
        <w:rPr>
          <w:rFonts w:ascii="Arial" w:hAnsi="Arial" w:cs="Arial"/>
          <w:sz w:val="22"/>
          <w:szCs w:val="22"/>
        </w:rPr>
        <w:t xml:space="preserve"> English</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D.4</w:t>
      </w:r>
      <w:r>
        <w:rPr>
          <w:rFonts w:ascii="Arial" w:hAnsi="Arial" w:cs="Arial"/>
          <w:sz w:val="22"/>
          <w:szCs w:val="22"/>
        </w:rPr>
        <w:tab/>
      </w:r>
      <w:r w:rsidRPr="007E4D69">
        <w:rPr>
          <w:rFonts w:ascii="Arial" w:hAnsi="Arial" w:cs="Arial"/>
          <w:sz w:val="22"/>
          <w:szCs w:val="22"/>
        </w:rPr>
        <w:t>Study Cons</w:t>
      </w:r>
      <w:r>
        <w:rPr>
          <w:rFonts w:ascii="Arial" w:hAnsi="Arial" w:cs="Arial"/>
          <w:sz w:val="22"/>
          <w:szCs w:val="22"/>
        </w:rPr>
        <w:t xml:space="preserve">ent Document Mandatory – Spanish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E</w:t>
      </w:r>
      <w:r>
        <w:rPr>
          <w:rFonts w:ascii="Arial" w:hAnsi="Arial" w:cs="Arial"/>
          <w:sz w:val="22"/>
          <w:szCs w:val="22"/>
        </w:rPr>
        <w:t>.1</w:t>
      </w:r>
      <w:r w:rsidRPr="00923BAF">
        <w:rPr>
          <w:rFonts w:ascii="Arial" w:hAnsi="Arial" w:cs="Arial"/>
          <w:sz w:val="22"/>
          <w:szCs w:val="22"/>
        </w:rPr>
        <w:tab/>
      </w:r>
      <w:r>
        <w:rPr>
          <w:rFonts w:ascii="Arial" w:hAnsi="Arial" w:cs="Arial"/>
          <w:sz w:val="22"/>
          <w:szCs w:val="22"/>
        </w:rPr>
        <w:t>We</w:t>
      </w:r>
      <w:r w:rsidRPr="00923BAF">
        <w:rPr>
          <w:rFonts w:ascii="Arial" w:hAnsi="Arial" w:cs="Arial"/>
          <w:sz w:val="22"/>
          <w:szCs w:val="22"/>
        </w:rPr>
        <w:t>lcome Packet Letter</w:t>
      </w:r>
      <w:r>
        <w:rPr>
          <w:rFonts w:ascii="Arial" w:hAnsi="Arial" w:cs="Arial"/>
          <w:sz w:val="22"/>
          <w:szCs w:val="22"/>
        </w:rPr>
        <w:t xml:space="preserve"> – English </w:t>
      </w:r>
    </w:p>
    <w:p w:rsidR="003E4F1D" w:rsidRPr="00E822A3" w:rsidRDefault="003E4F1D" w:rsidP="003E4F1D">
      <w:pPr>
        <w:pStyle w:val="NormalSS"/>
        <w:spacing w:after="0"/>
        <w:ind w:left="900" w:hanging="900"/>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E.2</w:t>
      </w:r>
      <w:r>
        <w:rPr>
          <w:rFonts w:ascii="Arial" w:hAnsi="Arial" w:cs="Arial"/>
          <w:sz w:val="22"/>
          <w:szCs w:val="22"/>
        </w:rPr>
        <w:tab/>
        <w:t xml:space="preserve">Welcome Packet Letter – Spanish </w:t>
      </w:r>
    </w:p>
    <w:p w:rsidR="003E4F1D" w:rsidRDefault="003E4F1D" w:rsidP="003E4F1D">
      <w:pPr>
        <w:pStyle w:val="NormalSScontinued"/>
        <w:spacing w:before="240" w:after="0"/>
        <w:ind w:left="900" w:hanging="900"/>
        <w:rPr>
          <w:rFonts w:ascii="Arial" w:hAnsi="Arial" w:cs="Arial"/>
          <w:sz w:val="22"/>
          <w:szCs w:val="22"/>
        </w:rPr>
      </w:pPr>
      <w:r w:rsidRPr="00923BAF">
        <w:rPr>
          <w:rFonts w:ascii="Arial" w:hAnsi="Arial" w:cs="Arial"/>
          <w:sz w:val="22"/>
          <w:szCs w:val="22"/>
        </w:rPr>
        <w:t>F</w:t>
      </w:r>
      <w:r>
        <w:rPr>
          <w:rFonts w:ascii="Arial" w:hAnsi="Arial" w:cs="Arial"/>
          <w:sz w:val="22"/>
          <w:szCs w:val="22"/>
        </w:rPr>
        <w:t>.1</w:t>
      </w:r>
      <w:r w:rsidRPr="00923BAF">
        <w:rPr>
          <w:rFonts w:ascii="Arial" w:hAnsi="Arial" w:cs="Arial"/>
          <w:sz w:val="22"/>
          <w:szCs w:val="22"/>
        </w:rPr>
        <w:tab/>
        <w:t>Study Brochure</w:t>
      </w:r>
      <w:r>
        <w:rPr>
          <w:rFonts w:ascii="Arial" w:hAnsi="Arial" w:cs="Arial"/>
          <w:sz w:val="22"/>
          <w:szCs w:val="22"/>
        </w:rPr>
        <w:t xml:space="preserve"> – English</w:t>
      </w:r>
    </w:p>
    <w:p w:rsidR="003E4F1D" w:rsidRPr="00E822A3" w:rsidRDefault="003E4F1D" w:rsidP="003E4F1D">
      <w:pPr>
        <w:pStyle w:val="NormalSS"/>
        <w:spacing w:after="0"/>
        <w:ind w:left="900" w:hanging="900"/>
      </w:pPr>
    </w:p>
    <w:p w:rsidR="003E4F1D" w:rsidRDefault="003E4F1D" w:rsidP="003E4F1D">
      <w:pPr>
        <w:pStyle w:val="NormalSScontinued"/>
        <w:ind w:left="900" w:hanging="900"/>
        <w:rPr>
          <w:rFonts w:ascii="Arial" w:hAnsi="Arial" w:cs="Arial"/>
          <w:sz w:val="22"/>
          <w:szCs w:val="22"/>
        </w:rPr>
      </w:pPr>
      <w:r>
        <w:rPr>
          <w:rFonts w:ascii="Arial" w:hAnsi="Arial" w:cs="Arial"/>
          <w:sz w:val="22"/>
          <w:szCs w:val="22"/>
        </w:rPr>
        <w:t>F.2</w:t>
      </w:r>
      <w:r>
        <w:rPr>
          <w:rFonts w:ascii="Arial" w:hAnsi="Arial" w:cs="Arial"/>
          <w:sz w:val="22"/>
          <w:szCs w:val="22"/>
        </w:rPr>
        <w:tab/>
        <w:t xml:space="preserve">Study Brochure – Spanish </w:t>
      </w: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G</w:t>
      </w:r>
      <w:r>
        <w:rPr>
          <w:rFonts w:ascii="Arial" w:hAnsi="Arial" w:cs="Arial"/>
          <w:sz w:val="22"/>
          <w:szCs w:val="22"/>
        </w:rPr>
        <w:t>.1</w:t>
      </w:r>
      <w:r w:rsidRPr="00923BAF">
        <w:rPr>
          <w:rFonts w:ascii="Arial" w:hAnsi="Arial" w:cs="Arial"/>
          <w:sz w:val="22"/>
          <w:szCs w:val="22"/>
        </w:rPr>
        <w:tab/>
        <w:t>Seasonal Postcard</w:t>
      </w:r>
      <w:r>
        <w:rPr>
          <w:rFonts w:ascii="Arial" w:hAnsi="Arial" w:cs="Arial"/>
          <w:sz w:val="22"/>
          <w:szCs w:val="22"/>
        </w:rPr>
        <w:t xml:space="preserve"> - English</w:t>
      </w:r>
    </w:p>
    <w:p w:rsidR="003E4F1D" w:rsidRPr="00E822A3" w:rsidRDefault="003E4F1D" w:rsidP="003E4F1D">
      <w:pPr>
        <w:pStyle w:val="NormalSS"/>
        <w:spacing w:after="0"/>
        <w:ind w:left="900" w:hanging="900"/>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G.2</w:t>
      </w:r>
      <w:r>
        <w:rPr>
          <w:rFonts w:ascii="Arial" w:hAnsi="Arial" w:cs="Arial"/>
          <w:sz w:val="22"/>
          <w:szCs w:val="22"/>
        </w:rPr>
        <w:tab/>
        <w:t>Seasonal Postcard - Spanish</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H</w:t>
      </w:r>
      <w:r w:rsidRPr="00923BAF">
        <w:rPr>
          <w:rFonts w:ascii="Arial" w:hAnsi="Arial" w:cs="Arial"/>
          <w:sz w:val="22"/>
          <w:szCs w:val="22"/>
        </w:rPr>
        <w:tab/>
        <w:t>Master Site Visit Protocol</w:t>
      </w:r>
    </w:p>
    <w:p w:rsidR="003E4F1D" w:rsidRPr="00E822A3" w:rsidRDefault="003E4F1D" w:rsidP="003E4F1D">
      <w:pPr>
        <w:pStyle w:val="NormalSS"/>
        <w:spacing w:after="0"/>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I.1</w:t>
      </w:r>
      <w:r>
        <w:rPr>
          <w:rFonts w:ascii="Arial" w:hAnsi="Arial" w:cs="Arial"/>
          <w:sz w:val="22"/>
          <w:szCs w:val="22"/>
        </w:rPr>
        <w:tab/>
      </w:r>
      <w:r w:rsidRPr="00923BAF">
        <w:rPr>
          <w:rFonts w:ascii="Arial" w:hAnsi="Arial" w:cs="Arial"/>
          <w:sz w:val="22"/>
          <w:szCs w:val="22"/>
        </w:rPr>
        <w:t xml:space="preserve">Interview Guide </w:t>
      </w:r>
      <w:r w:rsidRPr="00583D94">
        <w:rPr>
          <w:rFonts w:ascii="Arial" w:hAnsi="Arial" w:cs="Arial"/>
          <w:sz w:val="22"/>
          <w:szCs w:val="22"/>
        </w:rPr>
        <w:t xml:space="preserve">for </w:t>
      </w:r>
      <w:r>
        <w:rPr>
          <w:rFonts w:ascii="Arial" w:hAnsi="Arial" w:cs="Arial"/>
          <w:sz w:val="22"/>
          <w:szCs w:val="22"/>
        </w:rPr>
        <w:t>Client Case Study</w:t>
      </w:r>
      <w:r w:rsidRPr="00583D94">
        <w:rPr>
          <w:rFonts w:ascii="Arial" w:hAnsi="Arial" w:cs="Arial"/>
          <w:sz w:val="22"/>
          <w:szCs w:val="22"/>
        </w:rPr>
        <w:t xml:space="preserve">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I.2</w:t>
      </w:r>
      <w:r>
        <w:rPr>
          <w:rFonts w:ascii="Arial" w:hAnsi="Arial" w:cs="Arial"/>
          <w:sz w:val="22"/>
          <w:szCs w:val="22"/>
        </w:rPr>
        <w:tab/>
        <w:t>Interview Guide for</w:t>
      </w:r>
      <w:r w:rsidRPr="00583D94">
        <w:rPr>
          <w:rFonts w:ascii="Arial" w:hAnsi="Arial" w:cs="Arial"/>
          <w:sz w:val="22"/>
          <w:szCs w:val="22"/>
        </w:rPr>
        <w:t xml:space="preserve"> providers</w:t>
      </w:r>
      <w:r>
        <w:rPr>
          <w:rFonts w:ascii="Arial" w:hAnsi="Arial" w:cs="Arial"/>
          <w:sz w:val="22"/>
          <w:szCs w:val="22"/>
        </w:rPr>
        <w:t xml:space="preserve">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I.3</w:t>
      </w:r>
      <w:r>
        <w:rPr>
          <w:rFonts w:ascii="Arial" w:hAnsi="Arial" w:cs="Arial"/>
          <w:sz w:val="22"/>
          <w:szCs w:val="22"/>
        </w:rPr>
        <w:tab/>
      </w:r>
      <w:r w:rsidRPr="00923BAF">
        <w:rPr>
          <w:rFonts w:ascii="Arial" w:hAnsi="Arial" w:cs="Arial"/>
          <w:sz w:val="22"/>
          <w:szCs w:val="22"/>
        </w:rPr>
        <w:t>Observation Guide</w:t>
      </w:r>
      <w:r>
        <w:rPr>
          <w:rFonts w:ascii="Arial" w:hAnsi="Arial" w:cs="Arial"/>
          <w:sz w:val="22"/>
          <w:szCs w:val="22"/>
        </w:rPr>
        <w:t xml:space="preserve"> Case Study</w:t>
      </w:r>
      <w:r w:rsidRPr="00923BAF">
        <w:rPr>
          <w:rFonts w:ascii="Arial" w:hAnsi="Arial" w:cs="Arial"/>
          <w:sz w:val="22"/>
          <w:szCs w:val="22"/>
        </w:rPr>
        <w:t xml:space="preserve">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J</w:t>
      </w:r>
      <w:r>
        <w:rPr>
          <w:rFonts w:ascii="Arial" w:hAnsi="Arial" w:cs="Arial"/>
          <w:sz w:val="22"/>
          <w:szCs w:val="22"/>
        </w:rPr>
        <w:t>.1</w:t>
      </w:r>
      <w:r>
        <w:rPr>
          <w:rFonts w:ascii="Arial" w:hAnsi="Arial" w:cs="Arial"/>
          <w:sz w:val="22"/>
          <w:szCs w:val="22"/>
        </w:rPr>
        <w:tab/>
      </w:r>
      <w:r w:rsidRPr="00923BAF">
        <w:rPr>
          <w:rFonts w:ascii="Arial" w:hAnsi="Arial" w:cs="Arial"/>
          <w:sz w:val="22"/>
          <w:szCs w:val="22"/>
        </w:rPr>
        <w:t>Focus Group Moderato</w:t>
      </w:r>
      <w:r>
        <w:rPr>
          <w:rFonts w:ascii="Arial" w:hAnsi="Arial" w:cs="Arial"/>
          <w:sz w:val="22"/>
          <w:szCs w:val="22"/>
        </w:rPr>
        <w:t>r Guide</w:t>
      </w:r>
      <w:r w:rsidRPr="00923BAF">
        <w:rPr>
          <w:rFonts w:ascii="Arial" w:hAnsi="Arial" w:cs="Arial"/>
          <w:sz w:val="22"/>
          <w:szCs w:val="22"/>
        </w:rPr>
        <w:t xml:space="preserve"> for clients</w:t>
      </w:r>
      <w:r>
        <w:rPr>
          <w:rFonts w:ascii="Arial" w:hAnsi="Arial" w:cs="Arial"/>
          <w:sz w:val="22"/>
          <w:szCs w:val="22"/>
        </w:rPr>
        <w:t xml:space="preserve"> – English </w:t>
      </w:r>
    </w:p>
    <w:p w:rsidR="00A67A0C" w:rsidRPr="00A67A0C" w:rsidRDefault="00A67A0C" w:rsidP="00A67A0C">
      <w:pPr>
        <w:pStyle w:val="NormalSScontinued"/>
        <w:pBdr>
          <w:bottom w:val="single" w:sz="6" w:space="1" w:color="auto"/>
        </w:pBdr>
        <w:spacing w:after="0"/>
        <w:ind w:left="900" w:hanging="900"/>
        <w:rPr>
          <w:rFonts w:ascii="Arial" w:hAnsi="Arial" w:cs="Arial"/>
          <w:i/>
          <w:sz w:val="22"/>
          <w:szCs w:val="22"/>
        </w:rPr>
      </w:pPr>
      <w:r w:rsidRPr="00A67A0C">
        <w:rPr>
          <w:rFonts w:ascii="Arial" w:hAnsi="Arial" w:cs="Arial"/>
          <w:b/>
          <w:sz w:val="22"/>
          <w:szCs w:val="22"/>
        </w:rPr>
        <w:lastRenderedPageBreak/>
        <w:t>ATTACHMENTS</w:t>
      </w:r>
      <w:r w:rsidRPr="00A67A0C">
        <w:rPr>
          <w:rFonts w:ascii="Arial" w:hAnsi="Arial" w:cs="Arial"/>
          <w:sz w:val="22"/>
          <w:szCs w:val="22"/>
        </w:rPr>
        <w:t xml:space="preserve"> </w:t>
      </w:r>
      <w:r w:rsidRPr="00A67A0C">
        <w:rPr>
          <w:rFonts w:ascii="Arial" w:hAnsi="Arial" w:cs="Arial"/>
          <w:i/>
          <w:sz w:val="22"/>
          <w:szCs w:val="22"/>
        </w:rPr>
        <w:t>(continued)</w:t>
      </w:r>
    </w:p>
    <w:p w:rsidR="00A67A0C" w:rsidRDefault="00A67A0C"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J.2</w:t>
      </w:r>
      <w:r>
        <w:rPr>
          <w:rFonts w:ascii="Arial" w:hAnsi="Arial" w:cs="Arial"/>
          <w:sz w:val="22"/>
          <w:szCs w:val="22"/>
        </w:rPr>
        <w:tab/>
        <w:t xml:space="preserve">Focus Group Moderator Guide for clients – Spanish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J.3</w:t>
      </w:r>
      <w:r>
        <w:rPr>
          <w:rFonts w:ascii="Arial" w:hAnsi="Arial" w:cs="Arial"/>
          <w:sz w:val="22"/>
          <w:szCs w:val="22"/>
        </w:rPr>
        <w:tab/>
        <w:t>Focus Group Moderator Guide for employers</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K</w:t>
      </w:r>
      <w:r>
        <w:rPr>
          <w:rFonts w:ascii="Arial" w:hAnsi="Arial" w:cs="Arial"/>
          <w:sz w:val="22"/>
          <w:szCs w:val="22"/>
        </w:rPr>
        <w:t>.1</w:t>
      </w:r>
      <w:r w:rsidRPr="00923BAF">
        <w:rPr>
          <w:rFonts w:ascii="Arial" w:hAnsi="Arial" w:cs="Arial"/>
          <w:sz w:val="22"/>
          <w:szCs w:val="22"/>
        </w:rPr>
        <w:tab/>
      </w:r>
      <w:r>
        <w:rPr>
          <w:rFonts w:ascii="Arial" w:hAnsi="Arial" w:cs="Arial"/>
          <w:sz w:val="22"/>
          <w:szCs w:val="22"/>
        </w:rPr>
        <w:t xml:space="preserve">Client </w:t>
      </w:r>
      <w:r w:rsidRPr="00923BAF">
        <w:rPr>
          <w:rFonts w:ascii="Arial" w:hAnsi="Arial" w:cs="Arial"/>
          <w:sz w:val="22"/>
          <w:szCs w:val="22"/>
        </w:rPr>
        <w:t>Focus Group Recruitment Guide</w:t>
      </w:r>
      <w:r>
        <w:rPr>
          <w:rFonts w:ascii="Arial" w:hAnsi="Arial" w:cs="Arial"/>
          <w:sz w:val="22"/>
          <w:szCs w:val="22"/>
        </w:rPr>
        <w:t xml:space="preserve"> – English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K.2</w:t>
      </w:r>
      <w:r>
        <w:rPr>
          <w:rFonts w:ascii="Arial" w:hAnsi="Arial" w:cs="Arial"/>
          <w:sz w:val="22"/>
          <w:szCs w:val="22"/>
        </w:rPr>
        <w:tab/>
        <w:t xml:space="preserve">Client Focus Group Recruitment Guide – Spanish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L</w:t>
      </w:r>
      <w:r>
        <w:rPr>
          <w:rFonts w:ascii="Arial" w:hAnsi="Arial" w:cs="Arial"/>
          <w:sz w:val="22"/>
          <w:szCs w:val="22"/>
        </w:rPr>
        <w:t>.1</w:t>
      </w:r>
      <w:r w:rsidRPr="00923BAF">
        <w:rPr>
          <w:rFonts w:ascii="Arial" w:hAnsi="Arial" w:cs="Arial"/>
          <w:sz w:val="22"/>
          <w:szCs w:val="22"/>
        </w:rPr>
        <w:tab/>
        <w:t>Focus Group Confirmation Letter</w:t>
      </w:r>
      <w:r>
        <w:rPr>
          <w:rFonts w:ascii="Arial" w:hAnsi="Arial" w:cs="Arial"/>
          <w:sz w:val="22"/>
          <w:szCs w:val="22"/>
        </w:rPr>
        <w:t xml:space="preserve">:  Client – English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L.2</w:t>
      </w:r>
      <w:r>
        <w:rPr>
          <w:rFonts w:ascii="Arial" w:hAnsi="Arial" w:cs="Arial"/>
          <w:sz w:val="22"/>
          <w:szCs w:val="22"/>
        </w:rPr>
        <w:tab/>
        <w:t xml:space="preserve">Focus Group Confirmation Letter:  Client – Spanish </w:t>
      </w:r>
    </w:p>
    <w:p w:rsidR="003E4F1D" w:rsidRDefault="003E4F1D" w:rsidP="003E4F1D">
      <w:pPr>
        <w:pStyle w:val="NormalSScontinued"/>
        <w:spacing w:after="0"/>
        <w:ind w:left="900" w:hanging="900"/>
        <w:rPr>
          <w:rFonts w:ascii="Arial" w:hAnsi="Arial" w:cs="Arial"/>
          <w:sz w:val="22"/>
          <w:szCs w:val="22"/>
        </w:rPr>
      </w:pPr>
    </w:p>
    <w:p w:rsidR="003E4F1D" w:rsidRPr="00977B38" w:rsidRDefault="003E4F1D" w:rsidP="003E4F1D">
      <w:pPr>
        <w:pStyle w:val="NormalSScontinued"/>
        <w:ind w:left="900" w:hanging="900"/>
        <w:rPr>
          <w:rFonts w:ascii="Arial" w:hAnsi="Arial" w:cs="Arial"/>
          <w:sz w:val="22"/>
          <w:szCs w:val="22"/>
        </w:rPr>
      </w:pPr>
      <w:r>
        <w:rPr>
          <w:rFonts w:ascii="Arial" w:hAnsi="Arial" w:cs="Arial"/>
          <w:sz w:val="22"/>
          <w:szCs w:val="22"/>
        </w:rPr>
        <w:t>L.3</w:t>
      </w:r>
      <w:r>
        <w:rPr>
          <w:rFonts w:ascii="Arial" w:hAnsi="Arial" w:cs="Arial"/>
          <w:sz w:val="22"/>
          <w:szCs w:val="22"/>
        </w:rPr>
        <w:tab/>
        <w:t>Focus Group Recruitment Email – Employer</w:t>
      </w: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L.4</w:t>
      </w:r>
      <w:r>
        <w:rPr>
          <w:rFonts w:ascii="Arial" w:hAnsi="Arial" w:cs="Arial"/>
          <w:sz w:val="22"/>
          <w:szCs w:val="22"/>
        </w:rPr>
        <w:tab/>
        <w:t>Focus Group Confirmation Letter - Employer</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M</w:t>
      </w:r>
      <w:r>
        <w:rPr>
          <w:rFonts w:ascii="Arial" w:hAnsi="Arial" w:cs="Arial"/>
          <w:sz w:val="22"/>
          <w:szCs w:val="22"/>
        </w:rPr>
        <w:t>.1</w:t>
      </w:r>
      <w:r>
        <w:rPr>
          <w:rFonts w:ascii="Arial" w:hAnsi="Arial" w:cs="Arial"/>
          <w:sz w:val="22"/>
          <w:szCs w:val="22"/>
        </w:rPr>
        <w:tab/>
      </w:r>
      <w:r w:rsidRPr="00923BAF">
        <w:rPr>
          <w:rFonts w:ascii="Arial" w:hAnsi="Arial" w:cs="Arial"/>
          <w:sz w:val="22"/>
          <w:szCs w:val="22"/>
        </w:rPr>
        <w:t xml:space="preserve">Participant Information </w:t>
      </w:r>
      <w:r w:rsidRPr="00521305">
        <w:rPr>
          <w:rFonts w:ascii="Arial" w:hAnsi="Arial" w:cs="Arial"/>
          <w:sz w:val="22"/>
          <w:szCs w:val="22"/>
        </w:rPr>
        <w:t>Survey</w:t>
      </w:r>
      <w:r>
        <w:rPr>
          <w:rFonts w:ascii="Arial" w:hAnsi="Arial" w:cs="Arial"/>
          <w:sz w:val="22"/>
          <w:szCs w:val="22"/>
        </w:rPr>
        <w:t xml:space="preserve">:  Client Focus Group – English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M.2</w:t>
      </w:r>
      <w:r>
        <w:rPr>
          <w:rFonts w:ascii="Arial" w:hAnsi="Arial" w:cs="Arial"/>
          <w:sz w:val="22"/>
          <w:szCs w:val="22"/>
        </w:rPr>
        <w:tab/>
        <w:t xml:space="preserve">Participant Information Survey:  Client Focus Group – Spanish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M.3</w:t>
      </w:r>
      <w:r>
        <w:rPr>
          <w:rFonts w:ascii="Arial" w:hAnsi="Arial" w:cs="Arial"/>
          <w:sz w:val="22"/>
          <w:szCs w:val="22"/>
        </w:rPr>
        <w:tab/>
        <w:t>Participant Information Survey – Employer Focus Group</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N</w:t>
      </w:r>
      <w:r w:rsidRPr="00923BAF">
        <w:rPr>
          <w:rFonts w:ascii="Arial" w:hAnsi="Arial" w:cs="Arial"/>
          <w:sz w:val="22"/>
          <w:szCs w:val="22"/>
        </w:rPr>
        <w:tab/>
        <w:t xml:space="preserve">Pretest </w:t>
      </w:r>
      <w:r>
        <w:rPr>
          <w:rFonts w:ascii="Arial" w:hAnsi="Arial" w:cs="Arial"/>
          <w:sz w:val="22"/>
          <w:szCs w:val="22"/>
        </w:rPr>
        <w:t>R</w:t>
      </w:r>
      <w:r w:rsidRPr="00923BAF">
        <w:rPr>
          <w:rFonts w:ascii="Arial" w:hAnsi="Arial" w:cs="Arial"/>
          <w:sz w:val="22"/>
          <w:szCs w:val="22"/>
        </w:rPr>
        <w:t>esults</w:t>
      </w:r>
      <w:r>
        <w:rPr>
          <w:rFonts w:ascii="Arial" w:hAnsi="Arial" w:cs="Arial"/>
          <w:sz w:val="22"/>
          <w:szCs w:val="22"/>
        </w:rPr>
        <w:t xml:space="preserve"> Memorandum</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O.1</w:t>
      </w:r>
      <w:r>
        <w:rPr>
          <w:rFonts w:ascii="Arial" w:hAnsi="Arial" w:cs="Arial"/>
          <w:sz w:val="22"/>
          <w:szCs w:val="22"/>
        </w:rPr>
        <w:tab/>
        <w:t xml:space="preserve">SNAP E&amp;T Pilots 12-Month </w:t>
      </w:r>
      <w:r w:rsidRPr="00923BAF">
        <w:rPr>
          <w:rFonts w:ascii="Arial" w:hAnsi="Arial" w:cs="Arial"/>
          <w:sz w:val="22"/>
          <w:szCs w:val="22"/>
        </w:rPr>
        <w:t>Follow-Up Survey</w:t>
      </w:r>
      <w:r>
        <w:rPr>
          <w:rFonts w:ascii="Arial" w:hAnsi="Arial" w:cs="Arial"/>
          <w:sz w:val="22"/>
          <w:szCs w:val="22"/>
        </w:rPr>
        <w:t xml:space="preserve"> – English </w:t>
      </w:r>
    </w:p>
    <w:p w:rsidR="003E4F1D" w:rsidRPr="00A94C6E" w:rsidRDefault="003E4F1D" w:rsidP="003E4F1D">
      <w:pPr>
        <w:pStyle w:val="NormalSScontinued"/>
        <w:spacing w:after="0"/>
        <w:ind w:left="900" w:hanging="900"/>
        <w:rPr>
          <w:rFonts w:ascii="Arial" w:hAnsi="Arial" w:cs="Arial"/>
          <w:sz w:val="22"/>
          <w:szCs w:val="22"/>
        </w:rPr>
      </w:pPr>
    </w:p>
    <w:p w:rsidR="003E4F1D" w:rsidRPr="00FE6B9A" w:rsidRDefault="003E4F1D" w:rsidP="003E4F1D">
      <w:pPr>
        <w:pStyle w:val="NormalSScontinued"/>
        <w:spacing w:after="0"/>
        <w:ind w:left="900" w:hanging="900"/>
        <w:rPr>
          <w:rFonts w:ascii="Arial" w:hAnsi="Arial" w:cs="Arial"/>
          <w:sz w:val="22"/>
          <w:szCs w:val="22"/>
        </w:rPr>
      </w:pPr>
      <w:r>
        <w:rPr>
          <w:rFonts w:ascii="Arial" w:hAnsi="Arial" w:cs="Arial"/>
          <w:sz w:val="22"/>
          <w:szCs w:val="22"/>
        </w:rPr>
        <w:t>O.2</w:t>
      </w:r>
      <w:r>
        <w:rPr>
          <w:rFonts w:ascii="Arial" w:hAnsi="Arial" w:cs="Arial"/>
          <w:sz w:val="22"/>
          <w:szCs w:val="22"/>
        </w:rPr>
        <w:tab/>
        <w:t xml:space="preserve">SNAP E&amp;T Pilots </w:t>
      </w:r>
      <w:r w:rsidRPr="00FE6B9A">
        <w:rPr>
          <w:rFonts w:ascii="Arial" w:hAnsi="Arial" w:cs="Arial"/>
          <w:sz w:val="22"/>
          <w:szCs w:val="22"/>
        </w:rPr>
        <w:t>12-Month Follow-Up Survey –</w:t>
      </w:r>
      <w:r>
        <w:rPr>
          <w:rFonts w:ascii="Arial" w:hAnsi="Arial" w:cs="Arial"/>
          <w:sz w:val="22"/>
          <w:szCs w:val="22"/>
        </w:rPr>
        <w:t xml:space="preserve"> Spanish</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O.3</w:t>
      </w:r>
      <w:r>
        <w:rPr>
          <w:rFonts w:ascii="Arial" w:hAnsi="Arial" w:cs="Arial"/>
          <w:sz w:val="22"/>
          <w:szCs w:val="22"/>
        </w:rPr>
        <w:tab/>
        <w:t xml:space="preserve">SNAP E&amp;T Pilots </w:t>
      </w:r>
      <w:r w:rsidRPr="00054EBC">
        <w:rPr>
          <w:rFonts w:ascii="Arial" w:hAnsi="Arial" w:cs="Arial"/>
          <w:sz w:val="22"/>
          <w:szCs w:val="22"/>
        </w:rPr>
        <w:t>12-Month Follow-Up Survey – S</w:t>
      </w:r>
      <w:r>
        <w:rPr>
          <w:rFonts w:ascii="Arial" w:hAnsi="Arial" w:cs="Arial"/>
          <w:sz w:val="22"/>
          <w:szCs w:val="22"/>
        </w:rPr>
        <w:t>creenshot</w:t>
      </w:r>
    </w:p>
    <w:p w:rsidR="003E4F1D" w:rsidRDefault="003E4F1D" w:rsidP="003E4F1D">
      <w:pPr>
        <w:pStyle w:val="NormalSScontinued"/>
        <w:spacing w:after="0"/>
        <w:ind w:left="900" w:hanging="900"/>
        <w:rPr>
          <w:rFonts w:ascii="Arial" w:hAnsi="Arial" w:cs="Arial"/>
          <w:sz w:val="22"/>
          <w:szCs w:val="22"/>
        </w:rPr>
      </w:pPr>
    </w:p>
    <w:p w:rsidR="003E4F1D" w:rsidRPr="00FE6B9A" w:rsidRDefault="003E4F1D" w:rsidP="003E4F1D">
      <w:pPr>
        <w:pStyle w:val="NormalSScontinued"/>
        <w:spacing w:after="0"/>
        <w:ind w:left="900" w:hanging="900"/>
        <w:rPr>
          <w:rFonts w:ascii="Arial" w:hAnsi="Arial" w:cs="Arial"/>
          <w:sz w:val="22"/>
          <w:szCs w:val="22"/>
        </w:rPr>
      </w:pPr>
      <w:r>
        <w:rPr>
          <w:rFonts w:ascii="Arial" w:hAnsi="Arial" w:cs="Arial"/>
          <w:sz w:val="22"/>
          <w:szCs w:val="22"/>
        </w:rPr>
        <w:t>O.4</w:t>
      </w:r>
      <w:r>
        <w:rPr>
          <w:rFonts w:ascii="Arial" w:hAnsi="Arial" w:cs="Arial"/>
          <w:sz w:val="22"/>
          <w:szCs w:val="22"/>
        </w:rPr>
        <w:tab/>
        <w:t>SNAP E&amp;T Pilots 36-Month Follow-Up Survey – English</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O.5</w:t>
      </w:r>
      <w:r>
        <w:rPr>
          <w:rFonts w:ascii="Arial" w:hAnsi="Arial" w:cs="Arial"/>
          <w:sz w:val="22"/>
          <w:szCs w:val="22"/>
        </w:rPr>
        <w:tab/>
        <w:t xml:space="preserve">SNAP E&amp;T Pilots </w:t>
      </w:r>
      <w:r w:rsidRPr="00FE6B9A">
        <w:rPr>
          <w:rFonts w:ascii="Arial" w:hAnsi="Arial" w:cs="Arial"/>
          <w:sz w:val="22"/>
          <w:szCs w:val="22"/>
        </w:rPr>
        <w:t>36-Month Follow-Up Survey –</w:t>
      </w:r>
      <w:r>
        <w:rPr>
          <w:rFonts w:ascii="Arial" w:hAnsi="Arial" w:cs="Arial"/>
          <w:sz w:val="22"/>
          <w:szCs w:val="22"/>
        </w:rPr>
        <w:t xml:space="preserve"> Spanish</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O.6</w:t>
      </w:r>
      <w:r>
        <w:rPr>
          <w:rFonts w:ascii="Arial" w:hAnsi="Arial" w:cs="Arial"/>
          <w:sz w:val="22"/>
          <w:szCs w:val="22"/>
        </w:rPr>
        <w:tab/>
        <w:t xml:space="preserve">SNAP E&amp;T Pilots 36-Month Follow-Up Survey – Screenshot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P</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Advance Letter</w:t>
      </w:r>
      <w:r>
        <w:rPr>
          <w:rFonts w:ascii="Arial" w:hAnsi="Arial" w:cs="Arial"/>
          <w:sz w:val="22"/>
          <w:szCs w:val="22"/>
        </w:rPr>
        <w:t xml:space="preserve"> – English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P.2</w:t>
      </w:r>
      <w:r>
        <w:rPr>
          <w:rFonts w:ascii="Arial" w:hAnsi="Arial" w:cs="Arial"/>
          <w:sz w:val="22"/>
          <w:szCs w:val="22"/>
        </w:rPr>
        <w:tab/>
        <w:t xml:space="preserve">Survey Advance Letter – Spanish </w:t>
      </w:r>
    </w:p>
    <w:p w:rsidR="003E4F1D" w:rsidRDefault="003E4F1D" w:rsidP="003E4F1D">
      <w:pPr>
        <w:pStyle w:val="NormalSScontinued"/>
        <w:spacing w:after="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Q</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Reminder Letter</w:t>
      </w:r>
      <w:r>
        <w:rPr>
          <w:rFonts w:ascii="Arial" w:hAnsi="Arial" w:cs="Arial"/>
          <w:sz w:val="22"/>
          <w:szCs w:val="22"/>
        </w:rPr>
        <w:t xml:space="preserve"> – English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Q.2</w:t>
      </w:r>
      <w:r>
        <w:rPr>
          <w:rFonts w:ascii="Arial" w:hAnsi="Arial" w:cs="Arial"/>
          <w:sz w:val="22"/>
          <w:szCs w:val="22"/>
        </w:rPr>
        <w:tab/>
        <w:t xml:space="preserve">Survey Reminder Letter – Spanish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R</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Reminder Postcard</w:t>
      </w:r>
      <w:r>
        <w:rPr>
          <w:rFonts w:ascii="Arial" w:hAnsi="Arial" w:cs="Arial"/>
          <w:sz w:val="22"/>
          <w:szCs w:val="22"/>
        </w:rPr>
        <w:t xml:space="preserve"> – English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R.2</w:t>
      </w:r>
      <w:r>
        <w:rPr>
          <w:rFonts w:ascii="Arial" w:hAnsi="Arial" w:cs="Arial"/>
          <w:sz w:val="22"/>
          <w:szCs w:val="22"/>
        </w:rPr>
        <w:tab/>
        <w:t xml:space="preserve">Survey Reminder Postcard – Spanish </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S</w:t>
      </w:r>
      <w:r>
        <w:rPr>
          <w:rFonts w:ascii="Arial" w:hAnsi="Arial" w:cs="Arial"/>
          <w:sz w:val="22"/>
          <w:szCs w:val="22"/>
        </w:rPr>
        <w:t>.1</w:t>
      </w:r>
      <w:r>
        <w:rPr>
          <w:rFonts w:ascii="Arial" w:hAnsi="Arial" w:cs="Arial"/>
          <w:sz w:val="22"/>
          <w:szCs w:val="22"/>
        </w:rPr>
        <w:tab/>
      </w:r>
      <w:r w:rsidRPr="00923BAF">
        <w:rPr>
          <w:rFonts w:ascii="Arial" w:hAnsi="Arial" w:cs="Arial"/>
          <w:sz w:val="22"/>
          <w:szCs w:val="22"/>
        </w:rPr>
        <w:t>Survey Refusal Letter</w:t>
      </w:r>
      <w:r>
        <w:rPr>
          <w:rFonts w:ascii="Arial" w:hAnsi="Arial" w:cs="Arial"/>
          <w:sz w:val="22"/>
          <w:szCs w:val="22"/>
        </w:rPr>
        <w:t xml:space="preserve"> – English </w:t>
      </w:r>
    </w:p>
    <w:p w:rsidR="00A67A0C" w:rsidRPr="00A67A0C" w:rsidRDefault="00A67A0C" w:rsidP="00A67A0C">
      <w:pPr>
        <w:pStyle w:val="NormalSScontinued"/>
        <w:pBdr>
          <w:bottom w:val="single" w:sz="6" w:space="1" w:color="auto"/>
        </w:pBdr>
        <w:spacing w:after="0"/>
        <w:ind w:left="900" w:hanging="900"/>
        <w:rPr>
          <w:rFonts w:ascii="Arial" w:hAnsi="Arial" w:cs="Arial"/>
          <w:i/>
          <w:sz w:val="22"/>
          <w:szCs w:val="22"/>
        </w:rPr>
      </w:pPr>
      <w:r w:rsidRPr="00A67A0C">
        <w:rPr>
          <w:rFonts w:ascii="Arial" w:hAnsi="Arial" w:cs="Arial"/>
          <w:b/>
          <w:sz w:val="22"/>
          <w:szCs w:val="22"/>
        </w:rPr>
        <w:lastRenderedPageBreak/>
        <w:t>ATTACHMENTS</w:t>
      </w:r>
      <w:r w:rsidRPr="00A67A0C">
        <w:rPr>
          <w:rFonts w:ascii="Arial" w:hAnsi="Arial" w:cs="Arial"/>
          <w:sz w:val="22"/>
          <w:szCs w:val="22"/>
        </w:rPr>
        <w:t xml:space="preserve"> </w:t>
      </w:r>
      <w:r w:rsidRPr="00A67A0C">
        <w:rPr>
          <w:rFonts w:ascii="Arial" w:hAnsi="Arial" w:cs="Arial"/>
          <w:i/>
          <w:sz w:val="22"/>
          <w:szCs w:val="22"/>
        </w:rPr>
        <w:t>(continued)</w:t>
      </w:r>
    </w:p>
    <w:p w:rsidR="00A67A0C" w:rsidRDefault="00A67A0C" w:rsidP="00A67A0C">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S.2</w:t>
      </w:r>
      <w:r>
        <w:rPr>
          <w:rFonts w:ascii="Arial" w:hAnsi="Arial" w:cs="Arial"/>
          <w:sz w:val="22"/>
          <w:szCs w:val="22"/>
        </w:rPr>
        <w:tab/>
        <w:t xml:space="preserve">Survey Refusal Letter – Spanish </w:t>
      </w:r>
    </w:p>
    <w:p w:rsidR="003E4F1D"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T</w:t>
      </w:r>
      <w:r w:rsidRPr="00923BAF">
        <w:rPr>
          <w:rFonts w:ascii="Arial" w:hAnsi="Arial" w:cs="Arial"/>
          <w:sz w:val="22"/>
          <w:szCs w:val="22"/>
        </w:rPr>
        <w:tab/>
        <w:t>Administrative Data Elements</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U</w:t>
      </w:r>
      <w:r w:rsidRPr="00923BAF">
        <w:rPr>
          <w:rFonts w:ascii="Arial" w:hAnsi="Arial" w:cs="Arial"/>
          <w:sz w:val="22"/>
          <w:szCs w:val="22"/>
        </w:rPr>
        <w:tab/>
        <w:t>Pilot Costs Workbook</w:t>
      </w:r>
    </w:p>
    <w:p w:rsidR="003E4F1D" w:rsidRPr="00A94C6E" w:rsidRDefault="003E4F1D"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sidRPr="00923BAF">
        <w:rPr>
          <w:rFonts w:ascii="Arial" w:hAnsi="Arial" w:cs="Arial"/>
          <w:sz w:val="22"/>
          <w:szCs w:val="22"/>
        </w:rPr>
        <w:t>V</w:t>
      </w:r>
      <w:r>
        <w:rPr>
          <w:rFonts w:ascii="Arial" w:hAnsi="Arial" w:cs="Arial"/>
          <w:sz w:val="22"/>
          <w:szCs w:val="22"/>
        </w:rPr>
        <w:t>.1</w:t>
      </w:r>
      <w:r w:rsidRPr="00923BAF">
        <w:rPr>
          <w:rFonts w:ascii="Arial" w:hAnsi="Arial" w:cs="Arial"/>
          <w:sz w:val="22"/>
          <w:szCs w:val="22"/>
        </w:rPr>
        <w:tab/>
        <w:t>Staff Time-Use Survey</w:t>
      </w:r>
    </w:p>
    <w:p w:rsidR="00A67A0C" w:rsidRDefault="00A67A0C" w:rsidP="003E4F1D">
      <w:pPr>
        <w:pStyle w:val="NormalSScontinued"/>
        <w:spacing w:after="0"/>
        <w:ind w:left="900" w:hanging="900"/>
        <w:rPr>
          <w:rFonts w:ascii="Arial" w:hAnsi="Arial" w:cs="Arial"/>
          <w:sz w:val="22"/>
          <w:szCs w:val="22"/>
        </w:rPr>
      </w:pPr>
    </w:p>
    <w:p w:rsidR="003E4F1D" w:rsidRDefault="003E4F1D" w:rsidP="003E4F1D">
      <w:pPr>
        <w:pStyle w:val="NormalSScontinued"/>
        <w:spacing w:after="0"/>
        <w:ind w:left="900" w:hanging="900"/>
        <w:rPr>
          <w:rFonts w:ascii="Arial" w:hAnsi="Arial" w:cs="Arial"/>
          <w:sz w:val="22"/>
          <w:szCs w:val="22"/>
        </w:rPr>
      </w:pPr>
      <w:r>
        <w:rPr>
          <w:rFonts w:ascii="Arial" w:hAnsi="Arial" w:cs="Arial"/>
          <w:sz w:val="22"/>
          <w:szCs w:val="22"/>
        </w:rPr>
        <w:t>V.2</w:t>
      </w:r>
      <w:r>
        <w:rPr>
          <w:rFonts w:ascii="Arial" w:hAnsi="Arial" w:cs="Arial"/>
          <w:sz w:val="22"/>
          <w:szCs w:val="22"/>
        </w:rPr>
        <w:tab/>
        <w:t>Staff Time-Use Survey Screenshots</w:t>
      </w:r>
    </w:p>
    <w:p w:rsidR="003E4F1D" w:rsidRDefault="003E4F1D" w:rsidP="003E4F1D">
      <w:pPr>
        <w:pStyle w:val="NormalSScontinued"/>
        <w:spacing w:after="0"/>
        <w:ind w:left="900" w:hanging="900"/>
        <w:rPr>
          <w:rFonts w:ascii="Arial" w:hAnsi="Arial" w:cs="Arial"/>
          <w:sz w:val="22"/>
          <w:szCs w:val="22"/>
        </w:rPr>
      </w:pPr>
    </w:p>
    <w:p w:rsidR="003E4F1D" w:rsidRPr="00111E88" w:rsidRDefault="003E4F1D" w:rsidP="003E4F1D">
      <w:pPr>
        <w:pStyle w:val="NormalSScontinued"/>
        <w:spacing w:after="0"/>
        <w:ind w:left="900" w:hanging="900"/>
        <w:rPr>
          <w:rFonts w:ascii="Arial" w:hAnsi="Arial" w:cs="Arial"/>
          <w:sz w:val="22"/>
          <w:szCs w:val="22"/>
        </w:rPr>
      </w:pPr>
      <w:r w:rsidRPr="00111E88">
        <w:rPr>
          <w:rFonts w:ascii="Arial" w:hAnsi="Arial" w:cs="Arial"/>
          <w:sz w:val="22"/>
          <w:szCs w:val="22"/>
        </w:rPr>
        <w:t>W.1</w:t>
      </w:r>
      <w:r w:rsidRPr="00111E88">
        <w:rPr>
          <w:rFonts w:ascii="Arial" w:hAnsi="Arial" w:cs="Arial"/>
          <w:sz w:val="22"/>
          <w:szCs w:val="22"/>
        </w:rPr>
        <w:tab/>
        <w:t>Time-Use Survey Initial Email</w:t>
      </w:r>
    </w:p>
    <w:p w:rsidR="003E4F1D" w:rsidRPr="00111E88" w:rsidRDefault="003E4F1D" w:rsidP="003E4F1D">
      <w:pPr>
        <w:pStyle w:val="NormalSScontinued"/>
        <w:spacing w:after="0"/>
        <w:ind w:left="900" w:hanging="900"/>
        <w:rPr>
          <w:rFonts w:ascii="Arial" w:hAnsi="Arial" w:cs="Arial"/>
          <w:sz w:val="22"/>
          <w:szCs w:val="22"/>
        </w:rPr>
      </w:pPr>
    </w:p>
    <w:p w:rsidR="003E4F1D" w:rsidRPr="00111E88" w:rsidRDefault="003E4F1D" w:rsidP="003E4F1D">
      <w:pPr>
        <w:pStyle w:val="NormalSScontinued"/>
        <w:spacing w:after="0"/>
        <w:ind w:left="900" w:hanging="900"/>
        <w:rPr>
          <w:rFonts w:ascii="Arial" w:hAnsi="Arial" w:cs="Arial"/>
          <w:sz w:val="22"/>
          <w:szCs w:val="22"/>
        </w:rPr>
      </w:pPr>
      <w:r w:rsidRPr="00111E88">
        <w:rPr>
          <w:rFonts w:ascii="Arial" w:hAnsi="Arial" w:cs="Arial"/>
          <w:sz w:val="22"/>
          <w:szCs w:val="22"/>
        </w:rPr>
        <w:t>W.2</w:t>
      </w:r>
      <w:r w:rsidRPr="00111E88">
        <w:rPr>
          <w:rFonts w:ascii="Arial" w:hAnsi="Arial" w:cs="Arial"/>
          <w:sz w:val="22"/>
          <w:szCs w:val="22"/>
        </w:rPr>
        <w:tab/>
        <w:t>Time-Use Survey Reminder Email</w:t>
      </w:r>
    </w:p>
    <w:p w:rsidR="003E4F1D" w:rsidRPr="00111E88" w:rsidRDefault="003E4F1D" w:rsidP="003E4F1D">
      <w:pPr>
        <w:pStyle w:val="NormalSScontinued"/>
        <w:spacing w:after="0"/>
        <w:ind w:left="900" w:hanging="900"/>
        <w:rPr>
          <w:rFonts w:ascii="Arial" w:hAnsi="Arial" w:cs="Arial"/>
          <w:sz w:val="22"/>
          <w:szCs w:val="22"/>
        </w:rPr>
      </w:pPr>
    </w:p>
    <w:p w:rsidR="003E4F1D" w:rsidRPr="00111E88" w:rsidRDefault="003E4F1D" w:rsidP="003E4F1D">
      <w:pPr>
        <w:pStyle w:val="NormalSScontinued"/>
        <w:spacing w:after="0"/>
        <w:ind w:left="900" w:hanging="900"/>
        <w:rPr>
          <w:rFonts w:ascii="Arial" w:hAnsi="Arial" w:cs="Arial"/>
          <w:sz w:val="22"/>
          <w:szCs w:val="22"/>
        </w:rPr>
      </w:pPr>
      <w:r w:rsidRPr="00111E88">
        <w:rPr>
          <w:rFonts w:ascii="Arial" w:hAnsi="Arial" w:cs="Arial"/>
          <w:sz w:val="22"/>
          <w:szCs w:val="22"/>
        </w:rPr>
        <w:t>X</w:t>
      </w:r>
      <w:r w:rsidRPr="00111E88">
        <w:rPr>
          <w:rFonts w:ascii="Arial" w:hAnsi="Arial" w:cs="Arial"/>
          <w:sz w:val="22"/>
          <w:szCs w:val="22"/>
        </w:rPr>
        <w:tab/>
        <w:t>Sample respondent burden table</w:t>
      </w:r>
    </w:p>
    <w:p w:rsidR="003E4F1D" w:rsidRPr="00111E88" w:rsidRDefault="003E4F1D" w:rsidP="003E4F1D">
      <w:pPr>
        <w:pStyle w:val="NormalSScontinued"/>
        <w:spacing w:after="0"/>
        <w:ind w:left="900" w:hanging="900"/>
        <w:rPr>
          <w:rFonts w:ascii="Arial" w:hAnsi="Arial" w:cs="Arial"/>
          <w:sz w:val="22"/>
          <w:szCs w:val="22"/>
        </w:rPr>
      </w:pPr>
    </w:p>
    <w:p w:rsidR="003E4F1D" w:rsidRPr="00111E88" w:rsidRDefault="003E4F1D" w:rsidP="003E4F1D">
      <w:pPr>
        <w:pStyle w:val="NormalSScontinued"/>
        <w:spacing w:after="0"/>
        <w:ind w:left="900" w:hanging="900"/>
        <w:rPr>
          <w:rFonts w:ascii="Arial" w:hAnsi="Arial" w:cs="Arial"/>
          <w:sz w:val="22"/>
          <w:szCs w:val="22"/>
        </w:rPr>
      </w:pPr>
      <w:r w:rsidRPr="00111E88">
        <w:rPr>
          <w:rFonts w:ascii="Arial" w:hAnsi="Arial" w:cs="Arial"/>
          <w:sz w:val="22"/>
          <w:szCs w:val="22"/>
        </w:rPr>
        <w:t>Y</w:t>
      </w:r>
      <w:r w:rsidRPr="00111E88">
        <w:rPr>
          <w:rFonts w:ascii="Arial" w:hAnsi="Arial" w:cs="Arial"/>
          <w:sz w:val="22"/>
          <w:szCs w:val="22"/>
        </w:rPr>
        <w:tab/>
        <w:t>NASS Reviewer Comments and Responses to Comments</w:t>
      </w:r>
    </w:p>
    <w:p w:rsidR="003E4F1D" w:rsidRPr="00111E88" w:rsidRDefault="003E4F1D" w:rsidP="003E4F1D">
      <w:pPr>
        <w:pStyle w:val="NormalSScontinued"/>
        <w:spacing w:after="0"/>
        <w:ind w:left="900" w:hanging="900"/>
        <w:rPr>
          <w:rFonts w:ascii="Arial" w:hAnsi="Arial" w:cs="Arial"/>
          <w:sz w:val="22"/>
          <w:szCs w:val="22"/>
        </w:rPr>
      </w:pPr>
    </w:p>
    <w:p w:rsidR="003E4F1D" w:rsidRPr="00111E88" w:rsidRDefault="003E4F1D" w:rsidP="003E4F1D">
      <w:pPr>
        <w:pStyle w:val="NormalSScontinued"/>
        <w:spacing w:after="0"/>
        <w:ind w:left="900" w:hanging="900"/>
        <w:rPr>
          <w:rFonts w:ascii="Arial" w:hAnsi="Arial" w:cs="Arial"/>
          <w:sz w:val="22"/>
          <w:szCs w:val="22"/>
        </w:rPr>
      </w:pPr>
      <w:r w:rsidRPr="00111E88">
        <w:rPr>
          <w:rFonts w:ascii="Arial" w:hAnsi="Arial" w:cs="Arial"/>
          <w:sz w:val="22"/>
          <w:szCs w:val="22"/>
        </w:rPr>
        <w:t>Z</w:t>
      </w:r>
      <w:r w:rsidRPr="00111E88">
        <w:rPr>
          <w:rFonts w:ascii="Arial" w:hAnsi="Arial" w:cs="Arial"/>
          <w:sz w:val="22"/>
          <w:szCs w:val="22"/>
        </w:rPr>
        <w:tab/>
        <w:t>SNAP E&amp;T Pilots Memorandum of Understanding</w:t>
      </w:r>
    </w:p>
    <w:p w:rsidR="003E4F1D" w:rsidRPr="00111E88" w:rsidRDefault="003E4F1D" w:rsidP="003E4F1D">
      <w:pPr>
        <w:pStyle w:val="NormalSScontinued"/>
        <w:spacing w:after="0"/>
        <w:ind w:left="900" w:hanging="900"/>
        <w:rPr>
          <w:rFonts w:ascii="Arial" w:hAnsi="Arial" w:cs="Arial"/>
          <w:sz w:val="22"/>
          <w:szCs w:val="22"/>
        </w:rPr>
      </w:pPr>
    </w:p>
    <w:p w:rsidR="003E4F1D" w:rsidRPr="00DC0B18" w:rsidRDefault="003E4F1D" w:rsidP="00DC0B18">
      <w:pPr>
        <w:pStyle w:val="NormalSScontinued"/>
        <w:spacing w:after="0"/>
        <w:ind w:left="900" w:hanging="900"/>
        <w:rPr>
          <w:rFonts w:ascii="Arial" w:hAnsi="Arial" w:cs="Arial"/>
          <w:sz w:val="22"/>
          <w:szCs w:val="22"/>
        </w:rPr>
      </w:pPr>
      <w:r w:rsidRPr="00111E88">
        <w:rPr>
          <w:rFonts w:ascii="Arial" w:hAnsi="Arial" w:cs="Arial"/>
          <w:sz w:val="22"/>
          <w:szCs w:val="22"/>
        </w:rPr>
        <w:t>AA</w:t>
      </w:r>
      <w:r w:rsidRPr="00111E88">
        <w:rPr>
          <w:rFonts w:ascii="Arial" w:hAnsi="Arial" w:cs="Arial"/>
          <w:sz w:val="22"/>
          <w:szCs w:val="22"/>
        </w:rPr>
        <w:tab/>
        <w:t>Document List for Document Review Process</w:t>
      </w:r>
    </w:p>
    <w:p w:rsidR="003E4F1D" w:rsidRDefault="003E4F1D" w:rsidP="000A66E4">
      <w:pPr>
        <w:pStyle w:val="H3Alpha"/>
        <w:spacing w:after="0" w:line="480" w:lineRule="auto"/>
        <w:sectPr w:rsidR="003E4F1D" w:rsidSect="00E74068">
          <w:headerReference w:type="default" r:id="rId17"/>
          <w:footerReference w:type="default" r:id="rId18"/>
          <w:pgSz w:w="12240" w:h="15840"/>
          <w:pgMar w:top="1440" w:right="1440" w:bottom="1440" w:left="1440" w:header="720" w:footer="720" w:gutter="0"/>
          <w:pgNumType w:fmt="lowerRoman"/>
          <w:cols w:space="720"/>
          <w:docGrid w:linePitch="360"/>
        </w:sectPr>
      </w:pPr>
    </w:p>
    <w:p w:rsidR="00AB6178" w:rsidRPr="003C5AD1" w:rsidRDefault="00AB6178" w:rsidP="003C5AD1">
      <w:pPr>
        <w:jc w:val="center"/>
        <w:rPr>
          <w:b/>
        </w:rPr>
      </w:pPr>
    </w:p>
    <w:p w:rsidR="00AB6178" w:rsidRDefault="00AB6178" w:rsidP="003C5AD1">
      <w:pPr>
        <w:jc w:val="center"/>
        <w:rPr>
          <w:b/>
        </w:rPr>
      </w:pPr>
    </w:p>
    <w:p w:rsidR="00AB6178" w:rsidRDefault="00AB6178" w:rsidP="003C5AD1">
      <w:pPr>
        <w:jc w:val="center"/>
        <w:rPr>
          <w:b/>
        </w:rPr>
      </w:pPr>
    </w:p>
    <w:p w:rsidR="00AB6178" w:rsidRPr="003C5AD1" w:rsidRDefault="00AB6178" w:rsidP="003C5AD1">
      <w:pPr>
        <w:jc w:val="center"/>
        <w:rPr>
          <w:b/>
        </w:rPr>
      </w:pPr>
    </w:p>
    <w:p w:rsidR="00AB6178" w:rsidRPr="003C5AD1" w:rsidRDefault="00AB6178" w:rsidP="003C5AD1">
      <w:pPr>
        <w:jc w:val="center"/>
        <w:rPr>
          <w:b/>
        </w:rPr>
      </w:pPr>
      <w:r w:rsidRPr="003C5AD1">
        <w:rPr>
          <w:b/>
        </w:rPr>
        <w:t>This page left intentionally blank for double-sided copying.</w:t>
      </w:r>
    </w:p>
    <w:p w:rsidR="00AB6178" w:rsidRDefault="00AB6178" w:rsidP="00AB6178">
      <w:pPr>
        <w:spacing w:after="180" w:line="240" w:lineRule="auto"/>
        <w:ind w:firstLine="0"/>
        <w:jc w:val="both"/>
      </w:pPr>
    </w:p>
    <w:p w:rsidR="00AB6178" w:rsidRDefault="00AB6178" w:rsidP="00AB6178">
      <w:pPr>
        <w:sectPr w:rsidR="00AB6178" w:rsidSect="00E74068">
          <w:headerReference w:type="default" r:id="rId19"/>
          <w:footerReference w:type="default" r:id="rId20"/>
          <w:pgSz w:w="12240" w:h="15840"/>
          <w:pgMar w:top="1440" w:right="1440" w:bottom="1440" w:left="1440" w:header="720" w:footer="720" w:gutter="0"/>
          <w:pgNumType w:fmt="lowerRoman"/>
          <w:cols w:space="720"/>
          <w:docGrid w:linePitch="360"/>
        </w:sectPr>
      </w:pPr>
    </w:p>
    <w:p w:rsidR="00CB1BB7" w:rsidRDefault="00CB1BB7" w:rsidP="000A66E4">
      <w:pPr>
        <w:pStyle w:val="H3Alpha"/>
        <w:spacing w:after="0" w:line="480" w:lineRule="auto"/>
      </w:pPr>
      <w:bookmarkStart w:id="11" w:name="_Toc432164920"/>
      <w:r>
        <w:lastRenderedPageBreak/>
        <w:t>B</w:t>
      </w:r>
      <w:r w:rsidR="00861117">
        <w:t xml:space="preserve">.1. </w:t>
      </w:r>
      <w:r>
        <w:t>Description of respondent universe and sampling methods</w:t>
      </w:r>
      <w:bookmarkEnd w:id="11"/>
    </w:p>
    <w:p w:rsidR="00CB1BB7" w:rsidRPr="00B30DDF" w:rsidRDefault="00CB1BB7" w:rsidP="000A66E4">
      <w:pPr>
        <w:pStyle w:val="NormalSS"/>
        <w:spacing w:after="0" w:line="480" w:lineRule="auto"/>
        <w:ind w:left="432" w:firstLine="0"/>
        <w:rPr>
          <w:b/>
        </w:rPr>
      </w:pPr>
      <w:r w:rsidRPr="00B30DDF">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B1BB7" w:rsidRDefault="00CB1BB7" w:rsidP="000A66E4">
      <w:r>
        <w:t xml:space="preserve">The Evaluation of the SNAP E&amp;T Pilots study will assess the effectiveness of pilot studies in ten </w:t>
      </w:r>
      <w:r w:rsidR="00C64412">
        <w:t xml:space="preserve">Grant </w:t>
      </w:r>
      <w:r>
        <w:t>awardee sites: California Department of Social Services, Fresno Bridge Academy; State of Delaware Department of Health and Human Services; Georgia Division of Family and Children Services; Illinois Department of Human Services; Kansas Department for Children and Families; Commonwealth of Kentucky Cabinet for Health and Family Services, Department for Community Based Services; Mississippi Department of Human Services; Vermont Agency of Human Services; Virginia Department of Social Services; and Washington State Department of Social and Health Services. Separate study designs will be developed and implemented for each site. Exhibit B.1</w:t>
      </w:r>
      <w:r w:rsidR="007D705C">
        <w:t>.</w:t>
      </w:r>
      <w:r>
        <w:t xml:space="preserve">a summarizes key features of each of the planned pilot projects. All sites will use designs where individuals are the units of random assignment. Some sites will implement single-arm treatment designs, where individuals are randomly assigned into either a treatment group that receives a set of services or to a control group. Other sites will implement multi-arm treatment designs, where individuals are randomly assigned to one of several treatment groups or a control group. The remaining sites will implement multi-arm treatment designs with </w:t>
      </w:r>
      <w:r>
        <w:lastRenderedPageBreak/>
        <w:t>enhancements. For these designs, some services in one treatment group can be an “add-on” to the services offered in another treatment group. For example, one treatment might consist of job search assistance (JSA) only while another treatment would consist of JSA and support services.</w:t>
      </w:r>
      <w:r w:rsidR="00E7232A">
        <w:t xml:space="preserve"> The target populations (universes) are different across the sites. Some sites are targeting larger populations of SNAP work registrants or ABAWDs, while other sites have more narrowly focused target populations.</w:t>
      </w:r>
      <w:r w:rsidR="00A84E0B">
        <w:br/>
      </w:r>
      <w:r w:rsidR="00A84E0B">
        <w:tab/>
      </w:r>
    </w:p>
    <w:p w:rsidR="00894358" w:rsidRDefault="00894358" w:rsidP="000A66E4">
      <w:pPr>
        <w:pStyle w:val="MarkforExhibitTitle"/>
        <w:spacing w:after="0" w:line="480" w:lineRule="auto"/>
      </w:pPr>
    </w:p>
    <w:p w:rsidR="00A84E0B" w:rsidRPr="00A84E0B" w:rsidRDefault="00A84E0B" w:rsidP="005820E9">
      <w:pPr>
        <w:pStyle w:val="NormalSS"/>
        <w:sectPr w:rsidR="00A84E0B" w:rsidRPr="00A84E0B" w:rsidSect="004244EE">
          <w:headerReference w:type="default" r:id="rId21"/>
          <w:footerReference w:type="default" r:id="rId22"/>
          <w:pgSz w:w="12240" w:h="15840"/>
          <w:pgMar w:top="1440" w:right="1440" w:bottom="1440" w:left="1440" w:header="720" w:footer="720" w:gutter="0"/>
          <w:pgNumType w:start="1"/>
          <w:cols w:space="720"/>
          <w:docGrid w:linePitch="360"/>
        </w:sectPr>
      </w:pPr>
      <w:r>
        <w:tab/>
      </w:r>
    </w:p>
    <w:p w:rsidR="00B30DDF" w:rsidRDefault="005A222E" w:rsidP="000A66E4">
      <w:pPr>
        <w:pStyle w:val="MarkforExhibitTitle"/>
        <w:spacing w:after="0" w:line="480" w:lineRule="auto"/>
      </w:pPr>
      <w:bookmarkStart w:id="12" w:name="_Toc432151139"/>
      <w:r>
        <w:lastRenderedPageBreak/>
        <w:t>E</w:t>
      </w:r>
      <w:r w:rsidR="00B30DDF" w:rsidRPr="008F7267">
        <w:t>xhibit B.1</w:t>
      </w:r>
      <w:r w:rsidR="002B2280">
        <w:t>.</w:t>
      </w:r>
      <w:r w:rsidR="007D705C">
        <w:t>a</w:t>
      </w:r>
      <w:r w:rsidR="00B30DDF" w:rsidRPr="008F7267">
        <w:t xml:space="preserve"> </w:t>
      </w:r>
      <w:r w:rsidR="00B30DDF">
        <w:t>Summary of Pilot Project Designs</w:t>
      </w:r>
      <w:bookmarkEnd w:id="12"/>
    </w:p>
    <w:p w:rsidR="005A222E" w:rsidRDefault="005A222E" w:rsidP="005A222E">
      <w:pPr>
        <w:pStyle w:val="MarkforExhibitTitle"/>
        <w:spacing w:after="0" w:line="480" w:lineRule="auto"/>
      </w:pPr>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tblPr>
      <w:tblGrid>
        <w:gridCol w:w="732"/>
        <w:gridCol w:w="4182"/>
        <w:gridCol w:w="2770"/>
        <w:gridCol w:w="1465"/>
        <w:gridCol w:w="1281"/>
        <w:gridCol w:w="825"/>
        <w:gridCol w:w="1007"/>
        <w:gridCol w:w="914"/>
      </w:tblGrid>
      <w:tr w:rsidR="005A222E" w:rsidRPr="00600831" w:rsidTr="00777AD6">
        <w:trPr>
          <w:cnfStyle w:val="100000000000"/>
          <w:trHeight w:val="522"/>
          <w:tblHeader/>
        </w:trPr>
        <w:tc>
          <w:tcPr>
            <w:tcW w:w="278" w:type="pct"/>
            <w:shd w:val="clear" w:color="auto" w:fill="6C6F70"/>
            <w:vAlign w:val="bottom"/>
          </w:tcPr>
          <w:p w:rsidR="005A222E" w:rsidRPr="00600831" w:rsidRDefault="005A222E" w:rsidP="00777AD6">
            <w:pPr>
              <w:pStyle w:val="TableHeaderLeft"/>
            </w:pPr>
            <w:r w:rsidRPr="00600831">
              <w:t>Site</w:t>
            </w:r>
          </w:p>
        </w:tc>
        <w:tc>
          <w:tcPr>
            <w:tcW w:w="1587" w:type="pct"/>
            <w:shd w:val="clear" w:color="auto" w:fill="6C6F70"/>
            <w:vAlign w:val="bottom"/>
          </w:tcPr>
          <w:p w:rsidR="005A222E" w:rsidRPr="00600831" w:rsidRDefault="005A222E" w:rsidP="00777AD6">
            <w:pPr>
              <w:pStyle w:val="TableHeaderCenter"/>
            </w:pPr>
            <w:r w:rsidRPr="00600831">
              <w:t>Intervention</w:t>
            </w:r>
          </w:p>
        </w:tc>
        <w:tc>
          <w:tcPr>
            <w:tcW w:w="1051" w:type="pct"/>
            <w:shd w:val="clear" w:color="auto" w:fill="6C6F70"/>
            <w:vAlign w:val="bottom"/>
          </w:tcPr>
          <w:p w:rsidR="005A222E" w:rsidRPr="00600831" w:rsidRDefault="005A222E" w:rsidP="00777AD6">
            <w:pPr>
              <w:pStyle w:val="TableHeaderCenter"/>
            </w:pPr>
            <w:r w:rsidRPr="00600831">
              <w:t>Target Population</w:t>
            </w:r>
          </w:p>
        </w:tc>
        <w:tc>
          <w:tcPr>
            <w:tcW w:w="556" w:type="pct"/>
            <w:shd w:val="clear" w:color="auto" w:fill="6C6F70"/>
            <w:vAlign w:val="bottom"/>
          </w:tcPr>
          <w:p w:rsidR="005A222E" w:rsidRPr="00600831" w:rsidRDefault="005A222E" w:rsidP="00777AD6">
            <w:pPr>
              <w:pStyle w:val="TableHeaderCenter"/>
            </w:pPr>
            <w:r w:rsidRPr="00600831">
              <w:t>Pilot Location</w:t>
            </w:r>
          </w:p>
        </w:tc>
        <w:tc>
          <w:tcPr>
            <w:tcW w:w="486" w:type="pct"/>
            <w:shd w:val="clear" w:color="auto" w:fill="6C6F70"/>
            <w:vAlign w:val="bottom"/>
          </w:tcPr>
          <w:p w:rsidR="005A222E" w:rsidRPr="00600831" w:rsidRDefault="005A222E" w:rsidP="00777AD6">
            <w:pPr>
              <w:pStyle w:val="TableHeaderCenter"/>
            </w:pPr>
            <w:r w:rsidRPr="00600831">
              <w:t>Mandatory/</w:t>
            </w:r>
            <w:r w:rsidRPr="00600831">
              <w:br/>
              <w:t>Voluntary</w:t>
            </w:r>
            <w:r>
              <w:t xml:space="preserve"> Standard E&amp;T Program</w:t>
            </w:r>
          </w:p>
        </w:tc>
        <w:tc>
          <w:tcPr>
            <w:tcW w:w="313" w:type="pct"/>
            <w:shd w:val="clear" w:color="auto" w:fill="6C6F70"/>
            <w:vAlign w:val="bottom"/>
          </w:tcPr>
          <w:p w:rsidR="005A222E" w:rsidRPr="00600831" w:rsidRDefault="005A222E" w:rsidP="00777AD6">
            <w:pPr>
              <w:pStyle w:val="TableHeaderCenter"/>
            </w:pPr>
            <w:r w:rsidRPr="00600831">
              <w:t>Urban/</w:t>
            </w:r>
            <w:r w:rsidRPr="00600831">
              <w:br/>
              <w:t>Rural</w:t>
            </w:r>
          </w:p>
        </w:tc>
        <w:tc>
          <w:tcPr>
            <w:tcW w:w="382" w:type="pct"/>
            <w:shd w:val="clear" w:color="auto" w:fill="6C6F70"/>
            <w:vAlign w:val="bottom"/>
          </w:tcPr>
          <w:p w:rsidR="005A222E" w:rsidRPr="00600831" w:rsidRDefault="005A222E" w:rsidP="00777AD6">
            <w:pPr>
              <w:pStyle w:val="TableHeaderCenter"/>
            </w:pPr>
            <w:r w:rsidRPr="00600831">
              <w:t>FNS Region</w:t>
            </w:r>
          </w:p>
        </w:tc>
        <w:tc>
          <w:tcPr>
            <w:tcW w:w="347" w:type="pct"/>
            <w:shd w:val="clear" w:color="auto" w:fill="6C6F70"/>
            <w:vAlign w:val="bottom"/>
          </w:tcPr>
          <w:p w:rsidR="005A222E" w:rsidRPr="00600831" w:rsidRDefault="005A222E" w:rsidP="00777AD6">
            <w:pPr>
              <w:pStyle w:val="TableHeaderCenter"/>
            </w:pPr>
            <w:r>
              <w:t>Target Number of Pilot Participants</w:t>
            </w:r>
          </w:p>
        </w:tc>
      </w:tr>
      <w:tr w:rsidR="005A222E" w:rsidRPr="00600831" w:rsidTr="00777AD6">
        <w:trPr>
          <w:trHeight w:val="1528"/>
        </w:trPr>
        <w:tc>
          <w:tcPr>
            <w:tcW w:w="278" w:type="pct"/>
            <w:tcBorders>
              <w:bottom w:val="single" w:sz="4" w:space="0" w:color="auto"/>
            </w:tcBorders>
          </w:tcPr>
          <w:p w:rsidR="005A222E" w:rsidRPr="00600831" w:rsidRDefault="005A222E" w:rsidP="00777AD6">
            <w:pPr>
              <w:pStyle w:val="TableText"/>
              <w:spacing w:before="120"/>
            </w:pPr>
            <w:r w:rsidRPr="00600831">
              <w:t>CA</w:t>
            </w:r>
          </w:p>
        </w:tc>
        <w:tc>
          <w:tcPr>
            <w:tcW w:w="1587" w:type="pct"/>
            <w:tcBorders>
              <w:bottom w:val="single" w:sz="4" w:space="0" w:color="auto"/>
            </w:tcBorders>
          </w:tcPr>
          <w:p w:rsidR="005A222E" w:rsidRPr="000E5420" w:rsidRDefault="005A222E" w:rsidP="005A222E">
            <w:pPr>
              <w:pStyle w:val="TableText"/>
              <w:numPr>
                <w:ilvl w:val="0"/>
                <w:numId w:val="36"/>
              </w:numPr>
              <w:ind w:left="341"/>
            </w:pPr>
            <w:r w:rsidRPr="000E5420">
              <w:t xml:space="preserve">Career-oriented program, with education, training, support and retention services </w:t>
            </w:r>
          </w:p>
          <w:p w:rsidR="005A222E" w:rsidRPr="000E5420" w:rsidRDefault="005A222E" w:rsidP="005A222E">
            <w:pPr>
              <w:pStyle w:val="TableText"/>
              <w:numPr>
                <w:ilvl w:val="0"/>
                <w:numId w:val="36"/>
              </w:numPr>
              <w:ind w:left="341"/>
            </w:pPr>
            <w:r w:rsidRPr="000E5420">
              <w:t>Subsidized and unsubsidized employment</w:t>
            </w:r>
          </w:p>
          <w:p w:rsidR="005A222E" w:rsidRPr="000E5420" w:rsidRDefault="005A222E" w:rsidP="005A222E">
            <w:pPr>
              <w:pStyle w:val="TableText"/>
              <w:numPr>
                <w:ilvl w:val="0"/>
                <w:numId w:val="36"/>
              </w:numPr>
              <w:ind w:left="341"/>
            </w:pPr>
            <w:r w:rsidRPr="000E5420">
              <w:t>Case management</w:t>
            </w:r>
          </w:p>
          <w:p w:rsidR="005A222E" w:rsidRPr="00600831" w:rsidRDefault="005A222E" w:rsidP="005A222E">
            <w:pPr>
              <w:pStyle w:val="TableText"/>
              <w:numPr>
                <w:ilvl w:val="0"/>
                <w:numId w:val="36"/>
              </w:numPr>
              <w:ind w:left="341"/>
            </w:pPr>
            <w:r w:rsidRPr="000E5420">
              <w:t>Financial incentives for enrollment and participation</w:t>
            </w:r>
          </w:p>
        </w:tc>
        <w:tc>
          <w:tcPr>
            <w:tcW w:w="1051" w:type="pct"/>
            <w:tcBorders>
              <w:bottom w:val="single" w:sz="4" w:space="0" w:color="auto"/>
            </w:tcBorders>
          </w:tcPr>
          <w:p w:rsidR="005A222E" w:rsidRPr="00600831" w:rsidRDefault="005A222E" w:rsidP="00777AD6">
            <w:pPr>
              <w:pStyle w:val="TableText"/>
              <w:spacing w:before="120"/>
            </w:pPr>
            <w:r w:rsidRPr="000E5420">
              <w:t>Work registrants—families with children, unemployed/ underemployed, high school dropouts, those with criminal record, disadvantaged individuals, and  limited work experience</w:t>
            </w:r>
          </w:p>
        </w:tc>
        <w:tc>
          <w:tcPr>
            <w:tcW w:w="556" w:type="pct"/>
            <w:tcBorders>
              <w:bottom w:val="single" w:sz="4" w:space="0" w:color="auto"/>
            </w:tcBorders>
          </w:tcPr>
          <w:p w:rsidR="005A222E" w:rsidRPr="00600831" w:rsidRDefault="005A222E" w:rsidP="00777AD6">
            <w:pPr>
              <w:pStyle w:val="TableText"/>
              <w:spacing w:before="120"/>
            </w:pPr>
            <w:r w:rsidRPr="00600831">
              <w:t>Nine locations within Fresno county</w:t>
            </w:r>
          </w:p>
        </w:tc>
        <w:tc>
          <w:tcPr>
            <w:tcW w:w="486" w:type="pct"/>
            <w:tcBorders>
              <w:bottom w:val="single" w:sz="4" w:space="0" w:color="auto"/>
            </w:tcBorders>
          </w:tcPr>
          <w:p w:rsidR="005A222E" w:rsidRPr="00600831" w:rsidRDefault="005A222E" w:rsidP="00777AD6">
            <w:pPr>
              <w:pStyle w:val="TableText"/>
              <w:spacing w:before="120"/>
            </w:pPr>
            <w:r w:rsidRPr="00600831">
              <w:t>Voluntary</w:t>
            </w:r>
          </w:p>
        </w:tc>
        <w:tc>
          <w:tcPr>
            <w:tcW w:w="313" w:type="pct"/>
            <w:tcBorders>
              <w:bottom w:val="single" w:sz="4" w:space="0" w:color="auto"/>
            </w:tcBorders>
          </w:tcPr>
          <w:p w:rsidR="005A222E" w:rsidRPr="00600831" w:rsidRDefault="005A222E" w:rsidP="00777AD6">
            <w:pPr>
              <w:pStyle w:val="TableText"/>
              <w:spacing w:before="120"/>
            </w:pPr>
            <w:r w:rsidRPr="00600831">
              <w:t>Urban and rural</w:t>
            </w:r>
          </w:p>
        </w:tc>
        <w:tc>
          <w:tcPr>
            <w:tcW w:w="382" w:type="pct"/>
            <w:tcBorders>
              <w:bottom w:val="single" w:sz="4" w:space="0" w:color="auto"/>
            </w:tcBorders>
          </w:tcPr>
          <w:p w:rsidR="005A222E" w:rsidRPr="00600831" w:rsidRDefault="005A222E" w:rsidP="00777AD6">
            <w:pPr>
              <w:pStyle w:val="TableText"/>
              <w:spacing w:before="120"/>
            </w:pPr>
            <w:r w:rsidRPr="00600831">
              <w:t>West</w:t>
            </w:r>
          </w:p>
        </w:tc>
        <w:tc>
          <w:tcPr>
            <w:tcW w:w="347" w:type="pct"/>
            <w:tcBorders>
              <w:bottom w:val="single" w:sz="4" w:space="0" w:color="auto"/>
            </w:tcBorders>
          </w:tcPr>
          <w:p w:rsidR="005A222E" w:rsidRPr="00600831" w:rsidRDefault="005A222E" w:rsidP="00777AD6">
            <w:pPr>
              <w:pStyle w:val="TableText"/>
              <w:spacing w:before="120"/>
            </w:pPr>
            <w:r w:rsidRPr="00600831">
              <w:t>3,</w:t>
            </w:r>
            <w:r>
              <w:t>4</w:t>
            </w:r>
            <w:r w:rsidRPr="00600831">
              <w:t>00</w:t>
            </w:r>
            <w:r w:rsidRPr="00600831">
              <w:br/>
            </w:r>
          </w:p>
        </w:tc>
      </w:tr>
      <w:tr w:rsidR="005A222E" w:rsidRPr="00600831" w:rsidTr="00777AD6">
        <w:trPr>
          <w:trHeight w:val="2510"/>
        </w:trPr>
        <w:tc>
          <w:tcPr>
            <w:tcW w:w="278" w:type="pct"/>
            <w:tcBorders>
              <w:top w:val="single" w:sz="4" w:space="0" w:color="auto"/>
              <w:bottom w:val="single" w:sz="4" w:space="0" w:color="auto"/>
            </w:tcBorders>
          </w:tcPr>
          <w:p w:rsidR="005A222E" w:rsidRPr="00600831" w:rsidRDefault="005A222E" w:rsidP="00777AD6">
            <w:pPr>
              <w:pStyle w:val="TableText"/>
            </w:pPr>
            <w:r w:rsidRPr="00600831">
              <w:t>DE</w:t>
            </w:r>
          </w:p>
        </w:tc>
        <w:tc>
          <w:tcPr>
            <w:tcW w:w="1587" w:type="pct"/>
            <w:tcBorders>
              <w:top w:val="single" w:sz="4" w:space="0" w:color="auto"/>
              <w:bottom w:val="single" w:sz="4" w:space="0" w:color="auto"/>
            </w:tcBorders>
          </w:tcPr>
          <w:p w:rsidR="005A222E" w:rsidRPr="00600831" w:rsidRDefault="005A222E" w:rsidP="005A222E">
            <w:pPr>
              <w:pStyle w:val="TableText"/>
              <w:numPr>
                <w:ilvl w:val="0"/>
                <w:numId w:val="36"/>
              </w:numPr>
              <w:ind w:left="341"/>
            </w:pPr>
            <w:r w:rsidRPr="00600831">
              <w:t>Case management services</w:t>
            </w:r>
          </w:p>
          <w:p w:rsidR="005A222E" w:rsidRPr="00600831" w:rsidRDefault="005A222E" w:rsidP="005A222E">
            <w:pPr>
              <w:pStyle w:val="TableText"/>
              <w:numPr>
                <w:ilvl w:val="0"/>
                <w:numId w:val="36"/>
              </w:numPr>
              <w:ind w:left="341"/>
              <w:rPr>
                <w:rFonts w:ascii="Calibri" w:hAnsi="Calibri"/>
                <w:sz w:val="22"/>
                <w:szCs w:val="22"/>
              </w:rPr>
            </w:pPr>
            <w:r w:rsidRPr="00600831">
              <w:t>Wrap around services to address barriers</w:t>
            </w:r>
          </w:p>
          <w:p w:rsidR="005A222E" w:rsidRPr="00600831" w:rsidRDefault="005A222E" w:rsidP="005A222E">
            <w:pPr>
              <w:pStyle w:val="TableText"/>
              <w:numPr>
                <w:ilvl w:val="0"/>
                <w:numId w:val="36"/>
              </w:numPr>
              <w:ind w:left="341"/>
              <w:rPr>
                <w:rFonts w:ascii="Calibri" w:hAnsi="Calibri"/>
                <w:sz w:val="22"/>
                <w:szCs w:val="22"/>
              </w:rPr>
            </w:pPr>
            <w:r w:rsidRPr="00600831">
              <w:t xml:space="preserve">Work-ready participants choose from 4 employment training tracks (3 sector based: construction, culinary arts, or manufacturing; or an enhanced broad spectrum job placement track) </w:t>
            </w:r>
          </w:p>
          <w:p w:rsidR="005A222E" w:rsidRPr="00600831" w:rsidRDefault="005A222E" w:rsidP="005A222E">
            <w:pPr>
              <w:pStyle w:val="TableText"/>
              <w:numPr>
                <w:ilvl w:val="0"/>
                <w:numId w:val="36"/>
              </w:numPr>
              <w:ind w:left="341"/>
            </w:pPr>
            <w:r w:rsidRPr="00600831">
              <w:t xml:space="preserve">Non-work ready participants enter </w:t>
            </w:r>
            <w:r>
              <w:t xml:space="preserve">job preparation courses and then </w:t>
            </w:r>
            <w:r w:rsidRPr="00600831">
              <w:t>may move</w:t>
            </w:r>
            <w:r>
              <w:t xml:space="preserve"> to other tracks when work-ready</w:t>
            </w:r>
          </w:p>
        </w:tc>
        <w:tc>
          <w:tcPr>
            <w:tcW w:w="1051" w:type="pct"/>
            <w:tcBorders>
              <w:top w:val="single" w:sz="4" w:space="0" w:color="auto"/>
              <w:bottom w:val="single" w:sz="4" w:space="0" w:color="auto"/>
            </w:tcBorders>
          </w:tcPr>
          <w:p w:rsidR="005A222E" w:rsidRPr="00600831" w:rsidRDefault="005A222E" w:rsidP="00777AD6">
            <w:pPr>
              <w:pStyle w:val="TableText"/>
            </w:pPr>
            <w:r w:rsidRPr="00600831">
              <w:t>New SNAP work registrants who are unemployed or underemployed and are low-skilled and/or have limited work experience</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Statewide</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Voluntary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Urban and rural</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Mid-Atlantic</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5,292</w:t>
            </w:r>
          </w:p>
          <w:p w:rsidR="005A222E" w:rsidRPr="00600831" w:rsidRDefault="005A222E" w:rsidP="00777AD6">
            <w:pPr>
              <w:pStyle w:val="TableText"/>
            </w:pPr>
          </w:p>
        </w:tc>
      </w:tr>
      <w:tr w:rsidR="005A222E" w:rsidRPr="00600831" w:rsidTr="00777AD6">
        <w:trPr>
          <w:trHeight w:val="2780"/>
        </w:trPr>
        <w:tc>
          <w:tcPr>
            <w:tcW w:w="278" w:type="pct"/>
            <w:tcBorders>
              <w:top w:val="single" w:sz="4" w:space="0" w:color="auto"/>
              <w:bottom w:val="single" w:sz="4" w:space="0" w:color="auto"/>
            </w:tcBorders>
          </w:tcPr>
          <w:p w:rsidR="005A222E" w:rsidRPr="00600831" w:rsidRDefault="005A222E" w:rsidP="00777AD6">
            <w:pPr>
              <w:pStyle w:val="TableText"/>
            </w:pPr>
            <w:r w:rsidRPr="00600831">
              <w:t>GA</w:t>
            </w:r>
          </w:p>
        </w:tc>
        <w:tc>
          <w:tcPr>
            <w:tcW w:w="1587" w:type="pct"/>
            <w:tcBorders>
              <w:top w:val="single" w:sz="4" w:space="0" w:color="auto"/>
              <w:bottom w:val="single" w:sz="4" w:space="0" w:color="auto"/>
            </w:tcBorders>
          </w:tcPr>
          <w:p w:rsidR="005A222E" w:rsidRPr="00600831" w:rsidRDefault="005A222E" w:rsidP="005A222E">
            <w:pPr>
              <w:pStyle w:val="TableText"/>
              <w:numPr>
                <w:ilvl w:val="0"/>
                <w:numId w:val="35"/>
              </w:numPr>
              <w:ind w:left="360"/>
            </w:pPr>
            <w:r w:rsidRPr="00600831">
              <w:t>Comprehensive work readiness assessment identifies work-ready and non-work-ready participants</w:t>
            </w:r>
          </w:p>
          <w:p w:rsidR="005A222E" w:rsidRPr="00600831" w:rsidRDefault="005A222E" w:rsidP="005A222E">
            <w:pPr>
              <w:pStyle w:val="TableText"/>
              <w:numPr>
                <w:ilvl w:val="0"/>
                <w:numId w:val="35"/>
              </w:numPr>
              <w:ind w:left="360"/>
            </w:pPr>
            <w:r w:rsidRPr="00600831">
              <w:t>Job search, placement, and retention assistance for work-ready participants</w:t>
            </w:r>
          </w:p>
          <w:p w:rsidR="005A222E" w:rsidRPr="00600831" w:rsidRDefault="005A222E" w:rsidP="005A222E">
            <w:pPr>
              <w:pStyle w:val="TableText"/>
              <w:numPr>
                <w:ilvl w:val="0"/>
                <w:numId w:val="35"/>
              </w:numPr>
              <w:ind w:left="360"/>
            </w:pPr>
            <w:r w:rsidRPr="00600831">
              <w:t>Pre-employment education &amp; training services, followed by job search, placement, and retention assistance for non-work ready participants</w:t>
            </w:r>
          </w:p>
          <w:p w:rsidR="005A222E" w:rsidRPr="00600831" w:rsidRDefault="005A222E" w:rsidP="005A222E">
            <w:pPr>
              <w:pStyle w:val="TableText"/>
              <w:numPr>
                <w:ilvl w:val="0"/>
                <w:numId w:val="35"/>
              </w:numPr>
              <w:ind w:left="360"/>
            </w:pPr>
            <w:r w:rsidRPr="00600831">
              <w:t>Supportive services</w:t>
            </w:r>
          </w:p>
          <w:p w:rsidR="005A222E" w:rsidRPr="00600831" w:rsidRDefault="005A222E" w:rsidP="005A222E">
            <w:pPr>
              <w:pStyle w:val="TableText"/>
              <w:numPr>
                <w:ilvl w:val="0"/>
                <w:numId w:val="35"/>
              </w:numPr>
              <w:ind w:left="360"/>
            </w:pPr>
            <w:r w:rsidRPr="00600831">
              <w:t>Case management</w:t>
            </w:r>
          </w:p>
          <w:p w:rsidR="005A222E" w:rsidRPr="00600831" w:rsidRDefault="005A222E" w:rsidP="005A222E">
            <w:pPr>
              <w:pStyle w:val="TableText"/>
              <w:numPr>
                <w:ilvl w:val="0"/>
                <w:numId w:val="35"/>
              </w:numPr>
              <w:ind w:left="360"/>
            </w:pPr>
            <w:r w:rsidRPr="00600831">
              <w:t>Substance abuse/mental health treatment</w:t>
            </w:r>
          </w:p>
        </w:tc>
        <w:tc>
          <w:tcPr>
            <w:tcW w:w="1051" w:type="pct"/>
            <w:tcBorders>
              <w:top w:val="single" w:sz="4" w:space="0" w:color="auto"/>
              <w:bottom w:val="single" w:sz="4" w:space="0" w:color="auto"/>
            </w:tcBorders>
          </w:tcPr>
          <w:p w:rsidR="005A222E" w:rsidRPr="00600831" w:rsidRDefault="005A222E" w:rsidP="00777AD6">
            <w:pPr>
              <w:pStyle w:val="TableText"/>
            </w:pPr>
            <w:r w:rsidRPr="00600831">
              <w:t>ABAWDs (18-49) who have been unemployed for at least 12 months</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10 of the 27 counties that currently or will soon provide SNAP E&amp;T (Atlanta and Savanah metro areas)</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Mandatory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Urban</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South-east</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5,000</w:t>
            </w:r>
          </w:p>
          <w:p w:rsidR="005A222E" w:rsidRPr="00600831" w:rsidRDefault="005A222E" w:rsidP="00777AD6">
            <w:pPr>
              <w:pStyle w:val="TableText"/>
            </w:pPr>
          </w:p>
        </w:tc>
      </w:tr>
      <w:tr w:rsidR="005A222E" w:rsidRPr="00600831" w:rsidTr="00777AD6">
        <w:trPr>
          <w:trHeight w:val="210"/>
        </w:trPr>
        <w:tc>
          <w:tcPr>
            <w:tcW w:w="278" w:type="pct"/>
            <w:tcBorders>
              <w:top w:val="single" w:sz="4" w:space="0" w:color="auto"/>
              <w:bottom w:val="single" w:sz="4" w:space="0" w:color="auto"/>
            </w:tcBorders>
          </w:tcPr>
          <w:p w:rsidR="005A222E" w:rsidRPr="00600831" w:rsidRDefault="005A222E" w:rsidP="00777AD6">
            <w:pPr>
              <w:pStyle w:val="TableText"/>
              <w:keepNext/>
            </w:pPr>
            <w:r w:rsidRPr="00600831">
              <w:lastRenderedPageBreak/>
              <w:t>IL</w:t>
            </w:r>
          </w:p>
        </w:tc>
        <w:tc>
          <w:tcPr>
            <w:tcW w:w="1587" w:type="pct"/>
            <w:tcBorders>
              <w:top w:val="single" w:sz="4" w:space="0" w:color="auto"/>
              <w:bottom w:val="single" w:sz="4" w:space="0" w:color="auto"/>
            </w:tcBorders>
          </w:tcPr>
          <w:p w:rsidR="005A222E" w:rsidRPr="00600831" w:rsidRDefault="005A222E" w:rsidP="005A222E">
            <w:pPr>
              <w:pStyle w:val="TableText"/>
              <w:keepNext/>
              <w:numPr>
                <w:ilvl w:val="0"/>
                <w:numId w:val="35"/>
              </w:numPr>
              <w:ind w:left="360"/>
            </w:pPr>
            <w:r w:rsidRPr="00600831">
              <w:t xml:space="preserve">Comprehensive assessment </w:t>
            </w:r>
            <w:r>
              <w:t>leading to tailored services based on experience, education, skill and interests</w:t>
            </w:r>
          </w:p>
          <w:p w:rsidR="005A222E" w:rsidRDefault="005A222E" w:rsidP="005A222E">
            <w:pPr>
              <w:pStyle w:val="TableText"/>
              <w:keepNext/>
              <w:numPr>
                <w:ilvl w:val="0"/>
                <w:numId w:val="35"/>
              </w:numPr>
              <w:ind w:left="360"/>
            </w:pPr>
            <w:r>
              <w:t>J</w:t>
            </w:r>
            <w:r w:rsidRPr="00600831">
              <w:t>ob training</w:t>
            </w:r>
            <w:r>
              <w:t xml:space="preserve"> in</w:t>
            </w:r>
            <w:r w:rsidRPr="00600831">
              <w:t xml:space="preserve"> high demand sectors</w:t>
            </w:r>
            <w:r>
              <w:t>; training includes:</w:t>
            </w:r>
          </w:p>
          <w:p w:rsidR="005A222E" w:rsidRDefault="005A222E" w:rsidP="005A222E">
            <w:pPr>
              <w:pStyle w:val="TableText"/>
              <w:keepNext/>
              <w:numPr>
                <w:ilvl w:val="1"/>
                <w:numId w:val="35"/>
              </w:numPr>
              <w:ind w:left="978" w:hanging="282"/>
            </w:pPr>
            <w:r>
              <w:t>Adult Education/ESL Bridge Program</w:t>
            </w:r>
          </w:p>
          <w:p w:rsidR="005A222E" w:rsidRDefault="005A222E" w:rsidP="005A222E">
            <w:pPr>
              <w:pStyle w:val="TableText"/>
              <w:keepNext/>
              <w:numPr>
                <w:ilvl w:val="1"/>
                <w:numId w:val="35"/>
              </w:numPr>
              <w:ind w:left="978" w:hanging="282"/>
            </w:pPr>
            <w:r>
              <w:t>Career and Technical Education</w:t>
            </w:r>
          </w:p>
          <w:p w:rsidR="005A222E" w:rsidRPr="00600831" w:rsidRDefault="005A222E" w:rsidP="005A222E">
            <w:pPr>
              <w:pStyle w:val="TableText"/>
              <w:keepNext/>
              <w:numPr>
                <w:ilvl w:val="1"/>
                <w:numId w:val="35"/>
              </w:numPr>
              <w:ind w:left="978" w:hanging="282"/>
            </w:pPr>
            <w:r>
              <w:t>Short-Term Occupational Skills Training</w:t>
            </w:r>
          </w:p>
          <w:p w:rsidR="005A222E" w:rsidRDefault="005A222E" w:rsidP="005A222E">
            <w:pPr>
              <w:pStyle w:val="TableText"/>
              <w:keepNext/>
              <w:numPr>
                <w:ilvl w:val="0"/>
                <w:numId w:val="35"/>
              </w:numPr>
              <w:ind w:left="360"/>
            </w:pPr>
            <w:r w:rsidRPr="00600831">
              <w:t>Career pathways and enhanced on-the-job training (earn and learn)</w:t>
            </w:r>
          </w:p>
          <w:p w:rsidR="005A222E" w:rsidRDefault="005A222E" w:rsidP="005A222E">
            <w:pPr>
              <w:pStyle w:val="TableText"/>
              <w:keepNext/>
              <w:numPr>
                <w:ilvl w:val="0"/>
                <w:numId w:val="35"/>
              </w:numPr>
              <w:ind w:left="360"/>
            </w:pPr>
            <w:r>
              <w:t>Intensive case management</w:t>
            </w:r>
          </w:p>
          <w:p w:rsidR="005A222E" w:rsidRDefault="005A222E" w:rsidP="005A222E">
            <w:pPr>
              <w:pStyle w:val="TableText"/>
              <w:keepNext/>
              <w:numPr>
                <w:ilvl w:val="0"/>
                <w:numId w:val="35"/>
              </w:numPr>
              <w:ind w:left="360"/>
            </w:pPr>
            <w:r>
              <w:t>Job search</w:t>
            </w:r>
          </w:p>
          <w:p w:rsidR="005A222E" w:rsidRPr="00600831" w:rsidRDefault="005A222E" w:rsidP="005A222E">
            <w:pPr>
              <w:pStyle w:val="TableText"/>
              <w:keepNext/>
              <w:numPr>
                <w:ilvl w:val="0"/>
                <w:numId w:val="35"/>
              </w:numPr>
              <w:ind w:left="360"/>
            </w:pPr>
            <w:r>
              <w:t>Job retention services</w:t>
            </w:r>
          </w:p>
        </w:tc>
        <w:tc>
          <w:tcPr>
            <w:tcW w:w="1051" w:type="pct"/>
            <w:tcBorders>
              <w:top w:val="single" w:sz="4" w:space="0" w:color="auto"/>
              <w:bottom w:val="single" w:sz="4" w:space="0" w:color="auto"/>
            </w:tcBorders>
          </w:tcPr>
          <w:p w:rsidR="005A222E" w:rsidRPr="00600831" w:rsidRDefault="005A222E" w:rsidP="00777AD6">
            <w:pPr>
              <w:pStyle w:val="TableText"/>
              <w:keepNext/>
            </w:pPr>
            <w:r w:rsidRPr="00600831">
              <w:t xml:space="preserve">Work registrants who are unemployed/underemployed with low skills/limited work experience; and those working </w:t>
            </w:r>
            <w:r>
              <w:t>20</w:t>
            </w:r>
            <w:r w:rsidRPr="00600831">
              <w:t>+ hours/week but needing skill upgrades</w:t>
            </w:r>
          </w:p>
        </w:tc>
        <w:tc>
          <w:tcPr>
            <w:tcW w:w="556" w:type="pct"/>
            <w:tcBorders>
              <w:top w:val="single" w:sz="4" w:space="0" w:color="auto"/>
              <w:bottom w:val="single" w:sz="4" w:space="0" w:color="auto"/>
            </w:tcBorders>
          </w:tcPr>
          <w:p w:rsidR="005A222E" w:rsidRPr="00600831" w:rsidRDefault="005A222E" w:rsidP="00777AD6">
            <w:pPr>
              <w:pStyle w:val="TableText"/>
              <w:keepNext/>
              <w:spacing w:after="60"/>
            </w:pPr>
            <w:r w:rsidRPr="00600831">
              <w:t>7 local workforce investment areas encompassing 3</w:t>
            </w:r>
            <w:r>
              <w:t>3</w:t>
            </w:r>
            <w:r w:rsidRPr="00600831">
              <w:t xml:space="preserve"> counties across the state (upstate and downstate, rural and urban, locations)</w:t>
            </w:r>
          </w:p>
        </w:tc>
        <w:tc>
          <w:tcPr>
            <w:tcW w:w="486"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 xml:space="preserve">Mandatory for work registrants; otherwise voluntary </w:t>
            </w:r>
          </w:p>
        </w:tc>
        <w:tc>
          <w:tcPr>
            <w:tcW w:w="313"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Urban and rural</w:t>
            </w:r>
          </w:p>
        </w:tc>
        <w:tc>
          <w:tcPr>
            <w:tcW w:w="382"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Mid-west</w:t>
            </w:r>
          </w:p>
        </w:tc>
        <w:tc>
          <w:tcPr>
            <w:tcW w:w="347"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5,000</w:t>
            </w:r>
          </w:p>
        </w:tc>
      </w:tr>
      <w:tr w:rsidR="005A222E" w:rsidRPr="00600831" w:rsidTr="00777AD6">
        <w:trPr>
          <w:trHeight w:val="1197"/>
        </w:trPr>
        <w:tc>
          <w:tcPr>
            <w:tcW w:w="278" w:type="pct"/>
            <w:tcBorders>
              <w:top w:val="single" w:sz="4" w:space="0" w:color="auto"/>
              <w:bottom w:val="single" w:sz="4" w:space="0" w:color="auto"/>
            </w:tcBorders>
          </w:tcPr>
          <w:p w:rsidR="005A222E" w:rsidRPr="00600831" w:rsidRDefault="005A222E" w:rsidP="00777AD6">
            <w:pPr>
              <w:pStyle w:val="TableText"/>
            </w:pPr>
            <w:r w:rsidRPr="00600831">
              <w:t>KS</w:t>
            </w:r>
          </w:p>
        </w:tc>
        <w:tc>
          <w:tcPr>
            <w:tcW w:w="1587" w:type="pct"/>
            <w:tcBorders>
              <w:top w:val="single" w:sz="4" w:space="0" w:color="auto"/>
              <w:bottom w:val="single" w:sz="4" w:space="0" w:color="auto"/>
            </w:tcBorders>
          </w:tcPr>
          <w:p w:rsidR="005A222E" w:rsidRPr="00600831" w:rsidRDefault="005A222E" w:rsidP="005A222E">
            <w:pPr>
              <w:pStyle w:val="TableText"/>
              <w:numPr>
                <w:ilvl w:val="0"/>
                <w:numId w:val="35"/>
              </w:numPr>
              <w:ind w:left="360"/>
            </w:pPr>
            <w:r w:rsidRPr="00600831">
              <w:t>Case management</w:t>
            </w:r>
          </w:p>
          <w:p w:rsidR="005A222E" w:rsidRPr="00600831" w:rsidRDefault="005A222E" w:rsidP="005A222E">
            <w:pPr>
              <w:pStyle w:val="TableText"/>
              <w:numPr>
                <w:ilvl w:val="0"/>
                <w:numId w:val="35"/>
              </w:numPr>
              <w:ind w:left="360"/>
            </w:pPr>
            <w:r w:rsidRPr="00600831">
              <w:t xml:space="preserve">Job-driven training, </w:t>
            </w:r>
          </w:p>
          <w:p w:rsidR="005A222E" w:rsidRPr="00600831" w:rsidRDefault="005A222E" w:rsidP="005A222E">
            <w:pPr>
              <w:pStyle w:val="TableText"/>
              <w:numPr>
                <w:ilvl w:val="0"/>
                <w:numId w:val="35"/>
              </w:numPr>
              <w:ind w:left="360"/>
            </w:pPr>
            <w:r>
              <w:t>S</w:t>
            </w:r>
            <w:r w:rsidRPr="00600831">
              <w:t>ubsidized internships</w:t>
            </w:r>
          </w:p>
          <w:p w:rsidR="005A222E" w:rsidRPr="00600831" w:rsidRDefault="005A222E" w:rsidP="005A222E">
            <w:pPr>
              <w:pStyle w:val="TableText"/>
              <w:numPr>
                <w:ilvl w:val="0"/>
                <w:numId w:val="35"/>
              </w:numPr>
              <w:ind w:left="360"/>
            </w:pPr>
            <w:r w:rsidRPr="00600831">
              <w:t>Work-based learning</w:t>
            </w:r>
          </w:p>
          <w:p w:rsidR="005A222E" w:rsidRPr="00600831" w:rsidRDefault="005A222E" w:rsidP="005A222E">
            <w:pPr>
              <w:pStyle w:val="TableText"/>
              <w:numPr>
                <w:ilvl w:val="0"/>
                <w:numId w:val="35"/>
              </w:numPr>
              <w:ind w:left="360"/>
            </w:pPr>
            <w:r w:rsidRPr="00600831">
              <w:t>Job retention services</w:t>
            </w:r>
          </w:p>
        </w:tc>
        <w:tc>
          <w:tcPr>
            <w:tcW w:w="1051" w:type="pct"/>
            <w:tcBorders>
              <w:top w:val="single" w:sz="4" w:space="0" w:color="auto"/>
              <w:bottom w:val="single" w:sz="4" w:space="0" w:color="auto"/>
            </w:tcBorders>
          </w:tcPr>
          <w:p w:rsidR="005A222E" w:rsidRPr="00600831" w:rsidRDefault="005A222E" w:rsidP="00777AD6">
            <w:pPr>
              <w:pStyle w:val="TableText"/>
            </w:pPr>
            <w:r w:rsidRPr="00600831">
              <w:t>Work registrants</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4 sites will be “hubs” for the pilot program across 35 counties</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Voluntary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Urban and rural</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Mountain</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3,890</w:t>
            </w:r>
          </w:p>
        </w:tc>
      </w:tr>
      <w:tr w:rsidR="005A222E" w:rsidRPr="00600831" w:rsidTr="00777AD6">
        <w:trPr>
          <w:trHeight w:val="1637"/>
        </w:trPr>
        <w:tc>
          <w:tcPr>
            <w:tcW w:w="278" w:type="pct"/>
            <w:tcBorders>
              <w:top w:val="single" w:sz="4" w:space="0" w:color="auto"/>
              <w:bottom w:val="single" w:sz="4" w:space="0" w:color="auto"/>
            </w:tcBorders>
          </w:tcPr>
          <w:p w:rsidR="005A222E" w:rsidRPr="00600831" w:rsidRDefault="005A222E" w:rsidP="00777AD6">
            <w:pPr>
              <w:pStyle w:val="TableText"/>
            </w:pPr>
            <w:r w:rsidRPr="00600831">
              <w:t>KY</w:t>
            </w:r>
          </w:p>
        </w:tc>
        <w:tc>
          <w:tcPr>
            <w:tcW w:w="1587" w:type="pct"/>
            <w:tcBorders>
              <w:top w:val="single" w:sz="4" w:space="0" w:color="auto"/>
              <w:bottom w:val="single" w:sz="4" w:space="0" w:color="auto"/>
            </w:tcBorders>
          </w:tcPr>
          <w:p w:rsidR="005A222E" w:rsidRPr="00600831" w:rsidRDefault="005A222E" w:rsidP="005A222E">
            <w:pPr>
              <w:pStyle w:val="TableText"/>
              <w:numPr>
                <w:ilvl w:val="0"/>
                <w:numId w:val="35"/>
              </w:numPr>
              <w:ind w:left="360"/>
            </w:pPr>
            <w:r w:rsidRPr="00600831">
              <w:t>Case management</w:t>
            </w:r>
          </w:p>
          <w:p w:rsidR="005A222E" w:rsidRPr="00600831" w:rsidRDefault="005A222E" w:rsidP="005A222E">
            <w:pPr>
              <w:pStyle w:val="TableText"/>
              <w:numPr>
                <w:ilvl w:val="0"/>
                <w:numId w:val="35"/>
              </w:numPr>
              <w:ind w:left="360"/>
            </w:pPr>
            <w:r w:rsidRPr="00600831">
              <w:t>Intensive supportive services</w:t>
            </w:r>
          </w:p>
          <w:p w:rsidR="005A222E" w:rsidRPr="00600831" w:rsidRDefault="005A222E" w:rsidP="005A222E">
            <w:pPr>
              <w:pStyle w:val="TableText"/>
              <w:numPr>
                <w:ilvl w:val="0"/>
                <w:numId w:val="35"/>
              </w:numPr>
              <w:ind w:left="360"/>
            </w:pPr>
            <w:r w:rsidRPr="00600831">
              <w:t>Employment/training services aligned with individual education plan</w:t>
            </w:r>
          </w:p>
          <w:p w:rsidR="005A222E" w:rsidRPr="00600831" w:rsidRDefault="005A222E" w:rsidP="005A222E">
            <w:pPr>
              <w:pStyle w:val="TableText"/>
              <w:numPr>
                <w:ilvl w:val="0"/>
                <w:numId w:val="35"/>
              </w:numPr>
              <w:ind w:left="360"/>
            </w:pPr>
            <w:r w:rsidRPr="00600831">
              <w:t>Success coaches at employers/providers</w:t>
            </w:r>
          </w:p>
          <w:p w:rsidR="005A222E" w:rsidRPr="00600831" w:rsidRDefault="005A222E" w:rsidP="005A222E">
            <w:pPr>
              <w:pStyle w:val="TableText"/>
              <w:numPr>
                <w:ilvl w:val="0"/>
                <w:numId w:val="35"/>
              </w:numPr>
              <w:ind w:left="360"/>
            </w:pPr>
            <w:r w:rsidRPr="00600831">
              <w:t>Reimbursement for monthly transportation and child care costs</w:t>
            </w:r>
          </w:p>
        </w:tc>
        <w:tc>
          <w:tcPr>
            <w:tcW w:w="1051" w:type="pct"/>
            <w:tcBorders>
              <w:top w:val="single" w:sz="4" w:space="0" w:color="auto"/>
              <w:bottom w:val="single" w:sz="4" w:space="0" w:color="auto"/>
            </w:tcBorders>
          </w:tcPr>
          <w:p w:rsidR="005A222E" w:rsidRPr="00600831" w:rsidRDefault="005A222E" w:rsidP="00777AD6">
            <w:pPr>
              <w:pStyle w:val="TableText"/>
            </w:pPr>
            <w:r w:rsidRPr="00600831">
              <w:t xml:space="preserve">SNAP Work registrants </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Eastern Kentucky Promise Zone (8 counties)</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Voluntary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Rural</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South-east</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4,000</w:t>
            </w:r>
          </w:p>
        </w:tc>
      </w:tr>
      <w:tr w:rsidR="005A222E" w:rsidRPr="00600831" w:rsidTr="00777AD6">
        <w:trPr>
          <w:trHeight w:val="2160"/>
        </w:trPr>
        <w:tc>
          <w:tcPr>
            <w:tcW w:w="278" w:type="pct"/>
            <w:tcBorders>
              <w:top w:val="single" w:sz="4" w:space="0" w:color="auto"/>
              <w:bottom w:val="single" w:sz="4" w:space="0" w:color="auto"/>
            </w:tcBorders>
          </w:tcPr>
          <w:p w:rsidR="005A222E" w:rsidRPr="00600831" w:rsidRDefault="005A222E" w:rsidP="00777AD6">
            <w:pPr>
              <w:pStyle w:val="TableText"/>
            </w:pPr>
            <w:r w:rsidRPr="00600831">
              <w:t>MS</w:t>
            </w:r>
          </w:p>
        </w:tc>
        <w:tc>
          <w:tcPr>
            <w:tcW w:w="1587" w:type="pct"/>
            <w:tcBorders>
              <w:top w:val="single" w:sz="4" w:space="0" w:color="auto"/>
              <w:bottom w:val="single" w:sz="4" w:space="0" w:color="auto"/>
            </w:tcBorders>
          </w:tcPr>
          <w:p w:rsidR="005A222E" w:rsidRPr="00600831" w:rsidRDefault="005A222E" w:rsidP="005A222E">
            <w:pPr>
              <w:pStyle w:val="TableText"/>
              <w:numPr>
                <w:ilvl w:val="0"/>
                <w:numId w:val="35"/>
              </w:numPr>
              <w:ind w:left="360"/>
            </w:pPr>
            <w:r w:rsidRPr="00600831">
              <w:t>Four-week career assessment program (CAP) provided by community college</w:t>
            </w:r>
          </w:p>
          <w:p w:rsidR="005A222E" w:rsidRPr="00600831" w:rsidRDefault="005A222E" w:rsidP="005A222E">
            <w:pPr>
              <w:pStyle w:val="TableText"/>
              <w:numPr>
                <w:ilvl w:val="0"/>
                <w:numId w:val="35"/>
              </w:numPr>
              <w:ind w:left="360"/>
            </w:pPr>
            <w:r w:rsidRPr="00600831">
              <w:t>Then one of three career pathway</w:t>
            </w:r>
            <w:r>
              <w:t>s</w:t>
            </w:r>
            <w:r w:rsidRPr="00600831">
              <w:t xml:space="preserve"> based on individual career plan: academic (GED or college vocational education); life skills (additional work or behavioral skills); or work (subsidized or unsubsidized employment or more career training)</w:t>
            </w:r>
          </w:p>
          <w:p w:rsidR="005A222E" w:rsidRPr="00600831" w:rsidRDefault="005A222E" w:rsidP="005A222E">
            <w:pPr>
              <w:pStyle w:val="TableText"/>
              <w:numPr>
                <w:ilvl w:val="0"/>
                <w:numId w:val="35"/>
              </w:numPr>
              <w:spacing w:after="60"/>
              <w:ind w:left="360"/>
            </w:pPr>
            <w:r w:rsidRPr="00600831">
              <w:t>Supportive services, including transportation and childcare reimbursement during CAP</w:t>
            </w:r>
          </w:p>
        </w:tc>
        <w:tc>
          <w:tcPr>
            <w:tcW w:w="1051" w:type="pct"/>
            <w:tcBorders>
              <w:top w:val="single" w:sz="4" w:space="0" w:color="auto"/>
              <w:bottom w:val="single" w:sz="4" w:space="0" w:color="auto"/>
            </w:tcBorders>
          </w:tcPr>
          <w:p w:rsidR="005A222E" w:rsidRPr="00600831" w:rsidRDefault="005A222E" w:rsidP="00777AD6">
            <w:pPr>
              <w:pStyle w:val="TableText"/>
            </w:pPr>
            <w:r w:rsidRPr="00600831">
              <w:t xml:space="preserve">New and existing </w:t>
            </w:r>
            <w:r>
              <w:t xml:space="preserve">ABAWDS </w:t>
            </w:r>
            <w:r w:rsidRPr="00600831">
              <w:t>with low-skills or limited work experience</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Five community college districts</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Mandatory</w:t>
            </w:r>
            <w:r>
              <w:t xml:space="preserve"> for ABAWDS; otherwise voluntary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Urban and rural</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South-east</w:t>
            </w:r>
          </w:p>
        </w:tc>
        <w:tc>
          <w:tcPr>
            <w:tcW w:w="347" w:type="pct"/>
            <w:tcBorders>
              <w:top w:val="single" w:sz="4" w:space="0" w:color="auto"/>
              <w:bottom w:val="single" w:sz="4" w:space="0" w:color="auto"/>
            </w:tcBorders>
          </w:tcPr>
          <w:p w:rsidR="005A222E" w:rsidRPr="00700E9E" w:rsidRDefault="005A222E" w:rsidP="00777AD6">
            <w:pPr>
              <w:pStyle w:val="TableText"/>
            </w:pPr>
            <w:r w:rsidRPr="00700E9E">
              <w:t xml:space="preserve"> 5,940</w:t>
            </w:r>
          </w:p>
        </w:tc>
      </w:tr>
      <w:tr w:rsidR="005A222E" w:rsidRPr="00600831" w:rsidTr="00777AD6">
        <w:trPr>
          <w:trHeight w:val="1007"/>
        </w:trPr>
        <w:tc>
          <w:tcPr>
            <w:tcW w:w="278" w:type="pct"/>
            <w:tcBorders>
              <w:top w:val="single" w:sz="4" w:space="0" w:color="auto"/>
              <w:bottom w:val="single" w:sz="4" w:space="0" w:color="auto"/>
            </w:tcBorders>
          </w:tcPr>
          <w:p w:rsidR="005A222E" w:rsidRPr="00600831" w:rsidRDefault="005A222E" w:rsidP="00777AD6">
            <w:pPr>
              <w:pStyle w:val="TableText"/>
              <w:keepNext/>
            </w:pPr>
            <w:r w:rsidRPr="00600831">
              <w:lastRenderedPageBreak/>
              <w:t>VA</w:t>
            </w:r>
          </w:p>
        </w:tc>
        <w:tc>
          <w:tcPr>
            <w:tcW w:w="1587" w:type="pct"/>
            <w:tcBorders>
              <w:top w:val="single" w:sz="4" w:space="0" w:color="auto"/>
              <w:bottom w:val="single" w:sz="4" w:space="0" w:color="auto"/>
            </w:tcBorders>
          </w:tcPr>
          <w:p w:rsidR="005A222E" w:rsidRPr="00600831" w:rsidRDefault="005A222E" w:rsidP="005A222E">
            <w:pPr>
              <w:pStyle w:val="TableText"/>
              <w:keepNext/>
              <w:numPr>
                <w:ilvl w:val="0"/>
                <w:numId w:val="35"/>
              </w:numPr>
              <w:ind w:left="360"/>
            </w:pPr>
            <w:r w:rsidRPr="00600831">
              <w:t xml:space="preserve">Customizable career pathways to employment via three components, based on SNAP recipients’ characteristics and background: (1) 6-8 weeks, 20hrs/wk of in-class and online instruction to improve basic academic skills, learn digital literacy skills and learn workplace and professional soft skills; (2) 12 weeks of occupational skills and other services; or (3) expansion of </w:t>
            </w:r>
            <w:proofErr w:type="spellStart"/>
            <w:r w:rsidRPr="00600831">
              <w:t>PluggedInVA</w:t>
            </w:r>
            <w:proofErr w:type="spellEnd"/>
            <w:r w:rsidRPr="00600831">
              <w:t xml:space="preserve"> at seven community colleges, this is a training and contextualized GED instruction program and community college co-enrollment.</w:t>
            </w:r>
          </w:p>
          <w:p w:rsidR="005A222E" w:rsidRPr="00600831" w:rsidRDefault="005A222E" w:rsidP="005A222E">
            <w:pPr>
              <w:pStyle w:val="TableText"/>
              <w:keepNext/>
              <w:numPr>
                <w:ilvl w:val="0"/>
                <w:numId w:val="35"/>
              </w:numPr>
              <w:spacing w:after="60"/>
              <w:ind w:left="360"/>
            </w:pPr>
            <w:r w:rsidRPr="00600831">
              <w:t>Upfront in-depth assessment and adult career coaches</w:t>
            </w:r>
          </w:p>
        </w:tc>
        <w:tc>
          <w:tcPr>
            <w:tcW w:w="1051"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ABAWDs, those with low skills, and non-custodial parents who owe child support and face potential time in jail</w:t>
            </w:r>
          </w:p>
        </w:tc>
        <w:tc>
          <w:tcPr>
            <w:tcW w:w="556" w:type="pct"/>
            <w:tcBorders>
              <w:top w:val="single" w:sz="4" w:space="0" w:color="auto"/>
              <w:bottom w:val="single" w:sz="4" w:space="0" w:color="auto"/>
            </w:tcBorders>
            <w:shd w:val="clear" w:color="auto" w:fill="auto"/>
          </w:tcPr>
          <w:p w:rsidR="005A222E" w:rsidRPr="00600831" w:rsidRDefault="005A222E" w:rsidP="00777AD6">
            <w:pPr>
              <w:pStyle w:val="TableText"/>
              <w:keepNext/>
            </w:pPr>
            <w:r w:rsidRPr="00600831">
              <w:t>30 locations</w:t>
            </w:r>
          </w:p>
        </w:tc>
        <w:tc>
          <w:tcPr>
            <w:tcW w:w="486" w:type="pct"/>
            <w:tcBorders>
              <w:top w:val="single" w:sz="4" w:space="0" w:color="auto"/>
              <w:bottom w:val="single" w:sz="4" w:space="0" w:color="auto"/>
            </w:tcBorders>
          </w:tcPr>
          <w:p w:rsidR="005A222E" w:rsidRPr="00600831" w:rsidRDefault="005A222E" w:rsidP="00777AD6">
            <w:pPr>
              <w:pStyle w:val="TableText"/>
              <w:keepNext/>
            </w:pPr>
            <w:r w:rsidRPr="00600831">
              <w:t xml:space="preserve">Voluntary  </w:t>
            </w:r>
          </w:p>
        </w:tc>
        <w:tc>
          <w:tcPr>
            <w:tcW w:w="313" w:type="pct"/>
            <w:tcBorders>
              <w:top w:val="single" w:sz="4" w:space="0" w:color="auto"/>
              <w:bottom w:val="single" w:sz="4" w:space="0" w:color="auto"/>
            </w:tcBorders>
          </w:tcPr>
          <w:p w:rsidR="005A222E" w:rsidRPr="00600831" w:rsidRDefault="005A222E" w:rsidP="00777AD6">
            <w:pPr>
              <w:pStyle w:val="TableText"/>
              <w:keepNext/>
            </w:pPr>
            <w:r w:rsidRPr="00600831">
              <w:t>Urban and rural</w:t>
            </w:r>
          </w:p>
        </w:tc>
        <w:tc>
          <w:tcPr>
            <w:tcW w:w="382" w:type="pct"/>
            <w:tcBorders>
              <w:top w:val="single" w:sz="4" w:space="0" w:color="auto"/>
              <w:bottom w:val="single" w:sz="4" w:space="0" w:color="auto"/>
            </w:tcBorders>
          </w:tcPr>
          <w:p w:rsidR="005A222E" w:rsidRPr="00600831" w:rsidRDefault="005A222E" w:rsidP="00777AD6">
            <w:pPr>
              <w:pStyle w:val="TableText"/>
              <w:keepNext/>
            </w:pPr>
            <w:r w:rsidRPr="00600831">
              <w:t>Mid-Atlantic</w:t>
            </w:r>
          </w:p>
        </w:tc>
        <w:tc>
          <w:tcPr>
            <w:tcW w:w="347" w:type="pct"/>
            <w:tcBorders>
              <w:top w:val="single" w:sz="4" w:space="0" w:color="auto"/>
              <w:bottom w:val="single" w:sz="4" w:space="0" w:color="auto"/>
            </w:tcBorders>
          </w:tcPr>
          <w:p w:rsidR="005A222E" w:rsidRPr="00600831" w:rsidRDefault="005A222E" w:rsidP="00777AD6">
            <w:pPr>
              <w:pStyle w:val="TableText"/>
              <w:keepNext/>
            </w:pPr>
            <w:r>
              <w:t>4,320</w:t>
            </w:r>
          </w:p>
        </w:tc>
      </w:tr>
      <w:tr w:rsidR="005A222E" w:rsidRPr="00600831" w:rsidTr="00777AD6">
        <w:trPr>
          <w:trHeight w:val="2420"/>
        </w:trPr>
        <w:tc>
          <w:tcPr>
            <w:tcW w:w="278" w:type="pct"/>
            <w:tcBorders>
              <w:top w:val="single" w:sz="4" w:space="0" w:color="auto"/>
              <w:bottom w:val="single" w:sz="4" w:space="0" w:color="auto"/>
            </w:tcBorders>
          </w:tcPr>
          <w:p w:rsidR="005A222E" w:rsidRPr="00600831" w:rsidRDefault="005A222E" w:rsidP="00777AD6">
            <w:pPr>
              <w:pStyle w:val="TableText"/>
            </w:pPr>
            <w:r w:rsidRPr="00600831">
              <w:t>VT</w:t>
            </w:r>
          </w:p>
        </w:tc>
        <w:tc>
          <w:tcPr>
            <w:tcW w:w="1587" w:type="pct"/>
            <w:tcBorders>
              <w:top w:val="single" w:sz="4" w:space="0" w:color="auto"/>
              <w:bottom w:val="single" w:sz="4" w:space="0" w:color="auto"/>
            </w:tcBorders>
          </w:tcPr>
          <w:p w:rsidR="005A222E" w:rsidRPr="000E5420" w:rsidRDefault="005A222E" w:rsidP="005A222E">
            <w:pPr>
              <w:pStyle w:val="TableText"/>
              <w:numPr>
                <w:ilvl w:val="0"/>
                <w:numId w:val="35"/>
              </w:numPr>
              <w:ind w:left="360"/>
              <w:rPr>
                <w:sz w:val="17"/>
                <w:szCs w:val="17"/>
              </w:rPr>
            </w:pPr>
            <w:r w:rsidRPr="000E5420">
              <w:rPr>
                <w:sz w:val="17"/>
                <w:szCs w:val="17"/>
              </w:rPr>
              <w:t>Services provided to all pilot clients: (1) clinical assessment; (2) case management; (3) career-readiness training linked to certification; (4) basic education and literacy services; (5) Progressive Employment services; (6) WIOA training; (7) job development and placement; (8) post-employment support</w:t>
            </w:r>
          </w:p>
          <w:p w:rsidR="005A222E" w:rsidRPr="00600831" w:rsidRDefault="005A222E" w:rsidP="005A222E">
            <w:pPr>
              <w:pStyle w:val="TableText"/>
              <w:numPr>
                <w:ilvl w:val="0"/>
                <w:numId w:val="35"/>
              </w:numPr>
              <w:ind w:left="360"/>
            </w:pPr>
            <w:r w:rsidRPr="000E5420">
              <w:rPr>
                <w:sz w:val="17"/>
                <w:szCs w:val="17"/>
              </w:rPr>
              <w:t xml:space="preserve">Supplemental wrap-around and support services targeted to clients in each of the pilot’s target populations: (1) financial capability services; (2) housing stabilization services; (3) addiction recovery services; (4) fidelity bonding services </w:t>
            </w:r>
          </w:p>
        </w:tc>
        <w:tc>
          <w:tcPr>
            <w:tcW w:w="1051" w:type="pct"/>
            <w:tcBorders>
              <w:top w:val="single" w:sz="4" w:space="0" w:color="auto"/>
              <w:bottom w:val="single" w:sz="4" w:space="0" w:color="auto"/>
            </w:tcBorders>
            <w:shd w:val="clear" w:color="auto" w:fill="auto"/>
          </w:tcPr>
          <w:p w:rsidR="005A222E" w:rsidRPr="00600831" w:rsidRDefault="005A222E" w:rsidP="00777AD6">
            <w:pPr>
              <w:pStyle w:val="TableText"/>
            </w:pPr>
            <w:r w:rsidRPr="00600831">
              <w:t xml:space="preserve">Homeless, individuals connected to the correctional system, substance abusers (incl. individuals with undiagnosed mental illness) </w:t>
            </w:r>
          </w:p>
        </w:tc>
        <w:tc>
          <w:tcPr>
            <w:tcW w:w="556" w:type="pct"/>
            <w:tcBorders>
              <w:top w:val="single" w:sz="4" w:space="0" w:color="auto"/>
              <w:bottom w:val="single" w:sz="4" w:space="0" w:color="auto"/>
            </w:tcBorders>
            <w:shd w:val="clear" w:color="auto" w:fill="auto"/>
          </w:tcPr>
          <w:p w:rsidR="005A222E" w:rsidRPr="00600831" w:rsidRDefault="005A222E" w:rsidP="00777AD6">
            <w:pPr>
              <w:pStyle w:val="TableText"/>
            </w:pPr>
            <w:r w:rsidRPr="00600831">
              <w:t>Statewide</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 xml:space="preserve">Mandatory </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 xml:space="preserve">Rural </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North-east</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3,000</w:t>
            </w:r>
          </w:p>
        </w:tc>
      </w:tr>
      <w:tr w:rsidR="005A222E" w:rsidRPr="00600831" w:rsidTr="00777AD6">
        <w:trPr>
          <w:trHeight w:val="927"/>
        </w:trPr>
        <w:tc>
          <w:tcPr>
            <w:tcW w:w="278" w:type="pct"/>
            <w:tcBorders>
              <w:top w:val="single" w:sz="4" w:space="0" w:color="auto"/>
              <w:bottom w:val="single" w:sz="4" w:space="0" w:color="auto"/>
            </w:tcBorders>
          </w:tcPr>
          <w:p w:rsidR="005A222E" w:rsidRPr="00600831" w:rsidRDefault="005A222E" w:rsidP="00777AD6">
            <w:pPr>
              <w:pStyle w:val="TableText"/>
            </w:pPr>
            <w:r w:rsidRPr="00600831">
              <w:t>WA</w:t>
            </w:r>
          </w:p>
        </w:tc>
        <w:tc>
          <w:tcPr>
            <w:tcW w:w="1587" w:type="pct"/>
            <w:tcBorders>
              <w:top w:val="single" w:sz="4" w:space="0" w:color="auto"/>
              <w:bottom w:val="single" w:sz="4" w:space="0" w:color="auto"/>
            </w:tcBorders>
          </w:tcPr>
          <w:p w:rsidR="005A222E" w:rsidRDefault="005A222E" w:rsidP="005A222E">
            <w:pPr>
              <w:pStyle w:val="TableText"/>
              <w:numPr>
                <w:ilvl w:val="0"/>
                <w:numId w:val="35"/>
              </w:numPr>
            </w:pPr>
            <w:r w:rsidRPr="00600831">
              <w:t>Case management</w:t>
            </w:r>
          </w:p>
          <w:p w:rsidR="005A222E" w:rsidRPr="00600831" w:rsidRDefault="005A222E" w:rsidP="005A222E">
            <w:pPr>
              <w:pStyle w:val="TableText"/>
              <w:numPr>
                <w:ilvl w:val="0"/>
                <w:numId w:val="35"/>
              </w:numPr>
              <w:rPr>
                <w:rFonts w:ascii="Calibri" w:hAnsi="Calibri"/>
                <w:sz w:val="22"/>
                <w:szCs w:val="22"/>
              </w:rPr>
            </w:pPr>
            <w:r>
              <w:t>Extensive w</w:t>
            </w:r>
            <w:r w:rsidRPr="00600831">
              <w:t>rap around services to address barriers</w:t>
            </w:r>
          </w:p>
          <w:p w:rsidR="005A222E" w:rsidRPr="00600831" w:rsidRDefault="005A222E" w:rsidP="005A222E">
            <w:pPr>
              <w:pStyle w:val="TableText"/>
              <w:numPr>
                <w:ilvl w:val="0"/>
                <w:numId w:val="35"/>
              </w:numPr>
            </w:pPr>
            <w:r>
              <w:t>W</w:t>
            </w:r>
            <w:r w:rsidRPr="00600831">
              <w:t>ork-based learning opportunities including subsidized employment and on-the-job training</w:t>
            </w:r>
          </w:p>
        </w:tc>
        <w:tc>
          <w:tcPr>
            <w:tcW w:w="1051" w:type="pct"/>
            <w:tcBorders>
              <w:top w:val="single" w:sz="4" w:space="0" w:color="auto"/>
              <w:bottom w:val="single" w:sz="4" w:space="0" w:color="auto"/>
            </w:tcBorders>
          </w:tcPr>
          <w:p w:rsidR="005A222E" w:rsidRPr="00600831" w:rsidRDefault="005A222E" w:rsidP="00777AD6">
            <w:pPr>
              <w:pStyle w:val="TableText"/>
              <w:spacing w:after="60"/>
            </w:pPr>
            <w:r>
              <w:t>New w</w:t>
            </w:r>
            <w:r w:rsidRPr="00600831">
              <w:t xml:space="preserve">ork registrants with significant barriers to employment: long-term unemployed, homeless, limited English proficiency, veterans, noncustodial parents with delinquent payment history </w:t>
            </w:r>
          </w:p>
        </w:tc>
        <w:tc>
          <w:tcPr>
            <w:tcW w:w="556" w:type="pct"/>
            <w:tcBorders>
              <w:top w:val="single" w:sz="4" w:space="0" w:color="auto"/>
              <w:bottom w:val="single" w:sz="4" w:space="0" w:color="auto"/>
            </w:tcBorders>
          </w:tcPr>
          <w:p w:rsidR="005A222E" w:rsidRPr="00600831" w:rsidRDefault="005A222E" w:rsidP="00777AD6">
            <w:pPr>
              <w:pStyle w:val="TableText"/>
            </w:pPr>
            <w:r w:rsidRPr="00600831">
              <w:t>Four counties (King, Pierce, Spokane, and Yakima)</w:t>
            </w:r>
          </w:p>
        </w:tc>
        <w:tc>
          <w:tcPr>
            <w:tcW w:w="486" w:type="pct"/>
            <w:tcBorders>
              <w:top w:val="single" w:sz="4" w:space="0" w:color="auto"/>
              <w:bottom w:val="single" w:sz="4" w:space="0" w:color="auto"/>
            </w:tcBorders>
          </w:tcPr>
          <w:p w:rsidR="005A222E" w:rsidRPr="00600831" w:rsidRDefault="005A222E" w:rsidP="00777AD6">
            <w:pPr>
              <w:pStyle w:val="TableText"/>
            </w:pPr>
            <w:r w:rsidRPr="00600831">
              <w:t>Voluntary</w:t>
            </w:r>
          </w:p>
        </w:tc>
        <w:tc>
          <w:tcPr>
            <w:tcW w:w="313" w:type="pct"/>
            <w:tcBorders>
              <w:top w:val="single" w:sz="4" w:space="0" w:color="auto"/>
              <w:bottom w:val="single" w:sz="4" w:space="0" w:color="auto"/>
            </w:tcBorders>
          </w:tcPr>
          <w:p w:rsidR="005A222E" w:rsidRPr="00600831" w:rsidRDefault="005A222E" w:rsidP="00777AD6">
            <w:pPr>
              <w:pStyle w:val="TableText"/>
            </w:pPr>
            <w:r w:rsidRPr="00600831">
              <w:t>Urban and rural</w:t>
            </w:r>
          </w:p>
        </w:tc>
        <w:tc>
          <w:tcPr>
            <w:tcW w:w="382" w:type="pct"/>
            <w:tcBorders>
              <w:top w:val="single" w:sz="4" w:space="0" w:color="auto"/>
              <w:bottom w:val="single" w:sz="4" w:space="0" w:color="auto"/>
            </w:tcBorders>
          </w:tcPr>
          <w:p w:rsidR="005A222E" w:rsidRPr="00600831" w:rsidRDefault="005A222E" w:rsidP="00777AD6">
            <w:pPr>
              <w:pStyle w:val="TableText"/>
            </w:pPr>
            <w:r w:rsidRPr="00600831">
              <w:t>West</w:t>
            </w:r>
          </w:p>
        </w:tc>
        <w:tc>
          <w:tcPr>
            <w:tcW w:w="347" w:type="pct"/>
            <w:tcBorders>
              <w:top w:val="single" w:sz="4" w:space="0" w:color="auto"/>
              <w:bottom w:val="single" w:sz="4" w:space="0" w:color="auto"/>
            </w:tcBorders>
          </w:tcPr>
          <w:p w:rsidR="005A222E" w:rsidRPr="00600831" w:rsidRDefault="005A222E" w:rsidP="00777AD6">
            <w:pPr>
              <w:pStyle w:val="TableText"/>
            </w:pPr>
            <w:r w:rsidRPr="00600831">
              <w:t>14,000</w:t>
            </w:r>
          </w:p>
        </w:tc>
      </w:tr>
    </w:tbl>
    <w:p w:rsidR="005A222E" w:rsidRPr="009346C8" w:rsidRDefault="005A222E" w:rsidP="005A222E">
      <w:pPr>
        <w:pStyle w:val="TableFootnoteCaption"/>
      </w:pPr>
      <w:proofErr w:type="gramStart"/>
      <w:r w:rsidRPr="009346C8">
        <w:rPr>
          <w:vertAlign w:val="superscript"/>
        </w:rPr>
        <w:t>a</w:t>
      </w:r>
      <w:proofErr w:type="gramEnd"/>
      <w:r w:rsidRPr="009346C8">
        <w:t xml:space="preserve"> The sample size represents the sum of the treatment and control groups and is evenly split between the two groups in all sites.</w:t>
      </w:r>
    </w:p>
    <w:p w:rsidR="005A222E" w:rsidRDefault="005A222E" w:rsidP="005A222E"/>
    <w:p w:rsidR="00894358" w:rsidRDefault="00894358" w:rsidP="00B30DDF">
      <w:bookmarkStart w:id="13" w:name="_GoBack"/>
      <w:bookmarkEnd w:id="13"/>
    </w:p>
    <w:p w:rsidR="00894358" w:rsidRDefault="00894358" w:rsidP="00B30DDF">
      <w:pPr>
        <w:sectPr w:rsidR="00894358" w:rsidSect="00894358">
          <w:headerReference w:type="default" r:id="rId23"/>
          <w:footerReference w:type="default" r:id="rId24"/>
          <w:pgSz w:w="15840" w:h="12240" w:orient="landscape"/>
          <w:pgMar w:top="1440" w:right="1440" w:bottom="576" w:left="1440" w:header="720" w:footer="720" w:gutter="0"/>
          <w:cols w:space="720"/>
          <w:docGrid w:linePitch="360"/>
        </w:sectPr>
      </w:pPr>
    </w:p>
    <w:p w:rsidR="00B30DDF" w:rsidRPr="007B0C01" w:rsidRDefault="00B30DDF" w:rsidP="000A66E4">
      <w:r w:rsidRPr="007B0C01">
        <w:lastRenderedPageBreak/>
        <w:t xml:space="preserve">This section describes the sampling procedures that will be used for the </w:t>
      </w:r>
      <w:r>
        <w:t>pilot studies</w:t>
      </w:r>
      <w:r w:rsidRPr="007B0C01">
        <w:t xml:space="preserve">, including: (1) sample frame determination, (2) design features specific to </w:t>
      </w:r>
      <w:r>
        <w:t>individual-level RA design studies</w:t>
      </w:r>
      <w:r w:rsidRPr="007B0C01">
        <w:t>, (3)</w:t>
      </w:r>
      <w:r w:rsidR="002361D8">
        <w:t xml:space="preserve"> sampling plan, and (4)</w:t>
      </w:r>
      <w:r w:rsidRPr="007B0C01">
        <w:t xml:space="preserve"> expected response rates and nonresponse analysis. </w:t>
      </w:r>
    </w:p>
    <w:p w:rsidR="00B30DDF" w:rsidRPr="00865AE2" w:rsidRDefault="00B30DDF" w:rsidP="00A67A0C">
      <w:pPr>
        <w:pStyle w:val="H4Number"/>
      </w:pPr>
      <w:bookmarkStart w:id="14" w:name="_Toc408492371"/>
      <w:bookmarkStart w:id="15" w:name="_Toc414577808"/>
      <w:bookmarkStart w:id="16" w:name="_Toc432164921"/>
      <w:r w:rsidRPr="00865AE2">
        <w:t>1</w:t>
      </w:r>
      <w:r>
        <w:t>.</w:t>
      </w:r>
      <w:r w:rsidR="009078F0">
        <w:tab/>
      </w:r>
      <w:r w:rsidRPr="00865AE2">
        <w:t>Sample Frame Determination</w:t>
      </w:r>
      <w:bookmarkEnd w:id="14"/>
      <w:bookmarkEnd w:id="15"/>
      <w:bookmarkEnd w:id="16"/>
    </w:p>
    <w:p w:rsidR="00B30DDF" w:rsidRPr="00C31B56" w:rsidRDefault="00B30DDF" w:rsidP="000A66E4">
      <w:r w:rsidRPr="00C31B56">
        <w:t xml:space="preserve">Each pilot study design will dictate how </w:t>
      </w:r>
      <w:r w:rsidR="00C64412">
        <w:t>we</w:t>
      </w:r>
      <w:r w:rsidRPr="00C31B56">
        <w:t xml:space="preserve"> </w:t>
      </w:r>
      <w:r w:rsidR="00C64412" w:rsidRPr="00C31B56">
        <w:t>identif</w:t>
      </w:r>
      <w:r w:rsidR="00C64412">
        <w:t>y</w:t>
      </w:r>
      <w:r w:rsidR="00C64412" w:rsidRPr="00C31B56">
        <w:t xml:space="preserve"> </w:t>
      </w:r>
      <w:r w:rsidRPr="00C31B56">
        <w:t xml:space="preserve">the </w:t>
      </w:r>
      <w:r>
        <w:t>sample frame for that pilot</w:t>
      </w:r>
      <w:r w:rsidRPr="00C31B56">
        <w:t xml:space="preserve">. Our </w:t>
      </w:r>
      <w:r>
        <w:t>initial</w:t>
      </w:r>
      <w:r w:rsidRPr="00C31B56">
        <w:t xml:space="preserve"> interactions with pilots will focus on providing them information about the study and </w:t>
      </w:r>
      <w:r>
        <w:t xml:space="preserve">also obtaining information about </w:t>
      </w:r>
      <w:r w:rsidRPr="00C31B56">
        <w:t xml:space="preserve">how the site will implement both the intervention and its evaluation. </w:t>
      </w:r>
      <w:r>
        <w:t>In communicating with the sites, w</w:t>
      </w:r>
      <w:r w:rsidRPr="00C31B56">
        <w:t>e will focus on the following issues:</w:t>
      </w:r>
    </w:p>
    <w:p w:rsidR="00B30DDF" w:rsidRPr="00FA3F33" w:rsidRDefault="00B30DDF" w:rsidP="00DC0B18">
      <w:pPr>
        <w:pStyle w:val="Bullet"/>
      </w:pPr>
      <w:r w:rsidRPr="00FA3F33">
        <w:t>Where components of the study intake process—obtaining consent</w:t>
      </w:r>
      <w:r w:rsidR="005C6C34" w:rsidRPr="00FA3F33">
        <w:t xml:space="preserve"> (Attachments D.1, D.2,  D.3</w:t>
      </w:r>
      <w:r w:rsidR="002361D8" w:rsidRPr="00FA3F33">
        <w:t>, and D.4</w:t>
      </w:r>
      <w:r w:rsidR="005C6C34" w:rsidRPr="00FA3F33">
        <w:t>)</w:t>
      </w:r>
      <w:r w:rsidRPr="00FA3F33">
        <w:t>, collecting baseline information</w:t>
      </w:r>
      <w:r w:rsidR="000016A2" w:rsidRPr="00FA3F33">
        <w:t xml:space="preserve"> via a registration document</w:t>
      </w:r>
      <w:r w:rsidR="005C6C34" w:rsidRPr="00FA3F33">
        <w:t xml:space="preserve"> (Attachments C.1 and C.2)</w:t>
      </w:r>
      <w:r w:rsidRPr="00FA3F33">
        <w:t xml:space="preserve">, conducting RA, and service provider assessments—take place in the overall program flow of the pilot </w:t>
      </w:r>
    </w:p>
    <w:p w:rsidR="00B30DDF" w:rsidRPr="00FA3F33" w:rsidRDefault="00B30DDF" w:rsidP="00DC0B18">
      <w:pPr>
        <w:pStyle w:val="Bullet"/>
      </w:pPr>
      <w:r w:rsidRPr="00FA3F33">
        <w:t>How random assignment (RA) will be integrated into program intake</w:t>
      </w:r>
    </w:p>
    <w:p w:rsidR="00B30DDF" w:rsidRPr="00FA3F33" w:rsidRDefault="00B30DDF" w:rsidP="00DC0B18">
      <w:pPr>
        <w:pStyle w:val="Bullet"/>
      </w:pPr>
      <w:r w:rsidRPr="00FA3F33">
        <w:t>What enhancements might be appropriate in the intervention definition to ensure a strong treatment–counterfactual distinction</w:t>
      </w:r>
    </w:p>
    <w:p w:rsidR="00B30DDF" w:rsidRPr="00FA3F33" w:rsidRDefault="00B30DDF" w:rsidP="00DC0B18">
      <w:pPr>
        <w:pStyle w:val="Bullet"/>
      </w:pPr>
      <w:r w:rsidRPr="00FA3F33">
        <w:t>What geographic locations within the site the study should include</w:t>
      </w:r>
    </w:p>
    <w:p w:rsidR="00B30DDF" w:rsidRPr="00FA3F33" w:rsidRDefault="00B30DDF" w:rsidP="00DC0B18">
      <w:pPr>
        <w:pStyle w:val="Bullet"/>
      </w:pPr>
      <w:r w:rsidRPr="00FA3F33">
        <w:t xml:space="preserve">What adjustments, if any, are needed and possible in the participant-tracking management information system (MIS) to ensure </w:t>
      </w:r>
      <w:r w:rsidR="000A66E4" w:rsidRPr="00FA3F33">
        <w:t xml:space="preserve">receipt of </w:t>
      </w:r>
      <w:r w:rsidRPr="00FA3F33">
        <w:t>reliable data on pilot services</w:t>
      </w:r>
    </w:p>
    <w:p w:rsidR="00B30DDF" w:rsidRPr="00FA3F33" w:rsidRDefault="00B30DDF" w:rsidP="00DC0B18">
      <w:pPr>
        <w:pStyle w:val="Bullet"/>
      </w:pPr>
      <w:r w:rsidRPr="00FA3F33">
        <w:t xml:space="preserve">How best and most securely to transfer data to </w:t>
      </w:r>
      <w:r w:rsidR="00DF32E9" w:rsidRPr="00FA3F33">
        <w:t>our contractor</w:t>
      </w:r>
    </w:p>
    <w:p w:rsidR="00B30DDF" w:rsidRPr="00FA3F33" w:rsidRDefault="00B30DDF" w:rsidP="00DC0B18">
      <w:pPr>
        <w:pStyle w:val="Bullet"/>
      </w:pPr>
      <w:r w:rsidRPr="00FA3F33">
        <w:t>How agency and provider staff will guard against participants receiving services that are inconsistent with their RA status</w:t>
      </w:r>
    </w:p>
    <w:p w:rsidR="00B30DDF" w:rsidRPr="00FA3F33" w:rsidRDefault="00B30DDF" w:rsidP="007D705C">
      <w:pPr>
        <w:pStyle w:val="BulletLastDS"/>
        <w:spacing w:after="0" w:line="480" w:lineRule="auto"/>
      </w:pPr>
      <w:r w:rsidRPr="00FA3F33">
        <w:t>What partner and provider organizations will be involved</w:t>
      </w:r>
    </w:p>
    <w:p w:rsidR="009A4D57" w:rsidRDefault="00B30DDF" w:rsidP="000A66E4">
      <w:r>
        <w:t>This information will help us define the study population of interest for each site and determine how to construct sample frames for each site.</w:t>
      </w:r>
    </w:p>
    <w:p w:rsidR="00B30DDF" w:rsidRPr="007B0C01" w:rsidRDefault="009A4D57" w:rsidP="00A67A0C">
      <w:pPr>
        <w:pStyle w:val="H4Number"/>
      </w:pPr>
      <w:bookmarkStart w:id="17" w:name="_Toc408492372"/>
      <w:bookmarkStart w:id="18" w:name="_Toc414577809"/>
      <w:bookmarkStart w:id="19" w:name="_Toc432164922"/>
      <w:r>
        <w:t>2</w:t>
      </w:r>
      <w:r w:rsidR="00B30DDF" w:rsidRPr="007B0C01">
        <w:t>.</w:t>
      </w:r>
      <w:r w:rsidR="00A67A0C">
        <w:tab/>
      </w:r>
      <w:r w:rsidR="00B30DDF" w:rsidRPr="007B0C01">
        <w:t>Design Features</w:t>
      </w:r>
      <w:bookmarkEnd w:id="17"/>
      <w:bookmarkEnd w:id="18"/>
      <w:bookmarkEnd w:id="19"/>
    </w:p>
    <w:p w:rsidR="00B30DDF" w:rsidRPr="00A27B51" w:rsidRDefault="00B30DDF" w:rsidP="000A66E4">
      <w:pPr>
        <w:rPr>
          <w:szCs w:val="24"/>
        </w:rPr>
      </w:pPr>
      <w:r w:rsidRPr="00A27B51">
        <w:rPr>
          <w:szCs w:val="24"/>
        </w:rPr>
        <w:t xml:space="preserve">Different designs have different implications for the research question being addressed, their statistical power, their feasibility, and the ease with which staff can adhere to evaluation procedures. </w:t>
      </w:r>
      <w:r>
        <w:rPr>
          <w:szCs w:val="24"/>
        </w:rPr>
        <w:t>We will work with each site to develop designs best suited for their interventions.</w:t>
      </w:r>
    </w:p>
    <w:p w:rsidR="00B30DDF" w:rsidRPr="00A27B51" w:rsidRDefault="00B30DDF" w:rsidP="00B30DDF">
      <w:pPr>
        <w:rPr>
          <w:szCs w:val="24"/>
        </w:rPr>
      </w:pPr>
      <w:r w:rsidRPr="00A27B51">
        <w:rPr>
          <w:szCs w:val="24"/>
        </w:rPr>
        <w:lastRenderedPageBreak/>
        <w:t xml:space="preserve">A key design variable </w:t>
      </w:r>
      <w:r>
        <w:rPr>
          <w:szCs w:val="24"/>
        </w:rPr>
        <w:t xml:space="preserve">across all sites </w:t>
      </w:r>
      <w:r w:rsidRPr="00A27B51">
        <w:rPr>
          <w:szCs w:val="24"/>
        </w:rPr>
        <w:t xml:space="preserve">is the unit of RA—whether individuals or </w:t>
      </w:r>
      <w:r>
        <w:rPr>
          <w:szCs w:val="24"/>
        </w:rPr>
        <w:t xml:space="preserve">clusters of individuals, such as those within the same SNAP </w:t>
      </w:r>
      <w:r w:rsidRPr="00A27B51">
        <w:rPr>
          <w:szCs w:val="24"/>
        </w:rPr>
        <w:t>office</w:t>
      </w:r>
      <w:r>
        <w:rPr>
          <w:szCs w:val="24"/>
        </w:rPr>
        <w:t>,</w:t>
      </w:r>
      <w:r w:rsidRPr="00A27B51">
        <w:rPr>
          <w:szCs w:val="24"/>
        </w:rPr>
        <w:t xml:space="preserve"> are randomly assigned to a treatment or control group. </w:t>
      </w:r>
      <w:r>
        <w:rPr>
          <w:szCs w:val="24"/>
        </w:rPr>
        <w:t xml:space="preserve">All ten pilots have proposed randomly </w:t>
      </w:r>
      <w:r w:rsidRPr="00A27B51">
        <w:rPr>
          <w:szCs w:val="24"/>
        </w:rPr>
        <w:t xml:space="preserve">assigning </w:t>
      </w:r>
      <w:r>
        <w:rPr>
          <w:szCs w:val="24"/>
        </w:rPr>
        <w:t xml:space="preserve">individual participants </w:t>
      </w:r>
      <w:r w:rsidRPr="00A27B51">
        <w:rPr>
          <w:szCs w:val="24"/>
        </w:rPr>
        <w:t>within SNAP offices to receive different interventions</w:t>
      </w:r>
      <w:r>
        <w:rPr>
          <w:szCs w:val="24"/>
        </w:rPr>
        <w:t>, which</w:t>
      </w:r>
      <w:r w:rsidRPr="00A27B51">
        <w:rPr>
          <w:szCs w:val="24"/>
        </w:rPr>
        <w:t xml:space="preserve"> creates greater statistical power and thus greater ability to detect program impacts, compared </w:t>
      </w:r>
      <w:r>
        <w:rPr>
          <w:szCs w:val="24"/>
        </w:rPr>
        <w:t>with</w:t>
      </w:r>
      <w:r w:rsidRPr="00A27B51">
        <w:rPr>
          <w:szCs w:val="24"/>
        </w:rPr>
        <w:t xml:space="preserve"> randomly assigning </w:t>
      </w:r>
      <w:r>
        <w:rPr>
          <w:szCs w:val="24"/>
        </w:rPr>
        <w:t xml:space="preserve">entire </w:t>
      </w:r>
      <w:r w:rsidRPr="00A27B51">
        <w:rPr>
          <w:szCs w:val="24"/>
        </w:rPr>
        <w:t xml:space="preserve">offices to offer specific interventions (or no intervention at all). </w:t>
      </w:r>
    </w:p>
    <w:p w:rsidR="00B30DDF" w:rsidRPr="00A27B51" w:rsidRDefault="00B30DDF" w:rsidP="004C5286">
      <w:pPr>
        <w:rPr>
          <w:szCs w:val="24"/>
        </w:rPr>
      </w:pPr>
      <w:r>
        <w:rPr>
          <w:szCs w:val="24"/>
        </w:rPr>
        <w:t>W</w:t>
      </w:r>
      <w:r w:rsidRPr="00A27B51">
        <w:rPr>
          <w:szCs w:val="24"/>
        </w:rPr>
        <w:t xml:space="preserve">e </w:t>
      </w:r>
      <w:r>
        <w:rPr>
          <w:szCs w:val="24"/>
        </w:rPr>
        <w:t xml:space="preserve">will </w:t>
      </w:r>
      <w:r w:rsidRPr="00A27B51">
        <w:rPr>
          <w:szCs w:val="24"/>
        </w:rPr>
        <w:t xml:space="preserve">deploy one of three specific RA models to address the research questions of interest: </w:t>
      </w:r>
    </w:p>
    <w:p w:rsidR="00A67A0C" w:rsidRDefault="00B30DDF" w:rsidP="00A67A0C">
      <w:pPr>
        <w:pStyle w:val="Bullet"/>
      </w:pPr>
      <w:r w:rsidRPr="00A67A0C">
        <w:rPr>
          <w:b/>
          <w:i/>
        </w:rPr>
        <w:t>Single-arm.</w:t>
      </w:r>
      <w:r w:rsidRPr="00B30DDF">
        <w:t xml:space="preserve"> Under this design, individuals are randomly assigned into either a treatment group that receives the intervention services or a control group that does not.</w:t>
      </w:r>
    </w:p>
    <w:p w:rsidR="00B30DDF" w:rsidRPr="00B30DDF" w:rsidRDefault="00B30DDF" w:rsidP="00A67A0C">
      <w:pPr>
        <w:pStyle w:val="Bullet"/>
      </w:pPr>
      <w:r w:rsidRPr="00A67A0C">
        <w:rPr>
          <w:b/>
          <w:i/>
        </w:rPr>
        <w:t>Multi-arm with distinct treatments.</w:t>
      </w:r>
      <w:r w:rsidRPr="00B30DDF">
        <w:t xml:space="preserve"> In multi-arm designs, individuals are randomly assigned to one of several treatment groups that receive distinct intervention services or to a control group that does not receive any of them. For example, one treatment group might receive job search assistance while another receives more intensive case management and the control group receives no E&amp;T services. </w:t>
      </w:r>
    </w:p>
    <w:p w:rsidR="009A4D57" w:rsidRDefault="00B30DDF" w:rsidP="003C5AD1">
      <w:pPr>
        <w:pStyle w:val="BulletLastSS"/>
      </w:pPr>
      <w:r w:rsidRPr="00B30DDF">
        <w:rPr>
          <w:b/>
          <w:i/>
        </w:rPr>
        <w:t>Multi-arm with enhancements.</w:t>
      </w:r>
      <w:r w:rsidRPr="00B30DDF">
        <w:t xml:space="preserve"> In some multi-arm designs, some services in one treatment group can be an “add-on” to the services offered in the other treatment group. For example, one treatment might consist solely of job search assistance, while another would consist of job search assistance plus supportive services. This design provides a measure not only of the impact of each intervention, but also of the value added from the more intensive group-based services relative to individual-level services.</w:t>
      </w:r>
    </w:p>
    <w:p w:rsidR="005053F6" w:rsidRDefault="005053F6" w:rsidP="003C5AD1">
      <w:r>
        <w:t xml:space="preserve">Depending on each Grantee’s design, SNAP participants will be randomly assigned to one of potentially several treatment groups or to a control group. After SNAP participants provide consent to participate in the study and complete a baseline registration document via </w:t>
      </w:r>
      <w:r w:rsidR="009F00C2">
        <w:t xml:space="preserve">EPIS, </w:t>
      </w:r>
      <w:r>
        <w:t xml:space="preserve">a web-based system designed by the evaluation team, Grantees’ pilot intake staff will submit the information to the evaluation team with the click of a button. The evaluation team will then randomly assign the SNAP participant and return the assignment status within seconds of receiving it. </w:t>
      </w:r>
    </w:p>
    <w:p w:rsidR="009A4D57" w:rsidRPr="009A4D57" w:rsidRDefault="009A4D57" w:rsidP="009A4D57">
      <w:pPr>
        <w:pStyle w:val="H4Number"/>
        <w:spacing w:after="0" w:line="480" w:lineRule="auto"/>
      </w:pPr>
      <w:bookmarkStart w:id="20" w:name="_Toc432164923"/>
      <w:r>
        <w:lastRenderedPageBreak/>
        <w:t>3</w:t>
      </w:r>
      <w:r w:rsidRPr="009A4D57">
        <w:t>.</w:t>
      </w:r>
      <w:r w:rsidR="00A67A0C">
        <w:tab/>
      </w:r>
      <w:r w:rsidRPr="009A4D57">
        <w:t>Sampl</w:t>
      </w:r>
      <w:r w:rsidR="00A84E0B">
        <w:t>ing plan</w:t>
      </w:r>
      <w:bookmarkEnd w:id="20"/>
    </w:p>
    <w:p w:rsidR="00C77B83" w:rsidRDefault="006B49A4" w:rsidP="00C77B83">
      <w:pPr>
        <w:rPr>
          <w:color w:val="0098AA"/>
        </w:rPr>
      </w:pPr>
      <w:proofErr w:type="gramStart"/>
      <w:r w:rsidRPr="00B20793">
        <w:rPr>
          <w:b/>
          <w:u w:val="single"/>
        </w:rPr>
        <w:t>Participants.</w:t>
      </w:r>
      <w:proofErr w:type="gramEnd"/>
      <w:r w:rsidRPr="00C9675A">
        <w:rPr>
          <w:b/>
        </w:rPr>
        <w:t xml:space="preserve"> </w:t>
      </w:r>
      <w:r w:rsidR="00C77B83">
        <w:t xml:space="preserve">Data measuring the evaluation’s outcomes will come from both administrative and survey data. </w:t>
      </w:r>
      <w:r w:rsidR="00C77B83" w:rsidRPr="0098518F">
        <w:t>We will collect administrative data for the primary study outcomes</w:t>
      </w:r>
      <w:r w:rsidR="00C77B83">
        <w:t xml:space="preserve"> measuring </w:t>
      </w:r>
      <w:r w:rsidR="00C77B83" w:rsidRPr="0098518F">
        <w:t xml:space="preserve">employment status, earnings, and public assistance </w:t>
      </w:r>
      <w:r w:rsidR="00C77B83">
        <w:t>receipt</w:t>
      </w:r>
      <w:r w:rsidR="00442A8F">
        <w:t xml:space="preserve"> (Attachment T)</w:t>
      </w:r>
      <w:r w:rsidR="00C77B83" w:rsidRPr="0098518F">
        <w:t xml:space="preserve">. Because administrative data will be available for all study participants we will not conduct sampling procedures for collecting </w:t>
      </w:r>
      <w:r w:rsidR="00C77B83">
        <w:t>this information</w:t>
      </w:r>
      <w:r w:rsidR="00C77B83" w:rsidRPr="0098518F">
        <w:t>.</w:t>
      </w:r>
      <w:r w:rsidR="00C77B83">
        <w:t xml:space="preserve"> Through followup surveys</w:t>
      </w:r>
      <w:r w:rsidR="005C6C34">
        <w:t xml:space="preserve"> </w:t>
      </w:r>
      <w:r w:rsidR="005C6C34" w:rsidRPr="005C6C34">
        <w:t>(Attachments O.1 – O.6)</w:t>
      </w:r>
      <w:r w:rsidR="00C77B83">
        <w:t>, however, we will obtain more detailed measures of primary outcomes, such as measures of job quality and wages, and secondary outcomes including food security, health and well-being, and housing stability. Followup surveys will be administered to a sample of pilot participants.</w:t>
      </w:r>
    </w:p>
    <w:p w:rsidR="00C77B83" w:rsidRPr="00C87D96" w:rsidRDefault="00C77B83" w:rsidP="00C77B83">
      <w:r>
        <w:t>W</w:t>
      </w:r>
      <w:r w:rsidRPr="00C87D96">
        <w:t>e will employ a two-phase sampling approach</w:t>
      </w:r>
      <w:r>
        <w:t xml:space="preserve"> f</w:t>
      </w:r>
      <w:r w:rsidRPr="009A751B">
        <w:t>or collecting data on secondary outcomes</w:t>
      </w:r>
      <w:r w:rsidRPr="00C87D96">
        <w:t xml:space="preserve">. Two-phase sampling or double sampling involves a phase 1 sampling from the full population and then, in phase 2, selecting a second sample from the nonrespondents from phase 1. In the second phase, more focused resources (in this case, field follow-up) is devoted to the sample, which leads to higher response rates among the phase 1 nonrespondents than what would happen in the absence of the more focused field follow-up. This sampling approach typically increases response rates, reduces the potential for nonresponse biases, and reduces costs and burden associated with survey data collection, while maintaining a sufficient level of power to detect differences in outcomes between treatment and control groups within pilot sites. </w:t>
      </w:r>
    </w:p>
    <w:p w:rsidR="006B49A4" w:rsidRDefault="00F303C3" w:rsidP="003C5AD1">
      <w:r>
        <w:t xml:space="preserve">The full pilot study sample will be around 52,800 individuals. We plan to </w:t>
      </w:r>
      <w:r w:rsidR="000346AD">
        <w:t xml:space="preserve">randomly </w:t>
      </w:r>
      <w:r>
        <w:t>sample approximately half of these individuals—around 25,000</w:t>
      </w:r>
      <w:r w:rsidR="006D5C41">
        <w:t>—for the 12-month followup survey</w:t>
      </w:r>
      <w:r w:rsidR="00D140B1">
        <w:t xml:space="preserve"> and </w:t>
      </w:r>
      <w:r>
        <w:t xml:space="preserve">plan </w:t>
      </w:r>
      <w:r w:rsidR="006D5C41">
        <w:t xml:space="preserve">to </w:t>
      </w:r>
      <w:r>
        <w:t xml:space="preserve">collect data from </w:t>
      </w:r>
      <w:r w:rsidR="006D5C41">
        <w:t>18,240 individuals using two-phase sampling</w:t>
      </w:r>
      <w:r>
        <w:t xml:space="preserve">. </w:t>
      </w:r>
      <w:r w:rsidR="00C77B83" w:rsidRPr="00A833EF">
        <w:t xml:space="preserve">During phase 1 of the two-phase sampling design, we will </w:t>
      </w:r>
      <w:r w:rsidR="000346AD">
        <w:t xml:space="preserve">attempt to </w:t>
      </w:r>
      <w:r w:rsidR="00C77B83" w:rsidRPr="00A833EF">
        <w:t xml:space="preserve">conduct a CATI survey to collect data from </w:t>
      </w:r>
      <w:r w:rsidR="006D5C41">
        <w:t xml:space="preserve">the </w:t>
      </w:r>
      <w:r w:rsidR="00C77B83" w:rsidRPr="00A833EF">
        <w:t>25,000</w:t>
      </w:r>
      <w:r w:rsidR="006D5C41">
        <w:t>-person subsample</w:t>
      </w:r>
      <w:r w:rsidR="00C77B83" w:rsidRPr="00A833EF">
        <w:t xml:space="preserve"> starting approximately in November 2016 and continuing on a rolling </w:t>
      </w:r>
      <w:r w:rsidR="00C77B83" w:rsidRPr="00A833EF">
        <w:lastRenderedPageBreak/>
        <w:t>basis for sampled participants. We expect to obtain responses from about 14,</w:t>
      </w:r>
      <w:r w:rsidR="00E172A6" w:rsidRPr="00A833EF" w:rsidDel="00E172A6">
        <w:t xml:space="preserve"> </w:t>
      </w:r>
      <w:r w:rsidR="00D140B1">
        <w:t>500</w:t>
      </w:r>
      <w:r w:rsidR="00C77B83" w:rsidRPr="00A833EF">
        <w:t xml:space="preserve"> individuals (</w:t>
      </w:r>
      <w:r w:rsidR="00EA064A">
        <w:t>58</w:t>
      </w:r>
      <w:r w:rsidR="00C77B83" w:rsidRPr="00A833EF">
        <w:t xml:space="preserve"> percent of the first-phase sample). Among the </w:t>
      </w:r>
      <w:r w:rsidR="006D5C41">
        <w:t>10,</w:t>
      </w:r>
      <w:r w:rsidR="00E172A6">
        <w:t>5</w:t>
      </w:r>
      <w:r w:rsidR="006D5C41">
        <w:t xml:space="preserve">00 </w:t>
      </w:r>
      <w:r w:rsidR="00D140B1" w:rsidRPr="00A833EF">
        <w:t>nonresponde</w:t>
      </w:r>
      <w:r w:rsidR="00D140B1">
        <w:t>r</w:t>
      </w:r>
      <w:r w:rsidR="00D140B1" w:rsidRPr="00A833EF">
        <w:t>s</w:t>
      </w:r>
      <w:r w:rsidR="006D5C41">
        <w:t>,</w:t>
      </w:r>
      <w:r w:rsidR="00C77B83" w:rsidRPr="00A833EF">
        <w:t xml:space="preserve"> we will randomly select 50 percent for field followup data collection (</w:t>
      </w:r>
      <w:r w:rsidR="00EA064A">
        <w:t>5,250</w:t>
      </w:r>
      <w:r w:rsidR="00C77B83" w:rsidRPr="00A833EF">
        <w:t xml:space="preserve"> CATI non-responders). With intensive field follow-up, our goal is to obtain a </w:t>
      </w:r>
      <w:r w:rsidR="00EA064A">
        <w:t>71</w:t>
      </w:r>
      <w:r w:rsidR="003C5AD1">
        <w:t>.2</w:t>
      </w:r>
      <w:r w:rsidR="00744BFF">
        <w:t>4</w:t>
      </w:r>
      <w:r w:rsidR="00EA064A" w:rsidRPr="00A833EF">
        <w:t xml:space="preserve"> </w:t>
      </w:r>
      <w:r w:rsidR="00C77B83" w:rsidRPr="00A833EF">
        <w:t xml:space="preserve">percent response rate </w:t>
      </w:r>
      <w:r w:rsidR="00EA064A">
        <w:t xml:space="preserve">or higher </w:t>
      </w:r>
      <w:r w:rsidR="00C77B83" w:rsidRPr="00A833EF">
        <w:t>from the second phase sample, resulting in total sample size</w:t>
      </w:r>
      <w:r w:rsidR="006D5C41">
        <w:t xml:space="preserve"> of around 18,240</w:t>
      </w:r>
      <w:r w:rsidR="006D6612">
        <w:t xml:space="preserve"> or more</w:t>
      </w:r>
      <w:r w:rsidR="00C77B83" w:rsidRPr="00A833EF">
        <w:t xml:space="preserve"> completes, which includes initial CATI respondents and nonrespondents. This approach will lead to an overall weighted response rate over 80 percent, which provides some cushion in case the expected CATI response rate of </w:t>
      </w:r>
      <w:r w:rsidR="006D6612">
        <w:t>58</w:t>
      </w:r>
      <w:r w:rsidR="006D6612" w:rsidRPr="00A833EF">
        <w:t xml:space="preserve"> </w:t>
      </w:r>
      <w:r w:rsidR="00C77B83" w:rsidRPr="00A833EF">
        <w:t xml:space="preserve">percent and second phase response rate of </w:t>
      </w:r>
      <w:r w:rsidR="006D6612">
        <w:t>71</w:t>
      </w:r>
      <w:r w:rsidR="006D6612" w:rsidRPr="00A833EF">
        <w:t xml:space="preserve"> </w:t>
      </w:r>
      <w:r w:rsidR="00C77B83" w:rsidRPr="00A833EF">
        <w:t>percent are difficult to achieve. During the second followup data collection period, we will employ the same two-phase sampling approach starting with the 18,</w:t>
      </w:r>
      <w:r w:rsidR="00D140B1">
        <w:t>240</w:t>
      </w:r>
      <w:r w:rsidR="00C77B83" w:rsidRPr="00A833EF">
        <w:t xml:space="preserve"> or so completes who completed the first followup survey. The second followup data collection will start around November 2018 and continue on a rolling basis for sampled participants</w:t>
      </w:r>
      <w:r w:rsidR="003869B6" w:rsidRPr="00A833EF">
        <w:t xml:space="preserve">. </w:t>
      </w:r>
      <w:bookmarkStart w:id="21" w:name="_Toc408492373"/>
      <w:bookmarkStart w:id="22" w:name="_Toc414577810"/>
    </w:p>
    <w:p w:rsidR="004A6734" w:rsidRDefault="004A6734" w:rsidP="004A6734">
      <w:r>
        <w:t xml:space="preserve">Although we expect this two-phase sampling approach to </w:t>
      </w:r>
      <w:r w:rsidR="005B2092">
        <w:t xml:space="preserve">give us a response rate of 80 percent or higher for the followup surveys we realize that the response rate could fall below 80 percent. We anticipate a response rate between 65 and 80 percent, but we assume a response rate of 80 percent when discussing estimation procedures and statistical power in B.2. </w:t>
      </w:r>
    </w:p>
    <w:p w:rsidR="002B61A8" w:rsidRPr="004A6734" w:rsidRDefault="002B61A8" w:rsidP="004A6734">
      <w:r>
        <w:t xml:space="preserve">For the participant </w:t>
      </w:r>
      <w:r w:rsidR="009E0BF0">
        <w:t>focus g</w:t>
      </w:r>
      <w:r>
        <w:t xml:space="preserve">roups and </w:t>
      </w:r>
      <w:r w:rsidR="009E0BF0">
        <w:t>c</w:t>
      </w:r>
      <w:r>
        <w:t xml:space="preserve">ase </w:t>
      </w:r>
      <w:r w:rsidR="009E0BF0">
        <w:t>s</w:t>
      </w:r>
      <w:r>
        <w:t xml:space="preserve">tudy interviews, convenience </w:t>
      </w:r>
      <w:r w:rsidR="009E0BF0">
        <w:t xml:space="preserve">samples will be used to recruit participants as described in </w:t>
      </w:r>
      <w:r w:rsidR="00393318">
        <w:t>A.2.3.d.</w:t>
      </w:r>
    </w:p>
    <w:p w:rsidR="006B49A4" w:rsidRPr="006B49A4" w:rsidRDefault="00AD11C2" w:rsidP="006B49A4">
      <w:pPr>
        <w:rPr>
          <w:b/>
          <w:u w:val="single"/>
        </w:rPr>
      </w:pPr>
      <w:proofErr w:type="gramStart"/>
      <w:r w:rsidRPr="00B20793">
        <w:rPr>
          <w:b/>
          <w:u w:val="single"/>
        </w:rPr>
        <w:t>Employers.</w:t>
      </w:r>
      <w:proofErr w:type="gramEnd"/>
      <w:r>
        <w:t xml:space="preserve"> For the employer focus groups, </w:t>
      </w:r>
      <w:r w:rsidR="00393318">
        <w:t>convenience samples will also be used. E</w:t>
      </w:r>
      <w:r w:rsidRPr="00B20793">
        <w:t>mployers participating in the SNAP E&amp;T pilot will be targeted based on their role in the pilot projects. To the extent there is variation in the type of employers involved in the pilot, we will attempt to recruit employers from various industries. The contractor will work with Grantee and provider staff to identify employers for</w:t>
      </w:r>
      <w:r w:rsidR="00B05B63">
        <w:t xml:space="preserve"> the</w:t>
      </w:r>
      <w:r w:rsidRPr="00B20793">
        <w:t xml:space="preserve"> focus groups. The state staff will reach out to the </w:t>
      </w:r>
      <w:r w:rsidRPr="00B20793">
        <w:lastRenderedPageBreak/>
        <w:t xml:space="preserve">employers to gage interest and make introductions. The </w:t>
      </w:r>
      <w:proofErr w:type="gramStart"/>
      <w:r w:rsidRPr="00B20793">
        <w:t>contractor will</w:t>
      </w:r>
      <w:proofErr w:type="gramEnd"/>
      <w:r w:rsidRPr="00B20793">
        <w:t xml:space="preserve"> follow-up via email or by telephone as needed</w:t>
      </w:r>
      <w:r w:rsidR="006612CC">
        <w:t xml:space="preserve"> (Attachment L.3)</w:t>
      </w:r>
      <w:r w:rsidRPr="00B20793">
        <w:t xml:space="preserve">. </w:t>
      </w:r>
      <w:r w:rsidR="006B49A4" w:rsidRPr="006B49A4">
        <w:rPr>
          <w:b/>
          <w:u w:val="single"/>
        </w:rPr>
        <w:t xml:space="preserve"> </w:t>
      </w:r>
    </w:p>
    <w:p w:rsidR="00B30DDF" w:rsidRPr="00865AE2" w:rsidRDefault="009A4D57" w:rsidP="00A67A0C">
      <w:pPr>
        <w:pStyle w:val="H4Number"/>
      </w:pPr>
      <w:bookmarkStart w:id="23" w:name="_Toc432164924"/>
      <w:r>
        <w:t>4</w:t>
      </w:r>
      <w:r w:rsidR="00B30DDF">
        <w:t>.</w:t>
      </w:r>
      <w:r w:rsidR="00A67A0C">
        <w:tab/>
      </w:r>
      <w:r w:rsidR="00B30DDF" w:rsidRPr="00865AE2">
        <w:t>Response Rates and Nonresponse Bias Analysis</w:t>
      </w:r>
      <w:bookmarkEnd w:id="21"/>
      <w:bookmarkEnd w:id="22"/>
      <w:bookmarkEnd w:id="23"/>
    </w:p>
    <w:p w:rsidR="00B30DDF" w:rsidRDefault="00B30DDF" w:rsidP="004C5286">
      <w:r>
        <w:t>In each site, follow-up</w:t>
      </w:r>
      <w:r w:rsidRPr="006F7E3B">
        <w:t xml:space="preserve"> surveys </w:t>
      </w:r>
      <w:r w:rsidR="00425EEB">
        <w:t xml:space="preserve">(Attachments O.1, O.2, O4, and O.5) </w:t>
      </w:r>
      <w:r w:rsidRPr="006F7E3B">
        <w:t xml:space="preserve">will be </w:t>
      </w:r>
      <w:r>
        <w:t>conducted with</w:t>
      </w:r>
      <w:r w:rsidRPr="006F7E3B">
        <w:t xml:space="preserve"> a randomly selected subs</w:t>
      </w:r>
      <w:r>
        <w:t xml:space="preserve">ample </w:t>
      </w:r>
      <w:r w:rsidRPr="006F7E3B">
        <w:t xml:space="preserve">of </w:t>
      </w:r>
      <w:r>
        <w:t xml:space="preserve">treatment and control </w:t>
      </w:r>
      <w:r w:rsidRPr="006F7E3B">
        <w:t xml:space="preserve">participants </w:t>
      </w:r>
      <w:r>
        <w:t>at multiple points in time</w:t>
      </w:r>
      <w:r w:rsidRPr="006F7E3B">
        <w:t xml:space="preserve">. </w:t>
      </w:r>
      <w:r>
        <w:t>A</w:t>
      </w:r>
      <w:r w:rsidRPr="006F7E3B">
        <w:t>n 80 percent response rate</w:t>
      </w:r>
      <w:r>
        <w:t xml:space="preserve"> for each follow-up survey is anticipated</w:t>
      </w:r>
      <w:r w:rsidRPr="006F7E3B">
        <w:t xml:space="preserve">. </w:t>
      </w:r>
      <w:r w:rsidR="00E73CE9">
        <w:t>We</w:t>
      </w:r>
      <w:r w:rsidRPr="003A4AEE">
        <w:t xml:space="preserve"> will implement a number of steps to maximize response rates, including the use of two-phase sampling. More details about this and other steps </w:t>
      </w:r>
      <w:r>
        <w:t>the study</w:t>
      </w:r>
      <w:r w:rsidRPr="003A4AEE">
        <w:t xml:space="preserve"> will take are described in section B3.</w:t>
      </w:r>
      <w:r>
        <w:t xml:space="preserve"> </w:t>
      </w:r>
      <w:r w:rsidRPr="006F7E3B">
        <w:t xml:space="preserve">The </w:t>
      </w:r>
      <w:r>
        <w:t>surveys will collect data on service receipt and outcomes from both treatment and control group members in each site. They w</w:t>
      </w:r>
      <w:r w:rsidRPr="006F7E3B">
        <w:t xml:space="preserve">ill build on other surveys </w:t>
      </w:r>
      <w:r>
        <w:t xml:space="preserve">that </w:t>
      </w:r>
      <w:r w:rsidRPr="006F7E3B">
        <w:t>have been administered successfully</w:t>
      </w:r>
      <w:r>
        <w:t xml:space="preserve"> with similar low-income populations</w:t>
      </w:r>
      <w:r w:rsidRPr="006F7E3B">
        <w:t>, such as the survey</w:t>
      </w:r>
      <w:r>
        <w:t xml:space="preserve">s used in </w:t>
      </w:r>
      <w:r w:rsidRPr="006F7E3B">
        <w:t xml:space="preserve">WIA GSE </w:t>
      </w:r>
      <w:r>
        <w:t xml:space="preserve">(OMB Control Number </w:t>
      </w:r>
      <w:r w:rsidRPr="00392D79">
        <w:t>1205-0482</w:t>
      </w:r>
      <w:r>
        <w:t xml:space="preserve">, Discontinued September 30, 2014) </w:t>
      </w:r>
      <w:r w:rsidR="00DD344A">
        <w:t xml:space="preserve">and </w:t>
      </w:r>
      <w:r w:rsidRPr="006F7E3B">
        <w:t>Rural Welfare</w:t>
      </w:r>
      <w:r>
        <w:t>-</w:t>
      </w:r>
      <w:r w:rsidRPr="006F7E3B">
        <w:t>to</w:t>
      </w:r>
      <w:r>
        <w:t>-</w:t>
      </w:r>
      <w:r w:rsidRPr="006F7E3B">
        <w:t>Work</w:t>
      </w:r>
      <w:r>
        <w:t xml:space="preserve"> (OMB Control Number </w:t>
      </w:r>
      <w:r w:rsidRPr="00392D79">
        <w:t>0970-0246</w:t>
      </w:r>
      <w:r>
        <w:t>, Discontinued January 31, 2007)</w:t>
      </w:r>
      <w:r w:rsidRPr="006F7E3B">
        <w:t xml:space="preserve">. </w:t>
      </w:r>
      <w:r>
        <w:t xml:space="preserve">The 36-month follow-up survey </w:t>
      </w:r>
      <w:r w:rsidR="005A7272">
        <w:t xml:space="preserve">(Attachments O.4 and O.5) </w:t>
      </w:r>
      <w:r>
        <w:t>will be largely consistent with the earlier follow-up survey with only minor changes such as confirming information collected at the 12-month follow-up. Each</w:t>
      </w:r>
      <w:r w:rsidRPr="006F7E3B">
        <w:t xml:space="preserve"> </w:t>
      </w:r>
      <w:r>
        <w:t xml:space="preserve">follow-up </w:t>
      </w:r>
      <w:r w:rsidRPr="006F7E3B">
        <w:t xml:space="preserve">survey will be translated </w:t>
      </w:r>
      <w:r>
        <w:t xml:space="preserve">into Spanish </w:t>
      </w:r>
      <w:r w:rsidRPr="006F7E3B">
        <w:t>by a certified bilingual translator using the Referred Forward Translation approach</w:t>
      </w:r>
      <w:r>
        <w:t xml:space="preserve"> </w:t>
      </w:r>
      <w:r w:rsidRPr="00256528">
        <w:t>in which a translator having extensive experience in survey development first translates the questionnaire, and a second translator reviews that work and recommends changes in phrasing or wording, or dialectical variations. The two then meet to discuss comments and determine the preferred questionnaire wording.</w:t>
      </w:r>
      <w:r w:rsidRPr="0012494A">
        <w:t xml:space="preserve"> </w:t>
      </w:r>
      <w:r>
        <w:t xml:space="preserve"> Each follow-up survey will be administered </w:t>
      </w:r>
      <w:r w:rsidRPr="006F7E3B">
        <w:t>via computer-assisted telephone interview (CATI)</w:t>
      </w:r>
      <w:r>
        <w:t xml:space="preserve">. </w:t>
      </w:r>
    </w:p>
    <w:p w:rsidR="00B30DDF" w:rsidRPr="007B0C01" w:rsidRDefault="00B30DDF" w:rsidP="00CA7F4A">
      <w:r w:rsidRPr="007B0C01">
        <w:t xml:space="preserve">To assess whether nonresponse bias exists, </w:t>
      </w:r>
      <w:r w:rsidR="00E73CE9">
        <w:t>we</w:t>
      </w:r>
      <w:r w:rsidRPr="007B0C01">
        <w:t xml:space="preserve"> will obtain </w:t>
      </w:r>
      <w:r>
        <w:t>baseline</w:t>
      </w:r>
      <w:r w:rsidRPr="007B0C01">
        <w:t xml:space="preserve"> information</w:t>
      </w:r>
      <w:r w:rsidR="000016A2">
        <w:t xml:space="preserve"> via a registration document</w:t>
      </w:r>
      <w:r w:rsidRPr="007B0C01">
        <w:t xml:space="preserve"> </w:t>
      </w:r>
      <w:r>
        <w:t>from the</w:t>
      </w:r>
      <w:r w:rsidRPr="007B0C01">
        <w:t xml:space="preserve"> study sample</w:t>
      </w:r>
      <w:r>
        <w:t xml:space="preserve">s at the time of random assignment. Baseline data will include name; contact information; demographic characteristics such as age, gender, and </w:t>
      </w:r>
      <w:r>
        <w:lastRenderedPageBreak/>
        <w:t xml:space="preserve">education level; household characteristics such as the presence of children and household income; and baseline values of primary outcome measures including employment status, earnings, and participation in SNAP, TANF, and Medicaid. Using the baseline data, </w:t>
      </w:r>
      <w:r w:rsidR="00E73CE9">
        <w:t>we</w:t>
      </w:r>
      <w:r>
        <w:t xml:space="preserve"> will</w:t>
      </w:r>
      <w:r w:rsidRPr="007B0C01">
        <w:t xml:space="preserve"> (1) compare</w:t>
      </w:r>
      <w:r>
        <w:t xml:space="preserve"> survey follow-up</w:t>
      </w:r>
      <w:r w:rsidRPr="007B0C01">
        <w:t xml:space="preserve"> respondents and nonrespondents within the treatment and comparison groups, (2) test the significance of differences between respondents’ and nonrespondents’ characteristics, (3) look at whether these differences are the same </w:t>
      </w:r>
      <w:r>
        <w:t>across</w:t>
      </w:r>
      <w:r w:rsidRPr="007B0C01">
        <w:t xml:space="preserve"> treatment and comparison groups, and (4) compare characteristics of the respondent and </w:t>
      </w:r>
      <w:proofErr w:type="spellStart"/>
      <w:r w:rsidRPr="007B0C01">
        <w:t>nonrespondent</w:t>
      </w:r>
      <w:proofErr w:type="spellEnd"/>
      <w:r w:rsidRPr="007B0C01">
        <w:t xml:space="preserve"> samples with those of the frame.</w:t>
      </w:r>
    </w:p>
    <w:p w:rsidR="00A126A5" w:rsidRDefault="00A126A5" w:rsidP="00CA7F4A">
      <w:pPr>
        <w:ind w:firstLine="0"/>
        <w:rPr>
          <w:rFonts w:ascii="Arial Black" w:hAnsi="Arial Black"/>
          <w:sz w:val="22"/>
        </w:rPr>
      </w:pPr>
      <w:bookmarkStart w:id="24" w:name="_Toc408492374"/>
      <w:bookmarkStart w:id="25" w:name="_Toc414577811"/>
      <w:r>
        <w:br w:type="page"/>
      </w:r>
    </w:p>
    <w:p w:rsidR="00B30DDF" w:rsidRPr="00865AE2" w:rsidRDefault="00B30DDF" w:rsidP="00CA7F4A">
      <w:pPr>
        <w:pStyle w:val="H3Alpha"/>
        <w:spacing w:after="0" w:line="480" w:lineRule="auto"/>
      </w:pPr>
      <w:bookmarkStart w:id="26" w:name="_Toc432164925"/>
      <w:r>
        <w:lastRenderedPageBreak/>
        <w:t>B</w:t>
      </w:r>
      <w:r w:rsidR="00861117">
        <w:t>.</w:t>
      </w:r>
      <w:r>
        <w:t>2. Procedures for the collection of information</w:t>
      </w:r>
      <w:bookmarkEnd w:id="24"/>
      <w:bookmarkEnd w:id="25"/>
      <w:bookmarkEnd w:id="26"/>
    </w:p>
    <w:p w:rsidR="00B30DDF" w:rsidRPr="00B30DDF" w:rsidRDefault="00B30DDF" w:rsidP="00CA7F4A">
      <w:pPr>
        <w:pStyle w:val="NormalSS"/>
        <w:spacing w:after="0" w:line="480" w:lineRule="auto"/>
        <w:ind w:left="432" w:firstLine="0"/>
        <w:rPr>
          <w:b/>
        </w:rPr>
      </w:pPr>
      <w:r w:rsidRPr="00B30DDF">
        <w:rPr>
          <w:b/>
        </w:rPr>
        <w:t>Describe the procedures for the collection of information including:</w:t>
      </w:r>
    </w:p>
    <w:p w:rsidR="00B30DDF" w:rsidRPr="00744BFF" w:rsidRDefault="00B30DDF" w:rsidP="00744BFF">
      <w:pPr>
        <w:pStyle w:val="Bullet"/>
        <w:rPr>
          <w:b/>
        </w:rPr>
      </w:pPr>
      <w:r w:rsidRPr="00744BFF">
        <w:rPr>
          <w:b/>
        </w:rPr>
        <w:t>Statistical methodology for stratification and sample selection,</w:t>
      </w:r>
    </w:p>
    <w:p w:rsidR="00B30DDF" w:rsidRPr="00744BFF" w:rsidRDefault="00B30DDF" w:rsidP="00744BFF">
      <w:pPr>
        <w:pStyle w:val="Bullet"/>
        <w:rPr>
          <w:b/>
        </w:rPr>
      </w:pPr>
      <w:r w:rsidRPr="00744BFF">
        <w:rPr>
          <w:b/>
        </w:rPr>
        <w:t>Estimation procedure,</w:t>
      </w:r>
    </w:p>
    <w:p w:rsidR="00B30DDF" w:rsidRPr="00744BFF" w:rsidRDefault="00B30DDF" w:rsidP="00744BFF">
      <w:pPr>
        <w:pStyle w:val="Bullet"/>
        <w:rPr>
          <w:b/>
        </w:rPr>
      </w:pPr>
      <w:r w:rsidRPr="00744BFF">
        <w:rPr>
          <w:b/>
        </w:rPr>
        <w:t>Degree of accuracy needed for the purpose described in the justification,</w:t>
      </w:r>
    </w:p>
    <w:p w:rsidR="00B30DDF" w:rsidRPr="00744BFF" w:rsidRDefault="00B30DDF" w:rsidP="00744BFF">
      <w:pPr>
        <w:pStyle w:val="Bullet"/>
        <w:rPr>
          <w:b/>
        </w:rPr>
      </w:pPr>
      <w:r w:rsidRPr="00744BFF">
        <w:rPr>
          <w:b/>
        </w:rPr>
        <w:t>Unusual problems requiring specialized sampling procedures, and</w:t>
      </w:r>
    </w:p>
    <w:p w:rsidR="00B30DDF" w:rsidRPr="00744BFF" w:rsidRDefault="00B30DDF" w:rsidP="00744BFF">
      <w:pPr>
        <w:pStyle w:val="BulletLastSS"/>
        <w:rPr>
          <w:b/>
        </w:rPr>
      </w:pPr>
      <w:r w:rsidRPr="00744BFF">
        <w:rPr>
          <w:b/>
        </w:rPr>
        <w:t>Any use of periodic (less frequent than annual) data collection cycles to reduce burden.</w:t>
      </w:r>
    </w:p>
    <w:p w:rsidR="00B30DDF" w:rsidRPr="007B0C01" w:rsidRDefault="00B30DDF" w:rsidP="00CA7F4A">
      <w:r w:rsidRPr="007B0C01">
        <w:t xml:space="preserve">This section discusses the procedures </w:t>
      </w:r>
      <w:r w:rsidR="00E73CE9">
        <w:t>we</w:t>
      </w:r>
      <w:r w:rsidRPr="007B0C01">
        <w:t xml:space="preserve"> will use for impact estimation and the anticipated statistical power of the estimates. </w:t>
      </w:r>
      <w:r w:rsidR="00610E6C">
        <w:t>Data collection activities and procedures for the focus groups, interviews, and surveys are de</w:t>
      </w:r>
      <w:r w:rsidR="007447D1">
        <w:t>scrib</w:t>
      </w:r>
      <w:r w:rsidR="00610E6C">
        <w:t>ed in Part A of this information collection request.</w:t>
      </w:r>
    </w:p>
    <w:p w:rsidR="00B30DDF" w:rsidRDefault="00B30DDF" w:rsidP="00AB3372">
      <w:pPr>
        <w:pStyle w:val="H4Number"/>
      </w:pPr>
      <w:bookmarkStart w:id="27" w:name="_Toc408492375"/>
      <w:bookmarkStart w:id="28" w:name="_Toc414577812"/>
      <w:bookmarkStart w:id="29" w:name="_Toc432164926"/>
      <w:r>
        <w:t>1.</w:t>
      </w:r>
      <w:r w:rsidR="00A67A0C">
        <w:tab/>
      </w:r>
      <w:r w:rsidRPr="00865AE2">
        <w:t xml:space="preserve">Estimation </w:t>
      </w:r>
      <w:r>
        <w:t>P</w:t>
      </w:r>
      <w:r w:rsidRPr="00865AE2">
        <w:t>rocedures</w:t>
      </w:r>
      <w:bookmarkEnd w:id="27"/>
      <w:bookmarkEnd w:id="28"/>
      <w:bookmarkEnd w:id="29"/>
    </w:p>
    <w:p w:rsidR="00B30DDF" w:rsidRPr="0096424C" w:rsidRDefault="00B30DDF" w:rsidP="00CA7F4A">
      <w:bookmarkStart w:id="30" w:name="_Toc408492376"/>
      <w:bookmarkStart w:id="31" w:name="_Toc414577813"/>
      <w:r w:rsidRPr="0096424C">
        <w:t xml:space="preserve">With an experimental design, unbiased impact estimates can be obtained from the differences between mean outcomes in different research groups. By using regression procedures that control for highly predictive covariates, however, we will improve the precision of estimates and adjust for small baseline differences between groups that may arise by chance or from survey nonresponse or missing administrative records data. </w:t>
      </w:r>
    </w:p>
    <w:p w:rsidR="00B30DDF" w:rsidRPr="0096424C" w:rsidRDefault="00B30DDF" w:rsidP="00030C57">
      <w:r w:rsidRPr="0096424C">
        <w:t>For the study’s primary outcomes that are continuous variables, such as quarterly earnings, we will use ordinary least squares regression to estimate impacts. For other primary outcomes that are binary variables, such as those measuring employment and the receipt of SNAP benefits, we plan to use a logistic regression model to estimate impacts. For the logistic models, we also will test whether the results are sensitive to our modeling approach by estimating impacts on the primary outcome using a linear probability model as an alternative approach.</w:t>
      </w:r>
    </w:p>
    <w:p w:rsidR="00A126A5" w:rsidRDefault="00B30DDF" w:rsidP="00030C57">
      <w:r>
        <w:t>W</w:t>
      </w:r>
      <w:r w:rsidRPr="0096424C">
        <w:t xml:space="preserve">e will use a staged approach to assess the effects of the pilots using analytical models carefully aligned with the specific evaluation designs in each site. First, to examine the </w:t>
      </w:r>
      <w:r w:rsidRPr="0096424C">
        <w:rPr>
          <w:i/>
        </w:rPr>
        <w:t>overall</w:t>
      </w:r>
      <w:r w:rsidRPr="0096424C">
        <w:t xml:space="preserve"> </w:t>
      </w:r>
    </w:p>
    <w:p w:rsidR="00B30DDF" w:rsidRPr="0096424C" w:rsidRDefault="00B30DDF" w:rsidP="00A126A5">
      <w:pPr>
        <w:ind w:firstLine="0"/>
      </w:pPr>
      <w:proofErr w:type="gramStart"/>
      <w:r w:rsidRPr="0096424C">
        <w:t>average</w:t>
      </w:r>
      <w:proofErr w:type="gramEnd"/>
      <w:r w:rsidRPr="0096424C">
        <w:t xml:space="preserve"> effects of the interventions, we will estimate the following regression model for site s:</w:t>
      </w:r>
    </w:p>
    <w:p w:rsidR="00B30DDF" w:rsidRPr="0096424C" w:rsidRDefault="00C611BE" w:rsidP="00B30DDF">
      <w:pPr>
        <w:rPr>
          <w:szCs w:val="24"/>
        </w:rPr>
      </w:pPr>
      <m:oMathPara>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is</m:t>
              </m:r>
            </m:sub>
          </m:sSub>
          <m:r>
            <w:rPr>
              <w:rFonts w:ascii="Cambria Math" w:hAnsi="Cambria Math"/>
              <w:szCs w:val="24"/>
            </w:rPr>
            <m:t>=α+δ</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is</m:t>
              </m:r>
            </m:sub>
          </m:sSub>
          <m:r>
            <w:rPr>
              <w:rFonts w:ascii="Cambria Math" w:hAnsi="Cambria Math"/>
              <w:szCs w:val="24"/>
            </w:rPr>
            <m:t>+β</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is</m:t>
              </m:r>
            </m:sub>
          </m:sSub>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ε</m:t>
              </m:r>
            </m:e>
            <m:sub>
              <m:r>
                <w:rPr>
                  <w:rFonts w:ascii="Cambria Math" w:hAnsi="Cambria Math"/>
                  <w:szCs w:val="24"/>
                </w:rPr>
                <m:t>is</m:t>
              </m:r>
            </m:sub>
          </m:sSub>
        </m:oMath>
      </m:oMathPara>
    </w:p>
    <w:p w:rsidR="00B30DDF" w:rsidRPr="0096424C" w:rsidRDefault="00B30DDF" w:rsidP="00030C57">
      <w:pPr>
        <w:pStyle w:val="Normalcontinued"/>
      </w:pPr>
      <w:r w:rsidRPr="0096424C">
        <w:t xml:space="preserve">where Y is the outcome of interest (e.g., quarterly earnings) for individual </w:t>
      </w:r>
      <w:r w:rsidRPr="0096424C">
        <w:rPr>
          <w:i/>
        </w:rPr>
        <w:t>i</w:t>
      </w:r>
      <w:r w:rsidRPr="0096424C">
        <w:t xml:space="preserve"> in site </w:t>
      </w:r>
      <w:r w:rsidRPr="0096424C">
        <w:rPr>
          <w:i/>
        </w:rPr>
        <w:t>s,</w:t>
      </w:r>
      <w:r w:rsidRPr="0096424C">
        <w:t xml:space="preserve"> </w:t>
      </w:r>
      <m:oMath>
        <m:r>
          <m:rPr>
            <m:sty m:val="p"/>
          </m:rPr>
          <w:rPr>
            <w:rFonts w:ascii="Cambria Math" w:hAnsi="Cambria Math"/>
          </w:rPr>
          <m:t>α</m:t>
        </m:r>
      </m:oMath>
      <w:r w:rsidRPr="0096424C">
        <w:t xml:space="preserve"> is the regression intercept, </w:t>
      </w:r>
      <w:r w:rsidRPr="0096424C">
        <w:rPr>
          <w:i/>
        </w:rPr>
        <w:t>T</w:t>
      </w:r>
      <w:r w:rsidRPr="0096424C">
        <w:t xml:space="preserve"> is a binary treatment indicator that equals 1 for individuals in </w:t>
      </w:r>
      <w:r w:rsidRPr="0096424C">
        <w:rPr>
          <w:i/>
        </w:rPr>
        <w:t>any</w:t>
      </w:r>
      <w:r w:rsidRPr="0096424C">
        <w:t xml:space="preserve"> treatment group (e.g., </w:t>
      </w:r>
      <w:r w:rsidRPr="0096424C">
        <w:rPr>
          <w:i/>
        </w:rPr>
        <w:t>T</w:t>
      </w:r>
      <w:r w:rsidRPr="0096424C">
        <w:rPr>
          <w:i/>
          <w:vertAlign w:val="subscript"/>
        </w:rPr>
        <w:t>1</w:t>
      </w:r>
      <w:r w:rsidRPr="0096424C">
        <w:t xml:space="preserve"> or </w:t>
      </w:r>
      <w:r w:rsidRPr="0096424C">
        <w:rPr>
          <w:i/>
        </w:rPr>
        <w:t>T</w:t>
      </w:r>
      <w:r w:rsidRPr="0096424C">
        <w:rPr>
          <w:i/>
          <w:vertAlign w:val="subscript"/>
        </w:rPr>
        <w:t>2</w:t>
      </w:r>
      <w:r w:rsidRPr="0096424C">
        <w:t xml:space="preserve"> and </w:t>
      </w:r>
      <w:r w:rsidRPr="0096424C">
        <w:rPr>
          <w:i/>
        </w:rPr>
        <w:t>0</w:t>
      </w:r>
      <w:r w:rsidRPr="0096424C">
        <w:t xml:space="preserve"> for control individuals), </w:t>
      </w:r>
      <w:r w:rsidRPr="0096424C">
        <w:rPr>
          <w:i/>
        </w:rPr>
        <w:t>X</w:t>
      </w:r>
      <w:r w:rsidRPr="0096424C">
        <w:t xml:space="preserve"> represents a set or vector of individual characteristics, </w:t>
      </w:r>
      <m:oMath>
        <m:r>
          <w:rPr>
            <w:rFonts w:ascii="Cambria Math" w:hAnsi="Cambria Math"/>
          </w:rPr>
          <m:t>β</m:t>
        </m:r>
      </m:oMath>
      <w:r w:rsidRPr="0096424C">
        <w:t xml:space="preserve"> is a vector of regression coefficients for those characteristics, and </w:t>
      </w:r>
      <w:r w:rsidRPr="0096424C">
        <w:rPr>
          <w:i/>
        </w:rPr>
        <w:t>ε</w:t>
      </w:r>
      <w:r w:rsidRPr="0096424C">
        <w:t xml:space="preserve"> is the regression’s residual. The parameter of interest</w:t>
      </w:r>
      <w:proofErr w:type="gramStart"/>
      <w:r w:rsidRPr="0096424C">
        <w:t xml:space="preserve">, </w:t>
      </w:r>
      <m:oMath>
        <w:proofErr w:type="gramEnd"/>
        <m:r>
          <w:rPr>
            <w:rFonts w:ascii="Cambria Math" w:hAnsi="Cambria Math"/>
          </w:rPr>
          <m:t>δ</m:t>
        </m:r>
      </m:oMath>
      <w:r w:rsidRPr="0096424C">
        <w:t>, represents the site’s average impact on treatment individuals, and the associated t-statistic can be used to gauge statistical significance. The covariates most likely to improve precision are baseline levels of the outcome measure. Other covariates in the model will include people’s work experience and demographic and economic characteristics.</w:t>
      </w:r>
    </w:p>
    <w:p w:rsidR="00B30DDF" w:rsidRPr="0096424C" w:rsidRDefault="00B30DDF" w:rsidP="00B30DDF">
      <w:pPr>
        <w:rPr>
          <w:szCs w:val="24"/>
        </w:rPr>
      </w:pPr>
      <w:r w:rsidRPr="0096424C">
        <w:rPr>
          <w:szCs w:val="24"/>
        </w:rPr>
        <w:t>Second, for sites with multiple treatment arms</w:t>
      </w:r>
      <w:r>
        <w:rPr>
          <w:szCs w:val="24"/>
        </w:rPr>
        <w:t xml:space="preserve"> including service enhancements</w:t>
      </w:r>
      <w:r w:rsidRPr="0096424C">
        <w:rPr>
          <w:szCs w:val="24"/>
        </w:rPr>
        <w:t xml:space="preserve">, we will estimate the impact of </w:t>
      </w:r>
      <w:r w:rsidRPr="0096424C">
        <w:rPr>
          <w:i/>
          <w:szCs w:val="24"/>
        </w:rPr>
        <w:t>each</w:t>
      </w:r>
      <w:r w:rsidRPr="0096424C">
        <w:rPr>
          <w:szCs w:val="24"/>
        </w:rPr>
        <w:t xml:space="preserve"> type of intervention, relative to the overall control group and to each other, using the model:</w:t>
      </w:r>
    </w:p>
    <w:p w:rsidR="00B30DDF" w:rsidRPr="0096424C" w:rsidRDefault="00C611BE" w:rsidP="00B30DDF">
      <w:pPr>
        <w:rPr>
          <w:szCs w:val="24"/>
        </w:rPr>
      </w:pPr>
      <m:oMathPara>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is</m:t>
              </m:r>
            </m:sub>
          </m:sSub>
          <m:r>
            <w:rPr>
              <w:rFonts w:ascii="Cambria Math" w:hAnsi="Cambria Math"/>
              <w:szCs w:val="24"/>
            </w:rPr>
            <m:t>=α+</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r>
            <w:rPr>
              <w:rFonts w:ascii="Cambria Math" w:hAnsi="Cambria Math"/>
              <w:szCs w:val="24"/>
            </w:rPr>
            <m:t>+β</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is</m:t>
              </m:r>
            </m:sub>
          </m:sSub>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ε</m:t>
              </m:r>
            </m:e>
            <m:sub>
              <m:r>
                <w:rPr>
                  <w:rFonts w:ascii="Cambria Math" w:hAnsi="Cambria Math"/>
                  <w:szCs w:val="24"/>
                </w:rPr>
                <m:t>is</m:t>
              </m:r>
            </m:sub>
          </m:sSub>
          <m:r>
            <w:rPr>
              <w:rFonts w:ascii="Cambria Math" w:hAnsi="Cambria Math"/>
              <w:szCs w:val="24"/>
            </w:rPr>
            <m:t>.</m:t>
          </m:r>
        </m:oMath>
      </m:oMathPara>
    </w:p>
    <w:p w:rsidR="00B30DDF" w:rsidRDefault="00B30DDF" w:rsidP="00B30DDF">
      <w:pPr>
        <w:rPr>
          <w:szCs w:val="24"/>
        </w:rPr>
      </w:pPr>
      <w:r w:rsidRPr="00F95E00">
        <w:rPr>
          <w:szCs w:val="24"/>
        </w:rPr>
        <w:t>All the variables are the same as in the previous model, except there is a separate binary treatment indic</w:t>
      </w:r>
      <w:r w:rsidR="00E77BA6">
        <w:rPr>
          <w:szCs w:val="24"/>
        </w:rPr>
        <w:t>a</w:t>
      </w:r>
      <w:r w:rsidRPr="00F95E00">
        <w:rPr>
          <w:szCs w:val="24"/>
        </w:rPr>
        <w:t>tor for each intervention (</w:t>
      </w:r>
      <w:r w:rsidRPr="00F95E00">
        <w:rPr>
          <w:i/>
          <w:szCs w:val="24"/>
        </w:rPr>
        <w:t>T</w:t>
      </w:r>
      <w:r w:rsidRPr="00F95E00">
        <w:rPr>
          <w:i/>
          <w:szCs w:val="24"/>
          <w:vertAlign w:val="subscript"/>
        </w:rPr>
        <w:t>1</w:t>
      </w:r>
      <w:r w:rsidRPr="00F95E00">
        <w:rPr>
          <w:szCs w:val="24"/>
        </w:rPr>
        <w:t xml:space="preserve"> and </w:t>
      </w:r>
      <w:r w:rsidRPr="00F95E00">
        <w:rPr>
          <w:i/>
          <w:szCs w:val="24"/>
        </w:rPr>
        <w:t>T</w:t>
      </w:r>
      <w:r w:rsidRPr="00F95E00">
        <w:rPr>
          <w:i/>
          <w:szCs w:val="24"/>
          <w:vertAlign w:val="subscript"/>
        </w:rPr>
        <w:t>2</w:t>
      </w:r>
      <w:r w:rsidRPr="00F95E00">
        <w:rPr>
          <w:szCs w:val="24"/>
        </w:rPr>
        <w:t xml:space="preserve">). The parameters of interest,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oMath>
      <w:r w:rsidRPr="00F95E00">
        <w:rPr>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oMath>
      <w:r w:rsidRPr="00F95E00">
        <w:rPr>
          <w:szCs w:val="24"/>
        </w:rPr>
        <w:t xml:space="preserve">, and </w:t>
      </w:r>
      <m:oMath>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δ</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e>
        </m:d>
      </m:oMath>
      <w:r w:rsidRPr="00F95E00">
        <w:rPr>
          <w:szCs w:val="24"/>
        </w:rPr>
        <w:t xml:space="preserve"> represent the site’s average impacts on people receiving </w:t>
      </w:r>
      <w:r w:rsidRPr="00F95E00">
        <w:rPr>
          <w:i/>
          <w:szCs w:val="24"/>
        </w:rPr>
        <w:t>T</w:t>
      </w:r>
      <w:r w:rsidRPr="00F95E00">
        <w:rPr>
          <w:i/>
          <w:szCs w:val="24"/>
          <w:vertAlign w:val="subscript"/>
        </w:rPr>
        <w:t>1</w:t>
      </w:r>
      <w:r w:rsidRPr="00F95E00">
        <w:rPr>
          <w:szCs w:val="24"/>
        </w:rPr>
        <w:t xml:space="preserve"> compared to the control group, </w:t>
      </w:r>
      <w:r w:rsidRPr="00F95E00">
        <w:rPr>
          <w:i/>
          <w:szCs w:val="24"/>
        </w:rPr>
        <w:t>T</w:t>
      </w:r>
      <w:r w:rsidRPr="00F95E00">
        <w:rPr>
          <w:i/>
          <w:szCs w:val="24"/>
          <w:vertAlign w:val="subscript"/>
        </w:rPr>
        <w:t>2</w:t>
      </w:r>
      <w:r w:rsidRPr="00F95E00">
        <w:rPr>
          <w:szCs w:val="24"/>
        </w:rPr>
        <w:t xml:space="preserve"> compared to the control group, and </w:t>
      </w:r>
      <w:r w:rsidRPr="00F95E00">
        <w:rPr>
          <w:i/>
          <w:szCs w:val="24"/>
        </w:rPr>
        <w:t>T</w:t>
      </w:r>
      <w:r w:rsidRPr="00F95E00">
        <w:rPr>
          <w:i/>
          <w:szCs w:val="24"/>
          <w:vertAlign w:val="subscript"/>
        </w:rPr>
        <w:t>1</w:t>
      </w:r>
      <w:r w:rsidRPr="00F95E00">
        <w:rPr>
          <w:szCs w:val="24"/>
        </w:rPr>
        <w:t xml:space="preserve"> compared to </w:t>
      </w:r>
      <w:r w:rsidRPr="00F95E00">
        <w:rPr>
          <w:i/>
          <w:szCs w:val="24"/>
        </w:rPr>
        <w:t>T</w:t>
      </w:r>
      <w:r w:rsidRPr="00F95E00">
        <w:rPr>
          <w:i/>
          <w:szCs w:val="24"/>
          <w:vertAlign w:val="subscript"/>
        </w:rPr>
        <w:t>2</w:t>
      </w:r>
      <w:r w:rsidRPr="00F95E00">
        <w:rPr>
          <w:i/>
          <w:szCs w:val="24"/>
        </w:rPr>
        <w:t>,</w:t>
      </w:r>
      <w:r w:rsidRPr="00F95E00">
        <w:rPr>
          <w:szCs w:val="24"/>
        </w:rPr>
        <w:t xml:space="preserve"> respectively. This model can be easily adapted to reflect the presence of a suitability screen in which agencies assess people’s suitability for specific services by replacing the variables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oMath>
      <w:r w:rsidRPr="00F95E00">
        <w:rPr>
          <w:szCs w:val="24"/>
        </w:rPr>
        <w:t xml:space="preserve">with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1,is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1,is</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2,is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i/>
          <w:szCs w:val="24"/>
        </w:rPr>
        <w:t>,</w:t>
      </w:r>
      <w:r w:rsidRPr="00F95E00">
        <w:rPr>
          <w:szCs w:val="24"/>
        </w:rPr>
        <w:t xml:space="preserve"> where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szCs w:val="24"/>
        </w:rPr>
        <w:t xml:space="preserve"> is a binary variable set equal to 1 for individuals suitable to receive </w:t>
      </w:r>
      <w:r w:rsidRPr="00F95E00">
        <w:rPr>
          <w:i/>
          <w:szCs w:val="24"/>
        </w:rPr>
        <w:t>T</w:t>
      </w:r>
      <w:r w:rsidRPr="00F95E00">
        <w:rPr>
          <w:i/>
          <w:szCs w:val="24"/>
          <w:vertAlign w:val="subscript"/>
        </w:rPr>
        <w:t>1</w:t>
      </w:r>
      <w:r w:rsidRPr="00F95E00">
        <w:rPr>
          <w:szCs w:val="24"/>
        </w:rPr>
        <w:t xml:space="preserve"> services and </w:t>
      </w:r>
      <w:r w:rsidRPr="00F95E00">
        <w:rPr>
          <w:i/>
          <w:szCs w:val="24"/>
        </w:rPr>
        <w:t>0</w:t>
      </w:r>
      <w:r w:rsidRPr="00F95E00">
        <w:rPr>
          <w:szCs w:val="24"/>
        </w:rPr>
        <w:t xml:space="preserve"> for individuals not suitable and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2,is</m:t>
            </m:r>
          </m:sub>
        </m:sSub>
      </m:oMath>
      <w:r w:rsidRPr="00F95E00">
        <w:rPr>
          <w:i/>
          <w:szCs w:val="24"/>
        </w:rPr>
        <w:t xml:space="preserve"> </w:t>
      </w:r>
      <w:r w:rsidRPr="00F95E00">
        <w:rPr>
          <w:szCs w:val="24"/>
        </w:rPr>
        <w:t xml:space="preserve">is a binary variable set equal to 1 for individuals suitable to receive </w:t>
      </w:r>
      <w:r w:rsidRPr="00F95E00">
        <w:rPr>
          <w:i/>
          <w:szCs w:val="24"/>
        </w:rPr>
        <w:t>T</w:t>
      </w:r>
      <w:r w:rsidRPr="00F95E00">
        <w:rPr>
          <w:i/>
          <w:szCs w:val="24"/>
          <w:vertAlign w:val="subscript"/>
        </w:rPr>
        <w:t>2</w:t>
      </w:r>
      <w:r w:rsidRPr="00F95E00">
        <w:rPr>
          <w:szCs w:val="24"/>
        </w:rPr>
        <w:t xml:space="preserve"> services and </w:t>
      </w:r>
      <w:r w:rsidRPr="00F95E00">
        <w:rPr>
          <w:i/>
          <w:szCs w:val="24"/>
        </w:rPr>
        <w:t>0</w:t>
      </w:r>
      <w:r w:rsidRPr="00F95E00">
        <w:rPr>
          <w:szCs w:val="24"/>
        </w:rPr>
        <w:t xml:space="preserve"> for individuals not suitable. We will conduct F-tests to examine the joint statistical significance of </w:t>
      </w: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1</m:t>
            </m:r>
          </m:sub>
        </m:sSub>
      </m:oMath>
      <w:r w:rsidRPr="00F95E00">
        <w:rPr>
          <w:szCs w:val="24"/>
        </w:rPr>
        <w:t xml:space="preserve"> and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2</m:t>
            </m:r>
          </m:sub>
        </m:sSub>
      </m:oMath>
      <w:r w:rsidRPr="00F95E00">
        <w:rPr>
          <w:szCs w:val="24"/>
        </w:rPr>
        <w:t xml:space="preserve"> to assess whether either intervention improved participants’ outcomes</w:t>
      </w:r>
      <w:r w:rsidR="00B852C3">
        <w:rPr>
          <w:szCs w:val="24"/>
        </w:rPr>
        <w:t>. I</w:t>
      </w:r>
      <w:r w:rsidRPr="00F95E00">
        <w:rPr>
          <w:szCs w:val="24"/>
        </w:rPr>
        <w:t xml:space="preserve">f the F-statistic is significant, we will examine the separate t-statistics for each intervention. </w:t>
      </w:r>
    </w:p>
    <w:p w:rsidR="00B30DDF" w:rsidRPr="007F4033" w:rsidRDefault="00B30DDF" w:rsidP="00B30DDF">
      <w:pPr>
        <w:rPr>
          <w:szCs w:val="24"/>
        </w:rPr>
      </w:pPr>
      <w:proofErr w:type="gramStart"/>
      <w:r w:rsidRPr="00FE1BF3">
        <w:rPr>
          <w:b/>
          <w:bCs/>
        </w:rPr>
        <w:t>Accounting for sample design and survey nonresponse</w:t>
      </w:r>
      <w:r w:rsidRPr="00FE1BF3">
        <w:rPr>
          <w:b/>
          <w:bCs/>
          <w:i/>
          <w:iCs/>
        </w:rPr>
        <w:t>.</w:t>
      </w:r>
      <w:proofErr w:type="gramEnd"/>
      <w:r w:rsidRPr="0049131C">
        <w:rPr>
          <w:b/>
          <w:bCs/>
          <w:i/>
          <w:iCs/>
        </w:rPr>
        <w:t xml:space="preserve"> </w:t>
      </w:r>
      <w:r>
        <w:rPr>
          <w:b/>
          <w:bCs/>
          <w:i/>
          <w:iCs/>
        </w:rPr>
        <w:t xml:space="preserve"> </w:t>
      </w:r>
      <w:r w:rsidRPr="00425EEB">
        <w:rPr>
          <w:szCs w:val="24"/>
        </w:rPr>
        <w:t>As noted</w:t>
      </w:r>
      <w:r>
        <w:rPr>
          <w:szCs w:val="24"/>
        </w:rPr>
        <w:t xml:space="preserve"> in section B.1.3, </w:t>
      </w:r>
      <w:r w:rsidR="00E73CE9">
        <w:rPr>
          <w:szCs w:val="24"/>
        </w:rPr>
        <w:t>FNS’</w:t>
      </w:r>
      <w:r>
        <w:rPr>
          <w:szCs w:val="24"/>
        </w:rPr>
        <w:t xml:space="preserve"> goal</w:t>
      </w:r>
      <w:r w:rsidRPr="007F4033">
        <w:rPr>
          <w:szCs w:val="24"/>
        </w:rPr>
        <w:t xml:space="preserve"> is a </w:t>
      </w:r>
      <w:r w:rsidR="00425EEB">
        <w:rPr>
          <w:szCs w:val="24"/>
        </w:rPr>
        <w:t>65-</w:t>
      </w:r>
      <w:r w:rsidRPr="007F4033">
        <w:rPr>
          <w:szCs w:val="24"/>
        </w:rPr>
        <w:t xml:space="preserve">80 percent response rate for the follow up surveys. If an 80 percent response rate </w:t>
      </w:r>
      <w:r>
        <w:rPr>
          <w:szCs w:val="24"/>
        </w:rPr>
        <w:t xml:space="preserve">is not achieved </w:t>
      </w:r>
      <w:r w:rsidRPr="007F4033">
        <w:rPr>
          <w:szCs w:val="24"/>
        </w:rPr>
        <w:t xml:space="preserve">on a given survey in a pilot a nonresponse </w:t>
      </w:r>
      <w:r w:rsidR="0087448C">
        <w:rPr>
          <w:szCs w:val="24"/>
        </w:rPr>
        <w:t xml:space="preserve">bias </w:t>
      </w:r>
      <w:r w:rsidRPr="007F4033">
        <w:rPr>
          <w:szCs w:val="24"/>
        </w:rPr>
        <w:t xml:space="preserve">analysis </w:t>
      </w:r>
      <w:r>
        <w:rPr>
          <w:szCs w:val="24"/>
        </w:rPr>
        <w:t xml:space="preserve">will be conducted </w:t>
      </w:r>
      <w:r w:rsidRPr="007F4033">
        <w:rPr>
          <w:szCs w:val="24"/>
        </w:rPr>
        <w:t xml:space="preserve">following OMB standards and guidelines to assess relationships between participant characteristics and nonresponse. </w:t>
      </w:r>
      <w:r w:rsidR="00E73CE9">
        <w:rPr>
          <w:szCs w:val="24"/>
        </w:rPr>
        <w:t>We</w:t>
      </w:r>
      <w:r>
        <w:rPr>
          <w:szCs w:val="24"/>
        </w:rPr>
        <w:t xml:space="preserve"> </w:t>
      </w:r>
      <w:r w:rsidRPr="007F4033">
        <w:rPr>
          <w:szCs w:val="24"/>
        </w:rPr>
        <w:t>will test for the significance of differences in respondents’ and nonrespondents’ characteristics, and whether these differences are the same in the treatment and control/comparison groups.</w:t>
      </w:r>
    </w:p>
    <w:p w:rsidR="00B30DDF" w:rsidRDefault="00B30DDF" w:rsidP="00030C57">
      <w:pPr>
        <w:rPr>
          <w:b/>
        </w:rPr>
      </w:pPr>
      <w:r w:rsidRPr="007F4033">
        <w:t>To account for the two-phase sampling design</w:t>
      </w:r>
      <w:r>
        <w:t xml:space="preserve"> (see section B3 for more details)</w:t>
      </w:r>
      <w:r w:rsidRPr="007F4033">
        <w:t xml:space="preserve"> and survey nonresponse, </w:t>
      </w:r>
      <w:r w:rsidR="00E73CE9">
        <w:t>we</w:t>
      </w:r>
      <w:r w:rsidRPr="007F4033">
        <w:t xml:space="preserve"> will construct weights for all analyses using the survey data so that the sample of respondents to each follow</w:t>
      </w:r>
      <w:r>
        <w:t>-</w:t>
      </w:r>
      <w:r w:rsidRPr="007F4033">
        <w:t xml:space="preserve">up survey </w:t>
      </w:r>
      <w:r>
        <w:t>represent</w:t>
      </w:r>
      <w:r w:rsidRPr="007F4033">
        <w:t xml:space="preserve"> those of the baseline samples within each site. </w:t>
      </w:r>
      <w:r>
        <w:t>A</w:t>
      </w:r>
      <w:r w:rsidRPr="007F4033">
        <w:t xml:space="preserve"> base weight for each survey respondent </w:t>
      </w:r>
      <w:r>
        <w:t xml:space="preserve">will be calculated </w:t>
      </w:r>
      <w:r w:rsidRPr="007F4033">
        <w:t xml:space="preserve">as the inverse of his/her probability of selection for the survey. These base weights will also be adjusted to account for nonresponse. </w:t>
      </w:r>
      <w:r w:rsidR="00E73CE9">
        <w:t>We</w:t>
      </w:r>
      <w:r w:rsidRPr="007F4033">
        <w:t xml:space="preserve"> will use propensity scoring, first estimating statistical models to predict the likelihood that a person will respond to the survey and then using that propensity score to construct nonresponse weighting adjustment factors. Variables that are available for both respondents and nonrespondents (from the </w:t>
      </w:r>
      <w:r w:rsidR="000016A2">
        <w:t>registration document</w:t>
      </w:r>
      <w:r w:rsidRPr="007F4033">
        <w:t xml:space="preserve"> and administrative data) will be used to create the weighting adjustment factors. </w:t>
      </w:r>
    </w:p>
    <w:p w:rsidR="00B30DDF" w:rsidRPr="00030C57" w:rsidRDefault="00B30DDF" w:rsidP="00030C57">
      <w:proofErr w:type="gramStart"/>
      <w:r w:rsidRPr="00030C57">
        <w:rPr>
          <w:b/>
        </w:rPr>
        <w:t>Analyzing policy-relevant service enhancements to address national issues.</w:t>
      </w:r>
      <w:proofErr w:type="gramEnd"/>
      <w:r w:rsidRPr="00850A74">
        <w:t xml:space="preserve"> To the extent possible, </w:t>
      </w:r>
      <w:r w:rsidR="00E73CE9">
        <w:t>our</w:t>
      </w:r>
      <w:r w:rsidRPr="00850A74">
        <w:t xml:space="preserve"> plans </w:t>
      </w:r>
      <w:r w:rsidR="00E73CE9">
        <w:t xml:space="preserve">are </w:t>
      </w:r>
      <w:r w:rsidRPr="00850A74">
        <w:t xml:space="preserve">to incorporate enhancements to site interventions to learn about key program features that have national implications. The analysis will examine the effects of interventions with common features across sites by grouping sites to conduct a “pooled” site analysis. In these cases, we will estimate a similar set of models as above, except that each treatment indicator would represent the common component or characteristic, such as whether there are financial incentives or whether the services were </w:t>
      </w:r>
      <w:proofErr w:type="gramStart"/>
      <w:r w:rsidRPr="00850A74">
        <w:t>group- or individually-focused</w:t>
      </w:r>
      <w:proofErr w:type="gramEnd"/>
      <w:r w:rsidRPr="00850A74">
        <w:t>.</w:t>
      </w:r>
      <w:r>
        <w:t xml:space="preserve"> </w:t>
      </w:r>
    </w:p>
    <w:p w:rsidR="00B30DDF" w:rsidRPr="00030C57" w:rsidRDefault="00B30DDF" w:rsidP="00030C57">
      <w:pPr>
        <w:rPr>
          <w:szCs w:val="24"/>
        </w:rPr>
      </w:pPr>
      <w:proofErr w:type="gramStart"/>
      <w:r w:rsidRPr="00030C57">
        <w:rPr>
          <w:b/>
          <w:szCs w:val="24"/>
        </w:rPr>
        <w:t>Adjusting for no-shows and crossovers.</w:t>
      </w:r>
      <w:proofErr w:type="gramEnd"/>
      <w:r>
        <w:rPr>
          <w:szCs w:val="24"/>
        </w:rPr>
        <w:t xml:space="preserve"> I</w:t>
      </w:r>
      <w:r w:rsidRPr="00D60E26">
        <w:rPr>
          <w:szCs w:val="24"/>
        </w:rPr>
        <w:t>n any experiment in the real world, some members of the treatment group may not receive intervention services (no-shows), and some controls may be exposed to the interventions (crossovers). To correct for these sample members, we will use an instrumental variable (IV) approach by replacing the T</w:t>
      </w:r>
      <w:r w:rsidRPr="00D60E26">
        <w:rPr>
          <w:szCs w:val="24"/>
          <w:vertAlign w:val="subscript"/>
        </w:rPr>
        <w:t>1</w:t>
      </w:r>
      <w:r w:rsidRPr="00D60E26">
        <w:rPr>
          <w:szCs w:val="24"/>
        </w:rPr>
        <w:t xml:space="preserve"> and T</w:t>
      </w:r>
      <w:r w:rsidRPr="00D60E26">
        <w:rPr>
          <w:szCs w:val="24"/>
          <w:vertAlign w:val="subscript"/>
        </w:rPr>
        <w:t>2</w:t>
      </w:r>
      <w:r w:rsidRPr="00D60E26">
        <w:rPr>
          <w:szCs w:val="24"/>
        </w:rPr>
        <w:t xml:space="preserve"> indicators in the models above with the indicator variables P</w:t>
      </w:r>
      <w:r w:rsidRPr="00D60E26">
        <w:rPr>
          <w:szCs w:val="24"/>
          <w:vertAlign w:val="subscript"/>
        </w:rPr>
        <w:t>1</w:t>
      </w:r>
      <w:r w:rsidRPr="00D60E26">
        <w:rPr>
          <w:szCs w:val="24"/>
        </w:rPr>
        <w:t xml:space="preserve"> and P</w:t>
      </w:r>
      <w:r w:rsidRPr="00D60E26">
        <w:rPr>
          <w:szCs w:val="24"/>
          <w:vertAlign w:val="subscript"/>
        </w:rPr>
        <w:t>2</w:t>
      </w:r>
      <w:r w:rsidRPr="00D60E26">
        <w:rPr>
          <w:szCs w:val="24"/>
        </w:rPr>
        <w:t xml:space="preserve"> that equal 1 for those who received intervention services and 0 for those who did not, and we will use T</w:t>
      </w:r>
      <w:r w:rsidRPr="00D60E26">
        <w:rPr>
          <w:szCs w:val="24"/>
          <w:vertAlign w:val="subscript"/>
        </w:rPr>
        <w:t>1</w:t>
      </w:r>
      <w:r w:rsidRPr="00D60E26">
        <w:rPr>
          <w:szCs w:val="24"/>
        </w:rPr>
        <w:t xml:space="preserve"> and T</w:t>
      </w:r>
      <w:r w:rsidRPr="00D60E26">
        <w:rPr>
          <w:szCs w:val="24"/>
          <w:vertAlign w:val="subscript"/>
        </w:rPr>
        <w:t>2</w:t>
      </w:r>
      <w:r w:rsidRPr="00D60E26">
        <w:rPr>
          <w:szCs w:val="24"/>
        </w:rPr>
        <w:t xml:space="preserve"> as instruments for P</w:t>
      </w:r>
      <w:r w:rsidRPr="00D60E26">
        <w:rPr>
          <w:szCs w:val="24"/>
          <w:vertAlign w:val="subscript"/>
        </w:rPr>
        <w:t>1</w:t>
      </w:r>
      <w:r w:rsidRPr="00D60E26">
        <w:rPr>
          <w:szCs w:val="24"/>
        </w:rPr>
        <w:t xml:space="preserve"> and P</w:t>
      </w:r>
      <w:r w:rsidRPr="00D60E26">
        <w:rPr>
          <w:szCs w:val="24"/>
          <w:vertAlign w:val="subscript"/>
        </w:rPr>
        <w:t>2</w:t>
      </w:r>
      <w:r w:rsidRPr="00D60E26">
        <w:rPr>
          <w:szCs w:val="24"/>
        </w:rPr>
        <w:t xml:space="preserve">. </w:t>
      </w:r>
    </w:p>
    <w:p w:rsidR="00B30DDF" w:rsidRPr="00030C57" w:rsidRDefault="00B30DDF" w:rsidP="00392C64">
      <w:pPr>
        <w:rPr>
          <w:szCs w:val="24"/>
        </w:rPr>
      </w:pPr>
      <w:proofErr w:type="gramStart"/>
      <w:r w:rsidRPr="00030C57">
        <w:rPr>
          <w:b/>
          <w:szCs w:val="24"/>
        </w:rPr>
        <w:t>Subgroup analyses.</w:t>
      </w:r>
      <w:proofErr w:type="gramEnd"/>
      <w:r w:rsidRPr="00943DF0">
        <w:rPr>
          <w:szCs w:val="24"/>
        </w:rPr>
        <w:t xml:space="preserve"> </w:t>
      </w:r>
      <w:r w:rsidRPr="00943DF0">
        <w:t>For each demonstration project, the analysis will estimate impacts among subgroups of participants who may respond differently to the intervention.</w:t>
      </w:r>
      <w:r>
        <w:t xml:space="preserve"> </w:t>
      </w:r>
      <w:r w:rsidRPr="00943DF0">
        <w:rPr>
          <w:szCs w:val="24"/>
        </w:rPr>
        <w:t xml:space="preserve">One component of our subgroup analysis will be to estimate impacts among subgroups of participants, defined by their baseline characteristics, who may respond differently to the intervention(s). In particular, </w:t>
      </w:r>
      <w:r w:rsidRPr="003E1A7B">
        <w:rPr>
          <w:szCs w:val="24"/>
        </w:rPr>
        <w:t xml:space="preserve">the analysis </w:t>
      </w:r>
      <w:r>
        <w:rPr>
          <w:szCs w:val="24"/>
        </w:rPr>
        <w:t xml:space="preserve">will </w:t>
      </w:r>
      <w:r w:rsidRPr="00943DF0">
        <w:rPr>
          <w:szCs w:val="24"/>
        </w:rPr>
        <w:t>estimate impacts on subgroups defined by:</w:t>
      </w:r>
    </w:p>
    <w:p w:rsidR="00B30DDF" w:rsidRPr="00030C57" w:rsidRDefault="00B30DDF" w:rsidP="002B61A8">
      <w:pPr>
        <w:pStyle w:val="Bullet"/>
      </w:pPr>
      <w:r w:rsidRPr="00030C57">
        <w:t>Family composition (e.g., whether single or married, whether a parent, presence of children in the household, and presence of more than one adult in the household)</w:t>
      </w:r>
    </w:p>
    <w:p w:rsidR="00B30DDF" w:rsidRPr="00030C57" w:rsidRDefault="00B30DDF" w:rsidP="002B61A8">
      <w:pPr>
        <w:pStyle w:val="Bullet"/>
      </w:pPr>
      <w:r w:rsidRPr="00030C57">
        <w:t>Labor force attachment (e.g., recent employment experiences)</w:t>
      </w:r>
    </w:p>
    <w:p w:rsidR="00B30DDF" w:rsidRPr="00030C57" w:rsidRDefault="00B30DDF" w:rsidP="002B61A8">
      <w:pPr>
        <w:pStyle w:val="Bullet"/>
      </w:pPr>
      <w:r w:rsidRPr="00030C57">
        <w:t>Baseline earnings (e.g., whether the person had zero or positive earnings before the pilot)</w:t>
      </w:r>
    </w:p>
    <w:p w:rsidR="00B30DDF" w:rsidRPr="00030C57" w:rsidRDefault="00B30DDF" w:rsidP="002B61A8">
      <w:pPr>
        <w:pStyle w:val="Bullet"/>
      </w:pPr>
      <w:r w:rsidRPr="00030C57">
        <w:t>History of SNAP receipt (e.g., whether the person has participated before the current spell)</w:t>
      </w:r>
    </w:p>
    <w:p w:rsidR="00B30DDF" w:rsidRPr="00030C57" w:rsidRDefault="00B30DDF" w:rsidP="002B61A8">
      <w:pPr>
        <w:pStyle w:val="Bullet"/>
      </w:pPr>
      <w:r w:rsidRPr="00030C57">
        <w:t>Demographic characteristics (e.g., age, gender, race/ethnicity, education)</w:t>
      </w:r>
    </w:p>
    <w:p w:rsidR="00B30DDF" w:rsidRPr="00030C57" w:rsidRDefault="00B30DDF" w:rsidP="002B61A8">
      <w:pPr>
        <w:pStyle w:val="Bullet"/>
      </w:pPr>
      <w:r w:rsidRPr="00030C57">
        <w:t>Extent of barriers to employment (e.g., language, lack of transportation)</w:t>
      </w:r>
    </w:p>
    <w:p w:rsidR="00B30DDF" w:rsidRPr="00030C57" w:rsidRDefault="00B30DDF" w:rsidP="002B61A8">
      <w:pPr>
        <w:pStyle w:val="BulletLastSS"/>
      </w:pPr>
      <w:r w:rsidRPr="00030C57">
        <w:t>Income (e.g., less than 100 percent of poverty level)</w:t>
      </w:r>
    </w:p>
    <w:p w:rsidR="00B30DDF" w:rsidRPr="00030C57" w:rsidRDefault="00E73CE9" w:rsidP="00392C64">
      <w:r>
        <w:t>We</w:t>
      </w:r>
      <w:r w:rsidR="00B30DDF">
        <w:t xml:space="preserve"> </w:t>
      </w:r>
      <w:r w:rsidR="00B30DDF" w:rsidRPr="00355E08">
        <w:t xml:space="preserve">will estimate impacts for subgroups identified before analysis by adding to the empirical model a term that interacts the treatment indicator with an indicator for whether the participant is in the subgroup. The coefficient on this term provides an estimate of program impact for the subgroup. </w:t>
      </w:r>
      <w:r w:rsidR="00B30DDF">
        <w:t>M</w:t>
      </w:r>
      <w:r w:rsidR="00B30DDF" w:rsidRPr="00355E08">
        <w:t xml:space="preserve">ultiple treatment-by-subgroup indicators for subgroups with more than two </w:t>
      </w:r>
      <w:r w:rsidR="00B30DDF">
        <w:t xml:space="preserve">levels (such as race/ethnicity) will be included and </w:t>
      </w:r>
      <w:r w:rsidR="00B30DDF" w:rsidRPr="00355E08">
        <w:t xml:space="preserve">F-tests </w:t>
      </w:r>
      <w:r w:rsidR="00B30DDF">
        <w:t xml:space="preserve">will be used </w:t>
      </w:r>
      <w:r w:rsidR="00B30DDF" w:rsidRPr="00355E08">
        <w:t>to assess whether differences in impacts across subgroup levels are statistically significant.</w:t>
      </w:r>
    </w:p>
    <w:p w:rsidR="00B30DDF" w:rsidRPr="00030C57" w:rsidRDefault="00B30DDF" w:rsidP="00030C57">
      <w:proofErr w:type="gramStart"/>
      <w:r w:rsidRPr="00030C57">
        <w:rPr>
          <w:b/>
        </w:rPr>
        <w:t>Using the implementation analysis to inform the impact analysis.</w:t>
      </w:r>
      <w:proofErr w:type="gramEnd"/>
      <w:r w:rsidRPr="00943DF0">
        <w:t xml:space="preserve"> To dig deeper into the impact estimates, </w:t>
      </w:r>
      <w:r w:rsidR="00E73CE9">
        <w:t>we</w:t>
      </w:r>
      <w:r w:rsidRPr="00943DF0">
        <w:t xml:space="preserve"> will use data from the implementation analysis to statistically test whether key measurable program features—such as types of intervention services, program organization and partnerships, the target populations, and the extent to which the interventions were implemented as planned—are associated with cross-site variations in impacts. We will estimate impacts for program-related subgroups by re-formulating the models from above as the first level of a multilevel model or hierarchical linear model. In the second level, we will regress the estimated impacts of each site (estimates </w:t>
      </w:r>
      <w:proofErr w:type="gramStart"/>
      <w:r w:rsidRPr="00943DF0">
        <w:t xml:space="preserve">of </w:t>
      </w:r>
      <m:oMath>
        <w:proofErr w:type="gramEnd"/>
        <m:sSub>
          <m:sSubPr>
            <m:ctrlPr>
              <w:rPr>
                <w:rFonts w:ascii="Cambria Math" w:hAnsi="Cambria Math"/>
              </w:rPr>
            </m:ctrlPr>
          </m:sSubPr>
          <m:e>
            <m:r>
              <m:rPr>
                <m:sty m:val="bi"/>
              </m:rPr>
              <w:rPr>
                <w:rFonts w:ascii="Cambria Math" w:hAnsi="Cambria Math"/>
              </w:rPr>
              <m:t>δ</m:t>
            </m:r>
          </m:e>
          <m:sub>
            <m:r>
              <m:rPr>
                <m:sty m:val="bi"/>
              </m:rPr>
              <w:rPr>
                <w:rFonts w:ascii="Cambria Math" w:hAnsi="Cambria Math"/>
              </w:rPr>
              <m:t>s</m:t>
            </m:r>
          </m:sub>
        </m:sSub>
      </m:oMath>
      <w:r w:rsidRPr="00943DF0">
        <w:t>) on various characteristics of the site obtained from the planned implementation analysis to help identify best practices at the grantee programs.</w:t>
      </w:r>
    </w:p>
    <w:p w:rsidR="00B30DDF" w:rsidRPr="00030C57" w:rsidRDefault="00B30DDF" w:rsidP="00AB3372">
      <w:pPr>
        <w:pStyle w:val="H4Number"/>
      </w:pPr>
      <w:bookmarkStart w:id="32" w:name="_Toc432164927"/>
      <w:r w:rsidRPr="00030C57">
        <w:t>2.</w:t>
      </w:r>
      <w:r w:rsidR="00A67A0C">
        <w:tab/>
      </w:r>
      <w:r w:rsidRPr="00030C57">
        <w:t>Statistical Power</w:t>
      </w:r>
      <w:bookmarkEnd w:id="30"/>
      <w:bookmarkEnd w:id="31"/>
      <w:bookmarkEnd w:id="32"/>
    </w:p>
    <w:p w:rsidR="00B30DDF" w:rsidRPr="00850A74" w:rsidRDefault="00B30DDF" w:rsidP="00030C57">
      <w:pPr>
        <w:rPr>
          <w:b/>
        </w:rPr>
      </w:pPr>
      <w:r w:rsidRPr="00850A74">
        <w:t xml:space="preserve">To adequately address the evaluation’s research questions, the design must have sufficient statistical power to detect impacts that are policy relevant and of practical significance. The evaluation design will allow detection of policy-relevant impacts in each of the demonstration sites, overall and for key sample subgroups. The sample sizes needed for the study were determined by focusing on minimum detectable impacts (MDIs) for the primary outcomes of employment, earnings, and SNAP receipt. However, the MDIs for other secondary outcomes such as food insecurity to be examined in the evaluation were also considered. </w:t>
      </w:r>
    </w:p>
    <w:p w:rsidR="00B30DDF" w:rsidRPr="00B01B97" w:rsidRDefault="00B30DDF" w:rsidP="00B30DDF">
      <w:pPr>
        <w:rPr>
          <w:szCs w:val="24"/>
        </w:rPr>
      </w:pPr>
      <w:r w:rsidRPr="00B01B97">
        <w:rPr>
          <w:szCs w:val="24"/>
        </w:rPr>
        <w:t xml:space="preserve">Each pilot study will be sufficiently powered to detect impacts for the primary outcomes and key secondary outcomes for the full sample and key subgroups. We present minimum detectable impacts (MDIs) in </w:t>
      </w:r>
      <w:r>
        <w:rPr>
          <w:szCs w:val="24"/>
        </w:rPr>
        <w:t>Exhibit</w:t>
      </w:r>
      <w:r w:rsidRPr="00B01B97">
        <w:rPr>
          <w:szCs w:val="24"/>
        </w:rPr>
        <w:t xml:space="preserve"> B.</w:t>
      </w:r>
      <w:r>
        <w:rPr>
          <w:szCs w:val="24"/>
        </w:rPr>
        <w:t>2a</w:t>
      </w:r>
      <w:r w:rsidRPr="00B01B97">
        <w:rPr>
          <w:szCs w:val="24"/>
        </w:rPr>
        <w:t xml:space="preserve"> for the primary outcome measures and for the secondary outcome of food insecurity for a single pilot site under the assumption of 90 percent confidence and 80 percent power. MDIs were calculated for impacts comparing individuals from both treatment arms to the control condition (T vs. C) and for impacts comparing individuals from a single treatment arm to the control condition (</w:t>
      </w:r>
      <w:proofErr w:type="spellStart"/>
      <w:r w:rsidRPr="00B01B97">
        <w:rPr>
          <w:szCs w:val="24"/>
        </w:rPr>
        <w:t>T</w:t>
      </w:r>
      <w:r w:rsidRPr="00B01B97">
        <w:rPr>
          <w:szCs w:val="24"/>
          <w:vertAlign w:val="subscript"/>
        </w:rPr>
        <w:t>j</w:t>
      </w:r>
      <w:proofErr w:type="spellEnd"/>
      <w:r w:rsidRPr="00B01B97">
        <w:rPr>
          <w:szCs w:val="24"/>
        </w:rPr>
        <w:t xml:space="preserve"> vs. C). We </w:t>
      </w:r>
      <w:r>
        <w:rPr>
          <w:szCs w:val="24"/>
        </w:rPr>
        <w:t>present MDIs for</w:t>
      </w:r>
      <w:r w:rsidRPr="00B01B97">
        <w:rPr>
          <w:szCs w:val="24"/>
        </w:rPr>
        <w:t xml:space="preserve"> </w:t>
      </w:r>
      <w:r>
        <w:rPr>
          <w:szCs w:val="24"/>
        </w:rPr>
        <w:t>two levels of</w:t>
      </w:r>
      <w:r w:rsidRPr="00B01B97">
        <w:rPr>
          <w:szCs w:val="24"/>
        </w:rPr>
        <w:t xml:space="preserve"> enrollment of </w:t>
      </w:r>
      <w:r>
        <w:rPr>
          <w:szCs w:val="24"/>
        </w:rPr>
        <w:t xml:space="preserve">3,000 </w:t>
      </w:r>
      <w:r w:rsidRPr="00FD16F5">
        <w:rPr>
          <w:szCs w:val="24"/>
        </w:rPr>
        <w:t xml:space="preserve">participants per pilot </w:t>
      </w:r>
      <w:r>
        <w:rPr>
          <w:szCs w:val="24"/>
        </w:rPr>
        <w:t xml:space="preserve">and </w:t>
      </w:r>
      <w:r w:rsidRPr="00B01B97">
        <w:rPr>
          <w:szCs w:val="24"/>
        </w:rPr>
        <w:t>5,000 participants per pilot</w:t>
      </w:r>
      <w:r>
        <w:rPr>
          <w:szCs w:val="24"/>
        </w:rPr>
        <w:t>, which captures the range of sample sizes for 7 out of 10 pilot projects</w:t>
      </w:r>
      <w:r w:rsidRPr="00B01B97">
        <w:rPr>
          <w:szCs w:val="24"/>
        </w:rPr>
        <w:t xml:space="preserve">. </w:t>
      </w:r>
      <w:r>
        <w:rPr>
          <w:szCs w:val="24"/>
        </w:rPr>
        <w:t xml:space="preserve">(The remaining three pilot projects have larger sample sizes of 5,252 participants, 7,520 </w:t>
      </w:r>
      <w:r w:rsidRPr="009E025C">
        <w:rPr>
          <w:szCs w:val="24"/>
        </w:rPr>
        <w:t>participants</w:t>
      </w:r>
      <w:r>
        <w:rPr>
          <w:szCs w:val="24"/>
        </w:rPr>
        <w:t xml:space="preserve">, and 14,000 participants, which will result in smaller MDIs.) </w:t>
      </w:r>
    </w:p>
    <w:p w:rsidR="00B30DDF" w:rsidRPr="00B01B97" w:rsidRDefault="00B30DDF" w:rsidP="00B30DDF">
      <w:pPr>
        <w:rPr>
          <w:szCs w:val="24"/>
        </w:rPr>
      </w:pPr>
      <w:r w:rsidRPr="00B01B97">
        <w:rPr>
          <w:szCs w:val="24"/>
        </w:rPr>
        <w:t>For the individual-level RA design with a sample size of 5,000, we will be able to detect a 2.9-percentage-point increase in the employment rate for the treatment group from the overall pilot (combining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xml:space="preserve"> and comparing to C) and a 3.3-percentage-point increase in the employment rate for each intervention,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separately (comparing T</w:t>
      </w:r>
      <w:r w:rsidRPr="00B01B97">
        <w:rPr>
          <w:szCs w:val="24"/>
          <w:vertAlign w:val="subscript"/>
        </w:rPr>
        <w:t>1</w:t>
      </w:r>
      <w:r w:rsidRPr="00B01B97">
        <w:rPr>
          <w:szCs w:val="24"/>
        </w:rPr>
        <w:t xml:space="preserve"> to C and T</w:t>
      </w:r>
      <w:r w:rsidRPr="00B01B97">
        <w:rPr>
          <w:szCs w:val="24"/>
          <w:vertAlign w:val="subscript"/>
        </w:rPr>
        <w:t>2</w:t>
      </w:r>
      <w:r w:rsidRPr="00B01B97">
        <w:rPr>
          <w:szCs w:val="24"/>
        </w:rPr>
        <w:t xml:space="preserve"> to C). MDIs for earnings and public assistance participation are also presented in </w:t>
      </w:r>
      <w:r w:rsidRPr="00EF4E35">
        <w:rPr>
          <w:szCs w:val="24"/>
        </w:rPr>
        <w:t>Table B.2a</w:t>
      </w:r>
      <w:r w:rsidRPr="00B01B97">
        <w:rPr>
          <w:szCs w:val="24"/>
        </w:rPr>
        <w:t xml:space="preserve">. For a subgroup of half the size of the overall sample—such as people in single-parent SNAP households—the MDIs would be about 4.0 and 4.7 percentage points, respectively. The table shows MDIs for a sample size of 5,000 per site. For smaller sites </w:t>
      </w:r>
      <w:r>
        <w:rPr>
          <w:szCs w:val="24"/>
        </w:rPr>
        <w:t xml:space="preserve">with </w:t>
      </w:r>
      <w:r w:rsidRPr="00B01B97">
        <w:rPr>
          <w:szCs w:val="24"/>
        </w:rPr>
        <w:t>3,000</w:t>
      </w:r>
      <w:r>
        <w:rPr>
          <w:szCs w:val="24"/>
        </w:rPr>
        <w:t xml:space="preserve"> participants</w:t>
      </w:r>
      <w:r w:rsidRPr="00B01B97">
        <w:rPr>
          <w:szCs w:val="24"/>
        </w:rPr>
        <w:t xml:space="preserve">, the MDIs are about 30 percent higher in designs 1 and 2. For example, the MDI for employment would be </w:t>
      </w:r>
      <w:r>
        <w:rPr>
          <w:szCs w:val="24"/>
        </w:rPr>
        <w:t>3.7</w:t>
      </w:r>
      <w:r w:rsidRPr="00B01B97">
        <w:rPr>
          <w:szCs w:val="24"/>
        </w:rPr>
        <w:t xml:space="preserve"> instead of 2.9 percentage points. For the percentage of people who are food secure, </w:t>
      </w:r>
      <w:r>
        <w:rPr>
          <w:szCs w:val="24"/>
        </w:rPr>
        <w:t xml:space="preserve">with 5,000 participants per site </w:t>
      </w:r>
      <w:r w:rsidRPr="00B01B97">
        <w:rPr>
          <w:szCs w:val="24"/>
        </w:rPr>
        <w:t>we will be able to detect a 6.4-percentage-point increase in the food security rate for the treatment group from the overall pilot combining T</w:t>
      </w:r>
      <w:r w:rsidRPr="00B01B97">
        <w:rPr>
          <w:szCs w:val="24"/>
          <w:vertAlign w:val="subscript"/>
        </w:rPr>
        <w:t>1</w:t>
      </w:r>
      <w:r w:rsidRPr="00B01B97">
        <w:rPr>
          <w:szCs w:val="24"/>
        </w:rPr>
        <w:t xml:space="preserve"> and T</w:t>
      </w:r>
      <w:r w:rsidRPr="00B01B97">
        <w:rPr>
          <w:szCs w:val="24"/>
          <w:vertAlign w:val="subscript"/>
        </w:rPr>
        <w:t xml:space="preserve">2 </w:t>
      </w:r>
      <w:r w:rsidRPr="00B01B97">
        <w:rPr>
          <w:szCs w:val="24"/>
        </w:rPr>
        <w:t>and comparing to C) and a 7.4-percentage-point increase in the food security for each intervention, T</w:t>
      </w:r>
      <w:r w:rsidRPr="00B01B97">
        <w:rPr>
          <w:szCs w:val="24"/>
          <w:vertAlign w:val="subscript"/>
        </w:rPr>
        <w:t>1</w:t>
      </w:r>
      <w:r w:rsidRPr="00B01B97">
        <w:rPr>
          <w:szCs w:val="24"/>
        </w:rPr>
        <w:t xml:space="preserve"> and T</w:t>
      </w:r>
      <w:r w:rsidRPr="00B01B97">
        <w:rPr>
          <w:szCs w:val="24"/>
          <w:vertAlign w:val="subscript"/>
        </w:rPr>
        <w:t>2</w:t>
      </w:r>
      <w:r w:rsidRPr="00B01B97">
        <w:rPr>
          <w:szCs w:val="24"/>
        </w:rPr>
        <w:t>, separately.</w:t>
      </w:r>
      <w:r>
        <w:rPr>
          <w:szCs w:val="24"/>
        </w:rPr>
        <w:t xml:space="preserve"> These are 8.3 and 9.5 percentage points, respectively, with 3,000 participants per site.</w:t>
      </w:r>
    </w:p>
    <w:p w:rsidR="00B30DDF" w:rsidRPr="00B01B97" w:rsidRDefault="00B30DDF" w:rsidP="00B30DDF">
      <w:pPr>
        <w:rPr>
          <w:szCs w:val="24"/>
        </w:rPr>
      </w:pPr>
      <w:r w:rsidRPr="00B01B97">
        <w:rPr>
          <w:szCs w:val="24"/>
        </w:rPr>
        <w:t xml:space="preserve">The detectable impacts on primary outcomes will be policy-relevant—realistic impacts consistent with those found in studies of related interventions in the welfare-to-work evaluation literature (Decker 2011; </w:t>
      </w:r>
      <w:proofErr w:type="spellStart"/>
      <w:r w:rsidRPr="00B01B97">
        <w:rPr>
          <w:szCs w:val="24"/>
        </w:rPr>
        <w:t>Fraker</w:t>
      </w:r>
      <w:proofErr w:type="spellEnd"/>
      <w:r w:rsidRPr="00B01B97">
        <w:rPr>
          <w:szCs w:val="24"/>
        </w:rPr>
        <w:t xml:space="preserve"> et al 2002; Bloom and </w:t>
      </w:r>
      <w:proofErr w:type="spellStart"/>
      <w:r w:rsidRPr="00B01B97">
        <w:rPr>
          <w:szCs w:val="24"/>
        </w:rPr>
        <w:t>Michalopoulos</w:t>
      </w:r>
      <w:proofErr w:type="spellEnd"/>
      <w:r w:rsidRPr="00B01B97">
        <w:rPr>
          <w:szCs w:val="24"/>
        </w:rPr>
        <w:t xml:space="preserve"> 2001). Based on these studies, the current study should be able to detect impacts of 3</w:t>
      </w:r>
      <w:r w:rsidRPr="00B01B97" w:rsidDel="00A9463B">
        <w:rPr>
          <w:szCs w:val="24"/>
        </w:rPr>
        <w:t xml:space="preserve"> to </w:t>
      </w:r>
      <w:r w:rsidRPr="00B01B97">
        <w:rPr>
          <w:szCs w:val="24"/>
        </w:rPr>
        <w:t>6 percentage points</w:t>
      </w:r>
      <w:r w:rsidRPr="00B01B97" w:rsidDel="00A9463B">
        <w:rPr>
          <w:szCs w:val="24"/>
        </w:rPr>
        <w:t xml:space="preserve"> </w:t>
      </w:r>
      <w:r w:rsidRPr="00B01B97">
        <w:rPr>
          <w:szCs w:val="24"/>
        </w:rPr>
        <w:t>in the employment rate</w:t>
      </w:r>
      <w:r w:rsidRPr="00B01B97" w:rsidDel="00A9463B">
        <w:rPr>
          <w:szCs w:val="24"/>
        </w:rPr>
        <w:t xml:space="preserve">. </w:t>
      </w:r>
      <w:r w:rsidRPr="00B01B97">
        <w:rPr>
          <w:szCs w:val="24"/>
        </w:rPr>
        <w:t xml:space="preserve">With a sample of 5,000 per site, our expected MDIs are at the lower end of this range. </w:t>
      </w:r>
    </w:p>
    <w:p w:rsidR="00B30DDF" w:rsidRDefault="00B30DDF" w:rsidP="00B30DDF">
      <w:r w:rsidRPr="00B01B97">
        <w:rPr>
          <w:szCs w:val="24"/>
        </w:rPr>
        <w:t>Another important standard for benchmarking the MDI is whether the study has sufficient power to detect a cost-beneficial impact from society’s perspective. Assuming that $165 million is allocated evenly across 10 sites and 2,500 people receive services</w:t>
      </w:r>
      <w:r>
        <w:rPr>
          <w:szCs w:val="24"/>
        </w:rPr>
        <w:t xml:space="preserve"> on average</w:t>
      </w:r>
      <w:r w:rsidRPr="00B01B97">
        <w:rPr>
          <w:szCs w:val="24"/>
        </w:rPr>
        <w:t xml:space="preserve"> in each site, the average cost per participant would be $6,600. Assuming program benefits arise largely as a result of earnings increases, over a three-year evaluation period, quarterly earnings would have to increase by about $550 per quarter ($6,600 divided by 12 quarters) for the intervention to be cost-beneficial and less if the impacts are sustained for a longer period of time.  With a sample of 5,000, we would be able detect this cost-beneficial impact.</w:t>
      </w:r>
    </w:p>
    <w:p w:rsidR="00030C57" w:rsidRDefault="00030C57">
      <w:pPr>
        <w:spacing w:after="240" w:line="240" w:lineRule="auto"/>
        <w:ind w:firstLine="0"/>
      </w:pPr>
      <w:r>
        <w:br w:type="page"/>
      </w:r>
    </w:p>
    <w:p w:rsidR="00030C57" w:rsidRPr="00030C57" w:rsidRDefault="00030C57" w:rsidP="00030C57">
      <w:pPr>
        <w:pStyle w:val="MarkforExhibitTitle"/>
      </w:pPr>
      <w:bookmarkStart w:id="33" w:name="_Toc432151140"/>
      <w:proofErr w:type="gramStart"/>
      <w:r w:rsidRPr="00030C57">
        <w:t>Exhibit B.2.a.</w:t>
      </w:r>
      <w:proofErr w:type="gramEnd"/>
      <w:r w:rsidRPr="00030C57">
        <w:t xml:space="preserve"> Minimum detectable impacts on primary and secondary outcomes for each site</w:t>
      </w:r>
      <w:bookmarkEnd w:id="33"/>
    </w:p>
    <w:tbl>
      <w:tblPr>
        <w:tblStyle w:val="LightList1"/>
        <w:tblW w:w="5000" w:type="pct"/>
        <w:tblBorders>
          <w:top w:val="none" w:sz="0" w:space="0" w:color="auto"/>
          <w:left w:val="none" w:sz="0" w:space="0" w:color="auto"/>
          <w:bottom w:val="none" w:sz="0" w:space="0" w:color="auto"/>
          <w:right w:val="none" w:sz="0" w:space="0" w:color="auto"/>
        </w:tblBorders>
        <w:tblLook w:val="0620"/>
      </w:tblPr>
      <w:tblGrid>
        <w:gridCol w:w="2404"/>
        <w:gridCol w:w="1793"/>
        <w:gridCol w:w="1793"/>
        <w:gridCol w:w="1793"/>
        <w:gridCol w:w="1793"/>
      </w:tblGrid>
      <w:tr w:rsidR="000F602B" w:rsidRPr="00030C57" w:rsidTr="000F602B">
        <w:trPr>
          <w:cnfStyle w:val="100000000000"/>
          <w:tblHeader/>
        </w:trPr>
        <w:tc>
          <w:tcPr>
            <w:tcW w:w="1256" w:type="pct"/>
            <w:shd w:val="clear" w:color="auto" w:fill="6C6F70"/>
            <w:vAlign w:val="bottom"/>
          </w:tcPr>
          <w:p w:rsidR="000F602B" w:rsidRPr="00030C57" w:rsidRDefault="000F602B" w:rsidP="00030C57">
            <w:pPr>
              <w:tabs>
                <w:tab w:val="left" w:pos="720"/>
                <w:tab w:val="left" w:pos="1080"/>
                <w:tab w:val="left" w:pos="1440"/>
                <w:tab w:val="left" w:pos="1800"/>
              </w:tabs>
              <w:spacing w:before="120" w:after="60" w:line="240" w:lineRule="auto"/>
              <w:ind w:firstLine="0"/>
              <w:rPr>
                <w:rFonts w:ascii="Arial Black" w:eastAsiaTheme="minorEastAsia" w:hAnsi="Arial Black"/>
                <w:sz w:val="16"/>
                <w:szCs w:val="16"/>
              </w:rPr>
            </w:pPr>
          </w:p>
        </w:tc>
        <w:tc>
          <w:tcPr>
            <w:tcW w:w="1872" w:type="pct"/>
            <w:gridSpan w:val="2"/>
            <w:shd w:val="clear" w:color="auto" w:fill="6C6F70"/>
          </w:tcPr>
          <w:p w:rsidR="000F602B" w:rsidRPr="00030C57" w:rsidRDefault="000F602B" w:rsidP="00470910">
            <w:pPr>
              <w:pStyle w:val="TableHeaderCenter"/>
              <w:rPr>
                <w:sz w:val="16"/>
                <w:szCs w:val="16"/>
              </w:rPr>
            </w:pPr>
            <w:r w:rsidRPr="00030C57">
              <w:t>Individual-based RA with Sample of 5,000 Participants</w:t>
            </w:r>
          </w:p>
        </w:tc>
        <w:tc>
          <w:tcPr>
            <w:tcW w:w="1872" w:type="pct"/>
            <w:gridSpan w:val="2"/>
            <w:shd w:val="clear" w:color="auto" w:fill="6C6F70"/>
          </w:tcPr>
          <w:p w:rsidR="000F602B" w:rsidRPr="00030C57" w:rsidRDefault="000F602B" w:rsidP="00470910">
            <w:pPr>
              <w:pStyle w:val="TableHeaderCenter"/>
              <w:rPr>
                <w:sz w:val="16"/>
                <w:szCs w:val="16"/>
              </w:rPr>
            </w:pPr>
            <w:r w:rsidRPr="00030C57">
              <w:t>Individual-based RA with Sample of 3,000 Participants</w:t>
            </w:r>
          </w:p>
        </w:tc>
      </w:tr>
      <w:tr w:rsidR="000F602B" w:rsidRPr="00030C57" w:rsidTr="000F602B">
        <w:trPr>
          <w:cnfStyle w:val="100000000000"/>
          <w:tblHeader/>
        </w:trPr>
        <w:tc>
          <w:tcPr>
            <w:tcW w:w="1256" w:type="pct"/>
            <w:tcBorders>
              <w:bottom w:val="single" w:sz="4" w:space="0" w:color="auto"/>
            </w:tcBorders>
            <w:shd w:val="clear" w:color="auto" w:fill="D9D9D9"/>
          </w:tcPr>
          <w:p w:rsidR="000F602B" w:rsidRPr="00470910" w:rsidRDefault="000F602B" w:rsidP="00470910">
            <w:pPr>
              <w:pStyle w:val="TableHeaderLeft"/>
              <w:rPr>
                <w:rFonts w:eastAsiaTheme="minorEastAsia"/>
                <w:color w:val="auto"/>
                <w:sz w:val="16"/>
                <w:szCs w:val="16"/>
              </w:rPr>
            </w:pPr>
            <w:r w:rsidRPr="00470910">
              <w:rPr>
                <w:color w:val="auto"/>
              </w:rPr>
              <w:t>Outcome</w:t>
            </w:r>
          </w:p>
        </w:tc>
        <w:tc>
          <w:tcPr>
            <w:tcW w:w="936" w:type="pct"/>
            <w:tcBorders>
              <w:bottom w:val="single" w:sz="4" w:space="0" w:color="auto"/>
            </w:tcBorders>
            <w:shd w:val="clear" w:color="auto" w:fill="D9D9D9"/>
            <w:vAlign w:val="bottom"/>
          </w:tcPr>
          <w:p w:rsidR="000F602B" w:rsidRPr="00470910" w:rsidRDefault="000F602B" w:rsidP="00470910">
            <w:pPr>
              <w:pStyle w:val="TableHeaderCenter"/>
              <w:rPr>
                <w:color w:val="auto"/>
                <w:sz w:val="16"/>
                <w:szCs w:val="16"/>
              </w:rPr>
            </w:pPr>
            <w:r w:rsidRPr="00470910">
              <w:rPr>
                <w:color w:val="auto"/>
              </w:rPr>
              <w:t>T vs. C</w:t>
            </w:r>
          </w:p>
        </w:tc>
        <w:tc>
          <w:tcPr>
            <w:tcW w:w="936" w:type="pct"/>
            <w:tcBorders>
              <w:bottom w:val="single" w:sz="4" w:space="0" w:color="auto"/>
            </w:tcBorders>
            <w:shd w:val="clear" w:color="auto" w:fill="D9D9D9"/>
            <w:vAlign w:val="bottom"/>
          </w:tcPr>
          <w:p w:rsidR="000F602B" w:rsidRPr="00470910" w:rsidRDefault="000F602B" w:rsidP="00470910">
            <w:pPr>
              <w:pStyle w:val="TableHeaderCenter"/>
              <w:rPr>
                <w:color w:val="auto"/>
                <w:sz w:val="16"/>
                <w:szCs w:val="16"/>
              </w:rPr>
            </w:pPr>
            <w:r w:rsidRPr="00470910">
              <w:rPr>
                <w:color w:val="auto"/>
              </w:rPr>
              <w:t>T</w:t>
            </w:r>
            <w:r w:rsidRPr="00470910">
              <w:rPr>
                <w:color w:val="auto"/>
                <w:vertAlign w:val="subscript"/>
              </w:rPr>
              <w:t>1</w:t>
            </w:r>
            <w:r w:rsidRPr="00470910">
              <w:rPr>
                <w:color w:val="auto"/>
              </w:rPr>
              <w:t xml:space="preserve"> vs. C</w:t>
            </w:r>
          </w:p>
        </w:tc>
        <w:tc>
          <w:tcPr>
            <w:tcW w:w="936" w:type="pct"/>
            <w:tcBorders>
              <w:bottom w:val="single" w:sz="4" w:space="0" w:color="auto"/>
            </w:tcBorders>
            <w:shd w:val="clear" w:color="auto" w:fill="D9D9D9"/>
            <w:vAlign w:val="bottom"/>
          </w:tcPr>
          <w:p w:rsidR="000F602B" w:rsidRPr="00470910" w:rsidRDefault="000F602B" w:rsidP="00470910">
            <w:pPr>
              <w:pStyle w:val="TableHeaderCenter"/>
              <w:rPr>
                <w:color w:val="auto"/>
                <w:sz w:val="16"/>
                <w:szCs w:val="16"/>
              </w:rPr>
            </w:pPr>
            <w:r w:rsidRPr="00470910">
              <w:rPr>
                <w:color w:val="auto"/>
              </w:rPr>
              <w:t>T vs. C</w:t>
            </w:r>
          </w:p>
        </w:tc>
        <w:tc>
          <w:tcPr>
            <w:tcW w:w="936" w:type="pct"/>
            <w:tcBorders>
              <w:bottom w:val="single" w:sz="4" w:space="0" w:color="auto"/>
            </w:tcBorders>
            <w:shd w:val="clear" w:color="auto" w:fill="D9D9D9"/>
            <w:vAlign w:val="bottom"/>
          </w:tcPr>
          <w:p w:rsidR="000F602B" w:rsidRPr="00470910" w:rsidRDefault="000F602B" w:rsidP="00470910">
            <w:pPr>
              <w:pStyle w:val="TableHeaderCenter"/>
              <w:rPr>
                <w:color w:val="auto"/>
                <w:sz w:val="16"/>
                <w:szCs w:val="16"/>
              </w:rPr>
            </w:pPr>
            <w:r w:rsidRPr="00470910">
              <w:rPr>
                <w:color w:val="auto"/>
              </w:rPr>
              <w:t>T</w:t>
            </w:r>
            <w:r w:rsidRPr="00470910">
              <w:rPr>
                <w:color w:val="auto"/>
                <w:vertAlign w:val="subscript"/>
              </w:rPr>
              <w:t>1</w:t>
            </w:r>
            <w:r w:rsidRPr="00470910">
              <w:rPr>
                <w:color w:val="auto"/>
              </w:rPr>
              <w:t xml:space="preserve"> vs. C</w:t>
            </w:r>
          </w:p>
        </w:tc>
      </w:tr>
      <w:tr w:rsidR="00030C57" w:rsidRPr="00030C57" w:rsidTr="000F602B">
        <w:tc>
          <w:tcPr>
            <w:tcW w:w="5000" w:type="pct"/>
            <w:gridSpan w:val="5"/>
            <w:tcBorders>
              <w:top w:val="single" w:sz="4" w:space="0" w:color="auto"/>
              <w:bottom w:val="single" w:sz="4" w:space="0" w:color="auto"/>
            </w:tcBorders>
          </w:tcPr>
          <w:p w:rsidR="00030C57" w:rsidRPr="00030C57" w:rsidRDefault="00030C57" w:rsidP="00030C57">
            <w:pPr>
              <w:tabs>
                <w:tab w:val="decimal" w:pos="523"/>
              </w:tabs>
              <w:spacing w:before="40" w:after="40" w:line="240" w:lineRule="auto"/>
              <w:ind w:firstLine="0"/>
              <w:rPr>
                <w:rFonts w:ascii="Arial" w:eastAsiaTheme="minorEastAsia" w:hAnsi="Arial"/>
                <w:sz w:val="18"/>
              </w:rPr>
            </w:pPr>
            <w:r w:rsidRPr="00030C57">
              <w:rPr>
                <w:rFonts w:ascii="Arial" w:hAnsi="Arial"/>
                <w:sz w:val="18"/>
              </w:rPr>
              <w:t>Primary Outcomes</w:t>
            </w:r>
          </w:p>
        </w:tc>
      </w:tr>
      <w:tr w:rsidR="000F602B" w:rsidRPr="00030C57" w:rsidTr="000F602B">
        <w:tc>
          <w:tcPr>
            <w:tcW w:w="1256" w:type="pct"/>
            <w:tcBorders>
              <w:top w:val="single" w:sz="4" w:space="0" w:color="auto"/>
            </w:tcBorders>
          </w:tcPr>
          <w:p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Employment (%)</w:t>
            </w:r>
          </w:p>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Full Sample</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2.9</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3.3</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3.7</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4.3</w:t>
            </w:r>
          </w:p>
        </w:tc>
      </w:tr>
      <w:tr w:rsidR="000F602B" w:rsidRPr="00030C57" w:rsidTr="000F602B">
        <w:tc>
          <w:tcPr>
            <w:tcW w:w="1256" w:type="pct"/>
          </w:tcPr>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50% Subgroup</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4.0</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4.7</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5.2</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6.0</w:t>
            </w:r>
          </w:p>
        </w:tc>
      </w:tr>
      <w:tr w:rsidR="000F602B" w:rsidRPr="00030C57" w:rsidTr="0097793B">
        <w:tc>
          <w:tcPr>
            <w:tcW w:w="1256" w:type="pct"/>
          </w:tcPr>
          <w:p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Quarterly earnings</w:t>
            </w:r>
            <w:r w:rsidR="00B92E70">
              <w:rPr>
                <w:rFonts w:ascii="Arial" w:hAnsi="Arial"/>
                <w:sz w:val="18"/>
              </w:rPr>
              <w:t xml:space="preserve"> ($)</w:t>
            </w:r>
          </w:p>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hAnsi="Arial"/>
                <w:sz w:val="18"/>
              </w:rPr>
            </w:pPr>
            <w:r w:rsidRPr="00030C57">
              <w:rPr>
                <w:rFonts w:ascii="Arial" w:hAnsi="Arial"/>
                <w:sz w:val="18"/>
              </w:rPr>
              <w:t xml:space="preserve">Full </w:t>
            </w:r>
            <w:r w:rsidRPr="00030C57">
              <w:rPr>
                <w:rFonts w:ascii="Arial" w:eastAsiaTheme="minorEastAsia" w:hAnsi="Arial"/>
                <w:sz w:val="18"/>
              </w:rPr>
              <w:t>Sample</w:t>
            </w:r>
          </w:p>
        </w:tc>
        <w:tc>
          <w:tcPr>
            <w:tcW w:w="936" w:type="pct"/>
            <w:vAlign w:val="bottom"/>
          </w:tcPr>
          <w:p w:rsidR="000F602B" w:rsidRPr="00030C57" w:rsidRDefault="000F602B" w:rsidP="0097793B">
            <w:pPr>
              <w:tabs>
                <w:tab w:val="decimal" w:pos="1050"/>
              </w:tabs>
              <w:spacing w:before="40" w:after="40" w:line="240" w:lineRule="auto"/>
              <w:ind w:firstLine="0"/>
              <w:rPr>
                <w:rFonts w:ascii="Arial" w:eastAsiaTheme="minorEastAsia" w:hAnsi="Arial"/>
                <w:sz w:val="18"/>
              </w:rPr>
            </w:pPr>
            <w:r w:rsidRPr="00030C57">
              <w:rPr>
                <w:rFonts w:ascii="Arial" w:eastAsiaTheme="minorEastAsia" w:hAnsi="Arial"/>
                <w:sz w:val="18"/>
              </w:rPr>
              <w:t>489</w:t>
            </w:r>
          </w:p>
        </w:tc>
        <w:tc>
          <w:tcPr>
            <w:tcW w:w="936" w:type="pct"/>
            <w:vAlign w:val="bottom"/>
          </w:tcPr>
          <w:p w:rsidR="000F602B" w:rsidRPr="00030C57" w:rsidRDefault="000F602B" w:rsidP="00340274">
            <w:pPr>
              <w:tabs>
                <w:tab w:val="decimal" w:pos="1008"/>
              </w:tabs>
              <w:spacing w:before="40" w:after="40" w:line="240" w:lineRule="auto"/>
              <w:ind w:firstLine="0"/>
              <w:rPr>
                <w:rFonts w:ascii="Arial" w:eastAsiaTheme="minorEastAsia" w:hAnsi="Arial"/>
                <w:sz w:val="18"/>
              </w:rPr>
            </w:pPr>
            <w:r w:rsidRPr="00030C57">
              <w:rPr>
                <w:rFonts w:ascii="Arial" w:eastAsiaTheme="minorEastAsia" w:hAnsi="Arial"/>
                <w:sz w:val="18"/>
              </w:rPr>
              <w:t>565</w:t>
            </w:r>
          </w:p>
        </w:tc>
        <w:tc>
          <w:tcPr>
            <w:tcW w:w="936" w:type="pct"/>
            <w:vAlign w:val="bottom"/>
          </w:tcPr>
          <w:p w:rsidR="000F602B" w:rsidRPr="00030C57" w:rsidRDefault="000F602B" w:rsidP="00340274">
            <w:pPr>
              <w:tabs>
                <w:tab w:val="decimal" w:pos="1056"/>
              </w:tabs>
              <w:spacing w:before="40" w:after="40" w:line="240" w:lineRule="auto"/>
              <w:ind w:firstLine="0"/>
              <w:rPr>
                <w:rFonts w:ascii="Arial" w:eastAsiaTheme="minorEastAsia" w:hAnsi="Arial"/>
                <w:sz w:val="18"/>
              </w:rPr>
            </w:pPr>
            <w:r w:rsidRPr="00030C57">
              <w:rPr>
                <w:rFonts w:ascii="Arial" w:eastAsiaTheme="minorEastAsia" w:hAnsi="Arial"/>
                <w:sz w:val="18"/>
              </w:rPr>
              <w:t>632</w:t>
            </w:r>
          </w:p>
        </w:tc>
        <w:tc>
          <w:tcPr>
            <w:tcW w:w="936" w:type="pct"/>
            <w:vAlign w:val="bottom"/>
          </w:tcPr>
          <w:p w:rsidR="000F602B" w:rsidRPr="00030C57" w:rsidRDefault="000F602B" w:rsidP="00340274">
            <w:pPr>
              <w:tabs>
                <w:tab w:val="decimal" w:pos="1014"/>
              </w:tabs>
              <w:spacing w:before="40" w:after="40" w:line="240" w:lineRule="auto"/>
              <w:ind w:firstLine="0"/>
              <w:rPr>
                <w:rFonts w:ascii="Arial" w:eastAsiaTheme="minorEastAsia" w:hAnsi="Arial"/>
                <w:sz w:val="18"/>
              </w:rPr>
            </w:pPr>
            <w:r w:rsidRPr="00030C57">
              <w:rPr>
                <w:rFonts w:ascii="Arial" w:eastAsiaTheme="minorEastAsia" w:hAnsi="Arial"/>
                <w:sz w:val="18"/>
              </w:rPr>
              <w:t>730</w:t>
            </w:r>
          </w:p>
        </w:tc>
      </w:tr>
      <w:tr w:rsidR="000F602B" w:rsidRPr="00030C57" w:rsidTr="000F602B">
        <w:tc>
          <w:tcPr>
            <w:tcW w:w="1256" w:type="pct"/>
          </w:tcPr>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 xml:space="preserve">50% </w:t>
            </w:r>
            <w:r w:rsidRPr="00030C57">
              <w:rPr>
                <w:rFonts w:ascii="Arial" w:eastAsiaTheme="minorEastAsia" w:hAnsi="Arial"/>
                <w:sz w:val="18"/>
              </w:rPr>
              <w:t>Subgroup</w:t>
            </w:r>
          </w:p>
        </w:tc>
        <w:tc>
          <w:tcPr>
            <w:tcW w:w="936" w:type="pct"/>
            <w:vAlign w:val="bottom"/>
          </w:tcPr>
          <w:p w:rsidR="000F602B" w:rsidRPr="00030C57" w:rsidRDefault="000F602B" w:rsidP="00340274">
            <w:pPr>
              <w:tabs>
                <w:tab w:val="decimal" w:pos="1050"/>
              </w:tabs>
              <w:spacing w:before="40" w:after="40" w:line="240" w:lineRule="auto"/>
              <w:ind w:firstLine="0"/>
              <w:rPr>
                <w:rFonts w:ascii="Arial" w:eastAsiaTheme="minorEastAsia" w:hAnsi="Arial"/>
                <w:sz w:val="18"/>
              </w:rPr>
            </w:pPr>
            <w:r w:rsidRPr="00030C57">
              <w:rPr>
                <w:rFonts w:ascii="Arial" w:eastAsiaTheme="minorEastAsia" w:hAnsi="Arial"/>
                <w:sz w:val="18"/>
              </w:rPr>
              <w:t>692</w:t>
            </w:r>
          </w:p>
        </w:tc>
        <w:tc>
          <w:tcPr>
            <w:tcW w:w="936" w:type="pct"/>
            <w:vAlign w:val="bottom"/>
          </w:tcPr>
          <w:p w:rsidR="000F602B" w:rsidRPr="00030C57" w:rsidRDefault="000F602B" w:rsidP="00340274">
            <w:pPr>
              <w:tabs>
                <w:tab w:val="decimal" w:pos="1008"/>
              </w:tabs>
              <w:spacing w:before="40" w:after="40" w:line="240" w:lineRule="auto"/>
              <w:ind w:firstLine="0"/>
              <w:rPr>
                <w:rFonts w:ascii="Arial" w:eastAsiaTheme="minorEastAsia" w:hAnsi="Arial"/>
                <w:sz w:val="18"/>
              </w:rPr>
            </w:pPr>
            <w:r w:rsidRPr="00030C57">
              <w:rPr>
                <w:rFonts w:ascii="Arial" w:eastAsiaTheme="minorEastAsia" w:hAnsi="Arial"/>
                <w:sz w:val="18"/>
              </w:rPr>
              <w:t>799</w:t>
            </w:r>
          </w:p>
        </w:tc>
        <w:tc>
          <w:tcPr>
            <w:tcW w:w="936" w:type="pct"/>
            <w:vAlign w:val="bottom"/>
          </w:tcPr>
          <w:p w:rsidR="000F602B" w:rsidRPr="00030C57" w:rsidRDefault="000F602B" w:rsidP="00340274">
            <w:pPr>
              <w:tabs>
                <w:tab w:val="decimal" w:pos="1056"/>
              </w:tabs>
              <w:spacing w:before="40" w:after="40" w:line="240" w:lineRule="auto"/>
              <w:ind w:firstLine="0"/>
              <w:rPr>
                <w:rFonts w:ascii="Arial" w:eastAsiaTheme="minorEastAsia" w:hAnsi="Arial"/>
                <w:sz w:val="18"/>
              </w:rPr>
            </w:pPr>
            <w:r w:rsidRPr="00030C57">
              <w:rPr>
                <w:rFonts w:ascii="Arial" w:eastAsiaTheme="minorEastAsia" w:hAnsi="Arial"/>
                <w:sz w:val="18"/>
              </w:rPr>
              <w:t>894</w:t>
            </w:r>
          </w:p>
        </w:tc>
        <w:tc>
          <w:tcPr>
            <w:tcW w:w="936" w:type="pct"/>
            <w:vAlign w:val="bottom"/>
          </w:tcPr>
          <w:p w:rsidR="000F602B" w:rsidRPr="00030C57" w:rsidRDefault="000F602B" w:rsidP="00340274">
            <w:pPr>
              <w:tabs>
                <w:tab w:val="decimal" w:pos="1014"/>
              </w:tabs>
              <w:spacing w:before="40" w:after="40" w:line="240" w:lineRule="auto"/>
              <w:ind w:firstLine="0"/>
              <w:rPr>
                <w:rFonts w:ascii="Arial" w:eastAsiaTheme="minorEastAsia" w:hAnsi="Arial"/>
                <w:sz w:val="18"/>
              </w:rPr>
            </w:pPr>
            <w:r w:rsidRPr="00030C57">
              <w:rPr>
                <w:rFonts w:ascii="Arial" w:eastAsiaTheme="minorEastAsia" w:hAnsi="Arial"/>
                <w:sz w:val="18"/>
              </w:rPr>
              <w:t>1033</w:t>
            </w:r>
          </w:p>
        </w:tc>
      </w:tr>
      <w:tr w:rsidR="000F602B" w:rsidRPr="00030C57" w:rsidTr="000F602B">
        <w:tc>
          <w:tcPr>
            <w:tcW w:w="1256" w:type="pct"/>
          </w:tcPr>
          <w:p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SNAP (%)</w:t>
            </w:r>
          </w:p>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eastAsiaTheme="minorEastAsia" w:hAnsi="Arial"/>
                <w:sz w:val="18"/>
              </w:rPr>
              <w:t>Full Sample</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2.5</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2.9</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3.2</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3.7</w:t>
            </w:r>
          </w:p>
        </w:tc>
      </w:tr>
      <w:tr w:rsidR="000F602B" w:rsidRPr="00030C57" w:rsidTr="000F602B">
        <w:tc>
          <w:tcPr>
            <w:tcW w:w="1256" w:type="pct"/>
            <w:tcBorders>
              <w:bottom w:val="single" w:sz="4" w:space="0" w:color="auto"/>
            </w:tcBorders>
          </w:tcPr>
          <w:p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eastAsiaTheme="minorEastAsia" w:hAnsi="Arial"/>
                <w:sz w:val="18"/>
              </w:rPr>
              <w:t>50% Subgroup</w:t>
            </w:r>
          </w:p>
        </w:tc>
        <w:tc>
          <w:tcPr>
            <w:tcW w:w="936" w:type="pct"/>
            <w:tcBorders>
              <w:bottom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3.5</w:t>
            </w:r>
          </w:p>
        </w:tc>
        <w:tc>
          <w:tcPr>
            <w:tcW w:w="936" w:type="pct"/>
            <w:tcBorders>
              <w:bottom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4.1</w:t>
            </w:r>
          </w:p>
        </w:tc>
        <w:tc>
          <w:tcPr>
            <w:tcW w:w="936" w:type="pct"/>
            <w:tcBorders>
              <w:bottom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4.6</w:t>
            </w:r>
          </w:p>
        </w:tc>
        <w:tc>
          <w:tcPr>
            <w:tcW w:w="936" w:type="pct"/>
            <w:tcBorders>
              <w:bottom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5.3</w:t>
            </w:r>
          </w:p>
        </w:tc>
      </w:tr>
      <w:tr w:rsidR="00030C57" w:rsidRPr="00030C57" w:rsidTr="000F602B">
        <w:tc>
          <w:tcPr>
            <w:tcW w:w="5000" w:type="pct"/>
            <w:gridSpan w:val="5"/>
            <w:tcBorders>
              <w:top w:val="single" w:sz="4" w:space="0" w:color="auto"/>
              <w:bottom w:val="single" w:sz="4" w:space="0" w:color="auto"/>
            </w:tcBorders>
          </w:tcPr>
          <w:p w:rsidR="00030C57" w:rsidRPr="00030C57" w:rsidRDefault="00030C57" w:rsidP="00030C57">
            <w:pPr>
              <w:tabs>
                <w:tab w:val="decimal" w:pos="523"/>
              </w:tabs>
              <w:spacing w:before="40" w:after="40" w:line="240" w:lineRule="auto"/>
              <w:ind w:firstLine="0"/>
              <w:rPr>
                <w:rFonts w:ascii="Arial" w:eastAsiaTheme="minorEastAsia" w:hAnsi="Arial"/>
                <w:sz w:val="18"/>
              </w:rPr>
            </w:pPr>
            <w:r w:rsidRPr="00030C57">
              <w:rPr>
                <w:rFonts w:ascii="Arial" w:eastAsiaTheme="minorEastAsia" w:hAnsi="Arial"/>
                <w:sz w:val="18"/>
              </w:rPr>
              <w:t>Secondary Outcomes</w:t>
            </w:r>
          </w:p>
        </w:tc>
      </w:tr>
      <w:tr w:rsidR="000F602B" w:rsidRPr="00030C57" w:rsidTr="000F602B">
        <w:tc>
          <w:tcPr>
            <w:tcW w:w="1256" w:type="pct"/>
            <w:tcBorders>
              <w:top w:val="single" w:sz="4" w:space="0" w:color="auto"/>
            </w:tcBorders>
          </w:tcPr>
          <w:p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Food security (%) at 12-month follow-up</w:t>
            </w:r>
          </w:p>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 xml:space="preserve">Total </w:t>
            </w:r>
            <w:r w:rsidRPr="00030C57">
              <w:rPr>
                <w:rFonts w:ascii="Arial" w:eastAsiaTheme="minorEastAsia" w:hAnsi="Arial"/>
                <w:sz w:val="18"/>
              </w:rPr>
              <w:t>number</w:t>
            </w:r>
            <w:r w:rsidRPr="00030C57">
              <w:rPr>
                <w:rFonts w:ascii="Arial" w:hAnsi="Arial"/>
                <w:sz w:val="18"/>
              </w:rPr>
              <w:t xml:space="preserve"> of  completes</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6.4</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7.4</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8.3</w:t>
            </w:r>
          </w:p>
        </w:tc>
        <w:tc>
          <w:tcPr>
            <w:tcW w:w="936" w:type="pct"/>
            <w:tcBorders>
              <w:top w:val="single" w:sz="4"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9.5</w:t>
            </w:r>
          </w:p>
        </w:tc>
      </w:tr>
      <w:tr w:rsidR="000F602B" w:rsidRPr="00030C57" w:rsidTr="000F602B">
        <w:tc>
          <w:tcPr>
            <w:tcW w:w="1256" w:type="pct"/>
          </w:tcPr>
          <w:p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hAnsi="Arial"/>
                <w:sz w:val="18"/>
              </w:rPr>
              <w:t>50% Subgroup</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10.2</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11.7</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13.1</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15.1</w:t>
            </w:r>
          </w:p>
        </w:tc>
      </w:tr>
      <w:tr w:rsidR="000F602B" w:rsidRPr="00030C57" w:rsidTr="000F602B">
        <w:tc>
          <w:tcPr>
            <w:tcW w:w="1256" w:type="pct"/>
          </w:tcPr>
          <w:p w:rsidR="000F602B" w:rsidRPr="00030C57" w:rsidRDefault="000F602B" w:rsidP="00030C57">
            <w:pPr>
              <w:tabs>
                <w:tab w:val="left" w:pos="720"/>
                <w:tab w:val="left" w:pos="1080"/>
                <w:tab w:val="left" w:pos="1440"/>
                <w:tab w:val="left" w:pos="1800"/>
              </w:tabs>
              <w:spacing w:before="40" w:after="40" w:line="240" w:lineRule="auto"/>
              <w:ind w:firstLine="0"/>
              <w:rPr>
                <w:rFonts w:ascii="Arial" w:hAnsi="Arial"/>
                <w:sz w:val="18"/>
              </w:rPr>
            </w:pPr>
            <w:r w:rsidRPr="00030C57">
              <w:rPr>
                <w:rFonts w:ascii="Arial" w:hAnsi="Arial"/>
                <w:sz w:val="18"/>
              </w:rPr>
              <w:t>Food security (%) at 36-month follow-up</w:t>
            </w:r>
          </w:p>
          <w:p w:rsidR="000F602B" w:rsidRPr="00030C57" w:rsidRDefault="000F602B" w:rsidP="00030C57">
            <w:pPr>
              <w:tabs>
                <w:tab w:val="left" w:pos="720"/>
                <w:tab w:val="left" w:pos="1080"/>
                <w:tab w:val="left" w:pos="1440"/>
                <w:tab w:val="left" w:pos="1800"/>
              </w:tabs>
              <w:spacing w:before="40" w:after="40" w:line="240" w:lineRule="auto"/>
              <w:ind w:left="144" w:firstLine="0"/>
              <w:rPr>
                <w:rFonts w:ascii="Arial" w:eastAsiaTheme="minorEastAsia" w:hAnsi="Arial"/>
                <w:sz w:val="18"/>
              </w:rPr>
            </w:pPr>
            <w:r w:rsidRPr="00030C57">
              <w:rPr>
                <w:rFonts w:ascii="Arial" w:hAnsi="Arial"/>
                <w:sz w:val="18"/>
              </w:rPr>
              <w:t>Total number of completes</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8.3</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9.5</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10.7</w:t>
            </w:r>
          </w:p>
        </w:tc>
        <w:tc>
          <w:tcPr>
            <w:tcW w:w="936" w:type="pct"/>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12.4</w:t>
            </w:r>
          </w:p>
        </w:tc>
      </w:tr>
      <w:tr w:rsidR="000F602B" w:rsidRPr="00030C57" w:rsidTr="000F602B">
        <w:tc>
          <w:tcPr>
            <w:tcW w:w="1256" w:type="pct"/>
            <w:tcBorders>
              <w:bottom w:val="single" w:sz="8" w:space="0" w:color="auto"/>
            </w:tcBorders>
          </w:tcPr>
          <w:p w:rsidR="000F602B" w:rsidRPr="00030C57" w:rsidRDefault="000F602B" w:rsidP="00030C57">
            <w:pPr>
              <w:tabs>
                <w:tab w:val="left" w:pos="720"/>
                <w:tab w:val="left" w:pos="1080"/>
                <w:tab w:val="left" w:pos="1440"/>
                <w:tab w:val="left" w:pos="1800"/>
              </w:tabs>
              <w:spacing w:before="40" w:after="40" w:line="240" w:lineRule="auto"/>
              <w:ind w:left="288" w:hanging="144"/>
              <w:rPr>
                <w:rFonts w:ascii="Arial" w:eastAsiaTheme="minorEastAsia" w:hAnsi="Arial"/>
                <w:sz w:val="18"/>
              </w:rPr>
            </w:pPr>
            <w:r w:rsidRPr="00030C57">
              <w:rPr>
                <w:rFonts w:ascii="Arial" w:hAnsi="Arial"/>
                <w:sz w:val="18"/>
              </w:rPr>
              <w:t>50% Subgroup</w:t>
            </w:r>
          </w:p>
        </w:tc>
        <w:tc>
          <w:tcPr>
            <w:tcW w:w="936" w:type="pct"/>
            <w:tcBorders>
              <w:bottom w:val="single" w:sz="8"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13.1</w:t>
            </w:r>
          </w:p>
        </w:tc>
        <w:tc>
          <w:tcPr>
            <w:tcW w:w="936" w:type="pct"/>
            <w:tcBorders>
              <w:bottom w:val="single" w:sz="8"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sz w:val="18"/>
              </w:rPr>
            </w:pPr>
            <w:r w:rsidRPr="00030C57">
              <w:rPr>
                <w:rFonts w:ascii="Arial" w:eastAsiaTheme="minorEastAsia" w:hAnsi="Arial"/>
                <w:sz w:val="18"/>
              </w:rPr>
              <w:t>15.1</w:t>
            </w:r>
          </w:p>
        </w:tc>
        <w:tc>
          <w:tcPr>
            <w:tcW w:w="936" w:type="pct"/>
            <w:tcBorders>
              <w:bottom w:val="single" w:sz="8"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17.0</w:t>
            </w:r>
          </w:p>
        </w:tc>
        <w:tc>
          <w:tcPr>
            <w:tcW w:w="936" w:type="pct"/>
            <w:tcBorders>
              <w:bottom w:val="single" w:sz="8" w:space="0" w:color="auto"/>
            </w:tcBorders>
            <w:vAlign w:val="bottom"/>
          </w:tcPr>
          <w:p w:rsidR="000F602B" w:rsidRPr="00030C57" w:rsidRDefault="000F602B" w:rsidP="000F602B">
            <w:pPr>
              <w:tabs>
                <w:tab w:val="decimal" w:pos="870"/>
              </w:tabs>
              <w:spacing w:before="40" w:after="40" w:line="240" w:lineRule="auto"/>
              <w:ind w:firstLine="0"/>
              <w:rPr>
                <w:rFonts w:ascii="Arial" w:eastAsiaTheme="minorEastAsia" w:hAnsi="Arial"/>
                <w:color w:val="000000" w:themeColor="text1"/>
                <w:sz w:val="18"/>
              </w:rPr>
            </w:pPr>
            <w:r w:rsidRPr="00030C57">
              <w:rPr>
                <w:rFonts w:ascii="Arial" w:hAnsi="Arial"/>
                <w:color w:val="000000" w:themeColor="text1"/>
                <w:sz w:val="18"/>
              </w:rPr>
              <w:t>19.6</w:t>
            </w:r>
          </w:p>
        </w:tc>
      </w:tr>
    </w:tbl>
    <w:p w:rsidR="00B30DDF" w:rsidRDefault="00470910" w:rsidP="000E031D">
      <w:pPr>
        <w:pStyle w:val="TableSourceCaption"/>
      </w:pPr>
      <w:r w:rsidRPr="00470910">
        <w:t>Notes:</w:t>
      </w:r>
      <w:r w:rsidRPr="00470910">
        <w:tab/>
        <w:t>Samples of individuals are allocated equally across T1, T2, and C. MDIs for comparison of T2 vs. C are the same as for T1 vs. C and are not shown in the table. Variance estimates for primary outcome measures were estimated using SIPP data from 2010 on SNAP participants ages 18 to 49 that were either employed or unemployed in the past quarter. The power analysis assumes an employment rate of 75.8%, a standard deviation of quarterly earnings of $7,333, and percentage receiving SNAP of 83.1%. The power analysis assumes that covariates in the regression model will explain 20% of the variation in the outcome measures</w:t>
      </w:r>
      <w:r w:rsidR="000E031D">
        <w:t xml:space="preserve">. </w:t>
      </w:r>
      <w:r w:rsidRPr="00470910">
        <w:t>Variance estimates for food security was estimated using data from the SNAP-Food Security study (Mabli et al. 2013) and is based on a 34.2% food security rate. The power analysis assumes there will be a design effect due to weighting from the two-phase design of about 1.5. The total number of completes at the 12-month follow-up and 36-month follow-up are 1,840 and 1,110 for sites with 5,000 participants, respectively. The total number of completes at the 12-month follow-up and 36-month follow-up are 1,104 and 666 for sites with 3,000 participants, respectively.</w:t>
      </w:r>
    </w:p>
    <w:p w:rsidR="00B30DDF" w:rsidRDefault="00B30DDF" w:rsidP="00CB1BB7"/>
    <w:p w:rsidR="00DF23E4" w:rsidRDefault="00DF23E4" w:rsidP="006F6D18">
      <w:pPr>
        <w:pStyle w:val="NormalDS"/>
        <w:tabs>
          <w:tab w:val="clear" w:pos="720"/>
          <w:tab w:val="clear" w:pos="1080"/>
          <w:tab w:val="clear" w:pos="1440"/>
          <w:tab w:val="clear" w:pos="1800"/>
        </w:tabs>
        <w:rPr>
          <w:szCs w:val="24"/>
        </w:rPr>
      </w:pPr>
      <w:r>
        <w:rPr>
          <w:szCs w:val="24"/>
        </w:rPr>
        <w:t xml:space="preserve">Finally, </w:t>
      </w:r>
      <w:r w:rsidR="00E73CE9">
        <w:rPr>
          <w:szCs w:val="24"/>
        </w:rPr>
        <w:t>we</w:t>
      </w:r>
      <w:r w:rsidRPr="00BE149A">
        <w:rPr>
          <w:szCs w:val="24"/>
        </w:rPr>
        <w:t xml:space="preserve"> </w:t>
      </w:r>
      <w:r>
        <w:rPr>
          <w:szCs w:val="24"/>
        </w:rPr>
        <w:t>will analyze</w:t>
      </w:r>
      <w:r w:rsidRPr="00BE149A">
        <w:rPr>
          <w:szCs w:val="24"/>
        </w:rPr>
        <w:t xml:space="preserve"> enhancements to site interventions to learn about key program fe</w:t>
      </w:r>
      <w:r w:rsidRPr="00E648EC">
        <w:rPr>
          <w:szCs w:val="24"/>
        </w:rPr>
        <w:t xml:space="preserve">atures that have national implications. The analysis will examine the effects </w:t>
      </w:r>
      <w:r>
        <w:rPr>
          <w:szCs w:val="24"/>
        </w:rPr>
        <w:t xml:space="preserve">of </w:t>
      </w:r>
      <w:r w:rsidRPr="00E648EC">
        <w:rPr>
          <w:szCs w:val="24"/>
        </w:rPr>
        <w:t>key program features that have national implications</w:t>
      </w:r>
      <w:r>
        <w:rPr>
          <w:szCs w:val="24"/>
        </w:rPr>
        <w:t xml:space="preserve"> by pooling observations across sites with similar features, such as low- and high-intensity case management. </w:t>
      </w:r>
      <w:r w:rsidR="00EF05F9">
        <w:rPr>
          <w:szCs w:val="24"/>
        </w:rPr>
        <w:t>FNS</w:t>
      </w:r>
      <w:r>
        <w:rPr>
          <w:szCs w:val="24"/>
        </w:rPr>
        <w:t xml:space="preserve"> assumes that pooling will be possible for 5 of the 10 pilot projects</w:t>
      </w:r>
      <w:r w:rsidR="006265FA">
        <w:rPr>
          <w:szCs w:val="24"/>
        </w:rPr>
        <w:t>, resulting in smaller MDIs than presented in Table B.2a</w:t>
      </w:r>
      <w:r>
        <w:rPr>
          <w:szCs w:val="24"/>
        </w:rPr>
        <w:t xml:space="preserve">. </w:t>
      </w:r>
    </w:p>
    <w:p w:rsidR="00B260F6" w:rsidRPr="00B260F6" w:rsidRDefault="00B260F6" w:rsidP="00AB3372">
      <w:pPr>
        <w:pStyle w:val="H4Number"/>
      </w:pPr>
      <w:bookmarkStart w:id="34" w:name="_Toc432164928"/>
      <w:r>
        <w:t>3</w:t>
      </w:r>
      <w:r w:rsidRPr="00B260F6">
        <w:t>.</w:t>
      </w:r>
      <w:r w:rsidR="00A67A0C">
        <w:tab/>
        <w:t>S</w:t>
      </w:r>
      <w:r>
        <w:t>tatistical methodology for sample section</w:t>
      </w:r>
      <w:bookmarkEnd w:id="34"/>
    </w:p>
    <w:p w:rsidR="00B260F6" w:rsidRDefault="0040392F" w:rsidP="00B260F6">
      <w:pPr>
        <w:pStyle w:val="NormalDS"/>
        <w:tabs>
          <w:tab w:val="clear" w:pos="720"/>
          <w:tab w:val="clear" w:pos="1080"/>
          <w:tab w:val="clear" w:pos="1440"/>
          <w:tab w:val="clear" w:pos="1800"/>
        </w:tabs>
        <w:rPr>
          <w:szCs w:val="24"/>
        </w:rPr>
      </w:pPr>
      <w:r>
        <w:rPr>
          <w:szCs w:val="24"/>
        </w:rPr>
        <w:t xml:space="preserve">We will select samples of individuals to collect 12-month and 36-month follow-up data. Within each pilot site we will randomly select individuals using </w:t>
      </w:r>
      <w:r w:rsidR="007D4252">
        <w:rPr>
          <w:szCs w:val="24"/>
        </w:rPr>
        <w:t>a stratified random design (equal probability selection within strata)</w:t>
      </w:r>
      <w:r>
        <w:rPr>
          <w:szCs w:val="24"/>
        </w:rPr>
        <w:t>.</w:t>
      </w:r>
      <w:r w:rsidR="007D4252">
        <w:rPr>
          <w:szCs w:val="24"/>
        </w:rPr>
        <w:t xml:space="preserve"> Strata will be formed based on research group and, if applicable, pilot location. For example, </w:t>
      </w:r>
      <w:r w:rsidR="00D42924">
        <w:rPr>
          <w:szCs w:val="24"/>
        </w:rPr>
        <w:t xml:space="preserve">for the </w:t>
      </w:r>
      <w:r w:rsidR="00684829">
        <w:rPr>
          <w:szCs w:val="24"/>
        </w:rPr>
        <w:t xml:space="preserve">California </w:t>
      </w:r>
      <w:r w:rsidR="00D42924">
        <w:rPr>
          <w:szCs w:val="24"/>
        </w:rPr>
        <w:t>pilot</w:t>
      </w:r>
      <w:r w:rsidR="00684829">
        <w:rPr>
          <w:szCs w:val="24"/>
        </w:rPr>
        <w:t>,</w:t>
      </w:r>
      <w:r w:rsidR="00D42924">
        <w:rPr>
          <w:szCs w:val="24"/>
        </w:rPr>
        <w:t xml:space="preserve"> 27 strata will be formed based on research groups (T, C1 and C2) and also based on the nine locations in Fresno </w:t>
      </w:r>
      <w:proofErr w:type="gramStart"/>
      <w:r w:rsidR="00D42924">
        <w:rPr>
          <w:szCs w:val="24"/>
        </w:rPr>
        <w:t>county</w:t>
      </w:r>
      <w:proofErr w:type="gramEnd"/>
      <w:r w:rsidR="00D42924">
        <w:rPr>
          <w:szCs w:val="24"/>
        </w:rPr>
        <w:t xml:space="preserve"> where the pilot will be implemented</w:t>
      </w:r>
      <w:r w:rsidR="00F9424D">
        <w:rPr>
          <w:szCs w:val="24"/>
        </w:rPr>
        <w:t xml:space="preserve">. For the </w:t>
      </w:r>
      <w:r w:rsidR="00684829">
        <w:rPr>
          <w:szCs w:val="24"/>
        </w:rPr>
        <w:t xml:space="preserve">Vermont </w:t>
      </w:r>
      <w:r w:rsidR="00F9424D">
        <w:rPr>
          <w:szCs w:val="24"/>
        </w:rPr>
        <w:t xml:space="preserve">pilot which </w:t>
      </w:r>
      <w:r w:rsidR="00684829">
        <w:rPr>
          <w:szCs w:val="24"/>
        </w:rPr>
        <w:t xml:space="preserve">will be </w:t>
      </w:r>
      <w:r w:rsidR="00F9424D">
        <w:rPr>
          <w:szCs w:val="24"/>
        </w:rPr>
        <w:t>implemented statewide, strata will be formed based only on research groups</w:t>
      </w:r>
      <w:r w:rsidR="00684829">
        <w:rPr>
          <w:szCs w:val="24"/>
        </w:rPr>
        <w:t xml:space="preserve"> (treatment and control)</w:t>
      </w:r>
      <w:r w:rsidR="00F9424D">
        <w:rPr>
          <w:szCs w:val="24"/>
        </w:rPr>
        <w:t xml:space="preserve">. </w:t>
      </w:r>
      <w:r w:rsidR="00684829">
        <w:rPr>
          <w:szCs w:val="24"/>
        </w:rPr>
        <w:t xml:space="preserve">For each grantee, </w:t>
      </w:r>
      <w:r w:rsidR="007D4252">
        <w:rPr>
          <w:szCs w:val="24"/>
        </w:rPr>
        <w:t xml:space="preserve">we will select a random sample of study participants </w:t>
      </w:r>
      <w:r w:rsidR="00684829">
        <w:rPr>
          <w:szCs w:val="24"/>
        </w:rPr>
        <w:t>w</w:t>
      </w:r>
      <w:r w:rsidR="00684829" w:rsidRPr="00684829">
        <w:rPr>
          <w:szCs w:val="24"/>
        </w:rPr>
        <w:t xml:space="preserve">ithin each stratum </w:t>
      </w:r>
      <w:r w:rsidR="007D4252">
        <w:rPr>
          <w:szCs w:val="24"/>
        </w:rPr>
        <w:t>using equal probability sampling</w:t>
      </w:r>
      <w:r w:rsidR="00F9424D">
        <w:rPr>
          <w:szCs w:val="24"/>
        </w:rPr>
        <w:t xml:space="preserve"> and will</w:t>
      </w:r>
      <w:r w:rsidR="007D4252">
        <w:rPr>
          <w:szCs w:val="24"/>
        </w:rPr>
        <w:t xml:space="preserve"> </w:t>
      </w:r>
      <w:r w:rsidR="00F9424D">
        <w:rPr>
          <w:szCs w:val="24"/>
        </w:rPr>
        <w:t xml:space="preserve">implicitly stratify individuals within strata using </w:t>
      </w:r>
      <w:r w:rsidR="00684829">
        <w:rPr>
          <w:szCs w:val="24"/>
        </w:rPr>
        <w:t>specific</w:t>
      </w:r>
      <w:r w:rsidR="00F9424D">
        <w:rPr>
          <w:szCs w:val="24"/>
        </w:rPr>
        <w:t xml:space="preserve"> items from the registration document</w:t>
      </w:r>
      <w:r w:rsidR="00684829">
        <w:rPr>
          <w:szCs w:val="24"/>
        </w:rPr>
        <w:t xml:space="preserve"> such as gender and age</w:t>
      </w:r>
      <w:r w:rsidR="00D52EA3">
        <w:rPr>
          <w:szCs w:val="24"/>
        </w:rPr>
        <w:t>.</w:t>
      </w:r>
      <w:r w:rsidR="00F9424D">
        <w:rPr>
          <w:szCs w:val="24"/>
        </w:rPr>
        <w:t xml:space="preserve"> We do not </w:t>
      </w:r>
      <w:proofErr w:type="spellStart"/>
      <w:r w:rsidR="00F9424D">
        <w:rPr>
          <w:szCs w:val="24"/>
        </w:rPr>
        <w:t>forsee</w:t>
      </w:r>
      <w:proofErr w:type="spellEnd"/>
      <w:r w:rsidR="00F9424D">
        <w:rPr>
          <w:szCs w:val="24"/>
        </w:rPr>
        <w:t xml:space="preserve"> any unusual problems </w:t>
      </w:r>
      <w:r w:rsidR="00B94B2E">
        <w:rPr>
          <w:szCs w:val="24"/>
        </w:rPr>
        <w:t>requiring specialized sampling procedures beyond the stratified methods proposed above.</w:t>
      </w:r>
    </w:p>
    <w:p w:rsidR="005B1E08" w:rsidRPr="00077A24" w:rsidRDefault="005B1E08" w:rsidP="00B260F6">
      <w:pPr>
        <w:pStyle w:val="NormalDS"/>
        <w:tabs>
          <w:tab w:val="clear" w:pos="720"/>
          <w:tab w:val="clear" w:pos="1080"/>
          <w:tab w:val="clear" w:pos="1440"/>
          <w:tab w:val="clear" w:pos="1800"/>
        </w:tabs>
        <w:rPr>
          <w:szCs w:val="24"/>
        </w:rPr>
      </w:pPr>
      <w:r w:rsidRPr="00077A24">
        <w:t>Although we would like to interview the random subsamples of research sample members annually to provide information on secondary outcomes such as food security, housing status, and well-being, we have opted for follow-up of two strategically selected points of time, at 12-months and 36-months after random assignment, to assess impacts on short-term and longer-term impacts, while at the same time minimizing burden on respondents.</w:t>
      </w:r>
    </w:p>
    <w:p w:rsidR="00DF23E4" w:rsidRPr="00865AE2" w:rsidRDefault="00DF23E4" w:rsidP="006F6D18">
      <w:pPr>
        <w:pStyle w:val="H3Alpha"/>
        <w:spacing w:after="0" w:line="480" w:lineRule="auto"/>
      </w:pPr>
      <w:bookmarkStart w:id="35" w:name="_Toc432164929"/>
      <w:r>
        <w:t>B</w:t>
      </w:r>
      <w:r w:rsidR="00861117">
        <w:t>.</w:t>
      </w:r>
      <w:r>
        <w:t>3. Methods to maximize response rates and deal with nonresponse</w:t>
      </w:r>
      <w:bookmarkEnd w:id="35"/>
    </w:p>
    <w:p w:rsidR="00DF23E4" w:rsidRPr="00DF23E4" w:rsidRDefault="00DF23E4" w:rsidP="006F6D18">
      <w:pPr>
        <w:pStyle w:val="NormalSS"/>
        <w:spacing w:after="0" w:line="480" w:lineRule="auto"/>
        <w:ind w:left="432" w:firstLine="0"/>
        <w:rPr>
          <w:b/>
        </w:rPr>
      </w:pPr>
      <w:r w:rsidRPr="00DF23E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F05F9" w:rsidRDefault="00EF05F9" w:rsidP="006F6D18">
      <w:pPr>
        <w:pStyle w:val="NormalSS"/>
        <w:spacing w:after="0" w:line="480" w:lineRule="auto"/>
        <w:rPr>
          <w:szCs w:val="24"/>
        </w:rPr>
      </w:pPr>
      <w:r>
        <w:rPr>
          <w:szCs w:val="24"/>
        </w:rPr>
        <w:t xml:space="preserve">FNS’ anticipate that all Grantees (State Agencies and Business-for-and-not-for-profit) involved will participate </w:t>
      </w:r>
      <w:r w:rsidR="0049423B">
        <w:rPr>
          <w:szCs w:val="24"/>
        </w:rPr>
        <w:t>fully in this data collection</w:t>
      </w:r>
      <w:r>
        <w:rPr>
          <w:szCs w:val="24"/>
        </w:rPr>
        <w:t xml:space="preserve">. </w:t>
      </w:r>
    </w:p>
    <w:p w:rsidR="00DF23E4" w:rsidRPr="00D56517" w:rsidRDefault="00DF23E4" w:rsidP="006F6D18">
      <w:pPr>
        <w:pStyle w:val="NormalSS"/>
        <w:spacing w:after="0" w:line="480" w:lineRule="auto"/>
        <w:rPr>
          <w:szCs w:val="24"/>
        </w:rPr>
      </w:pPr>
      <w:r w:rsidRPr="00D56517">
        <w:rPr>
          <w:szCs w:val="24"/>
        </w:rPr>
        <w:t>The SNAP E&amp;T Pilots evaluation study team will employ a variety of methods to maximize response rates and deal with nonresponses</w:t>
      </w:r>
      <w:r w:rsidR="00EF05F9">
        <w:rPr>
          <w:szCs w:val="24"/>
        </w:rPr>
        <w:t xml:space="preserve"> from the individuals/household SNAP participants</w:t>
      </w:r>
      <w:r w:rsidRPr="00D56517">
        <w:rPr>
          <w:szCs w:val="24"/>
        </w:rPr>
        <w:t xml:space="preserve">. This section describes these methods for the survey and </w:t>
      </w:r>
      <w:r>
        <w:rPr>
          <w:szCs w:val="24"/>
        </w:rPr>
        <w:t xml:space="preserve">for </w:t>
      </w:r>
      <w:r w:rsidRPr="00D56517">
        <w:rPr>
          <w:szCs w:val="24"/>
        </w:rPr>
        <w:t xml:space="preserve">focus group data collection efforts.  </w:t>
      </w:r>
    </w:p>
    <w:p w:rsidR="00DF23E4" w:rsidRDefault="00DF23E4" w:rsidP="00AB3372">
      <w:pPr>
        <w:pStyle w:val="H4Number"/>
      </w:pPr>
      <w:bookmarkStart w:id="36" w:name="_Toc432164930"/>
      <w:r>
        <w:t>1.</w:t>
      </w:r>
      <w:r w:rsidR="00A67A0C">
        <w:tab/>
      </w:r>
      <w:r>
        <w:t>Survey Data Collection</w:t>
      </w:r>
      <w:bookmarkEnd w:id="36"/>
    </w:p>
    <w:p w:rsidR="00DF23E4" w:rsidRDefault="00DF23E4" w:rsidP="006F6D18">
      <w:r w:rsidRPr="00EA03CB">
        <w:t>To maximize response rates for the follow</w:t>
      </w:r>
      <w:r>
        <w:t>-</w:t>
      </w:r>
      <w:r w:rsidRPr="00EA03CB">
        <w:t xml:space="preserve">up surveys, </w:t>
      </w:r>
      <w:r w:rsidR="00E73CE9">
        <w:t>we</w:t>
      </w:r>
      <w:r w:rsidRPr="00EA03CB">
        <w:t xml:space="preserve"> </w:t>
      </w:r>
      <w:r>
        <w:t xml:space="preserve">will </w:t>
      </w:r>
      <w:r w:rsidRPr="00EA03CB">
        <w:t xml:space="preserve">(1) </w:t>
      </w:r>
      <w:r>
        <w:t xml:space="preserve">have </w:t>
      </w:r>
      <w:r w:rsidRPr="00EA03CB">
        <w:t xml:space="preserve">regular contact with respondents over the study period; (2) </w:t>
      </w:r>
      <w:r>
        <w:t xml:space="preserve">offer </w:t>
      </w:r>
      <w:r w:rsidRPr="00EA03CB">
        <w:t xml:space="preserve">monetary </w:t>
      </w:r>
      <w:r w:rsidR="005440B8">
        <w:t xml:space="preserve">and non-monetary </w:t>
      </w:r>
      <w:r w:rsidRPr="00EA03CB">
        <w:t xml:space="preserve">incentives; (3) </w:t>
      </w:r>
      <w:r>
        <w:t xml:space="preserve">employ </w:t>
      </w:r>
      <w:r w:rsidRPr="00EA03CB">
        <w:t>intensive locating efforts</w:t>
      </w:r>
      <w:r>
        <w:t>; (4) create a well-designed instrument, and (5) conduct two-phase sampling</w:t>
      </w:r>
      <w:r w:rsidRPr="00EA03CB">
        <w:t xml:space="preserve">. </w:t>
      </w:r>
      <w:r>
        <w:t>Each of these is discussed in detail below.</w:t>
      </w:r>
    </w:p>
    <w:p w:rsidR="00DF23E4" w:rsidRDefault="00E73CE9" w:rsidP="00DF23E4">
      <w:r>
        <w:t>We</w:t>
      </w:r>
      <w:r w:rsidR="00DF23E4" w:rsidRPr="00EA03CB">
        <w:t xml:space="preserve"> will keep in touch with respondents throughout the study period and encourage them to notify </w:t>
      </w:r>
      <w:r w:rsidR="00DF23E4">
        <w:t xml:space="preserve">the team </w:t>
      </w:r>
      <w:r w:rsidR="00DF23E4" w:rsidRPr="00EA03CB">
        <w:t>about any changes in their contact information</w:t>
      </w:r>
      <w:r w:rsidR="00DF23E4">
        <w:t xml:space="preserve"> via a toll-free project telephone number</w:t>
      </w:r>
      <w:r w:rsidR="00DF23E4" w:rsidRPr="00EA03CB">
        <w:t>. In addition to a welcome packet sent after RA</w:t>
      </w:r>
      <w:r w:rsidR="00DF23E4">
        <w:t xml:space="preserve"> that will include a study brochure </w:t>
      </w:r>
      <w:r w:rsidR="00DF23E4" w:rsidRPr="00D378DB">
        <w:t xml:space="preserve">(Attachment </w:t>
      </w:r>
      <w:r w:rsidR="00D378DB" w:rsidRPr="00D378DB">
        <w:t>F</w:t>
      </w:r>
      <w:r w:rsidR="005B1E08">
        <w:t>.1 and F.2</w:t>
      </w:r>
      <w:r w:rsidR="00DF23E4" w:rsidRPr="00D378DB">
        <w:t xml:space="preserve">), </w:t>
      </w:r>
      <w:r>
        <w:t>we</w:t>
      </w:r>
      <w:r w:rsidR="00DF23E4">
        <w:t xml:space="preserve"> </w:t>
      </w:r>
      <w:r w:rsidR="00DF23E4" w:rsidRPr="00EA03CB">
        <w:t xml:space="preserve">will send </w:t>
      </w:r>
      <w:r w:rsidR="00665163">
        <w:t xml:space="preserve">survey reminder </w:t>
      </w:r>
      <w:r w:rsidR="00DF23E4" w:rsidRPr="00EA03CB">
        <w:t>postcards</w:t>
      </w:r>
      <w:r w:rsidR="00DF23E4">
        <w:t xml:space="preserve"> (</w:t>
      </w:r>
      <w:r w:rsidR="00DF23E4" w:rsidRPr="00D378DB">
        <w:t xml:space="preserve">Attachment </w:t>
      </w:r>
      <w:r w:rsidR="00665163">
        <w:t>R</w:t>
      </w:r>
      <w:r w:rsidR="005B1E08">
        <w:t>.1 and R.2</w:t>
      </w:r>
      <w:r w:rsidR="00DF23E4" w:rsidRPr="00D378DB">
        <w:t>)</w:t>
      </w:r>
      <w:r w:rsidR="00DF23E4" w:rsidRPr="00EA03CB">
        <w:t xml:space="preserve"> </w:t>
      </w:r>
      <w:r w:rsidR="00DF23E4">
        <w:t>throughout the field period to remind respondents of the study</w:t>
      </w:r>
      <w:r w:rsidR="00DF23E4" w:rsidRPr="00EA03CB">
        <w:t xml:space="preserve">. </w:t>
      </w:r>
    </w:p>
    <w:p w:rsidR="00597910" w:rsidRPr="009D0F32" w:rsidRDefault="00DF23E4" w:rsidP="00597910">
      <w:r>
        <w:t>M</w:t>
      </w:r>
      <w:r w:rsidRPr="00EA03CB">
        <w:t>onetary</w:t>
      </w:r>
      <w:r w:rsidR="005440B8">
        <w:t xml:space="preserve"> and non-monetary</w:t>
      </w:r>
      <w:r w:rsidRPr="00EA03CB">
        <w:t xml:space="preserve"> incentives</w:t>
      </w:r>
      <w:r>
        <w:t xml:space="preserve"> will also be used</w:t>
      </w:r>
      <w:r w:rsidRPr="00EA03CB">
        <w:t xml:space="preserve">. Research has </w:t>
      </w:r>
      <w:r>
        <w:t xml:space="preserve">long </w:t>
      </w:r>
      <w:r w:rsidRPr="00EA03CB">
        <w:t>shown that</w:t>
      </w:r>
      <w:r w:rsidRPr="00EA03CB">
        <w:rPr>
          <w:b/>
        </w:rPr>
        <w:t xml:space="preserve"> </w:t>
      </w:r>
      <w:r w:rsidR="005440B8">
        <w:t xml:space="preserve">monetary incentives </w:t>
      </w:r>
      <w:r w:rsidR="00A36E3D">
        <w:t>provided</w:t>
      </w:r>
      <w:r w:rsidR="005440B8">
        <w:t xml:space="preserve"> to</w:t>
      </w:r>
      <w:r w:rsidR="005440B8" w:rsidRPr="00EA03CB">
        <w:t xml:space="preserve"> </w:t>
      </w:r>
      <w:r w:rsidRPr="00EA03CB">
        <w:t xml:space="preserve">survey respondents can improve response rates without affecting data quality (Singer and </w:t>
      </w:r>
      <w:proofErr w:type="spellStart"/>
      <w:r w:rsidRPr="00EA03CB">
        <w:t>Kulka</w:t>
      </w:r>
      <w:proofErr w:type="spellEnd"/>
      <w:r w:rsidRPr="00EA03CB">
        <w:t xml:space="preserve"> 2002; </w:t>
      </w:r>
      <w:r w:rsidR="00BD1E52">
        <w:t>Singer et al. 1999</w:t>
      </w:r>
      <w:r w:rsidR="00B5234D">
        <w:t xml:space="preserve">). </w:t>
      </w:r>
      <w:r w:rsidRPr="00EA03CB">
        <w:t xml:space="preserve">For the </w:t>
      </w:r>
      <w:r>
        <w:t>12</w:t>
      </w:r>
      <w:r w:rsidR="00B5234D">
        <w:noBreakHyphen/>
      </w:r>
      <w:r>
        <w:t>month</w:t>
      </w:r>
      <w:r w:rsidRPr="00EA03CB">
        <w:t xml:space="preserve"> follow</w:t>
      </w:r>
      <w:r>
        <w:t>-</w:t>
      </w:r>
      <w:r w:rsidRPr="00EA03CB">
        <w:t>up survey</w:t>
      </w:r>
      <w:r w:rsidR="00A36E3D">
        <w:t xml:space="preserve"> (Attachments O.1 and O.2)</w:t>
      </w:r>
      <w:r w:rsidRPr="00EA03CB">
        <w:t xml:space="preserve">, </w:t>
      </w:r>
      <w:r w:rsidR="00E73CE9">
        <w:t>we</w:t>
      </w:r>
      <w:r w:rsidRPr="00EA03CB">
        <w:t xml:space="preserve"> </w:t>
      </w:r>
      <w:r>
        <w:t>will offer</w:t>
      </w:r>
      <w:r w:rsidRPr="00EA03CB">
        <w:t xml:space="preserve"> </w:t>
      </w:r>
      <w:r w:rsidR="00A35682">
        <w:t>$</w:t>
      </w:r>
      <w:r w:rsidR="00597910">
        <w:t xml:space="preserve">30 to all households for the 12-month follow-up survey and $40 for the 36-month follow-up survey. </w:t>
      </w:r>
      <w:r w:rsidR="00597910" w:rsidRPr="009D0F32">
        <w:t>The sur</w:t>
      </w:r>
      <w:r w:rsidR="00597910">
        <w:t xml:space="preserve">vey incentives proposed for the SNAP E&amp;T Pilots Evaluation </w:t>
      </w:r>
      <w:r w:rsidR="00597910" w:rsidRPr="009D0F32">
        <w:t>are based on the characteristics of the study population and experience with conducting telephone surveys with similar low-income populations:</w:t>
      </w:r>
    </w:p>
    <w:p w:rsidR="00DF4978" w:rsidRDefault="00597910" w:rsidP="00905497">
      <w:pPr>
        <w:pStyle w:val="Bullet"/>
        <w:ind w:left="360" w:hanging="360"/>
      </w:pPr>
      <w:r w:rsidRPr="009D0F32">
        <w:t xml:space="preserve">The USDA-sponsored Supplemental Nutrition Assistance Program on Food Security (OMB Control Number 0584-0563, Discontinued September 19, 2011) offered a modest $2 pre-pay incentive and a $20 post-pay upon completing the telephone interview and had a response rate of 56 percent for baseline and 67 percent for a six-month follow-up, indicating $20-22 is not sufficient for helping to achieve the target response rate of 80 percent in </w:t>
      </w:r>
      <w:r>
        <w:t>SNAP E&amp;T Pilots</w:t>
      </w:r>
      <w:r w:rsidRPr="009D0F32">
        <w:t xml:space="preserve">. </w:t>
      </w:r>
    </w:p>
    <w:p w:rsidR="00597910" w:rsidRPr="00DF4978" w:rsidRDefault="00597910" w:rsidP="00905497">
      <w:pPr>
        <w:pStyle w:val="Bullet"/>
        <w:ind w:left="360" w:hanging="360"/>
      </w:pPr>
      <w:r w:rsidRPr="009D0F32">
        <w:t xml:space="preserve">Site-specific baseline survey response rates in the USDA-sponsored 2012 SEBTC study (OMB Control Number 0584-0559, Discontinued March 31, 2014) ranged from 39 percent to 79 percent across 14 sites using a $25 incentive. </w:t>
      </w:r>
      <w:r w:rsidR="00DF4978" w:rsidRPr="00DF4978">
        <w:t xml:space="preserve">The average </w:t>
      </w:r>
      <w:proofErr w:type="spellStart"/>
      <w:r w:rsidR="00DF4978" w:rsidRPr="00DF4978">
        <w:t>unweighted</w:t>
      </w:r>
      <w:proofErr w:type="spellEnd"/>
      <w:r w:rsidR="00DF4978" w:rsidRPr="00DF4978">
        <w:t xml:space="preserve"> response rate was 67 percent; the rate was 53 percent for passive consent sites and 75 percent for active consent sites (</w:t>
      </w:r>
      <w:proofErr w:type="spellStart"/>
      <w:r w:rsidR="00DF4978" w:rsidRPr="00DF4978">
        <w:t>Briefel</w:t>
      </w:r>
      <w:proofErr w:type="spellEnd"/>
      <w:r w:rsidR="00DF4978" w:rsidRPr="00DF4978">
        <w:t xml:space="preserve"> et al. 2013), indicating that $25 was not sufficient for helping to achieve the target response rate for the proposed data collection.  Despite not achieving the target response rate, the increase in incentive for the 2012 full demonstration year from $10 to $25 proved effective in improving the response rate by 12% </w:t>
      </w:r>
      <w:proofErr w:type="spellStart"/>
      <w:r w:rsidR="00DF4978" w:rsidRPr="00DF4978">
        <w:t>unweighted</w:t>
      </w:r>
      <w:proofErr w:type="spellEnd"/>
      <w:r w:rsidR="00DF4978" w:rsidRPr="00DF4978">
        <w:t xml:space="preserve"> and 15%  weighted over the 2011 pilot year.  The increased incentive for the 2012 survey was successful in</w:t>
      </w:r>
      <w:r w:rsidR="00077A24">
        <w:t xml:space="preserve"> </w:t>
      </w:r>
      <w:r w:rsidR="00DF4978" w:rsidRPr="00DF4978">
        <w:t>addressing respondent fatigue that was evident during the 2011 pilot year.</w:t>
      </w:r>
    </w:p>
    <w:p w:rsidR="00597910" w:rsidRDefault="00597910" w:rsidP="00597910">
      <w:r w:rsidRPr="009D0F32">
        <w:t xml:space="preserve">Both of these recent studies conducted </w:t>
      </w:r>
      <w:r>
        <w:t>with</w:t>
      </w:r>
      <w:r w:rsidRPr="009D0F32">
        <w:t xml:space="preserve"> populations similar to </w:t>
      </w:r>
      <w:r>
        <w:t xml:space="preserve">SNAP E&amp;T Pilots </w:t>
      </w:r>
      <w:r w:rsidRPr="009D0F32">
        <w:t>indicate that a $</w:t>
      </w:r>
      <w:r>
        <w:t>22-</w:t>
      </w:r>
      <w:r w:rsidRPr="009D0F32">
        <w:t xml:space="preserve">25 incentive is insufficient in reaching the </w:t>
      </w:r>
      <w:r>
        <w:t xml:space="preserve">higher end of the </w:t>
      </w:r>
      <w:r w:rsidRPr="009D0F32">
        <w:t>target response rate of 80 percent.</w:t>
      </w:r>
      <w:r>
        <w:t xml:space="preserve"> As such, we propose a $30 proposed incentive amount for the 12-month </w:t>
      </w:r>
      <w:r w:rsidRPr="000F1DCA">
        <w:t xml:space="preserve">survey </w:t>
      </w:r>
      <w:r>
        <w:t xml:space="preserve">and a $40 incentive for the 36-month survey.  </w:t>
      </w:r>
      <w:r w:rsidRPr="00EF53D4">
        <w:t xml:space="preserve">Increasing the </w:t>
      </w:r>
      <w:r>
        <w:t>amount</w:t>
      </w:r>
      <w:r w:rsidRPr="00EF53D4">
        <w:t xml:space="preserve"> of the incentive</w:t>
      </w:r>
      <w:r>
        <w:t xml:space="preserve"> to $40 for the 36-month survey</w:t>
      </w:r>
      <w:r w:rsidRPr="00EF53D4">
        <w:t xml:space="preserve"> should help keep more respondents engaged, reduce respondent fatigue with the burden involved in the number of data collection activities required over time, and minimize response bias in the study. </w:t>
      </w:r>
    </w:p>
    <w:p w:rsidR="00597910" w:rsidRDefault="00597910" w:rsidP="00597910">
      <w:r w:rsidRPr="009D0F32">
        <w:t>Mercer et al. (2015) conducted a meta-analysis of the dose-response association between incentives and response and found a positive relationship between higher incentives and response rates for household telephone surveys offering post-pay incentives. Singer et al. (1999) had in a previous meta-analysis found that incentives in face-to-face and telephone surveys were effective at increasing response rates, with a one dollar increase in incentive resulting in approximately a one-third of a percentage point increase in response rate, on average.  Further, sufficient incentives can help obtain a high cooperation rate for both the baseline and follow-up surveys so that at follow-up less field interviewer effort will be needed to locate sample members to complete the survey.</w:t>
      </w:r>
    </w:p>
    <w:p w:rsidR="00A35682" w:rsidRDefault="00A35682" w:rsidP="00A35682">
      <w:r w:rsidRPr="009D0F32">
        <w:t>The above discussion summarizes evidence for the effectiveness of incentives for reducing non-response bias,</w:t>
      </w:r>
      <w:r>
        <w:t xml:space="preserve"> and</w:t>
      </w:r>
      <w:r w:rsidRPr="009D0F32">
        <w:t xml:space="preserve"> the response rates associated with offering lower incentive amounts to highly similar target populations</w:t>
      </w:r>
      <w:r>
        <w:t xml:space="preserve">. </w:t>
      </w:r>
      <w:r w:rsidRPr="009D0F32">
        <w:t>In addition, the justifications for offering incentives and the amounts to be offered</w:t>
      </w:r>
      <w:r>
        <w:t xml:space="preserve"> are justified for several reasons that address key Office of Management and Budget (OMB) considerations (Graham 2006):</w:t>
      </w:r>
    </w:p>
    <w:p w:rsidR="007957F9" w:rsidRPr="007957F9" w:rsidRDefault="00A35682" w:rsidP="007957F9">
      <w:pPr>
        <w:pStyle w:val="Bullet"/>
        <w:ind w:left="360" w:hanging="360"/>
      </w:pPr>
      <w:r w:rsidRPr="00DC60A3">
        <w:rPr>
          <w:b/>
        </w:rPr>
        <w:t>Improved data quality.</w:t>
      </w:r>
      <w:r w:rsidR="007957F9">
        <w:rPr>
          <w:b/>
        </w:rPr>
        <w:t xml:space="preserve"> </w:t>
      </w:r>
      <w:r w:rsidR="007957F9" w:rsidRPr="007957F9">
        <w:t>Incentives can increase sample representativeness. Because they may be more salient to some sample members than others, respondents who would otherwise not consider participating in the surveys may do so because of the incentive offer (Groves et al. 2000).</w:t>
      </w:r>
    </w:p>
    <w:p w:rsidR="007957F9" w:rsidRPr="007957F9" w:rsidRDefault="007957F9" w:rsidP="007957F9">
      <w:pPr>
        <w:numPr>
          <w:ilvl w:val="0"/>
          <w:numId w:val="1"/>
        </w:numPr>
        <w:tabs>
          <w:tab w:val="left" w:pos="432"/>
        </w:tabs>
        <w:spacing w:after="120" w:line="240" w:lineRule="auto"/>
        <w:ind w:left="360"/>
      </w:pPr>
      <w:r w:rsidRPr="007957F9">
        <w:rPr>
          <w:b/>
        </w:rPr>
        <w:t>Improved coverage of specialized respondents.</w:t>
      </w:r>
      <w:r w:rsidRPr="007957F9">
        <w:t xml:space="preserve"> Some of the populations targeted by the Pilot programs include homeless and ex-offenders, which are considered hard-to-reach (</w:t>
      </w:r>
      <w:proofErr w:type="spellStart"/>
      <w:r w:rsidRPr="007957F9">
        <w:t>Bonevski</w:t>
      </w:r>
      <w:proofErr w:type="spellEnd"/>
      <w:r w:rsidRPr="007957F9">
        <w:t xml:space="preserve"> et al., 2014). In addition, households in some of the pilot areas are specialized respondents because they are limited in number and difficult to recruit, and their lack of participation jeopardizes the impact study. Incentives may encourage greater participation among these groups.</w:t>
      </w:r>
    </w:p>
    <w:p w:rsidR="007957F9" w:rsidRDefault="007957F9" w:rsidP="007957F9">
      <w:pPr>
        <w:pStyle w:val="Bullet"/>
        <w:ind w:left="360" w:hanging="360"/>
      </w:pPr>
      <w:r w:rsidRPr="00D27AAA">
        <w:rPr>
          <w:b/>
        </w:rPr>
        <w:t>Reduced respondent burden.</w:t>
      </w:r>
      <w:r>
        <w:t xml:space="preserve"> As described above, the incentive amounts planned for the SNAP E&amp;T Pilots Evaluation are justified because they are commensurate with the costs of participation, which can include cellular telephone usage or travel to a location with telephone service, particularly for the homeless population served by some of the pilot programs.</w:t>
      </w:r>
    </w:p>
    <w:p w:rsidR="007957F9" w:rsidRDefault="007957F9" w:rsidP="007957F9">
      <w:pPr>
        <w:pStyle w:val="Bullet"/>
        <w:ind w:left="360" w:hanging="360"/>
      </w:pPr>
      <w:r w:rsidRPr="00D27AAA">
        <w:rPr>
          <w:b/>
        </w:rPr>
        <w:t>Complex study design.</w:t>
      </w:r>
      <w:r>
        <w:t xml:space="preserve"> The participant surveys collected for the impact study are longitudinal. Participants will be asked to complete a registration document and two surveys over a period of 36 months. Incentives in amounts similar to those planned for this evaluation have been shown to increase response rates, decrease refusals and noncontacts, and increase data quality compared to a no-incentive control group in a longitudinal study (Singer and Ye 2013).</w:t>
      </w:r>
    </w:p>
    <w:p w:rsidR="00610E6C" w:rsidRDefault="00610E6C" w:rsidP="00610E6C">
      <w:pPr>
        <w:pStyle w:val="Bullet"/>
        <w:ind w:left="360" w:hanging="360"/>
      </w:pPr>
      <w:r w:rsidRPr="00D27AAA">
        <w:rPr>
          <w:b/>
        </w:rPr>
        <w:t>Past experience.</w:t>
      </w:r>
      <w:r>
        <w:t xml:space="preserve"> </w:t>
      </w:r>
      <w:r w:rsidRPr="00C45658">
        <w:t>The studies described above demonstrate the effectiveness of incentives for surveys fielded to similar low-income study populations</w:t>
      </w:r>
      <w:r>
        <w:t>.</w:t>
      </w:r>
    </w:p>
    <w:p w:rsidR="00610E6C" w:rsidRDefault="00610E6C" w:rsidP="00610E6C">
      <w:pPr>
        <w:pStyle w:val="BulletLastSS"/>
      </w:pPr>
      <w:r w:rsidRPr="00D27AAA">
        <w:rPr>
          <w:b/>
        </w:rPr>
        <w:t>Equity.</w:t>
      </w:r>
      <w:r>
        <w:t xml:space="preserve"> The incentive amounts will be offered equally to all potential survey participants. The incentives will not be targeted to specific subgroups, nor will they be used to convert refusals. Moreover, if incentives were to be offered only to the most disadvantaged individuals, such as the homeless or ex-offenders, the differing motivations to participate used across projects will limit the ability to compare results across target populations and sites.</w:t>
      </w:r>
    </w:p>
    <w:p w:rsidR="00A35682" w:rsidRDefault="00610E6C" w:rsidP="00610E6C">
      <w:r>
        <w:t>In summary, the planned incentives for the longitudinal household surveys are designed to promote cooperation and high data quality and to reduce participant burden and participant costs associated with the surveys, which are similar in length and will be conducted with similar populations as in other OMB-approved information collections. If all of the other strategies to achieve high response rates are used without the planned incentives, the non-response bias will be higher, resulting in poor data quality. The likelihood of detecting project impacts will be significantly compromised.</w:t>
      </w:r>
    </w:p>
    <w:p w:rsidR="00DF23E4" w:rsidRPr="00EA03CB" w:rsidRDefault="00DF23E4" w:rsidP="00A67A0C">
      <w:r>
        <w:t>The</w:t>
      </w:r>
      <w:r w:rsidRPr="00EA03CB">
        <w:t xml:space="preserve"> plan for intensive locating includes both in-house and in-field locating. Before follow</w:t>
      </w:r>
      <w:r>
        <w:t>-</w:t>
      </w:r>
      <w:r w:rsidRPr="00EA03CB">
        <w:t xml:space="preserve">up data collection begins, </w:t>
      </w:r>
      <w:r w:rsidR="00E73CE9">
        <w:t>we</w:t>
      </w:r>
      <w:r w:rsidRPr="00EA03CB">
        <w:t xml:space="preserve"> will send a file that includes available contact information for the subsample of respondents selected for the follow</w:t>
      </w:r>
      <w:r>
        <w:t>-</w:t>
      </w:r>
      <w:r w:rsidRPr="00EA03CB">
        <w:t xml:space="preserve">up to commercial vendors, such as Accurint, to verify and update contact information. For sample members without valid phone numbers, in-house locators will use a variety of resources, for example directory assistance and major national databases—including the U.S. Postal Service National Change of Address database; State Department of Motor Vehicles records; and death indices—to track down contact information. When necessary, locating staff will reach out to family members, friends, and neighbors identified by respondents in the </w:t>
      </w:r>
      <w:r w:rsidR="000016A2">
        <w:t>registration document</w:t>
      </w:r>
      <w:r w:rsidRPr="00EA03CB">
        <w:t xml:space="preserve">. This in-house location effort will reduce the number of cases that require field location, which has an impact on </w:t>
      </w:r>
      <w:r>
        <w:t xml:space="preserve">the project </w:t>
      </w:r>
      <w:r w:rsidRPr="00EA03CB">
        <w:t>schedule and ultimate</w:t>
      </w:r>
      <w:r>
        <w:t>ly on</w:t>
      </w:r>
      <w:r w:rsidRPr="00EA03CB">
        <w:t xml:space="preserve"> response rates. </w:t>
      </w:r>
    </w:p>
    <w:p w:rsidR="00DF23E4" w:rsidRPr="00EA03CB" w:rsidRDefault="00E30DEC" w:rsidP="00DF23E4">
      <w:r>
        <w:t>I</w:t>
      </w:r>
      <w:r w:rsidR="00DF23E4" w:rsidRPr="00EA03CB">
        <w:t>n-field locating</w:t>
      </w:r>
      <w:r>
        <w:t xml:space="preserve"> will be used</w:t>
      </w:r>
      <w:r w:rsidR="00DF23E4" w:rsidRPr="00EA03CB">
        <w:t xml:space="preserve"> to find respondents that </w:t>
      </w:r>
      <w:r w:rsidR="00DF23E4">
        <w:t>can</w:t>
      </w:r>
      <w:r w:rsidR="00DF23E4" w:rsidRPr="00EA03CB">
        <w:t xml:space="preserve">not </w:t>
      </w:r>
      <w:r w:rsidR="00DF23E4">
        <w:t xml:space="preserve">be </w:t>
      </w:r>
      <w:r w:rsidR="00DF23E4" w:rsidRPr="00EA03CB">
        <w:t>locate</w:t>
      </w:r>
      <w:r w:rsidR="00DF23E4">
        <w:t>d</w:t>
      </w:r>
      <w:r w:rsidR="00DF23E4" w:rsidRPr="00EA03CB">
        <w:t xml:space="preserve"> through in-house locating efforts as well as respondents who </w:t>
      </w:r>
      <w:r w:rsidR="00DF23E4">
        <w:t xml:space="preserve">have not been reached </w:t>
      </w:r>
      <w:r w:rsidR="00DF23E4" w:rsidRPr="00EA03CB">
        <w:t xml:space="preserve">by telephone. When respondents are located, they will be asked to complete the survey by calling in to </w:t>
      </w:r>
      <w:r w:rsidR="00750A84">
        <w:t>FNS’ contractor</w:t>
      </w:r>
      <w:r w:rsidR="00DF23E4" w:rsidRPr="00EA03CB">
        <w:t xml:space="preserve"> Survey Operation</w:t>
      </w:r>
      <w:r w:rsidR="00DF23E4">
        <w:t>s</w:t>
      </w:r>
      <w:r w:rsidR="00DF23E4" w:rsidRPr="00EA03CB">
        <w:t xml:space="preserve"> Center with a cell phone that field staff will provide. </w:t>
      </w:r>
      <w:r w:rsidR="00610E6C">
        <w:t xml:space="preserve">The field staff will wait as the respondent completes the telephone interview.  Once completed, the field staff will give the respondent the gift card, and retrieve the cell phone. </w:t>
      </w:r>
      <w:r w:rsidR="00DF23E4">
        <w:t>T</w:t>
      </w:r>
      <w:r w:rsidR="00DF23E4" w:rsidRPr="00EA03CB">
        <w:t>his approach—telephone interviewing with in-house location followed by field follow</w:t>
      </w:r>
      <w:r w:rsidR="00DF23E4">
        <w:t>-</w:t>
      </w:r>
      <w:r w:rsidR="00DF23E4" w:rsidRPr="00EA03CB">
        <w:t>up—</w:t>
      </w:r>
      <w:r w:rsidR="00DF23E4">
        <w:t xml:space="preserve">was used </w:t>
      </w:r>
      <w:r w:rsidR="00DF23E4" w:rsidRPr="00EA03CB">
        <w:t>successfully on the Summer Electronic Benefits Transfer for Children (SEBTC) Demonstration</w:t>
      </w:r>
      <w:r>
        <w:t xml:space="preserve"> (</w:t>
      </w:r>
      <w:r w:rsidR="005D1006" w:rsidRPr="005D1006">
        <w:t>OMB Number: 0584-0512</w:t>
      </w:r>
      <w:r w:rsidR="006D7C6D">
        <w:t>,</w:t>
      </w:r>
      <w:r w:rsidR="005D1006" w:rsidRPr="005D1006">
        <w:t xml:space="preserve"> Expiration Date: 09/30/2012</w:t>
      </w:r>
      <w:r w:rsidR="005D1006">
        <w:t>)</w:t>
      </w:r>
      <w:r w:rsidR="00DF23E4" w:rsidRPr="00EA03CB">
        <w:t xml:space="preserve"> </w:t>
      </w:r>
      <w:r w:rsidR="00DF23E4">
        <w:t xml:space="preserve">which </w:t>
      </w:r>
      <w:r w:rsidR="00DF23E4" w:rsidRPr="00EA03CB">
        <w:t>achieved response rates of 73 percent in the spring and 80 percent in the summer, even with short</w:t>
      </w:r>
      <w:r w:rsidR="00DF23E4">
        <w:t>er</w:t>
      </w:r>
      <w:r w:rsidR="00DF23E4" w:rsidRPr="00EA03CB">
        <w:t xml:space="preserve"> field periods</w:t>
      </w:r>
      <w:r w:rsidR="00DF23E4">
        <w:t xml:space="preserve"> than the field period for this evaluation</w:t>
      </w:r>
      <w:r w:rsidR="00DF23E4" w:rsidRPr="00EA03CB">
        <w:t>.</w:t>
      </w:r>
    </w:p>
    <w:p w:rsidR="00DF23E4" w:rsidRPr="005F41A7" w:rsidRDefault="00DF23E4" w:rsidP="00DF23E4">
      <w:r>
        <w:t xml:space="preserve">To further maximize response rates, </w:t>
      </w:r>
      <w:r w:rsidR="00E73CE9">
        <w:t>we</w:t>
      </w:r>
      <w:r>
        <w:t xml:space="preserve"> will develop m</w:t>
      </w:r>
      <w:r w:rsidRPr="005F41A7">
        <w:t xml:space="preserve">inimally burdensome </w:t>
      </w:r>
      <w:r>
        <w:t>follow-up survey</w:t>
      </w:r>
      <w:r w:rsidR="00D500A5">
        <w:t>s (Attachments O.1, O.2, O.4, and O.5)</w:t>
      </w:r>
      <w:r>
        <w:t xml:space="preserve"> that take no more than 3</w:t>
      </w:r>
      <w:r w:rsidR="00E30DEC">
        <w:t>2</w:t>
      </w:r>
      <w:r>
        <w:t xml:space="preserve"> minutes to complete. To reduce respondent burden, information that can be accessed through administrative data will not be asked for in the survey. </w:t>
      </w:r>
      <w:r w:rsidRPr="00451FEE">
        <w:t>In addition, all instruments will be available in English and Spanish. For CATI surveys, bilingual interviewers can conduct the interview in Spanish and possibly other languages, if deemed necessary.</w:t>
      </w:r>
    </w:p>
    <w:p w:rsidR="00DF23E4" w:rsidRDefault="00DF23E4" w:rsidP="00DF23E4">
      <w:r>
        <w:t xml:space="preserve">To address whether the pilots significantly affect secondary outcomes, such as food security, well-being, and housing status, </w:t>
      </w:r>
      <w:r w:rsidR="00E73CE9">
        <w:t>we</w:t>
      </w:r>
      <w:r>
        <w:t xml:space="preserve"> will employ a two-phase sampling approach that has been implemented successfully in large national surveys, such as the American Community Survey and the National Survey of Family Growth. Two-phase sampling or double sampling is an efficient use of resources and involves a phase 1 sampling from the full population and then, in phase 2, selecting a second sample from the nonrespondents from phase 1. In the second phase, more focused resources (in this case, field follow-up) is devoted to the sample, which leads to higher response rates among the phase 1 nonrespondents than what would happen in the absence of the more focused field follow-up. This sampling approach typically increases response rates, reduces the potential for nonresponse biases, and reduces costs and burden associated with survey data collection, while maintaining a sufficient level of power to detect differences in outcomes between treatment and control groups within pilot sites.</w:t>
      </w:r>
    </w:p>
    <w:p w:rsidR="00DF23E4" w:rsidRDefault="00E73CE9" w:rsidP="00DF23E4">
      <w:r>
        <w:t>We</w:t>
      </w:r>
      <w:r w:rsidR="00DF23E4" w:rsidRPr="00D56517">
        <w:t xml:space="preserve"> ha</w:t>
      </w:r>
      <w:r w:rsidR="00335C7E">
        <w:t>ve</w:t>
      </w:r>
      <w:r w:rsidR="00DF23E4" w:rsidRPr="00D56517">
        <w:t xml:space="preserve"> developed and refined methods to build rapport and overcome the reluctance of sample members to participate in the interview. </w:t>
      </w:r>
      <w:r w:rsidR="00750A84">
        <w:t>Our contractor is trained in</w:t>
      </w:r>
      <w:r w:rsidR="00DF23E4" w:rsidRPr="00D56517">
        <w:t xml:space="preserve"> </w:t>
      </w:r>
      <w:r w:rsidR="00DF23E4">
        <w:t>multi-pronged approach</w:t>
      </w:r>
      <w:r w:rsidR="00D500A5">
        <w:t>es</w:t>
      </w:r>
      <w:r w:rsidR="006D7C6D">
        <w:t xml:space="preserve"> to</w:t>
      </w:r>
      <w:r w:rsidR="00DF23E4">
        <w:t xml:space="preserve"> </w:t>
      </w:r>
      <w:r w:rsidR="00DF23E4" w:rsidRPr="00D56517">
        <w:t xml:space="preserve">focus on preventing and converting refusals. The strategies aim to convince sample members that (1) the study is legitimate and worthwhile, (2) their participation is important and appreciated, and (3) the information provided will be held </w:t>
      </w:r>
      <w:r w:rsidR="00A9089D">
        <w:t>private</w:t>
      </w:r>
      <w:r w:rsidR="00A9089D" w:rsidRPr="00D56517">
        <w:t xml:space="preserve"> </w:t>
      </w:r>
      <w:r w:rsidR="00DF23E4" w:rsidRPr="00D56517">
        <w:t xml:space="preserve">and will not affect their job or their eligibility for SNAP or other benefits. </w:t>
      </w:r>
    </w:p>
    <w:p w:rsidR="00DF23E4" w:rsidRDefault="00750A84" w:rsidP="00DF23E4">
      <w:r>
        <w:t>The</w:t>
      </w:r>
      <w:r w:rsidR="00DF23E4">
        <w:t xml:space="preserve"> multi-pronged approach to completing interviews includes flagging </w:t>
      </w:r>
      <w:r w:rsidR="00DF23E4" w:rsidRPr="00D378DB">
        <w:t xml:space="preserve">telephone refusals in the CATI scheduler and, one week after a refusal, sending a </w:t>
      </w:r>
      <w:r w:rsidR="00BF2B75">
        <w:t xml:space="preserve">survey refusal </w:t>
      </w:r>
      <w:r w:rsidR="00DF23E4" w:rsidRPr="00D378DB">
        <w:t xml:space="preserve">letter (Attachment </w:t>
      </w:r>
      <w:r w:rsidR="00D378DB" w:rsidRPr="00D378DB">
        <w:t>S</w:t>
      </w:r>
      <w:r w:rsidR="005B1E08">
        <w:t>.1 and S.2</w:t>
      </w:r>
      <w:r w:rsidR="00DF23E4">
        <w:t xml:space="preserve">) </w:t>
      </w:r>
      <w:r w:rsidR="00DF23E4" w:rsidRPr="00D56517">
        <w:t>to the sample member emphasizing the importance of the study and addressing typical concerns. Interviewers skilled at converting refusals will then contact the sample member by telephone</w:t>
      </w:r>
      <w:r w:rsidR="00DF23E4">
        <w:t xml:space="preserve">; </w:t>
      </w:r>
      <w:r w:rsidR="00A9089D">
        <w:t>these</w:t>
      </w:r>
      <w:r>
        <w:t xml:space="preserve"> trained</w:t>
      </w:r>
      <w:r w:rsidR="00DF23E4" w:rsidRPr="00D56517">
        <w:t xml:space="preserve"> interviewers are well prepared to address common respondent concerns </w:t>
      </w:r>
      <w:r w:rsidR="00DF23E4">
        <w:t>that may lead to refusals</w:t>
      </w:r>
      <w:r w:rsidR="00DF23E4" w:rsidRPr="00D56517">
        <w:t xml:space="preserve">. </w:t>
      </w:r>
      <w:r w:rsidR="00D2600D">
        <w:t>D</w:t>
      </w:r>
      <w:r w:rsidR="00DF23E4" w:rsidRPr="00D56517">
        <w:t>ata collectors</w:t>
      </w:r>
      <w:r w:rsidR="00D2600D">
        <w:t xml:space="preserve"> will be selected if</w:t>
      </w:r>
      <w:r w:rsidR="00DF23E4" w:rsidRPr="00D56517">
        <w:t xml:space="preserve"> </w:t>
      </w:r>
      <w:r w:rsidR="00D2600D">
        <w:t>they</w:t>
      </w:r>
      <w:r w:rsidR="00DF23E4" w:rsidRPr="00D56517">
        <w:t xml:space="preserve"> have solid experience and performance in comparable topic areas, and who have demonstrated (1) reliability, (2) communication skills, (3) accurate reading and recording proficiency, and (4) aptitude for the administrative and reporting requirements of survey work. </w:t>
      </w:r>
    </w:p>
    <w:p w:rsidR="00DF23E4" w:rsidRPr="00D56517" w:rsidRDefault="00DF23E4" w:rsidP="00096ECB">
      <w:pPr>
        <w:pStyle w:val="NormalSS"/>
        <w:spacing w:after="0" w:line="480" w:lineRule="auto"/>
        <w:rPr>
          <w:szCs w:val="24"/>
        </w:rPr>
      </w:pPr>
      <w:r>
        <w:rPr>
          <w:szCs w:val="24"/>
        </w:rPr>
        <w:t xml:space="preserve">To further encourage cooperation, </w:t>
      </w:r>
      <w:r w:rsidR="00E73CE9">
        <w:rPr>
          <w:szCs w:val="24"/>
        </w:rPr>
        <w:t>we</w:t>
      </w:r>
      <w:r w:rsidRPr="00D56517">
        <w:rPr>
          <w:szCs w:val="24"/>
        </w:rPr>
        <w:t xml:space="preserve"> will use certified bilingual interviewers to complete interviews in Spanish. </w:t>
      </w:r>
      <w:r>
        <w:rPr>
          <w:szCs w:val="24"/>
        </w:rPr>
        <w:t>Moreover, to</w:t>
      </w:r>
      <w:r w:rsidRPr="00D56517">
        <w:rPr>
          <w:szCs w:val="24"/>
        </w:rPr>
        <w:t xml:space="preserve"> develop the skills necessary to encourage participation among low-income households, all telephone interviewers receive general interviewer training before being assigned to a study. This training involves essential interviewing skills, probing, establishing rapport, avoiding refusals, eliminating bias, and being sensitive to at-risk and special populations. In addition, all interviewers will receive project-specific training that reviews study goals, provides a question-by-question review of the instrument, and conveys best practices for interviewing for the specific study. Interviewers will also conduct mock interviews prior to conducting real interviews. Data collector training sessions will take place no earlier than two weeks before data collection begins. </w:t>
      </w:r>
    </w:p>
    <w:p w:rsidR="00DF23E4" w:rsidRPr="00D56517" w:rsidRDefault="00DF23E4" w:rsidP="00A67A0C">
      <w:pPr>
        <w:pStyle w:val="H4Number"/>
      </w:pPr>
      <w:bookmarkStart w:id="37" w:name="_Toc402174655"/>
      <w:bookmarkStart w:id="38" w:name="_Toc432164931"/>
      <w:bookmarkEnd w:id="37"/>
      <w:r w:rsidRPr="00D56517">
        <w:t>2.</w:t>
      </w:r>
      <w:r w:rsidR="00A67A0C">
        <w:tab/>
        <w:t>F</w:t>
      </w:r>
      <w:r w:rsidRPr="00D56517">
        <w:t>ocus group data collection</w:t>
      </w:r>
      <w:bookmarkEnd w:id="38"/>
      <w:r w:rsidRPr="00D56517">
        <w:t xml:space="preserve"> </w:t>
      </w:r>
    </w:p>
    <w:p w:rsidR="00DF23E4" w:rsidRPr="00D56517" w:rsidRDefault="00DF23E4" w:rsidP="00096ECB">
      <w:pPr>
        <w:pStyle w:val="NormalSS"/>
        <w:spacing w:after="0" w:line="480" w:lineRule="auto"/>
        <w:rPr>
          <w:szCs w:val="24"/>
        </w:rPr>
      </w:pPr>
      <w:r w:rsidRPr="00D56517">
        <w:rPr>
          <w:szCs w:val="24"/>
        </w:rPr>
        <w:t xml:space="preserve">Once individuals have been </w:t>
      </w:r>
      <w:r w:rsidRPr="00F5785E">
        <w:rPr>
          <w:szCs w:val="24"/>
        </w:rPr>
        <w:t xml:space="preserve">recruited (see Part A, section A.2, </w:t>
      </w:r>
      <w:r w:rsidR="00C970F2" w:rsidRPr="00F5785E">
        <w:rPr>
          <w:szCs w:val="24"/>
        </w:rPr>
        <w:t>3</w:t>
      </w:r>
      <w:r w:rsidR="00C970F2">
        <w:rPr>
          <w:szCs w:val="24"/>
        </w:rPr>
        <w:t>d</w:t>
      </w:r>
      <w:r w:rsidRPr="00F5785E">
        <w:rPr>
          <w:szCs w:val="24"/>
        </w:rPr>
        <w:t xml:space="preserve">) to participate in focus groups, </w:t>
      </w:r>
      <w:r w:rsidRPr="00D56517">
        <w:rPr>
          <w:szCs w:val="24"/>
        </w:rPr>
        <w:t xml:space="preserve"> a personally addressed</w:t>
      </w:r>
      <w:r w:rsidR="00BF2B75">
        <w:rPr>
          <w:szCs w:val="24"/>
        </w:rPr>
        <w:t xml:space="preserve"> focus group confirmation</w:t>
      </w:r>
      <w:r w:rsidRPr="00D56517">
        <w:rPr>
          <w:szCs w:val="24"/>
        </w:rPr>
        <w:t xml:space="preserve"> letter </w:t>
      </w:r>
      <w:r w:rsidR="00BF2B75" w:rsidRPr="00BF2B75">
        <w:rPr>
          <w:szCs w:val="24"/>
        </w:rPr>
        <w:t xml:space="preserve">(Attachment L) </w:t>
      </w:r>
      <w:r w:rsidR="00D23BD5">
        <w:rPr>
          <w:szCs w:val="24"/>
        </w:rPr>
        <w:t xml:space="preserve">will be prepared and sent </w:t>
      </w:r>
      <w:r w:rsidRPr="00D56517">
        <w:rPr>
          <w:szCs w:val="24"/>
        </w:rPr>
        <w:t>to each individual who agree</w:t>
      </w:r>
      <w:r>
        <w:rPr>
          <w:szCs w:val="24"/>
        </w:rPr>
        <w:t>s</w:t>
      </w:r>
      <w:r w:rsidRPr="00D56517">
        <w:rPr>
          <w:szCs w:val="24"/>
        </w:rPr>
        <w:t xml:space="preserve"> to participate </w:t>
      </w:r>
      <w:r w:rsidRPr="00D378DB">
        <w:rPr>
          <w:szCs w:val="24"/>
        </w:rPr>
        <w:t>confirming</w:t>
      </w:r>
      <w:r w:rsidRPr="00D56517">
        <w:rPr>
          <w:szCs w:val="24"/>
        </w:rPr>
        <w:t xml:space="preserve"> the time, date, and place of the focus group. The materials also will make note of the $</w:t>
      </w:r>
      <w:r>
        <w:rPr>
          <w:szCs w:val="24"/>
        </w:rPr>
        <w:t>50</w:t>
      </w:r>
      <w:r w:rsidRPr="00D56517">
        <w:rPr>
          <w:szCs w:val="24"/>
        </w:rPr>
        <w:t xml:space="preserve"> incentive for participating in the focus group. </w:t>
      </w:r>
    </w:p>
    <w:p w:rsidR="00DF23E4" w:rsidRPr="00865AE2" w:rsidRDefault="00DF23E4" w:rsidP="00096ECB">
      <w:pPr>
        <w:pStyle w:val="H3Alpha"/>
        <w:spacing w:after="0" w:line="480" w:lineRule="auto"/>
      </w:pPr>
      <w:bookmarkStart w:id="39" w:name="_Toc408492378"/>
      <w:bookmarkStart w:id="40" w:name="_Toc414577815"/>
      <w:bookmarkStart w:id="41" w:name="_Toc432164932"/>
      <w:r>
        <w:t>B</w:t>
      </w:r>
      <w:r w:rsidR="00861117">
        <w:t>.</w:t>
      </w:r>
      <w:r>
        <w:t>4. Description of tests of procedures</w:t>
      </w:r>
      <w:bookmarkEnd w:id="39"/>
      <w:bookmarkEnd w:id="40"/>
      <w:bookmarkEnd w:id="41"/>
    </w:p>
    <w:p w:rsidR="00DF23E4" w:rsidRPr="00DF23E4" w:rsidRDefault="00DF23E4" w:rsidP="00096ECB">
      <w:pPr>
        <w:pStyle w:val="NormalSS"/>
        <w:spacing w:after="0" w:line="480" w:lineRule="auto"/>
        <w:ind w:left="432" w:firstLine="0"/>
        <w:rPr>
          <w:b/>
        </w:rPr>
      </w:pPr>
      <w:r w:rsidRPr="00DF23E4">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F23E4" w:rsidRPr="003976CB" w:rsidRDefault="00DF23E4" w:rsidP="00096ECB">
      <w:pPr>
        <w:autoSpaceDE w:val="0"/>
        <w:autoSpaceDN w:val="0"/>
        <w:adjustRightInd w:val="0"/>
        <w:ind w:firstLine="450"/>
      </w:pPr>
      <w:r>
        <w:t xml:space="preserve">To develop the follow-up surveys </w:t>
      </w:r>
      <w:r w:rsidR="00E73CE9">
        <w:t>we</w:t>
      </w:r>
      <w:r>
        <w:t xml:space="preserve"> </w:t>
      </w:r>
      <w:r w:rsidR="00D2600D">
        <w:t>drew</w:t>
      </w:r>
      <w:r>
        <w:t xml:space="preserve"> on content in other </w:t>
      </w:r>
      <w:r w:rsidRPr="003976CB">
        <w:t>surveys that have been administered successfully with similar low-income</w:t>
      </w:r>
      <w:r>
        <w:t xml:space="preserve"> </w:t>
      </w:r>
      <w:r w:rsidRPr="003976CB">
        <w:t xml:space="preserve">populations, such as the surveys used in </w:t>
      </w:r>
      <w:r>
        <w:t xml:space="preserve">the </w:t>
      </w:r>
      <w:r w:rsidRPr="008E0486">
        <w:t>Workforce Investment Act Gold-Standard Evaluation (</w:t>
      </w:r>
      <w:r w:rsidRPr="003976CB">
        <w:t>WIA GSE</w:t>
      </w:r>
      <w:r>
        <w:t>)</w:t>
      </w:r>
      <w:r w:rsidRPr="003976CB">
        <w:t xml:space="preserve"> or Rural Welfare-to-Work</w:t>
      </w:r>
      <w:r>
        <w:t xml:space="preserve">, and then </w:t>
      </w:r>
      <w:proofErr w:type="gramStart"/>
      <w:r>
        <w:t>pretest</w:t>
      </w:r>
      <w:r w:rsidR="00D2600D">
        <w:t>ed</w:t>
      </w:r>
      <w:proofErr w:type="gramEnd"/>
      <w:r>
        <w:t xml:space="preserve"> the survey instrument</w:t>
      </w:r>
      <w:r w:rsidR="00D23BD5">
        <w:t>s</w:t>
      </w:r>
      <w:r w:rsidRPr="003976CB">
        <w:t>. Since</w:t>
      </w:r>
      <w:r>
        <w:t xml:space="preserve"> </w:t>
      </w:r>
      <w:r w:rsidRPr="003976CB">
        <w:t xml:space="preserve">most </w:t>
      </w:r>
      <w:r>
        <w:t>survey items</w:t>
      </w:r>
      <w:r w:rsidRPr="003976CB">
        <w:t xml:space="preserve"> </w:t>
      </w:r>
      <w:r w:rsidR="00D2600D">
        <w:t>were</w:t>
      </w:r>
      <w:r w:rsidRPr="003976CB">
        <w:t xml:space="preserve"> drawn from previously administered surveys which have</w:t>
      </w:r>
      <w:r>
        <w:t xml:space="preserve"> </w:t>
      </w:r>
      <w:r w:rsidRPr="003976CB">
        <w:t xml:space="preserve">been tested and used successfully, </w:t>
      </w:r>
      <w:r>
        <w:t>the</w:t>
      </w:r>
      <w:r w:rsidRPr="003976CB">
        <w:t xml:space="preserve"> pretest focus</w:t>
      </w:r>
      <w:r w:rsidR="00D2600D">
        <w:t>ed</w:t>
      </w:r>
      <w:r w:rsidRPr="003976CB">
        <w:t xml:space="preserve"> </w:t>
      </w:r>
      <w:r>
        <w:t>mainly</w:t>
      </w:r>
      <w:r w:rsidRPr="003976CB">
        <w:t xml:space="preserve"> on question</w:t>
      </w:r>
      <w:r>
        <w:t xml:space="preserve"> </w:t>
      </w:r>
      <w:r w:rsidRPr="003976CB">
        <w:t xml:space="preserve">sequences </w:t>
      </w:r>
      <w:r>
        <w:t>and</w:t>
      </w:r>
      <w:r w:rsidRPr="003976CB">
        <w:t xml:space="preserve"> </w:t>
      </w:r>
      <w:r>
        <w:t xml:space="preserve">survey </w:t>
      </w:r>
      <w:r w:rsidRPr="003976CB">
        <w:t xml:space="preserve">processes. </w:t>
      </w:r>
      <w:r>
        <w:t>The survey team</w:t>
      </w:r>
      <w:r w:rsidRPr="003976CB">
        <w:t xml:space="preserve"> </w:t>
      </w:r>
      <w:proofErr w:type="gramStart"/>
      <w:r w:rsidRPr="003976CB">
        <w:t>pretest</w:t>
      </w:r>
      <w:r w:rsidR="00D2600D">
        <w:t>ed</w:t>
      </w:r>
      <w:proofErr w:type="gramEnd"/>
      <w:r w:rsidRPr="003976CB">
        <w:t xml:space="preserve"> </w:t>
      </w:r>
      <w:r w:rsidR="00D2600D">
        <w:t xml:space="preserve">the </w:t>
      </w:r>
      <w:r w:rsidR="007E3FE8">
        <w:t xml:space="preserve">12-month </w:t>
      </w:r>
      <w:r w:rsidR="00D2600D">
        <w:t xml:space="preserve">follow-up survey </w:t>
      </w:r>
      <w:r w:rsidR="007E3FE8">
        <w:t xml:space="preserve">(Attachment O.1) </w:t>
      </w:r>
      <w:r w:rsidRPr="003976CB">
        <w:t>with nine</w:t>
      </w:r>
      <w:r w:rsidR="00D2600D">
        <w:t xml:space="preserve"> current</w:t>
      </w:r>
      <w:r w:rsidRPr="003976CB">
        <w:t xml:space="preserve"> SNAP </w:t>
      </w:r>
      <w:r w:rsidR="00D2600D">
        <w:t xml:space="preserve">E&amp;T </w:t>
      </w:r>
      <w:r w:rsidRPr="003976CB">
        <w:t xml:space="preserve">participants </w:t>
      </w:r>
      <w:r w:rsidR="004F14DD">
        <w:t>from</w:t>
      </w:r>
      <w:r w:rsidR="00D2600D">
        <w:t xml:space="preserve"> two </w:t>
      </w:r>
      <w:r w:rsidR="004F14DD">
        <w:t>pilot site</w:t>
      </w:r>
      <w:r w:rsidR="00D2600D">
        <w:t>s</w:t>
      </w:r>
      <w:r w:rsidRPr="003976CB">
        <w:t xml:space="preserve">. </w:t>
      </w:r>
      <w:r>
        <w:t xml:space="preserve">The survey instruments </w:t>
      </w:r>
      <w:r w:rsidR="00D2600D">
        <w:t>were</w:t>
      </w:r>
      <w:r>
        <w:t xml:space="preserve"> refined based on pretest results. A memo describing the key results from the pretest </w:t>
      </w:r>
      <w:r w:rsidR="001A573C">
        <w:t xml:space="preserve">is included in Attachment </w:t>
      </w:r>
      <w:r w:rsidR="00D2600D">
        <w:t>N.</w:t>
      </w:r>
    </w:p>
    <w:p w:rsidR="00DF23E4" w:rsidRPr="00865AE2" w:rsidRDefault="00DF23E4" w:rsidP="00096ECB">
      <w:pPr>
        <w:pStyle w:val="H3Alpha"/>
        <w:spacing w:after="0" w:line="480" w:lineRule="auto"/>
      </w:pPr>
      <w:bookmarkStart w:id="42" w:name="_Toc408492379"/>
      <w:bookmarkStart w:id="43" w:name="_Toc414577816"/>
      <w:bookmarkStart w:id="44" w:name="_Toc432164933"/>
      <w:r w:rsidRPr="00865AE2">
        <w:t>B</w:t>
      </w:r>
      <w:r w:rsidR="00861117">
        <w:t>.</w:t>
      </w:r>
      <w:r w:rsidRPr="00865AE2">
        <w:t>5.</w:t>
      </w:r>
      <w:r w:rsidR="009919B0">
        <w:t xml:space="preserve"> </w:t>
      </w:r>
      <w:r>
        <w:t>Individuals consulted on statistical aspects of the design</w:t>
      </w:r>
      <w:bookmarkEnd w:id="42"/>
      <w:bookmarkEnd w:id="43"/>
      <w:bookmarkEnd w:id="44"/>
    </w:p>
    <w:p w:rsidR="00DF23E4" w:rsidRPr="00DF23E4" w:rsidRDefault="00DF23E4" w:rsidP="00096ECB">
      <w:pPr>
        <w:pStyle w:val="NormalSS"/>
        <w:spacing w:after="0" w:line="480" w:lineRule="auto"/>
        <w:ind w:left="432" w:firstLine="0"/>
        <w:rPr>
          <w:b/>
        </w:rPr>
      </w:pPr>
      <w:r w:rsidRPr="00DF23E4">
        <w:rPr>
          <w:b/>
        </w:rPr>
        <w:t>Provide the name and telephone number of individuals consulted on statistical aspects of the design and the name of the agency unit, contractor(s), awardee(s), or other person(s) who will actually collect and/or analyze the information for the agency.</w:t>
      </w:r>
    </w:p>
    <w:p w:rsidR="00B30DDF" w:rsidRDefault="00DF23E4" w:rsidP="00096ECB">
      <w:r>
        <w:t xml:space="preserve">The </w:t>
      </w:r>
      <w:r w:rsidRPr="00D50C9C">
        <w:t>information will be collected and analyzed by Mathematica Policy Research. The sampling procedures were developed by Nicholas Beyler (telephone 202</w:t>
      </w:r>
      <w:r>
        <w:t>-</w:t>
      </w:r>
      <w:r w:rsidRPr="00D50C9C">
        <w:t>250-3539) of Mathematica. The sampling plans were reviewed internally by Michael Sinclair (telephone 202</w:t>
      </w:r>
      <w:r>
        <w:t>-</w:t>
      </w:r>
      <w:r w:rsidRPr="00D50C9C">
        <w:t>552-6439), a senior fellow at Mathematica.</w:t>
      </w:r>
      <w:r>
        <w:t xml:space="preserve"> </w:t>
      </w:r>
      <w:r w:rsidR="0071402F">
        <w:t>Leslie Smith, (800) 727-9540,</w:t>
      </w:r>
      <w:r>
        <w:t xml:space="preserve"> of the National Agricultural Statistics Service (NASS) has also reviewed this supporting statement and provided comments that have been incorporated.</w:t>
      </w:r>
    </w:p>
    <w:p w:rsidR="00096ECB" w:rsidRDefault="00096ECB">
      <w:pPr>
        <w:spacing w:after="240" w:line="240" w:lineRule="auto"/>
        <w:ind w:firstLine="0"/>
        <w:rPr>
          <w:rFonts w:ascii="Arial Black" w:hAnsi="Arial Black"/>
          <w:caps/>
          <w:sz w:val="22"/>
        </w:rPr>
      </w:pPr>
      <w:r>
        <w:br w:type="page"/>
      </w:r>
    </w:p>
    <w:p w:rsidR="007C02E5" w:rsidRDefault="007C02E5" w:rsidP="007C02E5">
      <w:pPr>
        <w:pStyle w:val="H2Chapter"/>
      </w:pPr>
      <w:r>
        <w:t>REFERENCES</w:t>
      </w:r>
    </w:p>
    <w:p w:rsidR="003F2730" w:rsidRPr="003F2730" w:rsidRDefault="003F2730" w:rsidP="00032084">
      <w:pPr>
        <w:pStyle w:val="References"/>
        <w:rPr>
          <w:rFonts w:eastAsiaTheme="minorEastAsia"/>
        </w:rPr>
      </w:pPr>
      <w:proofErr w:type="gramStart"/>
      <w:r w:rsidRPr="003F2730">
        <w:rPr>
          <w:rFonts w:eastAsiaTheme="minorEastAsia"/>
          <w:spacing w:val="-1"/>
        </w:rPr>
        <w:t>B</w:t>
      </w:r>
      <w:r w:rsidRPr="003F2730">
        <w:rPr>
          <w:rFonts w:eastAsiaTheme="minorEastAsia"/>
        </w:rPr>
        <w:t>loom,</w:t>
      </w:r>
      <w:r w:rsidRPr="003F2730">
        <w:rPr>
          <w:rFonts w:eastAsiaTheme="minorEastAsia"/>
          <w:spacing w:val="-4"/>
        </w:rPr>
        <w:t xml:space="preserve"> </w:t>
      </w:r>
      <w:r w:rsidRPr="003F2730">
        <w:rPr>
          <w:rFonts w:eastAsiaTheme="minorEastAsia"/>
        </w:rPr>
        <w:t>D.,</w:t>
      </w:r>
      <w:r w:rsidRPr="003F2730">
        <w:rPr>
          <w:rFonts w:eastAsiaTheme="minorEastAsia"/>
          <w:spacing w:val="-3"/>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C</w:t>
      </w:r>
      <w:r w:rsidRPr="003F2730">
        <w:rPr>
          <w:rFonts w:eastAsiaTheme="minorEastAsia"/>
        </w:rPr>
        <w:t>.</w:t>
      </w:r>
      <w:r w:rsidRPr="003F2730">
        <w:rPr>
          <w:rFonts w:eastAsiaTheme="minorEastAsia"/>
          <w:spacing w:val="-1"/>
        </w:rPr>
        <w:t xml:space="preserve"> </w:t>
      </w:r>
      <w:proofErr w:type="spellStart"/>
      <w:r w:rsidRPr="003F2730">
        <w:rPr>
          <w:rFonts w:eastAsiaTheme="minorEastAsia"/>
          <w:spacing w:val="-1"/>
        </w:rPr>
        <w:t>M</w:t>
      </w:r>
      <w:r w:rsidRPr="003F2730">
        <w:rPr>
          <w:rFonts w:eastAsiaTheme="minorEastAsia"/>
        </w:rPr>
        <w:t>i</w:t>
      </w:r>
      <w:r w:rsidRPr="003F2730">
        <w:rPr>
          <w:rFonts w:eastAsiaTheme="minorEastAsia"/>
          <w:spacing w:val="1"/>
        </w:rPr>
        <w:t>c</w:t>
      </w:r>
      <w:r w:rsidRPr="003F2730">
        <w:rPr>
          <w:rFonts w:eastAsiaTheme="minorEastAsia"/>
        </w:rPr>
        <w:t>h</w:t>
      </w:r>
      <w:r w:rsidRPr="003F2730">
        <w:rPr>
          <w:rFonts w:eastAsiaTheme="minorEastAsia"/>
          <w:spacing w:val="1"/>
        </w:rPr>
        <w:t>a</w:t>
      </w:r>
      <w:r w:rsidRPr="003F2730">
        <w:rPr>
          <w:rFonts w:eastAsiaTheme="minorEastAsia"/>
          <w:spacing w:val="-2"/>
        </w:rPr>
        <w:t>l</w:t>
      </w:r>
      <w:r w:rsidRPr="003F2730">
        <w:rPr>
          <w:rFonts w:eastAsiaTheme="minorEastAsia"/>
        </w:rPr>
        <w:t>opoulo</w:t>
      </w:r>
      <w:r w:rsidRPr="003F2730">
        <w:rPr>
          <w:rFonts w:eastAsiaTheme="minorEastAsia"/>
          <w:spacing w:val="-1"/>
        </w:rPr>
        <w:t>s</w:t>
      </w:r>
      <w:proofErr w:type="spellEnd"/>
      <w:r w:rsidRPr="003F2730">
        <w:rPr>
          <w:rFonts w:eastAsiaTheme="minorEastAsia"/>
        </w:rPr>
        <w:t>.</w:t>
      </w:r>
      <w:proofErr w:type="gramEnd"/>
      <w:r w:rsidRPr="003F2730">
        <w:rPr>
          <w:rFonts w:eastAsiaTheme="minorEastAsia"/>
          <w:spacing w:val="-3"/>
        </w:rPr>
        <w:t xml:space="preserve"> </w:t>
      </w:r>
      <w:r w:rsidRPr="003F2730">
        <w:rPr>
          <w:rFonts w:eastAsiaTheme="minorEastAsia"/>
          <w:spacing w:val="1"/>
        </w:rPr>
        <w:t>“</w:t>
      </w:r>
      <w:r w:rsidRPr="003F2730">
        <w:rPr>
          <w:rFonts w:eastAsiaTheme="minorEastAsia"/>
        </w:rPr>
        <w:t>How</w:t>
      </w:r>
      <w:r w:rsidRPr="003F2730">
        <w:rPr>
          <w:rFonts w:eastAsiaTheme="minorEastAsia"/>
          <w:spacing w:val="-2"/>
        </w:rPr>
        <w:t xml:space="preserve"> </w:t>
      </w:r>
      <w:r w:rsidRPr="003F2730">
        <w:rPr>
          <w:rFonts w:eastAsiaTheme="minorEastAsia"/>
          <w:spacing w:val="1"/>
        </w:rPr>
        <w:t>We</w:t>
      </w:r>
      <w:r w:rsidRPr="003F2730">
        <w:rPr>
          <w:rFonts w:eastAsiaTheme="minorEastAsia"/>
        </w:rPr>
        <w:t>l</w:t>
      </w:r>
      <w:r w:rsidRPr="003F2730">
        <w:rPr>
          <w:rFonts w:eastAsiaTheme="minorEastAsia"/>
          <w:spacing w:val="-1"/>
        </w:rPr>
        <w:t>f</w:t>
      </w:r>
      <w:r w:rsidRPr="003F2730">
        <w:rPr>
          <w:rFonts w:eastAsiaTheme="minorEastAsia"/>
          <w:spacing w:val="1"/>
        </w:rPr>
        <w:t>a</w:t>
      </w:r>
      <w:r w:rsidRPr="003F2730">
        <w:rPr>
          <w:rFonts w:eastAsiaTheme="minorEastAsia"/>
          <w:spacing w:val="-1"/>
        </w:rPr>
        <w:t>r</w:t>
      </w:r>
      <w:r w:rsidRPr="003F2730">
        <w:rPr>
          <w:rFonts w:eastAsiaTheme="minorEastAsia"/>
        </w:rPr>
        <w:t>e</w:t>
      </w:r>
      <w:r w:rsidRPr="003F2730">
        <w:rPr>
          <w:rFonts w:eastAsiaTheme="minorEastAsia"/>
          <w:spacing w:val="-5"/>
        </w:rPr>
        <w:t xml:space="preserve"> </w:t>
      </w:r>
      <w:r w:rsidRPr="003F2730">
        <w:rPr>
          <w:rFonts w:eastAsiaTheme="minorEastAsia"/>
          <w:spacing w:val="-2"/>
        </w:rPr>
        <w:t>a</w:t>
      </w:r>
      <w:r w:rsidRPr="003F2730">
        <w:rPr>
          <w:rFonts w:eastAsiaTheme="minorEastAsia"/>
        </w:rPr>
        <w:t xml:space="preserve">nd </w:t>
      </w:r>
      <w:r w:rsidRPr="003F2730">
        <w:rPr>
          <w:rFonts w:eastAsiaTheme="minorEastAsia"/>
          <w:spacing w:val="1"/>
        </w:rPr>
        <w:t>W</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1"/>
        </w:rPr>
        <w:t xml:space="preserve"> P</w:t>
      </w:r>
      <w:r w:rsidRPr="003F2730">
        <w:rPr>
          <w:rFonts w:eastAsiaTheme="minorEastAsia"/>
        </w:rPr>
        <w:t>oli</w:t>
      </w:r>
      <w:r w:rsidRPr="003F2730">
        <w:rPr>
          <w:rFonts w:eastAsiaTheme="minorEastAsia"/>
          <w:spacing w:val="1"/>
        </w:rPr>
        <w:t>c</w:t>
      </w:r>
      <w:r w:rsidRPr="003F2730">
        <w:rPr>
          <w:rFonts w:eastAsiaTheme="minorEastAsia"/>
        </w:rPr>
        <w:t>i</w:t>
      </w:r>
      <w:r w:rsidRPr="003F2730">
        <w:rPr>
          <w:rFonts w:eastAsiaTheme="minorEastAsia"/>
          <w:spacing w:val="1"/>
        </w:rPr>
        <w:t>e</w:t>
      </w:r>
      <w:r w:rsidRPr="003F2730">
        <w:rPr>
          <w:rFonts w:eastAsiaTheme="minorEastAsia"/>
        </w:rPr>
        <w:t>s</w:t>
      </w:r>
      <w:r w:rsidRPr="003F2730">
        <w:rPr>
          <w:rFonts w:eastAsiaTheme="minorEastAsia"/>
          <w:spacing w:val="-5"/>
        </w:rPr>
        <w:t xml:space="preserve"> </w:t>
      </w:r>
      <w:r w:rsidRPr="003F2730">
        <w:rPr>
          <w:rFonts w:eastAsiaTheme="minorEastAsia"/>
          <w:spacing w:val="1"/>
        </w:rPr>
        <w:t>A</w:t>
      </w:r>
      <w:r w:rsidRPr="003F2730">
        <w:rPr>
          <w:rFonts w:eastAsiaTheme="minorEastAsia"/>
          <w:spacing w:val="-1"/>
        </w:rPr>
        <w:t>ff</w:t>
      </w:r>
      <w:r w:rsidRPr="003F2730">
        <w:rPr>
          <w:rFonts w:eastAsiaTheme="minorEastAsia"/>
          <w:spacing w:val="1"/>
        </w:rPr>
        <w:t>ec</w:t>
      </w:r>
      <w:r w:rsidRPr="003F2730">
        <w:rPr>
          <w:rFonts w:eastAsiaTheme="minorEastAsia"/>
        </w:rPr>
        <w:t>t</w:t>
      </w:r>
      <w:r w:rsidRPr="003F2730">
        <w:rPr>
          <w:rFonts w:eastAsiaTheme="minorEastAsia"/>
          <w:spacing w:val="-7"/>
        </w:rPr>
        <w:t xml:space="preserve"> </w:t>
      </w:r>
      <w:r w:rsidRPr="003F2730">
        <w:rPr>
          <w:rFonts w:eastAsiaTheme="minorEastAsia"/>
          <w:spacing w:val="1"/>
        </w:rPr>
        <w:t>E</w:t>
      </w:r>
      <w:r w:rsidRPr="003F2730">
        <w:rPr>
          <w:rFonts w:eastAsiaTheme="minorEastAsia"/>
        </w:rPr>
        <w:t>mplo</w:t>
      </w:r>
      <w:r w:rsidRPr="003F2730">
        <w:rPr>
          <w:rFonts w:eastAsiaTheme="minorEastAsia"/>
          <w:spacing w:val="1"/>
        </w:rPr>
        <w:t>y</w:t>
      </w:r>
      <w:r w:rsidRPr="003F2730">
        <w:rPr>
          <w:rFonts w:eastAsiaTheme="minorEastAsia"/>
        </w:rPr>
        <w:t>m</w:t>
      </w:r>
      <w:r w:rsidRPr="003F2730">
        <w:rPr>
          <w:rFonts w:eastAsiaTheme="minorEastAsia"/>
          <w:spacing w:val="1"/>
        </w:rPr>
        <w:t>e</w:t>
      </w:r>
      <w:r w:rsidRPr="003F2730">
        <w:rPr>
          <w:rFonts w:eastAsiaTheme="minorEastAsia"/>
        </w:rPr>
        <w:t>nt</w:t>
      </w:r>
      <w:r w:rsidRPr="003F2730">
        <w:rPr>
          <w:rFonts w:eastAsiaTheme="minorEastAsia"/>
          <w:spacing w:val="-5"/>
        </w:rPr>
        <w:t xml:space="preserve"> </w:t>
      </w:r>
      <w:r w:rsidRPr="003F2730">
        <w:rPr>
          <w:rFonts w:eastAsiaTheme="minorEastAsia"/>
          <w:spacing w:val="1"/>
        </w:rPr>
        <w:t>a</w:t>
      </w:r>
      <w:r w:rsidRPr="003F2730">
        <w:rPr>
          <w:rFonts w:eastAsiaTheme="minorEastAsia"/>
        </w:rPr>
        <w:t>nd</w:t>
      </w:r>
      <w:r w:rsidR="00032084">
        <w:rPr>
          <w:rFonts w:eastAsiaTheme="minorEastAsia"/>
        </w:rPr>
        <w:t xml:space="preserve"> </w:t>
      </w:r>
      <w:r w:rsidRPr="003F2730">
        <w:rPr>
          <w:rFonts w:eastAsiaTheme="minorEastAsia"/>
          <w:spacing w:val="-1"/>
        </w:rPr>
        <w:t>I</w:t>
      </w:r>
      <w:r w:rsidRPr="003F2730">
        <w:rPr>
          <w:rFonts w:eastAsiaTheme="minorEastAsia"/>
        </w:rPr>
        <w:t>n</w:t>
      </w:r>
      <w:r w:rsidRPr="003F2730">
        <w:rPr>
          <w:rFonts w:eastAsiaTheme="minorEastAsia"/>
          <w:spacing w:val="1"/>
        </w:rPr>
        <w:t>c</w:t>
      </w:r>
      <w:r w:rsidRPr="003F2730">
        <w:rPr>
          <w:rFonts w:eastAsiaTheme="minorEastAsia"/>
        </w:rPr>
        <w:t>om</w:t>
      </w:r>
      <w:r w:rsidRPr="003F2730">
        <w:rPr>
          <w:rFonts w:eastAsiaTheme="minorEastAsia"/>
          <w:spacing w:val="1"/>
        </w:rPr>
        <w:t>e</w:t>
      </w:r>
      <w:r w:rsidRPr="003F2730">
        <w:rPr>
          <w:rFonts w:eastAsiaTheme="minorEastAsia"/>
        </w:rPr>
        <w:t>:</w:t>
      </w:r>
      <w:r w:rsidRPr="003F2730">
        <w:rPr>
          <w:rFonts w:eastAsiaTheme="minorEastAsia"/>
          <w:spacing w:val="-4"/>
        </w:rPr>
        <w:t xml:space="preserve"> </w:t>
      </w:r>
      <w:r w:rsidRPr="003F2730">
        <w:rPr>
          <w:rFonts w:eastAsiaTheme="minorEastAsia"/>
        </w:rPr>
        <w:t>A</w:t>
      </w:r>
      <w:r w:rsidRPr="003F2730">
        <w:rPr>
          <w:rFonts w:eastAsiaTheme="minorEastAsia"/>
          <w:spacing w:val="1"/>
        </w:rPr>
        <w:t xml:space="preserve"> </w:t>
      </w:r>
      <w:r w:rsidRPr="003F2730">
        <w:rPr>
          <w:rFonts w:eastAsiaTheme="minorEastAsia"/>
        </w:rPr>
        <w:t>S</w:t>
      </w:r>
      <w:r w:rsidRPr="003F2730">
        <w:rPr>
          <w:rFonts w:eastAsiaTheme="minorEastAsia"/>
          <w:spacing w:val="1"/>
        </w:rPr>
        <w:t>y</w:t>
      </w:r>
      <w:r w:rsidRPr="003F2730">
        <w:rPr>
          <w:rFonts w:eastAsiaTheme="minorEastAsia"/>
        </w:rPr>
        <w:t>nth</w:t>
      </w:r>
      <w:r w:rsidRPr="003F2730">
        <w:rPr>
          <w:rFonts w:eastAsiaTheme="minorEastAsia"/>
          <w:spacing w:val="1"/>
        </w:rPr>
        <w:t>e</w:t>
      </w:r>
      <w:r w:rsidRPr="003F2730">
        <w:rPr>
          <w:rFonts w:eastAsiaTheme="minorEastAsia"/>
          <w:spacing w:val="-1"/>
        </w:rPr>
        <w:t>s</w:t>
      </w:r>
      <w:r w:rsidRPr="003F2730">
        <w:rPr>
          <w:rFonts w:eastAsiaTheme="minorEastAsia"/>
        </w:rPr>
        <w:t>is</w:t>
      </w:r>
      <w:r w:rsidRPr="003F2730">
        <w:rPr>
          <w:rFonts w:eastAsiaTheme="minorEastAsia"/>
          <w:spacing w:val="-5"/>
        </w:rPr>
        <w:t xml:space="preserve"> </w:t>
      </w:r>
      <w:r w:rsidRPr="003F2730">
        <w:rPr>
          <w:rFonts w:eastAsiaTheme="minorEastAsia"/>
        </w:rPr>
        <w:t>of</w:t>
      </w:r>
      <w:r w:rsidRPr="003F2730">
        <w:rPr>
          <w:rFonts w:eastAsiaTheme="minorEastAsia"/>
          <w:spacing w:val="-2"/>
        </w:rPr>
        <w:t xml:space="preserve"> </w:t>
      </w:r>
      <w:r w:rsidRPr="003F2730">
        <w:rPr>
          <w:rFonts w:eastAsiaTheme="minorEastAsia"/>
          <w:spacing w:val="1"/>
        </w:rPr>
        <w:t>Re</w:t>
      </w:r>
      <w:r w:rsidRPr="003F2730">
        <w:rPr>
          <w:rFonts w:eastAsiaTheme="minorEastAsia"/>
          <w:spacing w:val="-1"/>
        </w:rPr>
        <w:t>s</w:t>
      </w:r>
      <w:r w:rsidRPr="003F2730">
        <w:rPr>
          <w:rFonts w:eastAsiaTheme="minorEastAsia"/>
          <w:spacing w:val="1"/>
        </w:rPr>
        <w:t>ea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5"/>
        </w:rPr>
        <w:t xml:space="preserve"> </w:t>
      </w:r>
      <w:r w:rsidRPr="003F2730">
        <w:rPr>
          <w:rFonts w:eastAsiaTheme="minorEastAsia"/>
        </w:rPr>
        <w:t>N</w:t>
      </w:r>
      <w:r w:rsidRPr="003F2730">
        <w:rPr>
          <w:rFonts w:eastAsiaTheme="minorEastAsia"/>
          <w:spacing w:val="1"/>
        </w:rPr>
        <w:t>e</w:t>
      </w:r>
      <w:r w:rsidRPr="003F2730">
        <w:rPr>
          <w:rFonts w:eastAsiaTheme="minorEastAsia"/>
        </w:rPr>
        <w:t>w</w:t>
      </w:r>
      <w:r w:rsidRPr="003F2730">
        <w:rPr>
          <w:rFonts w:eastAsiaTheme="minorEastAsia"/>
          <w:spacing w:val="-6"/>
        </w:rPr>
        <w:t xml:space="preserve"> </w:t>
      </w:r>
      <w:r w:rsidRPr="003F2730">
        <w:rPr>
          <w:rFonts w:eastAsiaTheme="minorEastAsia"/>
          <w:spacing w:val="1"/>
        </w:rPr>
        <w:t>Y</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2"/>
        </w:rPr>
        <w:t xml:space="preserve"> </w:t>
      </w:r>
      <w:r w:rsidRPr="003F2730">
        <w:rPr>
          <w:rFonts w:eastAsiaTheme="minorEastAsia"/>
          <w:spacing w:val="-1"/>
        </w:rPr>
        <w:t>M</w:t>
      </w:r>
      <w:r w:rsidRPr="003F2730">
        <w:rPr>
          <w:rFonts w:eastAsiaTheme="minorEastAsia"/>
        </w:rPr>
        <w:t>D</w:t>
      </w:r>
      <w:r w:rsidRPr="003F2730">
        <w:rPr>
          <w:rFonts w:eastAsiaTheme="minorEastAsia"/>
          <w:spacing w:val="1"/>
        </w:rPr>
        <w:t>RC</w:t>
      </w:r>
      <w:r w:rsidRPr="003F2730">
        <w:rPr>
          <w:rFonts w:eastAsiaTheme="minorEastAsia"/>
        </w:rPr>
        <w:t>,</w:t>
      </w:r>
      <w:r w:rsidRPr="003F2730">
        <w:rPr>
          <w:rFonts w:eastAsiaTheme="minorEastAsia"/>
          <w:spacing w:val="-2"/>
        </w:rPr>
        <w:t xml:space="preserve"> </w:t>
      </w:r>
      <w:r w:rsidRPr="003F2730">
        <w:rPr>
          <w:rFonts w:eastAsiaTheme="minorEastAsia"/>
        </w:rPr>
        <w:t>20</w:t>
      </w:r>
      <w:r w:rsidRPr="003F2730">
        <w:rPr>
          <w:rFonts w:eastAsiaTheme="minorEastAsia"/>
          <w:spacing w:val="-2"/>
        </w:rPr>
        <w:t>0</w:t>
      </w:r>
      <w:r w:rsidRPr="003F2730">
        <w:rPr>
          <w:rFonts w:eastAsiaTheme="minorEastAsia"/>
        </w:rPr>
        <w:t>1.</w:t>
      </w:r>
    </w:p>
    <w:p w:rsidR="003F2730" w:rsidRPr="003F2730" w:rsidRDefault="003F2730" w:rsidP="00032084">
      <w:pPr>
        <w:pStyle w:val="References"/>
        <w:rPr>
          <w:rFonts w:eastAsiaTheme="minorEastAsia"/>
        </w:rPr>
      </w:pPr>
      <w:proofErr w:type="gramStart"/>
      <w:r w:rsidRPr="003F2730">
        <w:rPr>
          <w:rFonts w:eastAsiaTheme="minorEastAsia"/>
        </w:rPr>
        <w:t>D</w:t>
      </w:r>
      <w:r w:rsidRPr="003F2730">
        <w:rPr>
          <w:rFonts w:eastAsiaTheme="minorEastAsia"/>
          <w:spacing w:val="1"/>
        </w:rPr>
        <w:t>ec</w:t>
      </w:r>
      <w:r w:rsidRPr="003F2730">
        <w:rPr>
          <w:rFonts w:eastAsiaTheme="minorEastAsia"/>
        </w:rPr>
        <w:t>k</w:t>
      </w:r>
      <w:r w:rsidRPr="003F2730">
        <w:rPr>
          <w:rFonts w:eastAsiaTheme="minorEastAsia"/>
          <w:spacing w:val="1"/>
        </w:rPr>
        <w:t>e</w:t>
      </w:r>
      <w:r w:rsidRPr="003F2730">
        <w:rPr>
          <w:rFonts w:eastAsiaTheme="minorEastAsia"/>
          <w:spacing w:val="-1"/>
        </w:rPr>
        <w:t>r</w:t>
      </w:r>
      <w:r w:rsidRPr="003F2730">
        <w:rPr>
          <w:rFonts w:eastAsiaTheme="minorEastAsia"/>
        </w:rPr>
        <w:t>,</w:t>
      </w:r>
      <w:r w:rsidRPr="003F2730">
        <w:rPr>
          <w:rFonts w:eastAsiaTheme="minorEastAsia"/>
          <w:spacing w:val="-7"/>
        </w:rPr>
        <w:t xml:space="preserve"> </w:t>
      </w:r>
      <w:r w:rsidRPr="003F2730">
        <w:rPr>
          <w:rFonts w:eastAsiaTheme="minorEastAsia"/>
          <w:spacing w:val="-1"/>
        </w:rPr>
        <w:t>P</w:t>
      </w:r>
      <w:r w:rsidRPr="003F2730">
        <w:rPr>
          <w:rFonts w:eastAsiaTheme="minorEastAsia"/>
          <w:spacing w:val="1"/>
        </w:rPr>
        <w:t>a</w:t>
      </w:r>
      <w:r w:rsidRPr="003F2730">
        <w:rPr>
          <w:rFonts w:eastAsiaTheme="minorEastAsia"/>
        </w:rPr>
        <w:t>ul</w:t>
      </w:r>
      <w:r w:rsidRPr="003F2730">
        <w:rPr>
          <w:rFonts w:eastAsiaTheme="minorEastAsia"/>
          <w:spacing w:val="-3"/>
        </w:rPr>
        <w:t xml:space="preserve"> </w:t>
      </w:r>
      <w:r w:rsidRPr="003F2730">
        <w:rPr>
          <w:rFonts w:eastAsiaTheme="minorEastAsia"/>
          <w:spacing w:val="-1"/>
        </w:rPr>
        <w:t>T</w:t>
      </w:r>
      <w:r w:rsidRPr="003F2730">
        <w:rPr>
          <w:rFonts w:eastAsiaTheme="minorEastAsia"/>
        </w:rPr>
        <w:t>.,</w:t>
      </w:r>
      <w:r w:rsidRPr="003F2730">
        <w:rPr>
          <w:rFonts w:eastAsiaTheme="minorEastAsia"/>
          <w:spacing w:val="-3"/>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J</w:t>
      </w:r>
      <w:r w:rsidRPr="003F2730">
        <w:rPr>
          <w:rFonts w:eastAsiaTheme="minorEastAsia"/>
        </w:rPr>
        <w:t>ill</w:t>
      </w:r>
      <w:r w:rsidRPr="003F2730">
        <w:rPr>
          <w:rFonts w:eastAsiaTheme="minorEastAsia"/>
          <w:spacing w:val="-2"/>
        </w:rPr>
        <w:t>ia</w:t>
      </w:r>
      <w:r w:rsidRPr="003F2730">
        <w:rPr>
          <w:rFonts w:eastAsiaTheme="minorEastAsia"/>
        </w:rPr>
        <w:t xml:space="preserve">n </w:t>
      </w:r>
      <w:proofErr w:type="spellStart"/>
      <w:r w:rsidRPr="003F2730">
        <w:rPr>
          <w:rFonts w:eastAsiaTheme="minorEastAsia"/>
          <w:spacing w:val="-1"/>
        </w:rPr>
        <w:t>B</w:t>
      </w:r>
      <w:r w:rsidRPr="003F2730">
        <w:rPr>
          <w:rFonts w:eastAsiaTheme="minorEastAsia"/>
          <w:spacing w:val="1"/>
        </w:rPr>
        <w:t>e</w:t>
      </w:r>
      <w:r w:rsidRPr="003F2730">
        <w:rPr>
          <w:rFonts w:eastAsiaTheme="minorEastAsia"/>
          <w:spacing w:val="-1"/>
        </w:rPr>
        <w:t>r</w:t>
      </w:r>
      <w:r w:rsidRPr="003F2730">
        <w:rPr>
          <w:rFonts w:eastAsiaTheme="minorEastAsia"/>
        </w:rPr>
        <w:t>k</w:t>
      </w:r>
      <w:proofErr w:type="spellEnd"/>
      <w:r w:rsidRPr="003F2730">
        <w:rPr>
          <w:rFonts w:eastAsiaTheme="minorEastAsia"/>
        </w:rPr>
        <w:t>.</w:t>
      </w:r>
      <w:proofErr w:type="gramEnd"/>
      <w:r w:rsidRPr="003F2730">
        <w:rPr>
          <w:rFonts w:eastAsiaTheme="minorEastAsia"/>
          <w:spacing w:val="-4"/>
        </w:rPr>
        <w:t xml:space="preserve"> </w:t>
      </w:r>
      <w:r w:rsidRPr="003F2730">
        <w:rPr>
          <w:rFonts w:eastAsiaTheme="minorEastAsia"/>
          <w:spacing w:val="1"/>
        </w:rPr>
        <w:t>“</w:t>
      </w:r>
      <w:r w:rsidRPr="003F2730">
        <w:rPr>
          <w:rFonts w:eastAsiaTheme="minorEastAsia"/>
          <w:spacing w:val="-1"/>
        </w:rPr>
        <w:t>T</w:t>
      </w:r>
      <w:r w:rsidRPr="003F2730">
        <w:rPr>
          <w:rFonts w:eastAsiaTheme="minorEastAsia"/>
          <w:spacing w:val="1"/>
        </w:rPr>
        <w:t>e</w:t>
      </w:r>
      <w:r w:rsidRPr="003F2730">
        <w:rPr>
          <w:rFonts w:eastAsiaTheme="minorEastAsia"/>
        </w:rPr>
        <w:t>n</w:t>
      </w:r>
      <w:r w:rsidRPr="003F2730">
        <w:rPr>
          <w:rFonts w:eastAsiaTheme="minorEastAsia"/>
          <w:spacing w:val="-4"/>
        </w:rPr>
        <w:t xml:space="preserve"> </w:t>
      </w:r>
      <w:r w:rsidRPr="003F2730">
        <w:rPr>
          <w:rFonts w:eastAsiaTheme="minorEastAsia"/>
          <w:spacing w:val="1"/>
        </w:rPr>
        <w:t>Yea</w:t>
      </w:r>
      <w:r w:rsidRPr="003F2730">
        <w:rPr>
          <w:rFonts w:eastAsiaTheme="minorEastAsia"/>
          <w:spacing w:val="-1"/>
        </w:rPr>
        <w:t>r</w:t>
      </w:r>
      <w:r w:rsidRPr="003F2730">
        <w:rPr>
          <w:rFonts w:eastAsiaTheme="minorEastAsia"/>
        </w:rPr>
        <w:t>s</w:t>
      </w:r>
      <w:r w:rsidRPr="003F2730">
        <w:rPr>
          <w:rFonts w:eastAsiaTheme="minorEastAsia"/>
          <w:spacing w:val="-4"/>
        </w:rPr>
        <w:t xml:space="preserve"> </w:t>
      </w:r>
      <w:r w:rsidRPr="003F2730">
        <w:rPr>
          <w:rFonts w:eastAsiaTheme="minorEastAsia"/>
        </w:rPr>
        <w:t>of</w:t>
      </w:r>
      <w:r w:rsidRPr="003F2730">
        <w:rPr>
          <w:rFonts w:eastAsiaTheme="minorEastAsia"/>
          <w:spacing w:val="-2"/>
        </w:rPr>
        <w:t xml:space="preserve"> </w:t>
      </w:r>
      <w:r w:rsidRPr="003F2730">
        <w:rPr>
          <w:rFonts w:eastAsiaTheme="minorEastAsia"/>
        </w:rPr>
        <w:t>the</w:t>
      </w:r>
      <w:r w:rsidRPr="003F2730">
        <w:rPr>
          <w:rFonts w:eastAsiaTheme="minorEastAsia"/>
          <w:spacing w:val="-1"/>
        </w:rPr>
        <w:t xml:space="preserve"> </w:t>
      </w:r>
      <w:r w:rsidRPr="003F2730">
        <w:rPr>
          <w:rFonts w:eastAsiaTheme="minorEastAsia"/>
          <w:spacing w:val="1"/>
        </w:rPr>
        <w:t>W</w:t>
      </w:r>
      <w:r w:rsidRPr="003F2730">
        <w:rPr>
          <w:rFonts w:eastAsiaTheme="minorEastAsia"/>
        </w:rPr>
        <w:t>o</w:t>
      </w:r>
      <w:r w:rsidRPr="003F2730">
        <w:rPr>
          <w:rFonts w:eastAsiaTheme="minorEastAsia"/>
          <w:spacing w:val="-1"/>
        </w:rPr>
        <w:t>r</w:t>
      </w:r>
      <w:r w:rsidRPr="003F2730">
        <w:rPr>
          <w:rFonts w:eastAsiaTheme="minorEastAsia"/>
        </w:rPr>
        <w:t>k</w:t>
      </w:r>
      <w:r w:rsidRPr="003F2730">
        <w:rPr>
          <w:rFonts w:eastAsiaTheme="minorEastAsia"/>
          <w:spacing w:val="-1"/>
        </w:rPr>
        <w:t>f</w:t>
      </w:r>
      <w:r w:rsidRPr="003F2730">
        <w:rPr>
          <w:rFonts w:eastAsiaTheme="minorEastAsia"/>
        </w:rPr>
        <w:t>o</w:t>
      </w:r>
      <w:r w:rsidRPr="003F2730">
        <w:rPr>
          <w:rFonts w:eastAsiaTheme="minorEastAsia"/>
          <w:spacing w:val="-1"/>
        </w:rPr>
        <w:t>r</w:t>
      </w:r>
      <w:r w:rsidRPr="003F2730">
        <w:rPr>
          <w:rFonts w:eastAsiaTheme="minorEastAsia"/>
          <w:spacing w:val="1"/>
        </w:rPr>
        <w:t>c</w:t>
      </w:r>
      <w:r w:rsidRPr="003F2730">
        <w:rPr>
          <w:rFonts w:eastAsiaTheme="minorEastAsia"/>
        </w:rPr>
        <w:t>e</w:t>
      </w:r>
      <w:r w:rsidRPr="003F2730">
        <w:rPr>
          <w:rFonts w:eastAsiaTheme="minorEastAsia"/>
          <w:spacing w:val="-3"/>
        </w:rPr>
        <w:t xml:space="preserve"> </w:t>
      </w:r>
      <w:r w:rsidRPr="003F2730">
        <w:rPr>
          <w:rFonts w:eastAsiaTheme="minorEastAsia"/>
          <w:spacing w:val="-1"/>
        </w:rPr>
        <w:t>I</w:t>
      </w:r>
      <w:r w:rsidRPr="003F2730">
        <w:rPr>
          <w:rFonts w:eastAsiaTheme="minorEastAsia"/>
        </w:rPr>
        <w:t>nv</w:t>
      </w:r>
      <w:r w:rsidRPr="003F2730">
        <w:rPr>
          <w:rFonts w:eastAsiaTheme="minorEastAsia"/>
          <w:spacing w:val="1"/>
        </w:rPr>
        <w:t>e</w:t>
      </w:r>
      <w:r w:rsidRPr="003F2730">
        <w:rPr>
          <w:rFonts w:eastAsiaTheme="minorEastAsia"/>
          <w:spacing w:val="-1"/>
        </w:rPr>
        <w:t>s</w:t>
      </w:r>
      <w:r w:rsidRPr="003F2730">
        <w:rPr>
          <w:rFonts w:eastAsiaTheme="minorEastAsia"/>
        </w:rPr>
        <w:t>tm</w:t>
      </w:r>
      <w:r w:rsidRPr="003F2730">
        <w:rPr>
          <w:rFonts w:eastAsiaTheme="minorEastAsia"/>
          <w:spacing w:val="1"/>
        </w:rPr>
        <w:t>e</w:t>
      </w:r>
      <w:r w:rsidRPr="003F2730">
        <w:rPr>
          <w:rFonts w:eastAsiaTheme="minorEastAsia"/>
        </w:rPr>
        <w:t>nt</w:t>
      </w:r>
      <w:r w:rsidRPr="003F2730">
        <w:rPr>
          <w:rFonts w:eastAsiaTheme="minorEastAsia"/>
          <w:spacing w:val="-7"/>
        </w:rPr>
        <w:t xml:space="preserve"> </w:t>
      </w:r>
      <w:r w:rsidRPr="003F2730">
        <w:rPr>
          <w:rFonts w:eastAsiaTheme="minorEastAsia"/>
          <w:spacing w:val="1"/>
        </w:rPr>
        <w:t>Ac</w:t>
      </w:r>
      <w:r w:rsidRPr="003F2730">
        <w:rPr>
          <w:rFonts w:eastAsiaTheme="minorEastAsia"/>
        </w:rPr>
        <w:t>t</w:t>
      </w:r>
      <w:r w:rsidRPr="003F2730">
        <w:rPr>
          <w:rFonts w:eastAsiaTheme="minorEastAsia"/>
          <w:spacing w:val="-2"/>
        </w:rPr>
        <w:t xml:space="preserve"> </w:t>
      </w:r>
      <w:r w:rsidRPr="003F2730">
        <w:rPr>
          <w:rFonts w:eastAsiaTheme="minorEastAsia"/>
        </w:rPr>
        <w:t>(</w:t>
      </w:r>
      <w:r w:rsidRPr="003F2730">
        <w:rPr>
          <w:rFonts w:eastAsiaTheme="minorEastAsia"/>
          <w:spacing w:val="1"/>
        </w:rPr>
        <w:t>W</w:t>
      </w:r>
      <w:r w:rsidRPr="003F2730">
        <w:rPr>
          <w:rFonts w:eastAsiaTheme="minorEastAsia"/>
          <w:spacing w:val="-1"/>
        </w:rPr>
        <w:t>I</w:t>
      </w:r>
      <w:r w:rsidRPr="003F2730">
        <w:rPr>
          <w:rFonts w:eastAsiaTheme="minorEastAsia"/>
          <w:spacing w:val="1"/>
        </w:rPr>
        <w:t>A</w:t>
      </w:r>
      <w:r w:rsidRPr="003F2730">
        <w:rPr>
          <w:rFonts w:eastAsiaTheme="minorEastAsia"/>
        </w:rPr>
        <w:t>):</w:t>
      </w:r>
      <w:r w:rsidRPr="003F2730">
        <w:rPr>
          <w:rFonts w:eastAsiaTheme="minorEastAsia"/>
          <w:spacing w:val="-2"/>
        </w:rPr>
        <w:t xml:space="preserve"> </w:t>
      </w:r>
      <w:r w:rsidRPr="003F2730">
        <w:rPr>
          <w:rFonts w:eastAsiaTheme="minorEastAsia"/>
          <w:spacing w:val="-1"/>
        </w:rPr>
        <w:t>I</w:t>
      </w:r>
      <w:r w:rsidRPr="003F2730">
        <w:rPr>
          <w:rFonts w:eastAsiaTheme="minorEastAsia"/>
        </w:rPr>
        <w:t>nt</w:t>
      </w:r>
      <w:r w:rsidRPr="003F2730">
        <w:rPr>
          <w:rFonts w:eastAsiaTheme="minorEastAsia"/>
          <w:spacing w:val="1"/>
        </w:rPr>
        <w:t>e</w:t>
      </w:r>
      <w:r w:rsidRPr="003F2730">
        <w:rPr>
          <w:rFonts w:eastAsiaTheme="minorEastAsia"/>
          <w:spacing w:val="-1"/>
        </w:rPr>
        <w:t>r</w:t>
      </w:r>
      <w:r w:rsidRPr="003F2730">
        <w:rPr>
          <w:rFonts w:eastAsiaTheme="minorEastAsia"/>
        </w:rPr>
        <w:t>p</w:t>
      </w:r>
      <w:r w:rsidRPr="003F2730">
        <w:rPr>
          <w:rFonts w:eastAsiaTheme="minorEastAsia"/>
          <w:spacing w:val="-1"/>
        </w:rPr>
        <w:t>r</w:t>
      </w:r>
      <w:r w:rsidRPr="003F2730">
        <w:rPr>
          <w:rFonts w:eastAsiaTheme="minorEastAsia"/>
          <w:spacing w:val="1"/>
        </w:rPr>
        <w:t>e</w:t>
      </w:r>
      <w:r w:rsidRPr="003F2730">
        <w:rPr>
          <w:rFonts w:eastAsiaTheme="minorEastAsia"/>
        </w:rPr>
        <w:t>ting</w:t>
      </w:r>
      <w:r>
        <w:rPr>
          <w:rFonts w:eastAsiaTheme="minorEastAsia"/>
        </w:rPr>
        <w:t xml:space="preserve"> </w:t>
      </w:r>
      <w:r w:rsidRPr="003F2730">
        <w:rPr>
          <w:rFonts w:eastAsiaTheme="minorEastAsia"/>
        </w:rPr>
        <w:t>the</w:t>
      </w:r>
      <w:r w:rsidRPr="003F2730">
        <w:rPr>
          <w:rFonts w:eastAsiaTheme="minorEastAsia"/>
          <w:spacing w:val="-1"/>
        </w:rPr>
        <w:t xml:space="preserve"> </w:t>
      </w:r>
      <w:r w:rsidRPr="003F2730">
        <w:rPr>
          <w:rFonts w:eastAsiaTheme="minorEastAsia"/>
          <w:spacing w:val="1"/>
        </w:rPr>
        <w:t>Re</w:t>
      </w:r>
      <w:r w:rsidRPr="003F2730">
        <w:rPr>
          <w:rFonts w:eastAsiaTheme="minorEastAsia"/>
          <w:spacing w:val="-1"/>
        </w:rPr>
        <w:t>s</w:t>
      </w:r>
      <w:r w:rsidRPr="003F2730">
        <w:rPr>
          <w:rFonts w:eastAsiaTheme="minorEastAsia"/>
          <w:spacing w:val="1"/>
        </w:rPr>
        <w:t>ea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4"/>
        </w:rPr>
        <w:t xml:space="preserve"> </w:t>
      </w:r>
      <w:r w:rsidRPr="003F2730">
        <w:rPr>
          <w:rFonts w:eastAsiaTheme="minorEastAsia"/>
        </w:rPr>
        <w:t>on</w:t>
      </w:r>
      <w:r w:rsidRPr="003F2730">
        <w:rPr>
          <w:rFonts w:eastAsiaTheme="minorEastAsia"/>
          <w:spacing w:val="-2"/>
        </w:rPr>
        <w:t xml:space="preserve"> </w:t>
      </w:r>
      <w:r w:rsidRPr="003F2730">
        <w:rPr>
          <w:rFonts w:eastAsiaTheme="minorEastAsia"/>
          <w:spacing w:val="1"/>
        </w:rPr>
        <w:t>W</w:t>
      </w:r>
      <w:r w:rsidRPr="003F2730">
        <w:rPr>
          <w:rFonts w:eastAsiaTheme="minorEastAsia"/>
          <w:spacing w:val="-1"/>
        </w:rPr>
        <w:t>I</w:t>
      </w:r>
      <w:r w:rsidRPr="003F2730">
        <w:rPr>
          <w:rFonts w:eastAsiaTheme="minorEastAsia"/>
        </w:rPr>
        <w:t>A</w:t>
      </w:r>
      <w:r w:rsidRPr="003F2730">
        <w:rPr>
          <w:rFonts w:eastAsiaTheme="minorEastAsia"/>
          <w:spacing w:val="1"/>
        </w:rPr>
        <w:t xml:space="preserve"> a</w:t>
      </w:r>
      <w:r w:rsidRPr="003F2730">
        <w:rPr>
          <w:rFonts w:eastAsiaTheme="minorEastAsia"/>
        </w:rPr>
        <w:t>nd</w:t>
      </w:r>
      <w:r w:rsidRPr="003F2730">
        <w:rPr>
          <w:rFonts w:eastAsiaTheme="minorEastAsia"/>
          <w:spacing w:val="-2"/>
        </w:rPr>
        <w:t xml:space="preserve"> </w:t>
      </w:r>
      <w:r w:rsidRPr="003F2730">
        <w:rPr>
          <w:rFonts w:eastAsiaTheme="minorEastAsia"/>
          <w:spacing w:val="1"/>
        </w:rPr>
        <w:t>Re</w:t>
      </w:r>
      <w:r w:rsidRPr="003F2730">
        <w:rPr>
          <w:rFonts w:eastAsiaTheme="minorEastAsia"/>
        </w:rPr>
        <w:t>l</w:t>
      </w:r>
      <w:r w:rsidRPr="003F2730">
        <w:rPr>
          <w:rFonts w:eastAsiaTheme="minorEastAsia"/>
          <w:spacing w:val="1"/>
        </w:rPr>
        <w:t>a</w:t>
      </w:r>
      <w:r w:rsidRPr="003F2730">
        <w:rPr>
          <w:rFonts w:eastAsiaTheme="minorEastAsia"/>
          <w:spacing w:val="-3"/>
        </w:rPr>
        <w:t>t</w:t>
      </w:r>
      <w:r w:rsidRPr="003F2730">
        <w:rPr>
          <w:rFonts w:eastAsiaTheme="minorEastAsia"/>
          <w:spacing w:val="1"/>
        </w:rPr>
        <w:t>e</w:t>
      </w:r>
      <w:r w:rsidRPr="003F2730">
        <w:rPr>
          <w:rFonts w:eastAsiaTheme="minorEastAsia"/>
        </w:rPr>
        <w:t>d</w:t>
      </w:r>
      <w:r w:rsidRPr="003F2730">
        <w:rPr>
          <w:rFonts w:eastAsiaTheme="minorEastAsia"/>
          <w:spacing w:val="-4"/>
        </w:rPr>
        <w:t xml:space="preserve"> </w:t>
      </w:r>
      <w:r w:rsidRPr="003F2730">
        <w:rPr>
          <w:rFonts w:eastAsiaTheme="minorEastAsia"/>
          <w:spacing w:val="-1"/>
        </w:rPr>
        <w:t>Pr</w:t>
      </w:r>
      <w:r w:rsidRPr="003F2730">
        <w:rPr>
          <w:rFonts w:eastAsiaTheme="minorEastAsia"/>
        </w:rPr>
        <w:t>o</w:t>
      </w:r>
      <w:r w:rsidRPr="003F2730">
        <w:rPr>
          <w:rFonts w:eastAsiaTheme="minorEastAsia"/>
          <w:spacing w:val="1"/>
        </w:rPr>
        <w:t>g</w:t>
      </w:r>
      <w:r w:rsidRPr="003F2730">
        <w:rPr>
          <w:rFonts w:eastAsiaTheme="minorEastAsia"/>
          <w:spacing w:val="-1"/>
        </w:rPr>
        <w:t>r</w:t>
      </w:r>
      <w:r w:rsidRPr="003F2730">
        <w:rPr>
          <w:rFonts w:eastAsiaTheme="minorEastAsia"/>
          <w:spacing w:val="1"/>
        </w:rPr>
        <w:t>a</w:t>
      </w:r>
      <w:r w:rsidRPr="003F2730">
        <w:rPr>
          <w:rFonts w:eastAsiaTheme="minorEastAsia"/>
        </w:rPr>
        <w:t>m</w:t>
      </w:r>
      <w:r w:rsidRPr="003F2730">
        <w:rPr>
          <w:rFonts w:eastAsiaTheme="minorEastAsia"/>
          <w:spacing w:val="-1"/>
        </w:rPr>
        <w:t>s</w:t>
      </w:r>
      <w:r w:rsidRPr="003F2730">
        <w:rPr>
          <w:rFonts w:eastAsiaTheme="minorEastAsia"/>
        </w:rPr>
        <w:t>.”</w:t>
      </w:r>
      <w:r w:rsidRPr="003F2730">
        <w:rPr>
          <w:rFonts w:eastAsiaTheme="minorEastAsia"/>
          <w:spacing w:val="-5"/>
        </w:rPr>
        <w:t xml:space="preserve"> </w:t>
      </w:r>
      <w:proofErr w:type="gramStart"/>
      <w:r w:rsidRPr="003F2730">
        <w:rPr>
          <w:rFonts w:eastAsiaTheme="minorEastAsia"/>
          <w:i/>
          <w:iCs/>
          <w:spacing w:val="-1"/>
        </w:rPr>
        <w:t>Jo</w:t>
      </w:r>
      <w:r w:rsidRPr="003F2730">
        <w:rPr>
          <w:rFonts w:eastAsiaTheme="minorEastAsia"/>
          <w:i/>
          <w:iCs/>
          <w:spacing w:val="1"/>
        </w:rPr>
        <w:t>u</w:t>
      </w:r>
      <w:r w:rsidRPr="003F2730">
        <w:rPr>
          <w:rFonts w:eastAsiaTheme="minorEastAsia"/>
          <w:i/>
          <w:iCs/>
          <w:spacing w:val="-1"/>
        </w:rPr>
        <w:t>r</w:t>
      </w:r>
      <w:r w:rsidRPr="003F2730">
        <w:rPr>
          <w:rFonts w:eastAsiaTheme="minorEastAsia"/>
          <w:i/>
          <w:iCs/>
          <w:spacing w:val="3"/>
        </w:rPr>
        <w:t>n</w:t>
      </w:r>
      <w:r w:rsidRPr="003F2730">
        <w:rPr>
          <w:rFonts w:eastAsiaTheme="minorEastAsia"/>
          <w:i/>
          <w:iCs/>
          <w:spacing w:val="1"/>
        </w:rPr>
        <w:t>a</w:t>
      </w:r>
      <w:r w:rsidRPr="003F2730">
        <w:rPr>
          <w:rFonts w:eastAsiaTheme="minorEastAsia"/>
          <w:i/>
          <w:iCs/>
        </w:rPr>
        <w:t>l</w:t>
      </w:r>
      <w:r w:rsidRPr="003F2730">
        <w:rPr>
          <w:rFonts w:eastAsiaTheme="minorEastAsia"/>
          <w:i/>
          <w:iCs/>
          <w:spacing w:val="-1"/>
        </w:rPr>
        <w:t xml:space="preserve"> o</w:t>
      </w:r>
      <w:r w:rsidRPr="003F2730">
        <w:rPr>
          <w:rFonts w:eastAsiaTheme="minorEastAsia"/>
          <w:i/>
          <w:iCs/>
        </w:rPr>
        <w:t>f</w:t>
      </w:r>
      <w:r w:rsidRPr="003F2730">
        <w:rPr>
          <w:rFonts w:eastAsiaTheme="minorEastAsia"/>
          <w:i/>
          <w:iCs/>
          <w:spacing w:val="-1"/>
        </w:rPr>
        <w:t xml:space="preserve"> </w:t>
      </w:r>
      <w:r w:rsidRPr="003F2730">
        <w:rPr>
          <w:rFonts w:eastAsiaTheme="minorEastAsia"/>
          <w:i/>
          <w:iCs/>
        </w:rPr>
        <w:t>P</w:t>
      </w:r>
      <w:r w:rsidRPr="003F2730">
        <w:rPr>
          <w:rFonts w:eastAsiaTheme="minorEastAsia"/>
          <w:i/>
          <w:iCs/>
          <w:spacing w:val="-1"/>
        </w:rPr>
        <w:t>o</w:t>
      </w:r>
      <w:r w:rsidRPr="003F2730">
        <w:rPr>
          <w:rFonts w:eastAsiaTheme="minorEastAsia"/>
          <w:i/>
          <w:iCs/>
        </w:rPr>
        <w:t>licy</w:t>
      </w:r>
      <w:r w:rsidRPr="003F2730">
        <w:rPr>
          <w:rFonts w:eastAsiaTheme="minorEastAsia"/>
          <w:i/>
          <w:iCs/>
          <w:spacing w:val="-3"/>
        </w:rPr>
        <w:t xml:space="preserve"> </w:t>
      </w:r>
      <w:r w:rsidRPr="003F2730">
        <w:rPr>
          <w:rFonts w:eastAsiaTheme="minorEastAsia"/>
          <w:i/>
          <w:iCs/>
        </w:rPr>
        <w:t>A</w:t>
      </w:r>
      <w:r w:rsidRPr="003F2730">
        <w:rPr>
          <w:rFonts w:eastAsiaTheme="minorEastAsia"/>
          <w:i/>
          <w:iCs/>
          <w:spacing w:val="1"/>
        </w:rPr>
        <w:t>na</w:t>
      </w:r>
      <w:r w:rsidRPr="003F2730">
        <w:rPr>
          <w:rFonts w:eastAsiaTheme="minorEastAsia"/>
          <w:i/>
          <w:iCs/>
        </w:rPr>
        <w:t>l</w:t>
      </w:r>
      <w:r w:rsidRPr="003F2730">
        <w:rPr>
          <w:rFonts w:eastAsiaTheme="minorEastAsia"/>
          <w:i/>
          <w:iCs/>
          <w:spacing w:val="-1"/>
        </w:rPr>
        <w:t>y</w:t>
      </w:r>
      <w:r w:rsidRPr="003F2730">
        <w:rPr>
          <w:rFonts w:eastAsiaTheme="minorEastAsia"/>
          <w:i/>
          <w:iCs/>
        </w:rPr>
        <w:t>sis</w:t>
      </w:r>
      <w:r w:rsidRPr="003F2730">
        <w:rPr>
          <w:rFonts w:eastAsiaTheme="minorEastAsia"/>
          <w:i/>
          <w:iCs/>
          <w:spacing w:val="-2"/>
        </w:rPr>
        <w:t xml:space="preserve"> </w:t>
      </w:r>
      <w:r w:rsidRPr="003F2730">
        <w:rPr>
          <w:rFonts w:eastAsiaTheme="minorEastAsia"/>
          <w:i/>
          <w:iCs/>
          <w:spacing w:val="1"/>
        </w:rPr>
        <w:t>an</w:t>
      </w:r>
      <w:r w:rsidRPr="003F2730">
        <w:rPr>
          <w:rFonts w:eastAsiaTheme="minorEastAsia"/>
          <w:i/>
          <w:iCs/>
        </w:rPr>
        <w:t>d</w:t>
      </w:r>
      <w:r w:rsidRPr="003F2730">
        <w:rPr>
          <w:rFonts w:eastAsiaTheme="minorEastAsia"/>
          <w:i/>
          <w:iCs/>
          <w:spacing w:val="1"/>
        </w:rPr>
        <w:t xml:space="preserve"> </w:t>
      </w:r>
      <w:r w:rsidRPr="003F2730">
        <w:rPr>
          <w:rFonts w:eastAsiaTheme="minorEastAsia"/>
          <w:i/>
          <w:iCs/>
          <w:spacing w:val="-1"/>
        </w:rPr>
        <w:t>M</w:t>
      </w:r>
      <w:r w:rsidRPr="003F2730">
        <w:rPr>
          <w:rFonts w:eastAsiaTheme="minorEastAsia"/>
          <w:i/>
          <w:iCs/>
          <w:spacing w:val="-2"/>
        </w:rPr>
        <w:t>a</w:t>
      </w:r>
      <w:r w:rsidRPr="003F2730">
        <w:rPr>
          <w:rFonts w:eastAsiaTheme="minorEastAsia"/>
          <w:i/>
          <w:iCs/>
          <w:spacing w:val="1"/>
        </w:rPr>
        <w:t>na</w:t>
      </w:r>
      <w:r w:rsidRPr="003F2730">
        <w:rPr>
          <w:rFonts w:eastAsiaTheme="minorEastAsia"/>
          <w:i/>
          <w:iCs/>
          <w:spacing w:val="-1"/>
        </w:rPr>
        <w:t>g</w:t>
      </w:r>
      <w:r w:rsidRPr="003F2730">
        <w:rPr>
          <w:rFonts w:eastAsiaTheme="minorEastAsia"/>
          <w:i/>
          <w:iCs/>
        </w:rPr>
        <w:t>e</w:t>
      </w:r>
      <w:r w:rsidRPr="003F2730">
        <w:rPr>
          <w:rFonts w:eastAsiaTheme="minorEastAsia"/>
          <w:i/>
          <w:iCs/>
          <w:spacing w:val="1"/>
        </w:rPr>
        <w:t>m</w:t>
      </w:r>
      <w:r w:rsidRPr="003F2730">
        <w:rPr>
          <w:rFonts w:eastAsiaTheme="minorEastAsia"/>
          <w:i/>
          <w:iCs/>
        </w:rPr>
        <w:t>e</w:t>
      </w:r>
      <w:r w:rsidRPr="003F2730">
        <w:rPr>
          <w:rFonts w:eastAsiaTheme="minorEastAsia"/>
          <w:i/>
          <w:iCs/>
          <w:spacing w:val="1"/>
        </w:rPr>
        <w:t>n</w:t>
      </w:r>
      <w:r w:rsidRPr="003F2730">
        <w:rPr>
          <w:rFonts w:eastAsiaTheme="minorEastAsia"/>
          <w:i/>
          <w:iCs/>
        </w:rPr>
        <w:t>t,</w:t>
      </w:r>
      <w:r w:rsidRPr="003F2730">
        <w:rPr>
          <w:rFonts w:eastAsiaTheme="minorEastAsia"/>
          <w:i/>
          <w:iCs/>
          <w:spacing w:val="-5"/>
        </w:rPr>
        <w:t xml:space="preserve"> </w:t>
      </w:r>
      <w:r w:rsidRPr="003F2730">
        <w:rPr>
          <w:rFonts w:eastAsiaTheme="minorEastAsia"/>
        </w:rPr>
        <w:t>vol.</w:t>
      </w:r>
      <w:r w:rsidRPr="003F2730">
        <w:rPr>
          <w:rFonts w:eastAsiaTheme="minorEastAsia"/>
          <w:spacing w:val="-1"/>
        </w:rPr>
        <w:t xml:space="preserve"> </w:t>
      </w:r>
      <w:r w:rsidRPr="003F2730">
        <w:rPr>
          <w:rFonts w:eastAsiaTheme="minorEastAsia"/>
          <w:spacing w:val="-2"/>
        </w:rPr>
        <w:t>3</w:t>
      </w:r>
      <w:r w:rsidRPr="003F2730">
        <w:rPr>
          <w:rFonts w:eastAsiaTheme="minorEastAsia"/>
        </w:rPr>
        <w:t>0,</w:t>
      </w:r>
      <w:r>
        <w:rPr>
          <w:rFonts w:eastAsiaTheme="minorEastAsia"/>
        </w:rPr>
        <w:t xml:space="preserve"> </w:t>
      </w:r>
      <w:r w:rsidRPr="003F2730">
        <w:rPr>
          <w:rFonts w:eastAsiaTheme="minorEastAsia"/>
        </w:rPr>
        <w:t>no. 4,</w:t>
      </w:r>
      <w:r w:rsidRPr="003F2730">
        <w:rPr>
          <w:rFonts w:eastAsiaTheme="minorEastAsia"/>
          <w:spacing w:val="-2"/>
        </w:rPr>
        <w:t xml:space="preserve"> </w:t>
      </w:r>
      <w:r w:rsidRPr="003F2730">
        <w:rPr>
          <w:rFonts w:eastAsiaTheme="minorEastAsia"/>
          <w:spacing w:val="-1"/>
        </w:rPr>
        <w:t>f</w:t>
      </w:r>
      <w:r w:rsidRPr="003F2730">
        <w:rPr>
          <w:rFonts w:eastAsiaTheme="minorEastAsia"/>
          <w:spacing w:val="1"/>
        </w:rPr>
        <w:t>a</w:t>
      </w:r>
      <w:r w:rsidRPr="003F2730">
        <w:rPr>
          <w:rFonts w:eastAsiaTheme="minorEastAsia"/>
        </w:rPr>
        <w:t>ll</w:t>
      </w:r>
      <w:r w:rsidRPr="003F2730">
        <w:rPr>
          <w:rFonts w:eastAsiaTheme="minorEastAsia"/>
          <w:spacing w:val="-1"/>
        </w:rPr>
        <w:t xml:space="preserve"> </w:t>
      </w:r>
      <w:r w:rsidRPr="003F2730">
        <w:rPr>
          <w:rFonts w:eastAsiaTheme="minorEastAsia"/>
        </w:rPr>
        <w:t>2011,</w:t>
      </w:r>
      <w:r w:rsidRPr="003F2730">
        <w:rPr>
          <w:rFonts w:eastAsiaTheme="minorEastAsia"/>
          <w:spacing w:val="-5"/>
        </w:rPr>
        <w:t xml:space="preserve"> </w:t>
      </w:r>
      <w:r w:rsidRPr="003F2730">
        <w:rPr>
          <w:rFonts w:eastAsiaTheme="minorEastAsia"/>
        </w:rPr>
        <w:t>pp.</w:t>
      </w:r>
      <w:r w:rsidRPr="003F2730">
        <w:rPr>
          <w:rFonts w:eastAsiaTheme="minorEastAsia"/>
          <w:spacing w:val="-1"/>
        </w:rPr>
        <w:t xml:space="preserve"> </w:t>
      </w:r>
      <w:r w:rsidRPr="003F2730">
        <w:rPr>
          <w:rFonts w:eastAsiaTheme="minorEastAsia"/>
          <w:spacing w:val="-2"/>
        </w:rPr>
        <w:t>9</w:t>
      </w:r>
      <w:r w:rsidRPr="003F2730">
        <w:rPr>
          <w:rFonts w:eastAsiaTheme="minorEastAsia"/>
        </w:rPr>
        <w:t>06–</w:t>
      </w:r>
      <w:r w:rsidRPr="003F2730">
        <w:rPr>
          <w:rFonts w:eastAsiaTheme="minorEastAsia"/>
          <w:spacing w:val="-2"/>
        </w:rPr>
        <w:t>9</w:t>
      </w:r>
      <w:r w:rsidRPr="003F2730">
        <w:rPr>
          <w:rFonts w:eastAsiaTheme="minorEastAsia"/>
        </w:rPr>
        <w:t>26.</w:t>
      </w:r>
      <w:proofErr w:type="gramEnd"/>
    </w:p>
    <w:p w:rsidR="003F2730" w:rsidRDefault="003F2730" w:rsidP="00032084">
      <w:pPr>
        <w:pStyle w:val="References"/>
        <w:rPr>
          <w:rFonts w:eastAsiaTheme="minorEastAsia"/>
        </w:rPr>
      </w:pPr>
      <w:proofErr w:type="spellStart"/>
      <w:r w:rsidRPr="003F2730">
        <w:rPr>
          <w:rFonts w:eastAsiaTheme="minorEastAsia"/>
          <w:spacing w:val="-1"/>
        </w:rPr>
        <w:t>Fr</w:t>
      </w:r>
      <w:r w:rsidRPr="003F2730">
        <w:rPr>
          <w:rFonts w:eastAsiaTheme="minorEastAsia"/>
          <w:spacing w:val="1"/>
        </w:rPr>
        <w:t>a</w:t>
      </w:r>
      <w:r w:rsidRPr="003F2730">
        <w:rPr>
          <w:rFonts w:eastAsiaTheme="minorEastAsia"/>
        </w:rPr>
        <w:t>k</w:t>
      </w:r>
      <w:r w:rsidRPr="003F2730">
        <w:rPr>
          <w:rFonts w:eastAsiaTheme="minorEastAsia"/>
          <w:spacing w:val="1"/>
        </w:rPr>
        <w:t>e</w:t>
      </w:r>
      <w:r w:rsidRPr="003F2730">
        <w:rPr>
          <w:rFonts w:eastAsiaTheme="minorEastAsia"/>
          <w:spacing w:val="-1"/>
        </w:rPr>
        <w:t>r</w:t>
      </w:r>
      <w:proofErr w:type="spellEnd"/>
      <w:r w:rsidRPr="003F2730">
        <w:rPr>
          <w:rFonts w:eastAsiaTheme="minorEastAsia"/>
        </w:rPr>
        <w:t>,</w:t>
      </w:r>
      <w:r w:rsidRPr="003F2730">
        <w:rPr>
          <w:rFonts w:eastAsiaTheme="minorEastAsia"/>
          <w:spacing w:val="-2"/>
        </w:rPr>
        <w:t xml:space="preserve"> </w:t>
      </w:r>
      <w:r w:rsidRPr="003F2730">
        <w:rPr>
          <w:rFonts w:eastAsiaTheme="minorEastAsia"/>
          <w:spacing w:val="-1"/>
        </w:rPr>
        <w:t>T</w:t>
      </w:r>
      <w:r w:rsidRPr="003F2730">
        <w:rPr>
          <w:rFonts w:eastAsiaTheme="minorEastAsia"/>
        </w:rPr>
        <w:t>.</w:t>
      </w:r>
      <w:r w:rsidRPr="003F2730">
        <w:rPr>
          <w:rFonts w:eastAsiaTheme="minorEastAsia"/>
          <w:spacing w:val="-1"/>
        </w:rPr>
        <w:t>M</w:t>
      </w:r>
      <w:r w:rsidRPr="003F2730">
        <w:rPr>
          <w:rFonts w:eastAsiaTheme="minorEastAsia"/>
        </w:rPr>
        <w:t>.,</w:t>
      </w:r>
      <w:r w:rsidRPr="003F2730">
        <w:rPr>
          <w:rFonts w:eastAsiaTheme="minorEastAsia"/>
          <w:spacing w:val="-3"/>
        </w:rPr>
        <w:t xml:space="preserve"> </w:t>
      </w:r>
      <w:r w:rsidRPr="003F2730">
        <w:rPr>
          <w:rFonts w:eastAsiaTheme="minorEastAsia"/>
          <w:spacing w:val="1"/>
        </w:rPr>
        <w:t>C</w:t>
      </w:r>
      <w:r w:rsidRPr="003F2730">
        <w:rPr>
          <w:rFonts w:eastAsiaTheme="minorEastAsia"/>
        </w:rPr>
        <w:t>.</w:t>
      </w:r>
      <w:r w:rsidRPr="003F2730">
        <w:rPr>
          <w:rFonts w:eastAsiaTheme="minorEastAsia"/>
          <w:spacing w:val="-1"/>
        </w:rPr>
        <w:t>M</w:t>
      </w:r>
      <w:r w:rsidRPr="003F2730">
        <w:rPr>
          <w:rFonts w:eastAsiaTheme="minorEastAsia"/>
        </w:rPr>
        <w:t>.</w:t>
      </w:r>
      <w:r w:rsidRPr="003F2730">
        <w:rPr>
          <w:rFonts w:eastAsiaTheme="minorEastAsia"/>
          <w:spacing w:val="-1"/>
        </w:rPr>
        <w:t xml:space="preserve"> </w:t>
      </w:r>
      <w:r w:rsidRPr="003F2730">
        <w:rPr>
          <w:rFonts w:eastAsiaTheme="minorEastAsia"/>
          <w:spacing w:val="1"/>
        </w:rPr>
        <w:t>R</w:t>
      </w:r>
      <w:r w:rsidRPr="003F2730">
        <w:rPr>
          <w:rFonts w:eastAsiaTheme="minorEastAsia"/>
        </w:rPr>
        <w:t>o</w:t>
      </w:r>
      <w:r w:rsidRPr="003F2730">
        <w:rPr>
          <w:rFonts w:eastAsiaTheme="minorEastAsia"/>
          <w:spacing w:val="-1"/>
        </w:rPr>
        <w:t>ss</w:t>
      </w:r>
      <w:r w:rsidRPr="003F2730">
        <w:rPr>
          <w:rFonts w:eastAsiaTheme="minorEastAsia"/>
        </w:rPr>
        <w:t>,</w:t>
      </w:r>
      <w:r w:rsidRPr="003F2730">
        <w:rPr>
          <w:rFonts w:eastAsiaTheme="minorEastAsia"/>
          <w:spacing w:val="-2"/>
        </w:rPr>
        <w:t xml:space="preserve"> </w:t>
      </w:r>
      <w:r w:rsidRPr="003F2730">
        <w:rPr>
          <w:rFonts w:eastAsiaTheme="minorEastAsia"/>
          <w:spacing w:val="1"/>
        </w:rPr>
        <w:t>R</w:t>
      </w:r>
      <w:r w:rsidRPr="003F2730">
        <w:rPr>
          <w:rFonts w:eastAsiaTheme="minorEastAsia"/>
        </w:rPr>
        <w:t>.</w:t>
      </w:r>
      <w:r w:rsidRPr="003F2730">
        <w:rPr>
          <w:rFonts w:eastAsiaTheme="minorEastAsia"/>
          <w:spacing w:val="1"/>
        </w:rPr>
        <w:t>A</w:t>
      </w:r>
      <w:r w:rsidRPr="003F2730">
        <w:rPr>
          <w:rFonts w:eastAsiaTheme="minorEastAsia"/>
        </w:rPr>
        <w:t>.</w:t>
      </w:r>
      <w:r w:rsidRPr="003F2730">
        <w:rPr>
          <w:rFonts w:eastAsiaTheme="minorEastAsia"/>
          <w:spacing w:val="-3"/>
        </w:rPr>
        <w:t xml:space="preserve"> </w:t>
      </w:r>
      <w:proofErr w:type="spellStart"/>
      <w:r w:rsidRPr="003F2730">
        <w:rPr>
          <w:rFonts w:eastAsiaTheme="minorEastAsia"/>
        </w:rPr>
        <w:t>St</w:t>
      </w:r>
      <w:r w:rsidRPr="003F2730">
        <w:rPr>
          <w:rFonts w:eastAsiaTheme="minorEastAsia"/>
          <w:spacing w:val="1"/>
        </w:rPr>
        <w:t>a</w:t>
      </w:r>
      <w:r w:rsidRPr="003F2730">
        <w:rPr>
          <w:rFonts w:eastAsiaTheme="minorEastAsia"/>
        </w:rPr>
        <w:t>puloni</w:t>
      </w:r>
      <w:r w:rsidRPr="003F2730">
        <w:rPr>
          <w:rFonts w:eastAsiaTheme="minorEastAsia"/>
          <w:spacing w:val="-1"/>
        </w:rPr>
        <w:t>s</w:t>
      </w:r>
      <w:proofErr w:type="spellEnd"/>
      <w:r w:rsidRPr="003F2730">
        <w:rPr>
          <w:rFonts w:eastAsiaTheme="minorEastAsia"/>
        </w:rPr>
        <w:t>,</w:t>
      </w:r>
      <w:r w:rsidRPr="003F2730">
        <w:rPr>
          <w:rFonts w:eastAsiaTheme="minorEastAsia"/>
          <w:spacing w:val="-4"/>
        </w:rPr>
        <w:t xml:space="preserve"> </w:t>
      </w:r>
      <w:r w:rsidRPr="003F2730">
        <w:rPr>
          <w:rFonts w:eastAsiaTheme="minorEastAsia"/>
          <w:spacing w:val="1"/>
        </w:rPr>
        <w:t>R</w:t>
      </w:r>
      <w:r w:rsidRPr="003F2730">
        <w:rPr>
          <w:rFonts w:eastAsiaTheme="minorEastAsia"/>
        </w:rPr>
        <w:t>.</w:t>
      </w:r>
      <w:r w:rsidRPr="003F2730">
        <w:rPr>
          <w:rFonts w:eastAsiaTheme="minorEastAsia"/>
          <w:spacing w:val="-1"/>
        </w:rPr>
        <w:t>B</w:t>
      </w:r>
      <w:r w:rsidRPr="003F2730">
        <w:rPr>
          <w:rFonts w:eastAsiaTheme="minorEastAsia"/>
        </w:rPr>
        <w:t>.</w:t>
      </w:r>
      <w:r w:rsidRPr="003F2730">
        <w:rPr>
          <w:rFonts w:eastAsiaTheme="minorEastAsia"/>
          <w:spacing w:val="-3"/>
        </w:rPr>
        <w:t xml:space="preserve"> </w:t>
      </w:r>
      <w:r w:rsidRPr="003F2730">
        <w:rPr>
          <w:rFonts w:eastAsiaTheme="minorEastAsia"/>
        </w:rPr>
        <w:t>Ol</w:t>
      </w:r>
      <w:r w:rsidRPr="003F2730">
        <w:rPr>
          <w:rFonts w:eastAsiaTheme="minorEastAsia"/>
          <w:spacing w:val="-1"/>
        </w:rPr>
        <w:t>s</w:t>
      </w:r>
      <w:r w:rsidRPr="003F2730">
        <w:rPr>
          <w:rFonts w:eastAsiaTheme="minorEastAsia"/>
          <w:spacing w:val="1"/>
        </w:rPr>
        <w:t>e</w:t>
      </w:r>
      <w:r w:rsidRPr="003F2730">
        <w:rPr>
          <w:rFonts w:eastAsiaTheme="minorEastAsia"/>
        </w:rPr>
        <w:t>n,</w:t>
      </w:r>
      <w:r w:rsidRPr="003F2730">
        <w:rPr>
          <w:rFonts w:eastAsiaTheme="minorEastAsia"/>
          <w:spacing w:val="-3"/>
        </w:rPr>
        <w:t xml:space="preserve"> </w:t>
      </w:r>
      <w:r w:rsidRPr="003F2730">
        <w:rPr>
          <w:rFonts w:eastAsiaTheme="minorEastAsia"/>
          <w:spacing w:val="-1"/>
        </w:rPr>
        <w:t>M</w:t>
      </w:r>
      <w:r w:rsidRPr="003F2730">
        <w:rPr>
          <w:rFonts w:eastAsiaTheme="minorEastAsia"/>
        </w:rPr>
        <w:t>.D.</w:t>
      </w:r>
      <w:r w:rsidRPr="003F2730">
        <w:rPr>
          <w:rFonts w:eastAsiaTheme="minorEastAsia"/>
          <w:spacing w:val="-3"/>
        </w:rPr>
        <w:t xml:space="preserve"> </w:t>
      </w:r>
      <w:proofErr w:type="spellStart"/>
      <w:r w:rsidRPr="003F2730">
        <w:rPr>
          <w:rFonts w:eastAsiaTheme="minorEastAsia"/>
        </w:rPr>
        <w:t>Kov</w:t>
      </w:r>
      <w:r w:rsidRPr="003F2730">
        <w:rPr>
          <w:rFonts w:eastAsiaTheme="minorEastAsia"/>
          <w:spacing w:val="1"/>
        </w:rPr>
        <w:t>ac</w:t>
      </w:r>
      <w:proofErr w:type="spellEnd"/>
      <w:r w:rsidRPr="003F2730">
        <w:rPr>
          <w:rFonts w:eastAsiaTheme="minorEastAsia"/>
        </w:rPr>
        <w:t>,</w:t>
      </w:r>
      <w:r w:rsidRPr="003F2730">
        <w:rPr>
          <w:rFonts w:eastAsiaTheme="minorEastAsia"/>
          <w:spacing w:val="-6"/>
        </w:rPr>
        <w:t xml:space="preserve"> </w:t>
      </w:r>
      <w:r w:rsidRPr="003F2730">
        <w:rPr>
          <w:rFonts w:eastAsiaTheme="minorEastAsia"/>
          <w:spacing w:val="-1"/>
        </w:rPr>
        <w:t>M</w:t>
      </w:r>
      <w:r w:rsidRPr="003F2730">
        <w:rPr>
          <w:rFonts w:eastAsiaTheme="minorEastAsia"/>
        </w:rPr>
        <w:t>.</w:t>
      </w:r>
      <w:r w:rsidRPr="003F2730">
        <w:rPr>
          <w:rFonts w:eastAsiaTheme="minorEastAsia"/>
          <w:spacing w:val="1"/>
        </w:rPr>
        <w:t>R</w:t>
      </w:r>
      <w:r w:rsidRPr="003F2730">
        <w:rPr>
          <w:rFonts w:eastAsiaTheme="minorEastAsia"/>
        </w:rPr>
        <w:t>.</w:t>
      </w:r>
      <w:r w:rsidRPr="003F2730">
        <w:rPr>
          <w:rFonts w:eastAsiaTheme="minorEastAsia"/>
          <w:spacing w:val="-1"/>
        </w:rPr>
        <w:t xml:space="preserve"> </w:t>
      </w:r>
      <w:r w:rsidRPr="003F2730">
        <w:rPr>
          <w:rFonts w:eastAsiaTheme="minorEastAsia"/>
        </w:rPr>
        <w:t>Di</w:t>
      </w:r>
      <w:r w:rsidRPr="003F2730">
        <w:rPr>
          <w:rFonts w:eastAsiaTheme="minorEastAsia"/>
          <w:spacing w:val="-2"/>
        </w:rPr>
        <w:t>o</w:t>
      </w:r>
      <w:r w:rsidRPr="003F2730">
        <w:rPr>
          <w:rFonts w:eastAsiaTheme="minorEastAsia"/>
        </w:rPr>
        <w:t>n,</w:t>
      </w:r>
      <w:r w:rsidRPr="003F2730">
        <w:rPr>
          <w:rFonts w:eastAsiaTheme="minorEastAsia"/>
          <w:spacing w:val="-2"/>
        </w:rPr>
        <w:t xml:space="preserve"> </w:t>
      </w:r>
      <w:r w:rsidRPr="003F2730">
        <w:rPr>
          <w:rFonts w:eastAsiaTheme="minorEastAsia"/>
          <w:spacing w:val="1"/>
        </w:rPr>
        <w:t>a</w:t>
      </w:r>
      <w:r w:rsidRPr="003F2730">
        <w:rPr>
          <w:rFonts w:eastAsiaTheme="minorEastAsia"/>
        </w:rPr>
        <w:t xml:space="preserve">nd </w:t>
      </w:r>
      <w:r w:rsidRPr="003F2730">
        <w:rPr>
          <w:rFonts w:eastAsiaTheme="minorEastAsia"/>
          <w:spacing w:val="1"/>
        </w:rPr>
        <w:t>A</w:t>
      </w:r>
      <w:r w:rsidRPr="003F2730">
        <w:rPr>
          <w:rFonts w:eastAsiaTheme="minorEastAsia"/>
        </w:rPr>
        <w:t>.</w:t>
      </w:r>
      <w:r w:rsidR="00032084">
        <w:rPr>
          <w:rFonts w:eastAsiaTheme="minorEastAsia"/>
        </w:rPr>
        <w:t> </w:t>
      </w:r>
      <w:proofErr w:type="spellStart"/>
      <w:r w:rsidRPr="003F2730">
        <w:rPr>
          <w:rFonts w:eastAsiaTheme="minorEastAsia"/>
          <w:spacing w:val="-1"/>
        </w:rPr>
        <w:t>R</w:t>
      </w:r>
      <w:r w:rsidRPr="003F2730">
        <w:rPr>
          <w:rFonts w:eastAsiaTheme="minorEastAsia"/>
          <w:spacing w:val="1"/>
        </w:rPr>
        <w:t>a</w:t>
      </w:r>
      <w:r w:rsidRPr="003F2730">
        <w:rPr>
          <w:rFonts w:eastAsiaTheme="minorEastAsia"/>
        </w:rPr>
        <w:t>n</w:t>
      </w:r>
      <w:r w:rsidRPr="003F2730">
        <w:rPr>
          <w:rFonts w:eastAsiaTheme="minorEastAsia"/>
          <w:spacing w:val="1"/>
        </w:rPr>
        <w:t>ga</w:t>
      </w:r>
      <w:r w:rsidRPr="003F2730">
        <w:rPr>
          <w:rFonts w:eastAsiaTheme="minorEastAsia"/>
          <w:spacing w:val="-1"/>
        </w:rPr>
        <w:t>r</w:t>
      </w:r>
      <w:r w:rsidRPr="003F2730">
        <w:rPr>
          <w:rFonts w:eastAsiaTheme="minorEastAsia"/>
          <w:spacing w:val="1"/>
        </w:rPr>
        <w:t>a</w:t>
      </w:r>
      <w:r w:rsidRPr="003F2730">
        <w:rPr>
          <w:rFonts w:eastAsiaTheme="minorEastAsia"/>
          <w:spacing w:val="-2"/>
        </w:rPr>
        <w:t>j</w:t>
      </w:r>
      <w:r w:rsidRPr="003F2730">
        <w:rPr>
          <w:rFonts w:eastAsiaTheme="minorEastAsia"/>
          <w:spacing w:val="1"/>
        </w:rPr>
        <w:t>a</w:t>
      </w:r>
      <w:r w:rsidRPr="003F2730">
        <w:rPr>
          <w:rFonts w:eastAsiaTheme="minorEastAsia"/>
        </w:rPr>
        <w:t>n</w:t>
      </w:r>
      <w:proofErr w:type="spellEnd"/>
      <w:r w:rsidRPr="003F2730">
        <w:rPr>
          <w:rFonts w:eastAsiaTheme="minorEastAsia"/>
        </w:rPr>
        <w:t>.</w:t>
      </w:r>
      <w:r>
        <w:rPr>
          <w:rFonts w:eastAsiaTheme="minorEastAsia"/>
        </w:rPr>
        <w:t xml:space="preserve"> </w:t>
      </w:r>
      <w:r w:rsidRPr="003F2730">
        <w:rPr>
          <w:rFonts w:eastAsiaTheme="minorEastAsia"/>
          <w:spacing w:val="1"/>
        </w:rPr>
        <w:t>“</w:t>
      </w:r>
      <w:r w:rsidRPr="003F2730">
        <w:rPr>
          <w:rFonts w:eastAsiaTheme="minorEastAsia"/>
          <w:spacing w:val="-1"/>
        </w:rPr>
        <w:t>T</w:t>
      </w:r>
      <w:r w:rsidRPr="003F2730">
        <w:rPr>
          <w:rFonts w:eastAsiaTheme="minorEastAsia"/>
        </w:rPr>
        <w:t>he</w:t>
      </w:r>
      <w:r w:rsidRPr="003F2730">
        <w:rPr>
          <w:rFonts w:eastAsiaTheme="minorEastAsia"/>
          <w:spacing w:val="-1"/>
        </w:rPr>
        <w:t xml:space="preserve"> </w:t>
      </w:r>
      <w:r w:rsidRPr="003F2730">
        <w:rPr>
          <w:rFonts w:eastAsiaTheme="minorEastAsia"/>
          <w:spacing w:val="1"/>
        </w:rPr>
        <w:t>E</w:t>
      </w:r>
      <w:r w:rsidRPr="003F2730">
        <w:rPr>
          <w:rFonts w:eastAsiaTheme="minorEastAsia"/>
        </w:rPr>
        <w:t>v</w:t>
      </w:r>
      <w:r w:rsidRPr="003F2730">
        <w:rPr>
          <w:rFonts w:eastAsiaTheme="minorEastAsia"/>
          <w:spacing w:val="1"/>
        </w:rPr>
        <w:t>a</w:t>
      </w:r>
      <w:r w:rsidRPr="003F2730">
        <w:rPr>
          <w:rFonts w:eastAsiaTheme="minorEastAsia"/>
        </w:rPr>
        <w:t>lu</w:t>
      </w:r>
      <w:r w:rsidRPr="003F2730">
        <w:rPr>
          <w:rFonts w:eastAsiaTheme="minorEastAsia"/>
          <w:spacing w:val="1"/>
        </w:rPr>
        <w:t>a</w:t>
      </w:r>
      <w:r w:rsidRPr="003F2730">
        <w:rPr>
          <w:rFonts w:eastAsiaTheme="minorEastAsia"/>
        </w:rPr>
        <w:t>tion</w:t>
      </w:r>
      <w:r w:rsidRPr="003F2730">
        <w:rPr>
          <w:rFonts w:eastAsiaTheme="minorEastAsia"/>
          <w:spacing w:val="-4"/>
        </w:rPr>
        <w:t xml:space="preserve"> </w:t>
      </w:r>
      <w:r w:rsidRPr="003F2730">
        <w:rPr>
          <w:rFonts w:eastAsiaTheme="minorEastAsia"/>
        </w:rPr>
        <w:t>of</w:t>
      </w:r>
      <w:r w:rsidRPr="003F2730">
        <w:rPr>
          <w:rFonts w:eastAsiaTheme="minorEastAsia"/>
          <w:spacing w:val="-1"/>
        </w:rPr>
        <w:t xml:space="preserve"> W</w:t>
      </w:r>
      <w:r w:rsidRPr="003F2730">
        <w:rPr>
          <w:rFonts w:eastAsiaTheme="minorEastAsia"/>
          <w:spacing w:val="1"/>
        </w:rPr>
        <w:t>e</w:t>
      </w:r>
      <w:r w:rsidRPr="003F2730">
        <w:rPr>
          <w:rFonts w:eastAsiaTheme="minorEastAsia"/>
        </w:rPr>
        <w:t>l</w:t>
      </w:r>
      <w:r w:rsidRPr="003F2730">
        <w:rPr>
          <w:rFonts w:eastAsiaTheme="minorEastAsia"/>
          <w:spacing w:val="-1"/>
        </w:rPr>
        <w:t>far</w:t>
      </w:r>
      <w:r w:rsidRPr="003F2730">
        <w:rPr>
          <w:rFonts w:eastAsiaTheme="minorEastAsia"/>
        </w:rPr>
        <w:t xml:space="preserve">e </w:t>
      </w:r>
      <w:r w:rsidRPr="003F2730">
        <w:rPr>
          <w:rFonts w:eastAsiaTheme="minorEastAsia"/>
          <w:spacing w:val="1"/>
        </w:rPr>
        <w:t>Re</w:t>
      </w:r>
      <w:r w:rsidRPr="003F2730">
        <w:rPr>
          <w:rFonts w:eastAsiaTheme="minorEastAsia"/>
          <w:spacing w:val="-1"/>
        </w:rPr>
        <w:t>f</w:t>
      </w:r>
      <w:r w:rsidRPr="003F2730">
        <w:rPr>
          <w:rFonts w:eastAsiaTheme="minorEastAsia"/>
        </w:rPr>
        <w:t>o</w:t>
      </w:r>
      <w:r w:rsidRPr="003F2730">
        <w:rPr>
          <w:rFonts w:eastAsiaTheme="minorEastAsia"/>
          <w:spacing w:val="-1"/>
        </w:rPr>
        <w:t>r</w:t>
      </w:r>
      <w:r w:rsidRPr="003F2730">
        <w:rPr>
          <w:rFonts w:eastAsiaTheme="minorEastAsia"/>
        </w:rPr>
        <w:t>m</w:t>
      </w:r>
      <w:r w:rsidRPr="003F2730">
        <w:rPr>
          <w:rFonts w:eastAsiaTheme="minorEastAsia"/>
          <w:spacing w:val="-4"/>
        </w:rPr>
        <w:t xml:space="preserve"> </w:t>
      </w:r>
      <w:r w:rsidRPr="003F2730">
        <w:rPr>
          <w:rFonts w:eastAsiaTheme="minorEastAsia"/>
        </w:rPr>
        <w:t xml:space="preserve">in </w:t>
      </w:r>
      <w:r w:rsidRPr="003F2730">
        <w:rPr>
          <w:rFonts w:eastAsiaTheme="minorEastAsia"/>
          <w:spacing w:val="-1"/>
        </w:rPr>
        <w:t>I</w:t>
      </w:r>
      <w:r w:rsidRPr="003F2730">
        <w:rPr>
          <w:rFonts w:eastAsiaTheme="minorEastAsia"/>
        </w:rPr>
        <w:t>o</w:t>
      </w:r>
      <w:r w:rsidRPr="003F2730">
        <w:rPr>
          <w:rFonts w:eastAsiaTheme="minorEastAsia"/>
          <w:spacing w:val="1"/>
        </w:rPr>
        <w:t>wa</w:t>
      </w:r>
      <w:r w:rsidRPr="003F2730">
        <w:rPr>
          <w:rFonts w:eastAsiaTheme="minorEastAsia"/>
        </w:rPr>
        <w:t>:</w:t>
      </w:r>
      <w:r w:rsidRPr="003F2730">
        <w:rPr>
          <w:rFonts w:eastAsiaTheme="minorEastAsia"/>
          <w:spacing w:val="-3"/>
        </w:rPr>
        <w:t xml:space="preserve"> </w:t>
      </w:r>
      <w:r w:rsidRPr="003F2730">
        <w:rPr>
          <w:rFonts w:eastAsiaTheme="minorEastAsia"/>
          <w:spacing w:val="-1"/>
        </w:rPr>
        <w:t>F</w:t>
      </w:r>
      <w:r w:rsidRPr="003F2730">
        <w:rPr>
          <w:rFonts w:eastAsiaTheme="minorEastAsia"/>
        </w:rPr>
        <w:t>in</w:t>
      </w:r>
      <w:r w:rsidRPr="003F2730">
        <w:rPr>
          <w:rFonts w:eastAsiaTheme="minorEastAsia"/>
          <w:spacing w:val="1"/>
        </w:rPr>
        <w:t>a</w:t>
      </w:r>
      <w:r w:rsidRPr="003F2730">
        <w:rPr>
          <w:rFonts w:eastAsiaTheme="minorEastAsia"/>
        </w:rPr>
        <w:t>l</w:t>
      </w:r>
      <w:r w:rsidRPr="003F2730">
        <w:rPr>
          <w:rFonts w:eastAsiaTheme="minorEastAsia"/>
          <w:spacing w:val="-1"/>
        </w:rPr>
        <w:t xml:space="preserve"> I</w:t>
      </w:r>
      <w:r w:rsidRPr="003F2730">
        <w:rPr>
          <w:rFonts w:eastAsiaTheme="minorEastAsia"/>
        </w:rPr>
        <w:t>mp</w:t>
      </w:r>
      <w:r w:rsidRPr="003F2730">
        <w:rPr>
          <w:rFonts w:eastAsiaTheme="minorEastAsia"/>
          <w:spacing w:val="1"/>
        </w:rPr>
        <w:t>ac</w:t>
      </w:r>
      <w:r w:rsidRPr="003F2730">
        <w:rPr>
          <w:rFonts w:eastAsiaTheme="minorEastAsia"/>
        </w:rPr>
        <w:t>t</w:t>
      </w:r>
      <w:r w:rsidRPr="003F2730">
        <w:rPr>
          <w:rFonts w:eastAsiaTheme="minorEastAsia"/>
          <w:spacing w:val="-2"/>
        </w:rPr>
        <w:t xml:space="preserve"> </w:t>
      </w:r>
      <w:r w:rsidRPr="003F2730">
        <w:rPr>
          <w:rFonts w:eastAsiaTheme="minorEastAsia"/>
          <w:spacing w:val="1"/>
        </w:rPr>
        <w:t>Re</w:t>
      </w:r>
      <w:r w:rsidRPr="003F2730">
        <w:rPr>
          <w:rFonts w:eastAsiaTheme="minorEastAsia"/>
        </w:rPr>
        <w:t>po</w:t>
      </w:r>
      <w:r w:rsidRPr="003F2730">
        <w:rPr>
          <w:rFonts w:eastAsiaTheme="minorEastAsia"/>
          <w:spacing w:val="-1"/>
        </w:rPr>
        <w:t>r</w:t>
      </w:r>
      <w:r w:rsidRPr="003F2730">
        <w:rPr>
          <w:rFonts w:eastAsiaTheme="minorEastAsia"/>
        </w:rPr>
        <w:t>t</w:t>
      </w:r>
      <w:r w:rsidRPr="003F2730">
        <w:rPr>
          <w:rFonts w:eastAsiaTheme="minorEastAsia"/>
          <w:i/>
          <w:iCs/>
        </w:rPr>
        <w:t>.</w:t>
      </w:r>
      <w:r w:rsidRPr="003F2730">
        <w:rPr>
          <w:rFonts w:eastAsiaTheme="minorEastAsia"/>
        </w:rPr>
        <w:t>”</w:t>
      </w:r>
      <w:r w:rsidRPr="003F2730">
        <w:rPr>
          <w:rFonts w:eastAsiaTheme="minorEastAsia"/>
          <w:spacing w:val="-5"/>
        </w:rPr>
        <w:t xml:space="preserve"> </w:t>
      </w:r>
      <w:r w:rsidRPr="003F2730">
        <w:rPr>
          <w:rFonts w:eastAsiaTheme="minorEastAsia"/>
          <w:spacing w:val="1"/>
        </w:rPr>
        <w:t>Wa</w:t>
      </w:r>
      <w:r w:rsidRPr="003F2730">
        <w:rPr>
          <w:rFonts w:eastAsiaTheme="minorEastAsia"/>
          <w:spacing w:val="-1"/>
        </w:rPr>
        <w:t>s</w:t>
      </w:r>
      <w:r w:rsidRPr="003F2730">
        <w:rPr>
          <w:rFonts w:eastAsiaTheme="minorEastAsia"/>
        </w:rPr>
        <w:t>hing</w:t>
      </w:r>
      <w:r w:rsidRPr="003F2730">
        <w:rPr>
          <w:rFonts w:eastAsiaTheme="minorEastAsia"/>
          <w:spacing w:val="-3"/>
        </w:rPr>
        <w:t>t</w:t>
      </w:r>
      <w:r w:rsidRPr="003F2730">
        <w:rPr>
          <w:rFonts w:eastAsiaTheme="minorEastAsia"/>
        </w:rPr>
        <w:t>on,</w:t>
      </w:r>
      <w:r w:rsidRPr="003F2730">
        <w:rPr>
          <w:rFonts w:eastAsiaTheme="minorEastAsia"/>
          <w:spacing w:val="-2"/>
        </w:rPr>
        <w:t xml:space="preserve"> </w:t>
      </w:r>
      <w:r w:rsidRPr="003F2730">
        <w:rPr>
          <w:rFonts w:eastAsiaTheme="minorEastAsia"/>
        </w:rPr>
        <w:t>D</w:t>
      </w:r>
      <w:r w:rsidRPr="003F2730">
        <w:rPr>
          <w:rFonts w:eastAsiaTheme="minorEastAsia"/>
          <w:spacing w:val="1"/>
        </w:rPr>
        <w:t>C</w:t>
      </w:r>
      <w:r w:rsidRPr="003F2730">
        <w:rPr>
          <w:rFonts w:eastAsiaTheme="minorEastAsia"/>
          <w:i/>
          <w:iCs/>
        </w:rPr>
        <w:t>:</w:t>
      </w:r>
      <w:r>
        <w:rPr>
          <w:rFonts w:eastAsiaTheme="minorEastAsia"/>
          <w:i/>
          <w:iCs/>
        </w:rPr>
        <w:t xml:space="preserve"> </w:t>
      </w:r>
      <w:r w:rsidRPr="003F2730">
        <w:rPr>
          <w:rFonts w:eastAsiaTheme="minorEastAsia"/>
          <w:spacing w:val="-1"/>
        </w:rPr>
        <w:t>M</w:t>
      </w:r>
      <w:r w:rsidRPr="003F2730">
        <w:rPr>
          <w:rFonts w:eastAsiaTheme="minorEastAsia"/>
          <w:spacing w:val="1"/>
        </w:rPr>
        <w:t>a</w:t>
      </w:r>
      <w:r w:rsidRPr="003F2730">
        <w:rPr>
          <w:rFonts w:eastAsiaTheme="minorEastAsia"/>
        </w:rPr>
        <w:t>th</w:t>
      </w:r>
      <w:r w:rsidRPr="003F2730">
        <w:rPr>
          <w:rFonts w:eastAsiaTheme="minorEastAsia"/>
          <w:spacing w:val="1"/>
        </w:rPr>
        <w:t>e</w:t>
      </w:r>
      <w:r w:rsidRPr="003F2730">
        <w:rPr>
          <w:rFonts w:eastAsiaTheme="minorEastAsia"/>
        </w:rPr>
        <w:t>m</w:t>
      </w:r>
      <w:r w:rsidRPr="003F2730">
        <w:rPr>
          <w:rFonts w:eastAsiaTheme="minorEastAsia"/>
          <w:spacing w:val="1"/>
        </w:rPr>
        <w:t>a</w:t>
      </w:r>
      <w:r w:rsidRPr="003F2730">
        <w:rPr>
          <w:rFonts w:eastAsiaTheme="minorEastAsia"/>
        </w:rPr>
        <w:t>ti</w:t>
      </w:r>
      <w:r w:rsidRPr="003F2730">
        <w:rPr>
          <w:rFonts w:eastAsiaTheme="minorEastAsia"/>
          <w:spacing w:val="1"/>
        </w:rPr>
        <w:t>c</w:t>
      </w:r>
      <w:r w:rsidRPr="003F2730">
        <w:rPr>
          <w:rFonts w:eastAsiaTheme="minorEastAsia"/>
        </w:rPr>
        <w:t>a</w:t>
      </w:r>
      <w:r w:rsidRPr="003F2730">
        <w:rPr>
          <w:rFonts w:eastAsiaTheme="minorEastAsia"/>
          <w:spacing w:val="-6"/>
        </w:rPr>
        <w:t xml:space="preserve"> </w:t>
      </w:r>
      <w:r w:rsidRPr="003F2730">
        <w:rPr>
          <w:rFonts w:eastAsiaTheme="minorEastAsia"/>
          <w:spacing w:val="-1"/>
        </w:rPr>
        <w:t>P</w:t>
      </w:r>
      <w:r w:rsidRPr="003F2730">
        <w:rPr>
          <w:rFonts w:eastAsiaTheme="minorEastAsia"/>
        </w:rPr>
        <w:t>oli</w:t>
      </w:r>
      <w:r w:rsidRPr="003F2730">
        <w:rPr>
          <w:rFonts w:eastAsiaTheme="minorEastAsia"/>
          <w:spacing w:val="-2"/>
        </w:rPr>
        <w:t>c</w:t>
      </w:r>
      <w:r w:rsidRPr="003F2730">
        <w:rPr>
          <w:rFonts w:eastAsiaTheme="minorEastAsia"/>
        </w:rPr>
        <w:t>y</w:t>
      </w:r>
      <w:r w:rsidRPr="003F2730">
        <w:rPr>
          <w:rFonts w:eastAsiaTheme="minorEastAsia"/>
          <w:spacing w:val="-2"/>
        </w:rPr>
        <w:t xml:space="preserve"> </w:t>
      </w:r>
      <w:r w:rsidRPr="003F2730">
        <w:rPr>
          <w:rFonts w:eastAsiaTheme="minorEastAsia"/>
          <w:spacing w:val="-1"/>
        </w:rPr>
        <w:t>R</w:t>
      </w:r>
      <w:r w:rsidRPr="003F2730">
        <w:rPr>
          <w:rFonts w:eastAsiaTheme="minorEastAsia"/>
          <w:spacing w:val="1"/>
        </w:rPr>
        <w:t>e</w:t>
      </w:r>
      <w:r w:rsidRPr="003F2730">
        <w:rPr>
          <w:rFonts w:eastAsiaTheme="minorEastAsia"/>
          <w:spacing w:val="-1"/>
        </w:rPr>
        <w:t>s</w:t>
      </w:r>
      <w:r w:rsidRPr="003F2730">
        <w:rPr>
          <w:rFonts w:eastAsiaTheme="minorEastAsia"/>
          <w:spacing w:val="1"/>
        </w:rPr>
        <w:t>e</w:t>
      </w:r>
      <w:r w:rsidRPr="003F2730">
        <w:rPr>
          <w:rFonts w:eastAsiaTheme="minorEastAsia"/>
          <w:spacing w:val="-2"/>
        </w:rPr>
        <w:t>a</w:t>
      </w:r>
      <w:r w:rsidRPr="003F2730">
        <w:rPr>
          <w:rFonts w:eastAsiaTheme="minorEastAsia"/>
          <w:spacing w:val="-1"/>
        </w:rPr>
        <w:t>r</w:t>
      </w:r>
      <w:r w:rsidRPr="003F2730">
        <w:rPr>
          <w:rFonts w:eastAsiaTheme="minorEastAsia"/>
          <w:spacing w:val="1"/>
        </w:rPr>
        <w:t>c</w:t>
      </w:r>
      <w:r w:rsidRPr="003F2730">
        <w:rPr>
          <w:rFonts w:eastAsiaTheme="minorEastAsia"/>
        </w:rPr>
        <w:t>h,</w:t>
      </w:r>
      <w:r w:rsidRPr="003F2730">
        <w:rPr>
          <w:rFonts w:eastAsiaTheme="minorEastAsia"/>
          <w:spacing w:val="-4"/>
        </w:rPr>
        <w:t xml:space="preserve"> </w:t>
      </w:r>
      <w:r w:rsidRPr="003F2730">
        <w:rPr>
          <w:rFonts w:eastAsiaTheme="minorEastAsia"/>
        </w:rPr>
        <w:t>2001.</w:t>
      </w:r>
    </w:p>
    <w:p w:rsidR="00822B5F" w:rsidRPr="000A452B" w:rsidRDefault="00822B5F" w:rsidP="00822B5F">
      <w:pPr>
        <w:pStyle w:val="References"/>
      </w:pPr>
      <w:r w:rsidRPr="000A452B">
        <w:t xml:space="preserve">Mercer, A., </w:t>
      </w:r>
      <w:r>
        <w:t xml:space="preserve">A. </w:t>
      </w:r>
      <w:proofErr w:type="spellStart"/>
      <w:r w:rsidRPr="000A452B">
        <w:t>Caporaso</w:t>
      </w:r>
      <w:proofErr w:type="spellEnd"/>
      <w:r w:rsidRPr="000A452B">
        <w:t xml:space="preserve">, </w:t>
      </w:r>
      <w:r>
        <w:t xml:space="preserve">D. </w:t>
      </w:r>
      <w:r w:rsidRPr="000A452B">
        <w:t xml:space="preserve">Cantor, and </w:t>
      </w:r>
      <w:r>
        <w:t xml:space="preserve">R. </w:t>
      </w:r>
      <w:r w:rsidRPr="000A452B">
        <w:t xml:space="preserve">Townsend, R. </w:t>
      </w:r>
      <w:r>
        <w:t>“</w:t>
      </w:r>
      <w:r w:rsidRPr="000A452B">
        <w:t xml:space="preserve">How Much Gets You How Much? </w:t>
      </w:r>
      <w:proofErr w:type="gramStart"/>
      <w:r w:rsidRPr="000A452B">
        <w:t>Monetary Incentives and Response Rates in Household Surveys.</w:t>
      </w:r>
      <w:r>
        <w:t>”</w:t>
      </w:r>
      <w:proofErr w:type="gramEnd"/>
      <w:r w:rsidRPr="000A452B">
        <w:t xml:space="preserve"> </w:t>
      </w:r>
      <w:proofErr w:type="gramStart"/>
      <w:r w:rsidRPr="000A452B">
        <w:rPr>
          <w:i/>
        </w:rPr>
        <w:t>Public Opinion Quarterly</w:t>
      </w:r>
      <w:r w:rsidRPr="000A452B">
        <w:t xml:space="preserve">, </w:t>
      </w:r>
      <w:r>
        <w:t xml:space="preserve">2015, vol. </w:t>
      </w:r>
      <w:r w:rsidRPr="000A452B">
        <w:t xml:space="preserve">79 (1), </w:t>
      </w:r>
      <w:r>
        <w:t>pp.</w:t>
      </w:r>
      <w:r w:rsidRPr="000A452B">
        <w:t>105-129.</w:t>
      </w:r>
      <w:proofErr w:type="gramEnd"/>
    </w:p>
    <w:p w:rsidR="00BD1E52" w:rsidRDefault="00BD1E52" w:rsidP="00032084">
      <w:pPr>
        <w:pStyle w:val="References"/>
      </w:pPr>
      <w:proofErr w:type="gramStart"/>
      <w:r>
        <w:t xml:space="preserve">Singer, E., and R.A. </w:t>
      </w:r>
      <w:proofErr w:type="spellStart"/>
      <w:r>
        <w:t>Kulka</w:t>
      </w:r>
      <w:proofErr w:type="spellEnd"/>
      <w:r>
        <w:t>.</w:t>
      </w:r>
      <w:proofErr w:type="gramEnd"/>
      <w:r>
        <w:t xml:space="preserve"> </w:t>
      </w:r>
      <w:proofErr w:type="gramStart"/>
      <w:r>
        <w:t>“Paying Respondents for Survey Participation.”</w:t>
      </w:r>
      <w:proofErr w:type="gramEnd"/>
      <w:r>
        <w:t xml:space="preserve"> In </w:t>
      </w:r>
      <w:r w:rsidRPr="007C02E5">
        <w:rPr>
          <w:i/>
        </w:rPr>
        <w:t xml:space="preserve">Studies of Welfare Populations: Data Collection and Research Issues. </w:t>
      </w:r>
      <w:proofErr w:type="gramStart"/>
      <w:r w:rsidRPr="007C02E5">
        <w:rPr>
          <w:i/>
        </w:rPr>
        <w:t>Panel on Data and Methods for Measuring the Effects of Changes in Social Welfare Programs,</w:t>
      </w:r>
      <w:r>
        <w:t xml:space="preserve"> edited by Michele Ver</w:t>
      </w:r>
      <w:r w:rsidR="00032084">
        <w:t> </w:t>
      </w:r>
      <w:r>
        <w:t xml:space="preserve">Ploeg, Robert A. Moffitt, and Constance F. </w:t>
      </w:r>
      <w:proofErr w:type="spellStart"/>
      <w:r>
        <w:t>Citro</w:t>
      </w:r>
      <w:proofErr w:type="spellEnd"/>
      <w:r>
        <w:t>.</w:t>
      </w:r>
      <w:proofErr w:type="gramEnd"/>
      <w:r>
        <w:t xml:space="preserve"> </w:t>
      </w:r>
      <w:proofErr w:type="gramStart"/>
      <w:r>
        <w:t>Committee on National Statistics, Division of Behavioral and Social Sciences and Education.</w:t>
      </w:r>
      <w:proofErr w:type="gramEnd"/>
      <w:r>
        <w:t xml:space="preserve"> Washington, DC: National Academy Press, 2002, pp. 105–128.</w:t>
      </w:r>
    </w:p>
    <w:p w:rsidR="00923BAF" w:rsidRPr="00155D06" w:rsidRDefault="009E701D" w:rsidP="0067739E">
      <w:pPr>
        <w:pStyle w:val="References"/>
      </w:pPr>
      <w:proofErr w:type="gramStart"/>
      <w:r>
        <w:t>Singer, E., R.M. Groves, and A.D. Corning.</w:t>
      </w:r>
      <w:proofErr w:type="gramEnd"/>
      <w:r>
        <w:t xml:space="preserve"> “Differential Incentives: Beliefs </w:t>
      </w:r>
      <w:proofErr w:type="gramStart"/>
      <w:r>
        <w:t>About</w:t>
      </w:r>
      <w:proofErr w:type="gramEnd"/>
      <w:r>
        <w:t xml:space="preserve"> Practices, Perceptions of Equity, and Effects on Survey Participation.” </w:t>
      </w:r>
      <w:r w:rsidRPr="007C02E5">
        <w:rPr>
          <w:i/>
        </w:rPr>
        <w:t>Public Opinion Quarterly</w:t>
      </w:r>
      <w:r>
        <w:t>, vol.</w:t>
      </w:r>
      <w:r w:rsidR="00032084">
        <w:t> </w:t>
      </w:r>
      <w:r>
        <w:t>63, 1999, pp. 251–260.</w:t>
      </w:r>
    </w:p>
    <w:sectPr w:rsidR="00923BAF" w:rsidRPr="00155D06" w:rsidSect="000E4C3F">
      <w:headerReference w:type="default" r:id="rId25"/>
      <w:footerReference w:type="default" r:id="rId2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06D761" w15:done="0"/>
  <w15:commentEx w15:paraId="1DC8F42F" w15:done="0"/>
  <w15:commentEx w15:paraId="06305928" w15:done="0"/>
  <w15:commentEx w15:paraId="00DCAE26" w15:done="0"/>
  <w15:commentEx w15:paraId="6C1733CA" w15:done="0"/>
  <w15:commentEx w15:paraId="32D1A12A" w15:paraIdParent="6C1733CA" w15:done="0"/>
  <w15:commentEx w15:paraId="27833779" w15:done="0"/>
  <w15:commentEx w15:paraId="35C0B596" w15:done="0"/>
  <w15:commentEx w15:paraId="4E7EB401" w15:done="0"/>
  <w15:commentEx w15:paraId="05D6A31C" w15:done="0"/>
  <w15:commentEx w15:paraId="4801980A" w15:done="0"/>
  <w15:commentEx w15:paraId="717EEE83" w15:paraIdParent="4801980A" w15:done="0"/>
  <w15:commentEx w15:paraId="6A75F6F8" w15:done="0"/>
  <w15:commentEx w15:paraId="2991DFEB" w15:done="0"/>
  <w15:commentEx w15:paraId="51DE4B8B" w15:done="0"/>
  <w15:commentEx w15:paraId="3B888D93" w15:done="0"/>
  <w15:commentEx w15:paraId="7F2CB110" w15:done="0"/>
  <w15:commentEx w15:paraId="6F0B98CF" w15:done="0"/>
  <w15:commentEx w15:paraId="40AA29C0" w15:done="0"/>
  <w15:commentEx w15:paraId="670FE3E5" w15:done="0"/>
  <w15:commentEx w15:paraId="680D457F" w15:done="0"/>
  <w15:commentEx w15:paraId="647F62C2" w15:done="0"/>
  <w15:commentEx w15:paraId="7E855419" w15:done="0"/>
  <w15:commentEx w15:paraId="55502B3A" w15:done="0"/>
  <w15:commentEx w15:paraId="030DF83C" w15:done="0"/>
  <w15:commentEx w15:paraId="1103A6C0" w15:done="0"/>
  <w15:commentEx w15:paraId="67FABED0" w15:done="0"/>
  <w15:commentEx w15:paraId="3BA691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D6" w:rsidRDefault="00777AD6" w:rsidP="002E3E35">
      <w:pPr>
        <w:spacing w:line="240" w:lineRule="auto"/>
      </w:pPr>
      <w:r>
        <w:separator/>
      </w:r>
    </w:p>
  </w:endnote>
  <w:endnote w:type="continuationSeparator" w:id="0">
    <w:p w:rsidR="00777AD6" w:rsidRDefault="00777AD6"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C8092E" w:rsidRDefault="00777AD6" w:rsidP="00C8092E">
    <w:pPr>
      <w:spacing w:line="240" w:lineRule="auto"/>
      <w:rPr>
        <w:rStyle w:val="PageNumber"/>
        <w:rFonts w:ascii="Times New Roman" w:hAnsi="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814411" w:rsidRDefault="00777AD6" w:rsidP="00814411">
    <w:pPr>
      <w:spacing w:line="240" w:lineRule="auto"/>
      <w:rPr>
        <w:rStyle w:val="PageNumber"/>
        <w:rFonts w:ascii="Times New Roman" w:hAnsi="Times New Roman"/>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A12B64" w:rsidRDefault="00777AD6" w:rsidP="004244EE">
    <w:pPr>
      <w:pStyle w:val="Footer"/>
      <w:pBdr>
        <w:bottom w:val="none" w:sz="0" w:space="0" w:color="auto"/>
      </w:pBdr>
      <w:tabs>
        <w:tab w:val="clear" w:pos="4320"/>
        <w:tab w:val="right" w:leader="underscore" w:pos="8539"/>
      </w:tabs>
      <w:spacing w:line="192" w:lineRule="auto"/>
      <w:rPr>
        <w:rFonts w:cs="Arial"/>
        <w:snapToGrid w:val="0"/>
        <w:szCs w:val="14"/>
      </w:rPr>
    </w:pPr>
  </w:p>
  <w:p w:rsidR="00777AD6" w:rsidRDefault="00777AD6" w:rsidP="004244EE">
    <w:pPr>
      <w:pStyle w:val="Footer"/>
      <w:pBdr>
        <w:top w:val="single" w:sz="2" w:space="1" w:color="auto"/>
        <w:bottom w:val="none" w:sz="0" w:space="0" w:color="auto"/>
      </w:pBdr>
      <w:spacing w:line="192" w:lineRule="auto"/>
      <w:rPr>
        <w:rStyle w:val="PageNumber"/>
      </w:rPr>
    </w:pPr>
  </w:p>
  <w:p w:rsidR="00777AD6" w:rsidRPr="004244EE" w:rsidRDefault="00777AD6" w:rsidP="004244EE">
    <w:pPr>
      <w:pStyle w:val="Footer"/>
      <w:pBdr>
        <w:top w:val="single" w:sz="2" w:space="1" w:color="auto"/>
        <w:bottom w:val="none" w:sz="0" w:space="0" w:color="auto"/>
      </w:pBdr>
      <w:rPr>
        <w:rStyle w:val="PageNumber"/>
      </w:rPr>
    </w:pPr>
    <w:r w:rsidRPr="00EA3B65">
      <w:rPr>
        <w:rStyle w:val="PageNumber"/>
        <w:b/>
      </w:rPr>
      <w:t>DRAFT</w:t>
    </w:r>
    <w:r w:rsidRPr="00964AB7">
      <w:rPr>
        <w:rStyle w:val="PageNumber"/>
      </w:rPr>
      <w:tab/>
    </w:r>
    <w:r w:rsidR="00C611BE" w:rsidRPr="00964AB7">
      <w:rPr>
        <w:rStyle w:val="PageNumber"/>
      </w:rPr>
      <w:fldChar w:fldCharType="begin"/>
    </w:r>
    <w:r w:rsidRPr="00964AB7">
      <w:rPr>
        <w:rStyle w:val="PageNumber"/>
      </w:rPr>
      <w:instrText xml:space="preserve"> PAGE </w:instrText>
    </w:r>
    <w:r w:rsidR="00C611BE" w:rsidRPr="00964AB7">
      <w:rPr>
        <w:rStyle w:val="PageNumber"/>
      </w:rPr>
      <w:fldChar w:fldCharType="separate"/>
    </w:r>
    <w:r w:rsidR="000039C7">
      <w:rPr>
        <w:rStyle w:val="PageNumber"/>
        <w:noProof/>
      </w:rPr>
      <w:t>iii</w:t>
    </w:r>
    <w:r w:rsidR="00C611BE" w:rsidRPr="00964AB7">
      <w:rPr>
        <w:rStyle w:val="PageNumber"/>
      </w:rPr>
      <w:fldChar w:fldCharType="end"/>
    </w:r>
    <w:r w:rsidRPr="00964AB7">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B8600E" w:rsidRDefault="00777AD6" w:rsidP="00B8600E">
    <w:pPr>
      <w:spacing w:line="240" w:lineRule="auto"/>
      <w:rPr>
        <w:rStyle w:val="PageNumber"/>
        <w:rFonts w:ascii="Times New Roman" w:hAnsi="Times New Roman"/>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A12B64" w:rsidRDefault="00777AD6"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77AD6" w:rsidRDefault="00777AD6" w:rsidP="00455D47">
    <w:pPr>
      <w:pStyle w:val="Footer"/>
      <w:pBdr>
        <w:top w:val="single" w:sz="2" w:space="1" w:color="auto"/>
        <w:bottom w:val="none" w:sz="0" w:space="0" w:color="auto"/>
      </w:pBdr>
      <w:spacing w:line="192" w:lineRule="auto"/>
      <w:rPr>
        <w:rStyle w:val="PageNumber"/>
      </w:rPr>
    </w:pPr>
  </w:p>
  <w:p w:rsidR="00777AD6" w:rsidRDefault="00777AD6" w:rsidP="00E74068">
    <w:pPr>
      <w:pStyle w:val="Footer"/>
      <w:pBdr>
        <w:top w:val="single" w:sz="2" w:space="1" w:color="auto"/>
        <w:bottom w:val="none" w:sz="0" w:space="0" w:color="auto"/>
      </w:pBdr>
    </w:pPr>
    <w:r w:rsidRPr="00964AB7">
      <w:rPr>
        <w:rStyle w:val="PageNumber"/>
      </w:rPr>
      <w:tab/>
    </w:r>
    <w:r w:rsidR="00C611BE" w:rsidRPr="00964AB7">
      <w:rPr>
        <w:rStyle w:val="PageNumber"/>
      </w:rPr>
      <w:fldChar w:fldCharType="begin"/>
    </w:r>
    <w:r w:rsidRPr="00964AB7">
      <w:rPr>
        <w:rStyle w:val="PageNumber"/>
      </w:rPr>
      <w:instrText xml:space="preserve"> PAGE </w:instrText>
    </w:r>
    <w:r w:rsidR="00C611BE" w:rsidRPr="00964AB7">
      <w:rPr>
        <w:rStyle w:val="PageNumber"/>
      </w:rPr>
      <w:fldChar w:fldCharType="separate"/>
    </w:r>
    <w:r w:rsidR="000039C7">
      <w:rPr>
        <w:rStyle w:val="PageNumber"/>
        <w:noProof/>
      </w:rPr>
      <w:t>vii</w:t>
    </w:r>
    <w:r w:rsidR="00C611BE" w:rsidRPr="00964AB7">
      <w:rPr>
        <w:rStyle w:val="PageNumber"/>
      </w:rPr>
      <w:fldChar w:fldCharType="end"/>
    </w:r>
    <w:r w:rsidRPr="00964AB7">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B8600E" w:rsidRDefault="00777AD6" w:rsidP="00B8600E">
    <w:pPr>
      <w:spacing w:line="240" w:lineRule="auto"/>
      <w:rPr>
        <w:rStyle w:val="PageNumber"/>
        <w:rFonts w:ascii="Times New Roman" w:hAnsi="Times New Roman"/>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A12B64" w:rsidRDefault="00777AD6"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77AD6" w:rsidRDefault="00777AD6" w:rsidP="00455D47">
    <w:pPr>
      <w:pStyle w:val="Footer"/>
      <w:pBdr>
        <w:top w:val="single" w:sz="2" w:space="1" w:color="auto"/>
        <w:bottom w:val="none" w:sz="0" w:space="0" w:color="auto"/>
      </w:pBdr>
      <w:spacing w:line="192" w:lineRule="auto"/>
      <w:rPr>
        <w:rStyle w:val="PageNumber"/>
      </w:rPr>
    </w:pPr>
  </w:p>
  <w:p w:rsidR="00777AD6" w:rsidRDefault="00777AD6" w:rsidP="00E74068">
    <w:pPr>
      <w:pStyle w:val="Footer"/>
      <w:pBdr>
        <w:top w:val="single" w:sz="2" w:space="1" w:color="auto"/>
        <w:bottom w:val="none" w:sz="0" w:space="0" w:color="auto"/>
      </w:pBdr>
    </w:pPr>
    <w:r w:rsidRPr="00964AB7">
      <w:rPr>
        <w:rStyle w:val="PageNumber"/>
      </w:rPr>
      <w:tab/>
    </w:r>
    <w:r w:rsidR="00C611BE" w:rsidRPr="00964AB7">
      <w:rPr>
        <w:rStyle w:val="PageNumber"/>
      </w:rPr>
      <w:fldChar w:fldCharType="begin"/>
    </w:r>
    <w:r w:rsidRPr="00964AB7">
      <w:rPr>
        <w:rStyle w:val="PageNumber"/>
      </w:rPr>
      <w:instrText xml:space="preserve"> PAGE </w:instrText>
    </w:r>
    <w:r w:rsidR="00C611BE" w:rsidRPr="00964AB7">
      <w:rPr>
        <w:rStyle w:val="PageNumber"/>
      </w:rPr>
      <w:fldChar w:fldCharType="separate"/>
    </w:r>
    <w:r w:rsidR="000039C7">
      <w:rPr>
        <w:rStyle w:val="PageNumber"/>
        <w:noProof/>
      </w:rPr>
      <w:t>2</w:t>
    </w:r>
    <w:r w:rsidR="00C611BE" w:rsidRPr="00964AB7">
      <w:rPr>
        <w:rStyle w:val="PageNumber"/>
      </w:rPr>
      <w:fldChar w:fldCharType="end"/>
    </w:r>
    <w:r w:rsidRPr="00964AB7">
      <w:rPr>
        <w:rStyle w:val="PageNumber"/>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894358" w:rsidRDefault="00777AD6" w:rsidP="00894358">
    <w:pPr>
      <w:spacing w:line="240" w:lineRule="auto"/>
      <w:ind w:firstLine="0"/>
      <w:rPr>
        <w:rStyle w:val="PageNumber"/>
        <w:rFonts w:ascii="Times New Roman" w:hAnsi="Times New Roman"/>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A12B64" w:rsidRDefault="00777AD6" w:rsidP="00FA3F33">
    <w:pPr>
      <w:pStyle w:val="Footer"/>
      <w:pBdr>
        <w:bottom w:val="none" w:sz="0" w:space="0" w:color="auto"/>
      </w:pBdr>
      <w:tabs>
        <w:tab w:val="clear" w:pos="4320"/>
        <w:tab w:val="right" w:leader="underscore" w:pos="8539"/>
      </w:tabs>
      <w:spacing w:line="192" w:lineRule="auto"/>
      <w:rPr>
        <w:rFonts w:cs="Arial"/>
        <w:snapToGrid w:val="0"/>
        <w:szCs w:val="14"/>
      </w:rPr>
    </w:pPr>
  </w:p>
  <w:p w:rsidR="00777AD6" w:rsidRDefault="00777AD6" w:rsidP="00FA3F33">
    <w:pPr>
      <w:pStyle w:val="Footer"/>
      <w:pBdr>
        <w:top w:val="single" w:sz="2" w:space="1" w:color="auto"/>
        <w:bottom w:val="none" w:sz="0" w:space="0" w:color="auto"/>
      </w:pBdr>
      <w:spacing w:line="192" w:lineRule="auto"/>
      <w:rPr>
        <w:rStyle w:val="PageNumber"/>
      </w:rPr>
    </w:pPr>
  </w:p>
  <w:p w:rsidR="00777AD6" w:rsidRPr="00E270AD" w:rsidRDefault="00777AD6" w:rsidP="00077A24">
    <w:pPr>
      <w:pStyle w:val="Footer"/>
      <w:pBdr>
        <w:top w:val="single" w:sz="2" w:space="1" w:color="auto"/>
        <w:bottom w:val="none" w:sz="0" w:space="0" w:color="auto"/>
      </w:pBdr>
      <w:rPr>
        <w:rStyle w:val="PageNumber"/>
        <w:rFonts w:ascii="Times New Roman" w:hAnsi="Times New Roman"/>
        <w:sz w:val="24"/>
      </w:rPr>
    </w:pPr>
    <w:r w:rsidRPr="00964AB7">
      <w:rPr>
        <w:rStyle w:val="PageNumber"/>
      </w:rPr>
      <w:tab/>
    </w:r>
    <w:r w:rsidR="00C611BE" w:rsidRPr="00964AB7">
      <w:rPr>
        <w:rStyle w:val="PageNumber"/>
      </w:rPr>
      <w:fldChar w:fldCharType="begin"/>
    </w:r>
    <w:r w:rsidRPr="00964AB7">
      <w:rPr>
        <w:rStyle w:val="PageNumber"/>
      </w:rPr>
      <w:instrText xml:space="preserve"> PAGE </w:instrText>
    </w:r>
    <w:r w:rsidR="00C611BE" w:rsidRPr="00964AB7">
      <w:rPr>
        <w:rStyle w:val="PageNumber"/>
      </w:rPr>
      <w:fldChar w:fldCharType="separate"/>
    </w:r>
    <w:r w:rsidR="000039C7">
      <w:rPr>
        <w:rStyle w:val="PageNumber"/>
        <w:noProof/>
      </w:rPr>
      <w:t>12</w:t>
    </w:r>
    <w:r w:rsidR="00C611BE" w:rsidRPr="00964AB7">
      <w:rPr>
        <w:rStyle w:val="PageNumber"/>
      </w:rPr>
      <w:fldChar w:fldCharType="end"/>
    </w:r>
    <w:r w:rsidRPr="00964AB7">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D6" w:rsidRDefault="00777AD6" w:rsidP="00203E3B">
      <w:pPr>
        <w:spacing w:line="240" w:lineRule="auto"/>
        <w:ind w:firstLine="0"/>
      </w:pPr>
      <w:r>
        <w:separator/>
      </w:r>
    </w:p>
  </w:footnote>
  <w:footnote w:type="continuationSeparator" w:id="0">
    <w:p w:rsidR="00777AD6" w:rsidRDefault="00777AD6" w:rsidP="00203E3B">
      <w:pPr>
        <w:spacing w:line="240" w:lineRule="auto"/>
        <w:ind w:firstLine="0"/>
      </w:pPr>
      <w:r>
        <w:separator/>
      </w:r>
    </w:p>
    <w:p w:rsidR="00777AD6" w:rsidRPr="00157CA2" w:rsidRDefault="00777AD6"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C8092E" w:rsidRDefault="00777AD6" w:rsidP="00C8092E">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4244EE" w:rsidRDefault="00777AD6" w:rsidP="004244E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4244EE" w:rsidRDefault="00777AD6" w:rsidP="004244EE">
    <w:pPr>
      <w:pStyle w:val="Header"/>
      <w:pBdr>
        <w:bottom w:val="single" w:sz="2" w:space="2" w:color="auto"/>
      </w:pBdr>
    </w:pPr>
    <w:r>
      <w:t>EVALUATION OF SNAP E&amp;T PILOTS: PART A</w:t>
    </w:r>
    <w:r w:rsidRPr="006F6DD5">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B8600E" w:rsidRDefault="00777AD6" w:rsidP="00B8600E">
    <w:pPr>
      <w:spacing w:line="240"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Default="00777AD6" w:rsidP="00E74068">
    <w:pPr>
      <w:pStyle w:val="Header"/>
      <w:pBdr>
        <w:bottom w:val="single" w:sz="2" w:space="2" w:color="auto"/>
      </w:pBdr>
    </w:pPr>
    <w:r>
      <w:t>EVALUATION OF SNAP E&amp;T PILOTS: PART b</w:t>
    </w:r>
    <w:r w:rsidRPr="006F6DD5">
      <w:tab/>
      <w:t>MATHEMATICA POLICY RESEARCH</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B8600E" w:rsidRDefault="00777AD6" w:rsidP="00B8600E">
    <w:pPr>
      <w:spacing w:line="240"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Default="00777AD6" w:rsidP="00E74068">
    <w:pPr>
      <w:pStyle w:val="Header"/>
      <w:pBdr>
        <w:bottom w:val="single" w:sz="2" w:space="2" w:color="auto"/>
      </w:pBdr>
    </w:pPr>
    <w:r>
      <w:t>EVALUATION OF SNAP E&amp;T PILOTS: PART b</w:t>
    </w:r>
    <w:r w:rsidRPr="006F6DD5">
      <w:tab/>
      <w:t>MATHEMATICA POLICY RESEARCH</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894358" w:rsidRDefault="00777AD6" w:rsidP="00894358">
    <w:pPr>
      <w:spacing w:line="240" w:lineRule="auto"/>
      <w:ind w:firstLine="0"/>
    </w:pPr>
    <w:r w:rsidRPr="004E0334">
      <w:rPr>
        <w:rFonts w:ascii="Arial" w:hAnsi="Arial" w:cs="Arial"/>
        <w:sz w:val="16"/>
      </w:rPr>
      <w:t>Pilot Project Summaries (</w:t>
    </w:r>
    <w:r w:rsidRPr="004E0334">
      <w:rPr>
        <w:rFonts w:ascii="Arial" w:hAnsi="Arial" w:cs="Arial"/>
        <w:i/>
        <w:sz w:val="16"/>
      </w:rPr>
      <w:t>continued</w:t>
    </w:r>
    <w:r w:rsidRPr="004E0334">
      <w:rPr>
        <w:rFonts w:ascii="Arial" w:hAnsi="Arial" w:cs="Arial"/>
        <w:sz w:val="16"/>
      </w:rPr>
      <w:t>)</w:t>
    </w:r>
    <w:r w:rsidR="00C611BE">
      <w:rPr>
        <w:noProof/>
      </w:rPr>
      <w:pict>
        <v:shapetype id="_x0000_t202" coordsize="21600,21600" o:spt="202" path="m,l,21600r21600,l21600,xe">
          <v:stroke joinstyle="miter"/>
          <v:path gradientshapeok="t" o:connecttype="rect"/>
        </v:shapetype>
        <v:shape id="Text Box 3" o:spid="_x0000_s34817" type="#_x0000_t202" style="position:absolute;margin-left:3.5pt;margin-top:-19.6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" filled="f" stroked="f" strokeweight=".5pt">
          <v:path arrowok="t"/>
          <v:textbox style="layout-flow:vertical">
            <w:txbxContent>
              <w:p w:rsidR="00777AD6" w:rsidRPr="00894358" w:rsidRDefault="00777AD6" w:rsidP="00894358">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r>
                <w:r w:rsidR="00C611BE">
                  <w:rPr>
                    <w:rFonts w:ascii="Arial" w:hAnsi="Arial" w:cs="Arial"/>
                    <w:sz w:val="20"/>
                  </w:rPr>
                  <w:fldChar w:fldCharType="begin"/>
                </w:r>
                <w:r>
                  <w:rPr>
                    <w:rFonts w:ascii="Arial" w:hAnsi="Arial" w:cs="Arial"/>
                    <w:sz w:val="20"/>
                  </w:rPr>
                  <w:instrText xml:space="preserve"> PAGE  \* MERGEFORMAT </w:instrText>
                </w:r>
                <w:r w:rsidR="00C611BE">
                  <w:rPr>
                    <w:rFonts w:ascii="Arial" w:hAnsi="Arial" w:cs="Arial"/>
                    <w:sz w:val="20"/>
                  </w:rPr>
                  <w:fldChar w:fldCharType="separate"/>
                </w:r>
                <w:r w:rsidR="000039C7">
                  <w:rPr>
                    <w:rFonts w:ascii="Arial" w:hAnsi="Arial" w:cs="Arial"/>
                    <w:noProof/>
                    <w:sz w:val="20"/>
                  </w:rPr>
                  <w:t>5</w:t>
                </w:r>
                <w:r w:rsidR="00C611BE">
                  <w:rPr>
                    <w:rFonts w:ascii="Arial" w:hAnsi="Arial" w:cs="Arial"/>
                    <w:sz w:val="20"/>
                  </w:rPr>
                  <w:fldChar w:fldCharType="end"/>
                </w:r>
                <w:r>
                  <w:rPr>
                    <w:rFonts w:ascii="Arial" w:hAnsi="Arial" w:cs="Arial"/>
                    <w:sz w:val="20"/>
                  </w:rPr>
                  <w:tab/>
                </w:r>
              </w:p>
            </w:txbxContent>
          </v:textbox>
          <w10:wrap type="square" anchorx="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D6" w:rsidRPr="004244EE" w:rsidRDefault="00777AD6" w:rsidP="00AB6178">
    <w:pPr>
      <w:pStyle w:val="Header"/>
      <w:pBdr>
        <w:bottom w:val="single" w:sz="2" w:space="2" w:color="auto"/>
      </w:pBdr>
    </w:pPr>
    <w:r>
      <w:t>EVALUATION OF SNAP E&amp;T PILOTS: PART b</w:t>
    </w:r>
    <w:r w:rsidRPr="006F6DD5">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1EC4429"/>
    <w:multiLevelType w:val="hybridMultilevel"/>
    <w:tmpl w:val="1930A5E8"/>
    <w:lvl w:ilvl="0" w:tplc="DD28C74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16594"/>
    <w:multiLevelType w:val="hybridMultilevel"/>
    <w:tmpl w:val="886AF540"/>
    <w:lvl w:ilvl="0" w:tplc="33583852">
      <w:start w:val="1"/>
      <w:numFmt w:val="bullet"/>
      <w:pStyle w:val="Bulle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2646E"/>
    <w:multiLevelType w:val="hybridMultilevel"/>
    <w:tmpl w:val="ABEE71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B59AC"/>
    <w:multiLevelType w:val="hybridMultilevel"/>
    <w:tmpl w:val="C6D2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D50AA8"/>
    <w:multiLevelType w:val="hybridMultilevel"/>
    <w:tmpl w:val="152E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7"/>
  </w:num>
  <w:num w:numId="5">
    <w:abstractNumId w:val="26"/>
  </w:num>
  <w:num w:numId="6">
    <w:abstractNumId w:val="28"/>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19"/>
  </w:num>
  <w:num w:numId="22">
    <w:abstractNumId w:val="2"/>
  </w:num>
  <w:num w:numId="23">
    <w:abstractNumId w:val="13"/>
  </w:num>
  <w:num w:numId="24">
    <w:abstractNumId w:val="24"/>
  </w:num>
  <w:num w:numId="25">
    <w:abstractNumId w:val="5"/>
  </w:num>
  <w:num w:numId="26">
    <w:abstractNumId w:val="1"/>
  </w:num>
  <w:num w:numId="27">
    <w:abstractNumId w:val="8"/>
  </w:num>
  <w:num w:numId="28">
    <w:abstractNumId w:val="14"/>
  </w:num>
  <w:num w:numId="29">
    <w:abstractNumId w:val="23"/>
  </w:num>
  <w:num w:numId="30">
    <w:abstractNumId w:val="20"/>
  </w:num>
  <w:num w:numId="31">
    <w:abstractNumId w:val="3"/>
  </w:num>
  <w:num w:numId="32">
    <w:abstractNumId w:val="16"/>
    <w:lvlOverride w:ilvl="0">
      <w:startOverride w:val="1"/>
    </w:lvlOverride>
  </w:num>
  <w:num w:numId="33">
    <w:abstractNumId w:val="9"/>
  </w:num>
  <w:num w:numId="34">
    <w:abstractNumId w:val="11"/>
  </w:num>
  <w:num w:numId="35">
    <w:abstractNumId w:val="15"/>
  </w:num>
  <w:num w:numId="36">
    <w:abstractNumId w:val="6"/>
  </w:num>
  <w:num w:numId="37">
    <w:abstractNumId w:val="12"/>
  </w:num>
  <w:num w:numId="38">
    <w:abstractNumId w:val="27"/>
  </w:num>
  <w:num w:numId="3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Castro">
    <w15:presenceInfo w15:providerId="None" w15:userId="CCastro"/>
  </w15:person>
  <w15:person w15:author="Betsy Santos">
    <w15:presenceInfo w15:providerId="None" w15:userId="Betsy Santos"/>
  </w15:person>
  <w15:person w15:author="James Mabli">
    <w15:presenceInfo w15:providerId="None" w15:userId="James Mabli"/>
  </w15:person>
  <w15:person w15:author="Nicholas Beyler">
    <w15:presenceInfo w15:providerId="None" w15:userId="Nicholas Beyler"/>
  </w15:person>
  <w15:person w15:author="Gretchen Rowe">
    <w15:presenceInfo w15:providerId="None" w15:userId="Gretchen Row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linkStyles/>
  <w:stylePaneFormatFilter w:val="9021"/>
  <w:defaultTabStop w:val="720"/>
  <w:characterSpacingControl w:val="doNotCompress"/>
  <w:hdrShapeDefaults>
    <o:shapedefaults v:ext="edit" spidmax="34819"/>
    <o:shapelayout v:ext="edit">
      <o:idmap v:ext="edit" data="34"/>
    </o:shapelayout>
  </w:hdrShapeDefaults>
  <w:footnotePr>
    <w:footnote w:id="-1"/>
    <w:footnote w:id="0"/>
  </w:footnotePr>
  <w:endnotePr>
    <w:endnote w:id="-1"/>
    <w:endnote w:id="0"/>
  </w:endnotePr>
  <w:compat>
    <w:useFELayout/>
  </w:compat>
  <w:rsids>
    <w:rsidRoot w:val="00923BAF"/>
    <w:rsid w:val="000016A2"/>
    <w:rsid w:val="000030B1"/>
    <w:rsid w:val="000039C7"/>
    <w:rsid w:val="00010CEE"/>
    <w:rsid w:val="0001587F"/>
    <w:rsid w:val="000169F8"/>
    <w:rsid w:val="00016D34"/>
    <w:rsid w:val="000212FC"/>
    <w:rsid w:val="00022A0A"/>
    <w:rsid w:val="0002322B"/>
    <w:rsid w:val="0002591E"/>
    <w:rsid w:val="0002754E"/>
    <w:rsid w:val="00030C57"/>
    <w:rsid w:val="00032084"/>
    <w:rsid w:val="0003265D"/>
    <w:rsid w:val="00032E4E"/>
    <w:rsid w:val="00034667"/>
    <w:rsid w:val="000346AD"/>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77A24"/>
    <w:rsid w:val="000855BD"/>
    <w:rsid w:val="00086066"/>
    <w:rsid w:val="0009143A"/>
    <w:rsid w:val="00095543"/>
    <w:rsid w:val="00095810"/>
    <w:rsid w:val="00096ECB"/>
    <w:rsid w:val="000972E1"/>
    <w:rsid w:val="000A2181"/>
    <w:rsid w:val="000A2330"/>
    <w:rsid w:val="000A5A8D"/>
    <w:rsid w:val="000A6052"/>
    <w:rsid w:val="000A6591"/>
    <w:rsid w:val="000A66E4"/>
    <w:rsid w:val="000A7604"/>
    <w:rsid w:val="000A7FB4"/>
    <w:rsid w:val="000B521D"/>
    <w:rsid w:val="000B555A"/>
    <w:rsid w:val="000B764C"/>
    <w:rsid w:val="000C2E3B"/>
    <w:rsid w:val="000C413E"/>
    <w:rsid w:val="000C7D4D"/>
    <w:rsid w:val="000D5B34"/>
    <w:rsid w:val="000D6D88"/>
    <w:rsid w:val="000D751A"/>
    <w:rsid w:val="000E031D"/>
    <w:rsid w:val="000E0694"/>
    <w:rsid w:val="000E1C2B"/>
    <w:rsid w:val="000E2169"/>
    <w:rsid w:val="000E4C3F"/>
    <w:rsid w:val="000E5A94"/>
    <w:rsid w:val="000F602B"/>
    <w:rsid w:val="000F677B"/>
    <w:rsid w:val="001004A7"/>
    <w:rsid w:val="001119F8"/>
    <w:rsid w:val="00112A5E"/>
    <w:rsid w:val="00113CC8"/>
    <w:rsid w:val="001224B1"/>
    <w:rsid w:val="00122C2C"/>
    <w:rsid w:val="00130C03"/>
    <w:rsid w:val="001311F7"/>
    <w:rsid w:val="0013184F"/>
    <w:rsid w:val="00131D22"/>
    <w:rsid w:val="00131F00"/>
    <w:rsid w:val="0013346F"/>
    <w:rsid w:val="00135EB7"/>
    <w:rsid w:val="0013709C"/>
    <w:rsid w:val="0014358D"/>
    <w:rsid w:val="00146CE3"/>
    <w:rsid w:val="00147515"/>
    <w:rsid w:val="00147A74"/>
    <w:rsid w:val="00154DF1"/>
    <w:rsid w:val="00155D06"/>
    <w:rsid w:val="00157CA2"/>
    <w:rsid w:val="00160DB0"/>
    <w:rsid w:val="00161CB2"/>
    <w:rsid w:val="001649D5"/>
    <w:rsid w:val="00164BC2"/>
    <w:rsid w:val="00166484"/>
    <w:rsid w:val="00170DB7"/>
    <w:rsid w:val="00171138"/>
    <w:rsid w:val="001739F1"/>
    <w:rsid w:val="00181AC8"/>
    <w:rsid w:val="00183020"/>
    <w:rsid w:val="00184421"/>
    <w:rsid w:val="00185CEF"/>
    <w:rsid w:val="001921A4"/>
    <w:rsid w:val="00194A0E"/>
    <w:rsid w:val="001969F1"/>
    <w:rsid w:val="00196E5A"/>
    <w:rsid w:val="00197503"/>
    <w:rsid w:val="001A3781"/>
    <w:rsid w:val="001A573C"/>
    <w:rsid w:val="001B107D"/>
    <w:rsid w:val="001B4842"/>
    <w:rsid w:val="001C5EB8"/>
    <w:rsid w:val="001C7FBE"/>
    <w:rsid w:val="001D3544"/>
    <w:rsid w:val="001D39AA"/>
    <w:rsid w:val="001D39EC"/>
    <w:rsid w:val="001D418D"/>
    <w:rsid w:val="001D661F"/>
    <w:rsid w:val="001D7AC1"/>
    <w:rsid w:val="001D7B65"/>
    <w:rsid w:val="001E6A60"/>
    <w:rsid w:val="001E6E5A"/>
    <w:rsid w:val="001F0121"/>
    <w:rsid w:val="00201E7E"/>
    <w:rsid w:val="00203E3B"/>
    <w:rsid w:val="00204AB9"/>
    <w:rsid w:val="00204B23"/>
    <w:rsid w:val="002050B7"/>
    <w:rsid w:val="00214E0B"/>
    <w:rsid w:val="00215C5A"/>
    <w:rsid w:val="00215E4D"/>
    <w:rsid w:val="002166BC"/>
    <w:rsid w:val="00217FA0"/>
    <w:rsid w:val="00222D61"/>
    <w:rsid w:val="00225954"/>
    <w:rsid w:val="0022714B"/>
    <w:rsid w:val="002272CB"/>
    <w:rsid w:val="00231607"/>
    <w:rsid w:val="002361D8"/>
    <w:rsid w:val="0023638D"/>
    <w:rsid w:val="00247217"/>
    <w:rsid w:val="00247945"/>
    <w:rsid w:val="00254C89"/>
    <w:rsid w:val="00254E2D"/>
    <w:rsid w:val="00256D04"/>
    <w:rsid w:val="0026025C"/>
    <w:rsid w:val="0026713B"/>
    <w:rsid w:val="00271C83"/>
    <w:rsid w:val="00271ECB"/>
    <w:rsid w:val="0027245E"/>
    <w:rsid w:val="00272B66"/>
    <w:rsid w:val="002733A4"/>
    <w:rsid w:val="002817A6"/>
    <w:rsid w:val="00283304"/>
    <w:rsid w:val="0028360E"/>
    <w:rsid w:val="002869EF"/>
    <w:rsid w:val="0029011D"/>
    <w:rsid w:val="0029042C"/>
    <w:rsid w:val="00292A7F"/>
    <w:rsid w:val="00293B23"/>
    <w:rsid w:val="00294B21"/>
    <w:rsid w:val="00297266"/>
    <w:rsid w:val="002A00E4"/>
    <w:rsid w:val="002A2808"/>
    <w:rsid w:val="002A3D5D"/>
    <w:rsid w:val="002A4077"/>
    <w:rsid w:val="002A4F27"/>
    <w:rsid w:val="002A64F9"/>
    <w:rsid w:val="002A6552"/>
    <w:rsid w:val="002B0E82"/>
    <w:rsid w:val="002B2280"/>
    <w:rsid w:val="002B25CD"/>
    <w:rsid w:val="002B61A8"/>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D4C"/>
    <w:rsid w:val="0030242C"/>
    <w:rsid w:val="00302890"/>
    <w:rsid w:val="00303EF1"/>
    <w:rsid w:val="00306F1E"/>
    <w:rsid w:val="00310CBE"/>
    <w:rsid w:val="00315DEC"/>
    <w:rsid w:val="0031740A"/>
    <w:rsid w:val="00317FDB"/>
    <w:rsid w:val="003250D8"/>
    <w:rsid w:val="00325FF2"/>
    <w:rsid w:val="00326958"/>
    <w:rsid w:val="00326FF6"/>
    <w:rsid w:val="0033012A"/>
    <w:rsid w:val="003308C3"/>
    <w:rsid w:val="00331ADC"/>
    <w:rsid w:val="00335C7E"/>
    <w:rsid w:val="00340274"/>
    <w:rsid w:val="00341682"/>
    <w:rsid w:val="003426BF"/>
    <w:rsid w:val="00345556"/>
    <w:rsid w:val="00346E5F"/>
    <w:rsid w:val="0035526C"/>
    <w:rsid w:val="00355E1B"/>
    <w:rsid w:val="00356A6F"/>
    <w:rsid w:val="00357B5C"/>
    <w:rsid w:val="00363410"/>
    <w:rsid w:val="00363A19"/>
    <w:rsid w:val="003656C4"/>
    <w:rsid w:val="00366F93"/>
    <w:rsid w:val="00370490"/>
    <w:rsid w:val="00370BC5"/>
    <w:rsid w:val="00370D5B"/>
    <w:rsid w:val="003743AD"/>
    <w:rsid w:val="003774C8"/>
    <w:rsid w:val="00384A00"/>
    <w:rsid w:val="00384E5E"/>
    <w:rsid w:val="003869B6"/>
    <w:rsid w:val="00387C3D"/>
    <w:rsid w:val="0039188F"/>
    <w:rsid w:val="003921CA"/>
    <w:rsid w:val="00392614"/>
    <w:rsid w:val="00392C64"/>
    <w:rsid w:val="00393318"/>
    <w:rsid w:val="00394544"/>
    <w:rsid w:val="00394DAA"/>
    <w:rsid w:val="003969F2"/>
    <w:rsid w:val="00396FD7"/>
    <w:rsid w:val="003A0C7A"/>
    <w:rsid w:val="003A16DA"/>
    <w:rsid w:val="003A3ADA"/>
    <w:rsid w:val="003A501E"/>
    <w:rsid w:val="003A63C1"/>
    <w:rsid w:val="003A7641"/>
    <w:rsid w:val="003C3464"/>
    <w:rsid w:val="003C3874"/>
    <w:rsid w:val="003C38EC"/>
    <w:rsid w:val="003C3D79"/>
    <w:rsid w:val="003C5AD1"/>
    <w:rsid w:val="003D540E"/>
    <w:rsid w:val="003E1520"/>
    <w:rsid w:val="003E21DB"/>
    <w:rsid w:val="003E3505"/>
    <w:rsid w:val="003E418E"/>
    <w:rsid w:val="003E4F1D"/>
    <w:rsid w:val="003E7979"/>
    <w:rsid w:val="003F2730"/>
    <w:rsid w:val="003F4ADD"/>
    <w:rsid w:val="003F7027"/>
    <w:rsid w:val="003F7D6D"/>
    <w:rsid w:val="00400D0E"/>
    <w:rsid w:val="0040392F"/>
    <w:rsid w:val="00406760"/>
    <w:rsid w:val="00413779"/>
    <w:rsid w:val="00415878"/>
    <w:rsid w:val="004244EE"/>
    <w:rsid w:val="00425EEB"/>
    <w:rsid w:val="00430A83"/>
    <w:rsid w:val="00431084"/>
    <w:rsid w:val="00435539"/>
    <w:rsid w:val="00436B58"/>
    <w:rsid w:val="00436BEA"/>
    <w:rsid w:val="00437868"/>
    <w:rsid w:val="004406E3"/>
    <w:rsid w:val="00442A8F"/>
    <w:rsid w:val="0044335E"/>
    <w:rsid w:val="00446C1B"/>
    <w:rsid w:val="004533DB"/>
    <w:rsid w:val="00455D47"/>
    <w:rsid w:val="004620FF"/>
    <w:rsid w:val="00462212"/>
    <w:rsid w:val="00464B7F"/>
    <w:rsid w:val="004655C1"/>
    <w:rsid w:val="00465789"/>
    <w:rsid w:val="004662C5"/>
    <w:rsid w:val="00470910"/>
    <w:rsid w:val="00480779"/>
    <w:rsid w:val="004867C2"/>
    <w:rsid w:val="0049195D"/>
    <w:rsid w:val="00491AB9"/>
    <w:rsid w:val="004934BE"/>
    <w:rsid w:val="0049423B"/>
    <w:rsid w:val="00495DE3"/>
    <w:rsid w:val="004A4935"/>
    <w:rsid w:val="004A5515"/>
    <w:rsid w:val="004A6734"/>
    <w:rsid w:val="004B47D3"/>
    <w:rsid w:val="004C498B"/>
    <w:rsid w:val="004C5286"/>
    <w:rsid w:val="004C67B1"/>
    <w:rsid w:val="004D1EAA"/>
    <w:rsid w:val="004D2C35"/>
    <w:rsid w:val="004D690A"/>
    <w:rsid w:val="004D6B97"/>
    <w:rsid w:val="004E049B"/>
    <w:rsid w:val="004E69F7"/>
    <w:rsid w:val="004E7409"/>
    <w:rsid w:val="004E74D1"/>
    <w:rsid w:val="004F14DD"/>
    <w:rsid w:val="004F2BAC"/>
    <w:rsid w:val="004F36C4"/>
    <w:rsid w:val="004F46DA"/>
    <w:rsid w:val="00500104"/>
    <w:rsid w:val="0050038C"/>
    <w:rsid w:val="00502877"/>
    <w:rsid w:val="005053F6"/>
    <w:rsid w:val="00505804"/>
    <w:rsid w:val="00506F79"/>
    <w:rsid w:val="00511D22"/>
    <w:rsid w:val="005257EC"/>
    <w:rsid w:val="00526576"/>
    <w:rsid w:val="00526D08"/>
    <w:rsid w:val="00535221"/>
    <w:rsid w:val="0053540D"/>
    <w:rsid w:val="00536143"/>
    <w:rsid w:val="00537E01"/>
    <w:rsid w:val="005400FC"/>
    <w:rsid w:val="00540352"/>
    <w:rsid w:val="005403E8"/>
    <w:rsid w:val="00543C8F"/>
    <w:rsid w:val="005440B8"/>
    <w:rsid w:val="00551D48"/>
    <w:rsid w:val="005547CA"/>
    <w:rsid w:val="00555F68"/>
    <w:rsid w:val="005576F8"/>
    <w:rsid w:val="00560D9D"/>
    <w:rsid w:val="00561604"/>
    <w:rsid w:val="005664B3"/>
    <w:rsid w:val="005720EB"/>
    <w:rsid w:val="00580A6C"/>
    <w:rsid w:val="005820E9"/>
    <w:rsid w:val="005837E2"/>
    <w:rsid w:val="00585F60"/>
    <w:rsid w:val="005860D2"/>
    <w:rsid w:val="005903AC"/>
    <w:rsid w:val="005975FE"/>
    <w:rsid w:val="00597910"/>
    <w:rsid w:val="005A0AA9"/>
    <w:rsid w:val="005A151B"/>
    <w:rsid w:val="005A222E"/>
    <w:rsid w:val="005A7272"/>
    <w:rsid w:val="005A7B20"/>
    <w:rsid w:val="005A7F69"/>
    <w:rsid w:val="005B1E08"/>
    <w:rsid w:val="005B2092"/>
    <w:rsid w:val="005B3BFB"/>
    <w:rsid w:val="005C2E96"/>
    <w:rsid w:val="005C40D5"/>
    <w:rsid w:val="005C40E0"/>
    <w:rsid w:val="005C6C34"/>
    <w:rsid w:val="005D1006"/>
    <w:rsid w:val="005D1DEB"/>
    <w:rsid w:val="005D51C5"/>
    <w:rsid w:val="005D5D21"/>
    <w:rsid w:val="005D6EA6"/>
    <w:rsid w:val="005E1AE0"/>
    <w:rsid w:val="005E2B24"/>
    <w:rsid w:val="005E454D"/>
    <w:rsid w:val="005E7BE9"/>
    <w:rsid w:val="005F28ED"/>
    <w:rsid w:val="005F5DC1"/>
    <w:rsid w:val="005F6F8C"/>
    <w:rsid w:val="005F7ADD"/>
    <w:rsid w:val="005F7FEA"/>
    <w:rsid w:val="006007E2"/>
    <w:rsid w:val="006019D8"/>
    <w:rsid w:val="006075CC"/>
    <w:rsid w:val="00610E6C"/>
    <w:rsid w:val="00611F6B"/>
    <w:rsid w:val="00615050"/>
    <w:rsid w:val="00615906"/>
    <w:rsid w:val="00616DE6"/>
    <w:rsid w:val="00622372"/>
    <w:rsid w:val="00623E13"/>
    <w:rsid w:val="0062545D"/>
    <w:rsid w:val="006265FA"/>
    <w:rsid w:val="006270D3"/>
    <w:rsid w:val="00633E77"/>
    <w:rsid w:val="0063644E"/>
    <w:rsid w:val="00636D6D"/>
    <w:rsid w:val="006371A1"/>
    <w:rsid w:val="006404FF"/>
    <w:rsid w:val="0066062F"/>
    <w:rsid w:val="006612CC"/>
    <w:rsid w:val="0066273C"/>
    <w:rsid w:val="00663F2C"/>
    <w:rsid w:val="00665163"/>
    <w:rsid w:val="00671099"/>
    <w:rsid w:val="0067358F"/>
    <w:rsid w:val="0067395C"/>
    <w:rsid w:val="00676A56"/>
    <w:rsid w:val="0067739E"/>
    <w:rsid w:val="0068215C"/>
    <w:rsid w:val="0068230E"/>
    <w:rsid w:val="00684829"/>
    <w:rsid w:val="00690350"/>
    <w:rsid w:val="00692138"/>
    <w:rsid w:val="00696C38"/>
    <w:rsid w:val="0069799C"/>
    <w:rsid w:val="00697E5B"/>
    <w:rsid w:val="006A465C"/>
    <w:rsid w:val="006A4FFC"/>
    <w:rsid w:val="006A6D7D"/>
    <w:rsid w:val="006A73F8"/>
    <w:rsid w:val="006B1180"/>
    <w:rsid w:val="006B2425"/>
    <w:rsid w:val="006B2483"/>
    <w:rsid w:val="006B49A4"/>
    <w:rsid w:val="006B4E3F"/>
    <w:rsid w:val="006B6D4A"/>
    <w:rsid w:val="006B7E82"/>
    <w:rsid w:val="006C2620"/>
    <w:rsid w:val="006C3304"/>
    <w:rsid w:val="006C7956"/>
    <w:rsid w:val="006D03BB"/>
    <w:rsid w:val="006D21FF"/>
    <w:rsid w:val="006D5C41"/>
    <w:rsid w:val="006D6612"/>
    <w:rsid w:val="006D680C"/>
    <w:rsid w:val="006D7C6D"/>
    <w:rsid w:val="006E3BD4"/>
    <w:rsid w:val="006E4164"/>
    <w:rsid w:val="006E5B0A"/>
    <w:rsid w:val="006F265F"/>
    <w:rsid w:val="006F3FEB"/>
    <w:rsid w:val="006F4AFC"/>
    <w:rsid w:val="006F6D18"/>
    <w:rsid w:val="006F730C"/>
    <w:rsid w:val="006F73F3"/>
    <w:rsid w:val="00700DDD"/>
    <w:rsid w:val="00702EB1"/>
    <w:rsid w:val="00702F11"/>
    <w:rsid w:val="007031B1"/>
    <w:rsid w:val="007043FD"/>
    <w:rsid w:val="00707736"/>
    <w:rsid w:val="00711B96"/>
    <w:rsid w:val="0071402F"/>
    <w:rsid w:val="00716DB7"/>
    <w:rsid w:val="007222A0"/>
    <w:rsid w:val="00735339"/>
    <w:rsid w:val="007447D1"/>
    <w:rsid w:val="00744BFF"/>
    <w:rsid w:val="00750A84"/>
    <w:rsid w:val="0075488B"/>
    <w:rsid w:val="00756044"/>
    <w:rsid w:val="00756E06"/>
    <w:rsid w:val="007578F2"/>
    <w:rsid w:val="007614D4"/>
    <w:rsid w:val="00761C9D"/>
    <w:rsid w:val="00761DA6"/>
    <w:rsid w:val="00764A19"/>
    <w:rsid w:val="0076716B"/>
    <w:rsid w:val="007700B1"/>
    <w:rsid w:val="0077040F"/>
    <w:rsid w:val="007734ED"/>
    <w:rsid w:val="00777AD6"/>
    <w:rsid w:val="00780B38"/>
    <w:rsid w:val="00781F52"/>
    <w:rsid w:val="007825D9"/>
    <w:rsid w:val="0078608F"/>
    <w:rsid w:val="00787CE7"/>
    <w:rsid w:val="00794239"/>
    <w:rsid w:val="007957F9"/>
    <w:rsid w:val="007963EB"/>
    <w:rsid w:val="007A1493"/>
    <w:rsid w:val="007A2D95"/>
    <w:rsid w:val="007A2E39"/>
    <w:rsid w:val="007A4FD7"/>
    <w:rsid w:val="007B1192"/>
    <w:rsid w:val="007B1305"/>
    <w:rsid w:val="007B1E87"/>
    <w:rsid w:val="007C02E5"/>
    <w:rsid w:val="007C6B92"/>
    <w:rsid w:val="007C7719"/>
    <w:rsid w:val="007D2AD5"/>
    <w:rsid w:val="007D4252"/>
    <w:rsid w:val="007D6AE7"/>
    <w:rsid w:val="007D6CFB"/>
    <w:rsid w:val="007D705C"/>
    <w:rsid w:val="007E1607"/>
    <w:rsid w:val="007E3FE8"/>
    <w:rsid w:val="007E574B"/>
    <w:rsid w:val="007E5750"/>
    <w:rsid w:val="007E6923"/>
    <w:rsid w:val="007F62A7"/>
    <w:rsid w:val="007F6BE3"/>
    <w:rsid w:val="008015C0"/>
    <w:rsid w:val="0080264C"/>
    <w:rsid w:val="008059AC"/>
    <w:rsid w:val="008065F4"/>
    <w:rsid w:val="00811638"/>
    <w:rsid w:val="00814406"/>
    <w:rsid w:val="00814411"/>
    <w:rsid w:val="00814AE7"/>
    <w:rsid w:val="00815382"/>
    <w:rsid w:val="00821341"/>
    <w:rsid w:val="00822B5F"/>
    <w:rsid w:val="0082521F"/>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117"/>
    <w:rsid w:val="00865AD4"/>
    <w:rsid w:val="00865E7D"/>
    <w:rsid w:val="00871065"/>
    <w:rsid w:val="00872A9C"/>
    <w:rsid w:val="0087448C"/>
    <w:rsid w:val="00877B02"/>
    <w:rsid w:val="008813AB"/>
    <w:rsid w:val="0088174A"/>
    <w:rsid w:val="00882E5C"/>
    <w:rsid w:val="0088454B"/>
    <w:rsid w:val="008850FA"/>
    <w:rsid w:val="00892628"/>
    <w:rsid w:val="00894358"/>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3FD2"/>
    <w:rsid w:val="008D680C"/>
    <w:rsid w:val="008D6AB9"/>
    <w:rsid w:val="008E0151"/>
    <w:rsid w:val="008E2336"/>
    <w:rsid w:val="008E3F68"/>
    <w:rsid w:val="008E725C"/>
    <w:rsid w:val="008F2984"/>
    <w:rsid w:val="008F7DA8"/>
    <w:rsid w:val="00900ECE"/>
    <w:rsid w:val="00901CA4"/>
    <w:rsid w:val="00905497"/>
    <w:rsid w:val="009059B9"/>
    <w:rsid w:val="009078F0"/>
    <w:rsid w:val="00910B00"/>
    <w:rsid w:val="0091313F"/>
    <w:rsid w:val="00914549"/>
    <w:rsid w:val="009147A0"/>
    <w:rsid w:val="009157C5"/>
    <w:rsid w:val="00916365"/>
    <w:rsid w:val="0091711A"/>
    <w:rsid w:val="00917F77"/>
    <w:rsid w:val="00921D02"/>
    <w:rsid w:val="0092292E"/>
    <w:rsid w:val="00923BAF"/>
    <w:rsid w:val="009250ED"/>
    <w:rsid w:val="009259C2"/>
    <w:rsid w:val="00931483"/>
    <w:rsid w:val="009315B2"/>
    <w:rsid w:val="00931C11"/>
    <w:rsid w:val="0093204A"/>
    <w:rsid w:val="00932372"/>
    <w:rsid w:val="00932B98"/>
    <w:rsid w:val="00932E4E"/>
    <w:rsid w:val="009346C8"/>
    <w:rsid w:val="00935598"/>
    <w:rsid w:val="00940BA2"/>
    <w:rsid w:val="009413A5"/>
    <w:rsid w:val="00944C5E"/>
    <w:rsid w:val="00951F7C"/>
    <w:rsid w:val="009555B9"/>
    <w:rsid w:val="0095642D"/>
    <w:rsid w:val="00962492"/>
    <w:rsid w:val="009625E7"/>
    <w:rsid w:val="00963EA5"/>
    <w:rsid w:val="00964824"/>
    <w:rsid w:val="00964B48"/>
    <w:rsid w:val="00966511"/>
    <w:rsid w:val="00970A65"/>
    <w:rsid w:val="00972C11"/>
    <w:rsid w:val="00973A95"/>
    <w:rsid w:val="009766F4"/>
    <w:rsid w:val="00976BF5"/>
    <w:rsid w:val="0097793B"/>
    <w:rsid w:val="00981FE2"/>
    <w:rsid w:val="00982052"/>
    <w:rsid w:val="00982410"/>
    <w:rsid w:val="009919B0"/>
    <w:rsid w:val="00995D54"/>
    <w:rsid w:val="009A4D57"/>
    <w:rsid w:val="009A5344"/>
    <w:rsid w:val="009A5B76"/>
    <w:rsid w:val="009B11C3"/>
    <w:rsid w:val="009B453F"/>
    <w:rsid w:val="009B69E2"/>
    <w:rsid w:val="009B6CDF"/>
    <w:rsid w:val="009B6D8C"/>
    <w:rsid w:val="009B76DA"/>
    <w:rsid w:val="009C13E5"/>
    <w:rsid w:val="009C17F5"/>
    <w:rsid w:val="009C4062"/>
    <w:rsid w:val="009C40AE"/>
    <w:rsid w:val="009C73FF"/>
    <w:rsid w:val="009D523A"/>
    <w:rsid w:val="009D58E7"/>
    <w:rsid w:val="009E0BF0"/>
    <w:rsid w:val="009E2852"/>
    <w:rsid w:val="009E69BF"/>
    <w:rsid w:val="009E6C29"/>
    <w:rsid w:val="009E701D"/>
    <w:rsid w:val="009E715C"/>
    <w:rsid w:val="009E756D"/>
    <w:rsid w:val="009E7C89"/>
    <w:rsid w:val="009F00C2"/>
    <w:rsid w:val="009F11EC"/>
    <w:rsid w:val="009F33C2"/>
    <w:rsid w:val="009F45A2"/>
    <w:rsid w:val="00A01047"/>
    <w:rsid w:val="00A064A6"/>
    <w:rsid w:val="00A126A5"/>
    <w:rsid w:val="00A219A4"/>
    <w:rsid w:val="00A23043"/>
    <w:rsid w:val="00A25844"/>
    <w:rsid w:val="00A26E0C"/>
    <w:rsid w:val="00A270F8"/>
    <w:rsid w:val="00A30C7E"/>
    <w:rsid w:val="00A311C2"/>
    <w:rsid w:val="00A343A5"/>
    <w:rsid w:val="00A35682"/>
    <w:rsid w:val="00A36E3D"/>
    <w:rsid w:val="00A3715B"/>
    <w:rsid w:val="00A40FBE"/>
    <w:rsid w:val="00A43AB3"/>
    <w:rsid w:val="00A469D3"/>
    <w:rsid w:val="00A60264"/>
    <w:rsid w:val="00A60379"/>
    <w:rsid w:val="00A606CF"/>
    <w:rsid w:val="00A66515"/>
    <w:rsid w:val="00A66A4E"/>
    <w:rsid w:val="00A67A0C"/>
    <w:rsid w:val="00A70EF5"/>
    <w:rsid w:val="00A74AFC"/>
    <w:rsid w:val="00A81E86"/>
    <w:rsid w:val="00A833EF"/>
    <w:rsid w:val="00A84E0B"/>
    <w:rsid w:val="00A8684E"/>
    <w:rsid w:val="00A900BC"/>
    <w:rsid w:val="00A9089D"/>
    <w:rsid w:val="00A92089"/>
    <w:rsid w:val="00A960CD"/>
    <w:rsid w:val="00A9674C"/>
    <w:rsid w:val="00A96CD2"/>
    <w:rsid w:val="00AA1231"/>
    <w:rsid w:val="00AA174B"/>
    <w:rsid w:val="00AA795E"/>
    <w:rsid w:val="00AB3372"/>
    <w:rsid w:val="00AB496C"/>
    <w:rsid w:val="00AB6178"/>
    <w:rsid w:val="00AB7AB9"/>
    <w:rsid w:val="00AB7DAD"/>
    <w:rsid w:val="00AC603E"/>
    <w:rsid w:val="00AD11C2"/>
    <w:rsid w:val="00AD2206"/>
    <w:rsid w:val="00AD24F3"/>
    <w:rsid w:val="00AD2E6C"/>
    <w:rsid w:val="00AE3DBB"/>
    <w:rsid w:val="00AF0545"/>
    <w:rsid w:val="00AF6955"/>
    <w:rsid w:val="00B000BE"/>
    <w:rsid w:val="00B01117"/>
    <w:rsid w:val="00B01CB5"/>
    <w:rsid w:val="00B023D9"/>
    <w:rsid w:val="00B02C9E"/>
    <w:rsid w:val="00B04DDB"/>
    <w:rsid w:val="00B05B63"/>
    <w:rsid w:val="00B105E2"/>
    <w:rsid w:val="00B11994"/>
    <w:rsid w:val="00B11C13"/>
    <w:rsid w:val="00B11F80"/>
    <w:rsid w:val="00B176FD"/>
    <w:rsid w:val="00B260F6"/>
    <w:rsid w:val="00B30DDF"/>
    <w:rsid w:val="00B30F06"/>
    <w:rsid w:val="00B331F4"/>
    <w:rsid w:val="00B33BD4"/>
    <w:rsid w:val="00B42423"/>
    <w:rsid w:val="00B45465"/>
    <w:rsid w:val="00B45B86"/>
    <w:rsid w:val="00B518EB"/>
    <w:rsid w:val="00B5234D"/>
    <w:rsid w:val="00B57DCF"/>
    <w:rsid w:val="00B60118"/>
    <w:rsid w:val="00B6037C"/>
    <w:rsid w:val="00B72C2C"/>
    <w:rsid w:val="00B73D4C"/>
    <w:rsid w:val="00B80400"/>
    <w:rsid w:val="00B81EF5"/>
    <w:rsid w:val="00B83B64"/>
    <w:rsid w:val="00B852C3"/>
    <w:rsid w:val="00B8600E"/>
    <w:rsid w:val="00B86797"/>
    <w:rsid w:val="00B86E7E"/>
    <w:rsid w:val="00B90660"/>
    <w:rsid w:val="00B9069A"/>
    <w:rsid w:val="00B90E1D"/>
    <w:rsid w:val="00B92E70"/>
    <w:rsid w:val="00B949A7"/>
    <w:rsid w:val="00B94B2E"/>
    <w:rsid w:val="00B973C9"/>
    <w:rsid w:val="00BA0343"/>
    <w:rsid w:val="00BA36B1"/>
    <w:rsid w:val="00BA79D9"/>
    <w:rsid w:val="00BB000E"/>
    <w:rsid w:val="00BB00E9"/>
    <w:rsid w:val="00BB076D"/>
    <w:rsid w:val="00BB4F8E"/>
    <w:rsid w:val="00BB5573"/>
    <w:rsid w:val="00BB5649"/>
    <w:rsid w:val="00BB7383"/>
    <w:rsid w:val="00BB74AC"/>
    <w:rsid w:val="00BC2562"/>
    <w:rsid w:val="00BC294B"/>
    <w:rsid w:val="00BC3468"/>
    <w:rsid w:val="00BC50A4"/>
    <w:rsid w:val="00BD1E52"/>
    <w:rsid w:val="00BD468B"/>
    <w:rsid w:val="00BE18A5"/>
    <w:rsid w:val="00BE266D"/>
    <w:rsid w:val="00BE33C8"/>
    <w:rsid w:val="00BE6894"/>
    <w:rsid w:val="00BF1CE7"/>
    <w:rsid w:val="00BF2B75"/>
    <w:rsid w:val="00BF39D4"/>
    <w:rsid w:val="00BF3F82"/>
    <w:rsid w:val="00BF56FC"/>
    <w:rsid w:val="00BF5B09"/>
    <w:rsid w:val="00BF7326"/>
    <w:rsid w:val="00C01B00"/>
    <w:rsid w:val="00C03960"/>
    <w:rsid w:val="00C0760F"/>
    <w:rsid w:val="00C10107"/>
    <w:rsid w:val="00C138B9"/>
    <w:rsid w:val="00C14871"/>
    <w:rsid w:val="00C22C89"/>
    <w:rsid w:val="00C247F2"/>
    <w:rsid w:val="00C2798C"/>
    <w:rsid w:val="00C40126"/>
    <w:rsid w:val="00C4142C"/>
    <w:rsid w:val="00C44D41"/>
    <w:rsid w:val="00C45A45"/>
    <w:rsid w:val="00C45D90"/>
    <w:rsid w:val="00C46DC5"/>
    <w:rsid w:val="00C47A9D"/>
    <w:rsid w:val="00C50508"/>
    <w:rsid w:val="00C51094"/>
    <w:rsid w:val="00C536C6"/>
    <w:rsid w:val="00C5662D"/>
    <w:rsid w:val="00C611BE"/>
    <w:rsid w:val="00C622A4"/>
    <w:rsid w:val="00C62485"/>
    <w:rsid w:val="00C64412"/>
    <w:rsid w:val="00C6450B"/>
    <w:rsid w:val="00C7488A"/>
    <w:rsid w:val="00C749D7"/>
    <w:rsid w:val="00C764FE"/>
    <w:rsid w:val="00C77B83"/>
    <w:rsid w:val="00C8092E"/>
    <w:rsid w:val="00C81C15"/>
    <w:rsid w:val="00C81CE4"/>
    <w:rsid w:val="00C83353"/>
    <w:rsid w:val="00C8565E"/>
    <w:rsid w:val="00C90FA2"/>
    <w:rsid w:val="00C93B1C"/>
    <w:rsid w:val="00C949B5"/>
    <w:rsid w:val="00C94B60"/>
    <w:rsid w:val="00C94F16"/>
    <w:rsid w:val="00C95148"/>
    <w:rsid w:val="00C9675A"/>
    <w:rsid w:val="00C970F2"/>
    <w:rsid w:val="00C971DE"/>
    <w:rsid w:val="00C97EA8"/>
    <w:rsid w:val="00CA1FFC"/>
    <w:rsid w:val="00CA615F"/>
    <w:rsid w:val="00CA6471"/>
    <w:rsid w:val="00CA73BC"/>
    <w:rsid w:val="00CA7F45"/>
    <w:rsid w:val="00CA7F4A"/>
    <w:rsid w:val="00CA7FF4"/>
    <w:rsid w:val="00CB1BB7"/>
    <w:rsid w:val="00CB1CB6"/>
    <w:rsid w:val="00CB3552"/>
    <w:rsid w:val="00CB4AFD"/>
    <w:rsid w:val="00CB5665"/>
    <w:rsid w:val="00CB77C1"/>
    <w:rsid w:val="00CC1B89"/>
    <w:rsid w:val="00CC2B56"/>
    <w:rsid w:val="00CC49CC"/>
    <w:rsid w:val="00CD0D49"/>
    <w:rsid w:val="00CD148B"/>
    <w:rsid w:val="00CD30C4"/>
    <w:rsid w:val="00CD3139"/>
    <w:rsid w:val="00CE347E"/>
    <w:rsid w:val="00CE55BF"/>
    <w:rsid w:val="00CE614C"/>
    <w:rsid w:val="00CF429F"/>
    <w:rsid w:val="00CF6E72"/>
    <w:rsid w:val="00CF773F"/>
    <w:rsid w:val="00CF7C68"/>
    <w:rsid w:val="00D00C60"/>
    <w:rsid w:val="00D04B5A"/>
    <w:rsid w:val="00D05BD4"/>
    <w:rsid w:val="00D13A18"/>
    <w:rsid w:val="00D140B1"/>
    <w:rsid w:val="00D154AE"/>
    <w:rsid w:val="00D15E8A"/>
    <w:rsid w:val="00D165D5"/>
    <w:rsid w:val="00D170E4"/>
    <w:rsid w:val="00D17BAD"/>
    <w:rsid w:val="00D206F1"/>
    <w:rsid w:val="00D23BD5"/>
    <w:rsid w:val="00D2600D"/>
    <w:rsid w:val="00D27AAA"/>
    <w:rsid w:val="00D3011C"/>
    <w:rsid w:val="00D3206B"/>
    <w:rsid w:val="00D32D01"/>
    <w:rsid w:val="00D3411D"/>
    <w:rsid w:val="00D34251"/>
    <w:rsid w:val="00D36A2A"/>
    <w:rsid w:val="00D378DB"/>
    <w:rsid w:val="00D426AD"/>
    <w:rsid w:val="00D42924"/>
    <w:rsid w:val="00D44594"/>
    <w:rsid w:val="00D44A26"/>
    <w:rsid w:val="00D46CC5"/>
    <w:rsid w:val="00D500A5"/>
    <w:rsid w:val="00D50DC3"/>
    <w:rsid w:val="00D52EA3"/>
    <w:rsid w:val="00D541E7"/>
    <w:rsid w:val="00D56D71"/>
    <w:rsid w:val="00D71B98"/>
    <w:rsid w:val="00D7561D"/>
    <w:rsid w:val="00D810B8"/>
    <w:rsid w:val="00D849EE"/>
    <w:rsid w:val="00D854D7"/>
    <w:rsid w:val="00D864BC"/>
    <w:rsid w:val="00D8659F"/>
    <w:rsid w:val="00D926FD"/>
    <w:rsid w:val="00D9439C"/>
    <w:rsid w:val="00DA37FA"/>
    <w:rsid w:val="00DA4E74"/>
    <w:rsid w:val="00DB0A92"/>
    <w:rsid w:val="00DB0CFD"/>
    <w:rsid w:val="00DB2324"/>
    <w:rsid w:val="00DC02C5"/>
    <w:rsid w:val="00DC0518"/>
    <w:rsid w:val="00DC0B18"/>
    <w:rsid w:val="00DC1F96"/>
    <w:rsid w:val="00DC2044"/>
    <w:rsid w:val="00DC57DB"/>
    <w:rsid w:val="00DD2ADB"/>
    <w:rsid w:val="00DD344A"/>
    <w:rsid w:val="00DE061D"/>
    <w:rsid w:val="00DE222B"/>
    <w:rsid w:val="00DE4BDB"/>
    <w:rsid w:val="00DE4FC5"/>
    <w:rsid w:val="00DF23E4"/>
    <w:rsid w:val="00DF3111"/>
    <w:rsid w:val="00DF32E9"/>
    <w:rsid w:val="00DF4330"/>
    <w:rsid w:val="00DF4978"/>
    <w:rsid w:val="00DF4F75"/>
    <w:rsid w:val="00DF683E"/>
    <w:rsid w:val="00DF7006"/>
    <w:rsid w:val="00E03DB4"/>
    <w:rsid w:val="00E0407D"/>
    <w:rsid w:val="00E04504"/>
    <w:rsid w:val="00E141D5"/>
    <w:rsid w:val="00E15AD4"/>
    <w:rsid w:val="00E16443"/>
    <w:rsid w:val="00E172A6"/>
    <w:rsid w:val="00E202FA"/>
    <w:rsid w:val="00E218CA"/>
    <w:rsid w:val="00E23370"/>
    <w:rsid w:val="00E2458E"/>
    <w:rsid w:val="00E253D5"/>
    <w:rsid w:val="00E25645"/>
    <w:rsid w:val="00E27C53"/>
    <w:rsid w:val="00E30DEC"/>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232A"/>
    <w:rsid w:val="00E73CE9"/>
    <w:rsid w:val="00E74068"/>
    <w:rsid w:val="00E742E4"/>
    <w:rsid w:val="00E77099"/>
    <w:rsid w:val="00E77BA6"/>
    <w:rsid w:val="00E77EEF"/>
    <w:rsid w:val="00E81A9B"/>
    <w:rsid w:val="00E81DAA"/>
    <w:rsid w:val="00E85F06"/>
    <w:rsid w:val="00E877DB"/>
    <w:rsid w:val="00E911CE"/>
    <w:rsid w:val="00E97688"/>
    <w:rsid w:val="00EA064A"/>
    <w:rsid w:val="00EA1B2B"/>
    <w:rsid w:val="00EA2F43"/>
    <w:rsid w:val="00EA3B65"/>
    <w:rsid w:val="00EA7592"/>
    <w:rsid w:val="00EB175C"/>
    <w:rsid w:val="00EB5E6A"/>
    <w:rsid w:val="00EB7A57"/>
    <w:rsid w:val="00EB7B14"/>
    <w:rsid w:val="00EC1999"/>
    <w:rsid w:val="00EC4A25"/>
    <w:rsid w:val="00EE11F8"/>
    <w:rsid w:val="00EE3C1D"/>
    <w:rsid w:val="00EF05F9"/>
    <w:rsid w:val="00EF14AC"/>
    <w:rsid w:val="00EF2082"/>
    <w:rsid w:val="00EF6B9D"/>
    <w:rsid w:val="00F01292"/>
    <w:rsid w:val="00F04524"/>
    <w:rsid w:val="00F0490D"/>
    <w:rsid w:val="00F07599"/>
    <w:rsid w:val="00F1029B"/>
    <w:rsid w:val="00F12333"/>
    <w:rsid w:val="00F12D89"/>
    <w:rsid w:val="00F13D71"/>
    <w:rsid w:val="00F14FDC"/>
    <w:rsid w:val="00F220AC"/>
    <w:rsid w:val="00F2315C"/>
    <w:rsid w:val="00F24F30"/>
    <w:rsid w:val="00F303C3"/>
    <w:rsid w:val="00F318F6"/>
    <w:rsid w:val="00F326A0"/>
    <w:rsid w:val="00F34850"/>
    <w:rsid w:val="00F3769E"/>
    <w:rsid w:val="00F43593"/>
    <w:rsid w:val="00F44272"/>
    <w:rsid w:val="00F47906"/>
    <w:rsid w:val="00F553C3"/>
    <w:rsid w:val="00F567E2"/>
    <w:rsid w:val="00F5785E"/>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424D"/>
    <w:rsid w:val="00F957AF"/>
    <w:rsid w:val="00FA03B3"/>
    <w:rsid w:val="00FA2CA7"/>
    <w:rsid w:val="00FA3F33"/>
    <w:rsid w:val="00FA4B68"/>
    <w:rsid w:val="00FA73CD"/>
    <w:rsid w:val="00FB0194"/>
    <w:rsid w:val="00FB0524"/>
    <w:rsid w:val="00FC50A5"/>
    <w:rsid w:val="00FC6324"/>
    <w:rsid w:val="00FC7F31"/>
    <w:rsid w:val="00FD327B"/>
    <w:rsid w:val="00FD70FD"/>
    <w:rsid w:val="00FE18C3"/>
    <w:rsid w:val="00FE1900"/>
    <w:rsid w:val="00FE3270"/>
    <w:rsid w:val="00FE5257"/>
    <w:rsid w:val="00FE7DA9"/>
    <w:rsid w:val="00FF374D"/>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F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70F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70F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70F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970F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70F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70F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70F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70F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70F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0F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70F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70F2"/>
    <w:rPr>
      <w:rFonts w:ascii="Tahoma" w:eastAsia="Times New Roman" w:hAnsi="Tahoma" w:cs="Tahoma"/>
      <w:sz w:val="16"/>
      <w:szCs w:val="16"/>
    </w:rPr>
  </w:style>
  <w:style w:type="paragraph" w:customStyle="1" w:styleId="Bullet">
    <w:name w:val="Bullet"/>
    <w:basedOn w:val="Normal"/>
    <w:qFormat/>
    <w:rsid w:val="00C970F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970F2"/>
    <w:pPr>
      <w:numPr>
        <w:numId w:val="2"/>
      </w:numPr>
      <w:spacing w:after="240"/>
      <w:ind w:left="432" w:hanging="432"/>
    </w:pPr>
  </w:style>
  <w:style w:type="paragraph" w:customStyle="1" w:styleId="BulletLastDS">
    <w:name w:val="Bullet (Last DS)"/>
    <w:basedOn w:val="Bullet"/>
    <w:next w:val="Normal"/>
    <w:qFormat/>
    <w:rsid w:val="00C970F2"/>
    <w:pPr>
      <w:numPr>
        <w:numId w:val="3"/>
      </w:numPr>
      <w:spacing w:after="320"/>
      <w:ind w:left="432" w:hanging="432"/>
    </w:pPr>
  </w:style>
  <w:style w:type="paragraph" w:customStyle="1" w:styleId="Center">
    <w:name w:val="Center"/>
    <w:basedOn w:val="Normal"/>
    <w:semiHidden/>
    <w:unhideWhenUsed/>
    <w:rsid w:val="00C970F2"/>
    <w:pPr>
      <w:ind w:firstLine="0"/>
      <w:jc w:val="center"/>
    </w:pPr>
  </w:style>
  <w:style w:type="paragraph" w:customStyle="1" w:styleId="Dash">
    <w:name w:val="Dash"/>
    <w:basedOn w:val="Normal"/>
    <w:qFormat/>
    <w:rsid w:val="00C970F2"/>
    <w:pPr>
      <w:numPr>
        <w:numId w:val="4"/>
      </w:numPr>
      <w:tabs>
        <w:tab w:val="left" w:pos="288"/>
      </w:tabs>
      <w:spacing w:after="120" w:line="240" w:lineRule="auto"/>
    </w:pPr>
  </w:style>
  <w:style w:type="paragraph" w:customStyle="1" w:styleId="DashLASTSS">
    <w:name w:val="Dash (LAST SS)"/>
    <w:basedOn w:val="Dash"/>
    <w:next w:val="NormalSS"/>
    <w:qFormat/>
    <w:rsid w:val="00C970F2"/>
    <w:pPr>
      <w:numPr>
        <w:numId w:val="5"/>
      </w:numPr>
      <w:spacing w:after="240"/>
    </w:pPr>
  </w:style>
  <w:style w:type="paragraph" w:customStyle="1" w:styleId="DashLASTDS">
    <w:name w:val="Dash (LAST DS)"/>
    <w:basedOn w:val="Dash"/>
    <w:next w:val="Normal"/>
    <w:qFormat/>
    <w:rsid w:val="00C970F2"/>
    <w:pPr>
      <w:spacing w:after="320"/>
    </w:pPr>
    <w:rPr>
      <w:szCs w:val="24"/>
    </w:rPr>
  </w:style>
  <w:style w:type="paragraph" w:styleId="Footer">
    <w:name w:val="footer"/>
    <w:basedOn w:val="Normal"/>
    <w:link w:val="FooterChar"/>
    <w:qFormat/>
    <w:rsid w:val="00C970F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70F2"/>
    <w:rPr>
      <w:rFonts w:ascii="Arial" w:eastAsia="Times New Roman" w:hAnsi="Arial" w:cs="Times New Roman"/>
      <w:sz w:val="20"/>
      <w:szCs w:val="20"/>
    </w:rPr>
  </w:style>
  <w:style w:type="paragraph" w:styleId="DocumentMap">
    <w:name w:val="Document Map"/>
    <w:basedOn w:val="Normal"/>
    <w:link w:val="DocumentMapChar"/>
    <w:semiHidden/>
    <w:unhideWhenUsed/>
    <w:rsid w:val="00C970F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70F2"/>
    <w:rPr>
      <w:rFonts w:asciiTheme="majorHAnsi" w:eastAsia="Times New Roman" w:hAnsiTheme="majorHAnsi" w:cs="Times New Roman"/>
      <w:szCs w:val="20"/>
    </w:rPr>
  </w:style>
  <w:style w:type="character" w:styleId="FootnoteReference">
    <w:name w:val="footnote reference"/>
    <w:basedOn w:val="DefaultParagraphFont"/>
    <w:qFormat/>
    <w:rsid w:val="00C970F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70F2"/>
    <w:pPr>
      <w:spacing w:after="120" w:line="240" w:lineRule="auto"/>
      <w:ind w:firstLine="0"/>
    </w:pPr>
    <w:rPr>
      <w:sz w:val="20"/>
    </w:rPr>
  </w:style>
  <w:style w:type="character" w:customStyle="1" w:styleId="FootnoteTextChar">
    <w:name w:val="Footnote Text Char"/>
    <w:basedOn w:val="DefaultParagraphFont"/>
    <w:link w:val="FootnoteText"/>
    <w:rsid w:val="00C970F2"/>
    <w:rPr>
      <w:rFonts w:eastAsia="Times New Roman" w:cs="Times New Roman"/>
      <w:sz w:val="20"/>
      <w:szCs w:val="20"/>
    </w:rPr>
  </w:style>
  <w:style w:type="paragraph" w:styleId="Header">
    <w:name w:val="header"/>
    <w:basedOn w:val="Normal"/>
    <w:link w:val="HeaderChar"/>
    <w:qFormat/>
    <w:rsid w:val="00C970F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70F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70F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70F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70F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70F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70F2"/>
    <w:pPr>
      <w:outlineLvl w:val="9"/>
    </w:pPr>
  </w:style>
  <w:style w:type="character" w:customStyle="1" w:styleId="Heading4Char">
    <w:name w:val="Heading 4 Char"/>
    <w:basedOn w:val="DefaultParagraphFont"/>
    <w:link w:val="Heading4"/>
    <w:rsid w:val="00C970F2"/>
    <w:rPr>
      <w:rFonts w:eastAsia="Times New Roman" w:cs="Times New Roman"/>
      <w:b/>
      <w:szCs w:val="20"/>
    </w:rPr>
  </w:style>
  <w:style w:type="character" w:customStyle="1" w:styleId="Heading5Char">
    <w:name w:val="Heading 5 Char"/>
    <w:basedOn w:val="DefaultParagraphFont"/>
    <w:link w:val="Heading5"/>
    <w:semiHidden/>
    <w:rsid w:val="00C970F2"/>
    <w:rPr>
      <w:rFonts w:eastAsia="Times New Roman" w:cs="Times New Roman"/>
      <w:b/>
      <w:szCs w:val="20"/>
    </w:rPr>
  </w:style>
  <w:style w:type="character" w:customStyle="1" w:styleId="Heading6Char">
    <w:name w:val="Heading 6 Char"/>
    <w:basedOn w:val="DefaultParagraphFont"/>
    <w:link w:val="Heading6"/>
    <w:semiHidden/>
    <w:rsid w:val="00C970F2"/>
    <w:rPr>
      <w:rFonts w:eastAsia="Times New Roman" w:cs="Times New Roman"/>
      <w:szCs w:val="20"/>
    </w:rPr>
  </w:style>
  <w:style w:type="character" w:customStyle="1" w:styleId="Heading7Char">
    <w:name w:val="Heading 7 Char"/>
    <w:basedOn w:val="DefaultParagraphFont"/>
    <w:link w:val="Heading7"/>
    <w:semiHidden/>
    <w:rsid w:val="00C970F2"/>
    <w:rPr>
      <w:rFonts w:eastAsia="Times New Roman" w:cs="Times New Roman"/>
      <w:szCs w:val="20"/>
    </w:rPr>
  </w:style>
  <w:style w:type="character" w:customStyle="1" w:styleId="Heading8Char">
    <w:name w:val="Heading 8 Char"/>
    <w:basedOn w:val="DefaultParagraphFont"/>
    <w:link w:val="Heading8"/>
    <w:semiHidden/>
    <w:rsid w:val="00C970F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70F2"/>
    <w:rPr>
      <w:rFonts w:eastAsia="Times New Roman" w:cs="Times New Roman"/>
      <w:szCs w:val="20"/>
    </w:rPr>
  </w:style>
  <w:style w:type="paragraph" w:customStyle="1" w:styleId="MarkforAppendixTitle">
    <w:name w:val="Mark for Appendix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70F2"/>
  </w:style>
  <w:style w:type="paragraph" w:customStyle="1" w:styleId="MarkforTableTitle">
    <w:name w:val="Mark for Table Title"/>
    <w:basedOn w:val="Normal"/>
    <w:next w:val="NormalSS"/>
    <w:qFormat/>
    <w:rsid w:val="00C970F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70F2"/>
  </w:style>
  <w:style w:type="numbering" w:customStyle="1" w:styleId="MPROutline">
    <w:name w:val="MPROutline"/>
    <w:uiPriority w:val="99"/>
    <w:locked/>
    <w:rsid w:val="00C970F2"/>
    <w:pPr>
      <w:numPr>
        <w:numId w:val="7"/>
      </w:numPr>
    </w:pPr>
  </w:style>
  <w:style w:type="character" w:customStyle="1" w:styleId="MTEquationSection">
    <w:name w:val="MTEquationSection"/>
    <w:basedOn w:val="DefaultParagraphFont"/>
    <w:rsid w:val="00C970F2"/>
    <w:rPr>
      <w:rFonts w:ascii="Arial" w:hAnsi="Arial"/>
      <w:vanish/>
      <w:color w:val="auto"/>
      <w:sz w:val="18"/>
    </w:rPr>
  </w:style>
  <w:style w:type="paragraph" w:customStyle="1" w:styleId="Normalcontinued">
    <w:name w:val="Normal (continued)"/>
    <w:basedOn w:val="Normal"/>
    <w:next w:val="Normal"/>
    <w:qFormat/>
    <w:rsid w:val="00C970F2"/>
    <w:pPr>
      <w:ind w:firstLine="0"/>
    </w:pPr>
  </w:style>
  <w:style w:type="paragraph" w:customStyle="1" w:styleId="NormalSS">
    <w:name w:val="NormalSS"/>
    <w:basedOn w:val="Normal"/>
    <w:link w:val="NormalSSChar"/>
    <w:qFormat/>
    <w:rsid w:val="00C970F2"/>
    <w:pPr>
      <w:spacing w:after="240" w:line="240" w:lineRule="auto"/>
    </w:pPr>
  </w:style>
  <w:style w:type="paragraph" w:customStyle="1" w:styleId="NormalSScontinued">
    <w:name w:val="NormalSS (continued)"/>
    <w:basedOn w:val="NormalSS"/>
    <w:next w:val="NormalSS"/>
    <w:qFormat/>
    <w:rsid w:val="00C970F2"/>
    <w:pPr>
      <w:ind w:firstLine="0"/>
    </w:pPr>
  </w:style>
  <w:style w:type="paragraph" w:customStyle="1" w:styleId="NumberedBullet">
    <w:name w:val="Numbered Bullet"/>
    <w:basedOn w:val="Normal"/>
    <w:link w:val="NumberedBulletChar"/>
    <w:qFormat/>
    <w:rsid w:val="00C970F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70F2"/>
    <w:pPr>
      <w:spacing w:after="240" w:line="240" w:lineRule="auto"/>
      <w:ind w:left="720" w:hanging="720"/>
    </w:pPr>
  </w:style>
  <w:style w:type="character" w:styleId="PageNumber">
    <w:name w:val="page number"/>
    <w:basedOn w:val="DefaultParagraphFont"/>
    <w:semiHidden/>
    <w:qFormat/>
    <w:rsid w:val="00C970F2"/>
    <w:rPr>
      <w:rFonts w:ascii="Arial" w:hAnsi="Arial"/>
      <w:color w:val="auto"/>
      <w:sz w:val="20"/>
      <w:bdr w:val="none" w:sz="0" w:space="0" w:color="auto"/>
    </w:rPr>
  </w:style>
  <w:style w:type="paragraph" w:customStyle="1" w:styleId="References">
    <w:name w:val="References"/>
    <w:basedOn w:val="Normal"/>
    <w:qFormat/>
    <w:rsid w:val="00C970F2"/>
    <w:pPr>
      <w:keepLines/>
      <w:spacing w:after="240" w:line="240" w:lineRule="auto"/>
      <w:ind w:left="432" w:hanging="432"/>
    </w:pPr>
  </w:style>
  <w:style w:type="paragraph" w:customStyle="1" w:styleId="TableFootnoteCaption">
    <w:name w:val="Table Footnote_Caption"/>
    <w:qFormat/>
    <w:rsid w:val="00C970F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70F2"/>
    <w:pPr>
      <w:spacing w:before="120" w:after="60"/>
    </w:pPr>
    <w:rPr>
      <w:b/>
      <w:color w:val="FFFFFF" w:themeColor="background1"/>
    </w:rPr>
  </w:style>
  <w:style w:type="paragraph" w:customStyle="1" w:styleId="TableHeaderCenter">
    <w:name w:val="Table Header Center"/>
    <w:basedOn w:val="TableHeaderLeft"/>
    <w:qFormat/>
    <w:rsid w:val="00C970F2"/>
    <w:pPr>
      <w:jc w:val="center"/>
    </w:pPr>
  </w:style>
  <w:style w:type="paragraph" w:styleId="TableofFigures">
    <w:name w:val="table of figures"/>
    <w:basedOn w:val="Normal"/>
    <w:next w:val="Normal"/>
    <w:uiPriority w:val="99"/>
    <w:locked/>
    <w:rsid w:val="00C970F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70F2"/>
    <w:pPr>
      <w:spacing w:line="240" w:lineRule="auto"/>
      <w:ind w:firstLine="0"/>
    </w:pPr>
    <w:rPr>
      <w:rFonts w:ascii="Arial" w:hAnsi="Arial"/>
      <w:sz w:val="18"/>
    </w:rPr>
  </w:style>
  <w:style w:type="paragraph" w:customStyle="1" w:styleId="TableSourceCaption">
    <w:name w:val="Table Source_Caption"/>
    <w:qFormat/>
    <w:rsid w:val="00C970F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70F2"/>
  </w:style>
  <w:style w:type="paragraph" w:customStyle="1" w:styleId="Tabletext8">
    <w:name w:val="Table text 8"/>
    <w:basedOn w:val="TableText"/>
    <w:qFormat/>
    <w:rsid w:val="00C970F2"/>
    <w:rPr>
      <w:snapToGrid w:val="0"/>
      <w:sz w:val="16"/>
      <w:szCs w:val="16"/>
    </w:rPr>
  </w:style>
  <w:style w:type="paragraph" w:customStyle="1" w:styleId="TableSpace">
    <w:name w:val="TableSpace"/>
    <w:basedOn w:val="TableSourceCaption"/>
    <w:next w:val="TableFootnoteCaption"/>
    <w:semiHidden/>
    <w:qFormat/>
    <w:rsid w:val="00C970F2"/>
  </w:style>
  <w:style w:type="paragraph" w:styleId="Title">
    <w:name w:val="Title"/>
    <w:basedOn w:val="Normal"/>
    <w:next w:val="Normal"/>
    <w:link w:val="TitleChar"/>
    <w:semiHidden/>
    <w:rsid w:val="00C970F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70F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70F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70F2"/>
    <w:pPr>
      <w:spacing w:before="0" w:after="160"/>
    </w:pPr>
  </w:style>
  <w:style w:type="paragraph" w:customStyle="1" w:styleId="TitleofDocumentNoPhoto">
    <w:name w:val="Title of Document No Photo"/>
    <w:basedOn w:val="TitleofDocumentHorizontal"/>
    <w:semiHidden/>
    <w:qFormat/>
    <w:rsid w:val="00C970F2"/>
  </w:style>
  <w:style w:type="paragraph" w:styleId="TOC1">
    <w:name w:val="toc 1"/>
    <w:next w:val="Normalcontinued"/>
    <w:autoRedefine/>
    <w:uiPriority w:val="39"/>
    <w:qFormat/>
    <w:rsid w:val="00C970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70F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70F2"/>
    <w:pPr>
      <w:tabs>
        <w:tab w:val="clear" w:pos="1080"/>
        <w:tab w:val="left" w:pos="1440"/>
      </w:tabs>
      <w:spacing w:after="120"/>
      <w:ind w:left="1440"/>
    </w:pPr>
  </w:style>
  <w:style w:type="paragraph" w:styleId="TOC4">
    <w:name w:val="toc 4"/>
    <w:next w:val="Normal"/>
    <w:autoRedefine/>
    <w:qFormat/>
    <w:rsid w:val="00C970F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70F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70F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70F2"/>
    <w:rPr>
      <w:rFonts w:eastAsia="Times New Roman" w:cs="Times New Roman"/>
      <w:szCs w:val="20"/>
    </w:rPr>
  </w:style>
  <w:style w:type="paragraph" w:customStyle="1" w:styleId="NumberedBulletLastDS">
    <w:name w:val="Numbered Bullet (Last DS)"/>
    <w:basedOn w:val="NumberedBullet"/>
    <w:next w:val="Normal"/>
    <w:qFormat/>
    <w:rsid w:val="00C970F2"/>
    <w:pPr>
      <w:spacing w:after="320"/>
    </w:pPr>
  </w:style>
  <w:style w:type="paragraph" w:customStyle="1" w:styleId="NumberedBulletLastSS">
    <w:name w:val="Numbered Bullet (Last SS)"/>
    <w:basedOn w:val="NumberedBulletLastDS"/>
    <w:next w:val="NormalSS"/>
    <w:qFormat/>
    <w:rsid w:val="00C970F2"/>
    <w:pPr>
      <w:spacing w:after="240"/>
    </w:pPr>
  </w:style>
  <w:style w:type="table" w:styleId="LightList">
    <w:name w:val="Light List"/>
    <w:basedOn w:val="TableNormal"/>
    <w:uiPriority w:val="61"/>
    <w:locked/>
    <w:rsid w:val="00C970F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70F2"/>
    <w:pPr>
      <w:spacing w:after="0" w:line="360" w:lineRule="auto"/>
      <w:contextualSpacing/>
      <w:textboxTightWrap w:val="allLines"/>
    </w:pPr>
    <w:rPr>
      <w:rFonts w:ascii="Arial" w:hAnsi="Arial"/>
      <w:sz w:val="18"/>
    </w:rPr>
    <w:tblPr>
      <w:tblStyleRowBandSize w:val="1"/>
      <w:tblInd w:w="0" w:type="dxa"/>
      <w:tblBorders>
        <w:bottom w:val="single" w:sz="4" w:space="0" w:color="auto"/>
      </w:tblBorders>
      <w:tblCellMar>
        <w:top w:w="0" w:type="dxa"/>
        <w:left w:w="108" w:type="dxa"/>
        <w:bottom w:w="0" w:type="dxa"/>
        <w:right w:w="108" w:type="dxa"/>
      </w:tblCellMar>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70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0F2"/>
    <w:pPr>
      <w:ind w:left="720"/>
      <w:contextualSpacing/>
    </w:pPr>
  </w:style>
  <w:style w:type="paragraph" w:customStyle="1" w:styleId="H1Title">
    <w:name w:val="H1_Title"/>
    <w:basedOn w:val="Normal"/>
    <w:next w:val="Normal"/>
    <w:link w:val="H1TitleChar"/>
    <w:qFormat/>
    <w:rsid w:val="00C970F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70F2"/>
    <w:pPr>
      <w:ind w:left="432" w:hanging="432"/>
      <w:outlineLvl w:val="1"/>
    </w:pPr>
  </w:style>
  <w:style w:type="character" w:customStyle="1" w:styleId="H1TitleChar">
    <w:name w:val="H1_Title Char"/>
    <w:basedOn w:val="DefaultParagraphFont"/>
    <w:link w:val="H1Title"/>
    <w:rsid w:val="00C970F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70F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70F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70F2"/>
    <w:pPr>
      <w:outlineLvl w:val="9"/>
    </w:pPr>
  </w:style>
  <w:style w:type="character" w:customStyle="1" w:styleId="H3AlphaChar">
    <w:name w:val="H3_Alpha Char"/>
    <w:basedOn w:val="Heading2Char"/>
    <w:link w:val="H3Alpha"/>
    <w:rsid w:val="00C970F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70F2"/>
    <w:pPr>
      <w:outlineLvl w:val="3"/>
    </w:pPr>
    <w:rPr>
      <w:b/>
    </w:rPr>
  </w:style>
  <w:style w:type="character" w:customStyle="1" w:styleId="H3AlphaNoTOCChar">
    <w:name w:val="H3_Alpha_No TOC Char"/>
    <w:basedOn w:val="H3AlphaChar"/>
    <w:link w:val="H3AlphaNoTOC"/>
    <w:rsid w:val="00C970F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70F2"/>
    <w:pPr>
      <w:outlineLvl w:val="9"/>
    </w:pPr>
  </w:style>
  <w:style w:type="character" w:customStyle="1" w:styleId="H4NumberChar">
    <w:name w:val="H4_Number Char"/>
    <w:basedOn w:val="Heading3Char"/>
    <w:link w:val="H4Number"/>
    <w:rsid w:val="00C970F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70F2"/>
    <w:pPr>
      <w:outlineLvl w:val="4"/>
    </w:pPr>
  </w:style>
  <w:style w:type="character" w:customStyle="1" w:styleId="H4NumberNoTOCChar">
    <w:name w:val="H4_Number_No TOC Char"/>
    <w:basedOn w:val="H4NumberChar"/>
    <w:link w:val="H4NumberNoTOC"/>
    <w:rsid w:val="00C970F2"/>
    <w:rPr>
      <w:rFonts w:ascii="Arial Black" w:eastAsia="Times New Roman" w:hAnsi="Arial Black" w:cs="Times New Roman"/>
      <w:b/>
      <w:sz w:val="22"/>
      <w:szCs w:val="20"/>
    </w:rPr>
  </w:style>
  <w:style w:type="character" w:customStyle="1" w:styleId="H5LowerChar">
    <w:name w:val="H5_Lower Char"/>
    <w:basedOn w:val="Heading4Char"/>
    <w:link w:val="H5Lower"/>
    <w:rsid w:val="00C970F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B30DDF"/>
    <w:rPr>
      <w:sz w:val="16"/>
      <w:szCs w:val="16"/>
    </w:rPr>
  </w:style>
  <w:style w:type="paragraph" w:styleId="CommentText">
    <w:name w:val="annotation text"/>
    <w:basedOn w:val="Normal"/>
    <w:link w:val="CommentTextChar"/>
    <w:unhideWhenUsed/>
    <w:rsid w:val="00B30DDF"/>
    <w:pPr>
      <w:tabs>
        <w:tab w:val="left" w:pos="720"/>
        <w:tab w:val="left" w:pos="1080"/>
        <w:tab w:val="left" w:pos="1440"/>
        <w:tab w:val="left" w:pos="1800"/>
      </w:tabs>
      <w:spacing w:line="240" w:lineRule="auto"/>
      <w:ind w:firstLine="0"/>
    </w:pPr>
    <w:rPr>
      <w:sz w:val="20"/>
    </w:rPr>
  </w:style>
  <w:style w:type="character" w:customStyle="1" w:styleId="CommentTextChar">
    <w:name w:val="Comment Text Char"/>
    <w:basedOn w:val="DefaultParagraphFont"/>
    <w:link w:val="CommentText"/>
    <w:rsid w:val="00B30DDF"/>
    <w:rPr>
      <w:rFonts w:eastAsia="Times New Roman" w:cs="Times New Roman"/>
      <w:sz w:val="20"/>
      <w:szCs w:val="20"/>
    </w:rPr>
  </w:style>
  <w:style w:type="paragraph" w:customStyle="1" w:styleId="Heading20">
    <w:name w:val="Heading #2"/>
    <w:basedOn w:val="Heading2"/>
    <w:qFormat/>
    <w:rsid w:val="00B30DDF"/>
    <w:pPr>
      <w:keepNext w:val="0"/>
      <w:framePr w:wrap="auto" w:vAnchor="margin" w:yAlign="inline"/>
      <w:pBdr>
        <w:bottom w:val="none" w:sz="0" w:space="0" w:color="auto"/>
      </w:pBdr>
      <w:tabs>
        <w:tab w:val="clear" w:pos="432"/>
        <w:tab w:val="left" w:pos="720"/>
        <w:tab w:val="left" w:pos="1080"/>
        <w:tab w:val="left" w:pos="1440"/>
        <w:tab w:val="left" w:pos="1800"/>
      </w:tabs>
      <w:spacing w:before="0" w:after="120"/>
      <w:ind w:left="432" w:hanging="432"/>
    </w:pPr>
    <w:rPr>
      <w:b/>
      <w:bCs/>
      <w:caps w:val="0"/>
      <w:szCs w:val="36"/>
    </w:rPr>
  </w:style>
  <w:style w:type="paragraph" w:customStyle="1" w:styleId="Heading3under2">
    <w:name w:val="Heading 3 under 2"/>
    <w:basedOn w:val="Normal"/>
    <w:qFormat/>
    <w:rsid w:val="00B30DDF"/>
    <w:pPr>
      <w:spacing w:after="240" w:line="240" w:lineRule="auto"/>
      <w:ind w:left="432" w:firstLine="0"/>
    </w:pPr>
    <w:rPr>
      <w:b/>
      <w:szCs w:val="22"/>
    </w:rPr>
  </w:style>
  <w:style w:type="paragraph" w:customStyle="1" w:styleId="NormalDS">
    <w:name w:val="Normal DS"/>
    <w:basedOn w:val="Normal"/>
    <w:qFormat/>
    <w:rsid w:val="00B30DDF"/>
    <w:pPr>
      <w:tabs>
        <w:tab w:val="left" w:pos="720"/>
        <w:tab w:val="left" w:pos="1080"/>
        <w:tab w:val="left" w:pos="1440"/>
        <w:tab w:val="left" w:pos="1800"/>
      </w:tabs>
    </w:pPr>
  </w:style>
  <w:style w:type="paragraph" w:customStyle="1" w:styleId="Heading30">
    <w:name w:val="Heading #3"/>
    <w:basedOn w:val="NormalDS"/>
    <w:qFormat/>
    <w:rsid w:val="00B30DDF"/>
    <w:pPr>
      <w:keepNext/>
      <w:spacing w:after="120" w:line="240" w:lineRule="auto"/>
      <w:ind w:left="432" w:hanging="432"/>
      <w:outlineLvl w:val="2"/>
    </w:pPr>
    <w:rPr>
      <w:b/>
    </w:rPr>
  </w:style>
  <w:style w:type="paragraph" w:customStyle="1" w:styleId="BulletSS">
    <w:name w:val="Bullet (SS)"/>
    <w:basedOn w:val="ListParagraph"/>
    <w:qFormat/>
    <w:rsid w:val="00B30DDF"/>
    <w:pPr>
      <w:numPr>
        <w:numId w:val="34"/>
      </w:numPr>
      <w:tabs>
        <w:tab w:val="left" w:pos="720"/>
        <w:tab w:val="left" w:pos="1080"/>
        <w:tab w:val="left" w:pos="1440"/>
        <w:tab w:val="left" w:pos="1800"/>
      </w:tabs>
      <w:spacing w:after="120" w:line="240" w:lineRule="auto"/>
      <w:ind w:left="432" w:hanging="432"/>
      <w:contextualSpacing w:val="0"/>
    </w:pPr>
    <w:rPr>
      <w:szCs w:val="22"/>
    </w:rPr>
  </w:style>
  <w:style w:type="table" w:customStyle="1" w:styleId="LightList1">
    <w:name w:val="Light List1"/>
    <w:basedOn w:val="TableNormal"/>
    <w:uiPriority w:val="61"/>
    <w:locked/>
    <w:rsid w:val="00030C57"/>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DF23E4"/>
    <w:rPr>
      <w:rFonts w:eastAsia="Times New Roman" w:cs="Times New Roman"/>
      <w:szCs w:val="20"/>
    </w:rPr>
  </w:style>
  <w:style w:type="paragraph" w:customStyle="1" w:styleId="NormalSS-v2">
    <w:name w:val="NormalSS-v2"/>
    <w:basedOn w:val="NormalSS"/>
    <w:qFormat/>
    <w:rsid w:val="00DF23E4"/>
    <w:pPr>
      <w:tabs>
        <w:tab w:val="left" w:pos="720"/>
        <w:tab w:val="left" w:pos="1080"/>
        <w:tab w:val="left" w:pos="1440"/>
        <w:tab w:val="left" w:pos="1800"/>
      </w:tabs>
      <w:spacing w:after="0" w:line="480" w:lineRule="auto"/>
    </w:pPr>
  </w:style>
  <w:style w:type="paragraph" w:styleId="CommentSubject">
    <w:name w:val="annotation subject"/>
    <w:basedOn w:val="CommentText"/>
    <w:next w:val="CommentText"/>
    <w:link w:val="CommentSubjectChar"/>
    <w:uiPriority w:val="99"/>
    <w:semiHidden/>
    <w:unhideWhenUsed/>
    <w:rsid w:val="00E81A9B"/>
    <w:pPr>
      <w:tabs>
        <w:tab w:val="clear" w:pos="720"/>
        <w:tab w:val="clear" w:pos="1080"/>
        <w:tab w:val="clear" w:pos="1440"/>
        <w:tab w:val="clear" w:pos="1800"/>
      </w:tabs>
      <w:ind w:firstLine="432"/>
    </w:pPr>
    <w:rPr>
      <w:b/>
      <w:bCs/>
    </w:rPr>
  </w:style>
  <w:style w:type="character" w:customStyle="1" w:styleId="CommentSubjectChar">
    <w:name w:val="Comment Subject Char"/>
    <w:basedOn w:val="CommentTextChar"/>
    <w:link w:val="CommentSubject"/>
    <w:uiPriority w:val="99"/>
    <w:semiHidden/>
    <w:rsid w:val="00E81A9B"/>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F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70F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70F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70F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970F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70F2"/>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70F2"/>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70F2"/>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70F2"/>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70F2"/>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0F2"/>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70F2"/>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70F2"/>
    <w:rPr>
      <w:rFonts w:ascii="Tahoma" w:eastAsia="Times New Roman" w:hAnsi="Tahoma" w:cs="Tahoma"/>
      <w:sz w:val="16"/>
      <w:szCs w:val="16"/>
    </w:rPr>
  </w:style>
  <w:style w:type="paragraph" w:customStyle="1" w:styleId="Bullet">
    <w:name w:val="Bullet"/>
    <w:basedOn w:val="Normal"/>
    <w:qFormat/>
    <w:rsid w:val="00C970F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970F2"/>
    <w:pPr>
      <w:numPr>
        <w:numId w:val="2"/>
      </w:numPr>
      <w:spacing w:after="240"/>
      <w:ind w:left="432" w:hanging="432"/>
    </w:pPr>
  </w:style>
  <w:style w:type="paragraph" w:customStyle="1" w:styleId="BulletLastDS">
    <w:name w:val="Bullet (Last DS)"/>
    <w:basedOn w:val="Bullet"/>
    <w:next w:val="Normal"/>
    <w:qFormat/>
    <w:rsid w:val="00C970F2"/>
    <w:pPr>
      <w:numPr>
        <w:numId w:val="3"/>
      </w:numPr>
      <w:spacing w:after="320"/>
      <w:ind w:left="432" w:hanging="432"/>
    </w:pPr>
  </w:style>
  <w:style w:type="paragraph" w:customStyle="1" w:styleId="Center">
    <w:name w:val="Center"/>
    <w:basedOn w:val="Normal"/>
    <w:semiHidden/>
    <w:unhideWhenUsed/>
    <w:rsid w:val="00C970F2"/>
    <w:pPr>
      <w:ind w:firstLine="0"/>
      <w:jc w:val="center"/>
    </w:pPr>
  </w:style>
  <w:style w:type="paragraph" w:customStyle="1" w:styleId="Dash">
    <w:name w:val="Dash"/>
    <w:basedOn w:val="Normal"/>
    <w:qFormat/>
    <w:rsid w:val="00C970F2"/>
    <w:pPr>
      <w:numPr>
        <w:numId w:val="4"/>
      </w:numPr>
      <w:tabs>
        <w:tab w:val="left" w:pos="288"/>
      </w:tabs>
      <w:spacing w:after="120" w:line="240" w:lineRule="auto"/>
    </w:pPr>
  </w:style>
  <w:style w:type="paragraph" w:customStyle="1" w:styleId="DashLASTSS">
    <w:name w:val="Dash (LAST SS)"/>
    <w:basedOn w:val="Dash"/>
    <w:next w:val="NormalSS"/>
    <w:qFormat/>
    <w:rsid w:val="00C970F2"/>
    <w:pPr>
      <w:numPr>
        <w:numId w:val="5"/>
      </w:numPr>
      <w:spacing w:after="240"/>
    </w:pPr>
  </w:style>
  <w:style w:type="paragraph" w:customStyle="1" w:styleId="DashLASTDS">
    <w:name w:val="Dash (LAST DS)"/>
    <w:basedOn w:val="Dash"/>
    <w:next w:val="Normal"/>
    <w:qFormat/>
    <w:rsid w:val="00C970F2"/>
    <w:pPr>
      <w:spacing w:after="320"/>
    </w:pPr>
    <w:rPr>
      <w:szCs w:val="24"/>
    </w:rPr>
  </w:style>
  <w:style w:type="paragraph" w:styleId="Footer">
    <w:name w:val="footer"/>
    <w:basedOn w:val="Normal"/>
    <w:link w:val="FooterChar"/>
    <w:qFormat/>
    <w:rsid w:val="00C970F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70F2"/>
    <w:rPr>
      <w:rFonts w:ascii="Arial" w:eastAsia="Times New Roman" w:hAnsi="Arial" w:cs="Times New Roman"/>
      <w:sz w:val="20"/>
      <w:szCs w:val="20"/>
    </w:rPr>
  </w:style>
  <w:style w:type="paragraph" w:styleId="DocumentMap">
    <w:name w:val="Document Map"/>
    <w:basedOn w:val="Normal"/>
    <w:link w:val="DocumentMapChar"/>
    <w:semiHidden/>
    <w:unhideWhenUsed/>
    <w:rsid w:val="00C970F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70F2"/>
    <w:rPr>
      <w:rFonts w:asciiTheme="majorHAnsi" w:eastAsia="Times New Roman" w:hAnsiTheme="majorHAnsi" w:cs="Times New Roman"/>
      <w:szCs w:val="20"/>
    </w:rPr>
  </w:style>
  <w:style w:type="character" w:styleId="FootnoteReference">
    <w:name w:val="footnote reference"/>
    <w:basedOn w:val="DefaultParagraphFont"/>
    <w:qFormat/>
    <w:rsid w:val="00C970F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70F2"/>
    <w:pPr>
      <w:spacing w:after="120" w:line="240" w:lineRule="auto"/>
      <w:ind w:firstLine="0"/>
    </w:pPr>
    <w:rPr>
      <w:sz w:val="20"/>
    </w:rPr>
  </w:style>
  <w:style w:type="character" w:customStyle="1" w:styleId="FootnoteTextChar">
    <w:name w:val="Footnote Text Char"/>
    <w:basedOn w:val="DefaultParagraphFont"/>
    <w:link w:val="FootnoteText"/>
    <w:rsid w:val="00C970F2"/>
    <w:rPr>
      <w:rFonts w:eastAsia="Times New Roman" w:cs="Times New Roman"/>
      <w:sz w:val="20"/>
      <w:szCs w:val="20"/>
    </w:rPr>
  </w:style>
  <w:style w:type="paragraph" w:styleId="Header">
    <w:name w:val="header"/>
    <w:basedOn w:val="Normal"/>
    <w:link w:val="HeaderChar"/>
    <w:qFormat/>
    <w:rsid w:val="00C970F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70F2"/>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70F2"/>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70F2"/>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70F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70F2"/>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70F2"/>
    <w:pPr>
      <w:outlineLvl w:val="9"/>
    </w:pPr>
  </w:style>
  <w:style w:type="character" w:customStyle="1" w:styleId="Heading4Char">
    <w:name w:val="Heading 4 Char"/>
    <w:basedOn w:val="DefaultParagraphFont"/>
    <w:link w:val="Heading4"/>
    <w:rsid w:val="00C970F2"/>
    <w:rPr>
      <w:rFonts w:eastAsia="Times New Roman" w:cs="Times New Roman"/>
      <w:b/>
      <w:szCs w:val="20"/>
    </w:rPr>
  </w:style>
  <w:style w:type="character" w:customStyle="1" w:styleId="Heading5Char">
    <w:name w:val="Heading 5 Char"/>
    <w:basedOn w:val="DefaultParagraphFont"/>
    <w:link w:val="Heading5"/>
    <w:semiHidden/>
    <w:rsid w:val="00C970F2"/>
    <w:rPr>
      <w:rFonts w:eastAsia="Times New Roman" w:cs="Times New Roman"/>
      <w:b/>
      <w:szCs w:val="20"/>
    </w:rPr>
  </w:style>
  <w:style w:type="character" w:customStyle="1" w:styleId="Heading6Char">
    <w:name w:val="Heading 6 Char"/>
    <w:basedOn w:val="DefaultParagraphFont"/>
    <w:link w:val="Heading6"/>
    <w:semiHidden/>
    <w:rsid w:val="00C970F2"/>
    <w:rPr>
      <w:rFonts w:eastAsia="Times New Roman" w:cs="Times New Roman"/>
      <w:szCs w:val="20"/>
    </w:rPr>
  </w:style>
  <w:style w:type="character" w:customStyle="1" w:styleId="Heading7Char">
    <w:name w:val="Heading 7 Char"/>
    <w:basedOn w:val="DefaultParagraphFont"/>
    <w:link w:val="Heading7"/>
    <w:semiHidden/>
    <w:rsid w:val="00C970F2"/>
    <w:rPr>
      <w:rFonts w:eastAsia="Times New Roman" w:cs="Times New Roman"/>
      <w:szCs w:val="20"/>
    </w:rPr>
  </w:style>
  <w:style w:type="character" w:customStyle="1" w:styleId="Heading8Char">
    <w:name w:val="Heading 8 Char"/>
    <w:basedOn w:val="DefaultParagraphFont"/>
    <w:link w:val="Heading8"/>
    <w:semiHidden/>
    <w:rsid w:val="00C970F2"/>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70F2"/>
    <w:rPr>
      <w:rFonts w:eastAsia="Times New Roman" w:cs="Times New Roman"/>
      <w:szCs w:val="20"/>
    </w:rPr>
  </w:style>
  <w:style w:type="paragraph" w:customStyle="1" w:styleId="MarkforAppendixTitle">
    <w:name w:val="Mark for Appendix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70F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70F2"/>
  </w:style>
  <w:style w:type="paragraph" w:customStyle="1" w:styleId="MarkforTableTitle">
    <w:name w:val="Mark for Table Title"/>
    <w:basedOn w:val="Normal"/>
    <w:next w:val="NormalSS"/>
    <w:qFormat/>
    <w:rsid w:val="00C970F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70F2"/>
  </w:style>
  <w:style w:type="numbering" w:customStyle="1" w:styleId="MPROutline">
    <w:name w:val="MPROutline"/>
    <w:uiPriority w:val="99"/>
    <w:locked/>
    <w:rsid w:val="00C970F2"/>
    <w:pPr>
      <w:numPr>
        <w:numId w:val="7"/>
      </w:numPr>
    </w:pPr>
  </w:style>
  <w:style w:type="character" w:customStyle="1" w:styleId="MTEquationSection">
    <w:name w:val="MTEquationSection"/>
    <w:basedOn w:val="DefaultParagraphFont"/>
    <w:rsid w:val="00C970F2"/>
    <w:rPr>
      <w:rFonts w:ascii="Arial" w:hAnsi="Arial"/>
      <w:vanish/>
      <w:color w:val="auto"/>
      <w:sz w:val="18"/>
    </w:rPr>
  </w:style>
  <w:style w:type="paragraph" w:customStyle="1" w:styleId="Normalcontinued">
    <w:name w:val="Normal (continued)"/>
    <w:basedOn w:val="Normal"/>
    <w:next w:val="Normal"/>
    <w:qFormat/>
    <w:rsid w:val="00C970F2"/>
    <w:pPr>
      <w:ind w:firstLine="0"/>
    </w:pPr>
  </w:style>
  <w:style w:type="paragraph" w:customStyle="1" w:styleId="NormalSS">
    <w:name w:val="NormalSS"/>
    <w:basedOn w:val="Normal"/>
    <w:link w:val="NormalSSChar"/>
    <w:qFormat/>
    <w:rsid w:val="00C970F2"/>
    <w:pPr>
      <w:spacing w:after="240" w:line="240" w:lineRule="auto"/>
    </w:pPr>
  </w:style>
  <w:style w:type="paragraph" w:customStyle="1" w:styleId="NormalSScontinued">
    <w:name w:val="NormalSS (continued)"/>
    <w:basedOn w:val="NormalSS"/>
    <w:next w:val="NormalSS"/>
    <w:qFormat/>
    <w:rsid w:val="00C970F2"/>
    <w:pPr>
      <w:ind w:firstLine="0"/>
    </w:pPr>
  </w:style>
  <w:style w:type="paragraph" w:customStyle="1" w:styleId="NumberedBullet">
    <w:name w:val="Numbered Bullet"/>
    <w:basedOn w:val="Normal"/>
    <w:link w:val="NumberedBulletChar"/>
    <w:qFormat/>
    <w:rsid w:val="00C970F2"/>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70F2"/>
    <w:pPr>
      <w:spacing w:after="240" w:line="240" w:lineRule="auto"/>
      <w:ind w:left="720" w:hanging="720"/>
    </w:pPr>
  </w:style>
  <w:style w:type="character" w:styleId="PageNumber">
    <w:name w:val="page number"/>
    <w:basedOn w:val="DefaultParagraphFont"/>
    <w:semiHidden/>
    <w:qFormat/>
    <w:rsid w:val="00C970F2"/>
    <w:rPr>
      <w:rFonts w:ascii="Arial" w:hAnsi="Arial"/>
      <w:color w:val="auto"/>
      <w:sz w:val="20"/>
      <w:bdr w:val="none" w:sz="0" w:space="0" w:color="auto"/>
    </w:rPr>
  </w:style>
  <w:style w:type="paragraph" w:customStyle="1" w:styleId="References">
    <w:name w:val="References"/>
    <w:basedOn w:val="Normal"/>
    <w:qFormat/>
    <w:rsid w:val="00C970F2"/>
    <w:pPr>
      <w:keepLines/>
      <w:spacing w:after="240" w:line="240" w:lineRule="auto"/>
      <w:ind w:left="432" w:hanging="432"/>
    </w:pPr>
  </w:style>
  <w:style w:type="paragraph" w:customStyle="1" w:styleId="TableFootnoteCaption">
    <w:name w:val="Table Footnote_Caption"/>
    <w:qFormat/>
    <w:rsid w:val="00C970F2"/>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70F2"/>
    <w:pPr>
      <w:spacing w:before="120" w:after="60"/>
    </w:pPr>
    <w:rPr>
      <w:b/>
      <w:color w:val="FFFFFF" w:themeColor="background1"/>
    </w:rPr>
  </w:style>
  <w:style w:type="paragraph" w:customStyle="1" w:styleId="TableHeaderCenter">
    <w:name w:val="Table Header Center"/>
    <w:basedOn w:val="TableHeaderLeft"/>
    <w:qFormat/>
    <w:rsid w:val="00C970F2"/>
    <w:pPr>
      <w:jc w:val="center"/>
    </w:pPr>
  </w:style>
  <w:style w:type="paragraph" w:styleId="TableofFigures">
    <w:name w:val="table of figures"/>
    <w:basedOn w:val="Normal"/>
    <w:next w:val="Normal"/>
    <w:uiPriority w:val="99"/>
    <w:locked/>
    <w:rsid w:val="00C970F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70F2"/>
    <w:pPr>
      <w:spacing w:line="240" w:lineRule="auto"/>
      <w:ind w:firstLine="0"/>
    </w:pPr>
    <w:rPr>
      <w:rFonts w:ascii="Arial" w:hAnsi="Arial"/>
      <w:sz w:val="18"/>
    </w:rPr>
  </w:style>
  <w:style w:type="paragraph" w:customStyle="1" w:styleId="TableSourceCaption">
    <w:name w:val="Table Source_Caption"/>
    <w:qFormat/>
    <w:rsid w:val="00C970F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70F2"/>
  </w:style>
  <w:style w:type="paragraph" w:customStyle="1" w:styleId="Tabletext8">
    <w:name w:val="Table text 8"/>
    <w:basedOn w:val="TableText"/>
    <w:qFormat/>
    <w:rsid w:val="00C970F2"/>
    <w:rPr>
      <w:snapToGrid w:val="0"/>
      <w:sz w:val="16"/>
      <w:szCs w:val="16"/>
    </w:rPr>
  </w:style>
  <w:style w:type="paragraph" w:customStyle="1" w:styleId="TableSpace">
    <w:name w:val="TableSpace"/>
    <w:basedOn w:val="TableSourceCaption"/>
    <w:next w:val="TableFootnoteCaption"/>
    <w:semiHidden/>
    <w:qFormat/>
    <w:rsid w:val="00C970F2"/>
  </w:style>
  <w:style w:type="paragraph" w:styleId="Title">
    <w:name w:val="Title"/>
    <w:basedOn w:val="Normal"/>
    <w:next w:val="Normal"/>
    <w:link w:val="TitleChar"/>
    <w:semiHidden/>
    <w:rsid w:val="00C970F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70F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70F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70F2"/>
    <w:pPr>
      <w:spacing w:before="0" w:after="160"/>
    </w:pPr>
  </w:style>
  <w:style w:type="paragraph" w:customStyle="1" w:styleId="TitleofDocumentNoPhoto">
    <w:name w:val="Title of Document No Photo"/>
    <w:basedOn w:val="TitleofDocumentHorizontal"/>
    <w:semiHidden/>
    <w:qFormat/>
    <w:rsid w:val="00C970F2"/>
  </w:style>
  <w:style w:type="paragraph" w:styleId="TOC1">
    <w:name w:val="toc 1"/>
    <w:next w:val="Normalcontinued"/>
    <w:autoRedefine/>
    <w:uiPriority w:val="39"/>
    <w:qFormat/>
    <w:rsid w:val="00C970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70F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70F2"/>
    <w:pPr>
      <w:tabs>
        <w:tab w:val="clear" w:pos="1080"/>
        <w:tab w:val="left" w:pos="1440"/>
      </w:tabs>
      <w:spacing w:after="120"/>
      <w:ind w:left="1440"/>
    </w:pPr>
  </w:style>
  <w:style w:type="paragraph" w:styleId="TOC4">
    <w:name w:val="toc 4"/>
    <w:next w:val="Normal"/>
    <w:autoRedefine/>
    <w:qFormat/>
    <w:rsid w:val="00C970F2"/>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70F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70F2"/>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70F2"/>
    <w:rPr>
      <w:rFonts w:eastAsia="Times New Roman" w:cs="Times New Roman"/>
      <w:szCs w:val="20"/>
    </w:rPr>
  </w:style>
  <w:style w:type="paragraph" w:customStyle="1" w:styleId="NumberedBulletLastDS">
    <w:name w:val="Numbered Bullet (Last DS)"/>
    <w:basedOn w:val="NumberedBullet"/>
    <w:next w:val="Normal"/>
    <w:qFormat/>
    <w:rsid w:val="00C970F2"/>
    <w:pPr>
      <w:spacing w:after="320"/>
    </w:pPr>
  </w:style>
  <w:style w:type="paragraph" w:customStyle="1" w:styleId="NumberedBulletLastSS">
    <w:name w:val="Numbered Bullet (Last SS)"/>
    <w:basedOn w:val="NumberedBulletLastDS"/>
    <w:next w:val="NormalSS"/>
    <w:qFormat/>
    <w:rsid w:val="00C970F2"/>
    <w:pPr>
      <w:spacing w:after="240"/>
    </w:pPr>
  </w:style>
  <w:style w:type="table" w:styleId="LightList">
    <w:name w:val="Light List"/>
    <w:basedOn w:val="TableNormal"/>
    <w:uiPriority w:val="61"/>
    <w:locked/>
    <w:rsid w:val="00C970F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70F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70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0F2"/>
    <w:pPr>
      <w:ind w:left="720"/>
      <w:contextualSpacing/>
    </w:pPr>
  </w:style>
  <w:style w:type="paragraph" w:customStyle="1" w:styleId="H1Title">
    <w:name w:val="H1_Title"/>
    <w:basedOn w:val="Normal"/>
    <w:next w:val="Normal"/>
    <w:link w:val="H1TitleChar"/>
    <w:qFormat/>
    <w:rsid w:val="00C970F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70F2"/>
    <w:pPr>
      <w:ind w:left="432" w:hanging="432"/>
      <w:outlineLvl w:val="1"/>
    </w:pPr>
  </w:style>
  <w:style w:type="character" w:customStyle="1" w:styleId="H1TitleChar">
    <w:name w:val="H1_Title Char"/>
    <w:basedOn w:val="DefaultParagraphFont"/>
    <w:link w:val="H1Title"/>
    <w:rsid w:val="00C970F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70F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70F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70F2"/>
    <w:pPr>
      <w:outlineLvl w:val="9"/>
    </w:pPr>
  </w:style>
  <w:style w:type="character" w:customStyle="1" w:styleId="H3AlphaChar">
    <w:name w:val="H3_Alpha Char"/>
    <w:basedOn w:val="Heading2Char"/>
    <w:link w:val="H3Alpha"/>
    <w:rsid w:val="00C970F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70F2"/>
    <w:pPr>
      <w:outlineLvl w:val="3"/>
    </w:pPr>
    <w:rPr>
      <w:b/>
    </w:rPr>
  </w:style>
  <w:style w:type="character" w:customStyle="1" w:styleId="H3AlphaNoTOCChar">
    <w:name w:val="H3_Alpha_No TOC Char"/>
    <w:basedOn w:val="H3AlphaChar"/>
    <w:link w:val="H3AlphaNoTOC"/>
    <w:rsid w:val="00C970F2"/>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70F2"/>
    <w:pPr>
      <w:outlineLvl w:val="9"/>
    </w:pPr>
  </w:style>
  <w:style w:type="character" w:customStyle="1" w:styleId="H4NumberChar">
    <w:name w:val="H4_Number Char"/>
    <w:basedOn w:val="Heading3Char"/>
    <w:link w:val="H4Number"/>
    <w:rsid w:val="00C970F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70F2"/>
    <w:pPr>
      <w:outlineLvl w:val="4"/>
    </w:pPr>
  </w:style>
  <w:style w:type="character" w:customStyle="1" w:styleId="H4NumberNoTOCChar">
    <w:name w:val="H4_Number_No TOC Char"/>
    <w:basedOn w:val="H4NumberChar"/>
    <w:link w:val="H4NumberNoTOC"/>
    <w:rsid w:val="00C970F2"/>
    <w:rPr>
      <w:rFonts w:ascii="Arial Black" w:eastAsia="Times New Roman" w:hAnsi="Arial Black" w:cs="Times New Roman"/>
      <w:b/>
      <w:sz w:val="22"/>
      <w:szCs w:val="20"/>
    </w:rPr>
  </w:style>
  <w:style w:type="character" w:customStyle="1" w:styleId="H5LowerChar">
    <w:name w:val="H5_Lower Char"/>
    <w:basedOn w:val="Heading4Char"/>
    <w:link w:val="H5Lower"/>
    <w:rsid w:val="00C970F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B30DDF"/>
    <w:rPr>
      <w:sz w:val="16"/>
      <w:szCs w:val="16"/>
    </w:rPr>
  </w:style>
  <w:style w:type="paragraph" w:styleId="CommentText">
    <w:name w:val="annotation text"/>
    <w:basedOn w:val="Normal"/>
    <w:link w:val="CommentTextChar"/>
    <w:unhideWhenUsed/>
    <w:rsid w:val="00B30DDF"/>
    <w:pPr>
      <w:tabs>
        <w:tab w:val="left" w:pos="720"/>
        <w:tab w:val="left" w:pos="1080"/>
        <w:tab w:val="left" w:pos="1440"/>
        <w:tab w:val="left" w:pos="1800"/>
      </w:tabs>
      <w:spacing w:line="240" w:lineRule="auto"/>
      <w:ind w:firstLine="0"/>
    </w:pPr>
    <w:rPr>
      <w:sz w:val="20"/>
    </w:rPr>
  </w:style>
  <w:style w:type="character" w:customStyle="1" w:styleId="CommentTextChar">
    <w:name w:val="Comment Text Char"/>
    <w:basedOn w:val="DefaultParagraphFont"/>
    <w:link w:val="CommentText"/>
    <w:rsid w:val="00B30DDF"/>
    <w:rPr>
      <w:rFonts w:eastAsia="Times New Roman" w:cs="Times New Roman"/>
      <w:sz w:val="20"/>
      <w:szCs w:val="20"/>
    </w:rPr>
  </w:style>
  <w:style w:type="paragraph" w:customStyle="1" w:styleId="Heading20">
    <w:name w:val="Heading #2"/>
    <w:basedOn w:val="Heading2"/>
    <w:qFormat/>
    <w:rsid w:val="00B30DDF"/>
    <w:pPr>
      <w:keepNext w:val="0"/>
      <w:framePr w:wrap="auto" w:vAnchor="margin" w:yAlign="inline"/>
      <w:pBdr>
        <w:bottom w:val="none" w:sz="0" w:space="0" w:color="auto"/>
      </w:pBdr>
      <w:tabs>
        <w:tab w:val="clear" w:pos="432"/>
        <w:tab w:val="left" w:pos="720"/>
        <w:tab w:val="left" w:pos="1080"/>
        <w:tab w:val="left" w:pos="1440"/>
        <w:tab w:val="left" w:pos="1800"/>
      </w:tabs>
      <w:spacing w:before="0" w:after="120"/>
      <w:ind w:left="432" w:hanging="432"/>
    </w:pPr>
    <w:rPr>
      <w:b/>
      <w:bCs/>
      <w:caps w:val="0"/>
      <w:szCs w:val="36"/>
    </w:rPr>
  </w:style>
  <w:style w:type="paragraph" w:customStyle="1" w:styleId="Heading3under2">
    <w:name w:val="Heading 3 under 2"/>
    <w:basedOn w:val="Normal"/>
    <w:qFormat/>
    <w:rsid w:val="00B30DDF"/>
    <w:pPr>
      <w:spacing w:after="240" w:line="240" w:lineRule="auto"/>
      <w:ind w:left="432" w:firstLine="0"/>
    </w:pPr>
    <w:rPr>
      <w:b/>
      <w:szCs w:val="22"/>
    </w:rPr>
  </w:style>
  <w:style w:type="paragraph" w:customStyle="1" w:styleId="NormalDS">
    <w:name w:val="Normal DS"/>
    <w:basedOn w:val="Normal"/>
    <w:qFormat/>
    <w:rsid w:val="00B30DDF"/>
    <w:pPr>
      <w:tabs>
        <w:tab w:val="left" w:pos="720"/>
        <w:tab w:val="left" w:pos="1080"/>
        <w:tab w:val="left" w:pos="1440"/>
        <w:tab w:val="left" w:pos="1800"/>
      </w:tabs>
    </w:pPr>
  </w:style>
  <w:style w:type="paragraph" w:customStyle="1" w:styleId="Heading30">
    <w:name w:val="Heading #3"/>
    <w:basedOn w:val="NormalDS"/>
    <w:qFormat/>
    <w:rsid w:val="00B30DDF"/>
    <w:pPr>
      <w:keepNext/>
      <w:spacing w:after="120" w:line="240" w:lineRule="auto"/>
      <w:ind w:left="432" w:hanging="432"/>
      <w:outlineLvl w:val="2"/>
    </w:pPr>
    <w:rPr>
      <w:b/>
    </w:rPr>
  </w:style>
  <w:style w:type="paragraph" w:customStyle="1" w:styleId="BulletSS">
    <w:name w:val="Bullet (SS)"/>
    <w:basedOn w:val="ListParagraph"/>
    <w:qFormat/>
    <w:rsid w:val="00B30DDF"/>
    <w:pPr>
      <w:numPr>
        <w:numId w:val="34"/>
      </w:numPr>
      <w:tabs>
        <w:tab w:val="left" w:pos="720"/>
        <w:tab w:val="left" w:pos="1080"/>
        <w:tab w:val="left" w:pos="1440"/>
        <w:tab w:val="left" w:pos="1800"/>
      </w:tabs>
      <w:spacing w:after="120" w:line="240" w:lineRule="auto"/>
      <w:ind w:left="432" w:hanging="432"/>
      <w:contextualSpacing w:val="0"/>
    </w:pPr>
    <w:rPr>
      <w:szCs w:val="22"/>
    </w:rPr>
  </w:style>
  <w:style w:type="table" w:customStyle="1" w:styleId="LightList1">
    <w:name w:val="Light List1"/>
    <w:basedOn w:val="TableNormal"/>
    <w:uiPriority w:val="61"/>
    <w:locked/>
    <w:rsid w:val="00030C5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DF23E4"/>
    <w:rPr>
      <w:rFonts w:eastAsia="Times New Roman" w:cs="Times New Roman"/>
      <w:szCs w:val="20"/>
    </w:rPr>
  </w:style>
  <w:style w:type="paragraph" w:customStyle="1" w:styleId="NormalSS-v2">
    <w:name w:val="NormalSS-v2"/>
    <w:basedOn w:val="NormalSS"/>
    <w:qFormat/>
    <w:rsid w:val="00DF23E4"/>
    <w:pPr>
      <w:tabs>
        <w:tab w:val="left" w:pos="720"/>
        <w:tab w:val="left" w:pos="1080"/>
        <w:tab w:val="left" w:pos="1440"/>
        <w:tab w:val="left" w:pos="1800"/>
      </w:tabs>
      <w:spacing w:after="0" w:line="480" w:lineRule="auto"/>
    </w:pPr>
  </w:style>
  <w:style w:type="paragraph" w:styleId="CommentSubject">
    <w:name w:val="annotation subject"/>
    <w:basedOn w:val="CommentText"/>
    <w:next w:val="CommentText"/>
    <w:link w:val="CommentSubjectChar"/>
    <w:uiPriority w:val="99"/>
    <w:semiHidden/>
    <w:unhideWhenUsed/>
    <w:rsid w:val="00E81A9B"/>
    <w:pPr>
      <w:tabs>
        <w:tab w:val="clear" w:pos="720"/>
        <w:tab w:val="clear" w:pos="1080"/>
        <w:tab w:val="clear" w:pos="1440"/>
        <w:tab w:val="clear" w:pos="1800"/>
      </w:tabs>
      <w:ind w:firstLine="432"/>
    </w:pPr>
    <w:rPr>
      <w:b/>
      <w:bCs/>
    </w:rPr>
  </w:style>
  <w:style w:type="character" w:customStyle="1" w:styleId="CommentSubjectChar">
    <w:name w:val="Comment Subject Char"/>
    <w:basedOn w:val="CommentTextChar"/>
    <w:link w:val="CommentSubject"/>
    <w:uiPriority w:val="99"/>
    <w:semiHidden/>
    <w:rsid w:val="00E81A9B"/>
    <w:rPr>
      <w:rFonts w:eastAsia="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7644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6D977-A4AB-4E30-8EB9-CCEDB20C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21</Pages>
  <Words>8813</Words>
  <Characters>50236</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Windows User</cp:lastModifiedBy>
  <cp:revision>2</cp:revision>
  <cp:lastPrinted>2015-08-31T20:16:00Z</cp:lastPrinted>
  <dcterms:created xsi:type="dcterms:W3CDTF">2015-10-23T14:05:00Z</dcterms:created>
  <dcterms:modified xsi:type="dcterms:W3CDTF">2015-10-23T14:05:00Z</dcterms:modified>
</cp:coreProperties>
</file>