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B25C6" w14:textId="77777777" w:rsidR="0042207C" w:rsidRPr="007F7B1D" w:rsidRDefault="0042207C" w:rsidP="0042207C"/>
    <w:p w14:paraId="5544EF46" w14:textId="77777777" w:rsidR="0042207C" w:rsidRPr="007F7B1D" w:rsidRDefault="0042207C" w:rsidP="0042207C"/>
    <w:p w14:paraId="509C422C" w14:textId="77777777" w:rsidR="0042207C" w:rsidRPr="007F7B1D" w:rsidRDefault="0042207C" w:rsidP="0042207C">
      <w:pPr>
        <w:rPr>
          <w:b/>
        </w:rPr>
      </w:pPr>
    </w:p>
    <w:p w14:paraId="15A3617C" w14:textId="77777777" w:rsidR="0042207C" w:rsidRPr="007F7B1D" w:rsidRDefault="0042207C" w:rsidP="0042207C">
      <w:pPr>
        <w:rPr>
          <w:b/>
        </w:rPr>
      </w:pPr>
    </w:p>
    <w:p w14:paraId="37DFA12C" w14:textId="77777777" w:rsidR="0042207C" w:rsidRPr="007F7B1D" w:rsidRDefault="0042207C" w:rsidP="0042207C">
      <w:pPr>
        <w:rPr>
          <w:b/>
        </w:rPr>
      </w:pPr>
    </w:p>
    <w:p w14:paraId="1936E7A2" w14:textId="77777777" w:rsidR="0042207C" w:rsidRPr="007F7B1D" w:rsidRDefault="0042207C" w:rsidP="0042207C">
      <w:pPr>
        <w:rPr>
          <w:b/>
        </w:rPr>
      </w:pPr>
    </w:p>
    <w:p w14:paraId="6A60F2BD" w14:textId="77777777" w:rsidR="0042207C" w:rsidRPr="007F7B1D" w:rsidRDefault="0042207C" w:rsidP="0042207C">
      <w:pPr>
        <w:rPr>
          <w:b/>
        </w:rPr>
      </w:pPr>
    </w:p>
    <w:p w14:paraId="244D220A" w14:textId="77777777" w:rsidR="0042207C" w:rsidRPr="007F7B1D" w:rsidRDefault="0042207C" w:rsidP="0042207C">
      <w:pPr>
        <w:rPr>
          <w:b/>
        </w:rPr>
      </w:pPr>
    </w:p>
    <w:p w14:paraId="3E1FAA42" w14:textId="77777777" w:rsidR="0042207C" w:rsidRPr="007F7B1D" w:rsidRDefault="0042207C" w:rsidP="0042207C">
      <w:pPr>
        <w:rPr>
          <w:b/>
        </w:rPr>
      </w:pPr>
    </w:p>
    <w:p w14:paraId="5FD36A89" w14:textId="77777777" w:rsidR="0042207C" w:rsidRPr="007F7B1D" w:rsidRDefault="0042207C" w:rsidP="0042207C">
      <w:pPr>
        <w:rPr>
          <w:b/>
        </w:rPr>
      </w:pPr>
    </w:p>
    <w:p w14:paraId="4CAAEB53" w14:textId="77777777" w:rsidR="0042207C" w:rsidRPr="007F7B1D" w:rsidRDefault="0042207C" w:rsidP="0042207C">
      <w:pPr>
        <w:rPr>
          <w:b/>
        </w:rPr>
      </w:pPr>
    </w:p>
    <w:p w14:paraId="5412BC06" w14:textId="77777777" w:rsidR="0042207C" w:rsidRPr="007F7B1D" w:rsidRDefault="0042207C" w:rsidP="0042207C">
      <w:pPr>
        <w:rPr>
          <w:b/>
        </w:rPr>
      </w:pPr>
    </w:p>
    <w:p w14:paraId="6DC40918" w14:textId="77777777" w:rsidR="0042207C" w:rsidRPr="007F7B1D" w:rsidRDefault="0042207C" w:rsidP="0042207C">
      <w:pPr>
        <w:rPr>
          <w:b/>
        </w:rPr>
      </w:pPr>
    </w:p>
    <w:p w14:paraId="149DD289" w14:textId="77777777" w:rsidR="0042207C" w:rsidRPr="007F7B1D" w:rsidRDefault="0042207C" w:rsidP="0042207C">
      <w:pPr>
        <w:rPr>
          <w:b/>
        </w:rPr>
      </w:pPr>
    </w:p>
    <w:p w14:paraId="05A28C24" w14:textId="77777777" w:rsidR="0042207C" w:rsidRPr="007F7B1D" w:rsidRDefault="0042207C" w:rsidP="0042207C">
      <w:pPr>
        <w:rPr>
          <w:b/>
        </w:rPr>
      </w:pPr>
    </w:p>
    <w:p w14:paraId="47E707A9" w14:textId="77777777" w:rsidR="0042207C" w:rsidRPr="007F7B1D" w:rsidRDefault="0042207C" w:rsidP="0042207C">
      <w:pPr>
        <w:rPr>
          <w:b/>
        </w:rPr>
      </w:pPr>
    </w:p>
    <w:p w14:paraId="051DBC49" w14:textId="77777777" w:rsidR="0042207C" w:rsidRPr="007F7B1D" w:rsidRDefault="0042207C" w:rsidP="0042207C">
      <w:pPr>
        <w:rPr>
          <w:b/>
        </w:rPr>
      </w:pPr>
    </w:p>
    <w:p w14:paraId="60CCE07C" w14:textId="77777777" w:rsidR="0042207C" w:rsidRPr="007F7B1D" w:rsidRDefault="0042207C" w:rsidP="0042207C">
      <w:pPr>
        <w:jc w:val="center"/>
        <w:rPr>
          <w:b/>
        </w:rPr>
      </w:pPr>
      <w:r w:rsidRPr="007F7B1D">
        <w:rPr>
          <w:b/>
        </w:rPr>
        <w:t>Epidemiologic Study of Health Effects Associated With Low Pressure Events in Drinking Water Distribution Systems</w:t>
      </w:r>
    </w:p>
    <w:p w14:paraId="2ECCD615" w14:textId="77777777" w:rsidR="0042207C" w:rsidRDefault="0042207C" w:rsidP="0042207C">
      <w:pPr>
        <w:rPr>
          <w:b/>
        </w:rPr>
      </w:pPr>
    </w:p>
    <w:p w14:paraId="033D9FBA" w14:textId="77777777" w:rsidR="0042207C" w:rsidRPr="007F7B1D" w:rsidRDefault="0042207C" w:rsidP="0042207C">
      <w:pPr>
        <w:rPr>
          <w:b/>
        </w:rPr>
      </w:pPr>
    </w:p>
    <w:p w14:paraId="77A0F2C1" w14:textId="77777777" w:rsidR="002758A0" w:rsidRPr="003C6D79" w:rsidRDefault="002758A0" w:rsidP="002758A0">
      <w:pPr>
        <w:rPr>
          <w:b/>
        </w:rPr>
      </w:pPr>
      <w:r w:rsidRPr="003C6D79">
        <w:rPr>
          <w:b/>
        </w:rPr>
        <w:t>Request for an Extension of Existing Collection of Information</w:t>
      </w:r>
    </w:p>
    <w:p w14:paraId="748DDDF5" w14:textId="77777777" w:rsidR="002758A0" w:rsidRPr="003C6D79" w:rsidRDefault="002758A0" w:rsidP="002758A0">
      <w:pPr>
        <w:rPr>
          <w:b/>
        </w:rPr>
      </w:pPr>
    </w:p>
    <w:p w14:paraId="0188E5FC" w14:textId="37877943" w:rsidR="002758A0" w:rsidRPr="003C6D79" w:rsidRDefault="007D3925" w:rsidP="002758A0">
      <w:pPr>
        <w:rPr>
          <w:b/>
        </w:rPr>
      </w:pPr>
      <w:r>
        <w:rPr>
          <w:b/>
        </w:rPr>
        <w:t>September 1, 2015</w:t>
      </w:r>
    </w:p>
    <w:p w14:paraId="03FEA059" w14:textId="77777777" w:rsidR="0042207C" w:rsidRPr="003C6D79" w:rsidRDefault="0042207C" w:rsidP="0042207C">
      <w:pPr>
        <w:rPr>
          <w:b/>
        </w:rPr>
      </w:pPr>
    </w:p>
    <w:p w14:paraId="5A5A2190" w14:textId="77777777" w:rsidR="0042207C" w:rsidRPr="003C6D79" w:rsidRDefault="0042207C" w:rsidP="0042207C">
      <w:pPr>
        <w:rPr>
          <w:b/>
        </w:rPr>
      </w:pPr>
      <w:r w:rsidRPr="003C6D79">
        <w:rPr>
          <w:b/>
        </w:rPr>
        <w:t>Contact:</w:t>
      </w:r>
    </w:p>
    <w:p w14:paraId="4EC68A19" w14:textId="447DCF36" w:rsidR="0042207C" w:rsidRPr="003C6D79" w:rsidRDefault="000E79B2" w:rsidP="0042207C">
      <w:r>
        <w:t>Katie Fullerton, MPH</w:t>
      </w:r>
      <w:r w:rsidR="0042207C" w:rsidRPr="003C6D79">
        <w:br/>
        <w:t>Epidemiologist, Waterborne Disease Prevention Branch</w:t>
      </w:r>
      <w:r w:rsidR="0042207C" w:rsidRPr="003C6D79">
        <w:br/>
        <w:t xml:space="preserve">National Center for Emerging and Zoonotic Infectious Diseases </w:t>
      </w:r>
      <w:r w:rsidR="0042207C" w:rsidRPr="003C6D79">
        <w:br/>
        <w:t>Centers for Disease Control and Prevention</w:t>
      </w:r>
      <w:r w:rsidR="0042207C" w:rsidRPr="003C6D79">
        <w:br/>
        <w:t>Mailstop C-09</w:t>
      </w:r>
      <w:r w:rsidR="0042207C" w:rsidRPr="003C6D79">
        <w:br/>
      </w:r>
      <w:r w:rsidR="0042207C" w:rsidRPr="003C6D79">
        <w:lastRenderedPageBreak/>
        <w:t>1600 Clifton Rd. NE</w:t>
      </w:r>
      <w:r w:rsidR="0042207C" w:rsidRPr="003C6D79">
        <w:br/>
        <w:t xml:space="preserve">Atlanta, GA 30333 </w:t>
      </w:r>
    </w:p>
    <w:p w14:paraId="31ACB36E" w14:textId="714D6D2B" w:rsidR="0042207C" w:rsidRPr="007F7B1D" w:rsidRDefault="0042207C" w:rsidP="0042207C">
      <w:r w:rsidRPr="003C6D79">
        <w:t>Tel: 404-718</w:t>
      </w:r>
      <w:r>
        <w:t>-4</w:t>
      </w:r>
      <w:r w:rsidR="000E79B2">
        <w:t>714</w:t>
      </w:r>
      <w:r w:rsidRPr="007F7B1D">
        <w:br/>
        <w:t xml:space="preserve">Fax: </w:t>
      </w:r>
      <w:r>
        <w:t>404-639-2205</w:t>
      </w:r>
      <w:r w:rsidRPr="007F7B1D">
        <w:br/>
        <w:t xml:space="preserve">E-mail: </w:t>
      </w:r>
      <w:hyperlink r:id="rId7" w:history="1"/>
      <w:r w:rsidR="000E79B2">
        <w:rPr>
          <w:rStyle w:val="Hyperlink"/>
        </w:rPr>
        <w:t>kgf9@cdc.gov</w:t>
      </w:r>
    </w:p>
    <w:p w14:paraId="496C4E57" w14:textId="77777777" w:rsidR="0042207C" w:rsidRPr="007F7B1D" w:rsidRDefault="0042207C" w:rsidP="0042207C"/>
    <w:p w14:paraId="5B062F1A" w14:textId="77777777" w:rsidR="0042207C" w:rsidRPr="007F7B1D" w:rsidRDefault="0042207C" w:rsidP="0042207C">
      <w:pPr>
        <w:rPr>
          <w:b/>
        </w:rPr>
      </w:pPr>
    </w:p>
    <w:p w14:paraId="1749EDF0" w14:textId="77777777" w:rsidR="0042207C" w:rsidRPr="007F7B1D" w:rsidRDefault="0042207C" w:rsidP="0042207C">
      <w:pPr>
        <w:rPr>
          <w:b/>
        </w:rPr>
      </w:pPr>
    </w:p>
    <w:p w14:paraId="0A39BC79" w14:textId="77777777" w:rsidR="0042207C" w:rsidRPr="007F7B1D" w:rsidRDefault="0042207C" w:rsidP="0042207C"/>
    <w:p w14:paraId="64002ED8" w14:textId="77777777" w:rsidR="0042207C" w:rsidRPr="007F7B1D" w:rsidRDefault="0042207C" w:rsidP="0042207C"/>
    <w:p w14:paraId="7611F9D8" w14:textId="77777777" w:rsidR="0042207C" w:rsidRPr="007F7B1D" w:rsidRDefault="0042207C" w:rsidP="0042207C"/>
    <w:p w14:paraId="5577138A" w14:textId="77777777" w:rsidR="002D2A5A" w:rsidRDefault="0042207C">
      <w:pPr>
        <w:pStyle w:val="TOCHeading"/>
        <w:rPr>
          <w:b/>
        </w:rPr>
      </w:pPr>
      <w:r w:rsidRPr="007F7B1D">
        <w:rPr>
          <w:b/>
        </w:rPr>
        <w:br w:type="page"/>
      </w:r>
    </w:p>
    <w:sdt>
      <w:sdtPr>
        <w:rPr>
          <w:rFonts w:ascii="Times New Roman" w:eastAsiaTheme="minorHAnsi" w:hAnsi="Times New Roman" w:cstheme="minorBidi"/>
          <w:color w:val="auto"/>
          <w:sz w:val="24"/>
          <w:szCs w:val="22"/>
        </w:rPr>
        <w:id w:val="661748309"/>
        <w:docPartObj>
          <w:docPartGallery w:val="Table of Contents"/>
          <w:docPartUnique/>
        </w:docPartObj>
      </w:sdtPr>
      <w:sdtEndPr>
        <w:rPr>
          <w:b/>
          <w:bCs/>
          <w:noProof/>
        </w:rPr>
      </w:sdtEndPr>
      <w:sdtContent>
        <w:p w14:paraId="5825D7E3" w14:textId="199DCABA" w:rsidR="005C1936" w:rsidRPr="00B07DF2" w:rsidRDefault="005C1936">
          <w:pPr>
            <w:pStyle w:val="TOCHeading"/>
            <w:rPr>
              <w:rFonts w:ascii="Times New Roman" w:hAnsi="Times New Roman" w:cs="Times New Roman"/>
              <w:b/>
              <w:color w:val="auto"/>
              <w:sz w:val="24"/>
              <w:szCs w:val="24"/>
            </w:rPr>
          </w:pPr>
          <w:r w:rsidRPr="00B07DF2">
            <w:rPr>
              <w:rFonts w:ascii="Times New Roman" w:hAnsi="Times New Roman" w:cs="Times New Roman"/>
              <w:b/>
              <w:color w:val="auto"/>
              <w:sz w:val="24"/>
              <w:szCs w:val="24"/>
            </w:rPr>
            <w:t>Table of Contents: Part B</w:t>
          </w:r>
        </w:p>
        <w:p w14:paraId="13A659A2" w14:textId="77777777" w:rsidR="005C1936" w:rsidRPr="00B07DF2" w:rsidRDefault="005C1936">
          <w:pPr>
            <w:pStyle w:val="TOC1"/>
            <w:tabs>
              <w:tab w:val="right" w:leader="dot" w:pos="8630"/>
            </w:tabs>
            <w:rPr>
              <w:rFonts w:cs="Times New Roman"/>
              <w:noProof/>
              <w:szCs w:val="24"/>
            </w:rPr>
          </w:pPr>
          <w:r w:rsidRPr="00387D9D">
            <w:rPr>
              <w:rFonts w:cs="Times New Roman"/>
              <w:szCs w:val="24"/>
            </w:rPr>
            <w:fldChar w:fldCharType="begin"/>
          </w:r>
          <w:r w:rsidRPr="00B07DF2">
            <w:rPr>
              <w:rFonts w:cs="Times New Roman"/>
              <w:szCs w:val="24"/>
            </w:rPr>
            <w:instrText xml:space="preserve"> TOC \o "1-3" \h \z \u </w:instrText>
          </w:r>
          <w:r w:rsidRPr="00387D9D">
            <w:rPr>
              <w:rFonts w:cs="Times New Roman"/>
              <w:szCs w:val="24"/>
            </w:rPr>
            <w:fldChar w:fldCharType="separate"/>
          </w:r>
          <w:hyperlink w:anchor="_Toc426728958" w:history="1">
            <w:r w:rsidRPr="00B07DF2">
              <w:rPr>
                <w:rStyle w:val="Hyperlink"/>
                <w:rFonts w:cs="Times New Roman"/>
                <w:noProof/>
                <w:color w:val="auto"/>
                <w:szCs w:val="24"/>
              </w:rPr>
              <w:t>1. Respondent Universe and Sampling Methods</w:t>
            </w:r>
            <w:r w:rsidRPr="00B07DF2">
              <w:rPr>
                <w:rFonts w:cs="Times New Roman"/>
                <w:noProof/>
                <w:webHidden/>
                <w:szCs w:val="24"/>
              </w:rPr>
              <w:tab/>
            </w:r>
            <w:r w:rsidRPr="00B07DF2">
              <w:rPr>
                <w:rFonts w:cs="Times New Roman"/>
                <w:noProof/>
                <w:webHidden/>
                <w:szCs w:val="24"/>
              </w:rPr>
              <w:fldChar w:fldCharType="begin"/>
            </w:r>
            <w:r w:rsidRPr="00B07DF2">
              <w:rPr>
                <w:rFonts w:cs="Times New Roman"/>
                <w:noProof/>
                <w:webHidden/>
                <w:szCs w:val="24"/>
              </w:rPr>
              <w:instrText xml:space="preserve"> PAGEREF _Toc426728958 \h </w:instrText>
            </w:r>
            <w:r w:rsidRPr="00B07DF2">
              <w:rPr>
                <w:rFonts w:cs="Times New Roman"/>
                <w:noProof/>
                <w:webHidden/>
                <w:szCs w:val="24"/>
              </w:rPr>
            </w:r>
            <w:r w:rsidRPr="00B07DF2">
              <w:rPr>
                <w:rFonts w:cs="Times New Roman"/>
                <w:noProof/>
                <w:webHidden/>
                <w:szCs w:val="24"/>
              </w:rPr>
              <w:fldChar w:fldCharType="separate"/>
            </w:r>
            <w:r w:rsidR="0057543D">
              <w:rPr>
                <w:rFonts w:cs="Times New Roman"/>
                <w:noProof/>
                <w:webHidden/>
                <w:szCs w:val="24"/>
              </w:rPr>
              <w:t>3</w:t>
            </w:r>
            <w:r w:rsidRPr="00B07DF2">
              <w:rPr>
                <w:rFonts w:cs="Times New Roman"/>
                <w:noProof/>
                <w:webHidden/>
                <w:szCs w:val="24"/>
              </w:rPr>
              <w:fldChar w:fldCharType="end"/>
            </w:r>
          </w:hyperlink>
        </w:p>
        <w:p w14:paraId="6FC9468F" w14:textId="77777777" w:rsidR="005C1936" w:rsidRPr="00B07DF2" w:rsidRDefault="0050769A">
          <w:pPr>
            <w:pStyle w:val="TOC1"/>
            <w:tabs>
              <w:tab w:val="right" w:leader="dot" w:pos="8630"/>
            </w:tabs>
            <w:rPr>
              <w:rFonts w:cs="Times New Roman"/>
              <w:noProof/>
              <w:szCs w:val="24"/>
            </w:rPr>
          </w:pPr>
          <w:hyperlink w:anchor="_Toc426728959" w:history="1">
            <w:r w:rsidR="005C1936" w:rsidRPr="00B07DF2">
              <w:rPr>
                <w:rStyle w:val="Hyperlink"/>
                <w:rFonts w:cs="Times New Roman"/>
                <w:noProof/>
                <w:color w:val="auto"/>
                <w:szCs w:val="24"/>
              </w:rPr>
              <w:t>2. Procedures for the Collection of Information</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_Toc426728959 \h </w:instrText>
            </w:r>
            <w:r w:rsidR="005C1936" w:rsidRPr="00B07DF2">
              <w:rPr>
                <w:rFonts w:cs="Times New Roman"/>
                <w:noProof/>
                <w:webHidden/>
                <w:szCs w:val="24"/>
              </w:rPr>
            </w:r>
            <w:r w:rsidR="005C1936" w:rsidRPr="00B07DF2">
              <w:rPr>
                <w:rFonts w:cs="Times New Roman"/>
                <w:noProof/>
                <w:webHidden/>
                <w:szCs w:val="24"/>
              </w:rPr>
              <w:fldChar w:fldCharType="separate"/>
            </w:r>
            <w:r w:rsidR="0057543D">
              <w:rPr>
                <w:rFonts w:cs="Times New Roman"/>
                <w:noProof/>
                <w:webHidden/>
                <w:szCs w:val="24"/>
              </w:rPr>
              <w:t>6</w:t>
            </w:r>
            <w:r w:rsidR="005C1936" w:rsidRPr="00B07DF2">
              <w:rPr>
                <w:rFonts w:cs="Times New Roman"/>
                <w:noProof/>
                <w:webHidden/>
                <w:szCs w:val="24"/>
              </w:rPr>
              <w:fldChar w:fldCharType="end"/>
            </w:r>
          </w:hyperlink>
        </w:p>
        <w:p w14:paraId="17A4CA52" w14:textId="77777777" w:rsidR="005C1936" w:rsidRPr="00B07DF2" w:rsidRDefault="0050769A">
          <w:pPr>
            <w:pStyle w:val="TOC1"/>
            <w:tabs>
              <w:tab w:val="right" w:leader="dot" w:pos="8630"/>
            </w:tabs>
            <w:rPr>
              <w:rFonts w:cs="Times New Roman"/>
              <w:noProof/>
              <w:szCs w:val="24"/>
            </w:rPr>
          </w:pPr>
          <w:hyperlink w:anchor="_Toc426728960" w:history="1">
            <w:r w:rsidR="005C1936" w:rsidRPr="00B07DF2">
              <w:rPr>
                <w:rStyle w:val="Hyperlink"/>
                <w:rFonts w:cs="Times New Roman"/>
                <w:noProof/>
                <w:color w:val="auto"/>
                <w:szCs w:val="24"/>
              </w:rPr>
              <w:t>3. Methods to Maximize Response Rates and Deal with Non-response</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_Toc426728960 \h </w:instrText>
            </w:r>
            <w:r w:rsidR="005C1936" w:rsidRPr="00B07DF2">
              <w:rPr>
                <w:rFonts w:cs="Times New Roman"/>
                <w:noProof/>
                <w:webHidden/>
                <w:szCs w:val="24"/>
              </w:rPr>
            </w:r>
            <w:r w:rsidR="005C1936" w:rsidRPr="00B07DF2">
              <w:rPr>
                <w:rFonts w:cs="Times New Roman"/>
                <w:noProof/>
                <w:webHidden/>
                <w:szCs w:val="24"/>
              </w:rPr>
              <w:fldChar w:fldCharType="separate"/>
            </w:r>
            <w:r w:rsidR="0057543D">
              <w:rPr>
                <w:rFonts w:cs="Times New Roman"/>
                <w:noProof/>
                <w:webHidden/>
                <w:szCs w:val="24"/>
              </w:rPr>
              <w:t>11</w:t>
            </w:r>
            <w:r w:rsidR="005C1936" w:rsidRPr="00B07DF2">
              <w:rPr>
                <w:rFonts w:cs="Times New Roman"/>
                <w:noProof/>
                <w:webHidden/>
                <w:szCs w:val="24"/>
              </w:rPr>
              <w:fldChar w:fldCharType="end"/>
            </w:r>
          </w:hyperlink>
        </w:p>
        <w:p w14:paraId="27F274B2" w14:textId="71CE503B" w:rsidR="005C1936" w:rsidRPr="00B07DF2" w:rsidRDefault="0050769A">
          <w:pPr>
            <w:pStyle w:val="TOC1"/>
            <w:tabs>
              <w:tab w:val="right" w:leader="dot" w:pos="8630"/>
            </w:tabs>
            <w:rPr>
              <w:rFonts w:cs="Times New Roman"/>
              <w:noProof/>
              <w:szCs w:val="24"/>
            </w:rPr>
          </w:pPr>
          <w:hyperlink w:anchor="_Toc426728961" w:history="1">
            <w:r w:rsidR="005C1936" w:rsidRPr="00B07DF2">
              <w:rPr>
                <w:rStyle w:val="Hyperlink"/>
                <w:rFonts w:cs="Times New Roman"/>
                <w:noProof/>
                <w:color w:val="auto"/>
                <w:szCs w:val="24"/>
              </w:rPr>
              <w:t>4. Tests of Procedures or Methods to be Undertaken</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_Toc426728961 \h </w:instrText>
            </w:r>
            <w:r w:rsidR="005C1936" w:rsidRPr="00B07DF2">
              <w:rPr>
                <w:rFonts w:cs="Times New Roman"/>
                <w:noProof/>
                <w:webHidden/>
                <w:szCs w:val="24"/>
              </w:rPr>
            </w:r>
            <w:r w:rsidR="005C1936" w:rsidRPr="00B07DF2">
              <w:rPr>
                <w:rFonts w:cs="Times New Roman"/>
                <w:noProof/>
                <w:webHidden/>
                <w:szCs w:val="24"/>
              </w:rPr>
              <w:fldChar w:fldCharType="separate"/>
            </w:r>
            <w:r w:rsidR="0057543D">
              <w:rPr>
                <w:rFonts w:cs="Times New Roman"/>
                <w:noProof/>
                <w:webHidden/>
                <w:szCs w:val="24"/>
              </w:rPr>
              <w:t>13</w:t>
            </w:r>
            <w:r w:rsidR="005C1936" w:rsidRPr="00B07DF2">
              <w:rPr>
                <w:rFonts w:cs="Times New Roman"/>
                <w:noProof/>
                <w:webHidden/>
                <w:szCs w:val="24"/>
              </w:rPr>
              <w:fldChar w:fldCharType="end"/>
            </w:r>
          </w:hyperlink>
        </w:p>
        <w:p w14:paraId="1B73A064" w14:textId="12E8D282" w:rsidR="005C1936" w:rsidRPr="00B07DF2" w:rsidRDefault="0050769A">
          <w:pPr>
            <w:pStyle w:val="TOC1"/>
            <w:tabs>
              <w:tab w:val="right" w:leader="dot" w:pos="8630"/>
            </w:tabs>
            <w:rPr>
              <w:rFonts w:cs="Times New Roman"/>
              <w:noProof/>
              <w:szCs w:val="24"/>
            </w:rPr>
          </w:pPr>
          <w:hyperlink w:anchor="_Toc426728962" w:history="1">
            <w:r w:rsidR="005C1936" w:rsidRPr="00B07DF2">
              <w:rPr>
                <w:rStyle w:val="Hyperlink"/>
                <w:rFonts w:cs="Times New Roman"/>
                <w:noProof/>
                <w:color w:val="auto"/>
                <w:szCs w:val="24"/>
              </w:rPr>
              <w:t>5. Individuals Consulted on Statistical Aspects and Individuals Collecting and/or Analyzing Data</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_Toc426728962 \h </w:instrText>
            </w:r>
            <w:r w:rsidR="005C1936" w:rsidRPr="00B07DF2">
              <w:rPr>
                <w:rFonts w:cs="Times New Roman"/>
                <w:noProof/>
                <w:webHidden/>
                <w:szCs w:val="24"/>
              </w:rPr>
            </w:r>
            <w:r w:rsidR="005C1936" w:rsidRPr="00B07DF2">
              <w:rPr>
                <w:rFonts w:cs="Times New Roman"/>
                <w:noProof/>
                <w:webHidden/>
                <w:szCs w:val="24"/>
              </w:rPr>
              <w:fldChar w:fldCharType="separate"/>
            </w:r>
            <w:r w:rsidR="0057543D">
              <w:rPr>
                <w:rFonts w:cs="Times New Roman"/>
                <w:noProof/>
                <w:webHidden/>
                <w:szCs w:val="24"/>
              </w:rPr>
              <w:t>14</w:t>
            </w:r>
            <w:r w:rsidR="005C1936" w:rsidRPr="00B07DF2">
              <w:rPr>
                <w:rFonts w:cs="Times New Roman"/>
                <w:noProof/>
                <w:webHidden/>
                <w:szCs w:val="24"/>
              </w:rPr>
              <w:fldChar w:fldCharType="end"/>
            </w:r>
          </w:hyperlink>
        </w:p>
        <w:p w14:paraId="3ED80E0F" w14:textId="3DDCD9FF" w:rsidR="005C1936" w:rsidRDefault="005C1936">
          <w:r w:rsidRPr="00387D9D">
            <w:rPr>
              <w:rFonts w:cs="Times New Roman"/>
              <w:b/>
              <w:bCs/>
              <w:noProof/>
              <w:szCs w:val="24"/>
            </w:rPr>
            <w:fldChar w:fldCharType="end"/>
          </w:r>
        </w:p>
      </w:sdtContent>
    </w:sdt>
    <w:p w14:paraId="47562F26" w14:textId="77777777" w:rsidR="005C1936" w:rsidRDefault="005C1936" w:rsidP="005C1936">
      <w:pPr>
        <w:rPr>
          <w:b/>
          <w:szCs w:val="24"/>
        </w:rPr>
      </w:pPr>
    </w:p>
    <w:p w14:paraId="74626222" w14:textId="77777777" w:rsidR="00387D9D" w:rsidRPr="00003C8B" w:rsidRDefault="00387D9D" w:rsidP="00387D9D">
      <w:pPr>
        <w:rPr>
          <w:b/>
          <w:szCs w:val="24"/>
        </w:rPr>
      </w:pPr>
      <w:r w:rsidRPr="00003C8B">
        <w:rPr>
          <w:b/>
          <w:szCs w:val="24"/>
        </w:rPr>
        <w:t xml:space="preserve">List of Reference Attachments </w:t>
      </w:r>
    </w:p>
    <w:p w14:paraId="07609615" w14:textId="77777777" w:rsidR="00520C66" w:rsidRDefault="00520C66" w:rsidP="00520C66">
      <w:pPr>
        <w:pStyle w:val="ListParagraph"/>
        <w:numPr>
          <w:ilvl w:val="0"/>
          <w:numId w:val="20"/>
        </w:numPr>
        <w:spacing w:after="200" w:line="276" w:lineRule="auto"/>
      </w:pPr>
      <w:r w:rsidRPr="00003C8B">
        <w:t>Authorizing Legislation</w:t>
      </w:r>
    </w:p>
    <w:p w14:paraId="1F6A554F" w14:textId="77777777" w:rsidR="00520C66" w:rsidRPr="006737F8" w:rsidRDefault="00520C66" w:rsidP="00520C66">
      <w:pPr>
        <w:pStyle w:val="ListParagraph"/>
        <w:numPr>
          <w:ilvl w:val="0"/>
          <w:numId w:val="20"/>
        </w:numPr>
        <w:spacing w:after="200" w:line="276" w:lineRule="auto"/>
      </w:pPr>
      <w:r w:rsidRPr="00003C8B">
        <w:t>60 day Federal Register Notice</w:t>
      </w:r>
    </w:p>
    <w:p w14:paraId="4D577B95" w14:textId="77777777" w:rsidR="00520C66" w:rsidRDefault="00520C66" w:rsidP="00520C66">
      <w:pPr>
        <w:pStyle w:val="ListParagraph"/>
        <w:numPr>
          <w:ilvl w:val="0"/>
          <w:numId w:val="20"/>
        </w:numPr>
        <w:spacing w:line="276" w:lineRule="auto"/>
      </w:pPr>
      <w:r w:rsidRPr="00003C8B">
        <w:t>Pilot Evaluation Logical Framework</w:t>
      </w:r>
    </w:p>
    <w:p w14:paraId="302CF2B3" w14:textId="77777777" w:rsidR="00520C66" w:rsidRDefault="00520C66" w:rsidP="00520C66">
      <w:pPr>
        <w:pStyle w:val="ListParagraph"/>
        <w:numPr>
          <w:ilvl w:val="0"/>
          <w:numId w:val="20"/>
        </w:numPr>
        <w:spacing w:line="276" w:lineRule="auto"/>
      </w:pPr>
      <w:r>
        <w:t>Pilot Summary and Evaluation Report</w:t>
      </w:r>
    </w:p>
    <w:p w14:paraId="47678243" w14:textId="77777777" w:rsidR="00520C66" w:rsidRDefault="00520C66" w:rsidP="00520C66">
      <w:pPr>
        <w:spacing w:line="276" w:lineRule="auto"/>
        <w:ind w:left="360"/>
        <w:contextualSpacing/>
      </w:pPr>
      <w:r>
        <w:t>E.1. Utility Press Release</w:t>
      </w:r>
    </w:p>
    <w:p w14:paraId="68FD17E2" w14:textId="77777777" w:rsidR="00520C66" w:rsidRDefault="00520C66" w:rsidP="00520C66">
      <w:pPr>
        <w:spacing w:line="276" w:lineRule="auto"/>
        <w:ind w:left="360"/>
        <w:contextualSpacing/>
      </w:pPr>
      <w:r>
        <w:t>E.2. Utility Radio PSA</w:t>
      </w:r>
    </w:p>
    <w:p w14:paraId="508A273F" w14:textId="77777777" w:rsidR="00520C66" w:rsidRDefault="00520C66" w:rsidP="00520C66">
      <w:pPr>
        <w:spacing w:line="276" w:lineRule="auto"/>
        <w:ind w:left="360"/>
        <w:contextualSpacing/>
      </w:pPr>
      <w:r>
        <w:t>E.3. Utility Newsletter Paragraph</w:t>
      </w:r>
    </w:p>
    <w:p w14:paraId="5F10762C" w14:textId="77777777" w:rsidR="00520C66" w:rsidRDefault="00520C66" w:rsidP="00520C66">
      <w:pPr>
        <w:spacing w:line="276" w:lineRule="auto"/>
        <w:ind w:left="360"/>
        <w:contextualSpacing/>
      </w:pPr>
      <w:r>
        <w:t>E.4. Utility Social Media Posts</w:t>
      </w:r>
    </w:p>
    <w:p w14:paraId="15927178" w14:textId="77777777" w:rsidR="00520C66" w:rsidRDefault="00520C66" w:rsidP="00520C66">
      <w:pPr>
        <w:spacing w:line="276" w:lineRule="auto"/>
        <w:ind w:left="360"/>
        <w:contextualSpacing/>
      </w:pPr>
      <w:r>
        <w:t>E.5. Utility Promotional Postcard</w:t>
      </w:r>
    </w:p>
    <w:p w14:paraId="2E17C942" w14:textId="77777777" w:rsidR="00520C66" w:rsidRDefault="00520C66" w:rsidP="00520C66">
      <w:pPr>
        <w:spacing w:line="276" w:lineRule="auto"/>
        <w:ind w:left="360"/>
        <w:contextualSpacing/>
      </w:pPr>
      <w:r>
        <w:t>E.6. Utility Customer Fact Sheet</w:t>
      </w:r>
    </w:p>
    <w:p w14:paraId="6190B973" w14:textId="77777777" w:rsidR="00520C66" w:rsidRPr="00003C8B" w:rsidRDefault="00520C66" w:rsidP="00520C66">
      <w:pPr>
        <w:spacing w:line="276" w:lineRule="auto"/>
        <w:ind w:left="360"/>
        <w:contextualSpacing/>
      </w:pPr>
      <w:r>
        <w:t>E.7. Utility Water Sample Fact Sheet</w:t>
      </w:r>
    </w:p>
    <w:p w14:paraId="08274DC4" w14:textId="77777777" w:rsidR="00520C66" w:rsidRPr="00003C8B" w:rsidRDefault="00520C66" w:rsidP="00520C66">
      <w:pPr>
        <w:pStyle w:val="ListParagraph"/>
        <w:numPr>
          <w:ilvl w:val="0"/>
          <w:numId w:val="23"/>
        </w:numPr>
        <w:spacing w:line="276" w:lineRule="auto"/>
      </w:pPr>
      <w:r w:rsidRPr="00003C8B">
        <w:t xml:space="preserve">Advance </w:t>
      </w:r>
      <w:r>
        <w:t>Letter</w:t>
      </w:r>
      <w:r w:rsidRPr="00003C8B">
        <w:t xml:space="preserve"> </w:t>
      </w:r>
    </w:p>
    <w:p w14:paraId="66DF1BA3" w14:textId="77777777" w:rsidR="00520C66" w:rsidRDefault="00520C66" w:rsidP="00520C66">
      <w:pPr>
        <w:pStyle w:val="ListParagraph"/>
        <w:numPr>
          <w:ilvl w:val="0"/>
          <w:numId w:val="23"/>
        </w:numPr>
        <w:spacing w:after="200" w:line="276" w:lineRule="auto"/>
      </w:pPr>
      <w:r w:rsidRPr="00003C8B">
        <w:t>Cover Letter – Paper</w:t>
      </w:r>
    </w:p>
    <w:p w14:paraId="18342857" w14:textId="77777777" w:rsidR="00520C66" w:rsidRPr="00003C8B" w:rsidRDefault="00520C66" w:rsidP="00520C66">
      <w:pPr>
        <w:pStyle w:val="ListParagraph"/>
        <w:numPr>
          <w:ilvl w:val="0"/>
          <w:numId w:val="23"/>
        </w:numPr>
        <w:spacing w:after="200" w:line="276" w:lineRule="auto"/>
      </w:pPr>
      <w:r w:rsidRPr="00003C8B">
        <w:t xml:space="preserve">Cover Letter – E-mail </w:t>
      </w:r>
    </w:p>
    <w:p w14:paraId="23FC4934" w14:textId="77777777" w:rsidR="00520C66" w:rsidRPr="00003C8B" w:rsidRDefault="00520C66" w:rsidP="00520C66">
      <w:pPr>
        <w:pStyle w:val="ListParagraph"/>
        <w:numPr>
          <w:ilvl w:val="0"/>
          <w:numId w:val="23"/>
        </w:numPr>
        <w:spacing w:after="200" w:line="276" w:lineRule="auto"/>
      </w:pPr>
      <w:r w:rsidRPr="00003C8B">
        <w:t>Consent Brochure</w:t>
      </w:r>
    </w:p>
    <w:p w14:paraId="20912131" w14:textId="77777777" w:rsidR="00520C66" w:rsidRPr="00003C8B" w:rsidRDefault="00520C66" w:rsidP="00520C66">
      <w:pPr>
        <w:pStyle w:val="ListParagraph"/>
        <w:numPr>
          <w:ilvl w:val="0"/>
          <w:numId w:val="23"/>
        </w:numPr>
        <w:spacing w:after="200" w:line="276" w:lineRule="auto"/>
      </w:pPr>
      <w:r w:rsidRPr="00003C8B">
        <w:lastRenderedPageBreak/>
        <w:t>Household</w:t>
      </w:r>
      <w:r>
        <w:t xml:space="preserve"> Survey</w:t>
      </w:r>
      <w:r w:rsidRPr="00003C8B">
        <w:t xml:space="preserve"> –</w:t>
      </w:r>
      <w:r>
        <w:t xml:space="preserve"> </w:t>
      </w:r>
      <w:r w:rsidRPr="00003C8B">
        <w:t xml:space="preserve">Paper </w:t>
      </w:r>
    </w:p>
    <w:p w14:paraId="7AB30B58" w14:textId="77777777" w:rsidR="00520C66" w:rsidRPr="00003C8B" w:rsidRDefault="00520C66" w:rsidP="00520C66">
      <w:pPr>
        <w:pStyle w:val="ListParagraph"/>
        <w:numPr>
          <w:ilvl w:val="0"/>
          <w:numId w:val="23"/>
        </w:numPr>
        <w:spacing w:after="200" w:line="276" w:lineRule="auto"/>
      </w:pPr>
      <w:r w:rsidRPr="00003C8B">
        <w:t>Household</w:t>
      </w:r>
      <w:r>
        <w:t xml:space="preserve"> Survey </w:t>
      </w:r>
      <w:r w:rsidRPr="00003C8B">
        <w:t>–</w:t>
      </w:r>
      <w:r>
        <w:t xml:space="preserve"> W</w:t>
      </w:r>
      <w:r w:rsidRPr="00003C8B">
        <w:t>eb – Screen Shots</w:t>
      </w:r>
    </w:p>
    <w:p w14:paraId="41C7382A" w14:textId="77777777" w:rsidR="00520C66" w:rsidRPr="00003C8B" w:rsidRDefault="00520C66" w:rsidP="00520C66">
      <w:pPr>
        <w:pStyle w:val="ListParagraph"/>
        <w:numPr>
          <w:ilvl w:val="0"/>
          <w:numId w:val="23"/>
        </w:numPr>
        <w:spacing w:after="200" w:line="276" w:lineRule="auto"/>
      </w:pPr>
      <w:r w:rsidRPr="00003C8B">
        <w:t>Thank you/Reminder Letter</w:t>
      </w:r>
    </w:p>
    <w:p w14:paraId="12C26D37" w14:textId="77777777" w:rsidR="00520C66" w:rsidRDefault="00520C66" w:rsidP="00520C66">
      <w:pPr>
        <w:pStyle w:val="ListParagraph"/>
        <w:numPr>
          <w:ilvl w:val="0"/>
          <w:numId w:val="23"/>
        </w:numPr>
        <w:spacing w:after="200" w:line="276" w:lineRule="auto"/>
      </w:pPr>
      <w:r w:rsidRPr="00003C8B">
        <w:t>Replacement Survey Cover Letter</w:t>
      </w:r>
      <w:r>
        <w:t xml:space="preserve"> </w:t>
      </w:r>
      <w:r w:rsidRPr="00003C8B">
        <w:t>– Paper</w:t>
      </w:r>
    </w:p>
    <w:p w14:paraId="47E4952C" w14:textId="77777777" w:rsidR="00520C66" w:rsidRDefault="00520C66" w:rsidP="00520C66">
      <w:pPr>
        <w:pStyle w:val="ListParagraph"/>
        <w:numPr>
          <w:ilvl w:val="0"/>
          <w:numId w:val="23"/>
        </w:numPr>
        <w:spacing w:after="200" w:line="276" w:lineRule="auto"/>
      </w:pPr>
      <w:r>
        <w:t xml:space="preserve">Replacement Survey Cover Letter </w:t>
      </w:r>
      <w:r w:rsidRPr="00003C8B">
        <w:t>– E-mail</w:t>
      </w:r>
    </w:p>
    <w:p w14:paraId="273B89AF" w14:textId="77777777" w:rsidR="00520C66" w:rsidRPr="00003C8B" w:rsidRDefault="00520C66" w:rsidP="00520C66">
      <w:pPr>
        <w:pStyle w:val="ListParagraph"/>
        <w:numPr>
          <w:ilvl w:val="0"/>
          <w:numId w:val="23"/>
        </w:numPr>
        <w:spacing w:after="200" w:line="276" w:lineRule="auto"/>
      </w:pPr>
      <w:r w:rsidRPr="00003C8B">
        <w:t>Reminder Phone Script</w:t>
      </w:r>
    </w:p>
    <w:p w14:paraId="321DCA1A" w14:textId="77777777" w:rsidR="00520C66" w:rsidRDefault="00520C66" w:rsidP="00520C66">
      <w:pPr>
        <w:pStyle w:val="ListParagraph"/>
        <w:numPr>
          <w:ilvl w:val="0"/>
          <w:numId w:val="23"/>
        </w:numPr>
        <w:spacing w:after="200" w:line="276" w:lineRule="auto"/>
      </w:pPr>
      <w:r w:rsidRPr="00003C8B">
        <w:t>Final Appeal Letter</w:t>
      </w:r>
    </w:p>
    <w:p w14:paraId="3BDF24E2" w14:textId="77777777" w:rsidR="00520C66" w:rsidRPr="00003C8B" w:rsidRDefault="00520C66" w:rsidP="00520C66">
      <w:pPr>
        <w:pStyle w:val="ListParagraph"/>
        <w:numPr>
          <w:ilvl w:val="0"/>
          <w:numId w:val="23"/>
        </w:numPr>
        <w:spacing w:after="200" w:line="276" w:lineRule="auto"/>
      </w:pPr>
      <w:r w:rsidRPr="00003C8B">
        <w:t>IRB Approval Continuation</w:t>
      </w:r>
    </w:p>
    <w:p w14:paraId="7A96B8FB" w14:textId="77777777" w:rsidR="00520C66" w:rsidRPr="00003C8B" w:rsidRDefault="00520C66" w:rsidP="00520C66">
      <w:pPr>
        <w:pStyle w:val="ListParagraph"/>
        <w:numPr>
          <w:ilvl w:val="0"/>
          <w:numId w:val="23"/>
        </w:numPr>
        <w:spacing w:after="200" w:line="276" w:lineRule="auto"/>
      </w:pPr>
      <w:r w:rsidRPr="00003C8B">
        <w:t>L</w:t>
      </w:r>
      <w:r>
        <w:t>ow Pressure Event Form</w:t>
      </w:r>
    </w:p>
    <w:p w14:paraId="03436EF2" w14:textId="77777777" w:rsidR="00520C66" w:rsidRPr="00003C8B" w:rsidRDefault="00520C66" w:rsidP="00520C66">
      <w:pPr>
        <w:pStyle w:val="ListParagraph"/>
        <w:numPr>
          <w:ilvl w:val="0"/>
          <w:numId w:val="23"/>
        </w:numPr>
        <w:spacing w:after="200" w:line="276" w:lineRule="auto"/>
      </w:pPr>
      <w:r w:rsidRPr="00003C8B">
        <w:t>Utilit</w:t>
      </w:r>
      <w:r>
        <w:t xml:space="preserve">y Customer Information </w:t>
      </w:r>
    </w:p>
    <w:p w14:paraId="2C7B689F" w14:textId="77777777" w:rsidR="005C1936" w:rsidRDefault="005C1936" w:rsidP="00B07DF2">
      <w:pPr>
        <w:rPr>
          <w:b/>
        </w:rPr>
      </w:pPr>
      <w:r>
        <w:rPr>
          <w:b/>
        </w:rPr>
        <w:br w:type="page"/>
      </w:r>
    </w:p>
    <w:p w14:paraId="7525AF0F" w14:textId="3C15D439" w:rsidR="0042207C" w:rsidRPr="007F7B1D" w:rsidRDefault="0042207C" w:rsidP="0042207C">
      <w:pPr>
        <w:rPr>
          <w:b/>
        </w:rPr>
      </w:pPr>
      <w:r w:rsidRPr="007F7B1D">
        <w:rPr>
          <w:b/>
        </w:rPr>
        <w:lastRenderedPageBreak/>
        <w:t>Epidemiologic Study of Health Effects Associated With Low Pressure Events in Drinking Water Distribution Systems</w:t>
      </w:r>
    </w:p>
    <w:p w14:paraId="32AE1EBE" w14:textId="77777777" w:rsidR="007352D1" w:rsidRDefault="007352D1" w:rsidP="0042207C">
      <w:pPr>
        <w:rPr>
          <w:b/>
        </w:rPr>
      </w:pPr>
    </w:p>
    <w:p w14:paraId="5CDE321E" w14:textId="53359398" w:rsidR="007352D1" w:rsidRPr="00B3104E" w:rsidRDefault="007352D1" w:rsidP="0042207C">
      <w:r w:rsidRPr="00B3104E">
        <w:t>iii. Extension</w:t>
      </w:r>
    </w:p>
    <w:p w14:paraId="41B9DA5F" w14:textId="77777777" w:rsidR="0042207C" w:rsidRPr="007F7B1D" w:rsidRDefault="0042207C" w:rsidP="0042207C">
      <w:r w:rsidRPr="007F7B1D" w:rsidDel="00083B53">
        <w:rPr>
          <w:b/>
        </w:rPr>
        <w:t xml:space="preserve"> </w:t>
      </w:r>
    </w:p>
    <w:p w14:paraId="11FB352C" w14:textId="77777777" w:rsidR="0042207C" w:rsidRPr="007F7B1D" w:rsidRDefault="0042207C" w:rsidP="0042207C">
      <w:r w:rsidRPr="007F7B1D">
        <w:rPr>
          <w:b/>
          <w:u w:val="single"/>
        </w:rPr>
        <w:t>B. Collections of Information Employing Statistical Methods</w:t>
      </w:r>
    </w:p>
    <w:p w14:paraId="6D339779" w14:textId="77777777" w:rsidR="0042207C" w:rsidRPr="007F7B1D" w:rsidRDefault="0042207C" w:rsidP="0042207C"/>
    <w:p w14:paraId="6F46E987" w14:textId="77777777" w:rsidR="0042207C" w:rsidRPr="00387D9D" w:rsidRDefault="0042207C" w:rsidP="00B3104E">
      <w:pPr>
        <w:pStyle w:val="Heading1"/>
      </w:pPr>
      <w:bookmarkStart w:id="0" w:name="_Toc426728958"/>
      <w:r w:rsidRPr="005C1936">
        <w:t xml:space="preserve">1. Respondent Universe and </w:t>
      </w:r>
      <w:r w:rsidRPr="00387D9D">
        <w:t>Sampling Methods</w:t>
      </w:r>
      <w:bookmarkEnd w:id="0"/>
    </w:p>
    <w:p w14:paraId="700217A8" w14:textId="3C1EC3D0" w:rsidR="0042207C" w:rsidRPr="007F7B1D" w:rsidRDefault="0042207C" w:rsidP="0042207C">
      <w:r w:rsidRPr="007F7B1D">
        <w:t xml:space="preserve">We plan to conduct a </w:t>
      </w:r>
      <w:r>
        <w:t xml:space="preserve">prospective </w:t>
      </w:r>
      <w:r w:rsidRPr="007F7B1D">
        <w:t xml:space="preserve">cohort study among households that receive water from </w:t>
      </w:r>
      <w:r w:rsidR="006F6137">
        <w:t>five</w:t>
      </w:r>
      <w:r w:rsidRPr="007F7B1D">
        <w:t xml:space="preserve"> water utilities. For each low pressure event, the water utility will provide the study team with </w:t>
      </w:r>
      <w:r>
        <w:t>contact information for utility customers</w:t>
      </w:r>
      <w:r w:rsidRPr="007F7B1D">
        <w:t xml:space="preserve"> from an exposed and an unexposed area. From </w:t>
      </w:r>
      <w:r w:rsidR="004A5F9A">
        <w:t>the utility company</w:t>
      </w:r>
      <w:r w:rsidR="004A5F9A" w:rsidRPr="007F7B1D">
        <w:t xml:space="preserve"> </w:t>
      </w:r>
      <w:r w:rsidRPr="007F7B1D">
        <w:t>list</w:t>
      </w:r>
      <w:r w:rsidR="004A5F9A">
        <w:t>s</w:t>
      </w:r>
      <w:r w:rsidR="00F471B2">
        <w:t>,</w:t>
      </w:r>
      <w:r w:rsidRPr="007F7B1D">
        <w:t xml:space="preserve"> CDC will randomly select a number of exposed and unexposed households to be sent the survey. </w:t>
      </w:r>
      <w:r w:rsidR="004A5F9A">
        <w:t xml:space="preserve">For each low pressure event (LPE), unexposed and exposed households will be recruited in a 2:1 ratio. Sample size calculations are based on a matched (at the </w:t>
      </w:r>
      <w:r w:rsidR="007A7752">
        <w:t>LPE</w:t>
      </w:r>
      <w:r w:rsidR="004A5F9A">
        <w:t xml:space="preserve"> level) design, thus </w:t>
      </w:r>
      <w:r w:rsidR="007A7752">
        <w:t xml:space="preserve">calculations depend on </w:t>
      </w:r>
      <w:r w:rsidR="004A5F9A">
        <w:t xml:space="preserve">the number of LPEs </w:t>
      </w:r>
      <w:r w:rsidR="007A7752">
        <w:t xml:space="preserve">and the number of exposed and unexposed households per LPE. </w:t>
      </w:r>
      <w:r w:rsidR="007D7716">
        <w:t>Based on calculations outlined below, w</w:t>
      </w:r>
      <w:r w:rsidR="00482C93">
        <w:t>e aim to include 65 LPEs in the multi-site study</w:t>
      </w:r>
      <w:r w:rsidR="00BC78B0">
        <w:t>, to obtain information from 4</w:t>
      </w:r>
      <w:r w:rsidR="0013631F">
        <w:t>,</w:t>
      </w:r>
      <w:r w:rsidR="00BC78B0">
        <w:t>050 households (1,320 exposed and 2,700 unexposed).</w:t>
      </w:r>
      <w:r w:rsidR="00482C93">
        <w:t xml:space="preserve"> </w:t>
      </w:r>
      <w:r w:rsidRPr="007F7B1D">
        <w:t xml:space="preserve">Based on an anticipated </w:t>
      </w:r>
      <w:r w:rsidR="00EF6BAE">
        <w:t>60</w:t>
      </w:r>
      <w:r w:rsidRPr="007F7B1D">
        <w:t xml:space="preserve">% response rate, we will </w:t>
      </w:r>
      <w:r w:rsidR="00B976A4">
        <w:t>send surveys to</w:t>
      </w:r>
      <w:r w:rsidR="00B976A4" w:rsidRPr="007F7B1D">
        <w:t xml:space="preserve"> </w:t>
      </w:r>
      <w:r w:rsidRPr="007F7B1D">
        <w:t xml:space="preserve">approximately </w:t>
      </w:r>
      <w:r w:rsidR="002054E8">
        <w:t>6,750</w:t>
      </w:r>
      <w:r w:rsidRPr="007F7B1D">
        <w:t xml:space="preserve"> households (</w:t>
      </w:r>
      <w:r w:rsidR="002054E8">
        <w:t>4,050</w:t>
      </w:r>
      <w:r w:rsidRPr="007F7B1D">
        <w:t>/0.</w:t>
      </w:r>
      <w:r w:rsidR="00EF6BAE">
        <w:t>6</w:t>
      </w:r>
      <w:r w:rsidRPr="007F7B1D">
        <w:t xml:space="preserve">0) during the time period of the study. We will not be contacting persons younger than 18 years of age. </w:t>
      </w:r>
      <w:r w:rsidR="00482C93">
        <w:t xml:space="preserve">The household respondent will provide information on exposures and illnesses among all household members, and we assume there will be two individuals per household, on average. </w:t>
      </w:r>
      <w:r w:rsidR="00BC78B0">
        <w:t>Thus</w:t>
      </w:r>
      <w:r w:rsidR="00A752B8">
        <w:t>,</w:t>
      </w:r>
      <w:r w:rsidR="00BC78B0">
        <w:t xml:space="preserve"> we should have data on </w:t>
      </w:r>
      <w:r w:rsidR="00482C93">
        <w:t xml:space="preserve">8,100 </w:t>
      </w:r>
      <w:r w:rsidR="00482C93" w:rsidRPr="007F7B1D">
        <w:t>persons</w:t>
      </w:r>
      <w:r w:rsidR="00615677">
        <w:t xml:space="preserve"> from the multi-site study</w:t>
      </w:r>
      <w:r w:rsidR="007352D1">
        <w:t>.</w:t>
      </w:r>
    </w:p>
    <w:p w14:paraId="1B526A0A" w14:textId="77777777" w:rsidR="0042207C" w:rsidRPr="007F7B1D" w:rsidRDefault="0042207C" w:rsidP="0042207C"/>
    <w:p w14:paraId="43BACB96" w14:textId="483B6280" w:rsidR="0042207C" w:rsidRPr="007F7B1D" w:rsidRDefault="0042207C" w:rsidP="0042207C">
      <w:r w:rsidRPr="007F7B1D">
        <w:lastRenderedPageBreak/>
        <w:t xml:space="preserve">The potential universe of respondents for this study would include all households that receive water from the </w:t>
      </w:r>
      <w:r w:rsidR="006F6137">
        <w:t>five</w:t>
      </w:r>
      <w:r w:rsidR="007352D1" w:rsidRPr="007F7B1D">
        <w:t xml:space="preserve"> </w:t>
      </w:r>
      <w:r w:rsidRPr="007F7B1D">
        <w:t>participating water utilities.</w:t>
      </w:r>
      <w:r w:rsidR="00341B2A">
        <w:t xml:space="preserve"> The participating water utilities</w:t>
      </w:r>
      <w:r w:rsidR="00F36CCD">
        <w:t xml:space="preserve">, which are </w:t>
      </w:r>
      <w:r w:rsidR="00EF110A">
        <w:t>located in the southeast, n</w:t>
      </w:r>
      <w:r w:rsidR="00F36CCD">
        <w:t xml:space="preserve">ortheast, northern </w:t>
      </w:r>
      <w:r w:rsidR="00EF110A">
        <w:t>m</w:t>
      </w:r>
      <w:r w:rsidR="00F36CCD">
        <w:t>idwest,</w:t>
      </w:r>
      <w:r w:rsidR="00EF110A">
        <w:t xml:space="preserve"> southern midwest, </w:t>
      </w:r>
      <w:r w:rsidR="00F11E0B">
        <w:t xml:space="preserve">and </w:t>
      </w:r>
      <w:r w:rsidR="00EF110A">
        <w:t>pacific n</w:t>
      </w:r>
      <w:r w:rsidR="00F36CCD">
        <w:t>o</w:t>
      </w:r>
      <w:r w:rsidR="00F11E0B">
        <w:t xml:space="preserve">rthwest, </w:t>
      </w:r>
      <w:r w:rsidR="00F36CCD">
        <w:t xml:space="preserve">regions of the U.S., </w:t>
      </w:r>
      <w:r w:rsidR="00341B2A">
        <w:t xml:space="preserve">are volunteering to work with CDC on this research </w:t>
      </w:r>
      <w:r w:rsidR="00F36CCD">
        <w:t>study</w:t>
      </w:r>
      <w:r w:rsidR="00B960B8">
        <w:t xml:space="preserve"> and therefore make up a convenience sample of </w:t>
      </w:r>
      <w:r w:rsidR="00AC20F7">
        <w:t xml:space="preserve">all </w:t>
      </w:r>
      <w:r w:rsidR="00B960B8">
        <w:t>utilities in the U.S</w:t>
      </w:r>
      <w:r w:rsidR="00F36CCD">
        <w:t xml:space="preserve">. </w:t>
      </w:r>
      <w:r w:rsidR="00B960B8">
        <w:t xml:space="preserve">The participating utilities </w:t>
      </w:r>
      <w:r w:rsidR="00AC20F7">
        <w:t>were selected on the basis that they had the capacity and management support to participate in this research study, that they typically</w:t>
      </w:r>
      <w:r w:rsidR="007D0151">
        <w:t xml:space="preserve"> experience about one</w:t>
      </w:r>
      <w:r w:rsidR="00AC20F7">
        <w:t xml:space="preserve"> low pressure event per month, </w:t>
      </w:r>
      <w:r w:rsidR="007D0151">
        <w:t xml:space="preserve">that they use chlorine or chloramine as a secondary disinfectant, and that they are located in different regions of the U.S. </w:t>
      </w:r>
      <w:r w:rsidRPr="007F7B1D">
        <w:t xml:space="preserve">Potential survey respondents will have </w:t>
      </w:r>
      <w:r>
        <w:t>two</w:t>
      </w:r>
      <w:r w:rsidRPr="007F7B1D">
        <w:t xml:space="preserve"> options for responding to the survey: paper surveys filled out by study respondents and returned via postal mail to CDC study staff; and web-based surveys filled out by respondents who fill in the study survey responses via a password-protected website housed at CDC</w:t>
      </w:r>
      <w:r w:rsidR="007352D1">
        <w:t>. Links to the web survey will be sent to some utility customers</w:t>
      </w:r>
      <w:r w:rsidR="00B57F6B">
        <w:t xml:space="preserve"> by email, when email address</w:t>
      </w:r>
      <w:r w:rsidR="007352D1">
        <w:t xml:space="preserve"> information </w:t>
      </w:r>
      <w:r w:rsidR="00B57F6B">
        <w:t xml:space="preserve">can be provided by </w:t>
      </w:r>
      <w:r w:rsidR="007352D1">
        <w:t xml:space="preserve">the utility. </w:t>
      </w:r>
    </w:p>
    <w:p w14:paraId="70211E0B" w14:textId="77777777" w:rsidR="0042207C" w:rsidRPr="007F7B1D" w:rsidRDefault="0042207C" w:rsidP="0042207C"/>
    <w:p w14:paraId="418A830F" w14:textId="7126A943" w:rsidR="00DC4DB6" w:rsidRDefault="0042207C" w:rsidP="005032AE">
      <w:pPr>
        <w:rPr>
          <w:rFonts w:cs="Times New Roman"/>
          <w:szCs w:val="24"/>
        </w:rPr>
      </w:pPr>
      <w:r>
        <w:t xml:space="preserve">We anticipate a </w:t>
      </w:r>
      <w:r w:rsidR="003A27D8">
        <w:t>60</w:t>
      </w:r>
      <w:r>
        <w:t>%</w:t>
      </w:r>
      <w:r w:rsidRPr="007F7B1D">
        <w:t xml:space="preserve"> response rate. </w:t>
      </w:r>
      <w:r w:rsidR="00615677">
        <w:t xml:space="preserve">Two </w:t>
      </w:r>
      <w:r w:rsidR="00615677" w:rsidRPr="007F7B1D">
        <w:rPr>
          <w:bCs/>
        </w:rPr>
        <w:t xml:space="preserve">recent studies </w:t>
      </w:r>
      <w:r w:rsidR="00615677">
        <w:rPr>
          <w:bCs/>
        </w:rPr>
        <w:t xml:space="preserve">related to drinking water </w:t>
      </w:r>
      <w:r w:rsidR="00615677" w:rsidRPr="007F7B1D">
        <w:rPr>
          <w:bCs/>
        </w:rPr>
        <w:t>conducted in the U.S.</w:t>
      </w:r>
      <w:r w:rsidRPr="007F7B1D">
        <w:rPr>
          <w:bCs/>
        </w:rPr>
        <w:t xml:space="preserve"> </w:t>
      </w:r>
      <w:r w:rsidR="00615677">
        <w:rPr>
          <w:bCs/>
        </w:rPr>
        <w:t xml:space="preserve">have had lower </w:t>
      </w:r>
      <w:r w:rsidRPr="007F7B1D">
        <w:rPr>
          <w:bCs/>
        </w:rPr>
        <w:t xml:space="preserve">response rates </w:t>
      </w:r>
      <w:r w:rsidR="00615677">
        <w:rPr>
          <w:bCs/>
        </w:rPr>
        <w:t xml:space="preserve">(33% and 48%; </w:t>
      </w:r>
      <w:r w:rsidRPr="007F7B1D">
        <w:rPr>
          <w:bCs/>
        </w:rPr>
        <w:t xml:space="preserve">see </w:t>
      </w:r>
      <w:r w:rsidRPr="00176FF5">
        <w:rPr>
          <w:bCs/>
        </w:rPr>
        <w:t>Ailes et al. and Roy</w:t>
      </w:r>
      <w:r w:rsidRPr="007F7B1D">
        <w:rPr>
          <w:bCs/>
        </w:rPr>
        <w:t xml:space="preserve"> in Table B.1.1). </w:t>
      </w:r>
      <w:r w:rsidR="003A27D8">
        <w:rPr>
          <w:bCs/>
        </w:rPr>
        <w:t>In order to increase the anticipated respo</w:t>
      </w:r>
      <w:r w:rsidR="005032AE">
        <w:rPr>
          <w:bCs/>
        </w:rPr>
        <w:t xml:space="preserve">nse rate </w:t>
      </w:r>
      <w:r w:rsidR="00615677">
        <w:rPr>
          <w:bCs/>
        </w:rPr>
        <w:t xml:space="preserve">for this study, </w:t>
      </w:r>
      <w:r w:rsidR="005032AE">
        <w:rPr>
          <w:bCs/>
        </w:rPr>
        <w:t xml:space="preserve">we </w:t>
      </w:r>
      <w:r w:rsidR="003A27D8">
        <w:rPr>
          <w:bCs/>
        </w:rPr>
        <w:t xml:space="preserve">incorporated aspects of the </w:t>
      </w:r>
      <w:r w:rsidR="003A27D8">
        <w:rPr>
          <w:rFonts w:cs="Times New Roman"/>
          <w:szCs w:val="24"/>
        </w:rPr>
        <w:t>Dillman Tailored Design Method.</w:t>
      </w:r>
      <w:r w:rsidR="00DC4DB6">
        <w:rPr>
          <w:rFonts w:cs="Times New Roman"/>
          <w:szCs w:val="24"/>
        </w:rPr>
        <w:t xml:space="preserve"> Special attention was given to the presentation and wording of the survey and consent materials.</w:t>
      </w:r>
      <w:r w:rsidR="00DA1549">
        <w:rPr>
          <w:rFonts w:cs="Times New Roman"/>
          <w:szCs w:val="24"/>
        </w:rPr>
        <w:t xml:space="preserve"> To encourage participation by fostering a social exchange relationship, we will include a token gift of a refrigerator magnet calen</w:t>
      </w:r>
      <w:r w:rsidR="003D1B6C">
        <w:rPr>
          <w:rFonts w:cs="Times New Roman"/>
          <w:szCs w:val="24"/>
        </w:rPr>
        <w:t>dar that</w:t>
      </w:r>
      <w:r w:rsidR="00DA1549">
        <w:rPr>
          <w:rFonts w:cs="Times New Roman"/>
          <w:szCs w:val="24"/>
        </w:rPr>
        <w:t xml:space="preserve"> highlight</w:t>
      </w:r>
      <w:r w:rsidR="003D1B6C">
        <w:rPr>
          <w:rFonts w:cs="Times New Roman"/>
          <w:szCs w:val="24"/>
        </w:rPr>
        <w:t>s</w:t>
      </w:r>
      <w:r w:rsidR="00DA1549">
        <w:rPr>
          <w:rFonts w:cs="Times New Roman"/>
          <w:szCs w:val="24"/>
        </w:rPr>
        <w:t xml:space="preserve"> the </w:t>
      </w:r>
      <w:r w:rsidR="009B0738">
        <w:rPr>
          <w:rFonts w:cs="Times New Roman"/>
          <w:szCs w:val="24"/>
        </w:rPr>
        <w:t>two</w:t>
      </w:r>
      <w:r w:rsidR="00DA1549">
        <w:rPr>
          <w:rFonts w:cs="Times New Roman"/>
          <w:szCs w:val="24"/>
        </w:rPr>
        <w:t xml:space="preserve"> week period of interest for the </w:t>
      </w:r>
      <w:r w:rsidR="009B0738">
        <w:rPr>
          <w:rFonts w:cs="Times New Roman"/>
          <w:szCs w:val="24"/>
        </w:rPr>
        <w:t>survey</w:t>
      </w:r>
      <w:r w:rsidR="003D1B6C">
        <w:rPr>
          <w:rFonts w:cs="Times New Roman"/>
          <w:szCs w:val="24"/>
        </w:rPr>
        <w:t>.</w:t>
      </w:r>
      <w:r w:rsidR="00DA1549">
        <w:rPr>
          <w:rFonts w:cs="Times New Roman"/>
          <w:szCs w:val="24"/>
        </w:rPr>
        <w:t xml:space="preserve"> </w:t>
      </w:r>
      <w:r w:rsidR="00696734">
        <w:rPr>
          <w:rFonts w:cs="Times New Roman"/>
          <w:szCs w:val="24"/>
        </w:rPr>
        <w:t xml:space="preserve">To further foster a social exchange relationship, we will include a handwritten post-it note in the second survey mailing. </w:t>
      </w:r>
      <w:r w:rsidR="009B0738">
        <w:rPr>
          <w:rFonts w:cs="Times New Roman"/>
          <w:szCs w:val="24"/>
        </w:rPr>
        <w:lastRenderedPageBreak/>
        <w:t>Further, based on results from our pilot study, we estimate that 60% of individuals who respond will use the postal version of the survey, and 40% will respond via the web based version.</w:t>
      </w:r>
    </w:p>
    <w:p w14:paraId="79D2A20C" w14:textId="77777777" w:rsidR="005032AE" w:rsidRDefault="005032AE" w:rsidP="0042207C">
      <w:pPr>
        <w:rPr>
          <w:rFonts w:cs="Times New Roman"/>
          <w:szCs w:val="24"/>
        </w:rPr>
      </w:pPr>
    </w:p>
    <w:p w14:paraId="295B01C0" w14:textId="77777777" w:rsidR="0042207C" w:rsidRDefault="0042207C" w:rsidP="00BD5AC5">
      <w:pPr>
        <w:rPr>
          <w:b/>
          <w:bCs/>
        </w:rPr>
      </w:pPr>
    </w:p>
    <w:p w14:paraId="235EF686" w14:textId="77777777" w:rsidR="0042207C" w:rsidRPr="007F7B1D" w:rsidRDefault="0042207C" w:rsidP="0042207C">
      <w:pPr>
        <w:ind w:left="-720"/>
        <w:rPr>
          <w:b/>
          <w:bCs/>
        </w:rPr>
      </w:pPr>
      <w:r w:rsidRPr="007F7B1D">
        <w:rPr>
          <w:b/>
          <w:bCs/>
        </w:rPr>
        <w:t xml:space="preserve">Table B.1.1 – Survey Response Rates </w:t>
      </w:r>
    </w:p>
    <w:tbl>
      <w:tblPr>
        <w:tblW w:w="10350" w:type="dxa"/>
        <w:tblInd w:w="-691" w:type="dxa"/>
        <w:tblLayout w:type="fixed"/>
        <w:tblCellMar>
          <w:left w:w="29" w:type="dxa"/>
          <w:right w:w="29" w:type="dxa"/>
        </w:tblCellMar>
        <w:tblLook w:val="04A0" w:firstRow="1" w:lastRow="0" w:firstColumn="1" w:lastColumn="0" w:noHBand="0" w:noVBand="1"/>
      </w:tblPr>
      <w:tblGrid>
        <w:gridCol w:w="1440"/>
        <w:gridCol w:w="1170"/>
        <w:gridCol w:w="1620"/>
        <w:gridCol w:w="3060"/>
        <w:gridCol w:w="821"/>
        <w:gridCol w:w="720"/>
        <w:gridCol w:w="1519"/>
      </w:tblGrid>
      <w:tr w:rsidR="0042207C" w:rsidRPr="007F7B1D" w14:paraId="6A3C5638" w14:textId="77777777" w:rsidTr="00BD2C56">
        <w:trPr>
          <w:trHeight w:val="288"/>
        </w:trPr>
        <w:tc>
          <w:tcPr>
            <w:tcW w:w="1440" w:type="dxa"/>
            <w:vMerge w:val="restart"/>
            <w:tcBorders>
              <w:top w:val="single" w:sz="4" w:space="0" w:color="auto"/>
              <w:left w:val="nil"/>
              <w:bottom w:val="nil"/>
              <w:right w:val="nil"/>
            </w:tcBorders>
            <w:shd w:val="clear" w:color="auto" w:fill="auto"/>
            <w:hideMark/>
          </w:tcPr>
          <w:p w14:paraId="0D242902" w14:textId="77777777" w:rsidR="0042207C" w:rsidRPr="007F7B1D" w:rsidRDefault="0042207C" w:rsidP="00BD2C56">
            <w:pPr>
              <w:rPr>
                <w:b/>
                <w:bCs/>
              </w:rPr>
            </w:pPr>
            <w:r>
              <w:rPr>
                <w:b/>
                <w:bCs/>
              </w:rPr>
              <w:t>First a</w:t>
            </w:r>
            <w:r w:rsidRPr="007F7B1D">
              <w:rPr>
                <w:b/>
                <w:bCs/>
              </w:rPr>
              <w:t>uthor (country)</w:t>
            </w:r>
          </w:p>
        </w:tc>
        <w:tc>
          <w:tcPr>
            <w:tcW w:w="1170" w:type="dxa"/>
            <w:vMerge w:val="restart"/>
            <w:tcBorders>
              <w:top w:val="single" w:sz="4" w:space="0" w:color="auto"/>
              <w:left w:val="nil"/>
              <w:bottom w:val="nil"/>
              <w:right w:val="nil"/>
            </w:tcBorders>
            <w:shd w:val="clear" w:color="auto" w:fill="auto"/>
            <w:hideMark/>
          </w:tcPr>
          <w:p w14:paraId="3F45D94A" w14:textId="77777777" w:rsidR="0042207C" w:rsidRPr="007F7B1D" w:rsidRDefault="0042207C" w:rsidP="00BD2C56">
            <w:pPr>
              <w:rPr>
                <w:b/>
                <w:bCs/>
              </w:rPr>
            </w:pPr>
            <w:r w:rsidRPr="007F7B1D">
              <w:rPr>
                <w:b/>
                <w:bCs/>
              </w:rPr>
              <w:t>Year</w:t>
            </w:r>
            <w:r>
              <w:rPr>
                <w:b/>
                <w:bCs/>
              </w:rPr>
              <w:t xml:space="preserve"> of study</w:t>
            </w:r>
          </w:p>
        </w:tc>
        <w:tc>
          <w:tcPr>
            <w:tcW w:w="1620" w:type="dxa"/>
            <w:vMerge w:val="restart"/>
            <w:tcBorders>
              <w:top w:val="single" w:sz="4" w:space="0" w:color="auto"/>
              <w:left w:val="nil"/>
              <w:bottom w:val="nil"/>
              <w:right w:val="nil"/>
            </w:tcBorders>
            <w:shd w:val="clear" w:color="auto" w:fill="auto"/>
            <w:hideMark/>
          </w:tcPr>
          <w:p w14:paraId="75ADC21F" w14:textId="77777777" w:rsidR="0042207C" w:rsidRPr="007F7B1D" w:rsidRDefault="0042207C" w:rsidP="00BD2C56">
            <w:pPr>
              <w:rPr>
                <w:b/>
                <w:bCs/>
              </w:rPr>
            </w:pPr>
            <w:r w:rsidRPr="007F7B1D">
              <w:rPr>
                <w:b/>
                <w:bCs/>
              </w:rPr>
              <w:t>Survey methods</w:t>
            </w:r>
          </w:p>
        </w:tc>
        <w:tc>
          <w:tcPr>
            <w:tcW w:w="3060" w:type="dxa"/>
            <w:vMerge w:val="restart"/>
            <w:tcBorders>
              <w:top w:val="single" w:sz="4" w:space="0" w:color="auto"/>
              <w:left w:val="nil"/>
              <w:bottom w:val="nil"/>
              <w:right w:val="nil"/>
            </w:tcBorders>
            <w:shd w:val="clear" w:color="auto" w:fill="auto"/>
            <w:hideMark/>
          </w:tcPr>
          <w:p w14:paraId="25FD2217" w14:textId="77777777" w:rsidR="0042207C" w:rsidRPr="007F7B1D" w:rsidRDefault="0042207C" w:rsidP="00BD2C56">
            <w:pPr>
              <w:rPr>
                <w:b/>
                <w:bCs/>
              </w:rPr>
            </w:pPr>
            <w:r w:rsidRPr="007F7B1D">
              <w:rPr>
                <w:b/>
                <w:bCs/>
              </w:rPr>
              <w:t>Overall Response Rate</w:t>
            </w:r>
          </w:p>
        </w:tc>
        <w:tc>
          <w:tcPr>
            <w:tcW w:w="3060" w:type="dxa"/>
            <w:gridSpan w:val="3"/>
            <w:tcBorders>
              <w:top w:val="single" w:sz="4" w:space="0" w:color="auto"/>
              <w:left w:val="nil"/>
              <w:bottom w:val="nil"/>
              <w:right w:val="nil"/>
            </w:tcBorders>
            <w:shd w:val="clear" w:color="auto" w:fill="auto"/>
            <w:hideMark/>
          </w:tcPr>
          <w:p w14:paraId="7B118586" w14:textId="77777777" w:rsidR="0042207C" w:rsidRPr="007F7B1D" w:rsidRDefault="0042207C" w:rsidP="00BD2C56">
            <w:pPr>
              <w:jc w:val="center"/>
              <w:rPr>
                <w:b/>
                <w:bCs/>
              </w:rPr>
            </w:pPr>
            <w:r w:rsidRPr="007F7B1D">
              <w:rPr>
                <w:b/>
                <w:bCs/>
              </w:rPr>
              <w:t>Proportion Responding via:</w:t>
            </w:r>
          </w:p>
        </w:tc>
      </w:tr>
      <w:tr w:rsidR="0042207C" w:rsidRPr="007F7B1D" w14:paraId="2FD745A9" w14:textId="77777777" w:rsidTr="00BD2C56">
        <w:trPr>
          <w:trHeight w:val="300"/>
        </w:trPr>
        <w:tc>
          <w:tcPr>
            <w:tcW w:w="1440" w:type="dxa"/>
            <w:vMerge/>
            <w:tcBorders>
              <w:top w:val="nil"/>
              <w:left w:val="nil"/>
              <w:bottom w:val="single" w:sz="4" w:space="0" w:color="auto"/>
              <w:right w:val="nil"/>
            </w:tcBorders>
            <w:vAlign w:val="center"/>
            <w:hideMark/>
          </w:tcPr>
          <w:p w14:paraId="27C49BF4" w14:textId="77777777" w:rsidR="0042207C" w:rsidRPr="007F7B1D" w:rsidRDefault="0042207C" w:rsidP="00BD2C56">
            <w:pPr>
              <w:rPr>
                <w:b/>
                <w:bCs/>
              </w:rPr>
            </w:pPr>
          </w:p>
        </w:tc>
        <w:tc>
          <w:tcPr>
            <w:tcW w:w="1170" w:type="dxa"/>
            <w:vMerge/>
            <w:tcBorders>
              <w:top w:val="nil"/>
              <w:left w:val="nil"/>
              <w:bottom w:val="single" w:sz="4" w:space="0" w:color="auto"/>
              <w:right w:val="nil"/>
            </w:tcBorders>
            <w:vAlign w:val="center"/>
            <w:hideMark/>
          </w:tcPr>
          <w:p w14:paraId="3C9FB1EA" w14:textId="77777777" w:rsidR="0042207C" w:rsidRPr="007F7B1D" w:rsidRDefault="0042207C" w:rsidP="00BD2C56">
            <w:pPr>
              <w:rPr>
                <w:b/>
                <w:bCs/>
              </w:rPr>
            </w:pPr>
          </w:p>
        </w:tc>
        <w:tc>
          <w:tcPr>
            <w:tcW w:w="1620" w:type="dxa"/>
            <w:vMerge/>
            <w:tcBorders>
              <w:top w:val="nil"/>
              <w:left w:val="nil"/>
              <w:bottom w:val="single" w:sz="4" w:space="0" w:color="auto"/>
              <w:right w:val="nil"/>
            </w:tcBorders>
            <w:vAlign w:val="center"/>
            <w:hideMark/>
          </w:tcPr>
          <w:p w14:paraId="5579226B" w14:textId="77777777" w:rsidR="0042207C" w:rsidRPr="007F7B1D" w:rsidRDefault="0042207C" w:rsidP="00BD2C56">
            <w:pPr>
              <w:rPr>
                <w:b/>
                <w:bCs/>
              </w:rPr>
            </w:pPr>
          </w:p>
        </w:tc>
        <w:tc>
          <w:tcPr>
            <w:tcW w:w="3060" w:type="dxa"/>
            <w:vMerge/>
            <w:tcBorders>
              <w:top w:val="nil"/>
              <w:left w:val="nil"/>
              <w:bottom w:val="single" w:sz="4" w:space="0" w:color="auto"/>
              <w:right w:val="nil"/>
            </w:tcBorders>
            <w:vAlign w:val="center"/>
            <w:hideMark/>
          </w:tcPr>
          <w:p w14:paraId="232A367E" w14:textId="77777777" w:rsidR="0042207C" w:rsidRPr="007F7B1D" w:rsidRDefault="0042207C" w:rsidP="00BD2C56">
            <w:pPr>
              <w:rPr>
                <w:b/>
                <w:bCs/>
              </w:rPr>
            </w:pPr>
          </w:p>
        </w:tc>
        <w:tc>
          <w:tcPr>
            <w:tcW w:w="821" w:type="dxa"/>
            <w:tcBorders>
              <w:top w:val="nil"/>
              <w:left w:val="nil"/>
              <w:bottom w:val="single" w:sz="4" w:space="0" w:color="auto"/>
              <w:right w:val="nil"/>
            </w:tcBorders>
            <w:shd w:val="clear" w:color="auto" w:fill="auto"/>
            <w:hideMark/>
          </w:tcPr>
          <w:p w14:paraId="25794E86" w14:textId="77777777" w:rsidR="0042207C" w:rsidRPr="007F7B1D" w:rsidRDefault="0042207C" w:rsidP="00BD2C56">
            <w:pPr>
              <w:rPr>
                <w:b/>
                <w:bCs/>
              </w:rPr>
            </w:pPr>
            <w:r w:rsidRPr="007F7B1D">
              <w:rPr>
                <w:b/>
                <w:bCs/>
              </w:rPr>
              <w:t>Web</w:t>
            </w:r>
          </w:p>
        </w:tc>
        <w:tc>
          <w:tcPr>
            <w:tcW w:w="720" w:type="dxa"/>
            <w:tcBorders>
              <w:top w:val="nil"/>
              <w:left w:val="nil"/>
              <w:bottom w:val="single" w:sz="4" w:space="0" w:color="auto"/>
              <w:right w:val="nil"/>
            </w:tcBorders>
            <w:shd w:val="clear" w:color="auto" w:fill="auto"/>
            <w:hideMark/>
          </w:tcPr>
          <w:p w14:paraId="39C640D9" w14:textId="77777777" w:rsidR="0042207C" w:rsidRPr="007F7B1D" w:rsidRDefault="0042207C" w:rsidP="00BD2C56">
            <w:pPr>
              <w:rPr>
                <w:b/>
                <w:bCs/>
              </w:rPr>
            </w:pPr>
            <w:r w:rsidRPr="007F7B1D">
              <w:rPr>
                <w:b/>
                <w:bCs/>
              </w:rPr>
              <w:t>Mail</w:t>
            </w:r>
          </w:p>
        </w:tc>
        <w:tc>
          <w:tcPr>
            <w:tcW w:w="1519" w:type="dxa"/>
            <w:tcBorders>
              <w:top w:val="nil"/>
              <w:left w:val="nil"/>
              <w:bottom w:val="single" w:sz="4" w:space="0" w:color="auto"/>
              <w:right w:val="nil"/>
            </w:tcBorders>
            <w:shd w:val="clear" w:color="auto" w:fill="auto"/>
            <w:hideMark/>
          </w:tcPr>
          <w:p w14:paraId="05B29A54" w14:textId="77777777" w:rsidR="0042207C" w:rsidRPr="007F7B1D" w:rsidRDefault="0042207C" w:rsidP="00BD2C56">
            <w:pPr>
              <w:rPr>
                <w:b/>
                <w:bCs/>
              </w:rPr>
            </w:pPr>
            <w:r w:rsidRPr="007F7B1D">
              <w:rPr>
                <w:b/>
                <w:bCs/>
              </w:rPr>
              <w:t>Telephone</w:t>
            </w:r>
          </w:p>
        </w:tc>
      </w:tr>
      <w:tr w:rsidR="0042207C" w:rsidRPr="007F7B1D" w14:paraId="08CF2B33" w14:textId="77777777" w:rsidTr="00BD2C56">
        <w:trPr>
          <w:trHeight w:val="144"/>
        </w:trPr>
        <w:tc>
          <w:tcPr>
            <w:tcW w:w="1440" w:type="dxa"/>
            <w:tcBorders>
              <w:top w:val="nil"/>
              <w:left w:val="nil"/>
              <w:bottom w:val="nil"/>
              <w:right w:val="nil"/>
            </w:tcBorders>
            <w:shd w:val="clear" w:color="auto" w:fill="auto"/>
            <w:hideMark/>
          </w:tcPr>
          <w:p w14:paraId="70982042" w14:textId="77777777" w:rsidR="0042207C" w:rsidRPr="007F7B1D" w:rsidRDefault="0042207C" w:rsidP="00BD2C56">
            <w:r w:rsidRPr="007F7B1D">
              <w:rPr>
                <w:bCs/>
              </w:rPr>
              <w:t>Ailes (U.S.)</w:t>
            </w:r>
          </w:p>
        </w:tc>
        <w:tc>
          <w:tcPr>
            <w:tcW w:w="1170" w:type="dxa"/>
            <w:tcBorders>
              <w:top w:val="nil"/>
              <w:left w:val="nil"/>
              <w:bottom w:val="nil"/>
              <w:right w:val="nil"/>
            </w:tcBorders>
            <w:shd w:val="clear" w:color="auto" w:fill="auto"/>
            <w:hideMark/>
          </w:tcPr>
          <w:p w14:paraId="171A8934" w14:textId="77777777" w:rsidR="0042207C" w:rsidRPr="007F7B1D" w:rsidRDefault="0042207C" w:rsidP="00BD2C56">
            <w:r w:rsidRPr="007F7B1D">
              <w:rPr>
                <w:bCs/>
              </w:rPr>
              <w:t>2009</w:t>
            </w:r>
          </w:p>
        </w:tc>
        <w:tc>
          <w:tcPr>
            <w:tcW w:w="1620" w:type="dxa"/>
            <w:tcBorders>
              <w:top w:val="nil"/>
              <w:left w:val="nil"/>
              <w:bottom w:val="nil"/>
              <w:right w:val="nil"/>
            </w:tcBorders>
            <w:shd w:val="clear" w:color="auto" w:fill="auto"/>
            <w:hideMark/>
          </w:tcPr>
          <w:p w14:paraId="700E41DD" w14:textId="77777777" w:rsidR="0042207C" w:rsidRPr="007F7B1D" w:rsidRDefault="0042207C" w:rsidP="00BD2C56">
            <w:r w:rsidRPr="007F7B1D">
              <w:rPr>
                <w:bCs/>
              </w:rPr>
              <w:t>Mail</w:t>
            </w:r>
          </w:p>
        </w:tc>
        <w:tc>
          <w:tcPr>
            <w:tcW w:w="3060" w:type="dxa"/>
            <w:tcBorders>
              <w:top w:val="nil"/>
              <w:left w:val="nil"/>
              <w:bottom w:val="nil"/>
              <w:right w:val="nil"/>
            </w:tcBorders>
            <w:shd w:val="clear" w:color="auto" w:fill="auto"/>
            <w:hideMark/>
          </w:tcPr>
          <w:p w14:paraId="6E01C168" w14:textId="77777777" w:rsidR="0042207C" w:rsidRPr="007F7B1D" w:rsidRDefault="0042207C" w:rsidP="00BD2C56">
            <w:r w:rsidRPr="007F7B1D">
              <w:rPr>
                <w:bCs/>
              </w:rPr>
              <w:t>33%</w:t>
            </w:r>
          </w:p>
        </w:tc>
        <w:tc>
          <w:tcPr>
            <w:tcW w:w="821" w:type="dxa"/>
            <w:tcBorders>
              <w:top w:val="nil"/>
              <w:left w:val="nil"/>
              <w:bottom w:val="nil"/>
              <w:right w:val="nil"/>
            </w:tcBorders>
            <w:shd w:val="clear" w:color="auto" w:fill="auto"/>
            <w:hideMark/>
          </w:tcPr>
          <w:p w14:paraId="54659204" w14:textId="77777777" w:rsidR="0042207C" w:rsidRPr="007F7B1D" w:rsidRDefault="0042207C" w:rsidP="00BD2C56">
            <w:r w:rsidRPr="007F7B1D">
              <w:rPr>
                <w:bCs/>
              </w:rPr>
              <w:t>--</w:t>
            </w:r>
          </w:p>
        </w:tc>
        <w:tc>
          <w:tcPr>
            <w:tcW w:w="720" w:type="dxa"/>
            <w:tcBorders>
              <w:top w:val="nil"/>
              <w:left w:val="nil"/>
              <w:bottom w:val="nil"/>
              <w:right w:val="nil"/>
            </w:tcBorders>
            <w:shd w:val="clear" w:color="auto" w:fill="auto"/>
            <w:hideMark/>
          </w:tcPr>
          <w:p w14:paraId="579F7832" w14:textId="77777777" w:rsidR="0042207C" w:rsidRPr="007F7B1D" w:rsidRDefault="0042207C" w:rsidP="00BD2C56">
            <w:r w:rsidRPr="007F7B1D">
              <w:rPr>
                <w:bCs/>
              </w:rPr>
              <w:t>100%</w:t>
            </w:r>
          </w:p>
        </w:tc>
        <w:tc>
          <w:tcPr>
            <w:tcW w:w="1519" w:type="dxa"/>
            <w:tcBorders>
              <w:top w:val="nil"/>
              <w:left w:val="nil"/>
              <w:bottom w:val="nil"/>
              <w:right w:val="nil"/>
            </w:tcBorders>
            <w:shd w:val="clear" w:color="auto" w:fill="auto"/>
            <w:hideMark/>
          </w:tcPr>
          <w:p w14:paraId="1BD300B7" w14:textId="77777777" w:rsidR="0042207C" w:rsidRPr="007F7B1D" w:rsidRDefault="0042207C" w:rsidP="00BD2C56">
            <w:r w:rsidRPr="007F7B1D">
              <w:rPr>
                <w:bCs/>
              </w:rPr>
              <w:t>--</w:t>
            </w:r>
          </w:p>
        </w:tc>
      </w:tr>
      <w:tr w:rsidR="0042207C" w:rsidRPr="007F7B1D" w14:paraId="48E31B0D" w14:textId="77777777" w:rsidTr="00BD2C56">
        <w:trPr>
          <w:trHeight w:val="144"/>
        </w:trPr>
        <w:tc>
          <w:tcPr>
            <w:tcW w:w="1440" w:type="dxa"/>
            <w:tcBorders>
              <w:top w:val="nil"/>
              <w:left w:val="nil"/>
              <w:right w:val="nil"/>
            </w:tcBorders>
            <w:shd w:val="clear" w:color="auto" w:fill="auto"/>
            <w:hideMark/>
          </w:tcPr>
          <w:p w14:paraId="0EB8F848" w14:textId="77777777" w:rsidR="0042207C" w:rsidRPr="007F7B1D" w:rsidRDefault="0042207C" w:rsidP="00BD2C56">
            <w:r w:rsidRPr="007F7B1D">
              <w:rPr>
                <w:bCs/>
              </w:rPr>
              <w:t>Roy (U.S.)</w:t>
            </w:r>
          </w:p>
        </w:tc>
        <w:tc>
          <w:tcPr>
            <w:tcW w:w="1170" w:type="dxa"/>
            <w:tcBorders>
              <w:top w:val="nil"/>
              <w:left w:val="nil"/>
              <w:right w:val="nil"/>
            </w:tcBorders>
            <w:shd w:val="clear" w:color="auto" w:fill="auto"/>
            <w:hideMark/>
          </w:tcPr>
          <w:p w14:paraId="691990D6" w14:textId="77777777" w:rsidR="0042207C" w:rsidRPr="007F7B1D" w:rsidRDefault="0042207C" w:rsidP="00BD2C56">
            <w:r w:rsidRPr="00916228">
              <w:rPr>
                <w:bCs/>
              </w:rPr>
              <w:t>2008</w:t>
            </w:r>
          </w:p>
        </w:tc>
        <w:tc>
          <w:tcPr>
            <w:tcW w:w="1620" w:type="dxa"/>
            <w:tcBorders>
              <w:top w:val="nil"/>
              <w:left w:val="nil"/>
              <w:right w:val="nil"/>
            </w:tcBorders>
            <w:shd w:val="clear" w:color="auto" w:fill="auto"/>
            <w:hideMark/>
          </w:tcPr>
          <w:p w14:paraId="14D641CE" w14:textId="77777777" w:rsidR="0042207C" w:rsidRPr="007F7B1D" w:rsidRDefault="0042207C" w:rsidP="00BD2C56">
            <w:r w:rsidRPr="007F7B1D">
              <w:rPr>
                <w:bCs/>
              </w:rPr>
              <w:t>Web, mail</w:t>
            </w:r>
          </w:p>
        </w:tc>
        <w:tc>
          <w:tcPr>
            <w:tcW w:w="3060" w:type="dxa"/>
            <w:tcBorders>
              <w:top w:val="nil"/>
              <w:left w:val="nil"/>
              <w:right w:val="nil"/>
            </w:tcBorders>
            <w:shd w:val="clear" w:color="auto" w:fill="auto"/>
            <w:hideMark/>
          </w:tcPr>
          <w:p w14:paraId="7AA72A10" w14:textId="77777777" w:rsidR="0042207C" w:rsidRPr="007F7B1D" w:rsidRDefault="0042207C" w:rsidP="00BD2C56">
            <w:r w:rsidRPr="007F7B1D">
              <w:rPr>
                <w:bCs/>
              </w:rPr>
              <w:t>48%</w:t>
            </w:r>
          </w:p>
        </w:tc>
        <w:tc>
          <w:tcPr>
            <w:tcW w:w="821" w:type="dxa"/>
            <w:tcBorders>
              <w:top w:val="nil"/>
              <w:left w:val="nil"/>
              <w:right w:val="nil"/>
            </w:tcBorders>
            <w:shd w:val="clear" w:color="auto" w:fill="auto"/>
            <w:hideMark/>
          </w:tcPr>
          <w:p w14:paraId="7A05AAC9" w14:textId="77777777" w:rsidR="0042207C" w:rsidRPr="007F7B1D" w:rsidRDefault="0042207C" w:rsidP="00BD2C56">
            <w:r w:rsidRPr="007F7B1D">
              <w:rPr>
                <w:bCs/>
              </w:rPr>
              <w:t>64%</w:t>
            </w:r>
          </w:p>
        </w:tc>
        <w:tc>
          <w:tcPr>
            <w:tcW w:w="720" w:type="dxa"/>
            <w:tcBorders>
              <w:top w:val="nil"/>
              <w:left w:val="nil"/>
              <w:right w:val="nil"/>
            </w:tcBorders>
            <w:shd w:val="clear" w:color="auto" w:fill="auto"/>
            <w:hideMark/>
          </w:tcPr>
          <w:p w14:paraId="4675CE57" w14:textId="77777777" w:rsidR="0042207C" w:rsidRPr="007F7B1D" w:rsidRDefault="0042207C" w:rsidP="00BD2C56">
            <w:r w:rsidRPr="007F7B1D">
              <w:rPr>
                <w:bCs/>
              </w:rPr>
              <w:t>3</w:t>
            </w:r>
            <w:r>
              <w:rPr>
                <w:bCs/>
              </w:rPr>
              <w:t>6</w:t>
            </w:r>
            <w:r w:rsidRPr="007F7B1D">
              <w:rPr>
                <w:bCs/>
              </w:rPr>
              <w:t>%</w:t>
            </w:r>
          </w:p>
        </w:tc>
        <w:tc>
          <w:tcPr>
            <w:tcW w:w="1519" w:type="dxa"/>
            <w:tcBorders>
              <w:top w:val="nil"/>
              <w:left w:val="nil"/>
              <w:right w:val="nil"/>
            </w:tcBorders>
            <w:shd w:val="clear" w:color="auto" w:fill="auto"/>
            <w:hideMark/>
          </w:tcPr>
          <w:p w14:paraId="3079BA0C" w14:textId="77777777" w:rsidR="0042207C" w:rsidRPr="007F7B1D" w:rsidRDefault="0042207C" w:rsidP="00BD2C56">
            <w:r w:rsidRPr="007F7B1D">
              <w:rPr>
                <w:bCs/>
              </w:rPr>
              <w:t>--</w:t>
            </w:r>
          </w:p>
        </w:tc>
      </w:tr>
      <w:tr w:rsidR="0042207C" w:rsidRPr="007F7B1D" w14:paraId="3486958D" w14:textId="77777777" w:rsidTr="00BD2C56">
        <w:trPr>
          <w:trHeight w:val="144"/>
        </w:trPr>
        <w:tc>
          <w:tcPr>
            <w:tcW w:w="1440" w:type="dxa"/>
            <w:tcBorders>
              <w:top w:val="nil"/>
              <w:left w:val="nil"/>
              <w:right w:val="nil"/>
            </w:tcBorders>
            <w:shd w:val="clear" w:color="auto" w:fill="auto"/>
            <w:hideMark/>
          </w:tcPr>
          <w:p w14:paraId="4B91A082" w14:textId="77777777" w:rsidR="0042207C" w:rsidRPr="007F7B1D" w:rsidRDefault="0042207C" w:rsidP="00BD2C56">
            <w:r w:rsidRPr="007F7B1D">
              <w:rPr>
                <w:bCs/>
              </w:rPr>
              <w:t>Griffith (U.S.)</w:t>
            </w:r>
          </w:p>
        </w:tc>
        <w:tc>
          <w:tcPr>
            <w:tcW w:w="1170" w:type="dxa"/>
            <w:tcBorders>
              <w:top w:val="nil"/>
              <w:left w:val="nil"/>
              <w:right w:val="nil"/>
            </w:tcBorders>
            <w:shd w:val="clear" w:color="auto" w:fill="auto"/>
            <w:hideMark/>
          </w:tcPr>
          <w:p w14:paraId="2CC76C73" w14:textId="77777777" w:rsidR="0042207C" w:rsidRPr="007F7B1D" w:rsidRDefault="0042207C" w:rsidP="00BD2C56">
            <w:r w:rsidRPr="007F7B1D">
              <w:rPr>
                <w:bCs/>
              </w:rPr>
              <w:t>2008</w:t>
            </w:r>
          </w:p>
        </w:tc>
        <w:tc>
          <w:tcPr>
            <w:tcW w:w="1620" w:type="dxa"/>
            <w:tcBorders>
              <w:top w:val="nil"/>
              <w:left w:val="nil"/>
              <w:right w:val="nil"/>
            </w:tcBorders>
            <w:shd w:val="clear" w:color="auto" w:fill="auto"/>
            <w:hideMark/>
          </w:tcPr>
          <w:p w14:paraId="79984DB8" w14:textId="77777777" w:rsidR="0042207C" w:rsidRPr="007F7B1D" w:rsidRDefault="0042207C" w:rsidP="00BD2C56">
            <w:r w:rsidRPr="007F7B1D">
              <w:rPr>
                <w:bCs/>
              </w:rPr>
              <w:t>Web</w:t>
            </w:r>
          </w:p>
        </w:tc>
        <w:tc>
          <w:tcPr>
            <w:tcW w:w="3060" w:type="dxa"/>
            <w:tcBorders>
              <w:top w:val="nil"/>
              <w:left w:val="nil"/>
              <w:right w:val="nil"/>
            </w:tcBorders>
            <w:shd w:val="clear" w:color="auto" w:fill="auto"/>
            <w:hideMark/>
          </w:tcPr>
          <w:p w14:paraId="62EA72CB" w14:textId="77777777" w:rsidR="0042207C" w:rsidRPr="007F7B1D" w:rsidRDefault="0042207C" w:rsidP="00BD2C56">
            <w:r w:rsidRPr="007F7B1D">
              <w:rPr>
                <w:bCs/>
              </w:rPr>
              <w:t>53%</w:t>
            </w:r>
          </w:p>
        </w:tc>
        <w:tc>
          <w:tcPr>
            <w:tcW w:w="821" w:type="dxa"/>
            <w:tcBorders>
              <w:top w:val="nil"/>
              <w:left w:val="nil"/>
              <w:right w:val="nil"/>
            </w:tcBorders>
            <w:shd w:val="clear" w:color="auto" w:fill="auto"/>
            <w:hideMark/>
          </w:tcPr>
          <w:p w14:paraId="5742C5C3" w14:textId="77777777" w:rsidR="0042207C" w:rsidRPr="007F7B1D" w:rsidRDefault="0042207C" w:rsidP="00BD2C56">
            <w:r w:rsidRPr="007F7B1D">
              <w:rPr>
                <w:bCs/>
              </w:rPr>
              <w:t>100%</w:t>
            </w:r>
          </w:p>
        </w:tc>
        <w:tc>
          <w:tcPr>
            <w:tcW w:w="720" w:type="dxa"/>
            <w:tcBorders>
              <w:top w:val="nil"/>
              <w:left w:val="nil"/>
              <w:right w:val="nil"/>
            </w:tcBorders>
            <w:shd w:val="clear" w:color="auto" w:fill="auto"/>
            <w:hideMark/>
          </w:tcPr>
          <w:p w14:paraId="37A9B8E2" w14:textId="77777777" w:rsidR="0042207C" w:rsidRPr="007F7B1D" w:rsidRDefault="0042207C" w:rsidP="00BD2C56">
            <w:r w:rsidRPr="007F7B1D">
              <w:rPr>
                <w:bCs/>
              </w:rPr>
              <w:t>--</w:t>
            </w:r>
          </w:p>
        </w:tc>
        <w:tc>
          <w:tcPr>
            <w:tcW w:w="1519" w:type="dxa"/>
            <w:tcBorders>
              <w:top w:val="nil"/>
              <w:left w:val="nil"/>
              <w:right w:val="nil"/>
            </w:tcBorders>
            <w:shd w:val="clear" w:color="auto" w:fill="auto"/>
            <w:hideMark/>
          </w:tcPr>
          <w:p w14:paraId="0526974A" w14:textId="77777777" w:rsidR="0042207C" w:rsidRPr="007F7B1D" w:rsidRDefault="0042207C" w:rsidP="00BD2C56">
            <w:r w:rsidRPr="007F7B1D">
              <w:rPr>
                <w:bCs/>
              </w:rPr>
              <w:t>--</w:t>
            </w:r>
          </w:p>
        </w:tc>
      </w:tr>
      <w:tr w:rsidR="0042207C" w:rsidRPr="007F7B1D" w14:paraId="1EAEBBC3" w14:textId="77777777" w:rsidTr="00BD2C56">
        <w:trPr>
          <w:trHeight w:val="144"/>
        </w:trPr>
        <w:tc>
          <w:tcPr>
            <w:tcW w:w="1440" w:type="dxa"/>
            <w:tcBorders>
              <w:top w:val="nil"/>
              <w:left w:val="nil"/>
              <w:bottom w:val="nil"/>
              <w:right w:val="nil"/>
            </w:tcBorders>
            <w:shd w:val="clear" w:color="auto" w:fill="auto"/>
            <w:hideMark/>
          </w:tcPr>
          <w:p w14:paraId="2A240762" w14:textId="77777777" w:rsidR="0042207C" w:rsidRPr="007F7B1D" w:rsidRDefault="0042207C" w:rsidP="00BD2C56">
            <w:r w:rsidRPr="007F7B1D">
              <w:rPr>
                <w:bCs/>
              </w:rPr>
              <w:t>G</w:t>
            </w:r>
            <w:r>
              <w:rPr>
                <w:bCs/>
              </w:rPr>
              <w:t>h</w:t>
            </w:r>
            <w:r w:rsidRPr="007F7B1D">
              <w:rPr>
                <w:bCs/>
              </w:rPr>
              <w:t>osh (U.S.)</w:t>
            </w:r>
          </w:p>
        </w:tc>
        <w:tc>
          <w:tcPr>
            <w:tcW w:w="1170" w:type="dxa"/>
            <w:tcBorders>
              <w:top w:val="nil"/>
              <w:left w:val="nil"/>
              <w:bottom w:val="nil"/>
              <w:right w:val="nil"/>
            </w:tcBorders>
            <w:shd w:val="clear" w:color="auto" w:fill="auto"/>
            <w:hideMark/>
          </w:tcPr>
          <w:p w14:paraId="433C072E" w14:textId="77777777" w:rsidR="0042207C" w:rsidRPr="007F7B1D" w:rsidRDefault="0042207C" w:rsidP="00BD2C56">
            <w:r w:rsidRPr="007F7B1D">
              <w:rPr>
                <w:bCs/>
              </w:rPr>
              <w:t>2006</w:t>
            </w:r>
          </w:p>
        </w:tc>
        <w:tc>
          <w:tcPr>
            <w:tcW w:w="1620" w:type="dxa"/>
            <w:tcBorders>
              <w:top w:val="nil"/>
              <w:left w:val="nil"/>
              <w:bottom w:val="nil"/>
              <w:right w:val="nil"/>
            </w:tcBorders>
            <w:shd w:val="clear" w:color="auto" w:fill="auto"/>
            <w:hideMark/>
          </w:tcPr>
          <w:p w14:paraId="70EC3B9C" w14:textId="77777777" w:rsidR="0042207C" w:rsidRPr="007F7B1D" w:rsidRDefault="0042207C" w:rsidP="00BD2C56">
            <w:r w:rsidRPr="007F7B1D">
              <w:rPr>
                <w:bCs/>
              </w:rPr>
              <w:t>Web, telephone</w:t>
            </w:r>
          </w:p>
        </w:tc>
        <w:tc>
          <w:tcPr>
            <w:tcW w:w="3060" w:type="dxa"/>
            <w:tcBorders>
              <w:top w:val="nil"/>
              <w:left w:val="nil"/>
              <w:bottom w:val="nil"/>
              <w:right w:val="nil"/>
            </w:tcBorders>
            <w:shd w:val="clear" w:color="auto" w:fill="auto"/>
            <w:hideMark/>
          </w:tcPr>
          <w:p w14:paraId="31B7CFF3" w14:textId="77777777" w:rsidR="0042207C" w:rsidRPr="007F7B1D" w:rsidRDefault="0042207C" w:rsidP="00BD2C56">
            <w:r>
              <w:rPr>
                <w:bCs/>
                <w:u w:val="single"/>
              </w:rPr>
              <w:t>&gt;</w:t>
            </w:r>
            <w:r w:rsidRPr="007F7B1D">
              <w:rPr>
                <w:bCs/>
              </w:rPr>
              <w:t>78</w:t>
            </w:r>
            <w:r w:rsidRPr="00997B54">
              <w:rPr>
                <w:bCs/>
                <w:vertAlign w:val="superscript"/>
              </w:rPr>
              <w:t>*</w:t>
            </w:r>
            <w:r w:rsidRPr="007F7B1D">
              <w:rPr>
                <w:bCs/>
              </w:rPr>
              <w:t xml:space="preserve"> (telephone), </w:t>
            </w:r>
            <w:r>
              <w:rPr>
                <w:bCs/>
                <w:u w:val="single"/>
              </w:rPr>
              <w:t>&gt;</w:t>
            </w:r>
            <w:r w:rsidRPr="007F7B1D">
              <w:rPr>
                <w:bCs/>
              </w:rPr>
              <w:t>74% (web)</w:t>
            </w:r>
          </w:p>
        </w:tc>
        <w:tc>
          <w:tcPr>
            <w:tcW w:w="821" w:type="dxa"/>
            <w:tcBorders>
              <w:top w:val="nil"/>
              <w:left w:val="nil"/>
              <w:bottom w:val="nil"/>
              <w:right w:val="nil"/>
            </w:tcBorders>
            <w:shd w:val="clear" w:color="auto" w:fill="auto"/>
            <w:hideMark/>
          </w:tcPr>
          <w:p w14:paraId="73B175EA" w14:textId="77777777" w:rsidR="0042207C" w:rsidRPr="007F7B1D" w:rsidRDefault="0042207C" w:rsidP="00BD2C56">
            <w:r w:rsidRPr="007F7B1D">
              <w:rPr>
                <w:bCs/>
              </w:rPr>
              <w:t>--</w:t>
            </w:r>
          </w:p>
        </w:tc>
        <w:tc>
          <w:tcPr>
            <w:tcW w:w="720" w:type="dxa"/>
            <w:tcBorders>
              <w:top w:val="nil"/>
              <w:left w:val="nil"/>
              <w:bottom w:val="nil"/>
              <w:right w:val="nil"/>
            </w:tcBorders>
            <w:shd w:val="clear" w:color="auto" w:fill="auto"/>
            <w:hideMark/>
          </w:tcPr>
          <w:p w14:paraId="7A058DA3" w14:textId="77777777" w:rsidR="0042207C" w:rsidRPr="007F7B1D" w:rsidRDefault="0042207C" w:rsidP="00BD2C56">
            <w:r w:rsidRPr="007F7B1D">
              <w:rPr>
                <w:bCs/>
              </w:rPr>
              <w:t>--</w:t>
            </w:r>
          </w:p>
        </w:tc>
        <w:tc>
          <w:tcPr>
            <w:tcW w:w="1519" w:type="dxa"/>
            <w:tcBorders>
              <w:top w:val="nil"/>
              <w:left w:val="nil"/>
              <w:bottom w:val="nil"/>
              <w:right w:val="nil"/>
            </w:tcBorders>
            <w:shd w:val="clear" w:color="auto" w:fill="auto"/>
            <w:hideMark/>
          </w:tcPr>
          <w:p w14:paraId="42179B54" w14:textId="77777777" w:rsidR="0042207C" w:rsidRPr="007F7B1D" w:rsidRDefault="0042207C" w:rsidP="00BD2C56">
            <w:r w:rsidRPr="007F7B1D">
              <w:rPr>
                <w:bCs/>
              </w:rPr>
              <w:t>--</w:t>
            </w:r>
          </w:p>
        </w:tc>
      </w:tr>
      <w:tr w:rsidR="0042207C" w:rsidRPr="007F7B1D" w14:paraId="259DCE5D" w14:textId="77777777" w:rsidTr="00BD2C56">
        <w:trPr>
          <w:trHeight w:val="144"/>
        </w:trPr>
        <w:tc>
          <w:tcPr>
            <w:tcW w:w="1440" w:type="dxa"/>
            <w:tcBorders>
              <w:left w:val="nil"/>
              <w:bottom w:val="nil"/>
              <w:right w:val="nil"/>
            </w:tcBorders>
            <w:shd w:val="clear" w:color="auto" w:fill="auto"/>
            <w:hideMark/>
          </w:tcPr>
          <w:p w14:paraId="3065DDF0" w14:textId="77777777" w:rsidR="0042207C" w:rsidRPr="007F7B1D" w:rsidRDefault="0042207C" w:rsidP="00BD2C56">
            <w:r w:rsidRPr="007F7B1D">
              <w:rPr>
                <w:bCs/>
              </w:rPr>
              <w:t>Jones (U.S.)</w:t>
            </w:r>
          </w:p>
        </w:tc>
        <w:tc>
          <w:tcPr>
            <w:tcW w:w="1170" w:type="dxa"/>
            <w:tcBorders>
              <w:left w:val="nil"/>
              <w:bottom w:val="nil"/>
              <w:right w:val="nil"/>
            </w:tcBorders>
            <w:shd w:val="clear" w:color="auto" w:fill="auto"/>
            <w:hideMark/>
          </w:tcPr>
          <w:p w14:paraId="4F001F92" w14:textId="77777777" w:rsidR="0042207C" w:rsidRPr="007F7B1D" w:rsidRDefault="0042207C" w:rsidP="00BD2C56">
            <w:r w:rsidRPr="007F7B1D">
              <w:rPr>
                <w:bCs/>
              </w:rPr>
              <w:t>2004</w:t>
            </w:r>
          </w:p>
        </w:tc>
        <w:tc>
          <w:tcPr>
            <w:tcW w:w="1620" w:type="dxa"/>
            <w:tcBorders>
              <w:left w:val="nil"/>
              <w:bottom w:val="nil"/>
              <w:right w:val="nil"/>
            </w:tcBorders>
            <w:shd w:val="clear" w:color="auto" w:fill="auto"/>
            <w:hideMark/>
          </w:tcPr>
          <w:p w14:paraId="52C806A5" w14:textId="77777777" w:rsidR="0042207C" w:rsidRPr="007F7B1D" w:rsidRDefault="0042207C" w:rsidP="00BD2C56">
            <w:r w:rsidRPr="007F7B1D">
              <w:rPr>
                <w:bCs/>
              </w:rPr>
              <w:t>Telephone</w:t>
            </w:r>
          </w:p>
        </w:tc>
        <w:tc>
          <w:tcPr>
            <w:tcW w:w="3060" w:type="dxa"/>
            <w:tcBorders>
              <w:left w:val="nil"/>
              <w:bottom w:val="nil"/>
              <w:right w:val="nil"/>
            </w:tcBorders>
            <w:shd w:val="clear" w:color="auto" w:fill="auto"/>
            <w:hideMark/>
          </w:tcPr>
          <w:p w14:paraId="5EB3C347" w14:textId="77777777" w:rsidR="0042207C" w:rsidRPr="007F7B1D" w:rsidRDefault="0042207C" w:rsidP="00BD2C56">
            <w:r w:rsidRPr="007F7B1D">
              <w:rPr>
                <w:bCs/>
              </w:rPr>
              <w:t>33%</w:t>
            </w:r>
          </w:p>
        </w:tc>
        <w:tc>
          <w:tcPr>
            <w:tcW w:w="821" w:type="dxa"/>
            <w:tcBorders>
              <w:left w:val="nil"/>
              <w:bottom w:val="nil"/>
              <w:right w:val="nil"/>
            </w:tcBorders>
            <w:shd w:val="clear" w:color="auto" w:fill="auto"/>
            <w:hideMark/>
          </w:tcPr>
          <w:p w14:paraId="315764BE" w14:textId="77777777" w:rsidR="0042207C" w:rsidRPr="007F7B1D" w:rsidRDefault="0042207C" w:rsidP="00BD2C56">
            <w:r w:rsidRPr="007F7B1D">
              <w:rPr>
                <w:bCs/>
              </w:rPr>
              <w:t>--</w:t>
            </w:r>
          </w:p>
        </w:tc>
        <w:tc>
          <w:tcPr>
            <w:tcW w:w="720" w:type="dxa"/>
            <w:tcBorders>
              <w:left w:val="nil"/>
              <w:bottom w:val="nil"/>
              <w:right w:val="nil"/>
            </w:tcBorders>
            <w:shd w:val="clear" w:color="auto" w:fill="auto"/>
            <w:hideMark/>
          </w:tcPr>
          <w:p w14:paraId="00C0A0B9" w14:textId="77777777" w:rsidR="0042207C" w:rsidRPr="007F7B1D" w:rsidRDefault="0042207C" w:rsidP="00BD2C56">
            <w:r w:rsidRPr="007F7B1D">
              <w:rPr>
                <w:bCs/>
              </w:rPr>
              <w:t>--</w:t>
            </w:r>
          </w:p>
        </w:tc>
        <w:tc>
          <w:tcPr>
            <w:tcW w:w="1519" w:type="dxa"/>
            <w:tcBorders>
              <w:left w:val="nil"/>
              <w:bottom w:val="nil"/>
              <w:right w:val="nil"/>
            </w:tcBorders>
            <w:shd w:val="clear" w:color="auto" w:fill="auto"/>
            <w:hideMark/>
          </w:tcPr>
          <w:p w14:paraId="78E2888F" w14:textId="77777777" w:rsidR="0042207C" w:rsidRPr="007F7B1D" w:rsidRDefault="0042207C" w:rsidP="00BD2C56">
            <w:r w:rsidRPr="007F7B1D">
              <w:rPr>
                <w:bCs/>
              </w:rPr>
              <w:t>100%</w:t>
            </w:r>
          </w:p>
        </w:tc>
      </w:tr>
      <w:tr w:rsidR="0042207C" w:rsidRPr="007F7B1D" w14:paraId="7C4EB30E" w14:textId="77777777" w:rsidTr="00BD2C56">
        <w:trPr>
          <w:trHeight w:val="144"/>
        </w:trPr>
        <w:tc>
          <w:tcPr>
            <w:tcW w:w="1440" w:type="dxa"/>
            <w:tcBorders>
              <w:top w:val="nil"/>
              <w:left w:val="nil"/>
              <w:bottom w:val="nil"/>
              <w:right w:val="nil"/>
            </w:tcBorders>
            <w:shd w:val="clear" w:color="auto" w:fill="auto"/>
            <w:hideMark/>
          </w:tcPr>
          <w:p w14:paraId="320280E8" w14:textId="77777777" w:rsidR="0042207C" w:rsidRPr="007F7B1D" w:rsidRDefault="0042207C" w:rsidP="00BD2C56">
            <w:r w:rsidRPr="007F7B1D">
              <w:rPr>
                <w:bCs/>
              </w:rPr>
              <w:t>Smith (U.S.)</w:t>
            </w:r>
          </w:p>
        </w:tc>
        <w:tc>
          <w:tcPr>
            <w:tcW w:w="1170" w:type="dxa"/>
            <w:tcBorders>
              <w:top w:val="nil"/>
              <w:left w:val="nil"/>
              <w:bottom w:val="nil"/>
              <w:right w:val="nil"/>
            </w:tcBorders>
            <w:shd w:val="clear" w:color="auto" w:fill="auto"/>
            <w:hideMark/>
          </w:tcPr>
          <w:p w14:paraId="251803D3" w14:textId="77777777" w:rsidR="0042207C" w:rsidRPr="007F7B1D" w:rsidRDefault="0042207C" w:rsidP="00BD2C56">
            <w:r w:rsidRPr="007F7B1D">
              <w:rPr>
                <w:bCs/>
              </w:rPr>
              <w:t>2001-2003</w:t>
            </w:r>
          </w:p>
        </w:tc>
        <w:tc>
          <w:tcPr>
            <w:tcW w:w="1620" w:type="dxa"/>
            <w:tcBorders>
              <w:top w:val="nil"/>
              <w:left w:val="nil"/>
              <w:bottom w:val="nil"/>
              <w:right w:val="nil"/>
            </w:tcBorders>
            <w:shd w:val="clear" w:color="auto" w:fill="auto"/>
            <w:hideMark/>
          </w:tcPr>
          <w:p w14:paraId="25576A54" w14:textId="77777777" w:rsidR="0042207C" w:rsidRPr="007F7B1D" w:rsidRDefault="0042207C" w:rsidP="00BD2C56">
            <w:r w:rsidRPr="007F7B1D">
              <w:rPr>
                <w:bCs/>
              </w:rPr>
              <w:t>Web, mail</w:t>
            </w:r>
          </w:p>
        </w:tc>
        <w:tc>
          <w:tcPr>
            <w:tcW w:w="3060" w:type="dxa"/>
            <w:tcBorders>
              <w:top w:val="nil"/>
              <w:left w:val="nil"/>
              <w:bottom w:val="nil"/>
              <w:right w:val="nil"/>
            </w:tcBorders>
            <w:shd w:val="clear" w:color="auto" w:fill="auto"/>
            <w:hideMark/>
          </w:tcPr>
          <w:p w14:paraId="2596E698" w14:textId="77777777" w:rsidR="0042207C" w:rsidRPr="007F7B1D" w:rsidRDefault="0042207C" w:rsidP="00BD2C56">
            <w:r w:rsidRPr="007F7B1D">
              <w:rPr>
                <w:bCs/>
              </w:rPr>
              <w:t>--</w:t>
            </w:r>
            <w:r>
              <w:rPr>
                <w:rFonts w:cs="Times New Roman"/>
                <w:vertAlign w:val="superscript"/>
              </w:rPr>
              <w:t>†</w:t>
            </w:r>
          </w:p>
        </w:tc>
        <w:tc>
          <w:tcPr>
            <w:tcW w:w="821" w:type="dxa"/>
            <w:tcBorders>
              <w:top w:val="nil"/>
              <w:left w:val="nil"/>
              <w:bottom w:val="nil"/>
              <w:right w:val="nil"/>
            </w:tcBorders>
            <w:shd w:val="clear" w:color="auto" w:fill="auto"/>
            <w:hideMark/>
          </w:tcPr>
          <w:p w14:paraId="29191309" w14:textId="77777777" w:rsidR="0042207C" w:rsidRPr="007F7B1D" w:rsidRDefault="0042207C" w:rsidP="00BD2C56">
            <w:r w:rsidRPr="007F7B1D">
              <w:rPr>
                <w:bCs/>
              </w:rPr>
              <w:t>55%</w:t>
            </w:r>
          </w:p>
        </w:tc>
        <w:tc>
          <w:tcPr>
            <w:tcW w:w="720" w:type="dxa"/>
            <w:tcBorders>
              <w:top w:val="nil"/>
              <w:left w:val="nil"/>
              <w:bottom w:val="nil"/>
              <w:right w:val="nil"/>
            </w:tcBorders>
            <w:shd w:val="clear" w:color="auto" w:fill="auto"/>
            <w:hideMark/>
          </w:tcPr>
          <w:p w14:paraId="41FC147D" w14:textId="77777777" w:rsidR="0042207C" w:rsidRPr="007F7B1D" w:rsidRDefault="0042207C" w:rsidP="00BD2C56">
            <w:r w:rsidRPr="007F7B1D">
              <w:rPr>
                <w:bCs/>
              </w:rPr>
              <w:t>45%</w:t>
            </w:r>
          </w:p>
        </w:tc>
        <w:tc>
          <w:tcPr>
            <w:tcW w:w="1519" w:type="dxa"/>
            <w:tcBorders>
              <w:top w:val="nil"/>
              <w:left w:val="nil"/>
              <w:bottom w:val="nil"/>
              <w:right w:val="nil"/>
            </w:tcBorders>
            <w:shd w:val="clear" w:color="auto" w:fill="auto"/>
            <w:hideMark/>
          </w:tcPr>
          <w:p w14:paraId="7EAADF8A" w14:textId="77777777" w:rsidR="0042207C" w:rsidRPr="007F7B1D" w:rsidRDefault="0042207C" w:rsidP="00BD2C56">
            <w:r w:rsidRPr="007F7B1D">
              <w:rPr>
                <w:bCs/>
              </w:rPr>
              <w:t>--</w:t>
            </w:r>
          </w:p>
        </w:tc>
      </w:tr>
      <w:tr w:rsidR="0042207C" w:rsidRPr="00997B54" w14:paraId="6E0D8AB2" w14:textId="77777777" w:rsidTr="00BD2C56">
        <w:trPr>
          <w:trHeight w:val="144"/>
        </w:trPr>
        <w:tc>
          <w:tcPr>
            <w:tcW w:w="10350" w:type="dxa"/>
            <w:gridSpan w:val="7"/>
            <w:tcBorders>
              <w:top w:val="single" w:sz="4" w:space="0" w:color="auto"/>
              <w:left w:val="nil"/>
              <w:right w:val="nil"/>
            </w:tcBorders>
            <w:shd w:val="clear" w:color="auto" w:fill="auto"/>
            <w:hideMark/>
          </w:tcPr>
          <w:p w14:paraId="72381F16" w14:textId="77777777" w:rsidR="0042207C" w:rsidRPr="00997B54" w:rsidRDefault="0042207C" w:rsidP="00BD2C56">
            <w:pPr>
              <w:rPr>
                <w:bCs/>
                <w:sz w:val="20"/>
              </w:rPr>
            </w:pPr>
            <w:r w:rsidRPr="00997B54">
              <w:rPr>
                <w:bCs/>
                <w:sz w:val="20"/>
                <w:vertAlign w:val="superscript"/>
              </w:rPr>
              <w:t xml:space="preserve">* </w:t>
            </w:r>
            <w:r>
              <w:rPr>
                <w:bCs/>
                <w:sz w:val="20"/>
              </w:rPr>
              <w:t>There were multiple survey groups per survey method</w:t>
            </w:r>
            <w:r w:rsidRPr="00997B54">
              <w:rPr>
                <w:bCs/>
                <w:sz w:val="20"/>
              </w:rPr>
              <w:t xml:space="preserve">  </w:t>
            </w:r>
          </w:p>
        </w:tc>
      </w:tr>
      <w:tr w:rsidR="0042207C" w:rsidRPr="00997B54" w14:paraId="3901F3A3" w14:textId="77777777" w:rsidTr="00BD2C56">
        <w:trPr>
          <w:trHeight w:val="144"/>
        </w:trPr>
        <w:tc>
          <w:tcPr>
            <w:tcW w:w="10350" w:type="dxa"/>
            <w:gridSpan w:val="7"/>
            <w:tcBorders>
              <w:left w:val="nil"/>
              <w:right w:val="nil"/>
            </w:tcBorders>
            <w:shd w:val="clear" w:color="auto" w:fill="auto"/>
            <w:hideMark/>
          </w:tcPr>
          <w:p w14:paraId="188ECAAC" w14:textId="77777777" w:rsidR="0042207C" w:rsidRPr="00997B54" w:rsidRDefault="0042207C" w:rsidP="00BD2C56">
            <w:pPr>
              <w:rPr>
                <w:bCs/>
                <w:sz w:val="20"/>
              </w:rPr>
            </w:pPr>
            <w:r w:rsidRPr="00997B54">
              <w:rPr>
                <w:bCs/>
                <w:sz w:val="20"/>
                <w:vertAlign w:val="superscript"/>
              </w:rPr>
              <w:t xml:space="preserve">† </w:t>
            </w:r>
            <w:r w:rsidRPr="00997B54">
              <w:rPr>
                <w:bCs/>
                <w:sz w:val="20"/>
              </w:rPr>
              <w:t>Longitudinal cohort study follow-up; survey respondents had already agreed to participate in the study but in this round of the study</w:t>
            </w:r>
            <w:r>
              <w:rPr>
                <w:bCs/>
                <w:sz w:val="20"/>
              </w:rPr>
              <w:t>, they</w:t>
            </w:r>
            <w:r w:rsidRPr="00997B54">
              <w:rPr>
                <w:bCs/>
                <w:sz w:val="20"/>
              </w:rPr>
              <w:t xml:space="preserve"> were given an option to complete questionnaires via the internet.  </w:t>
            </w:r>
          </w:p>
        </w:tc>
      </w:tr>
    </w:tbl>
    <w:p w14:paraId="1AEC952D" w14:textId="77777777" w:rsidR="0042207C" w:rsidRPr="007F7B1D" w:rsidRDefault="0042207C" w:rsidP="0042207C"/>
    <w:p w14:paraId="0123947A" w14:textId="77777777" w:rsidR="0042207C" w:rsidRDefault="0042207C" w:rsidP="0042207C">
      <w:r w:rsidRPr="007F7B1D">
        <w:t xml:space="preserve">We have performed power calculations to assess whether this study will have enough power to provide statistically useful information. In addition to analyzing data from all participants overall, we plan to stratify our analyses by type of water treatment used (i.e., chlorine versus </w:t>
      </w:r>
      <w:r w:rsidR="00134277">
        <w:t>mono</w:t>
      </w:r>
      <w:r w:rsidRPr="007F7B1D">
        <w:t>chloramine as a secondary disinfectant). Therefore, both of these study arms will individually require sufficient statistical power for analysis. For these power calculations, the following assumptions were made:</w:t>
      </w:r>
    </w:p>
    <w:p w14:paraId="22A2B524" w14:textId="77777777" w:rsidR="00F252BE" w:rsidRDefault="00F252BE" w:rsidP="00CF76DA"/>
    <w:p w14:paraId="570BE1A5" w14:textId="77777777" w:rsidR="00F252BE" w:rsidRDefault="00F252BE" w:rsidP="00CF76DA">
      <w:pPr>
        <w:pStyle w:val="NoSpacing"/>
        <w:numPr>
          <w:ilvl w:val="0"/>
          <w:numId w:val="19"/>
        </w:numPr>
      </w:pPr>
      <w:r w:rsidRPr="007F7B1D">
        <w:t xml:space="preserve">The population incidence of AGI among unexposed persons is estimated to be 5% (based on prevalence of AGI during </w:t>
      </w:r>
      <w:r>
        <w:t xml:space="preserve">a </w:t>
      </w:r>
      <w:r w:rsidRPr="007F7B1D">
        <w:t>month</w:t>
      </w:r>
      <w:r>
        <w:t>-long period</w:t>
      </w:r>
      <w:r w:rsidRPr="007F7B1D">
        <w:t xml:space="preserve"> in U.S. survey data </w:t>
      </w:r>
      <w:r w:rsidR="00CF76DA">
        <w:t>(Jones,</w:t>
      </w:r>
      <w:r w:rsidR="00C137D2">
        <w:t xml:space="preserve"> McMillian</w:t>
      </w:r>
      <w:r w:rsidR="00CF76DA">
        <w:t xml:space="preserve"> et al. 2007).</w:t>
      </w:r>
    </w:p>
    <w:p w14:paraId="7DDC604A" w14:textId="05A0DD14" w:rsidR="00A93CFE" w:rsidRDefault="00F252BE" w:rsidP="00CF76DA">
      <w:pPr>
        <w:pStyle w:val="NoSpacing"/>
        <w:numPr>
          <w:ilvl w:val="0"/>
          <w:numId w:val="19"/>
        </w:numPr>
      </w:pPr>
      <w:r>
        <w:t>The event sizes will vary. Of the 65 events for the multi-site study, we aim to include</w:t>
      </w:r>
      <w:r w:rsidRPr="00CF76DA">
        <w:t xml:space="preserve">15 small events (affecting at least </w:t>
      </w:r>
      <w:r w:rsidR="00644D54" w:rsidRPr="00CF76DA">
        <w:t>10</w:t>
      </w:r>
      <w:r w:rsidRPr="00CF76DA">
        <w:t xml:space="preserve"> households), 35 medium events (affecting at least </w:t>
      </w:r>
      <w:r w:rsidR="00644D54" w:rsidRPr="00CF76DA">
        <w:t>37</w:t>
      </w:r>
      <w:r w:rsidRPr="00CF76DA">
        <w:t xml:space="preserve"> households), and 15 large events (affecting at least </w:t>
      </w:r>
      <w:r w:rsidR="00644D54" w:rsidRPr="00CF76DA">
        <w:t>53</w:t>
      </w:r>
      <w:r w:rsidRPr="00CF76DA">
        <w:t xml:space="preserve"> </w:t>
      </w:r>
      <w:r w:rsidRPr="00CF76DA">
        <w:lastRenderedPageBreak/>
        <w:t xml:space="preserve">households). This distribution of expected event sizes was informed by our pilot utility.    </w:t>
      </w:r>
    </w:p>
    <w:p w14:paraId="0A66DF90" w14:textId="533DDD37" w:rsidR="00F252BE" w:rsidRDefault="00696734" w:rsidP="00CF76DA">
      <w:pPr>
        <w:pStyle w:val="NoSpacing"/>
        <w:numPr>
          <w:ilvl w:val="0"/>
          <w:numId w:val="19"/>
        </w:numPr>
      </w:pPr>
      <w:r>
        <w:t>In an unstratified analysis, with a 60% response rate</w:t>
      </w:r>
      <w:r w:rsidR="00F252BE">
        <w:t xml:space="preserve"> and Type I error = 0.05</w:t>
      </w:r>
      <w:r>
        <w:t>, the study w</w:t>
      </w:r>
      <w:r w:rsidR="00CF76DA">
        <w:t>ill</w:t>
      </w:r>
      <w:r>
        <w:t xml:space="preserve"> have </w:t>
      </w:r>
      <w:r w:rsidR="004D457F">
        <w:t>over 90</w:t>
      </w:r>
      <w:r>
        <w:t xml:space="preserve">% power to detect an odds ratio of </w:t>
      </w:r>
      <w:r w:rsidR="004D457F">
        <w:t>1.6</w:t>
      </w:r>
      <w:r>
        <w:t xml:space="preserve">, </w:t>
      </w:r>
      <w:r w:rsidR="004D457F">
        <w:t>67</w:t>
      </w:r>
      <w:r w:rsidR="00F252BE">
        <w:t>% power to detect an odds ratio of 1.</w:t>
      </w:r>
      <w:r w:rsidR="004D457F">
        <w:t>4</w:t>
      </w:r>
      <w:r w:rsidR="00F252BE">
        <w:t>,</w:t>
      </w:r>
      <w:r w:rsidR="004D457F">
        <w:t xml:space="preserve"> and</w:t>
      </w:r>
      <w:r w:rsidR="00F252BE">
        <w:t xml:space="preserve"> </w:t>
      </w:r>
      <w:r w:rsidR="004D457F">
        <w:t>25</w:t>
      </w:r>
      <w:r>
        <w:t>% power to detect an odds ratio of 1.</w:t>
      </w:r>
      <w:r w:rsidR="00B045D0">
        <w:t>2</w:t>
      </w:r>
      <w:r w:rsidR="004D457F">
        <w:t>.</w:t>
      </w:r>
    </w:p>
    <w:p w14:paraId="6B9207FF" w14:textId="05228A22" w:rsidR="0042207C" w:rsidRDefault="00F252BE" w:rsidP="00DA794C">
      <w:pPr>
        <w:ind w:left="720"/>
      </w:pPr>
      <w:r>
        <w:t>In each</w:t>
      </w:r>
      <w:r w:rsidR="00F62FEB">
        <w:t xml:space="preserve"> of the two</w:t>
      </w:r>
      <w:r>
        <w:t xml:space="preserve"> arm</w:t>
      </w:r>
      <w:r w:rsidR="00F62FEB">
        <w:t>s</w:t>
      </w:r>
      <w:r>
        <w:t xml:space="preserve"> of a stratified analysis (e.g., stratifying on disinfectant type</w:t>
      </w:r>
      <w:bookmarkStart w:id="1" w:name="_GoBack"/>
      <w:bookmarkEnd w:id="1"/>
      <w:r>
        <w:t>), the study</w:t>
      </w:r>
      <w:r w:rsidRPr="007F7B1D">
        <w:t xml:space="preserve"> will have </w:t>
      </w:r>
      <w:r w:rsidR="004D457F">
        <w:t xml:space="preserve">over </w:t>
      </w:r>
      <w:r w:rsidRPr="007F7B1D">
        <w:t>8</w:t>
      </w:r>
      <w:r w:rsidR="004D457F">
        <w:t>5</w:t>
      </w:r>
      <w:r w:rsidRPr="007F7B1D">
        <w:t>% power to detect a</w:t>
      </w:r>
      <w:r>
        <w:t xml:space="preserve">n odds ratio </w:t>
      </w:r>
      <w:r w:rsidRPr="007F7B1D">
        <w:t xml:space="preserve">for AGI of </w:t>
      </w:r>
      <w:r>
        <w:t>1.</w:t>
      </w:r>
      <w:r w:rsidR="004D457F">
        <w:t>8</w:t>
      </w:r>
      <w:r>
        <w:t xml:space="preserve"> </w:t>
      </w:r>
      <w:r w:rsidRPr="007F7B1D">
        <w:t xml:space="preserve">or larger. </w:t>
      </w:r>
      <w:bookmarkStart w:id="2" w:name="OLE_LINK12"/>
      <w:bookmarkStart w:id="3" w:name="OLE_LINK13"/>
    </w:p>
    <w:p w14:paraId="1CD3C92F" w14:textId="77777777" w:rsidR="00F406B5" w:rsidRPr="007F7B1D" w:rsidRDefault="00F406B5" w:rsidP="00DA794C">
      <w:pPr>
        <w:ind w:left="720"/>
        <w:rPr>
          <w:bCs/>
        </w:rPr>
      </w:pPr>
    </w:p>
    <w:bookmarkEnd w:id="2"/>
    <w:bookmarkEnd w:id="3"/>
    <w:p w14:paraId="5C49A31E" w14:textId="0C340671" w:rsidR="0042207C" w:rsidRPr="007F7B1D" w:rsidRDefault="0042207C" w:rsidP="0042207C">
      <w:pPr>
        <w:rPr>
          <w:bCs/>
        </w:rPr>
      </w:pPr>
      <w:r w:rsidRPr="007F7B1D">
        <w:t xml:space="preserve">Under these assumptions and goals, we estimate that we will have enough respondents to meet the goal </w:t>
      </w:r>
      <w:r w:rsidR="00134277">
        <w:t xml:space="preserve">of detecting </w:t>
      </w:r>
      <w:r w:rsidR="002D42C2">
        <w:t xml:space="preserve">a </w:t>
      </w:r>
      <w:r w:rsidR="00134277">
        <w:t>statistically significant odds ratio of 1.6 or greater in an unstratified analysis</w:t>
      </w:r>
      <w:r w:rsidR="00134277" w:rsidRPr="007F7B1D">
        <w:t xml:space="preserve"> </w:t>
      </w:r>
      <w:r w:rsidR="00134277">
        <w:t>(</w:t>
      </w:r>
      <w:r w:rsidR="008D542E">
        <w:t xml:space="preserve">an increased risk </w:t>
      </w:r>
      <w:r w:rsidR="00134277">
        <w:t xml:space="preserve">similar to the Nygard study), and further that we would be able to detect a </w:t>
      </w:r>
      <w:r w:rsidRPr="007F7B1D">
        <w:t xml:space="preserve">statistically-significant </w:t>
      </w:r>
      <w:r w:rsidR="00F47F12">
        <w:t>odds ratio of 1.</w:t>
      </w:r>
      <w:r w:rsidR="004D457F">
        <w:t>8</w:t>
      </w:r>
      <w:r w:rsidRPr="007F7B1D">
        <w:t xml:space="preserve"> or greater</w:t>
      </w:r>
      <w:r w:rsidR="00943B98">
        <w:t xml:space="preserve"> </w:t>
      </w:r>
      <w:r w:rsidRPr="007F7B1D">
        <w:t>for AGI</w:t>
      </w:r>
      <w:r>
        <w:t xml:space="preserve"> </w:t>
      </w:r>
      <w:r w:rsidR="00696734">
        <w:t>within each</w:t>
      </w:r>
      <w:r w:rsidR="00134277">
        <w:t xml:space="preserve"> disinfectant type</w:t>
      </w:r>
      <w:r w:rsidR="00696734">
        <w:t xml:space="preserve"> subgroup</w:t>
      </w:r>
      <w:r w:rsidRPr="007F7B1D">
        <w:t xml:space="preserve">. </w:t>
      </w:r>
      <w:r w:rsidR="00F252BE">
        <w:t>Finding non-significantly elevated risks would suggest that additional research with additional precision and statistical power is needed.</w:t>
      </w:r>
    </w:p>
    <w:p w14:paraId="10039BE1" w14:textId="77777777" w:rsidR="0042207C" w:rsidRDefault="0042207C" w:rsidP="0042207C">
      <w:pPr>
        <w:rPr>
          <w:b/>
          <w:bCs/>
        </w:rPr>
      </w:pPr>
    </w:p>
    <w:p w14:paraId="0845BB2B" w14:textId="77777777" w:rsidR="00F406B5" w:rsidRDefault="00F406B5" w:rsidP="0042207C">
      <w:pPr>
        <w:rPr>
          <w:b/>
          <w:bCs/>
        </w:rPr>
      </w:pPr>
    </w:p>
    <w:p w14:paraId="762A1571" w14:textId="77777777" w:rsidR="00F406B5" w:rsidRDefault="00F406B5" w:rsidP="0042207C">
      <w:pPr>
        <w:rPr>
          <w:b/>
          <w:bCs/>
        </w:rPr>
      </w:pPr>
    </w:p>
    <w:p w14:paraId="4785926D" w14:textId="77777777" w:rsidR="00F406B5" w:rsidRDefault="00F406B5" w:rsidP="0042207C">
      <w:pPr>
        <w:rPr>
          <w:b/>
          <w:bCs/>
        </w:rPr>
      </w:pPr>
    </w:p>
    <w:p w14:paraId="6A4F3B88" w14:textId="77777777" w:rsidR="00F406B5" w:rsidRDefault="00F406B5" w:rsidP="0042207C">
      <w:pPr>
        <w:rPr>
          <w:b/>
          <w:bCs/>
        </w:rPr>
      </w:pPr>
    </w:p>
    <w:p w14:paraId="7CABCBBC" w14:textId="77777777" w:rsidR="00F406B5" w:rsidRDefault="00F406B5" w:rsidP="0042207C">
      <w:pPr>
        <w:rPr>
          <w:b/>
          <w:bCs/>
        </w:rPr>
      </w:pPr>
    </w:p>
    <w:p w14:paraId="65B3EABF" w14:textId="77777777" w:rsidR="00F406B5" w:rsidRDefault="00F406B5" w:rsidP="0042207C">
      <w:pPr>
        <w:rPr>
          <w:b/>
          <w:bCs/>
        </w:rPr>
      </w:pPr>
    </w:p>
    <w:p w14:paraId="4150F38E" w14:textId="77777777" w:rsidR="00FB120D" w:rsidRDefault="00FB120D" w:rsidP="0042207C">
      <w:pPr>
        <w:rPr>
          <w:b/>
          <w:bCs/>
        </w:rPr>
      </w:pPr>
    </w:p>
    <w:p w14:paraId="599C7337" w14:textId="77777777" w:rsidR="00515852" w:rsidRDefault="00515852" w:rsidP="00BD5AC5">
      <w:pPr>
        <w:ind w:left="-90"/>
        <w:rPr>
          <w:b/>
          <w:bCs/>
        </w:rPr>
      </w:pPr>
      <w:r>
        <w:rPr>
          <w:b/>
          <w:bCs/>
        </w:rPr>
        <w:t>Table B.1.2 – Power Calculations for Overall Study*</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
        <w:gridCol w:w="1486"/>
        <w:gridCol w:w="1170"/>
        <w:gridCol w:w="1530"/>
        <w:gridCol w:w="1440"/>
        <w:gridCol w:w="1440"/>
        <w:gridCol w:w="1710"/>
      </w:tblGrid>
      <w:tr w:rsidR="00515852" w14:paraId="53377FA5" w14:textId="77777777" w:rsidTr="00DA794C">
        <w:tc>
          <w:tcPr>
            <w:tcW w:w="872" w:type="dxa"/>
            <w:tcBorders>
              <w:bottom w:val="single" w:sz="4" w:space="0" w:color="auto"/>
            </w:tcBorders>
          </w:tcPr>
          <w:p w14:paraId="61FCDCA5" w14:textId="77777777" w:rsidR="00515852" w:rsidRDefault="00515852" w:rsidP="0042207C">
            <w:pPr>
              <w:rPr>
                <w:b/>
                <w:bCs/>
              </w:rPr>
            </w:pPr>
            <w:r>
              <w:rPr>
                <w:b/>
                <w:bCs/>
              </w:rPr>
              <w:t>Power</w:t>
            </w:r>
          </w:p>
        </w:tc>
        <w:tc>
          <w:tcPr>
            <w:tcW w:w="1486" w:type="dxa"/>
            <w:tcBorders>
              <w:bottom w:val="single" w:sz="4" w:space="0" w:color="auto"/>
            </w:tcBorders>
          </w:tcPr>
          <w:p w14:paraId="3CA993B6" w14:textId="77777777" w:rsidR="00515852" w:rsidRDefault="00515852" w:rsidP="0042207C">
            <w:pPr>
              <w:rPr>
                <w:b/>
                <w:bCs/>
              </w:rPr>
            </w:pPr>
            <w:r>
              <w:rPr>
                <w:b/>
                <w:bCs/>
              </w:rPr>
              <w:t>AGI Unexposed</w:t>
            </w:r>
          </w:p>
        </w:tc>
        <w:tc>
          <w:tcPr>
            <w:tcW w:w="1170" w:type="dxa"/>
            <w:tcBorders>
              <w:bottom w:val="single" w:sz="4" w:space="0" w:color="auto"/>
            </w:tcBorders>
          </w:tcPr>
          <w:p w14:paraId="50948AED" w14:textId="77777777" w:rsidR="00515852" w:rsidRDefault="00515852" w:rsidP="0042207C">
            <w:pPr>
              <w:rPr>
                <w:b/>
                <w:bCs/>
              </w:rPr>
            </w:pPr>
            <w:r>
              <w:rPr>
                <w:b/>
                <w:bCs/>
              </w:rPr>
              <w:t>AGI Exposed</w:t>
            </w:r>
          </w:p>
        </w:tc>
        <w:tc>
          <w:tcPr>
            <w:tcW w:w="1530" w:type="dxa"/>
            <w:tcBorders>
              <w:bottom w:val="single" w:sz="4" w:space="0" w:color="auto"/>
            </w:tcBorders>
          </w:tcPr>
          <w:p w14:paraId="6DA28FD2" w14:textId="77777777" w:rsidR="00515852" w:rsidRDefault="00515852" w:rsidP="0042207C">
            <w:pPr>
              <w:rPr>
                <w:b/>
                <w:bCs/>
              </w:rPr>
            </w:pPr>
            <w:r>
              <w:rPr>
                <w:b/>
                <w:bCs/>
              </w:rPr>
              <w:t>Detectable Odds Ratio</w:t>
            </w:r>
          </w:p>
        </w:tc>
        <w:tc>
          <w:tcPr>
            <w:tcW w:w="1440" w:type="dxa"/>
            <w:tcBorders>
              <w:bottom w:val="single" w:sz="4" w:space="0" w:color="auto"/>
            </w:tcBorders>
          </w:tcPr>
          <w:p w14:paraId="10745072" w14:textId="77777777" w:rsidR="00515852" w:rsidRDefault="00515852" w:rsidP="0042207C">
            <w:pPr>
              <w:rPr>
                <w:b/>
                <w:bCs/>
              </w:rPr>
            </w:pPr>
            <w:r>
              <w:rPr>
                <w:b/>
                <w:bCs/>
              </w:rPr>
              <w:t>Exposed Households</w:t>
            </w:r>
          </w:p>
        </w:tc>
        <w:tc>
          <w:tcPr>
            <w:tcW w:w="1440" w:type="dxa"/>
            <w:tcBorders>
              <w:bottom w:val="single" w:sz="4" w:space="0" w:color="auto"/>
            </w:tcBorders>
          </w:tcPr>
          <w:p w14:paraId="593EE148" w14:textId="77777777" w:rsidR="00515852" w:rsidRDefault="00515852" w:rsidP="0042207C">
            <w:pPr>
              <w:rPr>
                <w:b/>
                <w:bCs/>
              </w:rPr>
            </w:pPr>
            <w:r>
              <w:rPr>
                <w:b/>
                <w:bCs/>
              </w:rPr>
              <w:t>Unexposed Households</w:t>
            </w:r>
          </w:p>
        </w:tc>
        <w:tc>
          <w:tcPr>
            <w:tcW w:w="1710" w:type="dxa"/>
            <w:tcBorders>
              <w:bottom w:val="single" w:sz="4" w:space="0" w:color="auto"/>
            </w:tcBorders>
          </w:tcPr>
          <w:p w14:paraId="5C556604" w14:textId="77777777" w:rsidR="00515852" w:rsidRDefault="00515852" w:rsidP="0042207C">
            <w:pPr>
              <w:rPr>
                <w:b/>
                <w:bCs/>
              </w:rPr>
            </w:pPr>
            <w:r>
              <w:rPr>
                <w:b/>
                <w:bCs/>
              </w:rPr>
              <w:t>Unstratified Sample Size</w:t>
            </w:r>
          </w:p>
        </w:tc>
      </w:tr>
      <w:tr w:rsidR="00AB2C7A" w14:paraId="09219D0B" w14:textId="77777777" w:rsidTr="004D457F">
        <w:tc>
          <w:tcPr>
            <w:tcW w:w="872" w:type="dxa"/>
            <w:tcBorders>
              <w:top w:val="single" w:sz="4" w:space="0" w:color="auto"/>
            </w:tcBorders>
            <w:shd w:val="clear" w:color="auto" w:fill="auto"/>
          </w:tcPr>
          <w:p w14:paraId="1328AEC4" w14:textId="77777777" w:rsidR="00AB2C7A" w:rsidRDefault="00AB2C7A" w:rsidP="0042207C">
            <w:pPr>
              <w:rPr>
                <w:b/>
                <w:bCs/>
              </w:rPr>
            </w:pPr>
            <w:r>
              <w:rPr>
                <w:b/>
                <w:bCs/>
              </w:rPr>
              <w:t>25%</w:t>
            </w:r>
          </w:p>
        </w:tc>
        <w:tc>
          <w:tcPr>
            <w:tcW w:w="1486" w:type="dxa"/>
            <w:tcBorders>
              <w:top w:val="single" w:sz="4" w:space="0" w:color="auto"/>
            </w:tcBorders>
            <w:shd w:val="clear" w:color="auto" w:fill="auto"/>
          </w:tcPr>
          <w:p w14:paraId="1AC5562B" w14:textId="77777777" w:rsidR="00AB2C7A" w:rsidRDefault="00AB2C7A" w:rsidP="0042207C">
            <w:pPr>
              <w:rPr>
                <w:b/>
                <w:bCs/>
              </w:rPr>
            </w:pPr>
            <w:r>
              <w:rPr>
                <w:b/>
                <w:bCs/>
              </w:rPr>
              <w:t>5%</w:t>
            </w:r>
          </w:p>
        </w:tc>
        <w:tc>
          <w:tcPr>
            <w:tcW w:w="1170" w:type="dxa"/>
            <w:tcBorders>
              <w:top w:val="single" w:sz="4" w:space="0" w:color="auto"/>
            </w:tcBorders>
            <w:shd w:val="clear" w:color="auto" w:fill="auto"/>
          </w:tcPr>
          <w:p w14:paraId="1F87759B" w14:textId="77777777" w:rsidR="00AB2C7A" w:rsidRDefault="00AB2C7A" w:rsidP="00D5440B">
            <w:pPr>
              <w:rPr>
                <w:b/>
                <w:bCs/>
              </w:rPr>
            </w:pPr>
            <w:r>
              <w:rPr>
                <w:b/>
                <w:bCs/>
              </w:rPr>
              <w:t>6%</w:t>
            </w:r>
          </w:p>
        </w:tc>
        <w:tc>
          <w:tcPr>
            <w:tcW w:w="1530" w:type="dxa"/>
            <w:tcBorders>
              <w:top w:val="single" w:sz="4" w:space="0" w:color="auto"/>
            </w:tcBorders>
            <w:shd w:val="clear" w:color="auto" w:fill="auto"/>
          </w:tcPr>
          <w:p w14:paraId="2AB787D0" w14:textId="77777777" w:rsidR="00AB2C7A" w:rsidRDefault="00AB2C7A" w:rsidP="0042207C">
            <w:pPr>
              <w:rPr>
                <w:b/>
                <w:bCs/>
              </w:rPr>
            </w:pPr>
            <w:r>
              <w:rPr>
                <w:b/>
                <w:bCs/>
              </w:rPr>
              <w:t>1.2</w:t>
            </w:r>
          </w:p>
        </w:tc>
        <w:tc>
          <w:tcPr>
            <w:tcW w:w="1440" w:type="dxa"/>
            <w:tcBorders>
              <w:top w:val="single" w:sz="4" w:space="0" w:color="auto"/>
            </w:tcBorders>
            <w:shd w:val="clear" w:color="auto" w:fill="auto"/>
          </w:tcPr>
          <w:p w14:paraId="5DE1FB7F" w14:textId="77777777" w:rsidR="00AB2C7A" w:rsidRDefault="00AB2C7A" w:rsidP="0042207C">
            <w:pPr>
              <w:rPr>
                <w:b/>
                <w:bCs/>
              </w:rPr>
            </w:pPr>
            <w:r>
              <w:rPr>
                <w:b/>
                <w:bCs/>
              </w:rPr>
              <w:t>1,340</w:t>
            </w:r>
          </w:p>
        </w:tc>
        <w:tc>
          <w:tcPr>
            <w:tcW w:w="1440" w:type="dxa"/>
            <w:tcBorders>
              <w:top w:val="single" w:sz="4" w:space="0" w:color="auto"/>
            </w:tcBorders>
            <w:shd w:val="clear" w:color="auto" w:fill="auto"/>
          </w:tcPr>
          <w:p w14:paraId="417A152C" w14:textId="77777777" w:rsidR="00AB2C7A" w:rsidRDefault="00AB2C7A" w:rsidP="0042207C">
            <w:pPr>
              <w:rPr>
                <w:b/>
                <w:bCs/>
              </w:rPr>
            </w:pPr>
            <w:r>
              <w:rPr>
                <w:b/>
                <w:bCs/>
              </w:rPr>
              <w:t>2,680</w:t>
            </w:r>
          </w:p>
        </w:tc>
        <w:tc>
          <w:tcPr>
            <w:tcW w:w="1710" w:type="dxa"/>
            <w:tcBorders>
              <w:top w:val="single" w:sz="4" w:space="0" w:color="auto"/>
            </w:tcBorders>
            <w:shd w:val="clear" w:color="auto" w:fill="auto"/>
          </w:tcPr>
          <w:p w14:paraId="038B1141" w14:textId="77777777" w:rsidR="00AB2C7A" w:rsidRDefault="00AB2C7A" w:rsidP="0042207C">
            <w:pPr>
              <w:rPr>
                <w:b/>
                <w:bCs/>
              </w:rPr>
            </w:pPr>
            <w:r>
              <w:rPr>
                <w:b/>
                <w:bCs/>
              </w:rPr>
              <w:t>4,020</w:t>
            </w:r>
          </w:p>
        </w:tc>
      </w:tr>
      <w:tr w:rsidR="004D457F" w14:paraId="76C957EB" w14:textId="77777777" w:rsidTr="00DA794C">
        <w:tc>
          <w:tcPr>
            <w:tcW w:w="872" w:type="dxa"/>
            <w:tcBorders>
              <w:top w:val="single" w:sz="4" w:space="0" w:color="auto"/>
            </w:tcBorders>
            <w:shd w:val="clear" w:color="auto" w:fill="auto"/>
          </w:tcPr>
          <w:p w14:paraId="69926BD6" w14:textId="77777777" w:rsidR="004D457F" w:rsidRDefault="004D457F" w:rsidP="0042207C">
            <w:pPr>
              <w:rPr>
                <w:b/>
                <w:bCs/>
              </w:rPr>
            </w:pPr>
            <w:r>
              <w:rPr>
                <w:b/>
                <w:bCs/>
              </w:rPr>
              <w:t>67%</w:t>
            </w:r>
          </w:p>
        </w:tc>
        <w:tc>
          <w:tcPr>
            <w:tcW w:w="1486" w:type="dxa"/>
            <w:tcBorders>
              <w:top w:val="single" w:sz="4" w:space="0" w:color="auto"/>
            </w:tcBorders>
            <w:shd w:val="clear" w:color="auto" w:fill="auto"/>
          </w:tcPr>
          <w:p w14:paraId="313FDD77" w14:textId="77777777" w:rsidR="004D457F" w:rsidRDefault="004D457F" w:rsidP="0042207C">
            <w:pPr>
              <w:rPr>
                <w:b/>
                <w:bCs/>
              </w:rPr>
            </w:pPr>
            <w:r>
              <w:rPr>
                <w:b/>
                <w:bCs/>
              </w:rPr>
              <w:t>5%</w:t>
            </w:r>
          </w:p>
        </w:tc>
        <w:tc>
          <w:tcPr>
            <w:tcW w:w="1170" w:type="dxa"/>
            <w:tcBorders>
              <w:top w:val="single" w:sz="4" w:space="0" w:color="auto"/>
            </w:tcBorders>
            <w:shd w:val="clear" w:color="auto" w:fill="auto"/>
          </w:tcPr>
          <w:p w14:paraId="7A1FE735" w14:textId="50717126" w:rsidR="004D457F" w:rsidRDefault="004D457F" w:rsidP="00D5440B">
            <w:pPr>
              <w:rPr>
                <w:b/>
                <w:bCs/>
              </w:rPr>
            </w:pPr>
            <w:r>
              <w:rPr>
                <w:b/>
                <w:bCs/>
              </w:rPr>
              <w:t>7%</w:t>
            </w:r>
          </w:p>
        </w:tc>
        <w:tc>
          <w:tcPr>
            <w:tcW w:w="1530" w:type="dxa"/>
            <w:tcBorders>
              <w:top w:val="single" w:sz="4" w:space="0" w:color="auto"/>
            </w:tcBorders>
            <w:shd w:val="clear" w:color="auto" w:fill="auto"/>
          </w:tcPr>
          <w:p w14:paraId="34F5D94F" w14:textId="77777777" w:rsidR="004D457F" w:rsidRDefault="004D457F" w:rsidP="0042207C">
            <w:pPr>
              <w:rPr>
                <w:b/>
                <w:bCs/>
              </w:rPr>
            </w:pPr>
            <w:r>
              <w:rPr>
                <w:b/>
                <w:bCs/>
              </w:rPr>
              <w:t>1.4</w:t>
            </w:r>
          </w:p>
        </w:tc>
        <w:tc>
          <w:tcPr>
            <w:tcW w:w="1440" w:type="dxa"/>
            <w:tcBorders>
              <w:top w:val="single" w:sz="4" w:space="0" w:color="auto"/>
            </w:tcBorders>
            <w:shd w:val="clear" w:color="auto" w:fill="auto"/>
          </w:tcPr>
          <w:p w14:paraId="569E8BAE" w14:textId="77777777" w:rsidR="004D457F" w:rsidRDefault="004D457F" w:rsidP="0042207C">
            <w:pPr>
              <w:rPr>
                <w:b/>
                <w:bCs/>
              </w:rPr>
            </w:pPr>
            <w:r>
              <w:rPr>
                <w:b/>
                <w:bCs/>
              </w:rPr>
              <w:t>1,340</w:t>
            </w:r>
          </w:p>
        </w:tc>
        <w:tc>
          <w:tcPr>
            <w:tcW w:w="1440" w:type="dxa"/>
            <w:tcBorders>
              <w:top w:val="single" w:sz="4" w:space="0" w:color="auto"/>
            </w:tcBorders>
            <w:shd w:val="clear" w:color="auto" w:fill="auto"/>
          </w:tcPr>
          <w:p w14:paraId="1B618634" w14:textId="77777777" w:rsidR="004D457F" w:rsidRDefault="004D457F" w:rsidP="0042207C">
            <w:pPr>
              <w:rPr>
                <w:b/>
                <w:bCs/>
              </w:rPr>
            </w:pPr>
            <w:r>
              <w:rPr>
                <w:b/>
                <w:bCs/>
              </w:rPr>
              <w:t>2,680</w:t>
            </w:r>
          </w:p>
        </w:tc>
        <w:tc>
          <w:tcPr>
            <w:tcW w:w="1710" w:type="dxa"/>
            <w:tcBorders>
              <w:top w:val="single" w:sz="4" w:space="0" w:color="auto"/>
            </w:tcBorders>
            <w:shd w:val="clear" w:color="auto" w:fill="auto"/>
          </w:tcPr>
          <w:p w14:paraId="07663343" w14:textId="77777777" w:rsidR="004D457F" w:rsidRDefault="004D457F" w:rsidP="0042207C">
            <w:pPr>
              <w:rPr>
                <w:b/>
                <w:bCs/>
              </w:rPr>
            </w:pPr>
            <w:r>
              <w:rPr>
                <w:b/>
                <w:bCs/>
              </w:rPr>
              <w:t>4,020</w:t>
            </w:r>
          </w:p>
        </w:tc>
      </w:tr>
      <w:tr w:rsidR="004D457F" w14:paraId="6FF60A77" w14:textId="77777777" w:rsidTr="00DA794C">
        <w:tc>
          <w:tcPr>
            <w:tcW w:w="872" w:type="dxa"/>
            <w:shd w:val="clear" w:color="auto" w:fill="BFBFBF" w:themeFill="background1" w:themeFillShade="BF"/>
          </w:tcPr>
          <w:p w14:paraId="253ED69F" w14:textId="2B0E9726" w:rsidR="004D457F" w:rsidRDefault="004D457F" w:rsidP="0042207C">
            <w:pPr>
              <w:rPr>
                <w:b/>
                <w:bCs/>
              </w:rPr>
            </w:pPr>
            <w:r>
              <w:rPr>
                <w:b/>
                <w:bCs/>
              </w:rPr>
              <w:t>93%</w:t>
            </w:r>
          </w:p>
        </w:tc>
        <w:tc>
          <w:tcPr>
            <w:tcW w:w="1486" w:type="dxa"/>
            <w:shd w:val="clear" w:color="auto" w:fill="BFBFBF" w:themeFill="background1" w:themeFillShade="BF"/>
          </w:tcPr>
          <w:p w14:paraId="76BC5C2A" w14:textId="77777777" w:rsidR="004D457F" w:rsidRDefault="004D457F" w:rsidP="0042207C">
            <w:pPr>
              <w:rPr>
                <w:b/>
                <w:bCs/>
              </w:rPr>
            </w:pPr>
            <w:r>
              <w:rPr>
                <w:b/>
                <w:bCs/>
              </w:rPr>
              <w:t>5%</w:t>
            </w:r>
          </w:p>
        </w:tc>
        <w:tc>
          <w:tcPr>
            <w:tcW w:w="1170" w:type="dxa"/>
            <w:shd w:val="clear" w:color="auto" w:fill="BFBFBF" w:themeFill="background1" w:themeFillShade="BF"/>
          </w:tcPr>
          <w:p w14:paraId="33289F42" w14:textId="69C94633" w:rsidR="004D457F" w:rsidRDefault="00D5440B" w:rsidP="0042207C">
            <w:pPr>
              <w:rPr>
                <w:b/>
                <w:bCs/>
              </w:rPr>
            </w:pPr>
            <w:r>
              <w:rPr>
                <w:b/>
                <w:bCs/>
              </w:rPr>
              <w:t>8</w:t>
            </w:r>
            <w:r w:rsidR="004D457F">
              <w:rPr>
                <w:b/>
                <w:bCs/>
              </w:rPr>
              <w:t>%</w:t>
            </w:r>
          </w:p>
        </w:tc>
        <w:tc>
          <w:tcPr>
            <w:tcW w:w="1530" w:type="dxa"/>
            <w:shd w:val="clear" w:color="auto" w:fill="BFBFBF" w:themeFill="background1" w:themeFillShade="BF"/>
          </w:tcPr>
          <w:p w14:paraId="38728550" w14:textId="77777777" w:rsidR="004D457F" w:rsidRDefault="004D457F" w:rsidP="0042207C">
            <w:pPr>
              <w:rPr>
                <w:b/>
                <w:bCs/>
              </w:rPr>
            </w:pPr>
            <w:r>
              <w:rPr>
                <w:b/>
                <w:bCs/>
              </w:rPr>
              <w:t>1.6</w:t>
            </w:r>
          </w:p>
        </w:tc>
        <w:tc>
          <w:tcPr>
            <w:tcW w:w="1440" w:type="dxa"/>
            <w:shd w:val="clear" w:color="auto" w:fill="BFBFBF" w:themeFill="background1" w:themeFillShade="BF"/>
          </w:tcPr>
          <w:p w14:paraId="1C711BD7" w14:textId="77777777" w:rsidR="004D457F" w:rsidRDefault="004D457F" w:rsidP="0042207C">
            <w:pPr>
              <w:rPr>
                <w:b/>
                <w:bCs/>
              </w:rPr>
            </w:pPr>
            <w:r>
              <w:rPr>
                <w:b/>
                <w:bCs/>
              </w:rPr>
              <w:t>1,340</w:t>
            </w:r>
          </w:p>
        </w:tc>
        <w:tc>
          <w:tcPr>
            <w:tcW w:w="1440" w:type="dxa"/>
            <w:shd w:val="clear" w:color="auto" w:fill="BFBFBF" w:themeFill="background1" w:themeFillShade="BF"/>
          </w:tcPr>
          <w:p w14:paraId="3A45CF69" w14:textId="77777777" w:rsidR="004D457F" w:rsidRDefault="004D457F" w:rsidP="0042207C">
            <w:pPr>
              <w:rPr>
                <w:b/>
                <w:bCs/>
              </w:rPr>
            </w:pPr>
            <w:r>
              <w:rPr>
                <w:b/>
                <w:bCs/>
              </w:rPr>
              <w:t>2,680</w:t>
            </w:r>
          </w:p>
        </w:tc>
        <w:tc>
          <w:tcPr>
            <w:tcW w:w="1710" w:type="dxa"/>
            <w:shd w:val="clear" w:color="auto" w:fill="BFBFBF" w:themeFill="background1" w:themeFillShade="BF"/>
          </w:tcPr>
          <w:p w14:paraId="2332D3DA" w14:textId="77777777" w:rsidR="004D457F" w:rsidRDefault="004D457F" w:rsidP="0042207C">
            <w:pPr>
              <w:rPr>
                <w:b/>
                <w:bCs/>
              </w:rPr>
            </w:pPr>
            <w:r>
              <w:rPr>
                <w:b/>
                <w:bCs/>
              </w:rPr>
              <w:t>4,020</w:t>
            </w:r>
          </w:p>
        </w:tc>
      </w:tr>
      <w:tr w:rsidR="004D457F" w14:paraId="46BC68F7" w14:textId="77777777" w:rsidTr="00515852">
        <w:tc>
          <w:tcPr>
            <w:tcW w:w="872" w:type="dxa"/>
          </w:tcPr>
          <w:p w14:paraId="4CFC60E1" w14:textId="6996F19C" w:rsidR="004D457F" w:rsidRDefault="004D457F" w:rsidP="0042207C">
            <w:pPr>
              <w:rPr>
                <w:b/>
                <w:bCs/>
              </w:rPr>
            </w:pPr>
            <w:r>
              <w:rPr>
                <w:b/>
                <w:bCs/>
              </w:rPr>
              <w:lastRenderedPageBreak/>
              <w:t>99%</w:t>
            </w:r>
          </w:p>
        </w:tc>
        <w:tc>
          <w:tcPr>
            <w:tcW w:w="1486" w:type="dxa"/>
          </w:tcPr>
          <w:p w14:paraId="091D7614" w14:textId="77777777" w:rsidR="004D457F" w:rsidRDefault="004D457F" w:rsidP="0042207C">
            <w:pPr>
              <w:rPr>
                <w:b/>
                <w:bCs/>
              </w:rPr>
            </w:pPr>
            <w:r>
              <w:rPr>
                <w:b/>
                <w:bCs/>
              </w:rPr>
              <w:t>5%</w:t>
            </w:r>
          </w:p>
        </w:tc>
        <w:tc>
          <w:tcPr>
            <w:tcW w:w="1170" w:type="dxa"/>
          </w:tcPr>
          <w:p w14:paraId="4A4784AD" w14:textId="5EBFDAC4" w:rsidR="004D457F" w:rsidRDefault="00D5440B" w:rsidP="0042207C">
            <w:pPr>
              <w:rPr>
                <w:b/>
                <w:bCs/>
              </w:rPr>
            </w:pPr>
            <w:r>
              <w:rPr>
                <w:b/>
                <w:bCs/>
              </w:rPr>
              <w:t>9</w:t>
            </w:r>
            <w:r w:rsidR="004D457F">
              <w:rPr>
                <w:b/>
                <w:bCs/>
              </w:rPr>
              <w:t>%</w:t>
            </w:r>
          </w:p>
        </w:tc>
        <w:tc>
          <w:tcPr>
            <w:tcW w:w="1530" w:type="dxa"/>
          </w:tcPr>
          <w:p w14:paraId="34B9CF85" w14:textId="77777777" w:rsidR="004D457F" w:rsidRDefault="004D457F" w:rsidP="0042207C">
            <w:pPr>
              <w:rPr>
                <w:b/>
                <w:bCs/>
              </w:rPr>
            </w:pPr>
            <w:r>
              <w:rPr>
                <w:b/>
                <w:bCs/>
              </w:rPr>
              <w:t>1.8</w:t>
            </w:r>
          </w:p>
        </w:tc>
        <w:tc>
          <w:tcPr>
            <w:tcW w:w="1440" w:type="dxa"/>
          </w:tcPr>
          <w:p w14:paraId="575ADFA8" w14:textId="77777777" w:rsidR="004D457F" w:rsidRDefault="004D457F" w:rsidP="0042207C">
            <w:pPr>
              <w:rPr>
                <w:b/>
                <w:bCs/>
              </w:rPr>
            </w:pPr>
            <w:r>
              <w:rPr>
                <w:b/>
                <w:bCs/>
              </w:rPr>
              <w:t>1,340</w:t>
            </w:r>
          </w:p>
        </w:tc>
        <w:tc>
          <w:tcPr>
            <w:tcW w:w="1440" w:type="dxa"/>
          </w:tcPr>
          <w:p w14:paraId="54430EAA" w14:textId="77777777" w:rsidR="004D457F" w:rsidRDefault="004D457F" w:rsidP="0042207C">
            <w:pPr>
              <w:rPr>
                <w:b/>
                <w:bCs/>
              </w:rPr>
            </w:pPr>
            <w:r>
              <w:rPr>
                <w:b/>
                <w:bCs/>
              </w:rPr>
              <w:t>2,680</w:t>
            </w:r>
          </w:p>
        </w:tc>
        <w:tc>
          <w:tcPr>
            <w:tcW w:w="1710" w:type="dxa"/>
          </w:tcPr>
          <w:p w14:paraId="2B967969" w14:textId="77777777" w:rsidR="004D457F" w:rsidRDefault="004D457F" w:rsidP="0042207C">
            <w:pPr>
              <w:rPr>
                <w:b/>
                <w:bCs/>
              </w:rPr>
            </w:pPr>
            <w:r>
              <w:rPr>
                <w:b/>
                <w:bCs/>
              </w:rPr>
              <w:t>4,020</w:t>
            </w:r>
          </w:p>
        </w:tc>
      </w:tr>
      <w:tr w:rsidR="004D457F" w14:paraId="20BF44B3" w14:textId="77777777" w:rsidTr="00515852">
        <w:tc>
          <w:tcPr>
            <w:tcW w:w="872" w:type="dxa"/>
            <w:tcBorders>
              <w:bottom w:val="single" w:sz="4" w:space="0" w:color="auto"/>
            </w:tcBorders>
          </w:tcPr>
          <w:p w14:paraId="4513B1EF" w14:textId="77777777" w:rsidR="004D457F" w:rsidRDefault="004D457F" w:rsidP="0042207C">
            <w:pPr>
              <w:rPr>
                <w:b/>
                <w:bCs/>
              </w:rPr>
            </w:pPr>
            <w:r>
              <w:rPr>
                <w:b/>
                <w:bCs/>
              </w:rPr>
              <w:t>100%</w:t>
            </w:r>
          </w:p>
        </w:tc>
        <w:tc>
          <w:tcPr>
            <w:tcW w:w="1486" w:type="dxa"/>
            <w:tcBorders>
              <w:bottom w:val="single" w:sz="4" w:space="0" w:color="auto"/>
            </w:tcBorders>
          </w:tcPr>
          <w:p w14:paraId="1F9DEE60" w14:textId="77777777" w:rsidR="004D457F" w:rsidRDefault="004D457F" w:rsidP="0042207C">
            <w:pPr>
              <w:rPr>
                <w:b/>
                <w:bCs/>
              </w:rPr>
            </w:pPr>
            <w:r>
              <w:rPr>
                <w:b/>
                <w:bCs/>
              </w:rPr>
              <w:t>5%</w:t>
            </w:r>
          </w:p>
        </w:tc>
        <w:tc>
          <w:tcPr>
            <w:tcW w:w="1170" w:type="dxa"/>
            <w:tcBorders>
              <w:bottom w:val="single" w:sz="4" w:space="0" w:color="auto"/>
            </w:tcBorders>
          </w:tcPr>
          <w:p w14:paraId="08CE9678" w14:textId="01387D07" w:rsidR="004D457F" w:rsidRDefault="00D5440B" w:rsidP="0042207C">
            <w:pPr>
              <w:rPr>
                <w:b/>
                <w:bCs/>
              </w:rPr>
            </w:pPr>
            <w:r>
              <w:rPr>
                <w:b/>
                <w:bCs/>
              </w:rPr>
              <w:t>10</w:t>
            </w:r>
            <w:r w:rsidR="004D457F">
              <w:rPr>
                <w:b/>
                <w:bCs/>
              </w:rPr>
              <w:t>%</w:t>
            </w:r>
          </w:p>
        </w:tc>
        <w:tc>
          <w:tcPr>
            <w:tcW w:w="1530" w:type="dxa"/>
            <w:tcBorders>
              <w:bottom w:val="single" w:sz="4" w:space="0" w:color="auto"/>
            </w:tcBorders>
          </w:tcPr>
          <w:p w14:paraId="786F38E8" w14:textId="77777777" w:rsidR="004D457F" w:rsidRDefault="004D457F" w:rsidP="0042207C">
            <w:pPr>
              <w:rPr>
                <w:b/>
                <w:bCs/>
              </w:rPr>
            </w:pPr>
            <w:r>
              <w:rPr>
                <w:b/>
                <w:bCs/>
              </w:rPr>
              <w:t>2.0</w:t>
            </w:r>
          </w:p>
        </w:tc>
        <w:tc>
          <w:tcPr>
            <w:tcW w:w="1440" w:type="dxa"/>
            <w:tcBorders>
              <w:bottom w:val="single" w:sz="4" w:space="0" w:color="auto"/>
            </w:tcBorders>
          </w:tcPr>
          <w:p w14:paraId="5DE708C7" w14:textId="77777777" w:rsidR="004D457F" w:rsidRDefault="004D457F" w:rsidP="0042207C">
            <w:pPr>
              <w:rPr>
                <w:b/>
                <w:bCs/>
              </w:rPr>
            </w:pPr>
            <w:r>
              <w:rPr>
                <w:b/>
                <w:bCs/>
              </w:rPr>
              <w:t>1,340</w:t>
            </w:r>
          </w:p>
        </w:tc>
        <w:tc>
          <w:tcPr>
            <w:tcW w:w="1440" w:type="dxa"/>
            <w:tcBorders>
              <w:bottom w:val="single" w:sz="4" w:space="0" w:color="auto"/>
            </w:tcBorders>
          </w:tcPr>
          <w:p w14:paraId="034894BC" w14:textId="77777777" w:rsidR="004D457F" w:rsidRDefault="004D457F" w:rsidP="0042207C">
            <w:pPr>
              <w:rPr>
                <w:b/>
                <w:bCs/>
              </w:rPr>
            </w:pPr>
            <w:r>
              <w:rPr>
                <w:b/>
                <w:bCs/>
              </w:rPr>
              <w:t>2,680</w:t>
            </w:r>
          </w:p>
        </w:tc>
        <w:tc>
          <w:tcPr>
            <w:tcW w:w="1710" w:type="dxa"/>
            <w:tcBorders>
              <w:bottom w:val="single" w:sz="4" w:space="0" w:color="auto"/>
            </w:tcBorders>
          </w:tcPr>
          <w:p w14:paraId="127EACFE" w14:textId="77777777" w:rsidR="004D457F" w:rsidRDefault="004D457F" w:rsidP="0042207C">
            <w:pPr>
              <w:rPr>
                <w:b/>
                <w:bCs/>
              </w:rPr>
            </w:pPr>
            <w:r>
              <w:rPr>
                <w:b/>
                <w:bCs/>
              </w:rPr>
              <w:t>4,020</w:t>
            </w:r>
          </w:p>
        </w:tc>
      </w:tr>
    </w:tbl>
    <w:p w14:paraId="64BB48E3" w14:textId="79DC9430" w:rsidR="00515852" w:rsidRDefault="00515852" w:rsidP="0042207C">
      <w:pPr>
        <w:rPr>
          <w:sz w:val="20"/>
          <w:szCs w:val="20"/>
        </w:rPr>
      </w:pPr>
      <w:r w:rsidRPr="00515852">
        <w:rPr>
          <w:bCs/>
          <w:sz w:val="20"/>
          <w:szCs w:val="20"/>
        </w:rPr>
        <w:t>*Assumes an event size distribution of 15 small events (</w:t>
      </w:r>
      <w:r w:rsidR="004D457F">
        <w:rPr>
          <w:bCs/>
          <w:sz w:val="20"/>
          <w:szCs w:val="20"/>
        </w:rPr>
        <w:t xml:space="preserve">at least </w:t>
      </w:r>
      <w:r w:rsidR="009C4D38">
        <w:rPr>
          <w:bCs/>
          <w:sz w:val="20"/>
          <w:szCs w:val="20"/>
        </w:rPr>
        <w:t>6</w:t>
      </w:r>
      <w:r w:rsidR="004D457F">
        <w:rPr>
          <w:bCs/>
          <w:sz w:val="20"/>
          <w:szCs w:val="20"/>
        </w:rPr>
        <w:t xml:space="preserve"> affected</w:t>
      </w:r>
      <w:r w:rsidRPr="00515852">
        <w:rPr>
          <w:bCs/>
          <w:sz w:val="20"/>
          <w:szCs w:val="20"/>
        </w:rPr>
        <w:t xml:space="preserve"> households</w:t>
      </w:r>
      <w:r w:rsidR="004D457F">
        <w:rPr>
          <w:bCs/>
          <w:sz w:val="20"/>
          <w:szCs w:val="20"/>
        </w:rPr>
        <w:t xml:space="preserve"> respond</w:t>
      </w:r>
      <w:r w:rsidRPr="00515852">
        <w:rPr>
          <w:bCs/>
          <w:sz w:val="20"/>
          <w:szCs w:val="20"/>
        </w:rPr>
        <w:t xml:space="preserve">), </w:t>
      </w:r>
      <w:r w:rsidR="009C4D38">
        <w:rPr>
          <w:sz w:val="20"/>
          <w:szCs w:val="20"/>
        </w:rPr>
        <w:t>35 medium events (</w:t>
      </w:r>
      <w:r w:rsidR="004D457F">
        <w:rPr>
          <w:sz w:val="20"/>
          <w:szCs w:val="20"/>
        </w:rPr>
        <w:t xml:space="preserve">at least </w:t>
      </w:r>
      <w:r w:rsidR="009C4D38">
        <w:rPr>
          <w:sz w:val="20"/>
          <w:szCs w:val="20"/>
        </w:rPr>
        <w:t>22</w:t>
      </w:r>
      <w:r w:rsidR="004D457F">
        <w:rPr>
          <w:sz w:val="20"/>
          <w:szCs w:val="20"/>
        </w:rPr>
        <w:t xml:space="preserve"> affected</w:t>
      </w:r>
      <w:r w:rsidRPr="00515852">
        <w:rPr>
          <w:sz w:val="20"/>
          <w:szCs w:val="20"/>
        </w:rPr>
        <w:t xml:space="preserve"> households</w:t>
      </w:r>
      <w:r w:rsidR="004D457F">
        <w:rPr>
          <w:sz w:val="20"/>
          <w:szCs w:val="20"/>
        </w:rPr>
        <w:t xml:space="preserve"> respond</w:t>
      </w:r>
      <w:r w:rsidRPr="00515852">
        <w:rPr>
          <w:sz w:val="20"/>
          <w:szCs w:val="20"/>
        </w:rPr>
        <w:t>), a</w:t>
      </w:r>
      <w:r w:rsidR="009C4D38">
        <w:rPr>
          <w:sz w:val="20"/>
          <w:szCs w:val="20"/>
        </w:rPr>
        <w:t>nd 15 large events (</w:t>
      </w:r>
      <w:r w:rsidR="004D457F">
        <w:rPr>
          <w:sz w:val="20"/>
          <w:szCs w:val="20"/>
        </w:rPr>
        <w:t xml:space="preserve">at least </w:t>
      </w:r>
      <w:r w:rsidR="009C4D38">
        <w:rPr>
          <w:sz w:val="20"/>
          <w:szCs w:val="20"/>
        </w:rPr>
        <w:t>32</w:t>
      </w:r>
      <w:r w:rsidR="004D457F">
        <w:rPr>
          <w:sz w:val="20"/>
          <w:szCs w:val="20"/>
        </w:rPr>
        <w:t xml:space="preserve"> affected</w:t>
      </w:r>
      <w:r w:rsidRPr="00515852">
        <w:rPr>
          <w:sz w:val="20"/>
          <w:szCs w:val="20"/>
        </w:rPr>
        <w:t xml:space="preserve"> households</w:t>
      </w:r>
      <w:r w:rsidR="004D457F">
        <w:rPr>
          <w:sz w:val="20"/>
          <w:szCs w:val="20"/>
        </w:rPr>
        <w:t xml:space="preserve"> respond</w:t>
      </w:r>
      <w:r w:rsidRPr="00515852">
        <w:rPr>
          <w:sz w:val="20"/>
          <w:szCs w:val="20"/>
        </w:rPr>
        <w:t>)</w:t>
      </w:r>
      <w:r w:rsidR="00943B98">
        <w:rPr>
          <w:sz w:val="20"/>
          <w:szCs w:val="20"/>
        </w:rPr>
        <w:t xml:space="preserve"> for the multi-site study</w:t>
      </w:r>
      <w:r w:rsidR="00C732B5">
        <w:rPr>
          <w:sz w:val="20"/>
          <w:szCs w:val="20"/>
        </w:rPr>
        <w:t>;</w:t>
      </w:r>
      <w:r>
        <w:rPr>
          <w:sz w:val="20"/>
          <w:szCs w:val="20"/>
        </w:rPr>
        <w:t xml:space="preserve"> Assumes 2:1 sampling of unexposed to exposed households</w:t>
      </w:r>
      <w:r w:rsidR="00D5440B">
        <w:rPr>
          <w:sz w:val="20"/>
          <w:szCs w:val="20"/>
        </w:rPr>
        <w:t>, and a similar proportion of responding households in the unexposed areas</w:t>
      </w:r>
      <w:r>
        <w:rPr>
          <w:sz w:val="20"/>
          <w:szCs w:val="20"/>
        </w:rPr>
        <w:t xml:space="preserve">. </w:t>
      </w:r>
    </w:p>
    <w:p w14:paraId="7FE81FB3" w14:textId="77777777" w:rsidR="00FB120D" w:rsidRPr="009C4D38" w:rsidRDefault="00FB120D" w:rsidP="0042207C">
      <w:pPr>
        <w:rPr>
          <w:bCs/>
          <w:sz w:val="20"/>
          <w:szCs w:val="20"/>
        </w:rPr>
      </w:pPr>
    </w:p>
    <w:p w14:paraId="0715242C" w14:textId="293EA650" w:rsidR="00901EC9" w:rsidRDefault="0042207C" w:rsidP="0042207C">
      <w:r w:rsidRPr="007F7B1D">
        <w:t xml:space="preserve">If we recruit </w:t>
      </w:r>
      <w:r w:rsidR="004B4C9E">
        <w:t>five</w:t>
      </w:r>
      <w:r w:rsidR="007352D1">
        <w:t xml:space="preserve"> </w:t>
      </w:r>
      <w:r w:rsidRPr="007F7B1D">
        <w:t>utilities</w:t>
      </w:r>
      <w:r w:rsidR="003E30D5">
        <w:t xml:space="preserve"> for the multi-site study</w:t>
      </w:r>
      <w:r w:rsidRPr="007F7B1D">
        <w:t>, we would need, on average, approximately one low pressure event</w:t>
      </w:r>
      <w:r w:rsidR="00B24B23">
        <w:t>s</w:t>
      </w:r>
      <w:r w:rsidRPr="007F7B1D">
        <w:t xml:space="preserve"> per month per utility</w:t>
      </w:r>
      <w:r w:rsidR="00150B3D">
        <w:t xml:space="preserve">. </w:t>
      </w:r>
      <w:r w:rsidR="00150B3D">
        <w:rPr>
          <w:rFonts w:cstheme="minorHAnsi"/>
          <w:szCs w:val="24"/>
        </w:rPr>
        <w:t xml:space="preserve">However, </w:t>
      </w:r>
      <w:r w:rsidR="00150B3D" w:rsidRPr="00374382">
        <w:rPr>
          <w:rFonts w:cstheme="minorHAnsi"/>
          <w:szCs w:val="24"/>
        </w:rPr>
        <w:t xml:space="preserve">many low pressure events affect smaller numbers of households, </w:t>
      </w:r>
      <w:r w:rsidR="00150B3D">
        <w:rPr>
          <w:rFonts w:cstheme="minorHAnsi"/>
          <w:szCs w:val="24"/>
        </w:rPr>
        <w:t>thus</w:t>
      </w:r>
      <w:r w:rsidR="00150B3D" w:rsidRPr="00374382">
        <w:rPr>
          <w:rFonts w:cstheme="minorHAnsi"/>
          <w:szCs w:val="24"/>
        </w:rPr>
        <w:t xml:space="preserve"> the number of households invited to participate will vary based on the number of utility connections affected</w:t>
      </w:r>
      <w:r w:rsidR="00150B3D">
        <w:rPr>
          <w:rFonts w:cstheme="minorHAnsi"/>
          <w:szCs w:val="24"/>
        </w:rPr>
        <w:t xml:space="preserve"> (Table B.1.3)</w:t>
      </w:r>
      <w:r w:rsidR="00150B3D" w:rsidRPr="00B86F88">
        <w:rPr>
          <w:rFonts w:cstheme="minorHAnsi"/>
          <w:szCs w:val="24"/>
        </w:rPr>
        <w:t>.</w:t>
      </w:r>
      <w:r w:rsidR="00150B3D">
        <w:rPr>
          <w:rFonts w:cstheme="minorHAnsi"/>
          <w:szCs w:val="24"/>
        </w:rPr>
        <w:t xml:space="preserve"> Using the estimated event size distribution, which was informed by our pilot utility, we estimate an approximate sample size of </w:t>
      </w:r>
      <w:r w:rsidR="009C4D38">
        <w:rPr>
          <w:rFonts w:cstheme="minorHAnsi"/>
          <w:szCs w:val="24"/>
        </w:rPr>
        <w:t>4,050</w:t>
      </w:r>
      <w:r w:rsidR="00C732B5">
        <w:rPr>
          <w:rFonts w:cstheme="minorHAnsi"/>
          <w:szCs w:val="24"/>
        </w:rPr>
        <w:t xml:space="preserve"> households in the multi-site</w:t>
      </w:r>
      <w:r w:rsidR="00150B3D">
        <w:rPr>
          <w:rFonts w:cstheme="minorHAnsi"/>
          <w:szCs w:val="24"/>
        </w:rPr>
        <w:t xml:space="preserve"> study</w:t>
      </w:r>
      <w:r w:rsidR="00C732B5">
        <w:rPr>
          <w:rFonts w:cstheme="minorHAnsi"/>
          <w:szCs w:val="24"/>
        </w:rPr>
        <w:t xml:space="preserve"> </w:t>
      </w:r>
      <w:r w:rsidR="00150B3D">
        <w:rPr>
          <w:rFonts w:cstheme="minorHAnsi"/>
          <w:szCs w:val="24"/>
        </w:rPr>
        <w:t>(Table B.1.3).</w:t>
      </w:r>
      <w:r w:rsidR="00150B3D" w:rsidRPr="00B86F88">
        <w:rPr>
          <w:rFonts w:cstheme="minorHAnsi"/>
          <w:szCs w:val="24"/>
        </w:rPr>
        <w:t xml:space="preserve"> </w:t>
      </w:r>
      <w:r w:rsidRPr="007E0407">
        <w:t xml:space="preserve">Smaller utilities may have less than one event per month; however, we should still be able to achieve </w:t>
      </w:r>
      <w:r w:rsidRPr="00374382">
        <w:t>a minimum</w:t>
      </w:r>
      <w:r w:rsidRPr="007E0407">
        <w:t xml:space="preserve"> sample size of </w:t>
      </w:r>
      <w:r w:rsidR="009C4D38">
        <w:t xml:space="preserve">4,020 </w:t>
      </w:r>
      <w:r w:rsidR="00FB120D">
        <w:t>households</w:t>
      </w:r>
      <w:r w:rsidR="00FB120D" w:rsidRPr="007E0407">
        <w:t xml:space="preserve"> </w:t>
      </w:r>
      <w:r w:rsidRPr="007E0407">
        <w:t>because we anticipate that larger utilities will report more than one event per month (Table B.1.4).</w:t>
      </w:r>
    </w:p>
    <w:p w14:paraId="51194F20" w14:textId="77777777" w:rsidR="00FB120D" w:rsidRDefault="00FB120D" w:rsidP="0042207C"/>
    <w:p w14:paraId="52FD5FBB" w14:textId="77777777" w:rsidR="00075BCE" w:rsidRPr="00BD5AC5" w:rsidRDefault="00075BCE" w:rsidP="00BD5AC5">
      <w:pPr>
        <w:ind w:left="-720"/>
        <w:rPr>
          <w:b/>
        </w:rPr>
      </w:pPr>
      <w:r w:rsidRPr="00BD5AC5">
        <w:rPr>
          <w:b/>
        </w:rPr>
        <w:t xml:space="preserve">Table B.1.3 – </w:t>
      </w:r>
      <w:r w:rsidR="00943B98" w:rsidRPr="00BD5AC5">
        <w:rPr>
          <w:b/>
        </w:rPr>
        <w:t>Distribution of low-pressure event size and number of expected enrolled households.</w:t>
      </w:r>
    </w:p>
    <w:tbl>
      <w:tblPr>
        <w:tblStyle w:val="TableGrid"/>
        <w:tblW w:w="9720" w:type="dxa"/>
        <w:tblInd w:w="-612" w:type="dxa"/>
        <w:tblLayout w:type="fixed"/>
        <w:tblLook w:val="04A0" w:firstRow="1" w:lastRow="0" w:firstColumn="1" w:lastColumn="0" w:noHBand="0" w:noVBand="1"/>
      </w:tblPr>
      <w:tblGrid>
        <w:gridCol w:w="1620"/>
        <w:gridCol w:w="270"/>
        <w:gridCol w:w="810"/>
        <w:gridCol w:w="1440"/>
        <w:gridCol w:w="1440"/>
        <w:gridCol w:w="1350"/>
        <w:gridCol w:w="1350"/>
        <w:gridCol w:w="1440"/>
      </w:tblGrid>
      <w:tr w:rsidR="00756D46" w:rsidRPr="009F66AC" w14:paraId="4795E1A7" w14:textId="77777777" w:rsidTr="009C4D38">
        <w:tc>
          <w:tcPr>
            <w:tcW w:w="1620" w:type="dxa"/>
            <w:tcBorders>
              <w:top w:val="nil"/>
              <w:left w:val="nil"/>
              <w:bottom w:val="single" w:sz="4" w:space="0" w:color="auto"/>
              <w:right w:val="nil"/>
            </w:tcBorders>
          </w:tcPr>
          <w:p w14:paraId="5D4E725B" w14:textId="77777777" w:rsidR="00991E75" w:rsidRPr="009F66AC" w:rsidRDefault="00991E75" w:rsidP="009F66AC">
            <w:pPr>
              <w:jc w:val="center"/>
              <w:rPr>
                <w:b/>
                <w:szCs w:val="24"/>
              </w:rPr>
            </w:pPr>
            <w:r w:rsidRPr="009F66AC">
              <w:rPr>
                <w:b/>
                <w:szCs w:val="24"/>
              </w:rPr>
              <w:t>Event type</w:t>
            </w:r>
          </w:p>
        </w:tc>
        <w:tc>
          <w:tcPr>
            <w:tcW w:w="1080" w:type="dxa"/>
            <w:gridSpan w:val="2"/>
            <w:tcBorders>
              <w:top w:val="nil"/>
              <w:left w:val="nil"/>
              <w:bottom w:val="single" w:sz="4" w:space="0" w:color="auto"/>
              <w:right w:val="nil"/>
            </w:tcBorders>
          </w:tcPr>
          <w:p w14:paraId="2585FCB4" w14:textId="77777777" w:rsidR="00991E75" w:rsidRPr="009F66AC" w:rsidRDefault="00991E75" w:rsidP="009F66AC">
            <w:pPr>
              <w:jc w:val="center"/>
              <w:rPr>
                <w:b/>
                <w:szCs w:val="24"/>
              </w:rPr>
            </w:pPr>
            <w:r w:rsidRPr="009F66AC">
              <w:rPr>
                <w:b/>
                <w:szCs w:val="24"/>
              </w:rPr>
              <w:t>Number of events</w:t>
            </w:r>
          </w:p>
        </w:tc>
        <w:tc>
          <w:tcPr>
            <w:tcW w:w="1440" w:type="dxa"/>
            <w:tcBorders>
              <w:top w:val="nil"/>
              <w:left w:val="nil"/>
              <w:bottom w:val="single" w:sz="4" w:space="0" w:color="auto"/>
              <w:right w:val="nil"/>
            </w:tcBorders>
          </w:tcPr>
          <w:p w14:paraId="203C5198" w14:textId="77777777" w:rsidR="00991E75" w:rsidRPr="009F66AC" w:rsidRDefault="00991E75" w:rsidP="009F66AC">
            <w:pPr>
              <w:jc w:val="center"/>
              <w:rPr>
                <w:b/>
                <w:szCs w:val="24"/>
              </w:rPr>
            </w:pPr>
            <w:r w:rsidRPr="009F66AC">
              <w:rPr>
                <w:b/>
                <w:szCs w:val="24"/>
              </w:rPr>
              <w:t>Exposed households/event</w:t>
            </w:r>
          </w:p>
        </w:tc>
        <w:tc>
          <w:tcPr>
            <w:tcW w:w="1440" w:type="dxa"/>
            <w:tcBorders>
              <w:top w:val="nil"/>
              <w:left w:val="nil"/>
              <w:bottom w:val="single" w:sz="4" w:space="0" w:color="auto"/>
              <w:right w:val="nil"/>
            </w:tcBorders>
          </w:tcPr>
          <w:p w14:paraId="451303A5" w14:textId="77777777" w:rsidR="00991E75" w:rsidRPr="009F66AC" w:rsidRDefault="00991E75" w:rsidP="009F66AC">
            <w:pPr>
              <w:jc w:val="center"/>
              <w:rPr>
                <w:b/>
                <w:szCs w:val="24"/>
              </w:rPr>
            </w:pPr>
            <w:r w:rsidRPr="009F66AC">
              <w:rPr>
                <w:b/>
                <w:szCs w:val="24"/>
              </w:rPr>
              <w:t>Unexposed households/event</w:t>
            </w:r>
          </w:p>
        </w:tc>
        <w:tc>
          <w:tcPr>
            <w:tcW w:w="1350" w:type="dxa"/>
            <w:tcBorders>
              <w:top w:val="nil"/>
              <w:left w:val="nil"/>
              <w:bottom w:val="single" w:sz="4" w:space="0" w:color="auto"/>
              <w:right w:val="nil"/>
            </w:tcBorders>
          </w:tcPr>
          <w:p w14:paraId="057F991A" w14:textId="77777777" w:rsidR="00991E75" w:rsidRPr="009F66AC" w:rsidRDefault="00991E75" w:rsidP="009F66AC">
            <w:pPr>
              <w:jc w:val="center"/>
              <w:rPr>
                <w:b/>
                <w:szCs w:val="24"/>
              </w:rPr>
            </w:pPr>
            <w:r w:rsidRPr="009F66AC">
              <w:rPr>
                <w:b/>
                <w:szCs w:val="24"/>
              </w:rPr>
              <w:t>Total exposed households</w:t>
            </w:r>
          </w:p>
        </w:tc>
        <w:tc>
          <w:tcPr>
            <w:tcW w:w="1350" w:type="dxa"/>
            <w:tcBorders>
              <w:top w:val="nil"/>
              <w:left w:val="nil"/>
              <w:bottom w:val="single" w:sz="4" w:space="0" w:color="auto"/>
              <w:right w:val="nil"/>
            </w:tcBorders>
          </w:tcPr>
          <w:p w14:paraId="0B212ADA" w14:textId="77777777" w:rsidR="00991E75" w:rsidRPr="009F66AC" w:rsidRDefault="00991E75" w:rsidP="009F66AC">
            <w:pPr>
              <w:jc w:val="center"/>
              <w:rPr>
                <w:b/>
                <w:szCs w:val="24"/>
              </w:rPr>
            </w:pPr>
            <w:r w:rsidRPr="009F66AC">
              <w:rPr>
                <w:b/>
                <w:szCs w:val="24"/>
              </w:rPr>
              <w:t>Total unexposed households</w:t>
            </w:r>
          </w:p>
        </w:tc>
        <w:tc>
          <w:tcPr>
            <w:tcW w:w="1440" w:type="dxa"/>
            <w:tcBorders>
              <w:top w:val="nil"/>
              <w:left w:val="nil"/>
              <w:bottom w:val="single" w:sz="4" w:space="0" w:color="auto"/>
              <w:right w:val="nil"/>
            </w:tcBorders>
          </w:tcPr>
          <w:p w14:paraId="1275ADB6" w14:textId="77777777" w:rsidR="00991E75" w:rsidRPr="009F66AC" w:rsidRDefault="00991E75" w:rsidP="009F66AC">
            <w:pPr>
              <w:jc w:val="center"/>
              <w:rPr>
                <w:b/>
                <w:szCs w:val="24"/>
              </w:rPr>
            </w:pPr>
            <w:r w:rsidRPr="009F66AC">
              <w:rPr>
                <w:b/>
                <w:szCs w:val="24"/>
              </w:rPr>
              <w:t>Total households</w:t>
            </w:r>
          </w:p>
        </w:tc>
      </w:tr>
      <w:tr w:rsidR="00C14C18" w:rsidRPr="009F66AC" w14:paraId="53A2423D" w14:textId="77777777" w:rsidTr="009F66AC">
        <w:tc>
          <w:tcPr>
            <w:tcW w:w="9720" w:type="dxa"/>
            <w:gridSpan w:val="8"/>
            <w:tcBorders>
              <w:top w:val="single" w:sz="4" w:space="0" w:color="auto"/>
              <w:left w:val="nil"/>
              <w:bottom w:val="nil"/>
              <w:right w:val="nil"/>
            </w:tcBorders>
          </w:tcPr>
          <w:p w14:paraId="5BFEA8E5" w14:textId="77777777" w:rsidR="00C14C18" w:rsidRPr="009F66AC" w:rsidRDefault="00C14C18" w:rsidP="00C14C18">
            <w:pPr>
              <w:rPr>
                <w:szCs w:val="24"/>
              </w:rPr>
            </w:pPr>
            <w:r w:rsidRPr="009F66AC">
              <w:rPr>
                <w:szCs w:val="24"/>
              </w:rPr>
              <w:t>Multi-site study:</w:t>
            </w:r>
          </w:p>
        </w:tc>
      </w:tr>
      <w:tr w:rsidR="00756D46" w:rsidRPr="009F66AC" w14:paraId="702EACC8" w14:textId="77777777" w:rsidTr="009C4D38">
        <w:trPr>
          <w:trHeight w:val="63"/>
        </w:trPr>
        <w:tc>
          <w:tcPr>
            <w:tcW w:w="1890" w:type="dxa"/>
            <w:gridSpan w:val="2"/>
            <w:tcBorders>
              <w:top w:val="nil"/>
              <w:left w:val="nil"/>
              <w:bottom w:val="nil"/>
              <w:right w:val="nil"/>
            </w:tcBorders>
          </w:tcPr>
          <w:p w14:paraId="12D41154" w14:textId="77777777" w:rsidR="00756D46" w:rsidRPr="009F66AC" w:rsidRDefault="00756D46" w:rsidP="0042207C">
            <w:pPr>
              <w:rPr>
                <w:szCs w:val="24"/>
              </w:rPr>
            </w:pPr>
          </w:p>
        </w:tc>
        <w:tc>
          <w:tcPr>
            <w:tcW w:w="810" w:type="dxa"/>
            <w:tcBorders>
              <w:top w:val="nil"/>
              <w:left w:val="nil"/>
              <w:bottom w:val="nil"/>
              <w:right w:val="nil"/>
            </w:tcBorders>
          </w:tcPr>
          <w:p w14:paraId="6CA97DF5" w14:textId="77777777" w:rsidR="00756D46" w:rsidRPr="009F66AC" w:rsidRDefault="00756D46" w:rsidP="00991E75">
            <w:pPr>
              <w:jc w:val="right"/>
              <w:rPr>
                <w:szCs w:val="24"/>
              </w:rPr>
            </w:pPr>
          </w:p>
        </w:tc>
        <w:tc>
          <w:tcPr>
            <w:tcW w:w="1440" w:type="dxa"/>
            <w:tcBorders>
              <w:top w:val="nil"/>
              <w:left w:val="nil"/>
              <w:bottom w:val="nil"/>
              <w:right w:val="nil"/>
            </w:tcBorders>
          </w:tcPr>
          <w:p w14:paraId="3D5213EB" w14:textId="77777777" w:rsidR="00756D46" w:rsidRPr="009F66AC" w:rsidRDefault="00756D46" w:rsidP="00991E75">
            <w:pPr>
              <w:jc w:val="right"/>
              <w:rPr>
                <w:szCs w:val="24"/>
              </w:rPr>
            </w:pPr>
          </w:p>
        </w:tc>
        <w:tc>
          <w:tcPr>
            <w:tcW w:w="1440" w:type="dxa"/>
            <w:tcBorders>
              <w:top w:val="nil"/>
              <w:left w:val="nil"/>
              <w:bottom w:val="nil"/>
              <w:right w:val="nil"/>
            </w:tcBorders>
          </w:tcPr>
          <w:p w14:paraId="10D2F837" w14:textId="77777777" w:rsidR="00756D46" w:rsidRPr="009F66AC" w:rsidRDefault="00756D46" w:rsidP="00991E75">
            <w:pPr>
              <w:jc w:val="right"/>
              <w:rPr>
                <w:szCs w:val="24"/>
              </w:rPr>
            </w:pPr>
          </w:p>
        </w:tc>
        <w:tc>
          <w:tcPr>
            <w:tcW w:w="1350" w:type="dxa"/>
            <w:tcBorders>
              <w:top w:val="nil"/>
              <w:left w:val="nil"/>
              <w:bottom w:val="nil"/>
              <w:right w:val="nil"/>
            </w:tcBorders>
          </w:tcPr>
          <w:p w14:paraId="0889014B" w14:textId="77777777" w:rsidR="00756D46" w:rsidRPr="009F66AC" w:rsidRDefault="00756D46" w:rsidP="00991E75">
            <w:pPr>
              <w:jc w:val="right"/>
              <w:rPr>
                <w:szCs w:val="24"/>
              </w:rPr>
            </w:pPr>
          </w:p>
        </w:tc>
        <w:tc>
          <w:tcPr>
            <w:tcW w:w="1350" w:type="dxa"/>
            <w:tcBorders>
              <w:top w:val="nil"/>
              <w:left w:val="nil"/>
              <w:bottom w:val="nil"/>
              <w:right w:val="nil"/>
            </w:tcBorders>
          </w:tcPr>
          <w:p w14:paraId="0B034D47" w14:textId="77777777" w:rsidR="00756D46" w:rsidRPr="009F66AC" w:rsidRDefault="00756D46" w:rsidP="00991E75">
            <w:pPr>
              <w:jc w:val="right"/>
              <w:rPr>
                <w:szCs w:val="24"/>
              </w:rPr>
            </w:pPr>
          </w:p>
        </w:tc>
        <w:tc>
          <w:tcPr>
            <w:tcW w:w="1440" w:type="dxa"/>
            <w:tcBorders>
              <w:top w:val="nil"/>
              <w:left w:val="nil"/>
              <w:bottom w:val="nil"/>
              <w:right w:val="nil"/>
            </w:tcBorders>
          </w:tcPr>
          <w:p w14:paraId="18B844A8" w14:textId="77777777" w:rsidR="00756D46" w:rsidRPr="009F66AC" w:rsidRDefault="00756D46" w:rsidP="00991E75">
            <w:pPr>
              <w:jc w:val="right"/>
              <w:rPr>
                <w:szCs w:val="24"/>
              </w:rPr>
            </w:pPr>
          </w:p>
        </w:tc>
      </w:tr>
      <w:tr w:rsidR="00756D46" w:rsidRPr="009F66AC" w14:paraId="739230FC" w14:textId="77777777" w:rsidTr="009C4D38">
        <w:tc>
          <w:tcPr>
            <w:tcW w:w="1890" w:type="dxa"/>
            <w:gridSpan w:val="2"/>
            <w:tcBorders>
              <w:top w:val="nil"/>
              <w:left w:val="nil"/>
              <w:bottom w:val="nil"/>
              <w:right w:val="nil"/>
            </w:tcBorders>
          </w:tcPr>
          <w:p w14:paraId="49A766FF" w14:textId="77777777" w:rsidR="00991E75" w:rsidRPr="009F66AC" w:rsidRDefault="00C14C18" w:rsidP="0042207C">
            <w:pPr>
              <w:rPr>
                <w:szCs w:val="24"/>
              </w:rPr>
            </w:pPr>
            <w:r w:rsidRPr="009F66AC">
              <w:rPr>
                <w:szCs w:val="24"/>
              </w:rPr>
              <w:t xml:space="preserve">  </w:t>
            </w:r>
            <w:r w:rsidR="00991E75" w:rsidRPr="009F66AC">
              <w:rPr>
                <w:szCs w:val="24"/>
              </w:rPr>
              <w:t>Small</w:t>
            </w:r>
          </w:p>
        </w:tc>
        <w:tc>
          <w:tcPr>
            <w:tcW w:w="810" w:type="dxa"/>
            <w:tcBorders>
              <w:top w:val="nil"/>
              <w:left w:val="nil"/>
              <w:bottom w:val="nil"/>
              <w:right w:val="nil"/>
            </w:tcBorders>
          </w:tcPr>
          <w:p w14:paraId="362725AB" w14:textId="77777777" w:rsidR="00991E75" w:rsidRPr="009F66AC" w:rsidRDefault="00991E75" w:rsidP="009F66AC">
            <w:pPr>
              <w:jc w:val="right"/>
              <w:rPr>
                <w:szCs w:val="24"/>
              </w:rPr>
            </w:pPr>
            <w:r w:rsidRPr="009F66AC">
              <w:rPr>
                <w:szCs w:val="24"/>
              </w:rPr>
              <w:t>1</w:t>
            </w:r>
            <w:r w:rsidR="0020381E">
              <w:rPr>
                <w:szCs w:val="24"/>
              </w:rPr>
              <w:t>5</w:t>
            </w:r>
          </w:p>
        </w:tc>
        <w:tc>
          <w:tcPr>
            <w:tcW w:w="1440" w:type="dxa"/>
            <w:tcBorders>
              <w:top w:val="nil"/>
              <w:left w:val="nil"/>
              <w:bottom w:val="nil"/>
              <w:right w:val="nil"/>
            </w:tcBorders>
          </w:tcPr>
          <w:p w14:paraId="16DCF394" w14:textId="77777777" w:rsidR="00991E75" w:rsidRPr="009F66AC" w:rsidRDefault="009C4D38" w:rsidP="00991E75">
            <w:pPr>
              <w:jc w:val="right"/>
              <w:rPr>
                <w:szCs w:val="24"/>
              </w:rPr>
            </w:pPr>
            <w:r>
              <w:rPr>
                <w:szCs w:val="24"/>
              </w:rPr>
              <w:t>6</w:t>
            </w:r>
          </w:p>
        </w:tc>
        <w:tc>
          <w:tcPr>
            <w:tcW w:w="1440" w:type="dxa"/>
            <w:tcBorders>
              <w:top w:val="nil"/>
              <w:left w:val="nil"/>
              <w:bottom w:val="nil"/>
              <w:right w:val="nil"/>
            </w:tcBorders>
          </w:tcPr>
          <w:p w14:paraId="3579422B" w14:textId="77777777" w:rsidR="00991E75" w:rsidRPr="009F66AC" w:rsidRDefault="009C4D38" w:rsidP="00991E75">
            <w:pPr>
              <w:jc w:val="right"/>
              <w:rPr>
                <w:szCs w:val="24"/>
              </w:rPr>
            </w:pPr>
            <w:r>
              <w:rPr>
                <w:szCs w:val="24"/>
              </w:rPr>
              <w:t>12</w:t>
            </w:r>
          </w:p>
        </w:tc>
        <w:tc>
          <w:tcPr>
            <w:tcW w:w="1350" w:type="dxa"/>
            <w:tcBorders>
              <w:top w:val="nil"/>
              <w:left w:val="nil"/>
              <w:bottom w:val="nil"/>
              <w:right w:val="nil"/>
            </w:tcBorders>
            <w:shd w:val="clear" w:color="auto" w:fill="FFFFFF" w:themeFill="background1"/>
          </w:tcPr>
          <w:p w14:paraId="07EC3774" w14:textId="77777777" w:rsidR="00991E75" w:rsidRPr="009F66AC" w:rsidRDefault="009C4D38" w:rsidP="00991E75">
            <w:pPr>
              <w:jc w:val="right"/>
              <w:rPr>
                <w:szCs w:val="24"/>
              </w:rPr>
            </w:pPr>
            <w:r>
              <w:rPr>
                <w:szCs w:val="24"/>
              </w:rPr>
              <w:t>90</w:t>
            </w:r>
          </w:p>
        </w:tc>
        <w:tc>
          <w:tcPr>
            <w:tcW w:w="1350" w:type="dxa"/>
            <w:tcBorders>
              <w:top w:val="nil"/>
              <w:left w:val="nil"/>
              <w:bottom w:val="nil"/>
              <w:right w:val="nil"/>
            </w:tcBorders>
            <w:shd w:val="clear" w:color="auto" w:fill="auto"/>
          </w:tcPr>
          <w:p w14:paraId="0C1809BA" w14:textId="77777777" w:rsidR="00991E75" w:rsidRPr="009F66AC" w:rsidRDefault="009C4D38" w:rsidP="009F66AC">
            <w:pPr>
              <w:jc w:val="right"/>
              <w:rPr>
                <w:szCs w:val="24"/>
              </w:rPr>
            </w:pPr>
            <w:r>
              <w:rPr>
                <w:szCs w:val="24"/>
              </w:rPr>
              <w:t>180</w:t>
            </w:r>
          </w:p>
        </w:tc>
        <w:tc>
          <w:tcPr>
            <w:tcW w:w="1440" w:type="dxa"/>
            <w:tcBorders>
              <w:top w:val="nil"/>
              <w:left w:val="nil"/>
              <w:bottom w:val="nil"/>
              <w:right w:val="nil"/>
            </w:tcBorders>
            <w:shd w:val="clear" w:color="auto" w:fill="auto"/>
          </w:tcPr>
          <w:p w14:paraId="1139DAF9" w14:textId="77777777" w:rsidR="00991E75" w:rsidRPr="009F66AC" w:rsidRDefault="009C4D38" w:rsidP="00991E75">
            <w:pPr>
              <w:jc w:val="right"/>
              <w:rPr>
                <w:szCs w:val="24"/>
              </w:rPr>
            </w:pPr>
            <w:r>
              <w:rPr>
                <w:szCs w:val="24"/>
              </w:rPr>
              <w:t>270</w:t>
            </w:r>
          </w:p>
        </w:tc>
      </w:tr>
      <w:tr w:rsidR="00756D46" w:rsidRPr="009F66AC" w14:paraId="70E5C7D0" w14:textId="77777777" w:rsidTr="009C4D38">
        <w:tc>
          <w:tcPr>
            <w:tcW w:w="1890" w:type="dxa"/>
            <w:gridSpan w:val="2"/>
            <w:tcBorders>
              <w:top w:val="nil"/>
              <w:left w:val="nil"/>
              <w:bottom w:val="nil"/>
              <w:right w:val="nil"/>
            </w:tcBorders>
          </w:tcPr>
          <w:p w14:paraId="4A6E2C08" w14:textId="77777777" w:rsidR="00991E75" w:rsidRPr="009F66AC" w:rsidRDefault="00C14C18" w:rsidP="0042207C">
            <w:pPr>
              <w:rPr>
                <w:szCs w:val="24"/>
              </w:rPr>
            </w:pPr>
            <w:r w:rsidRPr="009F66AC">
              <w:rPr>
                <w:szCs w:val="24"/>
              </w:rPr>
              <w:t xml:space="preserve">  </w:t>
            </w:r>
            <w:r w:rsidR="00991E75" w:rsidRPr="009F66AC">
              <w:rPr>
                <w:szCs w:val="24"/>
              </w:rPr>
              <w:t>Medium</w:t>
            </w:r>
          </w:p>
        </w:tc>
        <w:tc>
          <w:tcPr>
            <w:tcW w:w="810" w:type="dxa"/>
            <w:tcBorders>
              <w:top w:val="nil"/>
              <w:left w:val="nil"/>
              <w:bottom w:val="nil"/>
              <w:right w:val="nil"/>
            </w:tcBorders>
          </w:tcPr>
          <w:p w14:paraId="7F9C0BBD" w14:textId="77777777" w:rsidR="00991E75" w:rsidRPr="009F66AC" w:rsidRDefault="00301F5A" w:rsidP="00991E75">
            <w:pPr>
              <w:jc w:val="right"/>
              <w:rPr>
                <w:szCs w:val="24"/>
              </w:rPr>
            </w:pPr>
            <w:r w:rsidRPr="009F66AC">
              <w:rPr>
                <w:szCs w:val="24"/>
              </w:rPr>
              <w:t>3</w:t>
            </w:r>
            <w:r w:rsidR="0020381E">
              <w:rPr>
                <w:szCs w:val="24"/>
              </w:rPr>
              <w:t>5</w:t>
            </w:r>
          </w:p>
        </w:tc>
        <w:tc>
          <w:tcPr>
            <w:tcW w:w="1440" w:type="dxa"/>
            <w:tcBorders>
              <w:top w:val="nil"/>
              <w:left w:val="nil"/>
              <w:bottom w:val="nil"/>
              <w:right w:val="nil"/>
            </w:tcBorders>
          </w:tcPr>
          <w:p w14:paraId="207B53E3" w14:textId="77777777" w:rsidR="00991E75" w:rsidRPr="009F66AC" w:rsidRDefault="009C4D38" w:rsidP="00991E75">
            <w:pPr>
              <w:jc w:val="right"/>
              <w:rPr>
                <w:szCs w:val="24"/>
              </w:rPr>
            </w:pPr>
            <w:r>
              <w:rPr>
                <w:szCs w:val="24"/>
              </w:rPr>
              <w:t>22</w:t>
            </w:r>
          </w:p>
        </w:tc>
        <w:tc>
          <w:tcPr>
            <w:tcW w:w="1440" w:type="dxa"/>
            <w:tcBorders>
              <w:top w:val="nil"/>
              <w:left w:val="nil"/>
              <w:bottom w:val="nil"/>
              <w:right w:val="nil"/>
            </w:tcBorders>
          </w:tcPr>
          <w:p w14:paraId="364DF99E" w14:textId="77777777" w:rsidR="00991E75" w:rsidRPr="009F66AC" w:rsidRDefault="009C4D38" w:rsidP="00991E75">
            <w:pPr>
              <w:jc w:val="right"/>
              <w:rPr>
                <w:szCs w:val="24"/>
              </w:rPr>
            </w:pPr>
            <w:r>
              <w:rPr>
                <w:szCs w:val="24"/>
              </w:rPr>
              <w:t>44</w:t>
            </w:r>
          </w:p>
        </w:tc>
        <w:tc>
          <w:tcPr>
            <w:tcW w:w="1350" w:type="dxa"/>
            <w:tcBorders>
              <w:top w:val="nil"/>
              <w:left w:val="nil"/>
              <w:bottom w:val="nil"/>
              <w:right w:val="nil"/>
            </w:tcBorders>
            <w:shd w:val="clear" w:color="auto" w:fill="FFFFFF" w:themeFill="background1"/>
          </w:tcPr>
          <w:p w14:paraId="686DE72E" w14:textId="77777777" w:rsidR="00991E75" w:rsidRPr="009F66AC" w:rsidRDefault="009C4D38" w:rsidP="00991E75">
            <w:pPr>
              <w:jc w:val="right"/>
              <w:rPr>
                <w:szCs w:val="24"/>
              </w:rPr>
            </w:pPr>
            <w:r>
              <w:rPr>
                <w:szCs w:val="24"/>
              </w:rPr>
              <w:t>770</w:t>
            </w:r>
          </w:p>
        </w:tc>
        <w:tc>
          <w:tcPr>
            <w:tcW w:w="1350" w:type="dxa"/>
            <w:tcBorders>
              <w:top w:val="nil"/>
              <w:left w:val="nil"/>
              <w:bottom w:val="nil"/>
              <w:right w:val="nil"/>
            </w:tcBorders>
            <w:shd w:val="clear" w:color="auto" w:fill="auto"/>
          </w:tcPr>
          <w:p w14:paraId="5B4AC62C" w14:textId="77777777" w:rsidR="00991E75" w:rsidRPr="009F66AC" w:rsidRDefault="009C4D38" w:rsidP="00991E75">
            <w:pPr>
              <w:jc w:val="right"/>
              <w:rPr>
                <w:szCs w:val="24"/>
              </w:rPr>
            </w:pPr>
            <w:r>
              <w:rPr>
                <w:szCs w:val="24"/>
              </w:rPr>
              <w:t>1,540</w:t>
            </w:r>
          </w:p>
        </w:tc>
        <w:tc>
          <w:tcPr>
            <w:tcW w:w="1440" w:type="dxa"/>
            <w:tcBorders>
              <w:top w:val="nil"/>
              <w:left w:val="nil"/>
              <w:bottom w:val="nil"/>
              <w:right w:val="nil"/>
            </w:tcBorders>
            <w:shd w:val="clear" w:color="auto" w:fill="auto"/>
          </w:tcPr>
          <w:p w14:paraId="5EA1667E" w14:textId="77777777" w:rsidR="00991E75" w:rsidRPr="009F66AC" w:rsidRDefault="009C4D38" w:rsidP="00991E75">
            <w:pPr>
              <w:jc w:val="right"/>
              <w:rPr>
                <w:szCs w:val="24"/>
              </w:rPr>
            </w:pPr>
            <w:r>
              <w:rPr>
                <w:szCs w:val="24"/>
              </w:rPr>
              <w:t>2,310</w:t>
            </w:r>
          </w:p>
        </w:tc>
      </w:tr>
      <w:tr w:rsidR="00756D46" w:rsidRPr="009F66AC" w14:paraId="18B3FD54" w14:textId="77777777" w:rsidTr="009C4D38">
        <w:tc>
          <w:tcPr>
            <w:tcW w:w="1890" w:type="dxa"/>
            <w:gridSpan w:val="2"/>
            <w:tcBorders>
              <w:top w:val="nil"/>
              <w:left w:val="nil"/>
              <w:bottom w:val="nil"/>
              <w:right w:val="nil"/>
            </w:tcBorders>
          </w:tcPr>
          <w:p w14:paraId="3A2F60D0" w14:textId="77777777" w:rsidR="00991E75" w:rsidRPr="009F66AC" w:rsidRDefault="00C14C18" w:rsidP="0042207C">
            <w:pPr>
              <w:rPr>
                <w:szCs w:val="24"/>
              </w:rPr>
            </w:pPr>
            <w:r w:rsidRPr="009F66AC">
              <w:rPr>
                <w:szCs w:val="24"/>
              </w:rPr>
              <w:t xml:space="preserve">  </w:t>
            </w:r>
            <w:r w:rsidR="00991E75" w:rsidRPr="009F66AC">
              <w:rPr>
                <w:szCs w:val="24"/>
              </w:rPr>
              <w:t>Large</w:t>
            </w:r>
          </w:p>
        </w:tc>
        <w:tc>
          <w:tcPr>
            <w:tcW w:w="810" w:type="dxa"/>
            <w:tcBorders>
              <w:top w:val="nil"/>
              <w:left w:val="nil"/>
              <w:bottom w:val="nil"/>
              <w:right w:val="nil"/>
            </w:tcBorders>
          </w:tcPr>
          <w:p w14:paraId="46A1D4EB" w14:textId="77777777" w:rsidR="00991E75" w:rsidRPr="009F66AC" w:rsidRDefault="00301F5A" w:rsidP="00991E75">
            <w:pPr>
              <w:jc w:val="right"/>
              <w:rPr>
                <w:szCs w:val="24"/>
              </w:rPr>
            </w:pPr>
            <w:r w:rsidRPr="009F66AC">
              <w:rPr>
                <w:szCs w:val="24"/>
              </w:rPr>
              <w:t>1</w:t>
            </w:r>
            <w:r w:rsidR="0020381E">
              <w:rPr>
                <w:szCs w:val="24"/>
              </w:rPr>
              <w:t>5</w:t>
            </w:r>
          </w:p>
        </w:tc>
        <w:tc>
          <w:tcPr>
            <w:tcW w:w="1440" w:type="dxa"/>
            <w:tcBorders>
              <w:top w:val="nil"/>
              <w:left w:val="nil"/>
              <w:bottom w:val="nil"/>
              <w:right w:val="nil"/>
            </w:tcBorders>
          </w:tcPr>
          <w:p w14:paraId="49720E8B" w14:textId="77777777" w:rsidR="00991E75" w:rsidRPr="009F66AC" w:rsidRDefault="009C4D38" w:rsidP="00991E75">
            <w:pPr>
              <w:jc w:val="right"/>
              <w:rPr>
                <w:szCs w:val="24"/>
              </w:rPr>
            </w:pPr>
            <w:r>
              <w:rPr>
                <w:szCs w:val="24"/>
              </w:rPr>
              <w:t>32</w:t>
            </w:r>
          </w:p>
        </w:tc>
        <w:tc>
          <w:tcPr>
            <w:tcW w:w="1440" w:type="dxa"/>
            <w:tcBorders>
              <w:top w:val="nil"/>
              <w:left w:val="nil"/>
              <w:bottom w:val="nil"/>
              <w:right w:val="nil"/>
            </w:tcBorders>
          </w:tcPr>
          <w:p w14:paraId="37A4B5CD" w14:textId="77777777" w:rsidR="00991E75" w:rsidRPr="009F66AC" w:rsidRDefault="009C4D38" w:rsidP="00991E75">
            <w:pPr>
              <w:jc w:val="right"/>
              <w:rPr>
                <w:szCs w:val="24"/>
              </w:rPr>
            </w:pPr>
            <w:r>
              <w:rPr>
                <w:szCs w:val="24"/>
              </w:rPr>
              <w:t>64</w:t>
            </w:r>
          </w:p>
        </w:tc>
        <w:tc>
          <w:tcPr>
            <w:tcW w:w="1350" w:type="dxa"/>
            <w:tcBorders>
              <w:top w:val="nil"/>
              <w:left w:val="nil"/>
              <w:bottom w:val="nil"/>
              <w:right w:val="nil"/>
            </w:tcBorders>
            <w:shd w:val="clear" w:color="auto" w:fill="auto"/>
          </w:tcPr>
          <w:p w14:paraId="44DF4201" w14:textId="77777777" w:rsidR="00991E75" w:rsidRPr="009F66AC" w:rsidRDefault="009C4D38" w:rsidP="00991E75">
            <w:pPr>
              <w:jc w:val="right"/>
              <w:rPr>
                <w:szCs w:val="24"/>
              </w:rPr>
            </w:pPr>
            <w:r>
              <w:rPr>
                <w:szCs w:val="24"/>
              </w:rPr>
              <w:t>480</w:t>
            </w:r>
          </w:p>
        </w:tc>
        <w:tc>
          <w:tcPr>
            <w:tcW w:w="1350" w:type="dxa"/>
            <w:tcBorders>
              <w:top w:val="nil"/>
              <w:left w:val="nil"/>
              <w:bottom w:val="nil"/>
              <w:right w:val="nil"/>
            </w:tcBorders>
            <w:shd w:val="clear" w:color="auto" w:fill="auto"/>
          </w:tcPr>
          <w:p w14:paraId="43F3F39C" w14:textId="77777777" w:rsidR="00991E75" w:rsidRPr="009F66AC" w:rsidRDefault="009C4D38" w:rsidP="00991E75">
            <w:pPr>
              <w:jc w:val="right"/>
              <w:rPr>
                <w:szCs w:val="24"/>
              </w:rPr>
            </w:pPr>
            <w:r>
              <w:rPr>
                <w:szCs w:val="24"/>
              </w:rPr>
              <w:t>960</w:t>
            </w:r>
          </w:p>
        </w:tc>
        <w:tc>
          <w:tcPr>
            <w:tcW w:w="1440" w:type="dxa"/>
            <w:tcBorders>
              <w:top w:val="nil"/>
              <w:left w:val="nil"/>
              <w:bottom w:val="nil"/>
              <w:right w:val="nil"/>
            </w:tcBorders>
            <w:shd w:val="clear" w:color="auto" w:fill="auto"/>
          </w:tcPr>
          <w:p w14:paraId="00D579F3" w14:textId="77777777" w:rsidR="00991E75" w:rsidRPr="009F66AC" w:rsidRDefault="009C4D38" w:rsidP="00991E75">
            <w:pPr>
              <w:jc w:val="right"/>
              <w:rPr>
                <w:szCs w:val="24"/>
              </w:rPr>
            </w:pPr>
            <w:r>
              <w:rPr>
                <w:szCs w:val="24"/>
              </w:rPr>
              <w:t>1,440</w:t>
            </w:r>
          </w:p>
        </w:tc>
      </w:tr>
      <w:tr w:rsidR="00756D46" w:rsidRPr="009F66AC" w14:paraId="049206CA" w14:textId="77777777" w:rsidTr="009C4D38">
        <w:tc>
          <w:tcPr>
            <w:tcW w:w="1890" w:type="dxa"/>
            <w:gridSpan w:val="2"/>
            <w:tcBorders>
              <w:top w:val="nil"/>
              <w:left w:val="nil"/>
              <w:bottom w:val="single" w:sz="4" w:space="0" w:color="auto"/>
              <w:right w:val="nil"/>
            </w:tcBorders>
          </w:tcPr>
          <w:p w14:paraId="4C0A2CC6" w14:textId="77777777" w:rsidR="00991E75" w:rsidRPr="009F66AC" w:rsidRDefault="00C14C18" w:rsidP="0042207C">
            <w:pPr>
              <w:rPr>
                <w:b/>
                <w:szCs w:val="24"/>
              </w:rPr>
            </w:pPr>
            <w:r w:rsidRPr="009F66AC">
              <w:rPr>
                <w:b/>
                <w:szCs w:val="24"/>
              </w:rPr>
              <w:t>Multi-site total:</w:t>
            </w:r>
          </w:p>
        </w:tc>
        <w:tc>
          <w:tcPr>
            <w:tcW w:w="810" w:type="dxa"/>
            <w:tcBorders>
              <w:top w:val="nil"/>
              <w:left w:val="nil"/>
              <w:bottom w:val="single" w:sz="4" w:space="0" w:color="auto"/>
              <w:right w:val="nil"/>
            </w:tcBorders>
          </w:tcPr>
          <w:p w14:paraId="3D64822E" w14:textId="77777777" w:rsidR="00991E75" w:rsidRPr="009F66AC" w:rsidRDefault="0020381E" w:rsidP="00991E75">
            <w:pPr>
              <w:jc w:val="right"/>
              <w:rPr>
                <w:b/>
                <w:szCs w:val="24"/>
              </w:rPr>
            </w:pPr>
            <w:r>
              <w:rPr>
                <w:b/>
                <w:szCs w:val="24"/>
              </w:rPr>
              <w:t>65</w:t>
            </w:r>
          </w:p>
        </w:tc>
        <w:tc>
          <w:tcPr>
            <w:tcW w:w="1440" w:type="dxa"/>
            <w:tcBorders>
              <w:top w:val="nil"/>
              <w:left w:val="nil"/>
              <w:bottom w:val="single" w:sz="4" w:space="0" w:color="auto"/>
              <w:right w:val="nil"/>
            </w:tcBorders>
          </w:tcPr>
          <w:p w14:paraId="53E30390" w14:textId="77777777" w:rsidR="00991E75" w:rsidRPr="009F66AC" w:rsidRDefault="009C4D38" w:rsidP="00991E75">
            <w:pPr>
              <w:jc w:val="right"/>
              <w:rPr>
                <w:b/>
                <w:szCs w:val="24"/>
              </w:rPr>
            </w:pPr>
            <w:r>
              <w:rPr>
                <w:b/>
                <w:szCs w:val="24"/>
              </w:rPr>
              <w:t>6</w:t>
            </w:r>
            <w:r w:rsidR="00991E75" w:rsidRPr="009F66AC">
              <w:rPr>
                <w:b/>
                <w:szCs w:val="24"/>
              </w:rPr>
              <w:t>0</w:t>
            </w:r>
          </w:p>
        </w:tc>
        <w:tc>
          <w:tcPr>
            <w:tcW w:w="1440" w:type="dxa"/>
            <w:tcBorders>
              <w:top w:val="nil"/>
              <w:left w:val="nil"/>
              <w:bottom w:val="single" w:sz="4" w:space="0" w:color="auto"/>
              <w:right w:val="nil"/>
            </w:tcBorders>
          </w:tcPr>
          <w:p w14:paraId="470C97E2" w14:textId="77777777" w:rsidR="00991E75" w:rsidRPr="009F66AC" w:rsidRDefault="009C4D38" w:rsidP="00991E75">
            <w:pPr>
              <w:jc w:val="right"/>
              <w:rPr>
                <w:b/>
                <w:szCs w:val="24"/>
              </w:rPr>
            </w:pPr>
            <w:r>
              <w:rPr>
                <w:b/>
                <w:szCs w:val="24"/>
              </w:rPr>
              <w:t>120</w:t>
            </w:r>
          </w:p>
        </w:tc>
        <w:tc>
          <w:tcPr>
            <w:tcW w:w="1350" w:type="dxa"/>
            <w:tcBorders>
              <w:top w:val="nil"/>
              <w:left w:val="nil"/>
              <w:bottom w:val="single" w:sz="4" w:space="0" w:color="auto"/>
              <w:right w:val="nil"/>
            </w:tcBorders>
            <w:shd w:val="clear" w:color="auto" w:fill="auto"/>
          </w:tcPr>
          <w:p w14:paraId="492B9A82" w14:textId="77777777" w:rsidR="00991E75" w:rsidRPr="009F66AC" w:rsidRDefault="009C4D38" w:rsidP="00991E75">
            <w:pPr>
              <w:jc w:val="right"/>
              <w:rPr>
                <w:b/>
                <w:szCs w:val="24"/>
              </w:rPr>
            </w:pPr>
            <w:r>
              <w:rPr>
                <w:b/>
                <w:szCs w:val="24"/>
              </w:rPr>
              <w:t>1,340</w:t>
            </w:r>
          </w:p>
        </w:tc>
        <w:tc>
          <w:tcPr>
            <w:tcW w:w="1350" w:type="dxa"/>
            <w:tcBorders>
              <w:top w:val="nil"/>
              <w:left w:val="nil"/>
              <w:bottom w:val="single" w:sz="4" w:space="0" w:color="auto"/>
              <w:right w:val="nil"/>
            </w:tcBorders>
            <w:shd w:val="clear" w:color="auto" w:fill="auto"/>
          </w:tcPr>
          <w:p w14:paraId="28D34C2A" w14:textId="77777777" w:rsidR="00991E75" w:rsidRPr="009F66AC" w:rsidRDefault="009C4D38" w:rsidP="009F66AC">
            <w:pPr>
              <w:jc w:val="right"/>
              <w:rPr>
                <w:b/>
                <w:szCs w:val="24"/>
              </w:rPr>
            </w:pPr>
            <w:r>
              <w:rPr>
                <w:b/>
                <w:szCs w:val="24"/>
              </w:rPr>
              <w:t>2,680</w:t>
            </w:r>
          </w:p>
        </w:tc>
        <w:tc>
          <w:tcPr>
            <w:tcW w:w="1440" w:type="dxa"/>
            <w:tcBorders>
              <w:top w:val="nil"/>
              <w:left w:val="nil"/>
              <w:bottom w:val="single" w:sz="4" w:space="0" w:color="auto"/>
              <w:right w:val="nil"/>
            </w:tcBorders>
            <w:shd w:val="clear" w:color="auto" w:fill="auto"/>
          </w:tcPr>
          <w:p w14:paraId="4D1DA00E" w14:textId="77777777" w:rsidR="00991E75" w:rsidRPr="009F66AC" w:rsidRDefault="009C4D38" w:rsidP="00991E75">
            <w:pPr>
              <w:jc w:val="right"/>
              <w:rPr>
                <w:b/>
                <w:szCs w:val="24"/>
              </w:rPr>
            </w:pPr>
            <w:r>
              <w:rPr>
                <w:b/>
                <w:szCs w:val="24"/>
              </w:rPr>
              <w:t>4,020</w:t>
            </w:r>
          </w:p>
        </w:tc>
      </w:tr>
    </w:tbl>
    <w:p w14:paraId="420D6247" w14:textId="77777777" w:rsidR="00FB120D" w:rsidRDefault="00FB120D" w:rsidP="0042207C">
      <w:pPr>
        <w:rPr>
          <w:szCs w:val="24"/>
        </w:rPr>
      </w:pPr>
    </w:p>
    <w:p w14:paraId="16801FA7" w14:textId="77777777" w:rsidR="00943B98" w:rsidRPr="00BD5AC5" w:rsidRDefault="00943B98" w:rsidP="00BD5AC5">
      <w:pPr>
        <w:ind w:left="-90"/>
        <w:rPr>
          <w:b/>
          <w:szCs w:val="24"/>
        </w:rPr>
      </w:pPr>
      <w:r w:rsidRPr="00BD5AC5">
        <w:rPr>
          <w:b/>
          <w:szCs w:val="24"/>
        </w:rPr>
        <w:lastRenderedPageBreak/>
        <w:t>Table B.1.4 – Distribution of low-pressure event size and number of events by utility, assuming one event per utility per month.</w:t>
      </w:r>
    </w:p>
    <w:tbl>
      <w:tblPr>
        <w:tblStyle w:val="TableGrid"/>
        <w:tblW w:w="8838" w:type="dxa"/>
        <w:tblLayout w:type="fixed"/>
        <w:tblLook w:val="04A0" w:firstRow="1" w:lastRow="0" w:firstColumn="1" w:lastColumn="0" w:noHBand="0" w:noVBand="1"/>
      </w:tblPr>
      <w:tblGrid>
        <w:gridCol w:w="1008"/>
        <w:gridCol w:w="1530"/>
        <w:gridCol w:w="1710"/>
        <w:gridCol w:w="1530"/>
        <w:gridCol w:w="1530"/>
        <w:gridCol w:w="1530"/>
      </w:tblGrid>
      <w:tr w:rsidR="00C14C18" w14:paraId="5F96B2AB" w14:textId="77777777" w:rsidTr="007352D1">
        <w:tc>
          <w:tcPr>
            <w:tcW w:w="1008" w:type="dxa"/>
          </w:tcPr>
          <w:p w14:paraId="4C4B05AF" w14:textId="77777777" w:rsidR="00C14C18" w:rsidRDefault="00C14C18" w:rsidP="0042207C">
            <w:r>
              <w:t>Utility</w:t>
            </w:r>
          </w:p>
        </w:tc>
        <w:tc>
          <w:tcPr>
            <w:tcW w:w="1530" w:type="dxa"/>
          </w:tcPr>
          <w:p w14:paraId="7525F75E" w14:textId="77777777" w:rsidR="00C14C18" w:rsidRDefault="00C14C18" w:rsidP="00991E75">
            <w:r>
              <w:t xml:space="preserve">Number of small events </w:t>
            </w:r>
          </w:p>
        </w:tc>
        <w:tc>
          <w:tcPr>
            <w:tcW w:w="1710" w:type="dxa"/>
          </w:tcPr>
          <w:p w14:paraId="4C8FC776" w14:textId="77777777" w:rsidR="00C14C18" w:rsidRDefault="00C14C18" w:rsidP="0042207C">
            <w:r>
              <w:t>Number of medium events</w:t>
            </w:r>
          </w:p>
        </w:tc>
        <w:tc>
          <w:tcPr>
            <w:tcW w:w="1530" w:type="dxa"/>
          </w:tcPr>
          <w:p w14:paraId="42E3CC83" w14:textId="77777777" w:rsidR="00C14C18" w:rsidRDefault="00C14C18" w:rsidP="0042207C">
            <w:r>
              <w:t>Number of large events</w:t>
            </w:r>
          </w:p>
        </w:tc>
        <w:tc>
          <w:tcPr>
            <w:tcW w:w="1530" w:type="dxa"/>
          </w:tcPr>
          <w:p w14:paraId="3829A4D8" w14:textId="77777777" w:rsidR="00C14C18" w:rsidRDefault="00C14C18" w:rsidP="0042207C">
            <w:r>
              <w:t>Total Events</w:t>
            </w:r>
          </w:p>
        </w:tc>
        <w:tc>
          <w:tcPr>
            <w:tcW w:w="1530" w:type="dxa"/>
          </w:tcPr>
          <w:p w14:paraId="30A5B17C" w14:textId="77777777" w:rsidR="00C14C18" w:rsidRDefault="00C14C18" w:rsidP="00C14C18">
            <w:r>
              <w:t>Events / month</w:t>
            </w:r>
          </w:p>
        </w:tc>
      </w:tr>
      <w:tr w:rsidR="00C14C18" w14:paraId="79DFC33F" w14:textId="77777777" w:rsidTr="007352D1">
        <w:tc>
          <w:tcPr>
            <w:tcW w:w="1008" w:type="dxa"/>
          </w:tcPr>
          <w:p w14:paraId="54A70D0D" w14:textId="77777777" w:rsidR="00C14C18" w:rsidRDefault="00C14C18" w:rsidP="0042207C">
            <w:r>
              <w:t>A</w:t>
            </w:r>
          </w:p>
        </w:tc>
        <w:tc>
          <w:tcPr>
            <w:tcW w:w="1530" w:type="dxa"/>
          </w:tcPr>
          <w:p w14:paraId="27AC9C0B" w14:textId="77777777" w:rsidR="00C14C18" w:rsidRDefault="009F66AC" w:rsidP="00C14C18">
            <w:pPr>
              <w:jc w:val="right"/>
            </w:pPr>
            <w:r>
              <w:t>3</w:t>
            </w:r>
          </w:p>
        </w:tc>
        <w:tc>
          <w:tcPr>
            <w:tcW w:w="1710" w:type="dxa"/>
          </w:tcPr>
          <w:p w14:paraId="23EB1030" w14:textId="637F0E6C" w:rsidR="00C14C18" w:rsidRDefault="004B4C9E" w:rsidP="00C14C18">
            <w:pPr>
              <w:jc w:val="right"/>
            </w:pPr>
            <w:r>
              <w:t>7</w:t>
            </w:r>
          </w:p>
        </w:tc>
        <w:tc>
          <w:tcPr>
            <w:tcW w:w="1530" w:type="dxa"/>
          </w:tcPr>
          <w:p w14:paraId="0BD8D224" w14:textId="536FBC5D" w:rsidR="00C14C18" w:rsidRDefault="009F66AC" w:rsidP="00C14C18">
            <w:pPr>
              <w:jc w:val="right"/>
            </w:pPr>
            <w:r>
              <w:t>3</w:t>
            </w:r>
          </w:p>
        </w:tc>
        <w:tc>
          <w:tcPr>
            <w:tcW w:w="1530" w:type="dxa"/>
          </w:tcPr>
          <w:p w14:paraId="1802543F" w14:textId="1C592A64" w:rsidR="00C14C18" w:rsidRDefault="009F66AC" w:rsidP="004B4C9E">
            <w:pPr>
              <w:jc w:val="right"/>
            </w:pPr>
            <w:r>
              <w:t>1</w:t>
            </w:r>
            <w:r w:rsidR="004B4C9E">
              <w:t>3</w:t>
            </w:r>
          </w:p>
        </w:tc>
        <w:tc>
          <w:tcPr>
            <w:tcW w:w="1530" w:type="dxa"/>
          </w:tcPr>
          <w:p w14:paraId="2C66ABF6" w14:textId="737F78E3" w:rsidR="00C14C18" w:rsidRDefault="00C14C18" w:rsidP="005C1936">
            <w:pPr>
              <w:jc w:val="right"/>
            </w:pPr>
            <w:r>
              <w:t>1</w:t>
            </w:r>
            <w:r w:rsidR="004B4C9E">
              <w:t>-2</w:t>
            </w:r>
          </w:p>
        </w:tc>
      </w:tr>
      <w:tr w:rsidR="00C14C18" w14:paraId="1DCF781E" w14:textId="77777777" w:rsidTr="007352D1">
        <w:tc>
          <w:tcPr>
            <w:tcW w:w="1008" w:type="dxa"/>
          </w:tcPr>
          <w:p w14:paraId="185241A6" w14:textId="77777777" w:rsidR="00C14C18" w:rsidRDefault="00C14C18" w:rsidP="0042207C">
            <w:r>
              <w:t>B</w:t>
            </w:r>
          </w:p>
        </w:tc>
        <w:tc>
          <w:tcPr>
            <w:tcW w:w="1530" w:type="dxa"/>
          </w:tcPr>
          <w:p w14:paraId="26AD373A" w14:textId="77777777" w:rsidR="00C14C18" w:rsidRDefault="009F66AC" w:rsidP="00C14C18">
            <w:pPr>
              <w:jc w:val="right"/>
            </w:pPr>
            <w:r>
              <w:t>3</w:t>
            </w:r>
          </w:p>
        </w:tc>
        <w:tc>
          <w:tcPr>
            <w:tcW w:w="1710" w:type="dxa"/>
          </w:tcPr>
          <w:p w14:paraId="5E2C6F34" w14:textId="23BBFA0C" w:rsidR="00C14C18" w:rsidRDefault="004B4C9E" w:rsidP="00C14C18">
            <w:pPr>
              <w:jc w:val="right"/>
            </w:pPr>
            <w:r>
              <w:t>7</w:t>
            </w:r>
          </w:p>
        </w:tc>
        <w:tc>
          <w:tcPr>
            <w:tcW w:w="1530" w:type="dxa"/>
          </w:tcPr>
          <w:p w14:paraId="69B31480" w14:textId="32B8073D" w:rsidR="00C14C18" w:rsidRDefault="009F66AC" w:rsidP="00C14C18">
            <w:pPr>
              <w:jc w:val="right"/>
            </w:pPr>
            <w:r>
              <w:t>3</w:t>
            </w:r>
          </w:p>
        </w:tc>
        <w:tc>
          <w:tcPr>
            <w:tcW w:w="1530" w:type="dxa"/>
          </w:tcPr>
          <w:p w14:paraId="162660F2" w14:textId="7D746F47" w:rsidR="00C14C18" w:rsidRDefault="00C14C18" w:rsidP="009F66AC">
            <w:pPr>
              <w:jc w:val="right"/>
            </w:pPr>
            <w:r>
              <w:t>1</w:t>
            </w:r>
            <w:r w:rsidR="004B4C9E">
              <w:t>3</w:t>
            </w:r>
          </w:p>
        </w:tc>
        <w:tc>
          <w:tcPr>
            <w:tcW w:w="1530" w:type="dxa"/>
          </w:tcPr>
          <w:p w14:paraId="5961F3B6" w14:textId="7C4D8463" w:rsidR="00C14C18" w:rsidRDefault="00C14C18" w:rsidP="005C1936">
            <w:pPr>
              <w:jc w:val="right"/>
            </w:pPr>
            <w:r>
              <w:t>1</w:t>
            </w:r>
            <w:r w:rsidR="004B4C9E">
              <w:t>-2</w:t>
            </w:r>
          </w:p>
        </w:tc>
      </w:tr>
      <w:tr w:rsidR="00C14C18" w14:paraId="293EE9E5" w14:textId="77777777" w:rsidTr="007352D1">
        <w:tc>
          <w:tcPr>
            <w:tcW w:w="1008" w:type="dxa"/>
          </w:tcPr>
          <w:p w14:paraId="3B3FD910" w14:textId="77777777" w:rsidR="00C14C18" w:rsidRDefault="00C14C18" w:rsidP="0042207C">
            <w:r>
              <w:t>C</w:t>
            </w:r>
          </w:p>
        </w:tc>
        <w:tc>
          <w:tcPr>
            <w:tcW w:w="1530" w:type="dxa"/>
          </w:tcPr>
          <w:p w14:paraId="1B76FD34" w14:textId="77777777" w:rsidR="00C14C18" w:rsidRDefault="009F66AC" w:rsidP="00C14C18">
            <w:pPr>
              <w:jc w:val="right"/>
            </w:pPr>
            <w:r>
              <w:t>3</w:t>
            </w:r>
          </w:p>
        </w:tc>
        <w:tc>
          <w:tcPr>
            <w:tcW w:w="1710" w:type="dxa"/>
          </w:tcPr>
          <w:p w14:paraId="3EDC64D2" w14:textId="76DDFD96" w:rsidR="00C14C18" w:rsidRDefault="004B4C9E" w:rsidP="00C14C18">
            <w:pPr>
              <w:jc w:val="right"/>
            </w:pPr>
            <w:r>
              <w:t>7</w:t>
            </w:r>
          </w:p>
        </w:tc>
        <w:tc>
          <w:tcPr>
            <w:tcW w:w="1530" w:type="dxa"/>
          </w:tcPr>
          <w:p w14:paraId="28149738" w14:textId="77777777" w:rsidR="00C14C18" w:rsidRDefault="009F66AC" w:rsidP="00C14C18">
            <w:pPr>
              <w:jc w:val="right"/>
            </w:pPr>
            <w:r>
              <w:t>3</w:t>
            </w:r>
          </w:p>
        </w:tc>
        <w:tc>
          <w:tcPr>
            <w:tcW w:w="1530" w:type="dxa"/>
          </w:tcPr>
          <w:p w14:paraId="38FA0B66" w14:textId="3D565B01" w:rsidR="00C14C18" w:rsidRDefault="009F66AC" w:rsidP="00C14C18">
            <w:pPr>
              <w:jc w:val="right"/>
            </w:pPr>
            <w:r>
              <w:t>1</w:t>
            </w:r>
            <w:r w:rsidR="004B4C9E">
              <w:t>3</w:t>
            </w:r>
          </w:p>
        </w:tc>
        <w:tc>
          <w:tcPr>
            <w:tcW w:w="1530" w:type="dxa"/>
          </w:tcPr>
          <w:p w14:paraId="6B94098A" w14:textId="44DCC7C5" w:rsidR="00C14C18" w:rsidRDefault="00C14C18" w:rsidP="005C1936">
            <w:pPr>
              <w:jc w:val="right"/>
            </w:pPr>
            <w:r>
              <w:t>1</w:t>
            </w:r>
            <w:r w:rsidR="004B4C9E">
              <w:t>-2</w:t>
            </w:r>
          </w:p>
        </w:tc>
      </w:tr>
      <w:tr w:rsidR="00C14C18" w14:paraId="238F514E" w14:textId="77777777" w:rsidTr="007352D1">
        <w:tc>
          <w:tcPr>
            <w:tcW w:w="1008" w:type="dxa"/>
          </w:tcPr>
          <w:p w14:paraId="6D9FCC48" w14:textId="77777777" w:rsidR="00C14C18" w:rsidRDefault="00C14C18" w:rsidP="0042207C">
            <w:r>
              <w:t>D</w:t>
            </w:r>
          </w:p>
        </w:tc>
        <w:tc>
          <w:tcPr>
            <w:tcW w:w="1530" w:type="dxa"/>
          </w:tcPr>
          <w:p w14:paraId="266CDB0C" w14:textId="34EE046A" w:rsidR="00C14C18" w:rsidRDefault="004B4C9E" w:rsidP="00C14C18">
            <w:pPr>
              <w:jc w:val="right"/>
            </w:pPr>
            <w:r>
              <w:t>3</w:t>
            </w:r>
          </w:p>
        </w:tc>
        <w:tc>
          <w:tcPr>
            <w:tcW w:w="1710" w:type="dxa"/>
          </w:tcPr>
          <w:p w14:paraId="391C1C9F" w14:textId="2A2C2230" w:rsidR="00C14C18" w:rsidRDefault="004B4C9E" w:rsidP="00C14C18">
            <w:pPr>
              <w:jc w:val="right"/>
            </w:pPr>
            <w:r>
              <w:t>7</w:t>
            </w:r>
          </w:p>
        </w:tc>
        <w:tc>
          <w:tcPr>
            <w:tcW w:w="1530" w:type="dxa"/>
          </w:tcPr>
          <w:p w14:paraId="0682E19F" w14:textId="7A285071" w:rsidR="00C14C18" w:rsidRDefault="004B4C9E" w:rsidP="00C14C18">
            <w:pPr>
              <w:jc w:val="right"/>
            </w:pPr>
            <w:r>
              <w:t>3</w:t>
            </w:r>
          </w:p>
        </w:tc>
        <w:tc>
          <w:tcPr>
            <w:tcW w:w="1530" w:type="dxa"/>
          </w:tcPr>
          <w:p w14:paraId="66164CC7" w14:textId="77A30A6A" w:rsidR="00C14C18" w:rsidRDefault="006E7085" w:rsidP="00C14C18">
            <w:pPr>
              <w:jc w:val="right"/>
            </w:pPr>
            <w:r>
              <w:t>1</w:t>
            </w:r>
            <w:r w:rsidR="004B4C9E">
              <w:t>3</w:t>
            </w:r>
          </w:p>
        </w:tc>
        <w:tc>
          <w:tcPr>
            <w:tcW w:w="1530" w:type="dxa"/>
          </w:tcPr>
          <w:p w14:paraId="008C5B18" w14:textId="64E8A981" w:rsidR="00C14C18" w:rsidRDefault="00C14C18" w:rsidP="005C1936">
            <w:pPr>
              <w:jc w:val="right"/>
            </w:pPr>
            <w:r>
              <w:t>1</w:t>
            </w:r>
            <w:r w:rsidR="004B4C9E">
              <w:t>-2</w:t>
            </w:r>
          </w:p>
        </w:tc>
      </w:tr>
      <w:tr w:rsidR="00C14C18" w14:paraId="5563767B" w14:textId="77777777" w:rsidTr="007352D1">
        <w:tc>
          <w:tcPr>
            <w:tcW w:w="1008" w:type="dxa"/>
          </w:tcPr>
          <w:p w14:paraId="4C2EEFE8" w14:textId="77777777" w:rsidR="00C14C18" w:rsidRDefault="00C14C18" w:rsidP="0042207C">
            <w:r>
              <w:t>E</w:t>
            </w:r>
          </w:p>
        </w:tc>
        <w:tc>
          <w:tcPr>
            <w:tcW w:w="1530" w:type="dxa"/>
          </w:tcPr>
          <w:p w14:paraId="3FB68311" w14:textId="44D37F04" w:rsidR="00C14C18" w:rsidRDefault="004B4C9E" w:rsidP="00C14C18">
            <w:pPr>
              <w:jc w:val="right"/>
            </w:pPr>
            <w:r>
              <w:t>3</w:t>
            </w:r>
          </w:p>
        </w:tc>
        <w:tc>
          <w:tcPr>
            <w:tcW w:w="1710" w:type="dxa"/>
          </w:tcPr>
          <w:p w14:paraId="57CEF4FF" w14:textId="00BC95B2" w:rsidR="00C14C18" w:rsidRDefault="004B4C9E" w:rsidP="00C14C18">
            <w:pPr>
              <w:jc w:val="right"/>
            </w:pPr>
            <w:r>
              <w:t>7</w:t>
            </w:r>
          </w:p>
        </w:tc>
        <w:tc>
          <w:tcPr>
            <w:tcW w:w="1530" w:type="dxa"/>
          </w:tcPr>
          <w:p w14:paraId="3999C1F7" w14:textId="5DC78DF3" w:rsidR="00C14C18" w:rsidRDefault="004B4C9E" w:rsidP="00C14C18">
            <w:pPr>
              <w:jc w:val="right"/>
            </w:pPr>
            <w:r>
              <w:t>3</w:t>
            </w:r>
          </w:p>
        </w:tc>
        <w:tc>
          <w:tcPr>
            <w:tcW w:w="1530" w:type="dxa"/>
          </w:tcPr>
          <w:p w14:paraId="5AB2E6B6" w14:textId="4B9D9DA3" w:rsidR="00C14C18" w:rsidRDefault="009F66AC" w:rsidP="009F66AC">
            <w:pPr>
              <w:jc w:val="right"/>
            </w:pPr>
            <w:r>
              <w:t>1</w:t>
            </w:r>
            <w:r w:rsidR="004B4C9E">
              <w:t>3</w:t>
            </w:r>
          </w:p>
        </w:tc>
        <w:tc>
          <w:tcPr>
            <w:tcW w:w="1530" w:type="dxa"/>
          </w:tcPr>
          <w:p w14:paraId="1C49C6FC" w14:textId="4CBBAB01" w:rsidR="00C14C18" w:rsidRDefault="00C14C18" w:rsidP="005C1936">
            <w:pPr>
              <w:jc w:val="right"/>
            </w:pPr>
            <w:r>
              <w:t>1</w:t>
            </w:r>
            <w:r w:rsidR="004B4C9E">
              <w:t>-2</w:t>
            </w:r>
          </w:p>
        </w:tc>
      </w:tr>
      <w:tr w:rsidR="007352D1" w14:paraId="3E0E8820" w14:textId="77777777" w:rsidTr="007352D1">
        <w:tc>
          <w:tcPr>
            <w:tcW w:w="1008" w:type="dxa"/>
          </w:tcPr>
          <w:p w14:paraId="3EF8F6DA" w14:textId="78B54CE7" w:rsidR="007352D1" w:rsidRDefault="007352D1" w:rsidP="0042207C"/>
        </w:tc>
        <w:tc>
          <w:tcPr>
            <w:tcW w:w="1530" w:type="dxa"/>
          </w:tcPr>
          <w:p w14:paraId="7022D3BF" w14:textId="5E544030" w:rsidR="007352D1" w:rsidRDefault="007352D1" w:rsidP="00C14C18">
            <w:pPr>
              <w:jc w:val="right"/>
            </w:pPr>
          </w:p>
        </w:tc>
        <w:tc>
          <w:tcPr>
            <w:tcW w:w="1710" w:type="dxa"/>
          </w:tcPr>
          <w:p w14:paraId="03223C54" w14:textId="612F5E75" w:rsidR="007352D1" w:rsidRDefault="007352D1" w:rsidP="00C14C18">
            <w:pPr>
              <w:jc w:val="right"/>
            </w:pPr>
          </w:p>
        </w:tc>
        <w:tc>
          <w:tcPr>
            <w:tcW w:w="1530" w:type="dxa"/>
          </w:tcPr>
          <w:p w14:paraId="53711265" w14:textId="7147935B" w:rsidR="007352D1" w:rsidRDefault="007352D1" w:rsidP="00C14C18">
            <w:pPr>
              <w:jc w:val="right"/>
            </w:pPr>
          </w:p>
        </w:tc>
        <w:tc>
          <w:tcPr>
            <w:tcW w:w="1530" w:type="dxa"/>
          </w:tcPr>
          <w:p w14:paraId="33DB8928" w14:textId="61ECF6A1" w:rsidR="007352D1" w:rsidRDefault="007352D1" w:rsidP="009F66AC">
            <w:pPr>
              <w:jc w:val="right"/>
            </w:pPr>
          </w:p>
        </w:tc>
        <w:tc>
          <w:tcPr>
            <w:tcW w:w="1530" w:type="dxa"/>
          </w:tcPr>
          <w:p w14:paraId="0829938F" w14:textId="5ABE5FF8" w:rsidR="007352D1" w:rsidRDefault="007352D1" w:rsidP="00C14C18">
            <w:pPr>
              <w:jc w:val="right"/>
            </w:pPr>
          </w:p>
        </w:tc>
      </w:tr>
      <w:tr w:rsidR="00C14C18" w14:paraId="5188B421" w14:textId="77777777" w:rsidTr="007352D1">
        <w:tc>
          <w:tcPr>
            <w:tcW w:w="1008" w:type="dxa"/>
          </w:tcPr>
          <w:p w14:paraId="63C52AB7" w14:textId="77777777" w:rsidR="00C14C18" w:rsidRPr="009F66AC" w:rsidRDefault="00C14C18" w:rsidP="0042207C">
            <w:pPr>
              <w:rPr>
                <w:b/>
              </w:rPr>
            </w:pPr>
            <w:r w:rsidRPr="009F66AC">
              <w:rPr>
                <w:b/>
              </w:rPr>
              <w:t>Total:</w:t>
            </w:r>
          </w:p>
        </w:tc>
        <w:tc>
          <w:tcPr>
            <w:tcW w:w="1530" w:type="dxa"/>
          </w:tcPr>
          <w:p w14:paraId="1E04AD1D" w14:textId="13951B26" w:rsidR="00C14C18" w:rsidRPr="009F66AC" w:rsidRDefault="007352D1" w:rsidP="00C14C18">
            <w:pPr>
              <w:jc w:val="right"/>
              <w:rPr>
                <w:b/>
              </w:rPr>
            </w:pPr>
            <w:r>
              <w:rPr>
                <w:b/>
              </w:rPr>
              <w:t>15</w:t>
            </w:r>
          </w:p>
        </w:tc>
        <w:tc>
          <w:tcPr>
            <w:tcW w:w="1710" w:type="dxa"/>
          </w:tcPr>
          <w:p w14:paraId="3471E3F7" w14:textId="48C7DD2B" w:rsidR="00C14C18" w:rsidRPr="009F66AC" w:rsidRDefault="007352D1" w:rsidP="00E93D57">
            <w:pPr>
              <w:jc w:val="right"/>
              <w:rPr>
                <w:b/>
              </w:rPr>
            </w:pPr>
            <w:r>
              <w:rPr>
                <w:b/>
              </w:rPr>
              <w:t>35</w:t>
            </w:r>
          </w:p>
        </w:tc>
        <w:tc>
          <w:tcPr>
            <w:tcW w:w="1530" w:type="dxa"/>
          </w:tcPr>
          <w:p w14:paraId="10433793" w14:textId="367C9C1B" w:rsidR="00C14C18" w:rsidRPr="009F66AC" w:rsidRDefault="007352D1" w:rsidP="00C14C18">
            <w:pPr>
              <w:jc w:val="right"/>
              <w:rPr>
                <w:b/>
              </w:rPr>
            </w:pPr>
            <w:r>
              <w:rPr>
                <w:b/>
              </w:rPr>
              <w:t>15</w:t>
            </w:r>
          </w:p>
        </w:tc>
        <w:tc>
          <w:tcPr>
            <w:tcW w:w="1530" w:type="dxa"/>
          </w:tcPr>
          <w:p w14:paraId="7DB7C8C2" w14:textId="657D7759" w:rsidR="00C14C18" w:rsidRPr="009F66AC" w:rsidRDefault="007352D1" w:rsidP="00C14C18">
            <w:pPr>
              <w:jc w:val="right"/>
              <w:rPr>
                <w:b/>
              </w:rPr>
            </w:pPr>
            <w:r>
              <w:rPr>
                <w:b/>
              </w:rPr>
              <w:t>65</w:t>
            </w:r>
          </w:p>
        </w:tc>
        <w:tc>
          <w:tcPr>
            <w:tcW w:w="1530" w:type="dxa"/>
          </w:tcPr>
          <w:p w14:paraId="0E9DA9D3" w14:textId="77777777" w:rsidR="00C14C18" w:rsidRPr="009F66AC" w:rsidRDefault="00C14C18" w:rsidP="00C14C18">
            <w:pPr>
              <w:jc w:val="right"/>
              <w:rPr>
                <w:b/>
              </w:rPr>
            </w:pPr>
          </w:p>
        </w:tc>
      </w:tr>
    </w:tbl>
    <w:p w14:paraId="361E70E1" w14:textId="77777777" w:rsidR="0042207C" w:rsidRPr="007F7B1D" w:rsidRDefault="0042207C" w:rsidP="0047357D">
      <w:pPr>
        <w:pStyle w:val="Heading1"/>
      </w:pPr>
      <w:bookmarkStart w:id="4" w:name="_Toc426728959"/>
      <w:r w:rsidRPr="007F7B1D">
        <w:t>2. Procedures for the Collection of Information</w:t>
      </w:r>
      <w:bookmarkEnd w:id="4"/>
      <w:r w:rsidRPr="007F7B1D">
        <w:t xml:space="preserve"> </w:t>
      </w:r>
    </w:p>
    <w:p w14:paraId="6BDEB44A" w14:textId="77777777" w:rsidR="0042207C" w:rsidRPr="007F7B1D" w:rsidRDefault="0042207C" w:rsidP="0042207C">
      <w:r w:rsidRPr="007F7B1D">
        <w:t xml:space="preserve">For a detailed discussion of sample selection, sample size, and statistical power for this study see Section B.1. </w:t>
      </w:r>
    </w:p>
    <w:p w14:paraId="59B75D30" w14:textId="77777777" w:rsidR="0042207C" w:rsidRPr="007F7B1D" w:rsidRDefault="0042207C" w:rsidP="0042207C"/>
    <w:p w14:paraId="461CD220" w14:textId="1E2DF8CA" w:rsidR="0042207C" w:rsidRDefault="00F4461B" w:rsidP="0042207C">
      <w:pPr>
        <w:rPr>
          <w:rFonts w:cstheme="minorHAnsi"/>
          <w:szCs w:val="24"/>
        </w:rPr>
      </w:pPr>
      <w:r>
        <w:t xml:space="preserve">Identification of exposed and unexposed areas associated with each low pressure event will be </w:t>
      </w:r>
      <w:r>
        <w:rPr>
          <w:rFonts w:cstheme="minorHAnsi"/>
          <w:szCs w:val="24"/>
        </w:rPr>
        <w:t>undertaken collaboratively between the utility and the CDC study team, including individuals with distribution system engineering expertise.</w:t>
      </w:r>
      <w:r w:rsidRPr="007F7B1D">
        <w:t xml:space="preserve"> </w:t>
      </w:r>
      <w:r w:rsidR="0042207C" w:rsidRPr="007F7B1D">
        <w:t xml:space="preserve">Water utilities will provide information on up to two LPEs per month. </w:t>
      </w:r>
      <w:r w:rsidR="0042207C" w:rsidRPr="004A4B25">
        <w:rPr>
          <w:rFonts w:cstheme="minorHAnsi"/>
          <w:szCs w:val="24"/>
        </w:rPr>
        <w:t xml:space="preserve">Exposed households will be identified as addresses that experience a loss or lack of water pressure due to an LPE in the water distribution system. The utility will identify the households affected by the LPE with the assistance of </w:t>
      </w:r>
      <w:r w:rsidR="0042207C">
        <w:rPr>
          <w:rFonts w:cstheme="minorHAnsi"/>
          <w:szCs w:val="24"/>
        </w:rPr>
        <w:t>their water system information systems, and convey this information to CDC, using street names and a map if available</w:t>
      </w:r>
      <w:r w:rsidR="0042207C" w:rsidRPr="004A4B25">
        <w:rPr>
          <w:rFonts w:cstheme="minorHAnsi"/>
          <w:szCs w:val="24"/>
        </w:rPr>
        <w:t xml:space="preserve">. </w:t>
      </w:r>
      <w:r>
        <w:rPr>
          <w:rFonts w:cstheme="minorHAnsi"/>
          <w:szCs w:val="24"/>
        </w:rPr>
        <w:t>We will not ask residents to participate in the study more than once, therefore events that occur in areas that were previously sampled as either exposed or unexposed areas will not be eligible.</w:t>
      </w:r>
    </w:p>
    <w:p w14:paraId="5AB5F96E" w14:textId="77777777" w:rsidR="0042207C" w:rsidRDefault="0042207C" w:rsidP="0042207C">
      <w:pPr>
        <w:rPr>
          <w:rFonts w:cstheme="minorHAnsi"/>
          <w:szCs w:val="24"/>
        </w:rPr>
      </w:pPr>
    </w:p>
    <w:p w14:paraId="122EC8B5" w14:textId="0F2C9F6D" w:rsidR="0042207C" w:rsidRDefault="0042207C" w:rsidP="0042207C">
      <w:pPr>
        <w:rPr>
          <w:rFonts w:cstheme="minorHAnsi"/>
          <w:szCs w:val="24"/>
        </w:rPr>
      </w:pPr>
      <w:r>
        <w:rPr>
          <w:rFonts w:cstheme="minorHAnsi"/>
          <w:szCs w:val="24"/>
        </w:rPr>
        <w:t xml:space="preserve">Using the address of the event and map of affected households, the </w:t>
      </w:r>
      <w:r w:rsidRPr="004A4B25">
        <w:rPr>
          <w:rFonts w:cstheme="minorHAnsi"/>
          <w:szCs w:val="24"/>
        </w:rPr>
        <w:t>CDC</w:t>
      </w:r>
      <w:r>
        <w:rPr>
          <w:rFonts w:cstheme="minorHAnsi"/>
          <w:szCs w:val="24"/>
        </w:rPr>
        <w:t xml:space="preserve"> study team </w:t>
      </w:r>
      <w:r w:rsidRPr="004A4B25">
        <w:rPr>
          <w:rFonts w:cstheme="minorHAnsi"/>
          <w:szCs w:val="24"/>
        </w:rPr>
        <w:t xml:space="preserve">will </w:t>
      </w:r>
      <w:r>
        <w:rPr>
          <w:rFonts w:cstheme="minorHAnsi"/>
          <w:szCs w:val="24"/>
        </w:rPr>
        <w:t xml:space="preserve">determine the census block(s) affected, as well as the census block group and census tract. A map showing </w:t>
      </w:r>
      <w:r>
        <w:rPr>
          <w:rFonts w:cstheme="minorHAnsi"/>
          <w:szCs w:val="24"/>
        </w:rPr>
        <w:lastRenderedPageBreak/>
        <w:t xml:space="preserve">these areas will be provided to the utility to narrow down the area in which to seek a group of homes that are comparable to the homes affected by the LPE. </w:t>
      </w:r>
      <w:r w:rsidRPr="004A4B25">
        <w:rPr>
          <w:rFonts w:cstheme="minorHAnsi"/>
          <w:szCs w:val="24"/>
        </w:rPr>
        <w:t xml:space="preserve">Because census tracts are designed to be homogeneous with respect to population characteristics, identifying unaffected areas within the same block group </w:t>
      </w:r>
      <w:r>
        <w:rPr>
          <w:rFonts w:cstheme="minorHAnsi"/>
          <w:szCs w:val="24"/>
        </w:rPr>
        <w:t xml:space="preserve">(or census tract for large events) </w:t>
      </w:r>
      <w:r w:rsidRPr="004A4B25">
        <w:rPr>
          <w:rFonts w:cstheme="minorHAnsi"/>
          <w:szCs w:val="24"/>
        </w:rPr>
        <w:t xml:space="preserve">will help to minimize bias by assuring that affected and unaffected areas are reasonably well matched in terms of demographic characteristics. </w:t>
      </w:r>
      <w:r>
        <w:rPr>
          <w:rFonts w:cstheme="minorHAnsi"/>
          <w:szCs w:val="24"/>
        </w:rPr>
        <w:t xml:space="preserve">Using its own water system information systems, </w:t>
      </w:r>
      <w:r w:rsidR="00F4461B">
        <w:rPr>
          <w:rFonts w:cstheme="minorHAnsi"/>
          <w:szCs w:val="24"/>
        </w:rPr>
        <w:t xml:space="preserve">in collaboration with the CDC study team, </w:t>
      </w:r>
      <w:r>
        <w:rPr>
          <w:rFonts w:cstheme="minorHAnsi"/>
          <w:szCs w:val="24"/>
        </w:rPr>
        <w:t xml:space="preserve">the utility will then identify </w:t>
      </w:r>
      <w:r w:rsidRPr="004A4B25">
        <w:rPr>
          <w:rFonts w:cstheme="minorHAnsi"/>
          <w:szCs w:val="24"/>
        </w:rPr>
        <w:t xml:space="preserve">similarly-sized </w:t>
      </w:r>
      <w:r>
        <w:rPr>
          <w:rFonts w:cstheme="minorHAnsi"/>
          <w:szCs w:val="24"/>
        </w:rPr>
        <w:t xml:space="preserve">or larger </w:t>
      </w:r>
      <w:r w:rsidRPr="004A4B25">
        <w:rPr>
          <w:rFonts w:cstheme="minorHAnsi"/>
          <w:szCs w:val="24"/>
        </w:rPr>
        <w:t>area</w:t>
      </w:r>
      <w:r>
        <w:rPr>
          <w:rFonts w:cstheme="minorHAnsi"/>
          <w:szCs w:val="24"/>
        </w:rPr>
        <w:t>s</w:t>
      </w:r>
      <w:r w:rsidRPr="004A4B25">
        <w:rPr>
          <w:rFonts w:cstheme="minorHAnsi"/>
          <w:szCs w:val="24"/>
        </w:rPr>
        <w:t xml:space="preserve"> within the same census block group </w:t>
      </w:r>
      <w:r>
        <w:rPr>
          <w:rFonts w:cstheme="minorHAnsi"/>
          <w:szCs w:val="24"/>
        </w:rPr>
        <w:t xml:space="preserve">(or census tract if necessary) </w:t>
      </w:r>
      <w:r w:rsidRPr="004A4B25">
        <w:rPr>
          <w:rFonts w:cstheme="minorHAnsi"/>
          <w:szCs w:val="24"/>
        </w:rPr>
        <w:t xml:space="preserve">that </w:t>
      </w:r>
      <w:r>
        <w:rPr>
          <w:rFonts w:cstheme="minorHAnsi"/>
          <w:szCs w:val="24"/>
        </w:rPr>
        <w:t>are</w:t>
      </w:r>
      <w:r w:rsidRPr="004A4B25">
        <w:rPr>
          <w:rFonts w:cstheme="minorHAnsi"/>
          <w:szCs w:val="24"/>
        </w:rPr>
        <w:t xml:space="preserve"> unaffected by the LPE because they are in a different pressure zone</w:t>
      </w:r>
      <w:r>
        <w:rPr>
          <w:rFonts w:cstheme="minorHAnsi"/>
          <w:szCs w:val="24"/>
        </w:rPr>
        <w:t>, upstream of the event, involve a separate loop,</w:t>
      </w:r>
      <w:r w:rsidRPr="004A4B25">
        <w:rPr>
          <w:rFonts w:cstheme="minorHAnsi"/>
          <w:szCs w:val="24"/>
        </w:rPr>
        <w:t xml:space="preserve"> or </w:t>
      </w:r>
      <w:r>
        <w:rPr>
          <w:rFonts w:cstheme="minorHAnsi"/>
          <w:szCs w:val="24"/>
        </w:rPr>
        <w:t xml:space="preserve">are </w:t>
      </w:r>
      <w:r w:rsidRPr="004A4B25">
        <w:rPr>
          <w:rFonts w:cstheme="minorHAnsi"/>
          <w:szCs w:val="24"/>
        </w:rPr>
        <w:t xml:space="preserve">in an area of the distribution system separate from the area of the LPE. </w:t>
      </w:r>
      <w:r>
        <w:rPr>
          <w:rFonts w:cstheme="minorHAnsi"/>
          <w:szCs w:val="24"/>
        </w:rPr>
        <w:t>From the potential areas identified, utilities will identify an area that matches the affected (event) area in terms of predominant housing type, pipe size and material, and origin of water</w:t>
      </w:r>
      <w:r w:rsidR="00F4461B">
        <w:rPr>
          <w:rFonts w:cstheme="minorHAnsi"/>
          <w:szCs w:val="24"/>
        </w:rPr>
        <w:t>, as detailed on the Low Pressure Event form</w:t>
      </w:r>
      <w:r>
        <w:rPr>
          <w:rFonts w:cstheme="minorHAnsi"/>
          <w:szCs w:val="24"/>
        </w:rPr>
        <w:t xml:space="preserve">. If </w:t>
      </w:r>
      <w:r w:rsidR="00F4461B">
        <w:rPr>
          <w:rFonts w:cstheme="minorHAnsi"/>
          <w:szCs w:val="24"/>
        </w:rPr>
        <w:t>multiple</w:t>
      </w:r>
      <w:r>
        <w:rPr>
          <w:rFonts w:cstheme="minorHAnsi"/>
          <w:szCs w:val="24"/>
        </w:rPr>
        <w:t xml:space="preserve"> </w:t>
      </w:r>
      <w:r w:rsidR="00F4461B">
        <w:rPr>
          <w:rFonts w:cstheme="minorHAnsi"/>
          <w:szCs w:val="24"/>
        </w:rPr>
        <w:t xml:space="preserve">potential </w:t>
      </w:r>
      <w:r>
        <w:rPr>
          <w:rFonts w:cstheme="minorHAnsi"/>
          <w:szCs w:val="24"/>
        </w:rPr>
        <w:t>matching area</w:t>
      </w:r>
      <w:r w:rsidR="00F4461B">
        <w:rPr>
          <w:rFonts w:cstheme="minorHAnsi"/>
          <w:szCs w:val="24"/>
        </w:rPr>
        <w:t>s</w:t>
      </w:r>
      <w:r>
        <w:rPr>
          <w:rFonts w:cstheme="minorHAnsi"/>
          <w:szCs w:val="24"/>
        </w:rPr>
        <w:t xml:space="preserve"> </w:t>
      </w:r>
      <w:r w:rsidR="00F4461B">
        <w:rPr>
          <w:rFonts w:cstheme="minorHAnsi"/>
          <w:szCs w:val="24"/>
        </w:rPr>
        <w:t xml:space="preserve">are </w:t>
      </w:r>
      <w:r>
        <w:rPr>
          <w:rFonts w:cstheme="minorHAnsi"/>
          <w:szCs w:val="24"/>
        </w:rPr>
        <w:t xml:space="preserve">found, </w:t>
      </w:r>
      <w:r w:rsidR="00F4461B">
        <w:rPr>
          <w:rFonts w:cstheme="minorHAnsi"/>
          <w:szCs w:val="24"/>
        </w:rPr>
        <w:t>CDC will</w:t>
      </w:r>
      <w:r>
        <w:rPr>
          <w:rFonts w:cstheme="minorHAnsi"/>
          <w:szCs w:val="24"/>
        </w:rPr>
        <w:t xml:space="preserve"> randomly select </w:t>
      </w:r>
      <w:r w:rsidR="00F4461B">
        <w:rPr>
          <w:rFonts w:cstheme="minorHAnsi"/>
          <w:szCs w:val="24"/>
        </w:rPr>
        <w:t xml:space="preserve">the </w:t>
      </w:r>
      <w:r>
        <w:rPr>
          <w:rFonts w:cstheme="minorHAnsi"/>
          <w:szCs w:val="24"/>
        </w:rPr>
        <w:t>area</w:t>
      </w:r>
      <w:r w:rsidR="00F4461B">
        <w:rPr>
          <w:rFonts w:cstheme="minorHAnsi"/>
          <w:szCs w:val="24"/>
        </w:rPr>
        <w:t xml:space="preserve"> for inclusion</w:t>
      </w:r>
      <w:r>
        <w:rPr>
          <w:rFonts w:cstheme="minorHAnsi"/>
          <w:szCs w:val="24"/>
        </w:rPr>
        <w:t>.</w:t>
      </w:r>
    </w:p>
    <w:p w14:paraId="27D66FC4" w14:textId="77777777" w:rsidR="0042207C" w:rsidRDefault="0042207C" w:rsidP="0042207C"/>
    <w:p w14:paraId="688A8BE4" w14:textId="65D768E1" w:rsidR="0042207C" w:rsidRDefault="0042207C" w:rsidP="0042207C">
      <w:r w:rsidRPr="007F7B1D">
        <w:t xml:space="preserve">The utility will provide the billing addresses of the exposed and unexposed households </w:t>
      </w:r>
      <w:r w:rsidR="00093D21">
        <w:t xml:space="preserve">or the mailing addresses from public assessor information </w:t>
      </w:r>
      <w:r w:rsidRPr="007F7B1D">
        <w:t xml:space="preserve">to CDC research staff within one week of an LPE. From this address list, a random sample of exposed and unexposed households will </w:t>
      </w:r>
      <w:r>
        <w:t>be generated by CDC study staff (see section B.1 for details on sampling)</w:t>
      </w:r>
      <w:r w:rsidRPr="007F7B1D">
        <w:t>. Households will only be surveyed once (either as a household exposed to an LPE or as an unexposed household).</w:t>
      </w:r>
    </w:p>
    <w:p w14:paraId="7CFBF8B5" w14:textId="77777777" w:rsidR="00F406B5" w:rsidRDefault="00F406B5" w:rsidP="0042207C">
      <w:pPr>
        <w:rPr>
          <w:bCs/>
          <w:i/>
        </w:rPr>
      </w:pPr>
    </w:p>
    <w:p w14:paraId="396761F1" w14:textId="77777777" w:rsidR="0042207C" w:rsidRPr="007F7B1D" w:rsidRDefault="0042207C" w:rsidP="0042207C">
      <w:r>
        <w:t xml:space="preserve">Household respondents </w:t>
      </w:r>
      <w:r w:rsidRPr="007F7B1D">
        <w:t xml:space="preserve">must be English-speaking and </w:t>
      </w:r>
      <w:r>
        <w:rPr>
          <w:rFonts w:cs="Times New Roman"/>
        </w:rPr>
        <w:t>≥</w:t>
      </w:r>
      <w:r w:rsidRPr="007F7B1D">
        <w:t xml:space="preserve">18 years of age in order to be eligible to participate in the study. Children will </w:t>
      </w:r>
      <w:r w:rsidRPr="007F7B1D">
        <w:lastRenderedPageBreak/>
        <w:t xml:space="preserve">not be targeted to be enrolled in the study per se, as we will not survey anyone &lt;18 years of age. However, the parent or guardian of a child may respond to the questionnaire regarding recent illness and exposures of children in his/her household. </w:t>
      </w:r>
      <w:r w:rsidR="00F4461B">
        <w:t>Households that have been invited to participate in response to a previous event will not be included in the sampling frame for subsequent events.</w:t>
      </w:r>
    </w:p>
    <w:p w14:paraId="4E252960" w14:textId="77777777" w:rsidR="0042207C" w:rsidRPr="007F7B1D" w:rsidRDefault="0042207C" w:rsidP="0042207C"/>
    <w:p w14:paraId="02B12504" w14:textId="7C161F4C" w:rsidR="0042207C" w:rsidRDefault="0042207C" w:rsidP="0042207C">
      <w:r w:rsidRPr="007F7B1D">
        <w:t xml:space="preserve">Water connection addresses that are linked to businesses will be excluded. Residential facilities such as nursing homes or long-term care facilities will also be excluded because populations in these facilities generally have a higher rate of underlying medical conditions which predisposes them to a higher baseline incidence of diarrheal illness. They will be excluded to avoid bias. </w:t>
      </w:r>
      <w:r w:rsidR="00093D21" w:rsidRPr="00AD4665">
        <w:rPr>
          <w:bCs/>
        </w:rPr>
        <w:t xml:space="preserve">To exclude potentially ineligible residential properties (e.g., rental properties or seasonal homes), we </w:t>
      </w:r>
      <w:r w:rsidR="00093D21">
        <w:rPr>
          <w:bCs/>
        </w:rPr>
        <w:t xml:space="preserve">will </w:t>
      </w:r>
      <w:r w:rsidR="00093D21" w:rsidRPr="00AD4665">
        <w:rPr>
          <w:bCs/>
        </w:rPr>
        <w:t>exclude addresses for which the mailing and premise addresses d</w:t>
      </w:r>
      <w:r w:rsidR="00093D21">
        <w:rPr>
          <w:bCs/>
        </w:rPr>
        <w:t>o</w:t>
      </w:r>
      <w:r w:rsidR="00093D21" w:rsidRPr="00AD4665">
        <w:rPr>
          <w:bCs/>
        </w:rPr>
        <w:t xml:space="preserve"> not match</w:t>
      </w:r>
      <w:r w:rsidR="00093D21">
        <w:rPr>
          <w:bCs/>
        </w:rPr>
        <w:t>.</w:t>
      </w:r>
      <w:r w:rsidRPr="007F7B1D">
        <w:t xml:space="preserve"> </w:t>
      </w:r>
    </w:p>
    <w:p w14:paraId="60E5B576" w14:textId="77777777" w:rsidR="0042207C" w:rsidRDefault="0042207C" w:rsidP="0042207C"/>
    <w:p w14:paraId="34ECBC1A" w14:textId="547492FF" w:rsidR="0042207C" w:rsidRDefault="0042207C" w:rsidP="0042207C">
      <w:r>
        <w:t>All potential study participants will have advance notice of the survey. An advance letter with information about the study (</w:t>
      </w:r>
      <w:r w:rsidR="005C1936">
        <w:t xml:space="preserve">Attachment </w:t>
      </w:r>
      <w:r w:rsidR="000E44DF">
        <w:t>F</w:t>
      </w:r>
      <w:r>
        <w:t xml:space="preserve">) will be mailed to each selected household </w:t>
      </w:r>
      <w:r w:rsidRPr="005C1936">
        <w:t xml:space="preserve">approximately </w:t>
      </w:r>
      <w:r w:rsidR="005C1936" w:rsidRPr="00D75973">
        <w:t xml:space="preserve">1-1.5 </w:t>
      </w:r>
      <w:r w:rsidRPr="005C1936">
        <w:t>weeks after the low pressure event. The letter will be personalized with the utility customer’s name and home address using CDC stationary, and will be signed by the principal investigator</w:t>
      </w:r>
      <w:r>
        <w:t xml:space="preserve">. This letter will introduce the importance of the study and inform residents that they will receive a survey packet in a few days, with options to complete the paper survey and mail it in or to complete it online using a unique code. </w:t>
      </w:r>
      <w:r w:rsidRPr="00176FF5">
        <w:t xml:space="preserve">The advance letter will also inform study participants that they will receive </w:t>
      </w:r>
      <w:r>
        <w:t xml:space="preserve">a small gift (the refrigerator magnet) </w:t>
      </w:r>
      <w:r w:rsidRPr="00176FF5">
        <w:t xml:space="preserve">in their study packet </w:t>
      </w:r>
      <w:r>
        <w:t>as a token of our appreciation for their participation.</w:t>
      </w:r>
    </w:p>
    <w:p w14:paraId="78F8F2A1" w14:textId="77777777" w:rsidR="0042207C" w:rsidRPr="007F7B1D" w:rsidRDefault="0042207C" w:rsidP="0042207C"/>
    <w:p w14:paraId="4EAC383D" w14:textId="0E167835" w:rsidR="0042207C" w:rsidRDefault="0042207C" w:rsidP="0042207C">
      <w:r w:rsidRPr="007F7B1D">
        <w:lastRenderedPageBreak/>
        <w:t xml:space="preserve">A survey packet, including an introductory letter, </w:t>
      </w:r>
      <w:r>
        <w:t xml:space="preserve">study brochure with consent </w:t>
      </w:r>
      <w:r w:rsidRPr="00895659">
        <w:t>information (</w:t>
      </w:r>
      <w:r w:rsidR="00895659" w:rsidRPr="00895659">
        <w:t>A</w:t>
      </w:r>
      <w:r w:rsidR="00895659" w:rsidRPr="00D75973">
        <w:t>ttachments</w:t>
      </w:r>
      <w:r w:rsidR="00895659" w:rsidRPr="00895659">
        <w:t xml:space="preserve"> G</w:t>
      </w:r>
      <w:r w:rsidR="00A74E0B">
        <w:t>, H, and I</w:t>
      </w:r>
      <w:r w:rsidRPr="00895659">
        <w:t>) and the household survey (</w:t>
      </w:r>
      <w:r w:rsidR="00895659" w:rsidRPr="00895659">
        <w:t>A</w:t>
      </w:r>
      <w:r w:rsidR="00895659" w:rsidRPr="00D75973">
        <w:t>ttachments</w:t>
      </w:r>
      <w:r w:rsidR="00895659" w:rsidRPr="00895659">
        <w:t xml:space="preserve"> </w:t>
      </w:r>
      <w:r w:rsidR="00A74E0B">
        <w:t>J</w:t>
      </w:r>
      <w:r w:rsidR="0013631F" w:rsidRPr="00895659">
        <w:t xml:space="preserve"> and </w:t>
      </w:r>
      <w:r w:rsidR="00A74E0B">
        <w:t>K</w:t>
      </w:r>
      <w:r w:rsidRPr="00895659">
        <w:t>), will be mailed from CDC to each randomly selected exposed and unexposed household</w:t>
      </w:r>
      <w:r w:rsidRPr="00304CB6">
        <w:t xml:space="preserve"> approximately </w:t>
      </w:r>
      <w:r w:rsidR="00895659">
        <w:t>two</w:t>
      </w:r>
      <w:r w:rsidR="00895659" w:rsidRPr="00304CB6">
        <w:t xml:space="preserve"> </w:t>
      </w:r>
      <w:r w:rsidRPr="00304CB6">
        <w:t xml:space="preserve">weeks </w:t>
      </w:r>
      <w:r w:rsidRPr="00895659">
        <w:t xml:space="preserve">after the LPE (i.e., </w:t>
      </w:r>
      <w:r w:rsidR="00895659">
        <w:t>0</w:t>
      </w:r>
      <w:r w:rsidRPr="00895659">
        <w:t xml:space="preserve">.5-1 week after the advance letter). </w:t>
      </w:r>
      <w:r w:rsidR="00803700" w:rsidRPr="00895659">
        <w:t>Mailed</w:t>
      </w:r>
      <w:r w:rsidR="00803700">
        <w:t xml:space="preserve"> study materials will also direct participants to a study website (</w:t>
      </w:r>
      <w:hyperlink r:id="rId8" w:history="1">
        <w:r w:rsidR="00803700">
          <w:rPr>
            <w:rStyle w:val="Hyperlink"/>
          </w:rPr>
          <w:t>http://www.cdc.gov/healthywater/study.html</w:t>
        </w:r>
      </w:hyperlink>
      <w:r w:rsidR="00803700" w:rsidRPr="00803700">
        <w:rPr>
          <w:color w:val="000000" w:themeColor="text1"/>
        </w:rPr>
        <w:t xml:space="preserve">) where they can seek more information about the study or link to the secure study website to take the survey online. </w:t>
      </w:r>
      <w:r w:rsidRPr="00304CB6">
        <w:t xml:space="preserve">In addition, a refrigerator magnet </w:t>
      </w:r>
      <w:r w:rsidR="0005416F">
        <w:t xml:space="preserve">depicting a calendar </w:t>
      </w:r>
      <w:r w:rsidRPr="00304CB6">
        <w:t>will be included with the designated</w:t>
      </w:r>
      <w:r w:rsidR="00895659">
        <w:t xml:space="preserve"> two</w:t>
      </w:r>
      <w:r w:rsidRPr="00304CB6">
        <w:t xml:space="preserve"> week period of interest highlighted</w:t>
      </w:r>
      <w:r w:rsidRPr="00374382">
        <w:t xml:space="preserve"> </w:t>
      </w:r>
      <w:r w:rsidRPr="00304CB6">
        <w:t xml:space="preserve">as a reminder for the household to only answer about those days indicated. </w:t>
      </w:r>
      <w:r w:rsidR="00895659">
        <w:t xml:space="preserve">Two to three </w:t>
      </w:r>
      <w:r w:rsidRPr="00304CB6">
        <w:t>weeks is generally the maximum incub</w:t>
      </w:r>
      <w:r w:rsidRPr="007F7B1D">
        <w:t>ation period for pathogens known to cause waterborne AGI and ARI. Therefore, those persons who were exposed to these pathogens during the LPE will likely have developed symptoms by the time they receive the questionnaire. The letter will include information about the study and invite the recipient to participate</w:t>
      </w:r>
      <w:r>
        <w:t xml:space="preserve">. </w:t>
      </w:r>
      <w:r w:rsidRPr="007F7B1D">
        <w:t xml:space="preserve">In order to maximize response rates, we will give survey participants the </w:t>
      </w:r>
      <w:r>
        <w:t>choice of</w:t>
      </w:r>
      <w:r w:rsidRPr="007F7B1D">
        <w:t xml:space="preserve"> t</w:t>
      </w:r>
      <w:r>
        <w:t>w</w:t>
      </w:r>
      <w:r w:rsidRPr="007F7B1D">
        <w:t xml:space="preserve">o </w:t>
      </w:r>
      <w:r>
        <w:t xml:space="preserve">response modes: </w:t>
      </w:r>
      <w:r w:rsidRPr="007F7B1D">
        <w:t>over the internet using a web-based survey tool, or via postal mail. The introductory letter will provide a study identification number that the respondent will use as a pass</w:t>
      </w:r>
      <w:r>
        <w:t xml:space="preserve"> </w:t>
      </w:r>
      <w:r w:rsidRPr="007F7B1D">
        <w:t>code to enter on the survey website, should the respondent prefer to complete the survey online.</w:t>
      </w:r>
      <w:r>
        <w:t xml:space="preserve"> This information will be duplicated in a label on the front of the survey booklet.</w:t>
      </w:r>
      <w:r w:rsidRPr="007F7B1D">
        <w:t xml:space="preserve"> We will include a postage-paid return envelope (addressed to CDC) </w:t>
      </w:r>
      <w:r>
        <w:t>for return of paper surveys</w:t>
      </w:r>
      <w:r w:rsidRPr="007F7B1D">
        <w:t xml:space="preserve">. </w:t>
      </w:r>
      <w:r>
        <w:t xml:space="preserve">The calendar </w:t>
      </w:r>
      <w:r w:rsidR="0005416F">
        <w:t xml:space="preserve">magnet </w:t>
      </w:r>
      <w:r>
        <w:t xml:space="preserve">included in the survey packet will have the dates of the </w:t>
      </w:r>
      <w:r w:rsidR="005C1936">
        <w:t>2</w:t>
      </w:r>
      <w:r>
        <w:t>-week period of interest highlighted.</w:t>
      </w:r>
      <w:r w:rsidR="00895659">
        <w:t xml:space="preserve"> </w:t>
      </w:r>
      <w:r w:rsidR="00393610">
        <w:t>Some</w:t>
      </w:r>
      <w:r w:rsidR="00895659">
        <w:t xml:space="preserve"> residents will be emailed a link to the web survey, when this information is available from the utility</w:t>
      </w:r>
      <w:r w:rsidR="00393610">
        <w:t xml:space="preserve"> (Attachment </w:t>
      </w:r>
      <w:r w:rsidR="00690FF0">
        <w:t>H</w:t>
      </w:r>
      <w:r w:rsidR="00393610">
        <w:t>)</w:t>
      </w:r>
      <w:r w:rsidR="00895659">
        <w:t>.</w:t>
      </w:r>
      <w:r>
        <w:t xml:space="preserve"> </w:t>
      </w:r>
      <w:r w:rsidRPr="007F7B1D">
        <w:t xml:space="preserve">By utilizing multiple survey methods, we hope to have equitable recruitment of subjects. </w:t>
      </w:r>
    </w:p>
    <w:p w14:paraId="3FF64930" w14:textId="77777777" w:rsidR="0042207C" w:rsidRPr="007F7B1D" w:rsidRDefault="0042207C" w:rsidP="0042207C"/>
    <w:p w14:paraId="66629140" w14:textId="77777777" w:rsidR="0042207C" w:rsidRDefault="0042207C" w:rsidP="0042207C">
      <w:r w:rsidRPr="004E4298">
        <w:t xml:space="preserve">We will attempt to </w:t>
      </w:r>
      <w:r>
        <w:t>obtain survey information on</w:t>
      </w:r>
      <w:r w:rsidRPr="004E4298">
        <w:t xml:space="preserve"> </w:t>
      </w:r>
      <w:r>
        <w:t>all members of each</w:t>
      </w:r>
      <w:r w:rsidRPr="004E4298">
        <w:t xml:space="preserve"> household</w:t>
      </w:r>
      <w:r>
        <w:t xml:space="preserve"> (limited to 6 in the paper version of the survey due to printing constraints)</w:t>
      </w:r>
      <w:r w:rsidRPr="004E4298">
        <w:t>. Study participants will receive a refrigerator magnet calendar from the CDC as a</w:t>
      </w:r>
      <w:r>
        <w:t xml:space="preserve"> visual aid to improve recall and as </w:t>
      </w:r>
      <w:r w:rsidRPr="004E4298">
        <w:t xml:space="preserve">a token </w:t>
      </w:r>
      <w:r>
        <w:t>gift designed to improve response rates</w:t>
      </w:r>
      <w:r w:rsidRPr="004E4298">
        <w:t>.</w:t>
      </w:r>
    </w:p>
    <w:p w14:paraId="6E6B23C8" w14:textId="77777777" w:rsidR="0042207C" w:rsidRPr="007F7B1D" w:rsidRDefault="0042207C" w:rsidP="0042207C"/>
    <w:p w14:paraId="403697C6" w14:textId="77777777" w:rsidR="0042207C" w:rsidRDefault="0042207C" w:rsidP="0042207C">
      <w:r w:rsidRPr="002F123D">
        <w:t>The survey participants will indicate their consent to participate by completing the survey (in the postal and online versions of the survey).</w:t>
      </w:r>
      <w:r w:rsidRPr="007F7B1D">
        <w:t xml:space="preserve"> Instructions will clearly state that only individuals </w:t>
      </w:r>
      <w:r w:rsidRPr="007F7B1D">
        <w:rPr>
          <w:u w:val="single"/>
        </w:rPr>
        <w:t>&gt;</w:t>
      </w:r>
      <w:r w:rsidRPr="007F7B1D">
        <w:t xml:space="preserve"> 18 years of age are eligible to </w:t>
      </w:r>
      <w:r>
        <w:t>fill out the questionnaire</w:t>
      </w:r>
      <w:r w:rsidRPr="007F7B1D">
        <w:t>. No names will be collected at any time during the study.</w:t>
      </w:r>
    </w:p>
    <w:p w14:paraId="09695934" w14:textId="77777777" w:rsidR="0042207C" w:rsidRPr="007F7B1D" w:rsidRDefault="0042207C" w:rsidP="0042207C"/>
    <w:p w14:paraId="10363199" w14:textId="24B307B8" w:rsidR="0042207C" w:rsidRDefault="0042207C" w:rsidP="0042207C">
      <w:bookmarkStart w:id="5" w:name="_Toc263405057"/>
      <w:r>
        <w:t>Both</w:t>
      </w:r>
      <w:r w:rsidRPr="007F7B1D">
        <w:t xml:space="preserve"> versions of the study questionnaire </w:t>
      </w:r>
      <w:r>
        <w:t>will</w:t>
      </w:r>
      <w:r w:rsidRPr="007F7B1D">
        <w:t xml:space="preserve"> ask the same standardized questions from each household member concerning his or her recent gastrointestinal or respiratory illnesses, water </w:t>
      </w:r>
      <w:r>
        <w:t>service and exposures,</w:t>
      </w:r>
      <w:r w:rsidRPr="007F7B1D">
        <w:t xml:space="preserve"> and other activities. The questionnaire will focus on the </w:t>
      </w:r>
      <w:r w:rsidR="005C1936">
        <w:t>two</w:t>
      </w:r>
      <w:r w:rsidRPr="007F7B1D">
        <w:t xml:space="preserve"> week time period after the LPE (referred to in the survey as the “</w:t>
      </w:r>
      <w:r>
        <w:t>t</w:t>
      </w:r>
      <w:r w:rsidR="005C1936">
        <w:t>wo</w:t>
      </w:r>
      <w:r>
        <w:t xml:space="preserve"> week period</w:t>
      </w:r>
      <w:r w:rsidRPr="007F7B1D">
        <w:t xml:space="preserve">”). For households where children &lt;18 years of age are present, we will ask a parent or guardian to answer questions and provide information on behalf of the child. Data from the paper-based surveys </w:t>
      </w:r>
      <w:r>
        <w:t>will</w:t>
      </w:r>
      <w:r w:rsidRPr="007F7B1D">
        <w:t xml:space="preserve"> be manually entered into the electronic database at CDC that </w:t>
      </w:r>
      <w:r>
        <w:t>will</w:t>
      </w:r>
      <w:r w:rsidRPr="007F7B1D">
        <w:t xml:space="preserve"> also house the data from the web-based surveys. </w:t>
      </w:r>
      <w:r w:rsidR="00415BD5">
        <w:t>Data from the web-based surveys will be saved automatically in the database after the participant answers a question.</w:t>
      </w:r>
    </w:p>
    <w:p w14:paraId="0A1962F9" w14:textId="77777777" w:rsidR="0042207C" w:rsidRDefault="0042207C" w:rsidP="0042207C"/>
    <w:p w14:paraId="3188D1D6" w14:textId="0F0E3E75" w:rsidR="0042207C" w:rsidRDefault="0042207C" w:rsidP="0042207C">
      <w:r>
        <w:t xml:space="preserve">One week after mailing the survey packet, we will send a personalized thank you/reminder notecard to the selected exposed </w:t>
      </w:r>
      <w:r w:rsidRPr="00393610">
        <w:t>and control households (</w:t>
      </w:r>
      <w:r w:rsidR="00393610" w:rsidRPr="00393610">
        <w:t>A</w:t>
      </w:r>
      <w:r w:rsidR="00393610" w:rsidRPr="00CE57FB">
        <w:t xml:space="preserve">ttachment </w:t>
      </w:r>
      <w:r w:rsidR="004E55EC">
        <w:t>L</w:t>
      </w:r>
      <w:r w:rsidRPr="00393610">
        <w:t>).</w:t>
      </w:r>
      <w:r>
        <w:t xml:space="preserve"> The notecard will thank participants who already responded and request that those who have not </w:t>
      </w:r>
      <w:r>
        <w:lastRenderedPageBreak/>
        <w:t>yet responded do so. Participants will be reminded that they are important to the study, that their responses are useful, and that their participation is voluntary. The participant’s individual login and passcode for the web survey will be included on the card, and participants will also be given a phone number to call with questions or to request a replacement questionnaire.</w:t>
      </w:r>
    </w:p>
    <w:p w14:paraId="68E6BBE2" w14:textId="77777777" w:rsidR="0042207C" w:rsidRDefault="0042207C" w:rsidP="0042207C"/>
    <w:p w14:paraId="3DA63B29" w14:textId="09B0CE30" w:rsidR="00393610" w:rsidRDefault="0042207C" w:rsidP="0042207C">
      <w:r>
        <w:t xml:space="preserve">One week after mailing the thank you/reminder card, we will mail a replacement questionnaire packet to households that have not yet responded. The packet will contain essentially the same information as the first questionnaire mailing, but the letter will be altered slightly to indicate that we have not yet received their response, remind them that participation is easy and quick, and provides important information for public health planning </w:t>
      </w:r>
      <w:r w:rsidRPr="00B213B6">
        <w:t>(A</w:t>
      </w:r>
      <w:r w:rsidR="00393610">
        <w:t>ttachment</w:t>
      </w:r>
      <w:r w:rsidRPr="00B213B6">
        <w:t xml:space="preserve"> </w:t>
      </w:r>
      <w:r w:rsidR="004E55EC">
        <w:t>M</w:t>
      </w:r>
      <w:r>
        <w:t>), and a hand-written Post-It note encouraging them to respond.</w:t>
      </w:r>
      <w:r w:rsidR="00393610">
        <w:t xml:space="preserve"> For customers with available email address information, a reminder email with a survey link will also be sent (Attachment </w:t>
      </w:r>
      <w:r w:rsidR="00E94613">
        <w:t>N</w:t>
      </w:r>
      <w:r w:rsidR="00393610">
        <w:t>).</w:t>
      </w:r>
    </w:p>
    <w:p w14:paraId="4B86E100" w14:textId="77777777" w:rsidR="0042207C" w:rsidRDefault="0042207C" w:rsidP="0042207C"/>
    <w:p w14:paraId="35F7A11A" w14:textId="5EE2B7EA" w:rsidR="008C451E" w:rsidRDefault="00237A88" w:rsidP="0042207C">
      <w:r w:rsidRPr="00AB60DD">
        <w:t>One week</w:t>
      </w:r>
      <w:r w:rsidRPr="00BD2B97">
        <w:t xml:space="preserve"> after mailing the replacement questionnaire</w:t>
      </w:r>
      <w:r>
        <w:t>, the study team will place an</w:t>
      </w:r>
      <w:r w:rsidR="008C451E" w:rsidRPr="00AD4665">
        <w:t xml:space="preserve"> outbound telephone call as a reminder before the final appeal letter is sent in an attempt to fur</w:t>
      </w:r>
      <w:r w:rsidR="008C451E">
        <w:t xml:space="preserve">ther increase the response rate (Attachment </w:t>
      </w:r>
      <w:r w:rsidR="004E55EC">
        <w:t>O</w:t>
      </w:r>
      <w:r w:rsidR="008C451E">
        <w:t>).</w:t>
      </w:r>
    </w:p>
    <w:p w14:paraId="142603D5" w14:textId="77777777" w:rsidR="008C451E" w:rsidRDefault="008C451E" w:rsidP="0042207C">
      <w:pPr>
        <w:rPr>
          <w:i/>
        </w:rPr>
      </w:pPr>
    </w:p>
    <w:p w14:paraId="17F49D90" w14:textId="3AB679DA" w:rsidR="0042207C" w:rsidRDefault="0042207C" w:rsidP="0042207C">
      <w:r w:rsidRPr="00237A88">
        <w:t>One week</w:t>
      </w:r>
      <w:r w:rsidRPr="00BD2B97">
        <w:t xml:space="preserve"> after </w:t>
      </w:r>
      <w:r w:rsidR="00237A88">
        <w:t>placing the reminder telephone call</w:t>
      </w:r>
      <w:r w:rsidRPr="00BD2B97">
        <w:t>, we will send a final mailing to non-responders</w:t>
      </w:r>
      <w:r w:rsidRPr="00374382">
        <w:t xml:space="preserve"> (</w:t>
      </w:r>
      <w:r w:rsidR="008C451E">
        <w:t xml:space="preserve">Attachment </w:t>
      </w:r>
      <w:r w:rsidR="000241D2">
        <w:t>P</w:t>
      </w:r>
      <w:r w:rsidRPr="00374382">
        <w:t>)</w:t>
      </w:r>
      <w:r w:rsidRPr="00BD2B97">
        <w:t>. This</w:t>
      </w:r>
      <w:r w:rsidRPr="00374382">
        <w:t xml:space="preserve"> final</w:t>
      </w:r>
      <w:r w:rsidRPr="00BD2B97">
        <w:t xml:space="preserve"> letter will be in a different color envelope</w:t>
      </w:r>
      <w:r w:rsidRPr="00374382">
        <w:t xml:space="preserve">, </w:t>
      </w:r>
      <w:r w:rsidRPr="00BD2B97">
        <w:t>contain a personalized letter on CDC letterhead with the signature of the principal investigator</w:t>
      </w:r>
      <w:r w:rsidRPr="00374382">
        <w:t xml:space="preserve">, and have a </w:t>
      </w:r>
      <w:r w:rsidRPr="00BD2B97">
        <w:t>reminder of the participant’s individual passcode for the web survey. This letter will convey</w:t>
      </w:r>
      <w:r>
        <w:t xml:space="preserve"> a sense of urgency that time is running out for participation, and inform participants that all responses must be received within two weeks. Responses received by mail or </w:t>
      </w:r>
      <w:r>
        <w:lastRenderedPageBreak/>
        <w:t xml:space="preserve">internet more than 8 weeks from the low pressure events will still be accepted, and a sensitivity analysis will be used to determine whether these late responses introduce recall bias. </w:t>
      </w:r>
    </w:p>
    <w:p w14:paraId="1E4D640C" w14:textId="77777777" w:rsidR="0042207C" w:rsidRPr="007F7B1D" w:rsidRDefault="0042207C" w:rsidP="0042207C"/>
    <w:bookmarkEnd w:id="5"/>
    <w:p w14:paraId="22946B61" w14:textId="002962EC" w:rsidR="0042207C" w:rsidRPr="007F7B1D" w:rsidRDefault="0042207C" w:rsidP="0042207C">
      <w:r w:rsidRPr="007F7B1D">
        <w:t>In addition to the information collected from the study participants, data will be collected from the water utility about the LPE</w:t>
      </w:r>
      <w:r w:rsidR="002D4DF9">
        <w:t xml:space="preserve"> using the LPE form</w:t>
      </w:r>
      <w:r w:rsidRPr="007F7B1D">
        <w:t xml:space="preserve"> (</w:t>
      </w:r>
      <w:r w:rsidR="00C55697">
        <w:t xml:space="preserve">Attachment </w:t>
      </w:r>
      <w:r w:rsidR="000241D2">
        <w:t>R</w:t>
      </w:r>
      <w:r w:rsidRPr="007F7B1D">
        <w:t xml:space="preserve">). </w:t>
      </w:r>
      <w:r w:rsidR="002D4DF9">
        <w:t xml:space="preserve">The utility repair crew will complete one LPE form per event, and a utility manager will review and approve the form before sending the form to CDC. Prior to the final selection of exposed and unexposed areas, the CDC study team will review the information and request follow-up from utility staff for missing or unclear information. </w:t>
      </w:r>
      <w:r w:rsidRPr="00374382">
        <w:t>The water utility will provide information</w:t>
      </w:r>
      <w:r w:rsidRPr="00DB0A64">
        <w:t xml:space="preserve"> on the condition of the distribution system infrastructure (e.g., age and type of pipe material), the duration of the LPE, the extent of the areas of the population affected (e.g., the number of households), location of wastewater and storm water collection systems in relation to the impacted water line, and procedures used to restore the distribution system after the LPE.</w:t>
      </w:r>
      <w:r w:rsidRPr="007F7B1D">
        <w:t xml:space="preserve"> Hydraulic model outputs and monitoring data </w:t>
      </w:r>
      <w:r>
        <w:t xml:space="preserve">including </w:t>
      </w:r>
      <w:r w:rsidRPr="007F7B1D">
        <w:t xml:space="preserve">total coliforms, disinfectant residuals, turbidity and other information that relates to the microbiological status of the distribution system </w:t>
      </w:r>
      <w:r>
        <w:t>may</w:t>
      </w:r>
      <w:r w:rsidRPr="007F7B1D">
        <w:t xml:space="preserve"> </w:t>
      </w:r>
      <w:r>
        <w:t xml:space="preserve">also </w:t>
      </w:r>
      <w:r w:rsidRPr="007F7B1D">
        <w:t xml:space="preserve">be collected. </w:t>
      </w:r>
    </w:p>
    <w:p w14:paraId="32E823A8" w14:textId="77777777" w:rsidR="0042207C" w:rsidRPr="007F7B1D" w:rsidRDefault="0042207C" w:rsidP="0042207C"/>
    <w:p w14:paraId="0EACBF72" w14:textId="5FBE00A1" w:rsidR="0042207C" w:rsidRPr="00374382" w:rsidRDefault="008C621B" w:rsidP="0042207C">
      <w:r>
        <w:t xml:space="preserve">We will also </w:t>
      </w:r>
      <w:r w:rsidR="0042207C" w:rsidRPr="007F7B1D">
        <w:t xml:space="preserve">conduct supplemental environmental sampling. For each LPE, </w:t>
      </w:r>
      <w:r w:rsidR="0042207C">
        <w:t xml:space="preserve">utility company personnel dispatched to perform repairs or </w:t>
      </w:r>
      <w:r w:rsidR="0042207C" w:rsidRPr="00950DD4">
        <w:t>maintenance</w:t>
      </w:r>
      <w:r w:rsidR="0042207C">
        <w:t xml:space="preserve"> will collect </w:t>
      </w:r>
      <w:r w:rsidR="0042207C" w:rsidRPr="007F7B1D">
        <w:t xml:space="preserve">water samples </w:t>
      </w:r>
      <w:r w:rsidR="0042207C" w:rsidRPr="00374382">
        <w:t>from the distribution</w:t>
      </w:r>
      <w:r w:rsidR="0042207C" w:rsidRPr="007F7B1D">
        <w:t xml:space="preserve"> system in both the exposed area and the unexposed area from hydrants, sampling points, or commercial and residential hose bibs within 24 hours of the LPE. Water sample sites (selected by the water utilities) will not be linked to household survey addresses</w:t>
      </w:r>
      <w:r w:rsidR="0042207C">
        <w:t xml:space="preserve">; rather, they will be assumed to represent water in the distribution system in </w:t>
      </w:r>
      <w:r w:rsidR="0042207C">
        <w:lastRenderedPageBreak/>
        <w:t xml:space="preserve">the affected and unaffected areas. </w:t>
      </w:r>
      <w:r w:rsidR="0042207C" w:rsidRPr="007F7B1D">
        <w:t xml:space="preserve">The </w:t>
      </w:r>
      <w:r w:rsidR="0042207C" w:rsidRPr="00374382">
        <w:t>following is a potential sampling schedule:</w:t>
      </w:r>
    </w:p>
    <w:p w14:paraId="73CAF3AA" w14:textId="77777777" w:rsidR="0042207C" w:rsidRPr="00374382" w:rsidRDefault="0042207C" w:rsidP="0042207C">
      <w:pPr>
        <w:ind w:left="720"/>
      </w:pPr>
      <w:r w:rsidRPr="00374382">
        <w:t xml:space="preserve">• </w:t>
      </w:r>
      <w:r w:rsidR="003A5A9B">
        <w:t>Three</w:t>
      </w:r>
      <w:r w:rsidRPr="00374382">
        <w:t>, ~100-L drinking water samples from exposure area within 24 hours of LPE (exterior hose bibs)</w:t>
      </w:r>
    </w:p>
    <w:p w14:paraId="4BF2BD37" w14:textId="77777777" w:rsidR="0042207C" w:rsidRPr="00176FF5" w:rsidRDefault="0042207C" w:rsidP="0042207C">
      <w:pPr>
        <w:ind w:left="720"/>
      </w:pPr>
      <w:r w:rsidRPr="00374382">
        <w:t>•</w:t>
      </w:r>
      <w:r w:rsidR="003A5A9B">
        <w:t xml:space="preserve"> Three</w:t>
      </w:r>
      <w:r w:rsidRPr="00374382">
        <w:t>, ~100-L drinking water samples from unexposed area within 48 hours of LPE (exterior hose bibs)</w:t>
      </w:r>
    </w:p>
    <w:p w14:paraId="3A51B595" w14:textId="77777777" w:rsidR="0042207C" w:rsidRPr="007F7B1D" w:rsidRDefault="0042207C" w:rsidP="0042207C">
      <w:pPr>
        <w:ind w:left="450"/>
      </w:pPr>
    </w:p>
    <w:p w14:paraId="6BAFDD5C" w14:textId="77777777" w:rsidR="0042207C" w:rsidRPr="007F7B1D" w:rsidRDefault="0042207C" w:rsidP="0042207C">
      <w:r w:rsidRPr="007F7B1D">
        <w:t xml:space="preserve">Water samples will be collected using a published ultrafiltration technique </w: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 </w:instrTex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EN.CITE.DATA </w:instrText>
      </w:r>
      <w:r>
        <w:fldChar w:fldCharType="end"/>
      </w:r>
      <w:r>
        <w:fldChar w:fldCharType="separate"/>
      </w:r>
      <w:r>
        <w:rPr>
          <w:noProof/>
        </w:rPr>
        <w:t>(</w:t>
      </w:r>
      <w:hyperlink w:anchor="_ENREF_9" w:tooltip="Smith, 2009 #2268" w:history="1">
        <w:r>
          <w:rPr>
            <w:noProof/>
          </w:rPr>
          <w:t>Smith and Hill 2009</w:t>
        </w:r>
      </w:hyperlink>
      <w:r>
        <w:rPr>
          <w:noProof/>
        </w:rPr>
        <w:t>)</w:t>
      </w:r>
      <w:r>
        <w:fldChar w:fldCharType="end"/>
      </w:r>
      <w:r w:rsidRPr="007F7B1D">
        <w:t xml:space="preserve">. Environmental sampling collection supplies and pre-paid shipping labels will be provided to participating utilities. Depending upon their laboratory capacity, some of the environmental analyses will be conducted at the utility’s own laboratory, but most samples will be shipped in coolers to the CDC Environmental Microbiology Laboratory for testing within 36 hours of collection. </w:t>
      </w:r>
      <w:r w:rsidR="003A7594">
        <w:t>The CDC laboratory regularly responds to waterborne disease outbreaks across the U.S. and has extensive experience training partners. The team has monitoring systems, protocols, and training materials in place to ensure that the CDC team can monitor the water sample collection and mailing. Compliance with chain of custody procedures will be monitored and enforced. A utility manager will notify the CDC when an event occurs, and the CDC team will follow up in the event that there is a delay in receiving samples.</w:t>
      </w:r>
    </w:p>
    <w:p w14:paraId="54CBF028" w14:textId="77777777" w:rsidR="0042207C" w:rsidRPr="007F7B1D" w:rsidRDefault="0042207C" w:rsidP="0042207C"/>
    <w:p w14:paraId="2EC9115D" w14:textId="62434116" w:rsidR="0042207C" w:rsidRDefault="0042207C" w:rsidP="0042207C">
      <w:r w:rsidRPr="007F7B1D">
        <w:t xml:space="preserve">The drinking water samples will be analyzed for a suite of microbial indicators of fecal contamination </w:t>
      </w:r>
      <w:r>
        <w:t>including, total coliforms/</w:t>
      </w:r>
      <w:r w:rsidRPr="00322E37">
        <w:rPr>
          <w:i/>
        </w:rPr>
        <w:t>E. coli</w:t>
      </w:r>
      <w:r>
        <w:t xml:space="preserve">, somatic coliphages, </w:t>
      </w:r>
      <w:r w:rsidR="001D5CF9" w:rsidRPr="00322E37">
        <w:rPr>
          <w:i/>
        </w:rPr>
        <w:t>Bactero</w:t>
      </w:r>
      <w:r w:rsidR="001D5CF9">
        <w:rPr>
          <w:i/>
        </w:rPr>
        <w:t>dales</w:t>
      </w:r>
      <w:r w:rsidR="001D5CF9" w:rsidRPr="00322E37">
        <w:rPr>
          <w:i/>
        </w:rPr>
        <w:t xml:space="preserve"> </w:t>
      </w:r>
      <w:r w:rsidRPr="00322E37">
        <w:rPr>
          <w:i/>
        </w:rPr>
        <w:t>spp</w:t>
      </w:r>
      <w:r>
        <w:t>., total aerobic spores, heterotrophic plate count (HPC) bacteria</w:t>
      </w:r>
      <w:r w:rsidR="001D5CF9">
        <w:t xml:space="preserve">, Adenosine Triphosphate (ATP), and </w:t>
      </w:r>
      <w:r w:rsidR="001D5CF9" w:rsidRPr="00CE57FB">
        <w:rPr>
          <w:i/>
        </w:rPr>
        <w:t>Pseudomonas aeruginosa</w:t>
      </w:r>
      <w:r>
        <w:t xml:space="preserve">. </w:t>
      </w:r>
    </w:p>
    <w:p w14:paraId="72ABE6A9" w14:textId="77777777" w:rsidR="0042207C" w:rsidRDefault="0042207C" w:rsidP="0042207C"/>
    <w:p w14:paraId="47BCE558" w14:textId="77777777" w:rsidR="0042207C" w:rsidRPr="007F7B1D" w:rsidRDefault="0042207C" w:rsidP="0042207C">
      <w:r w:rsidRPr="000C35AB">
        <w:lastRenderedPageBreak/>
        <w:t xml:space="preserve">Information on </w:t>
      </w:r>
      <w:r w:rsidRPr="00374382">
        <w:t xml:space="preserve">weather and </w:t>
      </w:r>
      <w:r w:rsidRPr="000C35AB">
        <w:t>climate variables (esp</w:t>
      </w:r>
      <w:r w:rsidRPr="00374382">
        <w:t>ecially</w:t>
      </w:r>
      <w:r w:rsidRPr="000C35AB">
        <w:t xml:space="preserve"> rainfall immediately preceding, during, and following the low pressure episode) will be collected</w:t>
      </w:r>
      <w:r w:rsidRPr="00374382">
        <w:t xml:space="preserve"> and analyzed in context of the study</w:t>
      </w:r>
      <w:r w:rsidRPr="000C35AB">
        <w:t xml:space="preserve"> by CDC staff using the National Oceanic and Atmospheric Administration’s (NOAA) national climate database (http://www.climate.gov/).</w:t>
      </w:r>
    </w:p>
    <w:p w14:paraId="34B735DD" w14:textId="77777777" w:rsidR="0042207C" w:rsidRPr="007F7B1D" w:rsidRDefault="0042207C" w:rsidP="0042207C"/>
    <w:p w14:paraId="7D663F9D" w14:textId="77777777" w:rsidR="0042207C" w:rsidRPr="007F7B1D" w:rsidRDefault="0042207C" w:rsidP="0042207C">
      <w:r w:rsidRPr="007F7B1D">
        <w:t>Several quality control procedures will be implemented as part of this study:</w:t>
      </w:r>
    </w:p>
    <w:p w14:paraId="56A36C56" w14:textId="77777777" w:rsidR="0042207C" w:rsidRPr="007F7B1D" w:rsidRDefault="0042207C" w:rsidP="0042207C">
      <w:pPr>
        <w:numPr>
          <w:ilvl w:val="0"/>
          <w:numId w:val="6"/>
        </w:numPr>
      </w:pPr>
      <w:r w:rsidRPr="007F7B1D">
        <w:t>The web-based questionnaire has built-in skip patterns and internal logic controls for efficiently routing the respondent to the relevant questions</w:t>
      </w:r>
      <w:r>
        <w:t xml:space="preserve"> based on their prior responses</w:t>
      </w:r>
      <w:r w:rsidRPr="007F7B1D">
        <w:t xml:space="preserve">. The paper-based questionnaire has the same questions and the same skip patterns as the web-based version. However, participants completing the paper-based questionnaire must manually follow these skip patterns, which may increase the risk for data entry errors. Additionally, the web-based questionnaire will employ a variety of prompts to encourage survey completion, whereas the paper-based questionnaire will have no such prompts. </w:t>
      </w:r>
    </w:p>
    <w:p w14:paraId="567FF449" w14:textId="77777777" w:rsidR="0042207C" w:rsidRPr="007F7B1D" w:rsidRDefault="0042207C" w:rsidP="0042207C">
      <w:pPr>
        <w:numPr>
          <w:ilvl w:val="0"/>
          <w:numId w:val="6"/>
        </w:numPr>
      </w:pPr>
      <w:r w:rsidRPr="007F7B1D">
        <w:t xml:space="preserve">The web-based questionnaire has data entry validation to limit data entry errors and reduce data cleaning efforts. Furthermore, data entry into the database is automatic thereby eliminating the need for manual data entry, which also limits </w:t>
      </w:r>
      <w:r>
        <w:t xml:space="preserve">potential </w:t>
      </w:r>
      <w:r w:rsidRPr="007F7B1D">
        <w:t>data entry errors.</w:t>
      </w:r>
    </w:p>
    <w:p w14:paraId="05CB7495" w14:textId="6A086C33" w:rsidR="0042207C" w:rsidRDefault="002D4DF9" w:rsidP="0042207C">
      <w:pPr>
        <w:numPr>
          <w:ilvl w:val="0"/>
          <w:numId w:val="6"/>
        </w:numPr>
      </w:pPr>
      <w:r>
        <w:t>T</w:t>
      </w:r>
      <w:r w:rsidR="0042207C" w:rsidRPr="007F7B1D">
        <w:t xml:space="preserve">he CDC study team will manually clean the database at the end of the data collection period. </w:t>
      </w:r>
    </w:p>
    <w:p w14:paraId="6944265C" w14:textId="77777777" w:rsidR="002D4DF9" w:rsidRDefault="002D4DF9" w:rsidP="0042207C">
      <w:pPr>
        <w:numPr>
          <w:ilvl w:val="0"/>
          <w:numId w:val="6"/>
        </w:numPr>
      </w:pPr>
      <w:r>
        <w:t xml:space="preserve">The Low Pressure Event form will be reviewed by the CDC study team following each event before participants are selected, and the utility staff will be contacted for completion of missing information. </w:t>
      </w:r>
    </w:p>
    <w:p w14:paraId="76807408" w14:textId="77777777" w:rsidR="002D4DF9" w:rsidRDefault="002D4DF9" w:rsidP="0042207C">
      <w:pPr>
        <w:numPr>
          <w:ilvl w:val="0"/>
          <w:numId w:val="6"/>
        </w:numPr>
      </w:pPr>
      <w:r>
        <w:lastRenderedPageBreak/>
        <w:t>Utilities will be trained in following the CDC lab team’s standard chain of custody procedures, and the CDC team will follow up with the utility if samples are not received in the allotted time following LPEs.</w:t>
      </w:r>
    </w:p>
    <w:p w14:paraId="0584AF8A" w14:textId="77777777" w:rsidR="00A73811" w:rsidRPr="007F7B1D" w:rsidRDefault="00A73811" w:rsidP="0050769A">
      <w:pPr>
        <w:ind w:left="720"/>
      </w:pPr>
    </w:p>
    <w:p w14:paraId="776F4147" w14:textId="4988977C" w:rsidR="0042207C" w:rsidRPr="007F7B1D" w:rsidRDefault="0042207C" w:rsidP="00CB161C">
      <w:pPr>
        <w:pStyle w:val="Heading1"/>
      </w:pPr>
      <w:bookmarkStart w:id="6" w:name="_Toc426728960"/>
      <w:r w:rsidRPr="007F7B1D">
        <w:t>3. Methods to Maximize Response Rates and Deal with Noresponse</w:t>
      </w:r>
      <w:bookmarkEnd w:id="6"/>
    </w:p>
    <w:p w14:paraId="02284618" w14:textId="77777777" w:rsidR="0042207C" w:rsidRPr="007F7B1D" w:rsidRDefault="0042207C" w:rsidP="0042207C">
      <w:r w:rsidRPr="007F7B1D">
        <w:t>Participation in our study will be completely voluntary and no financial incentives will be offered. Still, we have attempted to maximize response rates through the following:</w:t>
      </w:r>
    </w:p>
    <w:p w14:paraId="5E15BF96" w14:textId="77777777" w:rsidR="0042207C" w:rsidRPr="007F7B1D" w:rsidRDefault="0042207C" w:rsidP="0042207C">
      <w:pPr>
        <w:numPr>
          <w:ilvl w:val="0"/>
          <w:numId w:val="6"/>
        </w:numPr>
      </w:pPr>
      <w:r w:rsidRPr="007F7B1D">
        <w:t xml:space="preserve">Utilizing </w:t>
      </w:r>
      <w:r>
        <w:t>both mailed and web-based</w:t>
      </w:r>
      <w:r w:rsidRPr="007F7B1D">
        <w:t xml:space="preserve"> survey methods and giving potential participants an option of how they would prefer to respond to the survey;</w:t>
      </w:r>
    </w:p>
    <w:p w14:paraId="1C57D5C2" w14:textId="0852412D" w:rsidR="00893A06" w:rsidRDefault="0042207C" w:rsidP="0042207C">
      <w:pPr>
        <w:numPr>
          <w:ilvl w:val="0"/>
          <w:numId w:val="6"/>
        </w:numPr>
      </w:pPr>
      <w:r w:rsidRPr="007F7B1D">
        <w:t>Keeping the survey length to a minimum</w:t>
      </w:r>
      <w:r>
        <w:t>, and using a respondent-friendly survey booklet</w:t>
      </w:r>
      <w:r w:rsidRPr="007F7B1D">
        <w:t>. We anticipate that it will take approximately 1</w:t>
      </w:r>
      <w:r>
        <w:t>2</w:t>
      </w:r>
      <w:r w:rsidRPr="007F7B1D">
        <w:t xml:space="preserve"> minutes for each participant to complete </w:t>
      </w:r>
      <w:r>
        <w:t xml:space="preserve">either </w:t>
      </w:r>
      <w:r w:rsidRPr="007F7B1D">
        <w:t>version</w:t>
      </w:r>
      <w:r>
        <w:t xml:space="preserve"> (web or paper)</w:t>
      </w:r>
      <w:r w:rsidRPr="007F7B1D">
        <w:t xml:space="preserve"> of the questionnaire</w:t>
      </w:r>
      <w:r w:rsidR="00CF33F6">
        <w:t>.</w:t>
      </w:r>
    </w:p>
    <w:p w14:paraId="70B0370F" w14:textId="77777777" w:rsidR="00893A06" w:rsidRDefault="0042207C" w:rsidP="002D2A5A">
      <w:pPr>
        <w:numPr>
          <w:ilvl w:val="0"/>
          <w:numId w:val="6"/>
        </w:numPr>
      </w:pPr>
      <w:r>
        <w:t xml:space="preserve">Incorporating additional aspects of the Dillman Tailored Design Method, which have been shown to improve response rates </w:t>
      </w:r>
      <w:r>
        <w:fldChar w:fldCharType="begin"/>
      </w:r>
      <w:r>
        <w:instrText xml:space="preserve"> ADDIN EN.CITE &lt;EndNote&gt;&lt;Cite&gt;&lt;Author&gt;Dillman&lt;/Author&gt;&lt;Year&gt;2007&lt;/Year&gt;&lt;RecNum&gt;2293&lt;/RecNum&gt;&lt;DisplayText&gt;(Dillman 2007)&lt;/DisplayText&gt;&lt;record&gt;&lt;rec-number&gt;2293&lt;/rec-number&gt;&lt;foreign-keys&gt;&lt;key app="EN" db-id="xpwffvp2mrptwsezad9vtfxcdx9v92zstrsa"&gt;2293&lt;/key&gt;&lt;/foreign-keys&gt;&lt;ref-type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2" w:tooltip="Dillman, 2007 #2293" w:history="1">
        <w:r>
          <w:rPr>
            <w:noProof/>
          </w:rPr>
          <w:t>Dillman 2007</w:t>
        </w:r>
      </w:hyperlink>
      <w:r>
        <w:rPr>
          <w:noProof/>
        </w:rPr>
        <w:t>)</w:t>
      </w:r>
      <w:r>
        <w:fldChar w:fldCharType="end"/>
      </w:r>
      <w:r>
        <w:t>: sending an advance letter; sending a personalized cover letter with the mailed questionnaire; including a token gift (refrigerator magnet calendar); sending a thank you/reminder postcard one week after mailing the survey packet; sending a follow-up survey mailing to households who have not responded to the survey after two weeks</w:t>
      </w:r>
      <w:r w:rsidR="00B47A71">
        <w:t xml:space="preserve"> and including a personalized post-it note</w:t>
      </w:r>
      <w:r>
        <w:t xml:space="preserve">; and sending a final mailing in a contrasting envelope. </w:t>
      </w:r>
    </w:p>
    <w:p w14:paraId="662FF579" w14:textId="77777777" w:rsidR="0042207C" w:rsidRPr="007F7B1D" w:rsidRDefault="0042207C" w:rsidP="00893A06">
      <w:pPr>
        <w:ind w:left="720"/>
      </w:pPr>
    </w:p>
    <w:p w14:paraId="58E8FE85" w14:textId="77777777" w:rsidR="0042207C" w:rsidRDefault="0042207C" w:rsidP="0042207C">
      <w:r w:rsidRPr="007F7B1D">
        <w:t xml:space="preserve">To avoid making persons feel pressured or coerced into consenting to participate in the study, </w:t>
      </w:r>
      <w:r>
        <w:t xml:space="preserve">all communications, including </w:t>
      </w:r>
      <w:r w:rsidRPr="007F7B1D">
        <w:t xml:space="preserve">the </w:t>
      </w:r>
      <w:r>
        <w:t xml:space="preserve">advance letter, </w:t>
      </w:r>
      <w:r w:rsidRPr="007F7B1D">
        <w:t>cover letter</w:t>
      </w:r>
      <w:r>
        <w:t>, follow-up mailings,</w:t>
      </w:r>
      <w:r w:rsidRPr="007F7B1D">
        <w:t xml:space="preserve"> and the information </w:t>
      </w:r>
      <w:r w:rsidRPr="007F7B1D">
        <w:lastRenderedPageBreak/>
        <w:t>provided at the beginning of the web-based questionnaire</w:t>
      </w:r>
      <w:r>
        <w:t>,</w:t>
      </w:r>
      <w:r w:rsidRPr="007F7B1D">
        <w:t xml:space="preserve"> will advise readers that participation in the study is voluntary. </w:t>
      </w:r>
    </w:p>
    <w:p w14:paraId="7D790CCE" w14:textId="77777777" w:rsidR="0042207C" w:rsidRPr="007F7B1D" w:rsidRDefault="0042207C" w:rsidP="0042207C"/>
    <w:p w14:paraId="501897FE" w14:textId="77777777" w:rsidR="00295747" w:rsidRPr="00AD4665" w:rsidRDefault="00295747" w:rsidP="00295747">
      <w:pPr>
        <w:spacing w:after="120"/>
      </w:pPr>
      <w:r w:rsidRPr="00AD4665">
        <w:t>In the pilot study, the overall survey response rate was 37%, the response rates for each event ranged from 32-43% and did not appear to vary by event type or size. Additionally, the response rates were similar in LPE (38%) and non-LPE areas (36%). The non-response rate was &lt; 10% for the main survey items. There was higher non-response for follow-up questions for the illness details onset date and number of days with symptoms. Other illness detail questions such as the number of days of school or work missed because of the illness, or healthcare seeking behavior were nearly complete. Skip patterns were built into the web survey interface; for the paper surveys, data from the mail surveys indicated that the majority of respondents correctly skipped or answered the appropriate questions. System data demonstrated that the web-based survey took customers a median of 11 minutes to complete, suggesting that the time burden for participation was low and in line with the anticipated time of 12 minutes. Most (94%) of the</w:t>
      </w:r>
      <w:r w:rsidRPr="00AD4665">
        <w:rPr>
          <w:bCs/>
        </w:rPr>
        <w:t xml:space="preserve"> web surveys were submitted successfully, demonstrating there was limited survey break-off.</w:t>
      </w:r>
      <w:r w:rsidRPr="00AD4665">
        <w:rPr>
          <w:b/>
          <w:bCs/>
        </w:rPr>
        <w:t xml:space="preserve"> </w:t>
      </w:r>
    </w:p>
    <w:p w14:paraId="5A8BCFC0" w14:textId="3959BDC3" w:rsidR="00295747" w:rsidRPr="00AD4665" w:rsidRDefault="00295747" w:rsidP="00295747">
      <w:pPr>
        <w:spacing w:after="120"/>
      </w:pPr>
      <w:r w:rsidRPr="00AD4665">
        <w:t>To improve response rates in the full s</w:t>
      </w:r>
      <w:r w:rsidR="00740713">
        <w:t>tudy, the study team has modified</w:t>
      </w:r>
      <w:r w:rsidRPr="00AD4665">
        <w:t xml:space="preserve"> the survey procedures and will increase efforts to promote the study in the participating communities. Nearly half of the page views for the study website (46%) occurred in the 30 days following the press release, before any survey materials were mailed out, suggesting that additional ongoing publicity in the study communities has potential to motivate participants. The study team will implement additional community outreach throughout the study period to improve community acceptance of the study and to boost response rates. Possible methods include implementing local public </w:t>
      </w:r>
      <w:r w:rsidRPr="00AD4665">
        <w:lastRenderedPageBreak/>
        <w:t>service announcements or periodic advertisements in local print media. Improving the study response rates is a priority for CDC branch-level management, who has prioritized obtaining resources for targeted communications efforts, including contract time with a health communicator.</w:t>
      </w:r>
    </w:p>
    <w:p w14:paraId="26CAE0A3" w14:textId="698134CF" w:rsidR="00295747" w:rsidRDefault="00295747" w:rsidP="00F406B5">
      <w:pPr>
        <w:spacing w:after="120"/>
      </w:pPr>
      <w:r w:rsidRPr="00AD4665">
        <w:t xml:space="preserve">The multiple mailing contact strategy encouraged participation, evidenced by boosts in survey response following the mail prompts. The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inconvenient for respondents to access a computer, type the link to the website, and log-in to take the survey. To encourage web survey participation and reduce respondent burden in hopes of increasing response, the study team will send the survey link electronically to customers that have email addresses on file (approximately 10% of pilot utility customers). Additionally, the study team will add an outbound phone call as a reminder before the final appeal letter is sent. </w:t>
      </w:r>
    </w:p>
    <w:p w14:paraId="27ED2888" w14:textId="77777777" w:rsidR="0042207C" w:rsidRDefault="0042207C" w:rsidP="0042207C">
      <w:pPr>
        <w:rPr>
          <w:bCs/>
        </w:rPr>
      </w:pPr>
      <w:r w:rsidRPr="007F7B1D">
        <w:t xml:space="preserve">Several recent studies have indicated that a response rate of 80% is not feasible for this study. A recent postal survey of households in a community affected by drinking water-associated outbreak of salmonellosis that also asked about acute gastrointestinal illness had a response rate of 33% </w:t>
      </w:r>
      <w:r>
        <w:fldChar w:fldCharType="begin"/>
      </w:r>
      <w:r>
        <w:instrText xml:space="preserve"> ADDIN EN.CITE &lt;EndNote&gt;&lt;Cite&gt;&lt;Author&gt;Ailes&lt;/Author&gt;&lt;Year&gt;2010&lt;/Year&gt;&lt;RecNum&gt;23&lt;/RecNum&gt;&lt;DisplayText&gt;(Ailes, Budge et al. 2010)&lt;/DisplayText&gt;&lt;record&gt;&lt;rec-number&gt;23&lt;/rec-number&gt;&lt;foreign-keys&gt;&lt;key app="EN" db-id="exf25a0vusf9r6eerroxx55u09a99z9ver5w"&gt;23&lt;/key&gt;&lt;/foreign-keys&gt;&lt;ref-type name="Conference Proceedings"&gt;10&lt;/ref-type&gt;&lt;contributors&gt;&lt;authors&gt;&lt;author&gt;E. Ailes&lt;/author&gt;&lt;author&gt;P. Budge&lt;/author&gt;&lt;author&gt;S. Collier&lt;/author&gt;&lt;author&gt;W. Brinton&lt;/author&gt;&lt;author&gt;A. Cronquist&lt;/author&gt;&lt;author&gt;M. J. Beach&lt;/author&gt;&lt;author&gt;J. M. Brunkard&lt;/author&gt;&lt;/authors&gt;&lt;/contributors&gt;&lt;titles&gt;&lt;title&gt;Economic and Health Impacts Associated with a Salmonella Serotype Typhimurium Drinking Water Outbreak -- Alamosa, CO, 2008&lt;/title&gt;&lt;secondary-title&gt;International Conference on Emerging Infectious Diseases&lt;/secondary-title&gt;&lt;/titles&gt;&lt;dates&gt;&lt;year&gt;2010&lt;/year&gt;&lt;/dates&gt;&lt;pub-location&gt;Atlanta, GA&lt;/pub-location&gt;&lt;urls&gt;&lt;/urls&gt;&lt;/record&gt;&lt;/Cite&gt;&lt;/EndNote&gt;</w:instrText>
      </w:r>
      <w:r>
        <w:fldChar w:fldCharType="separate"/>
      </w:r>
      <w:r>
        <w:rPr>
          <w:noProof/>
        </w:rPr>
        <w:t>(</w:t>
      </w:r>
      <w:hyperlink w:anchor="_ENREF_1" w:tooltip="Ailes, 2010 #23" w:history="1">
        <w:r>
          <w:rPr>
            <w:noProof/>
          </w:rPr>
          <w:t>Ailes, Budge et al. 2010</w:t>
        </w:r>
      </w:hyperlink>
      <w:r>
        <w:rPr>
          <w:noProof/>
        </w:rPr>
        <w:t>)</w:t>
      </w:r>
      <w:r>
        <w:fldChar w:fldCharType="end"/>
      </w:r>
      <w:r w:rsidRPr="007F7B1D">
        <w:t>. A survey of backcountry hikers that allowed respondents to choose to respond via web-based or paper-based survey had a higher response rate of 48% (</w:t>
      </w:r>
      <w:r>
        <w:t xml:space="preserve">S. </w:t>
      </w:r>
      <w:r w:rsidRPr="007F7B1D">
        <w:t>Roy, personal communication). R</w:t>
      </w:r>
      <w:r w:rsidRPr="007F7B1D">
        <w:rPr>
          <w:bCs/>
        </w:rPr>
        <w:t xml:space="preserve">esponse rates obtained by some </w:t>
      </w:r>
      <w:r w:rsidRPr="007F7B1D">
        <w:rPr>
          <w:bCs/>
        </w:rPr>
        <w:lastRenderedPageBreak/>
        <w:t xml:space="preserve">large continuing health surveys that provide key national health statistics (such as the FoodNet population studies) have response rates of 33% in </w:t>
      </w:r>
      <w:r w:rsidR="00403AFE">
        <w:rPr>
          <w:bCs/>
        </w:rPr>
        <w:t>a past</w:t>
      </w:r>
      <w:r w:rsidRPr="007F7B1D">
        <w:rPr>
          <w:bCs/>
        </w:rPr>
        <w:t xml:space="preserve"> survey cycle </w:t>
      </w:r>
      <w:r w:rsidRPr="007F7B1D">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 </w:instrText>
      </w:r>
      <w:r>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EN.CITE.DATA </w:instrText>
      </w:r>
      <w:r>
        <w:rPr>
          <w:bCs/>
        </w:rPr>
      </w:r>
      <w:r>
        <w:rPr>
          <w:bCs/>
        </w:rPr>
        <w:fldChar w:fldCharType="end"/>
      </w:r>
      <w:r w:rsidRPr="007F7B1D">
        <w:rPr>
          <w:bCs/>
        </w:rPr>
      </w:r>
      <w:r w:rsidRPr="007F7B1D">
        <w:rPr>
          <w:bCs/>
        </w:rPr>
        <w:fldChar w:fldCharType="separate"/>
      </w:r>
      <w:r>
        <w:rPr>
          <w:bCs/>
          <w:noProof/>
        </w:rPr>
        <w:t>(</w:t>
      </w:r>
      <w:hyperlink w:anchor="_ENREF_6" w:tooltip="Jones, 2007 #2176" w:history="1">
        <w:r>
          <w:rPr>
            <w:bCs/>
            <w:noProof/>
          </w:rPr>
          <w:t>Jones, McMillian et al. 2007</w:t>
        </w:r>
      </w:hyperlink>
      <w:r>
        <w:rPr>
          <w:bCs/>
          <w:noProof/>
        </w:rPr>
        <w:t>)</w:t>
      </w:r>
      <w:r w:rsidRPr="007F7B1D">
        <w:fldChar w:fldCharType="end"/>
      </w:r>
      <w:r w:rsidRPr="007F7B1D">
        <w:t xml:space="preserve">. </w:t>
      </w:r>
      <w:r w:rsidRPr="007F7B1D">
        <w:rPr>
          <w:bCs/>
        </w:rPr>
        <w:t>In spite of these low response rates, such surveys</w:t>
      </w:r>
      <w:r>
        <w:rPr>
          <w:bCs/>
        </w:rPr>
        <w:t xml:space="preserve"> </w:t>
      </w:r>
      <w:r w:rsidRPr="007F7B1D">
        <w:rPr>
          <w:bCs/>
        </w:rPr>
        <w:t>still provide valuable data to inform public health recommendations, policies, and programs</w:t>
      </w:r>
      <w:r w:rsidR="009227CA">
        <w:rPr>
          <w:bCs/>
        </w:rPr>
        <w:t>,</w:t>
      </w:r>
      <w:r w:rsidRPr="007F7B1D">
        <w:rPr>
          <w:bCs/>
        </w:rPr>
        <w:t xml:space="preserve"> and we believe that our study will have similar value.</w:t>
      </w:r>
      <w:r>
        <w:rPr>
          <w:bCs/>
        </w:rPr>
        <w:t xml:space="preserve"> </w:t>
      </w:r>
      <w:r>
        <w:t xml:space="preserve">Compared to these prior studies, we are implementing several procedures to attempt to encourage study participation, as outlined above, so a participation rate </w:t>
      </w:r>
      <w:r w:rsidR="006332D3">
        <w:t xml:space="preserve">of 60% </w:t>
      </w:r>
      <w:r w:rsidR="00403AFE">
        <w:t xml:space="preserve">will be </w:t>
      </w:r>
      <w:r>
        <w:t>possible.</w:t>
      </w:r>
      <w:r w:rsidR="00CF33F6">
        <w:t xml:space="preserve"> Notably, the household survey for this study is substantially shorter than the other surveys mentioned in this section</w:t>
      </w:r>
      <w:r w:rsidR="00FB73BF">
        <w:t>, and includes a token gift</w:t>
      </w:r>
      <w:r w:rsidR="00CF33F6">
        <w:t>.</w:t>
      </w:r>
    </w:p>
    <w:p w14:paraId="5038C03F" w14:textId="77777777" w:rsidR="0042207C" w:rsidRDefault="0042207C" w:rsidP="0042207C">
      <w:pPr>
        <w:rPr>
          <w:bCs/>
        </w:rPr>
      </w:pPr>
    </w:p>
    <w:p w14:paraId="2C341EBC" w14:textId="7B02D6EA" w:rsidR="0081528C" w:rsidRDefault="00BD5AC5" w:rsidP="0042207C">
      <w:pPr>
        <w:rPr>
          <w:bCs/>
        </w:rPr>
      </w:pPr>
      <w:r>
        <w:rPr>
          <w:bCs/>
        </w:rPr>
        <w:t>In the contingency</w:t>
      </w:r>
      <w:r w:rsidR="00403AFE">
        <w:rPr>
          <w:bCs/>
        </w:rPr>
        <w:t xml:space="preserve"> that we do not reach 60% participation, </w:t>
      </w:r>
      <w:r w:rsidR="00CF33F6">
        <w:rPr>
          <w:bCs/>
        </w:rPr>
        <w:t xml:space="preserve">we will still have </w:t>
      </w:r>
      <w:r w:rsidR="00FE7B39">
        <w:rPr>
          <w:bCs/>
        </w:rPr>
        <w:t>80</w:t>
      </w:r>
      <w:r w:rsidR="00696734">
        <w:rPr>
          <w:bCs/>
        </w:rPr>
        <w:t xml:space="preserve">% </w:t>
      </w:r>
      <w:r w:rsidR="00CF33F6">
        <w:rPr>
          <w:bCs/>
        </w:rPr>
        <w:t xml:space="preserve">statistical power to </w:t>
      </w:r>
      <w:r w:rsidR="00696734">
        <w:rPr>
          <w:bCs/>
        </w:rPr>
        <w:t xml:space="preserve">identify an odds ratio of 1.6 </w:t>
      </w:r>
      <w:r w:rsidR="00FB73BF">
        <w:rPr>
          <w:bCs/>
        </w:rPr>
        <w:t xml:space="preserve">in an unstratified analysis if we have at least 40% participation. </w:t>
      </w:r>
      <w:r w:rsidR="00F252BE">
        <w:rPr>
          <w:bCs/>
        </w:rPr>
        <w:t xml:space="preserve">With 40% participation, we would have </w:t>
      </w:r>
      <w:r w:rsidR="00FE7B39">
        <w:rPr>
          <w:bCs/>
        </w:rPr>
        <w:t>51</w:t>
      </w:r>
      <w:r w:rsidR="00F252BE">
        <w:rPr>
          <w:bCs/>
        </w:rPr>
        <w:t xml:space="preserve">% power to detect an odds ratio of 1.4 and </w:t>
      </w:r>
      <w:r w:rsidR="00FE7B39">
        <w:rPr>
          <w:bCs/>
        </w:rPr>
        <w:t>18</w:t>
      </w:r>
      <w:r w:rsidR="00F252BE">
        <w:rPr>
          <w:bCs/>
        </w:rPr>
        <w:t>% power to detect an odds ratio of 1.2</w:t>
      </w:r>
      <w:r w:rsidR="00AB2C7A">
        <w:rPr>
          <w:bCs/>
        </w:rPr>
        <w:t xml:space="preserve"> in an unstratified analysis</w:t>
      </w:r>
      <w:r w:rsidR="00F252BE">
        <w:rPr>
          <w:bCs/>
        </w:rPr>
        <w:t xml:space="preserve">. In a stratified analysis, with 40% participation, we would have </w:t>
      </w:r>
      <w:r w:rsidR="00FE7B39">
        <w:rPr>
          <w:bCs/>
        </w:rPr>
        <w:t xml:space="preserve">over </w:t>
      </w:r>
      <w:r w:rsidR="00F252BE">
        <w:rPr>
          <w:bCs/>
        </w:rPr>
        <w:t>8</w:t>
      </w:r>
      <w:r w:rsidR="00FE7B39">
        <w:rPr>
          <w:bCs/>
        </w:rPr>
        <w:t>5</w:t>
      </w:r>
      <w:r w:rsidR="00F252BE">
        <w:rPr>
          <w:bCs/>
        </w:rPr>
        <w:t xml:space="preserve">% power to detect an odds ratio of </w:t>
      </w:r>
      <w:r w:rsidR="00FE7B39">
        <w:rPr>
          <w:bCs/>
        </w:rPr>
        <w:t>2.0</w:t>
      </w:r>
      <w:r w:rsidR="0081528C">
        <w:rPr>
          <w:bCs/>
        </w:rPr>
        <w:t xml:space="preserve"> and </w:t>
      </w:r>
      <w:r w:rsidR="00FE7B39">
        <w:rPr>
          <w:bCs/>
        </w:rPr>
        <w:t>over 70</w:t>
      </w:r>
      <w:r w:rsidR="0081528C">
        <w:rPr>
          <w:bCs/>
        </w:rPr>
        <w:t>% power to detect an odds ratio of 1.</w:t>
      </w:r>
      <w:r w:rsidR="00FE7B39">
        <w:rPr>
          <w:bCs/>
        </w:rPr>
        <w:t>8</w:t>
      </w:r>
      <w:r w:rsidR="0081528C">
        <w:rPr>
          <w:bCs/>
        </w:rPr>
        <w:t xml:space="preserve">. </w:t>
      </w:r>
    </w:p>
    <w:p w14:paraId="668BD0B6" w14:textId="77777777" w:rsidR="0081528C" w:rsidRDefault="0081528C" w:rsidP="0042207C">
      <w:pPr>
        <w:rPr>
          <w:bCs/>
        </w:rPr>
      </w:pPr>
    </w:p>
    <w:p w14:paraId="75FCDD84" w14:textId="77777777" w:rsidR="00AB4C11" w:rsidRDefault="00FB73BF" w:rsidP="0042207C">
      <w:pPr>
        <w:rPr>
          <w:bCs/>
        </w:rPr>
      </w:pPr>
      <w:r>
        <w:rPr>
          <w:bCs/>
        </w:rPr>
        <w:t>O</w:t>
      </w:r>
      <w:r w:rsidR="0042207C" w:rsidRPr="00374382">
        <w:rPr>
          <w:bCs/>
        </w:rPr>
        <w:t xml:space="preserve">ur primary concern regarding obtaining low response rates is the potential for bias engendered by differential response based on exposure and outcomes. </w:t>
      </w:r>
      <w:r w:rsidR="0081528C">
        <w:rPr>
          <w:bCs/>
        </w:rPr>
        <w:t xml:space="preserve">If the response is low, we are also concerned that, overall, the study population may not be representative of the target population (i.e., non-response bias). </w:t>
      </w:r>
      <w:r w:rsidR="0042207C" w:rsidRPr="00374382">
        <w:rPr>
          <w:bCs/>
        </w:rPr>
        <w:t xml:space="preserve">However, recent research indicates that the magnitude of non-response bias is generally small </w:t>
      </w:r>
      <w:r w:rsidR="0042207C" w:rsidRPr="00374382">
        <w:rPr>
          <w:bCs/>
        </w:rPr>
        <w:fldChar w:fldCharType="begin"/>
      </w:r>
      <w:r w:rsidR="0042207C" w:rsidRPr="00820D4C">
        <w:rPr>
          <w:bCs/>
        </w:rPr>
        <w:instrText xml:space="preserve"> ADDIN EN.CITE &lt;EndNote&gt;&lt;Cite&gt;&lt;Author&gt;Galea&lt;/Author&gt;&lt;Year&gt;2007&lt;/Year&gt;&lt;RecNum&gt;2294&lt;/RecNum&gt;&lt;DisplayText&gt;(Galea and Tracy 2007)&lt;/DisplayText&gt;&lt;record&gt;&lt;rec-number&gt;2294&lt;/rec-number&gt;&lt;foreign-keys&gt;&lt;key app="EN" db-id="xpwffvp2mrptwsezad9vtfxcdx9v92zstrsa"&gt;2294&lt;/key&gt;&lt;/foreign-keys&gt;&lt;ref-type name="Journal Article"&gt;17&lt;/ref-type&gt;&lt;contributors&gt;&lt;authors&gt;&lt;author&gt;Galea, S &amp;#xD;Tracy, M&lt;/author&gt;&lt;/authors&gt;&lt;/contributors&gt;&lt;titles&gt;&lt;title&gt;Participation Rates in Epidemiologic Studies&lt;/title&gt;&lt;secondary-title&gt;Annals of Epidemiology&lt;/secondary-title&gt;&lt;/titles&gt;&lt;periodical&gt;&lt;full-title&gt;Annals of Epidemiology&lt;/full-title&gt;&lt;/periodical&gt;&lt;pages&gt;643-653&lt;/pages&gt;&lt;volume&gt;17&lt;/volume&gt;&lt;number&gt;9&lt;/number&gt;&lt;dates&gt;&lt;year&gt;2007&lt;/year&gt;&lt;/dates&gt;&lt;urls&gt;&lt;/urls&gt;&lt;/record&gt;&lt;/Cite&gt;&lt;/EndNote&gt;</w:instrText>
      </w:r>
      <w:r w:rsidR="0042207C" w:rsidRPr="00374382">
        <w:rPr>
          <w:bCs/>
        </w:rPr>
        <w:fldChar w:fldCharType="separate"/>
      </w:r>
      <w:r w:rsidR="0042207C" w:rsidRPr="00820D4C">
        <w:rPr>
          <w:bCs/>
          <w:noProof/>
        </w:rPr>
        <w:t>(</w:t>
      </w:r>
      <w:hyperlink w:anchor="_ENREF_3" w:tooltip="Galea, 2007 #2294" w:history="1">
        <w:r w:rsidR="0042207C" w:rsidRPr="00820D4C">
          <w:rPr>
            <w:bCs/>
            <w:noProof/>
          </w:rPr>
          <w:t>Galea and Tracy 2007</w:t>
        </w:r>
      </w:hyperlink>
      <w:r w:rsidR="0042207C" w:rsidRPr="00820D4C">
        <w:rPr>
          <w:bCs/>
          <w:noProof/>
        </w:rPr>
        <w:t>)</w:t>
      </w:r>
      <w:r w:rsidR="0042207C" w:rsidRPr="00374382">
        <w:rPr>
          <w:bCs/>
        </w:rPr>
        <w:fldChar w:fldCharType="end"/>
      </w:r>
      <w:r w:rsidR="0042207C" w:rsidRPr="00374382">
        <w:rPr>
          <w:bCs/>
        </w:rPr>
        <w:t xml:space="preserve">. </w:t>
      </w:r>
    </w:p>
    <w:p w14:paraId="08FC41AE" w14:textId="77777777" w:rsidR="00AB4C11" w:rsidRDefault="00AB4C11" w:rsidP="0042207C">
      <w:pPr>
        <w:rPr>
          <w:bCs/>
        </w:rPr>
      </w:pPr>
    </w:p>
    <w:p w14:paraId="32FD91F6" w14:textId="352E3D04" w:rsidR="00A47D2D" w:rsidRDefault="0081528C" w:rsidP="0042207C">
      <w:pPr>
        <w:rPr>
          <w:bCs/>
        </w:rPr>
      </w:pPr>
      <w:r>
        <w:rPr>
          <w:bCs/>
        </w:rPr>
        <w:t xml:space="preserve">Following the pilot, we </w:t>
      </w:r>
      <w:r w:rsidR="00A47D2D">
        <w:rPr>
          <w:bCs/>
        </w:rPr>
        <w:t>assessed</w:t>
      </w:r>
      <w:r>
        <w:rPr>
          <w:bCs/>
        </w:rPr>
        <w:t xml:space="preserve"> item non-response</w:t>
      </w:r>
      <w:r w:rsidR="00AB4C11">
        <w:rPr>
          <w:bCs/>
        </w:rPr>
        <w:t>,</w:t>
      </w:r>
      <w:r w:rsidR="00A47D2D">
        <w:rPr>
          <w:bCs/>
        </w:rPr>
        <w:t xml:space="preserve"> and </w:t>
      </w:r>
      <w:r w:rsidR="00AB4C11">
        <w:t xml:space="preserve">minor changes were </w:t>
      </w:r>
      <w:r w:rsidR="00AB4C11" w:rsidRPr="00AD4665">
        <w:t xml:space="preserve">made to the survey instrument to improve the quality </w:t>
      </w:r>
      <w:r w:rsidR="00AB4C11" w:rsidRPr="00AD4665">
        <w:lastRenderedPageBreak/>
        <w:t>of the data and facilitate ease of participat</w:t>
      </w:r>
      <w:r w:rsidR="00AB4C11">
        <w:t>ion</w:t>
      </w:r>
      <w:r w:rsidR="00A47D2D">
        <w:rPr>
          <w:bCs/>
        </w:rPr>
        <w:t xml:space="preserve">, which were approved in a nonsubstantive change request. </w:t>
      </w:r>
      <w:r w:rsidR="00AB4C11" w:rsidRPr="00AD4665">
        <w:t>The pilot survey helped the study team identify items that could be eliminated, information gaps that could be filled, and response options that should be added to existing que</w:t>
      </w:r>
      <w:r w:rsidR="00B6360E">
        <w:t xml:space="preserve">stions. </w:t>
      </w:r>
      <w:r w:rsidR="00AB4C11" w:rsidRPr="00AD4665">
        <w:t xml:space="preserve">The survey recall </w:t>
      </w:r>
      <w:r w:rsidR="00AB4C11">
        <w:t>time period was</w:t>
      </w:r>
      <w:r w:rsidR="00AB4C11" w:rsidRPr="00AD4665">
        <w:t xml:space="preserve"> shortened from 3 weeks to 2 weeks, and the illness questions</w:t>
      </w:r>
      <w:r w:rsidR="00AB4C11">
        <w:t xml:space="preserve"> and water use questions were</w:t>
      </w:r>
      <w:r w:rsidR="00AB4C11" w:rsidRPr="00AD4665">
        <w:t xml:space="preserve"> simplified. The survey supplementa</w:t>
      </w:r>
      <w:r w:rsidR="00AB4C11">
        <w:t>l materials were</w:t>
      </w:r>
      <w:r w:rsidR="00AB4C11" w:rsidRPr="00AD4665">
        <w:t xml:space="preserve"> modified slightly to make them easier and faster to read. For example, the advance letter was edited to improve clarity and readability, and the web survey </w:t>
      </w:r>
      <w:r w:rsidR="008632D6">
        <w:t>has</w:t>
      </w:r>
      <w:r w:rsidR="00AB4C11" w:rsidRPr="00AD4665">
        <w:t xml:space="preserve"> fewer questions per screen to make the survey easier to read. The study team does not have the resources to provide financial incentives. Although 94% of the web survey respondents successfully completed the survey, indicating survey break-off was not a major co</w:t>
      </w:r>
      <w:r w:rsidR="00AB4C11">
        <w:t>ncern, additional measures were</w:t>
      </w:r>
      <w:r w:rsidR="00AB4C11" w:rsidRPr="00AD4665">
        <w:t xml:space="preserve"> taken to encourage respondents to finish the web survey, including reformatting the survey and simplifying instructions to make the survey appear shorter and to reduce reading time</w:t>
      </w:r>
      <w:r w:rsidR="000529F4">
        <w:t>.</w:t>
      </w:r>
    </w:p>
    <w:p w14:paraId="4E350A46" w14:textId="77777777" w:rsidR="005320F3" w:rsidRDefault="005320F3" w:rsidP="0042207C">
      <w:pPr>
        <w:rPr>
          <w:bCs/>
        </w:rPr>
      </w:pPr>
    </w:p>
    <w:p w14:paraId="35228612" w14:textId="6CFF1F23" w:rsidR="005E0667" w:rsidRDefault="0042207C" w:rsidP="0042207C">
      <w:r w:rsidRPr="00374382">
        <w:t xml:space="preserve">To assess </w:t>
      </w:r>
      <w:r w:rsidR="00B47A71">
        <w:t>differential response</w:t>
      </w:r>
      <w:r w:rsidR="00B6360E">
        <w:t xml:space="preserve"> following the multi-site study</w:t>
      </w:r>
      <w:r w:rsidRPr="00374382">
        <w:t>, we w</w:t>
      </w:r>
      <w:r w:rsidR="00BB174D">
        <w:t>ill</w:t>
      </w:r>
      <w:r w:rsidRPr="00374382">
        <w:t xml:space="preserve"> compare responders and non-responders with respect to </w:t>
      </w:r>
      <w:r w:rsidR="00B47A71">
        <w:t xml:space="preserve">their </w:t>
      </w:r>
      <w:r w:rsidR="00B47A71" w:rsidRPr="00DA794C">
        <w:rPr>
          <w:i/>
        </w:rPr>
        <w:t>a priori</w:t>
      </w:r>
      <w:r w:rsidR="00B47A71">
        <w:t xml:space="preserve"> </w:t>
      </w:r>
      <w:r w:rsidRPr="00374382">
        <w:t xml:space="preserve">exposure </w:t>
      </w:r>
      <w:r w:rsidR="00B47A71">
        <w:t xml:space="preserve">status. </w:t>
      </w:r>
      <w:r w:rsidR="00B47A71" w:rsidRPr="00374382">
        <w:t xml:space="preserve"> </w:t>
      </w:r>
      <w:r w:rsidR="00B47A71">
        <w:t>If the response rates in exposed areas differ from response rates in unexposed areas by &gt;20%</w:t>
      </w:r>
      <w:r w:rsidR="008632D6">
        <w:t xml:space="preserve"> (contrary to findings from the pilot study)</w:t>
      </w:r>
      <w:r w:rsidR="00B47A71">
        <w:t xml:space="preserve">, we will plan to implement sensitivity analyses to estimate how greatly these might have affected results regarding the primary research question. We will compare </w:t>
      </w:r>
      <w:r w:rsidR="005E0667">
        <w:t xml:space="preserve">demographic characteristics of </w:t>
      </w:r>
      <w:r w:rsidR="00B47A71">
        <w:t xml:space="preserve">respondents to census data </w:t>
      </w:r>
      <w:r w:rsidR="005E0667">
        <w:t xml:space="preserve">at the Public Use Microsample Area (PUMA) level. While this level of data is not granular enough to determine whether data from each LPE cluster is representative of its respective census block group, it should be able to identify gross deviations from expected distributions of demographics across all events. </w:t>
      </w:r>
    </w:p>
    <w:p w14:paraId="087E4339" w14:textId="77777777" w:rsidR="005E0667" w:rsidRDefault="005E0667" w:rsidP="0042207C"/>
    <w:p w14:paraId="79DDCF21" w14:textId="33317D66" w:rsidR="0042207C" w:rsidRDefault="005E0667" w:rsidP="0042207C">
      <w:r>
        <w:t xml:space="preserve">Next, we will evaluate item non-response and incomplete surveys (i.e. break-offs). </w:t>
      </w:r>
      <w:r w:rsidR="007B4831">
        <w:t>Items that are missing for more than 10% of respondents will be evaluated for wording, structure, and placement in the survey. Incomplete surveys (break-offs) will be evaluated to determine where the break-off occurs,</w:t>
      </w:r>
      <w:r w:rsidR="00B6360E">
        <w:t xml:space="preserve"> and</w:t>
      </w:r>
      <w:r w:rsidR="007B4831">
        <w:t xml:space="preserve"> whether break-offs differ on the paper and web versions of the survey</w:t>
      </w:r>
      <w:r w:rsidR="00B6360E">
        <w:t xml:space="preserve">. </w:t>
      </w:r>
      <w:r w:rsidR="007B4831">
        <w:t xml:space="preserve">We will evaluate whether missing data is differential by exposure status or demographic characteristics, including household size and composition. We anticipate that outcome data may sometimes be missing for adults who share a household but may not be relatives (i.e. roommates), but expect that outcome data for related household members (such as the respondent’s children) should be available and will be valuable to the study. </w:t>
      </w:r>
    </w:p>
    <w:p w14:paraId="7BA5245F" w14:textId="77777777" w:rsidR="005E0667" w:rsidRPr="007F7B1D" w:rsidRDefault="005E0667" w:rsidP="0042207C"/>
    <w:p w14:paraId="09715D88" w14:textId="77777777" w:rsidR="0042207C" w:rsidRPr="007F7B1D" w:rsidRDefault="0042207C" w:rsidP="007C39F4">
      <w:pPr>
        <w:pStyle w:val="Heading1"/>
      </w:pPr>
      <w:bookmarkStart w:id="7" w:name="_Toc426728961"/>
      <w:r w:rsidRPr="007F7B1D">
        <w:t>4. Tests of Procedures or Methods to be Undertaken</w:t>
      </w:r>
      <w:bookmarkEnd w:id="7"/>
    </w:p>
    <w:p w14:paraId="344C412A" w14:textId="360FC290" w:rsidR="00295747" w:rsidRDefault="00295747" w:rsidP="0042207C">
      <w:r w:rsidRPr="00AD4665">
        <w:t>The data collection instruments and the participant information materials were piloted at one water utility site and evaluated by CDC. Overall, the pilot demonstrated that the study design and procedures will allow the study team to collect the data needed to meet the study goal and aims</w:t>
      </w:r>
      <w:r w:rsidR="00652C0B">
        <w:t>.</w:t>
      </w:r>
    </w:p>
    <w:p w14:paraId="4758D5D2" w14:textId="77777777" w:rsidR="00652C0B" w:rsidRDefault="00652C0B" w:rsidP="0042207C"/>
    <w:p w14:paraId="5D1DD830" w14:textId="6A029BC5" w:rsidR="0042207C" w:rsidRPr="00374382" w:rsidRDefault="00295747" w:rsidP="0042207C">
      <w:pPr>
        <w:rPr>
          <w:color w:val="FF0000"/>
        </w:rPr>
      </w:pPr>
      <w:r>
        <w:t>Prior to the pilot, t</w:t>
      </w:r>
      <w:r w:rsidR="0042207C" w:rsidRPr="007F7B1D">
        <w:t xml:space="preserve">he data collection instruments and the participant information materials (e.g., letters, websites) </w:t>
      </w:r>
      <w:r>
        <w:t xml:space="preserve">were </w:t>
      </w:r>
      <w:r w:rsidR="0042207C" w:rsidRPr="007F7B1D">
        <w:t xml:space="preserve">reviewed (1) for content by three senior epidemiologists at CDC; (2) for question design, flow, clarity, and timing by </w:t>
      </w:r>
      <w:r w:rsidR="0042207C">
        <w:t>five</w:t>
      </w:r>
      <w:r w:rsidR="0042207C" w:rsidRPr="007F7B1D">
        <w:t xml:space="preserve"> CDC staff members; and (3) for content by experts in the field. The questionnaire and participant information materials </w:t>
      </w:r>
      <w:r>
        <w:t>were also</w:t>
      </w:r>
      <w:r w:rsidR="0042207C" w:rsidRPr="007F7B1D">
        <w:t xml:space="preserve"> pilot-tested by </w:t>
      </w:r>
      <w:r w:rsidR="0042207C">
        <w:t>six</w:t>
      </w:r>
      <w:r w:rsidR="0042207C" w:rsidRPr="007F7B1D">
        <w:t xml:space="preserve"> CDC staff members, and </w:t>
      </w:r>
      <w:r w:rsidR="0042207C">
        <w:t>three</w:t>
      </w:r>
      <w:r w:rsidR="0042207C" w:rsidRPr="007F7B1D">
        <w:t xml:space="preserve"> member</w:t>
      </w:r>
      <w:r w:rsidR="0042207C">
        <w:t>s</w:t>
      </w:r>
      <w:r w:rsidR="0042207C" w:rsidRPr="007F7B1D">
        <w:t xml:space="preserve"> of the general public. </w:t>
      </w:r>
    </w:p>
    <w:p w14:paraId="5CFB829A" w14:textId="77777777" w:rsidR="0042207C" w:rsidRPr="007F7B1D" w:rsidRDefault="0042207C" w:rsidP="0042207C"/>
    <w:p w14:paraId="37CE2DA1" w14:textId="77777777" w:rsidR="0042207C" w:rsidRPr="007F7B1D" w:rsidRDefault="0042207C" w:rsidP="006A6C6B">
      <w:pPr>
        <w:pStyle w:val="Heading1"/>
      </w:pPr>
      <w:bookmarkStart w:id="8" w:name="_Toc426728962"/>
      <w:r w:rsidRPr="007F7B1D">
        <w:lastRenderedPageBreak/>
        <w:t>5. Individuals Consulted on Statistical Aspects and Individuals Collecting and/or Analyzing Data</w:t>
      </w:r>
      <w:bookmarkEnd w:id="8"/>
    </w:p>
    <w:p w14:paraId="0F7C722A" w14:textId="77777777" w:rsidR="0042207C" w:rsidRPr="007F7B1D" w:rsidRDefault="0042207C" w:rsidP="0042207C">
      <w:r w:rsidRPr="007F7B1D">
        <w:t>Statistical consultants for study design:</w:t>
      </w:r>
    </w:p>
    <w:p w14:paraId="34347A6B" w14:textId="77777777" w:rsidR="0042207C" w:rsidRPr="007F7B1D" w:rsidRDefault="0042207C" w:rsidP="0042207C">
      <w:pPr>
        <w:numPr>
          <w:ilvl w:val="0"/>
          <w:numId w:val="9"/>
        </w:numPr>
      </w:pPr>
      <w:r>
        <w:t>Anna Blackstock</w:t>
      </w:r>
      <w:r w:rsidRPr="007F7B1D">
        <w:t xml:space="preserve">, CDC – ph. </w:t>
      </w:r>
      <w:r>
        <w:t>404-718-1228</w:t>
      </w:r>
      <w:r w:rsidRPr="007F7B1D">
        <w:t xml:space="preserve">, email: </w:t>
      </w:r>
      <w:hyperlink r:id="rId9" w:history="1">
        <w:r>
          <w:rPr>
            <w:rStyle w:val="Hyperlink"/>
          </w:rPr>
          <w:t>hyp9</w:t>
        </w:r>
        <w:r w:rsidRPr="007F7B1D">
          <w:rPr>
            <w:rStyle w:val="Hyperlink"/>
          </w:rPr>
          <w:t>@cdc.gov</w:t>
        </w:r>
      </w:hyperlink>
    </w:p>
    <w:p w14:paraId="5C492772" w14:textId="21877C95" w:rsidR="0042207C" w:rsidRPr="00374382" w:rsidRDefault="0042207C" w:rsidP="0042207C">
      <w:pPr>
        <w:numPr>
          <w:ilvl w:val="0"/>
          <w:numId w:val="9"/>
        </w:numPr>
        <w:rPr>
          <w:rStyle w:val="Hyperlink"/>
          <w:color w:val="auto"/>
        </w:rPr>
      </w:pPr>
      <w:r w:rsidRPr="00374382">
        <w:t>Tracy Ayers</w:t>
      </w:r>
      <w:r w:rsidRPr="000D6B82">
        <w:t xml:space="preserve">, CDC – ph. </w:t>
      </w:r>
      <w:r w:rsidRPr="00374382">
        <w:t>404-639-0543</w:t>
      </w:r>
      <w:r w:rsidRPr="000D6B82">
        <w:t xml:space="preserve">, email: </w:t>
      </w:r>
      <w:hyperlink r:id="rId10" w:history="1">
        <w:r w:rsidRPr="00374382">
          <w:rPr>
            <w:rStyle w:val="Hyperlink"/>
          </w:rPr>
          <w:t>eyk6@cdc.gov</w:t>
        </w:r>
      </w:hyperlink>
    </w:p>
    <w:p w14:paraId="7D7B32AD" w14:textId="77777777" w:rsidR="0042207C" w:rsidRPr="006A6C6B" w:rsidRDefault="0042207C" w:rsidP="0042207C">
      <w:pPr>
        <w:numPr>
          <w:ilvl w:val="0"/>
          <w:numId w:val="9"/>
        </w:numPr>
        <w:rPr>
          <w:rStyle w:val="Hyperlink"/>
          <w:color w:val="auto"/>
          <w:u w:val="none"/>
        </w:rPr>
      </w:pPr>
      <w:r w:rsidRPr="00374382">
        <w:t>Gordana Derado</w:t>
      </w:r>
      <w:r w:rsidRPr="000D6B82">
        <w:t xml:space="preserve">, CDC – ph. </w:t>
      </w:r>
      <w:r w:rsidRPr="00374382">
        <w:t>404-639-0393</w:t>
      </w:r>
      <w:r w:rsidRPr="000D6B82">
        <w:t xml:space="preserve">, email: </w:t>
      </w:r>
      <w:hyperlink r:id="rId11" w:history="1">
        <w:r w:rsidRPr="00374382">
          <w:rPr>
            <w:rStyle w:val="Hyperlink"/>
          </w:rPr>
          <w:t>uwx8</w:t>
        </w:r>
        <w:r w:rsidRPr="000D6B82">
          <w:rPr>
            <w:rStyle w:val="Hyperlink"/>
          </w:rPr>
          <w:t>@cdc.gov</w:t>
        </w:r>
      </w:hyperlink>
    </w:p>
    <w:p w14:paraId="3EB4DBAB" w14:textId="54749B2D" w:rsidR="006C6849" w:rsidRPr="00AD4665" w:rsidRDefault="006C6849" w:rsidP="006C6849">
      <w:pPr>
        <w:pStyle w:val="ListParagraph"/>
        <w:numPr>
          <w:ilvl w:val="0"/>
          <w:numId w:val="9"/>
        </w:numPr>
      </w:pPr>
      <w:r w:rsidRPr="00AD4665">
        <w:t xml:space="preserve">Xin (Lucy) Lu, CDC/ORISE (Tracy Ayers is supervisor) – ph. 404-718-4868, email: </w:t>
      </w:r>
      <w:hyperlink r:id="rId12" w:history="1">
        <w:r w:rsidRPr="00AD4665">
          <w:rPr>
            <w:rStyle w:val="Hyperlink"/>
          </w:rPr>
          <w:t>xjp2@cdc.gov</w:t>
        </w:r>
      </w:hyperlink>
    </w:p>
    <w:p w14:paraId="7A54171F" w14:textId="77777777" w:rsidR="0042207C" w:rsidRPr="007F7B1D" w:rsidRDefault="0042207C" w:rsidP="0042207C">
      <w:r w:rsidRPr="007F7B1D">
        <w:t xml:space="preserve"> </w:t>
      </w:r>
    </w:p>
    <w:p w14:paraId="0707FF45" w14:textId="77777777" w:rsidR="0042207C" w:rsidRPr="007F7B1D" w:rsidRDefault="0042207C" w:rsidP="0042207C">
      <w:r w:rsidRPr="007F7B1D">
        <w:t>Persons who designed the data collection:</w:t>
      </w:r>
    </w:p>
    <w:p w14:paraId="58D8A90C" w14:textId="77777777" w:rsidR="0042207C" w:rsidRPr="00374382" w:rsidRDefault="0042207C" w:rsidP="0042207C">
      <w:pPr>
        <w:numPr>
          <w:ilvl w:val="0"/>
          <w:numId w:val="8"/>
        </w:numPr>
        <w:tabs>
          <w:tab w:val="num" w:pos="0"/>
        </w:tabs>
        <w:rPr>
          <w:rStyle w:val="Hyperlink"/>
          <w:color w:val="auto"/>
        </w:rPr>
      </w:pPr>
      <w:r w:rsidRPr="007F7B1D">
        <w:t xml:space="preserve">Joan Brunkard, CDC – ph. 770-488-7711, email: </w:t>
      </w:r>
      <w:hyperlink r:id="rId13" w:history="1">
        <w:r w:rsidRPr="007F7B1D">
          <w:rPr>
            <w:rStyle w:val="Hyperlink"/>
          </w:rPr>
          <w:t>feu4@cdc.gov</w:t>
        </w:r>
      </w:hyperlink>
    </w:p>
    <w:p w14:paraId="0ADA06EE" w14:textId="77777777" w:rsidR="0042207C" w:rsidRPr="007F7B1D" w:rsidRDefault="0042207C" w:rsidP="0042207C">
      <w:pPr>
        <w:numPr>
          <w:ilvl w:val="0"/>
          <w:numId w:val="8"/>
        </w:numPr>
        <w:tabs>
          <w:tab w:val="num" w:pos="0"/>
        </w:tabs>
      </w:pPr>
      <w:r w:rsidRPr="00374382">
        <w:rPr>
          <w:rStyle w:val="Hyperlink"/>
          <w:color w:val="auto"/>
        </w:rPr>
        <w:t xml:space="preserve">Julia Gargano, CDC – ph. 404-718-4893, </w:t>
      </w:r>
      <w:r>
        <w:rPr>
          <w:rStyle w:val="Hyperlink"/>
        </w:rPr>
        <w:t>e-mail: igc5@cdc.gov</w:t>
      </w:r>
    </w:p>
    <w:p w14:paraId="69489C92" w14:textId="77777777" w:rsidR="0042207C" w:rsidRPr="007F7B1D" w:rsidRDefault="0042207C" w:rsidP="0042207C">
      <w:pPr>
        <w:numPr>
          <w:ilvl w:val="0"/>
          <w:numId w:val="8"/>
        </w:numPr>
        <w:tabs>
          <w:tab w:val="num" w:pos="0"/>
        </w:tabs>
      </w:pPr>
      <w:r w:rsidRPr="007F7B1D">
        <w:t xml:space="preserve">Vincent Hill, CDC – ph. 404-718-4151, email: </w:t>
      </w:r>
      <w:hyperlink r:id="rId14" w:history="1">
        <w:r w:rsidRPr="007F7B1D">
          <w:rPr>
            <w:rStyle w:val="Hyperlink"/>
          </w:rPr>
          <w:t>veh2@cdc.gov</w:t>
        </w:r>
      </w:hyperlink>
    </w:p>
    <w:p w14:paraId="21AB6B27" w14:textId="77777777" w:rsidR="0042207C" w:rsidRPr="007F7B1D" w:rsidRDefault="0042207C" w:rsidP="0042207C">
      <w:pPr>
        <w:numPr>
          <w:ilvl w:val="0"/>
          <w:numId w:val="8"/>
        </w:numPr>
        <w:tabs>
          <w:tab w:val="num" w:pos="0"/>
        </w:tabs>
      </w:pPr>
      <w:r w:rsidRPr="007F7B1D">
        <w:t xml:space="preserve">Joseph Carpenter, CDC – ph. 404-639-3900, email: </w:t>
      </w:r>
      <w:hyperlink r:id="rId15" w:history="1">
        <w:r w:rsidRPr="007F7B1D">
          <w:rPr>
            <w:rStyle w:val="Hyperlink"/>
          </w:rPr>
          <w:t>jcc0@cdc.gov</w:t>
        </w:r>
      </w:hyperlink>
    </w:p>
    <w:p w14:paraId="483A700A" w14:textId="77777777" w:rsidR="0042207C" w:rsidRPr="007F7B1D" w:rsidRDefault="0042207C" w:rsidP="0042207C">
      <w:pPr>
        <w:numPr>
          <w:ilvl w:val="0"/>
          <w:numId w:val="8"/>
        </w:numPr>
        <w:tabs>
          <w:tab w:val="num" w:pos="0"/>
        </w:tabs>
      </w:pPr>
      <w:r w:rsidRPr="007F7B1D">
        <w:t xml:space="preserve">Elizabeth Ailes, </w:t>
      </w:r>
      <w:r>
        <w:t xml:space="preserve">formerly </w:t>
      </w:r>
      <w:r w:rsidRPr="007F7B1D">
        <w:t>contractor for CDC</w:t>
      </w:r>
      <w:r w:rsidRPr="007F7B1D">
        <w:rPr>
          <w:vertAlign w:val="superscript"/>
        </w:rPr>
        <w:t>*</w:t>
      </w:r>
      <w:r w:rsidRPr="007F7B1D">
        <w:t xml:space="preserve"> – ph 770-488-7563, email: </w:t>
      </w:r>
      <w:hyperlink r:id="rId16" w:history="1">
        <w:r w:rsidRPr="007F7B1D">
          <w:rPr>
            <w:rStyle w:val="Hyperlink"/>
          </w:rPr>
          <w:t>eha0@cdc.gov</w:t>
        </w:r>
      </w:hyperlink>
    </w:p>
    <w:p w14:paraId="04E9044E" w14:textId="77777777" w:rsidR="0042207C" w:rsidRPr="00820D4C" w:rsidRDefault="0042207C" w:rsidP="0042207C">
      <w:pPr>
        <w:numPr>
          <w:ilvl w:val="0"/>
          <w:numId w:val="8"/>
        </w:numPr>
        <w:tabs>
          <w:tab w:val="num" w:pos="0"/>
        </w:tabs>
      </w:pPr>
      <w:r w:rsidRPr="00374382">
        <w:t>Mark Lamias, contractor for CDC</w:t>
      </w:r>
      <w:r w:rsidRPr="00374382">
        <w:rPr>
          <w:vertAlign w:val="superscript"/>
        </w:rPr>
        <w:t>**</w:t>
      </w:r>
      <w:r w:rsidRPr="00820D4C">
        <w:t xml:space="preserve"> – ph. 404-498-1151, email: </w:t>
      </w:r>
      <w:hyperlink r:id="rId17" w:history="1">
        <w:r w:rsidRPr="00820D4C">
          <w:rPr>
            <w:rStyle w:val="Hyperlink"/>
          </w:rPr>
          <w:t>bnz6@cdc.gov</w:t>
        </w:r>
      </w:hyperlink>
      <w:r w:rsidRPr="00820D4C">
        <w:t xml:space="preserve"> </w:t>
      </w:r>
    </w:p>
    <w:p w14:paraId="7A56E18D" w14:textId="77777777" w:rsidR="0042207C" w:rsidRPr="00524973" w:rsidRDefault="0042207C" w:rsidP="0042207C">
      <w:pPr>
        <w:numPr>
          <w:ilvl w:val="0"/>
          <w:numId w:val="8"/>
        </w:numPr>
        <w:rPr>
          <w:rStyle w:val="Hyperlink"/>
          <w:color w:val="auto"/>
          <w:u w:val="none"/>
        </w:rPr>
      </w:pPr>
      <w:r w:rsidRPr="00820D4C">
        <w:t xml:space="preserve">Bonnie Mull, </w:t>
      </w:r>
      <w:r w:rsidRPr="00374382">
        <w:t>CDC  - ph. 404</w:t>
      </w:r>
      <w:r w:rsidRPr="00820D4C">
        <w:t>-</w:t>
      </w:r>
      <w:r w:rsidRPr="00374382">
        <w:t>718</w:t>
      </w:r>
      <w:r w:rsidRPr="00820D4C">
        <w:t>-</w:t>
      </w:r>
      <w:r w:rsidRPr="00374382">
        <w:t xml:space="preserve">4156, email: </w:t>
      </w:r>
      <w:hyperlink r:id="rId18" w:history="1">
        <w:r w:rsidRPr="00820D4C">
          <w:rPr>
            <w:rStyle w:val="Hyperlink"/>
          </w:rPr>
          <w:t>gtx1@cdc.gov</w:t>
        </w:r>
      </w:hyperlink>
    </w:p>
    <w:p w14:paraId="68908BBD" w14:textId="1E50F5CA" w:rsidR="006C6849" w:rsidRPr="00AD4665" w:rsidRDefault="006C6849" w:rsidP="006C6849">
      <w:pPr>
        <w:pStyle w:val="ListParagraph"/>
        <w:numPr>
          <w:ilvl w:val="0"/>
          <w:numId w:val="8"/>
        </w:numPr>
      </w:pPr>
      <w:r w:rsidRPr="00AD4665">
        <w:t xml:space="preserve">Elizabeth Adam, CDC/ORISE (Julia Gargano is supervisor) – ph. 404-718-4873, email: </w:t>
      </w:r>
      <w:hyperlink r:id="rId19" w:history="1">
        <w:r w:rsidRPr="00AD4665">
          <w:rPr>
            <w:rStyle w:val="Hyperlink"/>
          </w:rPr>
          <w:t>wsi7@cdc.gov</w:t>
        </w:r>
      </w:hyperlink>
    </w:p>
    <w:p w14:paraId="73B7ADB9" w14:textId="77777777" w:rsidR="006C6849" w:rsidRPr="00820D4C" w:rsidRDefault="006C6849" w:rsidP="00524973">
      <w:pPr>
        <w:ind w:left="720"/>
      </w:pPr>
    </w:p>
    <w:p w14:paraId="7217C76B" w14:textId="77777777" w:rsidR="0042207C" w:rsidRPr="007F7B1D" w:rsidRDefault="0042207C" w:rsidP="0042207C"/>
    <w:p w14:paraId="154A54FA" w14:textId="77777777" w:rsidR="0042207C" w:rsidRPr="007F7B1D" w:rsidRDefault="0042207C" w:rsidP="0042207C">
      <w:r w:rsidRPr="007F7B1D">
        <w:t>Persons who will collect the data:</w:t>
      </w:r>
    </w:p>
    <w:p w14:paraId="06F62CB7" w14:textId="099729E2" w:rsidR="00F90B59" w:rsidRDefault="00F90B59" w:rsidP="0042207C">
      <w:pPr>
        <w:numPr>
          <w:ilvl w:val="0"/>
          <w:numId w:val="8"/>
        </w:numPr>
        <w:tabs>
          <w:tab w:val="num" w:pos="0"/>
        </w:tabs>
      </w:pPr>
      <w:r>
        <w:t>Katie Fullerton, CDC – ph. 404-718-; email: kgf9@cdc.gov</w:t>
      </w:r>
    </w:p>
    <w:p w14:paraId="5FAAAD18" w14:textId="77777777" w:rsidR="0042207C" w:rsidRDefault="0042207C" w:rsidP="0042207C">
      <w:pPr>
        <w:numPr>
          <w:ilvl w:val="0"/>
          <w:numId w:val="8"/>
        </w:numPr>
        <w:tabs>
          <w:tab w:val="num" w:pos="0"/>
        </w:tabs>
      </w:pPr>
      <w:r>
        <w:t>Julia Gargano</w:t>
      </w:r>
      <w:r w:rsidRPr="007F7B1D">
        <w:t xml:space="preserve">, CDC – ph. </w:t>
      </w:r>
      <w:r>
        <w:t>404</w:t>
      </w:r>
      <w:r w:rsidRPr="007F7B1D">
        <w:t>-</w:t>
      </w:r>
      <w:r>
        <w:t>718-4893</w:t>
      </w:r>
      <w:r w:rsidRPr="007F7B1D">
        <w:t xml:space="preserve">, email: </w:t>
      </w:r>
      <w:hyperlink r:id="rId20" w:history="1">
        <w:r w:rsidRPr="00F96B57">
          <w:rPr>
            <w:rStyle w:val="Hyperlink"/>
          </w:rPr>
          <w:t>igc5@cdc.gov</w:t>
        </w:r>
      </w:hyperlink>
    </w:p>
    <w:p w14:paraId="31BF6D5A" w14:textId="16CAA124" w:rsidR="0042207C" w:rsidRPr="007F7B1D" w:rsidRDefault="009C5B17" w:rsidP="0042207C">
      <w:pPr>
        <w:numPr>
          <w:ilvl w:val="0"/>
          <w:numId w:val="8"/>
        </w:numPr>
        <w:tabs>
          <w:tab w:val="num" w:pos="0"/>
        </w:tabs>
      </w:pPr>
      <w:r>
        <w:t>Elizabeth Adam,</w:t>
      </w:r>
      <w:r w:rsidR="00652C0B">
        <w:t xml:space="preserve"> contractor for</w:t>
      </w:r>
      <w:r>
        <w:t xml:space="preserve"> CDC </w:t>
      </w:r>
      <w:r w:rsidR="00652C0B">
        <w:t>(</w:t>
      </w:r>
      <w:r w:rsidR="006F3909">
        <w:t>Katie Fullerton</w:t>
      </w:r>
      <w:r w:rsidR="00652C0B">
        <w:t xml:space="preserve"> is supervisor)</w:t>
      </w:r>
      <w:r>
        <w:t>– ph. 404-718-4873, email: wsi7@cdc.gov</w:t>
      </w:r>
    </w:p>
    <w:p w14:paraId="17D2E44C" w14:textId="77777777" w:rsidR="0042207C" w:rsidRDefault="0042207C" w:rsidP="0042207C">
      <w:pPr>
        <w:numPr>
          <w:ilvl w:val="0"/>
          <w:numId w:val="8"/>
        </w:numPr>
        <w:tabs>
          <w:tab w:val="num" w:pos="0"/>
        </w:tabs>
      </w:pPr>
      <w:r w:rsidRPr="007F7B1D">
        <w:t>Mark Lamias, contractor for CDC</w:t>
      </w:r>
      <w:r w:rsidRPr="007F7B1D">
        <w:rPr>
          <w:vertAlign w:val="superscript"/>
        </w:rPr>
        <w:t>**</w:t>
      </w:r>
      <w:r w:rsidRPr="007F7B1D">
        <w:t xml:space="preserve"> – ph. 404-498-1151, email: </w:t>
      </w:r>
      <w:hyperlink r:id="rId21" w:history="1">
        <w:r w:rsidRPr="007F7B1D">
          <w:rPr>
            <w:rStyle w:val="Hyperlink"/>
          </w:rPr>
          <w:t>bnz6@cdc.gov</w:t>
        </w:r>
      </w:hyperlink>
      <w:r w:rsidRPr="007F7B1D">
        <w:t xml:space="preserve"> </w:t>
      </w:r>
    </w:p>
    <w:p w14:paraId="5C095C90" w14:textId="67D3E64C" w:rsidR="006C6849" w:rsidRPr="00AD4665" w:rsidRDefault="006C6849" w:rsidP="006C6849">
      <w:pPr>
        <w:pStyle w:val="ListParagraph"/>
        <w:numPr>
          <w:ilvl w:val="0"/>
          <w:numId w:val="8"/>
        </w:numPr>
      </w:pPr>
      <w:r w:rsidRPr="00AD4665">
        <w:t xml:space="preserve">Vincent Hill, CDC – ph. 404-718-4151, email: </w:t>
      </w:r>
      <w:hyperlink r:id="rId22" w:history="1">
        <w:r w:rsidRPr="00AD4665">
          <w:rPr>
            <w:rStyle w:val="Hyperlink"/>
          </w:rPr>
          <w:t>veh2@cdc.gov</w:t>
        </w:r>
      </w:hyperlink>
    </w:p>
    <w:p w14:paraId="6E30F92B" w14:textId="4736DF3B" w:rsidR="006C6849" w:rsidRDefault="006C6849" w:rsidP="006C6849">
      <w:pPr>
        <w:pStyle w:val="ListParagraph"/>
        <w:numPr>
          <w:ilvl w:val="0"/>
          <w:numId w:val="8"/>
        </w:numPr>
      </w:pPr>
      <w:r w:rsidRPr="00AD4665">
        <w:t xml:space="preserve">Chandra Schneeberger, contractor for CDC (Vincent Hill is supervisor) - ph. 404-718-4154 email: </w:t>
      </w:r>
      <w:hyperlink r:id="rId23" w:history="1">
        <w:r w:rsidRPr="00AD4665">
          <w:rPr>
            <w:rStyle w:val="Hyperlink"/>
          </w:rPr>
          <w:t>ipq7@cdc.gov</w:t>
        </w:r>
      </w:hyperlink>
      <w:r w:rsidRPr="00AD4665">
        <w:t xml:space="preserve"> </w:t>
      </w:r>
    </w:p>
    <w:p w14:paraId="13294510" w14:textId="66071103" w:rsidR="00F021F6" w:rsidRPr="00AD4665" w:rsidRDefault="00F021F6" w:rsidP="006C6849">
      <w:pPr>
        <w:pStyle w:val="ListParagraph"/>
        <w:numPr>
          <w:ilvl w:val="0"/>
          <w:numId w:val="8"/>
        </w:numPr>
      </w:pPr>
      <w:r>
        <w:t>Alison Stargel, contractor for CDC (Vincent Hill is supervisor)</w:t>
      </w:r>
      <w:r w:rsidRPr="00AD4665">
        <w:t xml:space="preserve"> - ph. 404-718-4154 email: </w:t>
      </w:r>
      <w:hyperlink r:id="rId24" w:history="1">
        <w:r w:rsidR="006F3909" w:rsidRPr="006F3909">
          <w:rPr>
            <w:rStyle w:val="Hyperlink"/>
          </w:rPr>
          <w:t>kna8@cdc.gov</w:t>
        </w:r>
      </w:hyperlink>
    </w:p>
    <w:p w14:paraId="64CB0846" w14:textId="77777777" w:rsidR="006C6849" w:rsidRPr="007F7B1D" w:rsidRDefault="006C6849" w:rsidP="00B07971">
      <w:pPr>
        <w:ind w:left="720"/>
      </w:pPr>
    </w:p>
    <w:p w14:paraId="108CFFD8" w14:textId="77777777" w:rsidR="0042207C" w:rsidRPr="007F7B1D" w:rsidRDefault="0042207C" w:rsidP="0042207C"/>
    <w:p w14:paraId="0C3FB8D8" w14:textId="77777777" w:rsidR="0042207C" w:rsidRPr="007F7B1D" w:rsidRDefault="0042207C" w:rsidP="0042207C">
      <w:r w:rsidRPr="007F7B1D">
        <w:t>Persons who will analyze the data:</w:t>
      </w:r>
    </w:p>
    <w:p w14:paraId="03A2F2DD" w14:textId="77777777" w:rsidR="0042207C" w:rsidRDefault="0042207C" w:rsidP="0042207C">
      <w:pPr>
        <w:numPr>
          <w:ilvl w:val="0"/>
          <w:numId w:val="8"/>
        </w:numPr>
        <w:tabs>
          <w:tab w:val="num" w:pos="0"/>
        </w:tabs>
      </w:pPr>
      <w:r>
        <w:t>Julia Gargano</w:t>
      </w:r>
      <w:r w:rsidRPr="007F7B1D">
        <w:t xml:space="preserve">, CDC – ph. </w:t>
      </w:r>
      <w:r>
        <w:t>404</w:t>
      </w:r>
      <w:r w:rsidRPr="007F7B1D">
        <w:t>-</w:t>
      </w:r>
      <w:r>
        <w:t>718-4893</w:t>
      </w:r>
      <w:r w:rsidRPr="007F7B1D">
        <w:t xml:space="preserve">, email: </w:t>
      </w:r>
      <w:hyperlink r:id="rId25" w:history="1">
        <w:r w:rsidRPr="00F96B57">
          <w:rPr>
            <w:rStyle w:val="Hyperlink"/>
          </w:rPr>
          <w:t>igc5@cdc.gov</w:t>
        </w:r>
      </w:hyperlink>
    </w:p>
    <w:p w14:paraId="1D4BCB33" w14:textId="764521A6" w:rsidR="000A5A23" w:rsidRDefault="009C5B17" w:rsidP="0042207C">
      <w:pPr>
        <w:numPr>
          <w:ilvl w:val="0"/>
          <w:numId w:val="8"/>
        </w:numPr>
        <w:tabs>
          <w:tab w:val="num" w:pos="0"/>
        </w:tabs>
      </w:pPr>
      <w:r>
        <w:t xml:space="preserve">Elizabeth Adam, </w:t>
      </w:r>
      <w:r w:rsidR="00652C0B">
        <w:t xml:space="preserve">contractor for </w:t>
      </w:r>
      <w:r>
        <w:t xml:space="preserve">CDC </w:t>
      </w:r>
      <w:r w:rsidR="00652C0B">
        <w:t>(Julia Gargano is supervisor)</w:t>
      </w:r>
      <w:r>
        <w:t xml:space="preserve">– ph. 404-718-4873, email: </w:t>
      </w:r>
      <w:hyperlink r:id="rId26" w:history="1">
        <w:r w:rsidR="000A5A23" w:rsidRPr="00B259A0">
          <w:rPr>
            <w:rStyle w:val="Hyperlink"/>
          </w:rPr>
          <w:t>wsi7@cdc.gov</w:t>
        </w:r>
      </w:hyperlink>
    </w:p>
    <w:p w14:paraId="62102574" w14:textId="77777777" w:rsidR="0042207C" w:rsidRPr="007F7B1D" w:rsidRDefault="0042207C" w:rsidP="0042207C">
      <w:pPr>
        <w:rPr>
          <w:b/>
          <w:bCs/>
          <w:u w:val="single"/>
        </w:rPr>
      </w:pPr>
    </w:p>
    <w:p w14:paraId="2079C841" w14:textId="77777777" w:rsidR="0042207C" w:rsidRPr="007F7B1D" w:rsidRDefault="0042207C" w:rsidP="0042207C">
      <w:pPr>
        <w:rPr>
          <w:bCs/>
        </w:rPr>
      </w:pPr>
      <w:r w:rsidRPr="007F7B1D">
        <w:rPr>
          <w:bCs/>
          <w:vertAlign w:val="superscript"/>
        </w:rPr>
        <w:t xml:space="preserve">* </w:t>
      </w:r>
      <w:r w:rsidRPr="007F7B1D">
        <w:rPr>
          <w:bCs/>
        </w:rPr>
        <w:t xml:space="preserve">Elizabeth Ailes’ CDC supervisor </w:t>
      </w:r>
      <w:r>
        <w:rPr>
          <w:bCs/>
        </w:rPr>
        <w:t>was</w:t>
      </w:r>
      <w:r w:rsidRPr="007F7B1D">
        <w:rPr>
          <w:bCs/>
        </w:rPr>
        <w:t xml:space="preserve"> Joan Brunkard, ph. 770-488-7711, email: </w:t>
      </w:r>
      <w:hyperlink r:id="rId27" w:history="1">
        <w:r w:rsidRPr="007F7B1D">
          <w:rPr>
            <w:rStyle w:val="Hyperlink"/>
          </w:rPr>
          <w:t>feu4@cdc.gov</w:t>
        </w:r>
      </w:hyperlink>
    </w:p>
    <w:p w14:paraId="7B043BC7" w14:textId="77777777" w:rsidR="0042207C" w:rsidRPr="007F7B1D" w:rsidRDefault="0042207C" w:rsidP="0042207C">
      <w:r w:rsidRPr="007F7B1D">
        <w:rPr>
          <w:vertAlign w:val="superscript"/>
        </w:rPr>
        <w:t xml:space="preserve">** </w:t>
      </w:r>
      <w:r w:rsidRPr="007F7B1D">
        <w:t xml:space="preserve">Mark Lamias’ CDC supervisor is </w:t>
      </w:r>
      <w:r>
        <w:t>Robert Fish</w:t>
      </w:r>
      <w:r w:rsidRPr="007F7B1D">
        <w:t xml:space="preserve">, ph. </w:t>
      </w:r>
      <w:r w:rsidRPr="006F0FE8">
        <w:t>404.498.2646</w:t>
      </w:r>
      <w:r w:rsidRPr="007F7B1D">
        <w:t xml:space="preserve">, email: </w:t>
      </w:r>
      <w:hyperlink r:id="rId28" w:history="1">
        <w:r w:rsidRPr="00224605">
          <w:rPr>
            <w:rStyle w:val="Hyperlink"/>
          </w:rPr>
          <w:t>bnz6@cdc.gov</w:t>
        </w:r>
      </w:hyperlink>
    </w:p>
    <w:p w14:paraId="6C763D26" w14:textId="0DD16958" w:rsidR="0042207C" w:rsidRPr="007F7B1D" w:rsidRDefault="0042207C" w:rsidP="0042207C">
      <w:pPr>
        <w:rPr>
          <w:b/>
        </w:rPr>
      </w:pPr>
      <w:r w:rsidRPr="007F7B1D">
        <w:br w:type="page"/>
      </w:r>
      <w:r w:rsidRPr="007F7B1D">
        <w:rPr>
          <w:b/>
        </w:rPr>
        <w:lastRenderedPageBreak/>
        <w:t>Reference</w:t>
      </w:r>
      <w:r w:rsidR="005C1936">
        <w:rPr>
          <w:b/>
        </w:rPr>
        <w:t>s</w:t>
      </w:r>
    </w:p>
    <w:p w14:paraId="0F14BE63" w14:textId="77777777" w:rsidR="0042207C" w:rsidRPr="00FA04AE" w:rsidRDefault="0042207C" w:rsidP="0042207C">
      <w:pPr>
        <w:ind w:left="720" w:hanging="720"/>
        <w:rPr>
          <w:rFonts w:cs="Times New Roman"/>
          <w:noProof/>
        </w:rPr>
      </w:pPr>
      <w:r w:rsidRPr="007F7B1D">
        <w:fldChar w:fldCharType="begin"/>
      </w:r>
      <w:r w:rsidRPr="007F7B1D">
        <w:instrText xml:space="preserve"> ADDIN EN.REFLIST </w:instrText>
      </w:r>
      <w:r w:rsidRPr="007F7B1D">
        <w:fldChar w:fldCharType="separate"/>
      </w:r>
      <w:bookmarkStart w:id="9" w:name="_ENREF_1"/>
      <w:r w:rsidRPr="00FA04AE">
        <w:rPr>
          <w:rFonts w:cs="Times New Roman"/>
          <w:noProof/>
        </w:rPr>
        <w:t xml:space="preserve">Ailes, E., P. Budge, et al. (2010). </w:t>
      </w:r>
      <w:r w:rsidRPr="00FA04AE">
        <w:rPr>
          <w:rFonts w:cs="Times New Roman"/>
          <w:noProof/>
          <w:u w:val="single"/>
        </w:rPr>
        <w:t>Economic and Health Impacts Associated with a Salmonella Serotype Typhimurium Drinking Water Outbreak -- Alamosa, CO, 2008</w:t>
      </w:r>
      <w:r w:rsidRPr="00FA04AE">
        <w:rPr>
          <w:rFonts w:cs="Times New Roman"/>
          <w:noProof/>
        </w:rPr>
        <w:t>. International Conference on Emerging Infectious Diseases, Atlanta, GA.</w:t>
      </w:r>
      <w:bookmarkEnd w:id="9"/>
    </w:p>
    <w:p w14:paraId="29D89EE1" w14:textId="77777777" w:rsidR="0042207C" w:rsidRPr="00FA04AE" w:rsidRDefault="0042207C" w:rsidP="0042207C">
      <w:pPr>
        <w:ind w:left="720" w:hanging="720"/>
        <w:rPr>
          <w:rFonts w:cs="Times New Roman"/>
          <w:noProof/>
        </w:rPr>
      </w:pPr>
      <w:bookmarkStart w:id="10" w:name="_ENREF_2"/>
      <w:r w:rsidRPr="00FA04AE">
        <w:rPr>
          <w:rFonts w:cs="Times New Roman"/>
          <w:noProof/>
        </w:rPr>
        <w:t xml:space="preserve">Dillman, D. A. (2007). </w:t>
      </w:r>
      <w:r w:rsidRPr="00FA04AE">
        <w:rPr>
          <w:rFonts w:cs="Times New Roman"/>
          <w:noProof/>
          <w:u w:val="single"/>
        </w:rPr>
        <w:t>Mail and Internet Surveys: The Tailored Design Method</w:t>
      </w:r>
      <w:r w:rsidRPr="00FA04AE">
        <w:rPr>
          <w:rFonts w:cs="Times New Roman"/>
          <w:noProof/>
        </w:rPr>
        <w:t>. New Jersey, John Wiley &amp; Sons, Inc.</w:t>
      </w:r>
      <w:bookmarkEnd w:id="10"/>
    </w:p>
    <w:p w14:paraId="7653D914" w14:textId="77777777" w:rsidR="0042207C" w:rsidRPr="00FA04AE" w:rsidRDefault="0042207C" w:rsidP="0042207C">
      <w:pPr>
        <w:ind w:left="720" w:hanging="720"/>
        <w:rPr>
          <w:rFonts w:cs="Times New Roman"/>
          <w:noProof/>
        </w:rPr>
      </w:pPr>
      <w:bookmarkStart w:id="11" w:name="_ENREF_3"/>
      <w:r w:rsidRPr="00FA04AE">
        <w:rPr>
          <w:rFonts w:cs="Times New Roman"/>
          <w:noProof/>
        </w:rPr>
        <w:t xml:space="preserve">Galea, S. and M. Tracy (2007). "Participation Rates in Epidemiologic Studies." </w:t>
      </w:r>
      <w:r w:rsidRPr="00FA04AE">
        <w:rPr>
          <w:rFonts w:cs="Times New Roman"/>
          <w:noProof/>
          <w:u w:val="single"/>
        </w:rPr>
        <w:t>Annals of Epidemiology</w:t>
      </w:r>
      <w:r w:rsidRPr="00FA04AE">
        <w:rPr>
          <w:rFonts w:cs="Times New Roman"/>
          <w:noProof/>
        </w:rPr>
        <w:t xml:space="preserve"> </w:t>
      </w:r>
      <w:r w:rsidRPr="00FA04AE">
        <w:rPr>
          <w:rFonts w:cs="Times New Roman"/>
          <w:b/>
          <w:noProof/>
        </w:rPr>
        <w:t>17</w:t>
      </w:r>
      <w:r w:rsidRPr="00FA04AE">
        <w:rPr>
          <w:rFonts w:cs="Times New Roman"/>
          <w:noProof/>
        </w:rPr>
        <w:t>(9): 643-653.</w:t>
      </w:r>
      <w:bookmarkEnd w:id="11"/>
    </w:p>
    <w:p w14:paraId="09BBCF14" w14:textId="77777777" w:rsidR="0042207C" w:rsidRPr="00FA04AE" w:rsidRDefault="0042207C" w:rsidP="0042207C">
      <w:pPr>
        <w:ind w:left="720" w:hanging="720"/>
        <w:rPr>
          <w:rFonts w:cs="Times New Roman"/>
          <w:noProof/>
        </w:rPr>
      </w:pPr>
      <w:bookmarkStart w:id="12" w:name="_ENREF_4"/>
      <w:r w:rsidRPr="00FA04AE">
        <w:rPr>
          <w:rFonts w:cs="Times New Roman"/>
          <w:noProof/>
        </w:rPr>
        <w:t xml:space="preserve">Ghosh, T. S., J. L. Patnaik, et al. (2008). "Internet- versus telephone-based local outbreak investigations." </w:t>
      </w:r>
      <w:r w:rsidRPr="00FA04AE">
        <w:rPr>
          <w:rFonts w:cs="Times New Roman"/>
          <w:noProof/>
          <w:u w:val="single"/>
        </w:rPr>
        <w:t>Emerg Infect Dis</w:t>
      </w:r>
      <w:r w:rsidRPr="00FA04AE">
        <w:rPr>
          <w:rFonts w:cs="Times New Roman"/>
          <w:noProof/>
        </w:rPr>
        <w:t xml:space="preserve"> </w:t>
      </w:r>
      <w:r w:rsidRPr="00FA04AE">
        <w:rPr>
          <w:rFonts w:cs="Times New Roman"/>
          <w:b/>
          <w:noProof/>
        </w:rPr>
        <w:t>14</w:t>
      </w:r>
      <w:r w:rsidRPr="00FA04AE">
        <w:rPr>
          <w:rFonts w:cs="Times New Roman"/>
          <w:noProof/>
        </w:rPr>
        <w:t>(6): 975-977.</w:t>
      </w:r>
      <w:bookmarkEnd w:id="12"/>
    </w:p>
    <w:p w14:paraId="0503DAA8" w14:textId="77777777" w:rsidR="0042207C" w:rsidRPr="00FA04AE" w:rsidRDefault="0042207C" w:rsidP="0042207C">
      <w:pPr>
        <w:ind w:left="720" w:hanging="720"/>
        <w:rPr>
          <w:rFonts w:cs="Times New Roman"/>
          <w:noProof/>
        </w:rPr>
      </w:pPr>
      <w:bookmarkStart w:id="13" w:name="_ENREF_5"/>
      <w:r w:rsidRPr="00FA04AE">
        <w:rPr>
          <w:rFonts w:cs="Times New Roman"/>
          <w:noProof/>
        </w:rPr>
        <w:t xml:space="preserve">Griffiths, S. L., R. L. Salmon, et al. (2010). "Using the internet for rapid investigation of an outbreak of diarrhoeal illness in mountain bikers." </w:t>
      </w:r>
      <w:r w:rsidRPr="00FA04AE">
        <w:rPr>
          <w:rFonts w:cs="Times New Roman"/>
          <w:noProof/>
          <w:u w:val="single"/>
        </w:rPr>
        <w:t>Epidemiol Infect</w:t>
      </w:r>
      <w:r w:rsidRPr="00FA04AE">
        <w:rPr>
          <w:rFonts w:cs="Times New Roman"/>
          <w:noProof/>
        </w:rPr>
        <w:t xml:space="preserve"> </w:t>
      </w:r>
      <w:r w:rsidRPr="00FA04AE">
        <w:rPr>
          <w:rFonts w:cs="Times New Roman"/>
          <w:b/>
          <w:noProof/>
        </w:rPr>
        <w:t>138</w:t>
      </w:r>
      <w:r w:rsidRPr="00FA04AE">
        <w:rPr>
          <w:rFonts w:cs="Times New Roman"/>
          <w:noProof/>
        </w:rPr>
        <w:t>(12): 1704-1711.</w:t>
      </w:r>
      <w:bookmarkEnd w:id="13"/>
    </w:p>
    <w:p w14:paraId="7FE80ED5" w14:textId="77777777" w:rsidR="0042207C" w:rsidRPr="00FA04AE" w:rsidRDefault="0042207C" w:rsidP="0042207C">
      <w:pPr>
        <w:ind w:left="720" w:hanging="720"/>
        <w:rPr>
          <w:rFonts w:cs="Times New Roman"/>
          <w:noProof/>
        </w:rPr>
      </w:pPr>
      <w:bookmarkStart w:id="14" w:name="_ENREF_6"/>
      <w:r w:rsidRPr="00FA04AE">
        <w:rPr>
          <w:rFonts w:cs="Times New Roman"/>
          <w:noProof/>
        </w:rPr>
        <w:t xml:space="preserve">Jones, T. F., M. B. McMillian, et al. (2007). "A population-based estimate of the substantial burden of diarrhoeal disease in the United States; FoodNet, 1996-2003." </w:t>
      </w:r>
      <w:r w:rsidRPr="00FA04AE">
        <w:rPr>
          <w:rFonts w:cs="Times New Roman"/>
          <w:noProof/>
          <w:u w:val="single"/>
        </w:rPr>
        <w:t>Epidemiol Infect</w:t>
      </w:r>
      <w:r w:rsidRPr="00FA04AE">
        <w:rPr>
          <w:rFonts w:cs="Times New Roman"/>
          <w:noProof/>
        </w:rPr>
        <w:t xml:space="preserve"> </w:t>
      </w:r>
      <w:r w:rsidRPr="00FA04AE">
        <w:rPr>
          <w:rFonts w:cs="Times New Roman"/>
          <w:b/>
          <w:noProof/>
        </w:rPr>
        <w:t>135</w:t>
      </w:r>
      <w:r w:rsidRPr="00FA04AE">
        <w:rPr>
          <w:rFonts w:cs="Times New Roman"/>
          <w:noProof/>
        </w:rPr>
        <w:t>(2): 293-301.</w:t>
      </w:r>
      <w:bookmarkEnd w:id="14"/>
    </w:p>
    <w:p w14:paraId="5638CA60" w14:textId="77777777" w:rsidR="0042207C" w:rsidRPr="00FA04AE" w:rsidRDefault="0042207C" w:rsidP="0042207C">
      <w:pPr>
        <w:ind w:left="720" w:hanging="720"/>
        <w:rPr>
          <w:rFonts w:cs="Times New Roman"/>
          <w:noProof/>
        </w:rPr>
      </w:pPr>
      <w:bookmarkStart w:id="15" w:name="_ENREF_8"/>
      <w:r w:rsidRPr="00FA04AE">
        <w:rPr>
          <w:rFonts w:cs="Times New Roman"/>
          <w:noProof/>
        </w:rPr>
        <w:t xml:space="preserve">Smith, B., T. C. Smith, et al. (2007). "When epidemiology meets the Internet: Web-based surveys in the Millennium Cohort Study." </w:t>
      </w:r>
      <w:r w:rsidRPr="00FA04AE">
        <w:rPr>
          <w:rFonts w:cs="Times New Roman"/>
          <w:noProof/>
          <w:u w:val="single"/>
        </w:rPr>
        <w:t>Am J Epidemiol</w:t>
      </w:r>
      <w:r w:rsidRPr="00FA04AE">
        <w:rPr>
          <w:rFonts w:cs="Times New Roman"/>
          <w:noProof/>
        </w:rPr>
        <w:t xml:space="preserve"> </w:t>
      </w:r>
      <w:r w:rsidRPr="00FA04AE">
        <w:rPr>
          <w:rFonts w:cs="Times New Roman"/>
          <w:b/>
          <w:noProof/>
        </w:rPr>
        <w:t>166</w:t>
      </w:r>
      <w:r w:rsidRPr="00FA04AE">
        <w:rPr>
          <w:rFonts w:cs="Times New Roman"/>
          <w:noProof/>
        </w:rPr>
        <w:t>(11): 1345-1354.</w:t>
      </w:r>
      <w:bookmarkEnd w:id="15"/>
    </w:p>
    <w:p w14:paraId="5BB8AE13" w14:textId="77777777" w:rsidR="0042207C" w:rsidRPr="00FA04AE" w:rsidRDefault="0042207C" w:rsidP="0042207C">
      <w:pPr>
        <w:ind w:left="720" w:hanging="720"/>
        <w:rPr>
          <w:rFonts w:cs="Times New Roman"/>
          <w:noProof/>
        </w:rPr>
      </w:pPr>
      <w:bookmarkStart w:id="16" w:name="_ENREF_9"/>
      <w:r w:rsidRPr="00FA04AE">
        <w:rPr>
          <w:rFonts w:cs="Times New Roman"/>
          <w:noProof/>
        </w:rPr>
        <w:t xml:space="preserve">Smith, C. M. and V. R. Hill (2009). "Dead-end hollow-fiber ultrafiltration for recovery of diverse microbes from water." </w:t>
      </w:r>
      <w:r w:rsidRPr="00FA04AE">
        <w:rPr>
          <w:rFonts w:cs="Times New Roman"/>
          <w:noProof/>
          <w:u w:val="single"/>
        </w:rPr>
        <w:t>Appl Environ Microbiol</w:t>
      </w:r>
      <w:r w:rsidRPr="00FA04AE">
        <w:rPr>
          <w:rFonts w:cs="Times New Roman"/>
          <w:noProof/>
        </w:rPr>
        <w:t xml:space="preserve"> </w:t>
      </w:r>
      <w:r w:rsidRPr="00FA04AE">
        <w:rPr>
          <w:rFonts w:cs="Times New Roman"/>
          <w:b/>
          <w:noProof/>
        </w:rPr>
        <w:t>75</w:t>
      </w:r>
      <w:r w:rsidRPr="00FA04AE">
        <w:rPr>
          <w:rFonts w:cs="Times New Roman"/>
          <w:noProof/>
        </w:rPr>
        <w:t>(16): 5284-5289.</w:t>
      </w:r>
      <w:bookmarkEnd w:id="16"/>
    </w:p>
    <w:p w14:paraId="56FAE9A4" w14:textId="77777777" w:rsidR="0042207C" w:rsidRDefault="0042207C" w:rsidP="0042207C">
      <w:pPr>
        <w:rPr>
          <w:rFonts w:cs="Times New Roman"/>
          <w:noProof/>
        </w:rPr>
      </w:pPr>
    </w:p>
    <w:p w14:paraId="65B886BD" w14:textId="2FAD6D08" w:rsidR="0042207C" w:rsidRDefault="0042207C" w:rsidP="002634C5">
      <w:pPr>
        <w:ind w:left="720" w:hanging="720"/>
        <w:rPr>
          <w:b/>
        </w:rPr>
      </w:pPr>
      <w:r w:rsidRPr="007F7B1D">
        <w:fldChar w:fldCharType="end"/>
      </w:r>
    </w:p>
    <w:p w14:paraId="59F2FD73" w14:textId="77777777" w:rsidR="00BD2C56" w:rsidRDefault="00BD2C56" w:rsidP="002D2A5A">
      <w:pPr>
        <w:ind w:left="720" w:hanging="720"/>
      </w:pPr>
    </w:p>
    <w:sectPr w:rsidR="00BD2C56" w:rsidSect="00BD2C56">
      <w:headerReference w:type="default" r:id="rId29"/>
      <w:footerReference w:type="even" r:id="rId30"/>
      <w:footerReference w:type="default" r:id="rId3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1971C" w14:textId="77777777" w:rsidR="00FF4CB8" w:rsidRDefault="00FF4CB8">
      <w:r>
        <w:separator/>
      </w:r>
    </w:p>
  </w:endnote>
  <w:endnote w:type="continuationSeparator" w:id="0">
    <w:p w14:paraId="6CB889FF" w14:textId="77777777" w:rsidR="00FF4CB8" w:rsidRDefault="00FF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A13A" w14:textId="77777777" w:rsidR="00FF4CB8" w:rsidRDefault="00FF4CB8"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B6EEBD" w14:textId="77777777" w:rsidR="00FF4CB8" w:rsidRDefault="00FF4CB8" w:rsidP="00BD2C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CCC8E" w14:textId="77777777" w:rsidR="00FF4CB8" w:rsidRDefault="00FF4CB8"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0769A">
      <w:rPr>
        <w:rStyle w:val="PageNumber"/>
        <w:rFonts w:eastAsiaTheme="majorEastAsia"/>
        <w:noProof/>
      </w:rPr>
      <w:t>4</w:t>
    </w:r>
    <w:r>
      <w:rPr>
        <w:rStyle w:val="PageNumber"/>
        <w:rFonts w:eastAsiaTheme="majorEastAsia"/>
      </w:rPr>
      <w:fldChar w:fldCharType="end"/>
    </w:r>
  </w:p>
  <w:p w14:paraId="53D02718" w14:textId="77777777" w:rsidR="00FF4CB8" w:rsidRDefault="00FF4CB8" w:rsidP="00BD2C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0AC3E" w14:textId="77777777" w:rsidR="00FF4CB8" w:rsidRDefault="00FF4CB8">
      <w:r>
        <w:separator/>
      </w:r>
    </w:p>
  </w:footnote>
  <w:footnote w:type="continuationSeparator" w:id="0">
    <w:p w14:paraId="045527D0" w14:textId="77777777" w:rsidR="00FF4CB8" w:rsidRDefault="00FF4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91F1" w14:textId="4CBB22BD" w:rsidR="00FF4CB8" w:rsidRPr="003C6D79" w:rsidRDefault="00FF4CB8" w:rsidP="00BD2C56">
    <w:pPr>
      <w:pStyle w:val="Header"/>
      <w:jc w:val="right"/>
      <w:rPr>
        <w:color w:val="BFBFBF" w:themeColor="background1" w:themeShade="BF"/>
        <w:sz w:val="14"/>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0012"/>
    <w:multiLevelType w:val="hybridMultilevel"/>
    <w:tmpl w:val="ACDE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641F1"/>
    <w:multiLevelType w:val="hybridMultilevel"/>
    <w:tmpl w:val="27BCC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B68F0"/>
    <w:multiLevelType w:val="hybridMultilevel"/>
    <w:tmpl w:val="398873D6"/>
    <w:lvl w:ilvl="0" w:tplc="F2EABA78">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2E50D42"/>
    <w:multiLevelType w:val="hybridMultilevel"/>
    <w:tmpl w:val="9886CC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76D57B5"/>
    <w:multiLevelType w:val="hybridMultilevel"/>
    <w:tmpl w:val="1116DEA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033DE"/>
    <w:multiLevelType w:val="hybridMultilevel"/>
    <w:tmpl w:val="D14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33D313F"/>
    <w:multiLevelType w:val="hybridMultilevel"/>
    <w:tmpl w:val="D8F4AD7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E03FB"/>
    <w:multiLevelType w:val="hybridMultilevel"/>
    <w:tmpl w:val="E320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2"/>
  </w:num>
  <w:num w:numId="4">
    <w:abstractNumId w:val="10"/>
  </w:num>
  <w:num w:numId="5">
    <w:abstractNumId w:val="11"/>
  </w:num>
  <w:num w:numId="6">
    <w:abstractNumId w:val="17"/>
  </w:num>
  <w:num w:numId="7">
    <w:abstractNumId w:val="13"/>
  </w:num>
  <w:num w:numId="8">
    <w:abstractNumId w:val="1"/>
  </w:num>
  <w:num w:numId="9">
    <w:abstractNumId w:val="19"/>
  </w:num>
  <w:num w:numId="10">
    <w:abstractNumId w:val="7"/>
  </w:num>
  <w:num w:numId="11">
    <w:abstractNumId w:val="6"/>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2"/>
  </w:num>
  <w:num w:numId="16">
    <w:abstractNumId w:val="8"/>
  </w:num>
  <w:num w:numId="17">
    <w:abstractNumId w:val="20"/>
  </w:num>
  <w:num w:numId="18">
    <w:abstractNumId w:val="15"/>
  </w:num>
  <w:num w:numId="19">
    <w:abstractNumId w:val="3"/>
  </w:num>
  <w:num w:numId="20">
    <w:abstractNumId w:val="16"/>
  </w:num>
  <w:num w:numId="21">
    <w:abstractNumId w:val="2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7C"/>
    <w:rsid w:val="000241D2"/>
    <w:rsid w:val="00024F9D"/>
    <w:rsid w:val="00045CA7"/>
    <w:rsid w:val="000529F4"/>
    <w:rsid w:val="0005416F"/>
    <w:rsid w:val="00054C1F"/>
    <w:rsid w:val="00075BCE"/>
    <w:rsid w:val="00093D21"/>
    <w:rsid w:val="000A5A23"/>
    <w:rsid w:val="000D0FD3"/>
    <w:rsid w:val="000E1C85"/>
    <w:rsid w:val="000E44DF"/>
    <w:rsid w:val="000E79B2"/>
    <w:rsid w:val="000F70F3"/>
    <w:rsid w:val="00101837"/>
    <w:rsid w:val="00134277"/>
    <w:rsid w:val="0013631F"/>
    <w:rsid w:val="00150B3D"/>
    <w:rsid w:val="00151245"/>
    <w:rsid w:val="001D45C2"/>
    <w:rsid w:val="001D5CF9"/>
    <w:rsid w:val="001D7EE7"/>
    <w:rsid w:val="001E7DE2"/>
    <w:rsid w:val="0020381E"/>
    <w:rsid w:val="002054E8"/>
    <w:rsid w:val="00237A88"/>
    <w:rsid w:val="002443C3"/>
    <w:rsid w:val="002634C5"/>
    <w:rsid w:val="002758A0"/>
    <w:rsid w:val="00281440"/>
    <w:rsid w:val="00295747"/>
    <w:rsid w:val="002C4F45"/>
    <w:rsid w:val="002C50BC"/>
    <w:rsid w:val="002D2A5A"/>
    <w:rsid w:val="002D42C2"/>
    <w:rsid w:val="002D4DF9"/>
    <w:rsid w:val="002F6E4A"/>
    <w:rsid w:val="00301F5A"/>
    <w:rsid w:val="00323FEF"/>
    <w:rsid w:val="00341B2A"/>
    <w:rsid w:val="003523DD"/>
    <w:rsid w:val="00374EED"/>
    <w:rsid w:val="0037549E"/>
    <w:rsid w:val="00387D9D"/>
    <w:rsid w:val="003900F5"/>
    <w:rsid w:val="003917F8"/>
    <w:rsid w:val="00393610"/>
    <w:rsid w:val="003A27D8"/>
    <w:rsid w:val="003A5A9B"/>
    <w:rsid w:val="003A7594"/>
    <w:rsid w:val="003B1084"/>
    <w:rsid w:val="003B7CF0"/>
    <w:rsid w:val="003C0CD8"/>
    <w:rsid w:val="003C6D79"/>
    <w:rsid w:val="003D1B6C"/>
    <w:rsid w:val="003D22F9"/>
    <w:rsid w:val="003E1AAF"/>
    <w:rsid w:val="003E30D5"/>
    <w:rsid w:val="003F1FD6"/>
    <w:rsid w:val="003F4EEE"/>
    <w:rsid w:val="00403AFE"/>
    <w:rsid w:val="00411B17"/>
    <w:rsid w:val="00415BD5"/>
    <w:rsid w:val="0042207C"/>
    <w:rsid w:val="00454D64"/>
    <w:rsid w:val="00463C6B"/>
    <w:rsid w:val="0047357D"/>
    <w:rsid w:val="00482C93"/>
    <w:rsid w:val="0048613D"/>
    <w:rsid w:val="004A5F9A"/>
    <w:rsid w:val="004B4C9E"/>
    <w:rsid w:val="004D457F"/>
    <w:rsid w:val="004D76C6"/>
    <w:rsid w:val="004D7BC9"/>
    <w:rsid w:val="004E55EC"/>
    <w:rsid w:val="004F65CD"/>
    <w:rsid w:val="005032AE"/>
    <w:rsid w:val="0050769A"/>
    <w:rsid w:val="00515852"/>
    <w:rsid w:val="00520C66"/>
    <w:rsid w:val="00524973"/>
    <w:rsid w:val="00527501"/>
    <w:rsid w:val="005320F3"/>
    <w:rsid w:val="00557FC3"/>
    <w:rsid w:val="0057543D"/>
    <w:rsid w:val="00576821"/>
    <w:rsid w:val="005924B1"/>
    <w:rsid w:val="005A79AF"/>
    <w:rsid w:val="005B2CA0"/>
    <w:rsid w:val="005C1936"/>
    <w:rsid w:val="005E0667"/>
    <w:rsid w:val="0060648B"/>
    <w:rsid w:val="00615677"/>
    <w:rsid w:val="006332D3"/>
    <w:rsid w:val="00644D54"/>
    <w:rsid w:val="00652C0B"/>
    <w:rsid w:val="00690FF0"/>
    <w:rsid w:val="00696734"/>
    <w:rsid w:val="006A6C6B"/>
    <w:rsid w:val="006C5AF0"/>
    <w:rsid w:val="006C6849"/>
    <w:rsid w:val="006E7085"/>
    <w:rsid w:val="006F3909"/>
    <w:rsid w:val="006F6137"/>
    <w:rsid w:val="007352D1"/>
    <w:rsid w:val="00740713"/>
    <w:rsid w:val="00756D46"/>
    <w:rsid w:val="007A4168"/>
    <w:rsid w:val="007A7752"/>
    <w:rsid w:val="007B4831"/>
    <w:rsid w:val="007C39F4"/>
    <w:rsid w:val="007D0151"/>
    <w:rsid w:val="007D3925"/>
    <w:rsid w:val="007D7716"/>
    <w:rsid w:val="00803700"/>
    <w:rsid w:val="00805AF6"/>
    <w:rsid w:val="00806C17"/>
    <w:rsid w:val="0081528C"/>
    <w:rsid w:val="008331BC"/>
    <w:rsid w:val="008420BA"/>
    <w:rsid w:val="008632D6"/>
    <w:rsid w:val="00867175"/>
    <w:rsid w:val="00883C61"/>
    <w:rsid w:val="00893A06"/>
    <w:rsid w:val="00895659"/>
    <w:rsid w:val="008B0FAB"/>
    <w:rsid w:val="008B69FB"/>
    <w:rsid w:val="008C451E"/>
    <w:rsid w:val="008C621B"/>
    <w:rsid w:val="008D542E"/>
    <w:rsid w:val="008E55E4"/>
    <w:rsid w:val="00900B65"/>
    <w:rsid w:val="00901EC9"/>
    <w:rsid w:val="009133D0"/>
    <w:rsid w:val="009226E4"/>
    <w:rsid w:val="009227CA"/>
    <w:rsid w:val="0092726A"/>
    <w:rsid w:val="00943B98"/>
    <w:rsid w:val="00952EB4"/>
    <w:rsid w:val="00954D1E"/>
    <w:rsid w:val="00991E75"/>
    <w:rsid w:val="009B0738"/>
    <w:rsid w:val="009B0D68"/>
    <w:rsid w:val="009C4D38"/>
    <w:rsid w:val="009C5B17"/>
    <w:rsid w:val="009F66AC"/>
    <w:rsid w:val="00A13CCB"/>
    <w:rsid w:val="00A30FBF"/>
    <w:rsid w:val="00A4380F"/>
    <w:rsid w:val="00A44903"/>
    <w:rsid w:val="00A47D2D"/>
    <w:rsid w:val="00A73811"/>
    <w:rsid w:val="00A74E0B"/>
    <w:rsid w:val="00A752B8"/>
    <w:rsid w:val="00A803D6"/>
    <w:rsid w:val="00A81507"/>
    <w:rsid w:val="00A93CFE"/>
    <w:rsid w:val="00AA03FF"/>
    <w:rsid w:val="00AB2C7A"/>
    <w:rsid w:val="00AB4C11"/>
    <w:rsid w:val="00AC20F7"/>
    <w:rsid w:val="00AC6242"/>
    <w:rsid w:val="00AD54A7"/>
    <w:rsid w:val="00AF3EBE"/>
    <w:rsid w:val="00B03707"/>
    <w:rsid w:val="00B045D0"/>
    <w:rsid w:val="00B04B87"/>
    <w:rsid w:val="00B07971"/>
    <w:rsid w:val="00B07DF2"/>
    <w:rsid w:val="00B21A4F"/>
    <w:rsid w:val="00B24B23"/>
    <w:rsid w:val="00B3104E"/>
    <w:rsid w:val="00B47A71"/>
    <w:rsid w:val="00B57F6B"/>
    <w:rsid w:val="00B6360E"/>
    <w:rsid w:val="00B85337"/>
    <w:rsid w:val="00B85396"/>
    <w:rsid w:val="00B960B8"/>
    <w:rsid w:val="00B976A4"/>
    <w:rsid w:val="00BB174D"/>
    <w:rsid w:val="00BC78B0"/>
    <w:rsid w:val="00BD07D6"/>
    <w:rsid w:val="00BD2C56"/>
    <w:rsid w:val="00BD5AC5"/>
    <w:rsid w:val="00C02B7B"/>
    <w:rsid w:val="00C137D2"/>
    <w:rsid w:val="00C14C18"/>
    <w:rsid w:val="00C22CA5"/>
    <w:rsid w:val="00C55697"/>
    <w:rsid w:val="00C64C8F"/>
    <w:rsid w:val="00C732B5"/>
    <w:rsid w:val="00CB161C"/>
    <w:rsid w:val="00CE57FB"/>
    <w:rsid w:val="00CF2AF9"/>
    <w:rsid w:val="00CF33F6"/>
    <w:rsid w:val="00CF76DA"/>
    <w:rsid w:val="00D3245F"/>
    <w:rsid w:val="00D45687"/>
    <w:rsid w:val="00D52FB9"/>
    <w:rsid w:val="00D5440B"/>
    <w:rsid w:val="00D71E36"/>
    <w:rsid w:val="00D735DA"/>
    <w:rsid w:val="00D75973"/>
    <w:rsid w:val="00DA1549"/>
    <w:rsid w:val="00DA794C"/>
    <w:rsid w:val="00DB5E58"/>
    <w:rsid w:val="00DC4DB6"/>
    <w:rsid w:val="00E114F9"/>
    <w:rsid w:val="00E14A51"/>
    <w:rsid w:val="00E37DB2"/>
    <w:rsid w:val="00E47182"/>
    <w:rsid w:val="00E55D94"/>
    <w:rsid w:val="00E5628E"/>
    <w:rsid w:val="00E93D57"/>
    <w:rsid w:val="00E94613"/>
    <w:rsid w:val="00ED2ACB"/>
    <w:rsid w:val="00ED2AE8"/>
    <w:rsid w:val="00EF110A"/>
    <w:rsid w:val="00EF2687"/>
    <w:rsid w:val="00EF6BAE"/>
    <w:rsid w:val="00F021F6"/>
    <w:rsid w:val="00F040D8"/>
    <w:rsid w:val="00F06C7D"/>
    <w:rsid w:val="00F11E0B"/>
    <w:rsid w:val="00F252BE"/>
    <w:rsid w:val="00F36CCD"/>
    <w:rsid w:val="00F406B5"/>
    <w:rsid w:val="00F4146D"/>
    <w:rsid w:val="00F4461B"/>
    <w:rsid w:val="00F471B2"/>
    <w:rsid w:val="00F47F12"/>
    <w:rsid w:val="00F62FEB"/>
    <w:rsid w:val="00F6759D"/>
    <w:rsid w:val="00F90B59"/>
    <w:rsid w:val="00FB120D"/>
    <w:rsid w:val="00FB73BF"/>
    <w:rsid w:val="00FE7B39"/>
    <w:rsid w:val="00FF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7BAC"/>
  <w15:docId w15:val="{CCAA4143-7FCB-4634-B177-806AA9B3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7C"/>
    <w:pPr>
      <w:spacing w:after="0" w:line="240" w:lineRule="auto"/>
    </w:pPr>
    <w:rPr>
      <w:rFonts w:ascii="Times New Roman" w:hAnsi="Times New Roman"/>
      <w:sz w:val="24"/>
    </w:rPr>
  </w:style>
  <w:style w:type="paragraph" w:styleId="Heading1">
    <w:name w:val="heading 1"/>
    <w:basedOn w:val="Normal"/>
    <w:next w:val="Normal"/>
    <w:link w:val="Heading1Char"/>
    <w:autoRedefine/>
    <w:qFormat/>
    <w:rsid w:val="005C1936"/>
    <w:pPr>
      <w:keepNext/>
      <w:outlineLvl w:val="0"/>
    </w:pPr>
    <w:rPr>
      <w:rFonts w:eastAsia="Times New Roman" w:cs="Arial"/>
      <w:b/>
      <w:bCs/>
      <w:kern w:val="32"/>
      <w:szCs w:val="32"/>
    </w:rPr>
  </w:style>
  <w:style w:type="paragraph" w:styleId="Heading2">
    <w:name w:val="heading 2"/>
    <w:basedOn w:val="Normal"/>
    <w:next w:val="Normal"/>
    <w:link w:val="Heading2Char"/>
    <w:semiHidden/>
    <w:unhideWhenUsed/>
    <w:qFormat/>
    <w:rsid w:val="00422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2207C"/>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4220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93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semiHidden/>
    <w:rsid w:val="00422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20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2207C"/>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rsid w:val="0042207C"/>
    <w:rPr>
      <w:color w:val="0000FF"/>
      <w:u w:val="single"/>
    </w:rPr>
  </w:style>
  <w:style w:type="paragraph" w:styleId="Footer">
    <w:name w:val="footer"/>
    <w:basedOn w:val="Normal"/>
    <w:link w:val="FooterChar"/>
    <w:rsid w:val="0042207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42207C"/>
    <w:rPr>
      <w:rFonts w:ascii="Times New Roman" w:eastAsia="Times New Roman" w:hAnsi="Times New Roman" w:cs="Times New Roman"/>
      <w:sz w:val="24"/>
      <w:szCs w:val="24"/>
    </w:rPr>
  </w:style>
  <w:style w:type="character" w:styleId="PageNumber">
    <w:name w:val="page number"/>
    <w:basedOn w:val="DefaultParagraphFont"/>
    <w:rsid w:val="0042207C"/>
  </w:style>
  <w:style w:type="paragraph" w:styleId="BalloonText">
    <w:name w:val="Balloon Text"/>
    <w:basedOn w:val="Normal"/>
    <w:link w:val="BalloonTextChar"/>
    <w:rsid w:val="0042207C"/>
    <w:rPr>
      <w:rFonts w:ascii="Tahoma" w:eastAsia="Times New Roman" w:hAnsi="Tahoma" w:cs="Tahoma"/>
      <w:sz w:val="16"/>
      <w:szCs w:val="16"/>
    </w:rPr>
  </w:style>
  <w:style w:type="character" w:customStyle="1" w:styleId="BalloonTextChar">
    <w:name w:val="Balloon Text Char"/>
    <w:basedOn w:val="DefaultParagraphFont"/>
    <w:link w:val="BalloonText"/>
    <w:rsid w:val="0042207C"/>
    <w:rPr>
      <w:rFonts w:ascii="Tahoma" w:eastAsia="Times New Roman" w:hAnsi="Tahoma" w:cs="Tahoma"/>
      <w:sz w:val="16"/>
      <w:szCs w:val="16"/>
    </w:rPr>
  </w:style>
  <w:style w:type="character" w:styleId="CommentReference">
    <w:name w:val="annotation reference"/>
    <w:basedOn w:val="DefaultParagraphFont"/>
    <w:uiPriority w:val="99"/>
    <w:rsid w:val="0042207C"/>
    <w:rPr>
      <w:sz w:val="16"/>
      <w:szCs w:val="16"/>
    </w:rPr>
  </w:style>
  <w:style w:type="paragraph" w:styleId="CommentText">
    <w:name w:val="annotation text"/>
    <w:basedOn w:val="Normal"/>
    <w:link w:val="CommentTextChar"/>
    <w:rsid w:val="0042207C"/>
    <w:rPr>
      <w:rFonts w:eastAsia="Times New Roman" w:cs="Times New Roman"/>
      <w:sz w:val="20"/>
      <w:szCs w:val="20"/>
    </w:rPr>
  </w:style>
  <w:style w:type="character" w:customStyle="1" w:styleId="CommentTextChar">
    <w:name w:val="Comment Text Char"/>
    <w:basedOn w:val="DefaultParagraphFont"/>
    <w:link w:val="CommentText"/>
    <w:rsid w:val="00422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207C"/>
    <w:rPr>
      <w:b/>
      <w:bCs/>
    </w:rPr>
  </w:style>
  <w:style w:type="character" w:customStyle="1" w:styleId="CommentSubjectChar">
    <w:name w:val="Comment Subject Char"/>
    <w:basedOn w:val="CommentTextChar"/>
    <w:link w:val="CommentSubject"/>
    <w:rsid w:val="0042207C"/>
    <w:rPr>
      <w:rFonts w:ascii="Times New Roman" w:eastAsia="Times New Roman" w:hAnsi="Times New Roman" w:cs="Times New Roman"/>
      <w:b/>
      <w:bCs/>
      <w:sz w:val="20"/>
      <w:szCs w:val="20"/>
    </w:rPr>
  </w:style>
  <w:style w:type="paragraph" w:styleId="ListParagraph">
    <w:name w:val="List Paragraph"/>
    <w:basedOn w:val="Normal"/>
    <w:uiPriority w:val="34"/>
    <w:qFormat/>
    <w:rsid w:val="0042207C"/>
    <w:pPr>
      <w:ind w:left="720"/>
      <w:contextualSpacing/>
    </w:pPr>
    <w:rPr>
      <w:rFonts w:eastAsia="Times New Roman" w:cs="Times New Roman"/>
      <w:szCs w:val="24"/>
    </w:rPr>
  </w:style>
  <w:style w:type="paragraph" w:styleId="Revision">
    <w:name w:val="Revision"/>
    <w:hidden/>
    <w:uiPriority w:val="99"/>
    <w:semiHidden/>
    <w:rsid w:val="0042207C"/>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22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207C"/>
    <w:pPr>
      <w:spacing w:after="120"/>
    </w:pPr>
    <w:rPr>
      <w:rFonts w:eastAsia="Times New Roman" w:cs="Times New Roman"/>
      <w:szCs w:val="24"/>
    </w:rPr>
  </w:style>
  <w:style w:type="character" w:customStyle="1" w:styleId="BodyTextChar">
    <w:name w:val="Body Text Char"/>
    <w:basedOn w:val="DefaultParagraphFont"/>
    <w:link w:val="BodyText"/>
    <w:rsid w:val="0042207C"/>
    <w:rPr>
      <w:rFonts w:ascii="Times New Roman" w:eastAsia="Times New Roman" w:hAnsi="Times New Roman" w:cs="Times New Roman"/>
      <w:sz w:val="24"/>
      <w:szCs w:val="24"/>
    </w:rPr>
  </w:style>
  <w:style w:type="paragraph" w:customStyle="1" w:styleId="Default">
    <w:name w:val="Default"/>
    <w:rsid w:val="0042207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2207C"/>
  </w:style>
  <w:style w:type="paragraph" w:styleId="Header">
    <w:name w:val="header"/>
    <w:basedOn w:val="Normal"/>
    <w:link w:val="HeaderChar"/>
    <w:rsid w:val="0042207C"/>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42207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2207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2207C"/>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2207C"/>
    <w:rPr>
      <w:color w:val="800080" w:themeColor="followedHyperlink"/>
      <w:u w:val="single"/>
    </w:rPr>
  </w:style>
  <w:style w:type="paragraph" w:styleId="NormalWeb">
    <w:name w:val="Normal (Web)"/>
    <w:basedOn w:val="Normal"/>
    <w:uiPriority w:val="99"/>
    <w:semiHidden/>
    <w:unhideWhenUsed/>
    <w:rsid w:val="0042207C"/>
    <w:pPr>
      <w:spacing w:before="100" w:beforeAutospacing="1" w:after="100" w:afterAutospacing="1"/>
    </w:pPr>
    <w:rPr>
      <w:rFonts w:eastAsia="Times New Roman" w:cs="Times New Roman"/>
      <w:szCs w:val="24"/>
    </w:rPr>
  </w:style>
  <w:style w:type="paragraph" w:styleId="NoSpacing">
    <w:name w:val="No Spacing"/>
    <w:uiPriority w:val="1"/>
    <w:qFormat/>
    <w:rsid w:val="00A93CFE"/>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5C1936"/>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5C19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tudy.html" TargetMode="External"/><Relationship Id="rId13" Type="http://schemas.openxmlformats.org/officeDocument/2006/relationships/hyperlink" Target="mailto:feu4@cdc.gov" TargetMode="External"/><Relationship Id="rId18" Type="http://schemas.openxmlformats.org/officeDocument/2006/relationships/hyperlink" Target="mailto:gtx1@cdc.gov" TargetMode="External"/><Relationship Id="rId26" Type="http://schemas.openxmlformats.org/officeDocument/2006/relationships/hyperlink" Target="mailto:wsi7@cdc.gov" TargetMode="External"/><Relationship Id="rId3" Type="http://schemas.openxmlformats.org/officeDocument/2006/relationships/settings" Target="settings.xml"/><Relationship Id="rId21" Type="http://schemas.openxmlformats.org/officeDocument/2006/relationships/hyperlink" Target="mailto:bnz6@cdc.gov" TargetMode="External"/><Relationship Id="rId7" Type="http://schemas.openxmlformats.org/officeDocument/2006/relationships/hyperlink" Target="mailto:" TargetMode="External"/><Relationship Id="rId12" Type="http://schemas.openxmlformats.org/officeDocument/2006/relationships/hyperlink" Target="mailto:xjp2@cdc.gov" TargetMode="External"/><Relationship Id="rId17" Type="http://schemas.openxmlformats.org/officeDocument/2006/relationships/hyperlink" Target="mailto:bnz6@cdc.gov" TargetMode="External"/><Relationship Id="rId25" Type="http://schemas.openxmlformats.org/officeDocument/2006/relationships/hyperlink" Target="mailto:igc5@cdc.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ha0@cdc.gov" TargetMode="External"/><Relationship Id="rId20" Type="http://schemas.openxmlformats.org/officeDocument/2006/relationships/hyperlink" Target="mailto:igc5@cdc.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wx8@cdc.gov" TargetMode="External"/><Relationship Id="rId24" Type="http://schemas.openxmlformats.org/officeDocument/2006/relationships/hyperlink" Target="mailto:kna8@cdc.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cc0@cdc.gov" TargetMode="External"/><Relationship Id="rId23" Type="http://schemas.openxmlformats.org/officeDocument/2006/relationships/hyperlink" Target="mailto:ipq7@cdc.gov" TargetMode="External"/><Relationship Id="rId28" Type="http://schemas.openxmlformats.org/officeDocument/2006/relationships/hyperlink" Target="mailto:bnz6@cdc.gov" TargetMode="External"/><Relationship Id="rId10" Type="http://schemas.openxmlformats.org/officeDocument/2006/relationships/hyperlink" Target="mailto:jev8@cdc.gov" TargetMode="External"/><Relationship Id="rId19" Type="http://schemas.openxmlformats.org/officeDocument/2006/relationships/hyperlink" Target="mailto:wsi7@cdc.gov"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ow5@cdc.gov" TargetMode="External"/><Relationship Id="rId14" Type="http://schemas.openxmlformats.org/officeDocument/2006/relationships/hyperlink" Target="mailto:veh2@cdc.gov" TargetMode="External"/><Relationship Id="rId22" Type="http://schemas.openxmlformats.org/officeDocument/2006/relationships/hyperlink" Target="mailto:veh2@cdc.gov" TargetMode="External"/><Relationship Id="rId27" Type="http://schemas.openxmlformats.org/officeDocument/2006/relationships/hyperlink" Target="mailto:feu4@cdc.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6492</Words>
  <Characters>37010</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2</cp:revision>
  <cp:lastPrinted>2013-03-15T13:36:00Z</cp:lastPrinted>
  <dcterms:created xsi:type="dcterms:W3CDTF">2016-02-17T02:43:00Z</dcterms:created>
  <dcterms:modified xsi:type="dcterms:W3CDTF">2016-02-17T02:43:00Z</dcterms:modified>
</cp:coreProperties>
</file>