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C35E3" w14:textId="77777777" w:rsidR="000761C3" w:rsidRDefault="000761C3" w:rsidP="001F1158">
      <w:pPr>
        <w:spacing w:after="0" w:line="240" w:lineRule="auto"/>
        <w:jc w:val="center"/>
        <w:rPr>
          <w:b/>
          <w:sz w:val="40"/>
          <w:szCs w:val="28"/>
        </w:rPr>
      </w:pPr>
      <w:bookmarkStart w:id="0" w:name="_GoBack"/>
      <w:bookmarkEnd w:id="0"/>
    </w:p>
    <w:p w14:paraId="722BE8D4" w14:textId="77777777" w:rsidR="000761C3" w:rsidRDefault="000761C3" w:rsidP="001F1158">
      <w:pPr>
        <w:spacing w:after="0" w:line="240" w:lineRule="auto"/>
        <w:jc w:val="center"/>
        <w:rPr>
          <w:b/>
          <w:sz w:val="40"/>
          <w:szCs w:val="28"/>
        </w:rPr>
      </w:pPr>
    </w:p>
    <w:p w14:paraId="19900308" w14:textId="7CA31405" w:rsidR="000761C3" w:rsidRDefault="003047BE" w:rsidP="001F1158">
      <w:pPr>
        <w:spacing w:after="0" w:line="240" w:lineRule="auto"/>
        <w:jc w:val="center"/>
        <w:rPr>
          <w:b/>
          <w:sz w:val="40"/>
          <w:szCs w:val="28"/>
        </w:rPr>
      </w:pPr>
      <w:r>
        <w:rPr>
          <w:b/>
          <w:sz w:val="40"/>
          <w:szCs w:val="28"/>
        </w:rPr>
        <w:t>BioSense</w:t>
      </w:r>
    </w:p>
    <w:p w14:paraId="44D1179B" w14:textId="77777777" w:rsidR="000761C3" w:rsidRDefault="000761C3" w:rsidP="001F1158">
      <w:pPr>
        <w:spacing w:after="0" w:line="240" w:lineRule="auto"/>
        <w:jc w:val="center"/>
        <w:rPr>
          <w:b/>
          <w:sz w:val="40"/>
          <w:szCs w:val="28"/>
        </w:rPr>
      </w:pPr>
    </w:p>
    <w:p w14:paraId="24837D03" w14:textId="77777777" w:rsidR="001F1158" w:rsidRPr="00ED687F" w:rsidRDefault="001F1158" w:rsidP="001F1158">
      <w:pPr>
        <w:spacing w:after="0" w:line="240" w:lineRule="auto"/>
        <w:jc w:val="center"/>
        <w:rPr>
          <w:b/>
          <w:sz w:val="40"/>
          <w:szCs w:val="28"/>
        </w:rPr>
      </w:pPr>
      <w:r>
        <w:rPr>
          <w:b/>
          <w:sz w:val="40"/>
          <w:szCs w:val="28"/>
        </w:rPr>
        <w:t xml:space="preserve">Supporting Statement </w:t>
      </w:r>
      <w:r w:rsidRPr="009F763C">
        <w:rPr>
          <w:b/>
          <w:sz w:val="40"/>
        </w:rPr>
        <w:t>Section</w:t>
      </w:r>
      <w:r>
        <w:rPr>
          <w:b/>
          <w:sz w:val="40"/>
          <w:szCs w:val="28"/>
        </w:rPr>
        <w:t xml:space="preserve"> B</w:t>
      </w:r>
    </w:p>
    <w:p w14:paraId="635F9E8D" w14:textId="77777777" w:rsidR="001F1158" w:rsidRDefault="001F1158" w:rsidP="001F1158">
      <w:pPr>
        <w:spacing w:after="0" w:line="240" w:lineRule="auto"/>
        <w:jc w:val="center"/>
        <w:rPr>
          <w:b/>
          <w:sz w:val="40"/>
          <w:szCs w:val="28"/>
        </w:rPr>
      </w:pPr>
      <w:r w:rsidRPr="00ED687F">
        <w:rPr>
          <w:b/>
          <w:sz w:val="40"/>
          <w:szCs w:val="28"/>
        </w:rPr>
        <w:t xml:space="preserve">OMB Control Number 0920-0824 </w:t>
      </w:r>
    </w:p>
    <w:p w14:paraId="6652657B" w14:textId="77777777" w:rsidR="001F1158" w:rsidRPr="00ED687F" w:rsidRDefault="001F1158" w:rsidP="001F1158">
      <w:pPr>
        <w:spacing w:after="0" w:line="240" w:lineRule="auto"/>
        <w:jc w:val="center"/>
        <w:rPr>
          <w:b/>
          <w:sz w:val="40"/>
          <w:szCs w:val="28"/>
        </w:rPr>
      </w:pPr>
    </w:p>
    <w:p w14:paraId="020C0CDC" w14:textId="77777777" w:rsidR="001F1158" w:rsidRPr="00ED687F" w:rsidRDefault="001F1158" w:rsidP="001F1158">
      <w:pPr>
        <w:spacing w:after="0" w:line="240" w:lineRule="auto"/>
        <w:jc w:val="center"/>
        <w:rPr>
          <w:b/>
          <w:sz w:val="16"/>
          <w:szCs w:val="16"/>
        </w:rPr>
      </w:pPr>
    </w:p>
    <w:p w14:paraId="2355F9FD" w14:textId="083111F0" w:rsidR="001F1158" w:rsidRDefault="009935A2" w:rsidP="001F1158">
      <w:pPr>
        <w:spacing w:after="0" w:line="240" w:lineRule="auto"/>
        <w:jc w:val="center"/>
        <w:rPr>
          <w:b/>
          <w:sz w:val="36"/>
          <w:szCs w:val="28"/>
        </w:rPr>
      </w:pPr>
      <w:r>
        <w:rPr>
          <w:b/>
          <w:sz w:val="36"/>
          <w:szCs w:val="28"/>
        </w:rPr>
        <w:t>Oc</w:t>
      </w:r>
      <w:r w:rsidR="003047BE">
        <w:rPr>
          <w:b/>
          <w:sz w:val="36"/>
          <w:szCs w:val="28"/>
        </w:rPr>
        <w:t>tober 2</w:t>
      </w:r>
      <w:r w:rsidR="00D53550">
        <w:rPr>
          <w:b/>
          <w:sz w:val="36"/>
          <w:szCs w:val="28"/>
        </w:rPr>
        <w:t>2</w:t>
      </w:r>
      <w:r w:rsidR="00863A71">
        <w:rPr>
          <w:b/>
          <w:sz w:val="36"/>
          <w:szCs w:val="28"/>
        </w:rPr>
        <w:t>, 2015</w:t>
      </w:r>
    </w:p>
    <w:p w14:paraId="79E9F8FE" w14:textId="77777777" w:rsidR="009935A2" w:rsidRPr="00967BD6" w:rsidRDefault="009935A2" w:rsidP="001F1158">
      <w:pPr>
        <w:spacing w:after="0" w:line="240" w:lineRule="auto"/>
        <w:jc w:val="center"/>
        <w:rPr>
          <w:b/>
          <w:sz w:val="36"/>
          <w:szCs w:val="28"/>
        </w:rPr>
      </w:pPr>
    </w:p>
    <w:p w14:paraId="34641CE1" w14:textId="77777777" w:rsidR="001F1158" w:rsidRPr="00967BD6" w:rsidRDefault="001F1158" w:rsidP="001F1158">
      <w:pPr>
        <w:spacing w:after="0" w:line="240" w:lineRule="auto"/>
        <w:jc w:val="center"/>
        <w:rPr>
          <w:b/>
          <w:sz w:val="16"/>
          <w:szCs w:val="16"/>
        </w:rPr>
      </w:pPr>
      <w:r w:rsidRPr="00967BD6">
        <w:rPr>
          <w:b/>
          <w:sz w:val="28"/>
          <w:szCs w:val="28"/>
        </w:rPr>
        <w:t>Program Contact</w:t>
      </w:r>
    </w:p>
    <w:p w14:paraId="7FB4B688" w14:textId="248F45D8" w:rsidR="001F1158" w:rsidRPr="00967BD6" w:rsidRDefault="003047BE" w:rsidP="001F1158">
      <w:pPr>
        <w:spacing w:after="0" w:line="240" w:lineRule="auto"/>
        <w:jc w:val="center"/>
        <w:rPr>
          <w:b/>
          <w:sz w:val="28"/>
          <w:szCs w:val="28"/>
        </w:rPr>
      </w:pPr>
      <w:r>
        <w:rPr>
          <w:b/>
          <w:sz w:val="28"/>
          <w:szCs w:val="28"/>
        </w:rPr>
        <w:t>Umed Ajani</w:t>
      </w:r>
    </w:p>
    <w:p w14:paraId="52CB7498" w14:textId="77777777" w:rsidR="001F1158" w:rsidRPr="00967BD6" w:rsidRDefault="001F1158" w:rsidP="001F1158">
      <w:pPr>
        <w:spacing w:after="0" w:line="240" w:lineRule="auto"/>
        <w:jc w:val="center"/>
        <w:rPr>
          <w:b/>
          <w:sz w:val="36"/>
          <w:szCs w:val="28"/>
        </w:rPr>
      </w:pPr>
    </w:p>
    <w:p w14:paraId="032C5B6D" w14:textId="77777777" w:rsidR="003047BE" w:rsidRPr="00A15602" w:rsidRDefault="003047BE" w:rsidP="003047BE">
      <w:pPr>
        <w:jc w:val="center"/>
      </w:pPr>
      <w:r w:rsidRPr="00A15602">
        <w:t>Associate Director for Surveillance, Division of Health Informatics and Surveillance</w:t>
      </w:r>
    </w:p>
    <w:p w14:paraId="57BC197F" w14:textId="77777777" w:rsidR="003047BE" w:rsidRPr="00A15602" w:rsidRDefault="003047BE" w:rsidP="003047BE">
      <w:pPr>
        <w:jc w:val="center"/>
      </w:pPr>
      <w:r w:rsidRPr="00A15602">
        <w:t>Center for Surveillance, Epidemiology and Laboratory Services</w:t>
      </w:r>
    </w:p>
    <w:p w14:paraId="662B001E" w14:textId="77777777" w:rsidR="003047BE" w:rsidRPr="00A15602" w:rsidRDefault="003047BE" w:rsidP="003047BE">
      <w:pPr>
        <w:jc w:val="center"/>
      </w:pPr>
      <w:r w:rsidRPr="00A15602">
        <w:t>Centers for Disease Control and Prevention</w:t>
      </w:r>
    </w:p>
    <w:p w14:paraId="1AB06DB8" w14:textId="77777777" w:rsidR="003047BE" w:rsidRPr="00A15602" w:rsidRDefault="003047BE" w:rsidP="003047BE">
      <w:pPr>
        <w:jc w:val="center"/>
      </w:pPr>
      <w:r w:rsidRPr="00A15602">
        <w:t>Phone:  404-498-0258</w:t>
      </w:r>
    </w:p>
    <w:p w14:paraId="7D6DF81E" w14:textId="77777777" w:rsidR="003047BE" w:rsidRPr="00A15602" w:rsidRDefault="003047BE" w:rsidP="003047BE">
      <w:pPr>
        <w:jc w:val="center"/>
      </w:pPr>
      <w:r w:rsidRPr="00A15602">
        <w:t>E-mail:  UAjani@cdc.gov</w:t>
      </w:r>
    </w:p>
    <w:p w14:paraId="0882E7C7" w14:textId="77777777" w:rsidR="00E22940" w:rsidRDefault="00E22940">
      <w:pPr>
        <w:rPr>
          <w:rFonts w:ascii="Times New Roman" w:hAnsi="Times New Roman" w:cs="Times New Roman"/>
          <w:sz w:val="24"/>
          <w:szCs w:val="24"/>
        </w:rPr>
      </w:pPr>
      <w:r>
        <w:rPr>
          <w:rFonts w:ascii="Times New Roman" w:hAnsi="Times New Roman" w:cs="Times New Roman"/>
          <w:sz w:val="24"/>
          <w:szCs w:val="24"/>
        </w:rPr>
        <w:br w:type="page"/>
      </w:r>
    </w:p>
    <w:p w14:paraId="21027D82" w14:textId="77777777" w:rsidR="00E22940" w:rsidRPr="00185245" w:rsidRDefault="00E22940" w:rsidP="00E22940">
      <w:pPr>
        <w:jc w:val="center"/>
        <w:rPr>
          <w:b/>
          <w:sz w:val="24"/>
        </w:rPr>
      </w:pPr>
      <w:r>
        <w:rPr>
          <w:b/>
          <w:color w:val="000000"/>
          <w:sz w:val="24"/>
        </w:rPr>
        <w:lastRenderedPageBreak/>
        <w:t>National Syndromic Surveillance Program</w:t>
      </w:r>
      <w:r w:rsidRPr="00185245">
        <w:rPr>
          <w:b/>
          <w:color w:val="000000"/>
          <w:sz w:val="24"/>
        </w:rPr>
        <w:t xml:space="preserve"> - Request for Revision</w:t>
      </w:r>
    </w:p>
    <w:p w14:paraId="7795B140" w14:textId="77777777" w:rsidR="00E22940" w:rsidRDefault="00E22940" w:rsidP="00E22940">
      <w:pPr>
        <w:jc w:val="center"/>
        <w:rPr>
          <w:b/>
          <w:sz w:val="24"/>
        </w:rPr>
      </w:pPr>
      <w:r w:rsidRPr="00185245">
        <w:rPr>
          <w:b/>
          <w:sz w:val="24"/>
        </w:rPr>
        <w:t>Table of Contents</w:t>
      </w:r>
    </w:p>
    <w:p w14:paraId="44BDD9F6" w14:textId="77777777" w:rsidR="00BE32E5" w:rsidRDefault="00BE32E5" w:rsidP="00E22940">
      <w:pPr>
        <w:jc w:val="center"/>
        <w:rPr>
          <w:b/>
          <w:sz w:val="24"/>
        </w:rPr>
      </w:pPr>
    </w:p>
    <w:p w14:paraId="425F99FE" w14:textId="77777777" w:rsidR="009A23F5" w:rsidRPr="00135E35" w:rsidRDefault="00BE32E5" w:rsidP="001C4379">
      <w:pPr>
        <w:spacing w:after="0" w:line="240" w:lineRule="auto"/>
        <w:rPr>
          <w:rFonts w:cs="Times New Roman"/>
          <w:b/>
        </w:rPr>
      </w:pPr>
      <w:r w:rsidRPr="00135E35">
        <w:rPr>
          <w:rFonts w:cs="Times New Roman"/>
          <w:b/>
        </w:rPr>
        <w:t>Section</w:t>
      </w:r>
    </w:p>
    <w:p w14:paraId="68A38721" w14:textId="77777777" w:rsidR="00BE32E5" w:rsidRPr="00135E35" w:rsidRDefault="00BE32E5" w:rsidP="001C4379">
      <w:pPr>
        <w:spacing w:after="0" w:line="240" w:lineRule="auto"/>
        <w:rPr>
          <w:rFonts w:cs="Times New Roman"/>
          <w:b/>
        </w:rPr>
      </w:pPr>
      <w:r w:rsidRPr="00135E35">
        <w:rPr>
          <w:rFonts w:cs="Times New Roman"/>
          <w:b/>
        </w:rPr>
        <w:t>B.</w:t>
      </w:r>
      <w:r w:rsidRPr="00135E35">
        <w:rPr>
          <w:rFonts w:cs="Times New Roman"/>
          <w:b/>
        </w:rPr>
        <w:tab/>
      </w:r>
      <w:r w:rsidR="00135E35" w:rsidRPr="00135E35">
        <w:rPr>
          <w:rFonts w:cs="Times New Roman"/>
          <w:b/>
        </w:rPr>
        <w:t>Statistical Methods</w:t>
      </w:r>
    </w:p>
    <w:p w14:paraId="6483DF5E" w14:textId="77777777" w:rsidR="00E22940" w:rsidRPr="00135E35" w:rsidRDefault="00E22940" w:rsidP="001C4379">
      <w:pPr>
        <w:spacing w:after="0" w:line="240" w:lineRule="auto"/>
        <w:rPr>
          <w:rFonts w:cs="Times New Roman"/>
          <w:bCs/>
        </w:rPr>
      </w:pPr>
      <w:r w:rsidRPr="00135E35">
        <w:rPr>
          <w:rFonts w:cs="Times New Roman"/>
          <w:bCs/>
        </w:rPr>
        <w:t>1.</w:t>
      </w:r>
      <w:r w:rsidR="002E0ABC">
        <w:rPr>
          <w:rFonts w:cs="Times New Roman"/>
          <w:bCs/>
        </w:rPr>
        <w:tab/>
      </w:r>
      <w:r w:rsidRPr="00135E35">
        <w:rPr>
          <w:rFonts w:cs="Times New Roman"/>
          <w:bCs/>
        </w:rPr>
        <w:t>Respondent Universe and Sampling Methods</w:t>
      </w:r>
    </w:p>
    <w:p w14:paraId="321D05F2" w14:textId="77777777" w:rsidR="00E22940" w:rsidRPr="00135E35" w:rsidRDefault="00E22940" w:rsidP="001C4379">
      <w:pPr>
        <w:spacing w:after="0" w:line="240" w:lineRule="auto"/>
        <w:rPr>
          <w:rFonts w:cs="Times New Roman"/>
          <w:bCs/>
        </w:rPr>
      </w:pPr>
      <w:r w:rsidRPr="00135E35">
        <w:rPr>
          <w:rFonts w:cs="Times New Roman"/>
          <w:bCs/>
        </w:rPr>
        <w:t xml:space="preserve">2. </w:t>
      </w:r>
      <w:r w:rsidR="002E0ABC">
        <w:rPr>
          <w:rFonts w:cs="Times New Roman"/>
          <w:bCs/>
        </w:rPr>
        <w:tab/>
      </w:r>
      <w:r w:rsidRPr="00135E35">
        <w:rPr>
          <w:rFonts w:cs="Times New Roman"/>
          <w:bCs/>
        </w:rPr>
        <w:t>Procedures for the Collection of Information</w:t>
      </w:r>
    </w:p>
    <w:p w14:paraId="1E79E4DD" w14:textId="77777777" w:rsidR="00EE6DD5" w:rsidRPr="00135E35" w:rsidRDefault="00EE6DD5" w:rsidP="001C4379">
      <w:pPr>
        <w:spacing w:after="0" w:line="240" w:lineRule="auto"/>
        <w:rPr>
          <w:rFonts w:cs="Times New Roman"/>
          <w:bCs/>
        </w:rPr>
      </w:pPr>
      <w:r w:rsidRPr="00135E35">
        <w:rPr>
          <w:rFonts w:cs="Times New Roman"/>
          <w:bCs/>
        </w:rPr>
        <w:t xml:space="preserve">3. </w:t>
      </w:r>
      <w:r w:rsidR="002E0ABC">
        <w:rPr>
          <w:rFonts w:cs="Times New Roman"/>
          <w:bCs/>
        </w:rPr>
        <w:tab/>
      </w:r>
      <w:r w:rsidRPr="00135E35">
        <w:rPr>
          <w:rFonts w:cs="Times New Roman"/>
          <w:bCs/>
        </w:rPr>
        <w:t>Methods to Maximize Response Rates and Deal with No response</w:t>
      </w:r>
    </w:p>
    <w:p w14:paraId="454DC4DB" w14:textId="77777777" w:rsidR="00EE6DD5" w:rsidRPr="00135E35" w:rsidRDefault="00EE6DD5" w:rsidP="001C4379">
      <w:pPr>
        <w:spacing w:after="0" w:line="240" w:lineRule="auto"/>
        <w:rPr>
          <w:rFonts w:cs="Times New Roman"/>
          <w:bCs/>
        </w:rPr>
      </w:pPr>
      <w:r w:rsidRPr="00135E35">
        <w:rPr>
          <w:rFonts w:cs="Times New Roman"/>
          <w:bCs/>
        </w:rPr>
        <w:t xml:space="preserve">4. </w:t>
      </w:r>
      <w:r w:rsidR="002E0ABC">
        <w:rPr>
          <w:rFonts w:cs="Times New Roman"/>
          <w:bCs/>
        </w:rPr>
        <w:tab/>
      </w:r>
      <w:r w:rsidRPr="00135E35">
        <w:rPr>
          <w:rFonts w:cs="Times New Roman"/>
          <w:bCs/>
        </w:rPr>
        <w:t>Tests of Procedures or Methods to be Undertaken</w:t>
      </w:r>
    </w:p>
    <w:p w14:paraId="5385E5D7" w14:textId="77777777" w:rsidR="00EE6DD5" w:rsidRPr="00135E35" w:rsidRDefault="00EE6DD5" w:rsidP="001C4379">
      <w:pPr>
        <w:spacing w:after="0" w:line="240" w:lineRule="auto"/>
        <w:rPr>
          <w:rFonts w:cs="Times New Roman"/>
          <w:bCs/>
        </w:rPr>
      </w:pPr>
      <w:r w:rsidRPr="00135E35">
        <w:rPr>
          <w:rFonts w:cs="Times New Roman"/>
          <w:bCs/>
        </w:rPr>
        <w:t xml:space="preserve">5. </w:t>
      </w:r>
      <w:r w:rsidR="002E0ABC">
        <w:rPr>
          <w:rFonts w:cs="Times New Roman"/>
          <w:bCs/>
        </w:rPr>
        <w:tab/>
      </w:r>
      <w:r w:rsidRPr="00135E35">
        <w:rPr>
          <w:rFonts w:cs="Times New Roman"/>
          <w:bCs/>
        </w:rPr>
        <w:t>Individuals Consulted on Statistical Aspects and Individuals Collecting and/or Analyzing Data</w:t>
      </w:r>
    </w:p>
    <w:p w14:paraId="52CF529B" w14:textId="77777777" w:rsidR="00A647BC" w:rsidRPr="00135E35" w:rsidRDefault="00A647BC" w:rsidP="001C4379">
      <w:pPr>
        <w:spacing w:after="0" w:line="240" w:lineRule="auto"/>
        <w:rPr>
          <w:rFonts w:cs="Times New Roman"/>
          <w:bCs/>
        </w:rPr>
      </w:pPr>
    </w:p>
    <w:p w14:paraId="76A0D48E" w14:textId="77777777" w:rsidR="00A647BC" w:rsidRPr="00BE32E5" w:rsidRDefault="00A647BC" w:rsidP="001C4379">
      <w:pPr>
        <w:spacing w:after="0" w:line="240" w:lineRule="auto"/>
        <w:rPr>
          <w:rFonts w:cs="Times New Roman"/>
          <w:bCs/>
        </w:rPr>
      </w:pPr>
    </w:p>
    <w:p w14:paraId="13073A09" w14:textId="77777777" w:rsidR="00A647BC" w:rsidRPr="00BE32E5" w:rsidRDefault="00A647BC" w:rsidP="001C4379">
      <w:pPr>
        <w:spacing w:after="0" w:line="240" w:lineRule="auto"/>
        <w:rPr>
          <w:rFonts w:cs="Times New Roman"/>
          <w:bCs/>
        </w:rPr>
      </w:pPr>
    </w:p>
    <w:p w14:paraId="174A14DC" w14:textId="77777777" w:rsidR="00DB10D6" w:rsidRPr="00BE32E5" w:rsidRDefault="00DB10D6">
      <w:pPr>
        <w:rPr>
          <w:rFonts w:cs="Times New Roman"/>
          <w:bCs/>
        </w:rPr>
      </w:pPr>
      <w:r w:rsidRPr="00BE32E5">
        <w:rPr>
          <w:rFonts w:cs="Times New Roman"/>
          <w:bCs/>
        </w:rPr>
        <w:br w:type="page"/>
      </w:r>
    </w:p>
    <w:p w14:paraId="100EE822" w14:textId="77777777" w:rsidR="00C93ACE" w:rsidRPr="00ED63F6" w:rsidRDefault="00C93ACE" w:rsidP="008B19AB">
      <w:pPr>
        <w:spacing w:after="0" w:line="360" w:lineRule="auto"/>
        <w:jc w:val="center"/>
        <w:rPr>
          <w:b/>
        </w:rPr>
      </w:pPr>
      <w:r w:rsidRPr="00ED63F6">
        <w:rPr>
          <w:b/>
        </w:rPr>
        <w:lastRenderedPageBreak/>
        <w:t>National Syndromic Surveillance Program Supporting Statement</w:t>
      </w:r>
    </w:p>
    <w:p w14:paraId="26EC1A46" w14:textId="77777777" w:rsidR="00C93ACE" w:rsidRPr="00ED63F6" w:rsidRDefault="00C93ACE" w:rsidP="008B19AB">
      <w:pPr>
        <w:spacing w:after="0" w:line="360" w:lineRule="auto"/>
        <w:rPr>
          <w:b/>
        </w:rPr>
      </w:pPr>
    </w:p>
    <w:p w14:paraId="4AB8B291" w14:textId="77777777" w:rsidR="00C93ACE" w:rsidRPr="00ED63F6" w:rsidRDefault="00C93ACE" w:rsidP="008B19AB">
      <w:pPr>
        <w:spacing w:after="0" w:line="360" w:lineRule="auto"/>
        <w:rPr>
          <w:rFonts w:cs="Times New Roman"/>
          <w:b/>
        </w:rPr>
      </w:pPr>
      <w:r w:rsidRPr="00ED63F6">
        <w:rPr>
          <w:rFonts w:cs="Times New Roman"/>
          <w:b/>
        </w:rPr>
        <w:t xml:space="preserve">B.  </w:t>
      </w:r>
      <w:r w:rsidR="00617970" w:rsidRPr="00ED63F6">
        <w:rPr>
          <w:rFonts w:cs="Times New Roman"/>
          <w:b/>
          <w:u w:val="single"/>
        </w:rPr>
        <w:t>Statistical Design and Data Collection Procedures</w:t>
      </w:r>
      <w:r w:rsidRPr="00ED63F6">
        <w:rPr>
          <w:rFonts w:cs="Times New Roman"/>
          <w:b/>
        </w:rPr>
        <w:t xml:space="preserve"> </w:t>
      </w:r>
    </w:p>
    <w:p w14:paraId="2AA734ED" w14:textId="2FFAA576" w:rsidR="00DB10D6" w:rsidRDefault="00764F21" w:rsidP="008B19AB">
      <w:pPr>
        <w:spacing w:before="240" w:line="360" w:lineRule="auto"/>
        <w:rPr>
          <w:rFonts w:cs="Times New Roman"/>
          <w:bCs/>
        </w:rPr>
      </w:pPr>
      <w:r>
        <w:rPr>
          <w:rFonts w:cs="Times New Roman"/>
          <w:bCs/>
        </w:rPr>
        <w:t xml:space="preserve">There are no statistical methods used for recruitment, registration, or healthcare </w:t>
      </w:r>
      <w:r w:rsidR="008B19AB">
        <w:rPr>
          <w:rFonts w:cs="Times New Roman"/>
          <w:bCs/>
        </w:rPr>
        <w:t>information</w:t>
      </w:r>
      <w:r>
        <w:rPr>
          <w:rFonts w:cs="Times New Roman"/>
          <w:bCs/>
        </w:rPr>
        <w:t xml:space="preserve"> collection. </w:t>
      </w:r>
      <w:r w:rsidR="00DB10D6" w:rsidRPr="00ED63F6">
        <w:rPr>
          <w:rFonts w:cs="Times New Roman"/>
          <w:bCs/>
        </w:rPr>
        <w:t xml:space="preserve">Information for </w:t>
      </w:r>
      <w:r w:rsidR="00DB10D6" w:rsidRPr="008A6688">
        <w:rPr>
          <w:rFonts w:cs="Times New Roman"/>
          <w:bCs/>
        </w:rPr>
        <w:t>recruitment</w:t>
      </w:r>
      <w:r w:rsidR="002C56A7">
        <w:rPr>
          <w:rFonts w:cs="Times New Roman"/>
          <w:bCs/>
        </w:rPr>
        <w:t xml:space="preserve"> and</w:t>
      </w:r>
      <w:r w:rsidR="00DB10D6" w:rsidRPr="001A7B52">
        <w:rPr>
          <w:rFonts w:cs="Times New Roman"/>
          <w:bCs/>
        </w:rPr>
        <w:t xml:space="preserve"> </w:t>
      </w:r>
      <w:r w:rsidR="00DB10D6" w:rsidRPr="008A6688">
        <w:rPr>
          <w:rFonts w:cs="Times New Roman"/>
          <w:bCs/>
        </w:rPr>
        <w:t>registration</w:t>
      </w:r>
      <w:r w:rsidR="008A6688">
        <w:rPr>
          <w:rFonts w:cs="Times New Roman"/>
          <w:bCs/>
        </w:rPr>
        <w:t xml:space="preserve"> </w:t>
      </w:r>
      <w:r w:rsidR="0049165D" w:rsidRPr="00ED63F6">
        <w:rPr>
          <w:rFonts w:cs="Times New Roman"/>
          <w:bCs/>
        </w:rPr>
        <w:t xml:space="preserve">consists of administrative data that </w:t>
      </w:r>
      <w:r w:rsidR="002C56A7">
        <w:rPr>
          <w:rFonts w:cs="Times New Roman"/>
          <w:bCs/>
        </w:rPr>
        <w:t>are</w:t>
      </w:r>
      <w:r w:rsidR="002C56A7" w:rsidRPr="00ED63F6">
        <w:rPr>
          <w:rFonts w:cs="Times New Roman"/>
          <w:bCs/>
        </w:rPr>
        <w:t xml:space="preserve"> </w:t>
      </w:r>
      <w:r w:rsidR="00DB10D6" w:rsidRPr="00ED63F6">
        <w:rPr>
          <w:rFonts w:cs="Times New Roman"/>
          <w:bCs/>
        </w:rPr>
        <w:t>not summarized statistically</w:t>
      </w:r>
      <w:r w:rsidR="0032370F" w:rsidRPr="00ED63F6">
        <w:rPr>
          <w:rFonts w:cs="Times New Roman"/>
          <w:bCs/>
        </w:rPr>
        <w:t xml:space="preserve"> (</w:t>
      </w:r>
      <w:r w:rsidR="0032370F" w:rsidRPr="00ED63F6">
        <w:rPr>
          <w:rFonts w:cs="Times New Roman"/>
          <w:b/>
          <w:bCs/>
        </w:rPr>
        <w:t>Statement A</w:t>
      </w:r>
      <w:r w:rsidR="0032370F" w:rsidRPr="00ED63F6">
        <w:rPr>
          <w:rFonts w:cs="Times New Roman"/>
          <w:bCs/>
        </w:rPr>
        <w:t>)</w:t>
      </w:r>
      <w:r w:rsidR="0049165D" w:rsidRPr="00ED63F6">
        <w:rPr>
          <w:rFonts w:cs="Times New Roman"/>
          <w:bCs/>
        </w:rPr>
        <w:t xml:space="preserve">. </w:t>
      </w:r>
      <w:r w:rsidR="00EE06F9" w:rsidRPr="00ED63F6">
        <w:rPr>
          <w:rFonts w:cs="Times New Roman"/>
          <w:bCs/>
        </w:rPr>
        <w:t>Although recruitment and registration data may be used to identify numbers of users of the system, t</w:t>
      </w:r>
      <w:r w:rsidR="0049165D" w:rsidRPr="00ED63F6">
        <w:rPr>
          <w:rFonts w:cs="Times New Roman"/>
          <w:bCs/>
        </w:rPr>
        <w:t xml:space="preserve">hese </w:t>
      </w:r>
      <w:r w:rsidR="00DB10D6" w:rsidRPr="00ED63F6">
        <w:rPr>
          <w:rFonts w:cs="Times New Roman"/>
          <w:bCs/>
        </w:rPr>
        <w:t xml:space="preserve">activities do not involve </w:t>
      </w:r>
      <w:r w:rsidR="00EE06F9" w:rsidRPr="00ED63F6">
        <w:rPr>
          <w:rFonts w:cs="Times New Roman"/>
          <w:bCs/>
        </w:rPr>
        <w:t xml:space="preserve">any complex </w:t>
      </w:r>
      <w:r w:rsidR="00DB10D6" w:rsidRPr="00ED63F6">
        <w:rPr>
          <w:rFonts w:cs="Times New Roman"/>
          <w:bCs/>
        </w:rPr>
        <w:t xml:space="preserve">statistical methods. </w:t>
      </w:r>
      <w:r w:rsidR="00E927AF">
        <w:rPr>
          <w:rFonts w:cs="Times New Roman"/>
          <w:bCs/>
        </w:rPr>
        <w:t>However, t</w:t>
      </w:r>
      <w:r w:rsidR="00DB10D6" w:rsidRPr="00ED63F6">
        <w:rPr>
          <w:rFonts w:cs="Times New Roman"/>
          <w:bCs/>
        </w:rPr>
        <w:t>he</w:t>
      </w:r>
      <w:r w:rsidR="00DB10D6" w:rsidRPr="00ED63F6">
        <w:rPr>
          <w:rFonts w:cs="Times New Roman"/>
          <w:bCs/>
          <w:u w:val="single"/>
        </w:rPr>
        <w:t xml:space="preserve"> </w:t>
      </w:r>
      <w:r w:rsidR="009868E8" w:rsidRPr="008A6688">
        <w:rPr>
          <w:rFonts w:cs="Times New Roman"/>
          <w:bCs/>
        </w:rPr>
        <w:t>healthcare</w:t>
      </w:r>
      <w:r w:rsidR="009868E8" w:rsidRPr="00ED63F6">
        <w:rPr>
          <w:rFonts w:cs="Times New Roman"/>
          <w:bCs/>
        </w:rPr>
        <w:t xml:space="preserve"> </w:t>
      </w:r>
      <w:r w:rsidR="007A21CE" w:rsidRPr="00ED63F6">
        <w:rPr>
          <w:rFonts w:cs="Times New Roman"/>
          <w:bCs/>
        </w:rPr>
        <w:t>data (</w:t>
      </w:r>
      <w:r w:rsidR="007A21CE" w:rsidRPr="00ED63F6">
        <w:rPr>
          <w:rFonts w:cs="Times New Roman"/>
          <w:b/>
          <w:bCs/>
        </w:rPr>
        <w:t>A</w:t>
      </w:r>
      <w:r w:rsidR="00212F40">
        <w:rPr>
          <w:rFonts w:cs="Times New Roman"/>
          <w:b/>
          <w:bCs/>
        </w:rPr>
        <w:t>ttachment</w:t>
      </w:r>
      <w:r w:rsidR="007A21CE" w:rsidRPr="00ED63F6">
        <w:rPr>
          <w:rFonts w:cs="Times New Roman"/>
          <w:b/>
          <w:bCs/>
        </w:rPr>
        <w:t xml:space="preserve"> </w:t>
      </w:r>
      <w:r w:rsidR="001E52A1">
        <w:rPr>
          <w:rFonts w:cs="Times New Roman"/>
          <w:b/>
          <w:bCs/>
        </w:rPr>
        <w:t>5</w:t>
      </w:r>
      <w:r w:rsidR="007A21CE" w:rsidRPr="00ED63F6">
        <w:rPr>
          <w:rFonts w:cs="Times New Roman"/>
          <w:b/>
          <w:bCs/>
        </w:rPr>
        <w:t>)</w:t>
      </w:r>
      <w:r w:rsidR="009E763A" w:rsidRPr="00ED63F6">
        <w:rPr>
          <w:rFonts w:cs="Times New Roman"/>
          <w:bCs/>
        </w:rPr>
        <w:t xml:space="preserve"> are </w:t>
      </w:r>
      <w:r w:rsidR="00EE06F9" w:rsidRPr="00ED63F6">
        <w:rPr>
          <w:rFonts w:cs="Times New Roman"/>
          <w:bCs/>
        </w:rPr>
        <w:t>analyzed</w:t>
      </w:r>
      <w:r w:rsidR="00DB10D6" w:rsidRPr="00ED63F6">
        <w:rPr>
          <w:rFonts w:cs="Times New Roman"/>
          <w:bCs/>
        </w:rPr>
        <w:t xml:space="preserve"> statistically.</w:t>
      </w:r>
    </w:p>
    <w:p w14:paraId="4D0566ED" w14:textId="68BB594E" w:rsidR="001E52A1" w:rsidRPr="00ED63F6" w:rsidRDefault="001E52A1" w:rsidP="008B19AB">
      <w:pPr>
        <w:spacing w:before="240" w:line="360" w:lineRule="auto"/>
        <w:rPr>
          <w:rFonts w:cs="Times New Roman"/>
          <w:bCs/>
        </w:rPr>
      </w:pPr>
      <w:r w:rsidRPr="001E52A1">
        <w:rPr>
          <w:rFonts w:cs="Times New Roman"/>
          <w:bCs/>
        </w:rPr>
        <w:t xml:space="preserve">CDC and health professionals from state and local health departments, the VA and DoD use NSSP data to support the detection and characterization of public health events of potential concern, such as disease outbreaks or hazardous conditions. NSSP platform users use data analysis, visualization and querying tools to monitor the occurrence (e.g., number and proportion of hospital emergency department visits) of a selected set of syndromes (e.g., flu-like symptoms and opioid poisoning). For health event detection, statistical algorithms (e.g., Poisson regression) are used to alert users that there are increases in emergency department visits for a given syndrome during a certain period of time in a certain geographic area. The alerts may or may not indicate that a significant health event is occurring. Alerts are not used to draw conclusions about the actual occurrence of adverse events in that geographic area. Instead, public health officials use the alerts along with other information available in the syndromic surveillance system and other sources to determine if a public health investigation should be undertaken. Monitoring is continued after alerts </w:t>
      </w:r>
      <w:r w:rsidR="00A93066">
        <w:rPr>
          <w:rFonts w:cs="Times New Roman"/>
          <w:bCs/>
        </w:rPr>
        <w:t xml:space="preserve">occur </w:t>
      </w:r>
      <w:r w:rsidRPr="001E52A1">
        <w:rPr>
          <w:rFonts w:cs="Times New Roman"/>
          <w:bCs/>
        </w:rPr>
        <w:t>in order maintain an understanding of the potential event of concern (situational awareness). No conclusions are drawn about possible events in locations not covered by the system.</w:t>
      </w:r>
    </w:p>
    <w:p w14:paraId="6BA6302D" w14:textId="77777777" w:rsidR="00425A87" w:rsidRPr="00ED63F6" w:rsidRDefault="00425A87" w:rsidP="008B19AB">
      <w:pPr>
        <w:spacing w:after="0" w:line="360" w:lineRule="auto"/>
        <w:rPr>
          <w:rFonts w:cs="Times New Roman"/>
          <w:b/>
          <w:bCs/>
        </w:rPr>
      </w:pPr>
      <w:r w:rsidRPr="00ED63F6">
        <w:rPr>
          <w:rFonts w:cs="Times New Roman"/>
          <w:b/>
          <w:bCs/>
        </w:rPr>
        <w:t>1</w:t>
      </w:r>
      <w:r w:rsidR="00212F40">
        <w:rPr>
          <w:rFonts w:cs="Times New Roman"/>
          <w:b/>
          <w:bCs/>
        </w:rPr>
        <w:t>.</w:t>
      </w:r>
      <w:r w:rsidRPr="00ED63F6">
        <w:rPr>
          <w:rFonts w:cs="Times New Roman"/>
          <w:b/>
          <w:bCs/>
        </w:rPr>
        <w:t xml:space="preserve"> Respondent Universe and Sampling Methods</w:t>
      </w:r>
    </w:p>
    <w:p w14:paraId="06D8F14B" w14:textId="77777777" w:rsidR="008B19AB" w:rsidRDefault="008B19AB" w:rsidP="008B19AB">
      <w:pPr>
        <w:spacing w:after="0" w:line="360" w:lineRule="auto"/>
        <w:rPr>
          <w:rFonts w:cs="Times New Roman"/>
          <w:bCs/>
        </w:rPr>
      </w:pPr>
    </w:p>
    <w:p w14:paraId="5BDCCC2B" w14:textId="14558179" w:rsidR="00CF4047" w:rsidRDefault="001F0420" w:rsidP="008B19AB">
      <w:pPr>
        <w:spacing w:after="0" w:line="360" w:lineRule="auto"/>
        <w:rPr>
          <w:rFonts w:cs="Times New Roman"/>
          <w:bCs/>
        </w:rPr>
      </w:pPr>
      <w:r w:rsidRPr="00ED63F6">
        <w:rPr>
          <w:rFonts w:cs="Times New Roman"/>
          <w:bCs/>
        </w:rPr>
        <w:t>The r</w:t>
      </w:r>
      <w:r w:rsidR="00407238" w:rsidRPr="00ED63F6">
        <w:rPr>
          <w:rFonts w:cs="Times New Roman"/>
          <w:bCs/>
        </w:rPr>
        <w:t xml:space="preserve">espondent </w:t>
      </w:r>
      <w:r w:rsidRPr="00ED63F6">
        <w:rPr>
          <w:rFonts w:cs="Times New Roman"/>
          <w:bCs/>
        </w:rPr>
        <w:t>u</w:t>
      </w:r>
      <w:r w:rsidR="00407238" w:rsidRPr="00ED63F6">
        <w:rPr>
          <w:rFonts w:cs="Times New Roman"/>
          <w:bCs/>
        </w:rPr>
        <w:t xml:space="preserve">niverse </w:t>
      </w:r>
      <w:r w:rsidR="00C600E2">
        <w:rPr>
          <w:rFonts w:cs="Times New Roman"/>
          <w:bCs/>
        </w:rPr>
        <w:t xml:space="preserve">for recruitment </w:t>
      </w:r>
      <w:r w:rsidR="00315C9F">
        <w:rPr>
          <w:rFonts w:cs="Times New Roman"/>
          <w:bCs/>
        </w:rPr>
        <w:t xml:space="preserve">information collection has not changed and </w:t>
      </w:r>
      <w:r w:rsidRPr="00ED63F6">
        <w:rPr>
          <w:rFonts w:cs="Times New Roman"/>
          <w:bCs/>
        </w:rPr>
        <w:t xml:space="preserve">consists of </w:t>
      </w:r>
      <w:r w:rsidR="00407238" w:rsidRPr="00ED63F6">
        <w:rPr>
          <w:rFonts w:cs="Times New Roman"/>
          <w:bCs/>
        </w:rPr>
        <w:t>state</w:t>
      </w:r>
      <w:r w:rsidR="0003617A">
        <w:rPr>
          <w:rFonts w:cs="Times New Roman"/>
          <w:bCs/>
        </w:rPr>
        <w:t>,</w:t>
      </w:r>
      <w:r w:rsidR="008A6688">
        <w:rPr>
          <w:rFonts w:cs="Times New Roman"/>
          <w:bCs/>
        </w:rPr>
        <w:t xml:space="preserve"> </w:t>
      </w:r>
      <w:r w:rsidR="00407238" w:rsidRPr="00ED63F6">
        <w:rPr>
          <w:rFonts w:cs="Times New Roman"/>
          <w:bCs/>
        </w:rPr>
        <w:t>local</w:t>
      </w:r>
      <w:r w:rsidR="00C600E2">
        <w:rPr>
          <w:rFonts w:cs="Times New Roman"/>
          <w:bCs/>
        </w:rPr>
        <w:t>,</w:t>
      </w:r>
      <w:r w:rsidR="00407238" w:rsidRPr="00ED63F6">
        <w:rPr>
          <w:rFonts w:cs="Times New Roman"/>
          <w:bCs/>
        </w:rPr>
        <w:t xml:space="preserve"> </w:t>
      </w:r>
      <w:r w:rsidR="0003617A">
        <w:rPr>
          <w:rFonts w:cs="Times New Roman"/>
          <w:bCs/>
        </w:rPr>
        <w:t xml:space="preserve">and territorial </w:t>
      </w:r>
      <w:r w:rsidR="00407238" w:rsidRPr="00ED63F6">
        <w:rPr>
          <w:rFonts w:cs="Times New Roman"/>
          <w:bCs/>
        </w:rPr>
        <w:t xml:space="preserve">public health </w:t>
      </w:r>
      <w:r w:rsidRPr="00ED63F6">
        <w:rPr>
          <w:rFonts w:cs="Times New Roman"/>
          <w:bCs/>
        </w:rPr>
        <w:t>departments</w:t>
      </w:r>
      <w:r w:rsidR="008A6688">
        <w:rPr>
          <w:rFonts w:cs="Times New Roman"/>
          <w:bCs/>
        </w:rPr>
        <w:t xml:space="preserve"> </w:t>
      </w:r>
      <w:r w:rsidR="00A226F1" w:rsidRPr="00ED63F6">
        <w:rPr>
          <w:rFonts w:cs="Times New Roman"/>
          <w:bCs/>
        </w:rPr>
        <w:t>that are interested in and capable</w:t>
      </w:r>
      <w:r w:rsidR="00407238" w:rsidRPr="00ED63F6">
        <w:rPr>
          <w:rFonts w:cs="Times New Roman"/>
          <w:bCs/>
        </w:rPr>
        <w:t xml:space="preserve"> of participating in </w:t>
      </w:r>
      <w:r w:rsidR="00C95E32" w:rsidRPr="00ED63F6">
        <w:rPr>
          <w:rFonts w:cs="Times New Roman"/>
          <w:bCs/>
        </w:rPr>
        <w:t>NSSP</w:t>
      </w:r>
      <w:r w:rsidR="00090E2B">
        <w:rPr>
          <w:rFonts w:cs="Times New Roman"/>
          <w:bCs/>
        </w:rPr>
        <w:t>. C</w:t>
      </w:r>
      <w:r w:rsidR="00C600E2">
        <w:rPr>
          <w:rFonts w:cs="Times New Roman"/>
          <w:bCs/>
        </w:rPr>
        <w:t xml:space="preserve">urrently, there are </w:t>
      </w:r>
      <w:r w:rsidR="00D41104">
        <w:rPr>
          <w:rFonts w:cs="Times New Roman"/>
          <w:bCs/>
        </w:rPr>
        <w:t>4</w:t>
      </w:r>
      <w:r w:rsidR="001E52A1">
        <w:rPr>
          <w:rFonts w:cs="Times New Roman"/>
          <w:bCs/>
        </w:rPr>
        <w:t>1</w:t>
      </w:r>
      <w:r w:rsidR="00D41104">
        <w:rPr>
          <w:rFonts w:cs="Times New Roman"/>
          <w:bCs/>
        </w:rPr>
        <w:t xml:space="preserve"> </w:t>
      </w:r>
      <w:r w:rsidR="004A267C">
        <w:rPr>
          <w:rFonts w:cs="Times New Roman"/>
          <w:bCs/>
        </w:rPr>
        <w:t>state</w:t>
      </w:r>
      <w:r w:rsidR="00C600E2">
        <w:rPr>
          <w:rFonts w:cs="Times New Roman"/>
          <w:bCs/>
        </w:rPr>
        <w:t xml:space="preserve"> public health departments</w:t>
      </w:r>
      <w:r w:rsidR="004A267C">
        <w:rPr>
          <w:rFonts w:cs="Times New Roman"/>
          <w:bCs/>
        </w:rPr>
        <w:t xml:space="preserve">, </w:t>
      </w:r>
      <w:r w:rsidR="001E52A1">
        <w:rPr>
          <w:rFonts w:cs="Times New Roman"/>
          <w:bCs/>
        </w:rPr>
        <w:t>2</w:t>
      </w:r>
      <w:r w:rsidR="00D41104">
        <w:rPr>
          <w:rFonts w:cs="Times New Roman"/>
          <w:bCs/>
        </w:rPr>
        <w:t xml:space="preserve">5 </w:t>
      </w:r>
      <w:r w:rsidR="004A267C">
        <w:rPr>
          <w:rFonts w:cs="Times New Roman"/>
          <w:bCs/>
        </w:rPr>
        <w:t>local public health departments</w:t>
      </w:r>
      <w:r w:rsidR="00BA7120">
        <w:rPr>
          <w:rFonts w:cs="Times New Roman"/>
          <w:bCs/>
        </w:rPr>
        <w:t xml:space="preserve"> </w:t>
      </w:r>
      <w:r w:rsidR="001E52A1">
        <w:rPr>
          <w:rFonts w:cs="Times New Roman"/>
          <w:bCs/>
        </w:rPr>
        <w:t>(</w:t>
      </w:r>
      <w:r w:rsidR="001E52A1" w:rsidRPr="00664B30">
        <w:rPr>
          <w:rFonts w:cs="Times New Roman"/>
          <w:b/>
          <w:bCs/>
        </w:rPr>
        <w:t>Attachment 3</w:t>
      </w:r>
      <w:r w:rsidR="001E52A1">
        <w:rPr>
          <w:rFonts w:cs="Times New Roman"/>
          <w:bCs/>
        </w:rPr>
        <w:t xml:space="preserve">) </w:t>
      </w:r>
      <w:r w:rsidR="00320466">
        <w:rPr>
          <w:rFonts w:cs="Times New Roman"/>
          <w:bCs/>
        </w:rPr>
        <w:t xml:space="preserve">and </w:t>
      </w:r>
      <w:r w:rsidR="002D4821">
        <w:rPr>
          <w:rFonts w:cs="Times New Roman"/>
          <w:bCs/>
        </w:rPr>
        <w:t xml:space="preserve">one </w:t>
      </w:r>
      <w:r w:rsidR="002D4821" w:rsidRPr="002D4821">
        <w:rPr>
          <w:rFonts w:cs="Times New Roman"/>
          <w:bCs/>
        </w:rPr>
        <w:t>national-level private sector clinical laboratory</w:t>
      </w:r>
      <w:r w:rsidR="00D8080E">
        <w:rPr>
          <w:rFonts w:cs="Times New Roman"/>
          <w:bCs/>
        </w:rPr>
        <w:t xml:space="preserve"> </w:t>
      </w:r>
      <w:r w:rsidR="00C600E2">
        <w:rPr>
          <w:rFonts w:cs="Times New Roman"/>
          <w:bCs/>
        </w:rPr>
        <w:t>participating</w:t>
      </w:r>
      <w:r w:rsidR="008C09EE">
        <w:rPr>
          <w:rFonts w:cs="Times New Roman"/>
          <w:bCs/>
        </w:rPr>
        <w:t>.</w:t>
      </w:r>
      <w:r w:rsidR="008C09EE" w:rsidRPr="008C09EE">
        <w:t xml:space="preserve"> </w:t>
      </w:r>
      <w:r w:rsidR="008C09EE" w:rsidRPr="008C09EE">
        <w:rPr>
          <w:rFonts w:cs="Times New Roman"/>
          <w:bCs/>
        </w:rPr>
        <w:t xml:space="preserve">There will be no additional recruitment of </w:t>
      </w:r>
      <w:r w:rsidR="00D21212">
        <w:rPr>
          <w:rFonts w:cs="Times New Roman"/>
          <w:bCs/>
        </w:rPr>
        <w:t xml:space="preserve">clinical </w:t>
      </w:r>
      <w:r w:rsidR="00320466">
        <w:rPr>
          <w:rFonts w:cs="Times New Roman"/>
          <w:bCs/>
        </w:rPr>
        <w:t>laboratories</w:t>
      </w:r>
      <w:r w:rsidR="00182331">
        <w:rPr>
          <w:rFonts w:cs="Times New Roman"/>
          <w:bCs/>
        </w:rPr>
        <w:t xml:space="preserve">. </w:t>
      </w:r>
      <w:r w:rsidR="00FD37FB">
        <w:rPr>
          <w:rFonts w:cs="Times New Roman"/>
          <w:bCs/>
        </w:rPr>
        <w:t xml:space="preserve">Non-probability </w:t>
      </w:r>
      <w:r w:rsidR="00182331" w:rsidRPr="00182331">
        <w:rPr>
          <w:rFonts w:cs="Times New Roman"/>
          <w:bCs/>
        </w:rPr>
        <w:t xml:space="preserve">sampling </w:t>
      </w:r>
      <w:r w:rsidR="00FD37FB">
        <w:rPr>
          <w:rFonts w:cs="Times New Roman"/>
          <w:bCs/>
        </w:rPr>
        <w:t xml:space="preserve">is </w:t>
      </w:r>
      <w:r w:rsidR="00182331" w:rsidRPr="00182331">
        <w:rPr>
          <w:rFonts w:cs="Times New Roman"/>
          <w:bCs/>
        </w:rPr>
        <w:t>used</w:t>
      </w:r>
      <w:r w:rsidR="00182331">
        <w:rPr>
          <w:rFonts w:cs="Times New Roman"/>
          <w:bCs/>
        </w:rPr>
        <w:t xml:space="preserve"> </w:t>
      </w:r>
      <w:r w:rsidR="00FD37FB">
        <w:rPr>
          <w:rFonts w:cs="Times New Roman"/>
          <w:bCs/>
        </w:rPr>
        <w:t xml:space="preserve">to recruit </w:t>
      </w:r>
      <w:r w:rsidR="00182331">
        <w:rPr>
          <w:rFonts w:cs="Times New Roman"/>
          <w:bCs/>
        </w:rPr>
        <w:t xml:space="preserve">state, local, and </w:t>
      </w:r>
      <w:r w:rsidR="00E927AF">
        <w:rPr>
          <w:rFonts w:cs="Times New Roman"/>
          <w:bCs/>
        </w:rPr>
        <w:t>territorial public</w:t>
      </w:r>
      <w:r w:rsidR="00182331">
        <w:rPr>
          <w:rFonts w:cs="Times New Roman"/>
          <w:bCs/>
        </w:rPr>
        <w:t xml:space="preserve"> health </w:t>
      </w:r>
      <w:r w:rsidR="00E927AF">
        <w:rPr>
          <w:rFonts w:cs="Times New Roman"/>
          <w:bCs/>
        </w:rPr>
        <w:t xml:space="preserve">departments </w:t>
      </w:r>
      <w:r w:rsidR="00F751E4">
        <w:rPr>
          <w:rFonts w:cs="Times New Roman"/>
          <w:bCs/>
        </w:rPr>
        <w:t>and participation</w:t>
      </w:r>
      <w:r w:rsidR="00F751E4" w:rsidRPr="00F751E4">
        <w:rPr>
          <w:rFonts w:cs="Times New Roman"/>
          <w:bCs/>
        </w:rPr>
        <w:t xml:space="preserve"> is completely voluntary</w:t>
      </w:r>
      <w:r w:rsidR="00CF4047">
        <w:rPr>
          <w:rFonts w:cs="Times New Roman"/>
          <w:bCs/>
        </w:rPr>
        <w:t>.</w:t>
      </w:r>
    </w:p>
    <w:p w14:paraId="58309193" w14:textId="77777777" w:rsidR="008B19AB" w:rsidRDefault="008B19AB" w:rsidP="008B19AB">
      <w:pPr>
        <w:spacing w:after="0" w:line="360" w:lineRule="auto"/>
        <w:rPr>
          <w:rFonts w:cs="Times New Roman"/>
          <w:bCs/>
        </w:rPr>
      </w:pPr>
    </w:p>
    <w:p w14:paraId="2F1499D5" w14:textId="5CA4A149" w:rsidR="00AE2E33" w:rsidRPr="00ED63F6" w:rsidRDefault="00CF4047" w:rsidP="008B19AB">
      <w:pPr>
        <w:spacing w:line="360" w:lineRule="auto"/>
        <w:rPr>
          <w:rFonts w:cs="Times New Roman"/>
          <w:bCs/>
        </w:rPr>
      </w:pPr>
      <w:r>
        <w:rPr>
          <w:rFonts w:cs="Times New Roman"/>
          <w:bCs/>
        </w:rPr>
        <w:lastRenderedPageBreak/>
        <w:t xml:space="preserve">The respondent universe for registration </w:t>
      </w:r>
      <w:r w:rsidR="00315C9F">
        <w:rPr>
          <w:rFonts w:cs="Times New Roman"/>
          <w:bCs/>
        </w:rPr>
        <w:t xml:space="preserve">information collection has not changed and </w:t>
      </w:r>
      <w:r>
        <w:rPr>
          <w:rFonts w:cs="Times New Roman"/>
          <w:bCs/>
        </w:rPr>
        <w:t xml:space="preserve">consists of potential users of the </w:t>
      </w:r>
      <w:r w:rsidR="003E7B17">
        <w:rPr>
          <w:rFonts w:cs="Times New Roman"/>
          <w:bCs/>
        </w:rPr>
        <w:t>BioSense</w:t>
      </w:r>
      <w:r>
        <w:rPr>
          <w:rFonts w:cs="Times New Roman"/>
          <w:bCs/>
        </w:rPr>
        <w:t xml:space="preserve"> Platform </w:t>
      </w:r>
      <w:r w:rsidR="00191A3E">
        <w:rPr>
          <w:rFonts w:cs="Times New Roman"/>
          <w:bCs/>
        </w:rPr>
        <w:t xml:space="preserve">from </w:t>
      </w:r>
      <w:r w:rsidR="00BA7120">
        <w:rPr>
          <w:rFonts w:cs="Times New Roman"/>
          <w:bCs/>
        </w:rPr>
        <w:t xml:space="preserve">participating </w:t>
      </w:r>
      <w:r w:rsidR="00191A3E">
        <w:rPr>
          <w:rFonts w:cs="Times New Roman"/>
          <w:bCs/>
        </w:rPr>
        <w:t xml:space="preserve">state, local, and territorial public health departments. </w:t>
      </w:r>
      <w:r w:rsidR="00320466">
        <w:rPr>
          <w:rFonts w:cs="Times New Roman"/>
          <w:bCs/>
        </w:rPr>
        <w:t>T</w:t>
      </w:r>
      <w:r w:rsidR="00191A3E">
        <w:rPr>
          <w:rFonts w:cs="Times New Roman"/>
          <w:bCs/>
        </w:rPr>
        <w:t>here are</w:t>
      </w:r>
      <w:r w:rsidR="00BD1BB2">
        <w:rPr>
          <w:rFonts w:cs="Times New Roman"/>
          <w:bCs/>
        </w:rPr>
        <w:t xml:space="preserve"> </w:t>
      </w:r>
      <w:r w:rsidR="00320466">
        <w:rPr>
          <w:rFonts w:cs="Times New Roman"/>
          <w:bCs/>
        </w:rPr>
        <w:t>601</w:t>
      </w:r>
      <w:r w:rsidR="00090E64">
        <w:rPr>
          <w:rFonts w:cs="Times New Roman"/>
          <w:bCs/>
        </w:rPr>
        <w:t xml:space="preserve"> </w:t>
      </w:r>
      <w:r w:rsidR="00BD1BB2">
        <w:rPr>
          <w:rFonts w:cs="Times New Roman"/>
          <w:bCs/>
        </w:rPr>
        <w:t xml:space="preserve">state public health </w:t>
      </w:r>
      <w:r w:rsidR="003914E2">
        <w:rPr>
          <w:rFonts w:cs="Times New Roman"/>
          <w:bCs/>
        </w:rPr>
        <w:t xml:space="preserve">department users, </w:t>
      </w:r>
      <w:r w:rsidR="00B340BE">
        <w:rPr>
          <w:rFonts w:cs="Times New Roman"/>
          <w:bCs/>
        </w:rPr>
        <w:t xml:space="preserve">and </w:t>
      </w:r>
      <w:r w:rsidR="00320466">
        <w:rPr>
          <w:rFonts w:cs="Times New Roman"/>
          <w:bCs/>
        </w:rPr>
        <w:t>194</w:t>
      </w:r>
      <w:r w:rsidR="003914E2">
        <w:rPr>
          <w:rFonts w:cs="Times New Roman"/>
          <w:bCs/>
        </w:rPr>
        <w:t xml:space="preserve"> local public health department users</w:t>
      </w:r>
      <w:r w:rsidR="00B340BE">
        <w:rPr>
          <w:rFonts w:cs="Times New Roman"/>
          <w:bCs/>
        </w:rPr>
        <w:t xml:space="preserve">. </w:t>
      </w:r>
      <w:r w:rsidR="00AE2E33">
        <w:rPr>
          <w:rFonts w:cs="Times New Roman"/>
          <w:bCs/>
        </w:rPr>
        <w:t>No sampling is used and registration is completely voluntary</w:t>
      </w:r>
      <w:r w:rsidR="00951FB7">
        <w:rPr>
          <w:rFonts w:cs="Times New Roman"/>
          <w:bCs/>
        </w:rPr>
        <w:t>.</w:t>
      </w:r>
    </w:p>
    <w:p w14:paraId="5F1CA51A" w14:textId="634AC8C5" w:rsidR="00FA5E08" w:rsidRPr="00ED63F6" w:rsidRDefault="00FA5E08" w:rsidP="008B19AB">
      <w:pPr>
        <w:spacing w:after="0" w:line="360" w:lineRule="auto"/>
        <w:rPr>
          <w:rFonts w:cs="Times New Roman"/>
          <w:b/>
          <w:bCs/>
        </w:rPr>
      </w:pPr>
      <w:r w:rsidRPr="00ED63F6">
        <w:rPr>
          <w:rFonts w:cs="Times New Roman"/>
          <w:b/>
          <w:bCs/>
        </w:rPr>
        <w:t>2</w:t>
      </w:r>
      <w:r w:rsidR="00303B1F">
        <w:rPr>
          <w:rFonts w:cs="Times New Roman"/>
          <w:b/>
          <w:bCs/>
        </w:rPr>
        <w:t>.</w:t>
      </w:r>
      <w:r w:rsidRPr="00ED63F6">
        <w:rPr>
          <w:rFonts w:cs="Times New Roman"/>
          <w:b/>
          <w:bCs/>
        </w:rPr>
        <w:t xml:space="preserve"> Procedures for the Collection of Information</w:t>
      </w:r>
    </w:p>
    <w:p w14:paraId="68F6BB12" w14:textId="77777777" w:rsidR="00FA5E08" w:rsidRPr="00ED63F6" w:rsidRDefault="00FA5E08" w:rsidP="008B19AB">
      <w:pPr>
        <w:spacing w:after="0" w:line="360" w:lineRule="auto"/>
        <w:rPr>
          <w:rFonts w:cs="Times New Roman"/>
          <w:b/>
          <w:bCs/>
        </w:rPr>
      </w:pPr>
    </w:p>
    <w:p w14:paraId="5ABD6B72" w14:textId="606D9110" w:rsidR="00FA5E08" w:rsidRDefault="00116538" w:rsidP="008B19AB">
      <w:pPr>
        <w:spacing w:after="0" w:line="360" w:lineRule="auto"/>
        <w:rPr>
          <w:rFonts w:cs="Times New Roman"/>
          <w:color w:val="000000"/>
        </w:rPr>
      </w:pPr>
      <w:r>
        <w:rPr>
          <w:rFonts w:cs="Times New Roman"/>
          <w:color w:val="000000"/>
        </w:rPr>
        <w:t xml:space="preserve">The procedures </w:t>
      </w:r>
      <w:r w:rsidR="004C0AA3">
        <w:rPr>
          <w:rFonts w:cs="Times New Roman"/>
          <w:color w:val="000000"/>
        </w:rPr>
        <w:t xml:space="preserve">for </w:t>
      </w:r>
      <w:r w:rsidR="008B19AB">
        <w:rPr>
          <w:rFonts w:cs="Times New Roman"/>
          <w:color w:val="000000"/>
        </w:rPr>
        <w:t>recruitment</w:t>
      </w:r>
      <w:r w:rsidR="004C0AA3">
        <w:rPr>
          <w:rFonts w:cs="Times New Roman"/>
          <w:color w:val="000000"/>
        </w:rPr>
        <w:t xml:space="preserve"> </w:t>
      </w:r>
      <w:r w:rsidR="0014731E">
        <w:rPr>
          <w:rFonts w:cs="Times New Roman"/>
          <w:color w:val="000000"/>
        </w:rPr>
        <w:t>information</w:t>
      </w:r>
      <w:r w:rsidR="004C0AA3">
        <w:rPr>
          <w:rFonts w:cs="Times New Roman"/>
          <w:color w:val="000000"/>
        </w:rPr>
        <w:t xml:space="preserve"> collection</w:t>
      </w:r>
      <w:r w:rsidR="0014731E">
        <w:rPr>
          <w:rFonts w:cs="Times New Roman"/>
          <w:color w:val="000000"/>
        </w:rPr>
        <w:t>,</w:t>
      </w:r>
      <w:r w:rsidR="004C0AA3">
        <w:rPr>
          <w:rFonts w:cs="Times New Roman"/>
          <w:color w:val="000000"/>
        </w:rPr>
        <w:t xml:space="preserve"> </w:t>
      </w:r>
      <w:r w:rsidR="008B19AB">
        <w:rPr>
          <w:rFonts w:cs="Times New Roman"/>
          <w:color w:val="000000"/>
        </w:rPr>
        <w:t xml:space="preserve">registration </w:t>
      </w:r>
      <w:r w:rsidR="004C0AA3">
        <w:rPr>
          <w:rFonts w:cs="Times New Roman"/>
          <w:color w:val="000000"/>
        </w:rPr>
        <w:t xml:space="preserve">information </w:t>
      </w:r>
      <w:r w:rsidR="0014731E">
        <w:rPr>
          <w:rFonts w:cs="Times New Roman"/>
          <w:color w:val="000000"/>
        </w:rPr>
        <w:t xml:space="preserve">collection, and healthcare information collection </w:t>
      </w:r>
      <w:r w:rsidR="004C0AA3">
        <w:rPr>
          <w:rFonts w:cs="Times New Roman"/>
          <w:color w:val="000000"/>
        </w:rPr>
        <w:t xml:space="preserve">have not changed. </w:t>
      </w:r>
      <w:r w:rsidR="0099717B">
        <w:rPr>
          <w:rFonts w:cs="Times New Roman"/>
          <w:color w:val="000000"/>
        </w:rPr>
        <w:t xml:space="preserve">For </w:t>
      </w:r>
      <w:r w:rsidR="00552C4A">
        <w:rPr>
          <w:rFonts w:cs="Times New Roman"/>
          <w:color w:val="000000"/>
        </w:rPr>
        <w:t>recruitment</w:t>
      </w:r>
      <w:r w:rsidR="0099717B">
        <w:rPr>
          <w:rFonts w:cs="Times New Roman"/>
          <w:color w:val="000000"/>
        </w:rPr>
        <w:t xml:space="preserve"> information collection, f</w:t>
      </w:r>
      <w:r w:rsidR="0099717B" w:rsidRPr="0099717B">
        <w:rPr>
          <w:rFonts w:cs="Times New Roman"/>
          <w:color w:val="000000"/>
        </w:rPr>
        <w:t xml:space="preserve">irst and last names, email addresses, organizational affiliations, and telephone numbers of individuals responding on behalf of the public health jurisdictions are collected </w:t>
      </w:r>
      <w:r w:rsidR="0099717B">
        <w:rPr>
          <w:rFonts w:cs="Times New Roman"/>
          <w:color w:val="000000"/>
        </w:rPr>
        <w:t xml:space="preserve">by email </w:t>
      </w:r>
      <w:r w:rsidR="0099717B" w:rsidRPr="0099717B">
        <w:rPr>
          <w:rFonts w:cs="Times New Roman"/>
          <w:color w:val="000000"/>
        </w:rPr>
        <w:t xml:space="preserve">for contact purposes only. </w:t>
      </w:r>
      <w:r w:rsidR="0099717B">
        <w:rPr>
          <w:rFonts w:cs="Times New Roman"/>
          <w:color w:val="000000"/>
        </w:rPr>
        <w:t xml:space="preserve">For </w:t>
      </w:r>
      <w:r w:rsidR="008B19AB">
        <w:rPr>
          <w:rFonts w:cs="Times New Roman"/>
          <w:color w:val="000000"/>
        </w:rPr>
        <w:t>registration</w:t>
      </w:r>
      <w:r w:rsidR="0099717B">
        <w:rPr>
          <w:rFonts w:cs="Times New Roman"/>
          <w:color w:val="000000"/>
        </w:rPr>
        <w:t xml:space="preserve"> information collection, </w:t>
      </w:r>
      <w:r w:rsidR="00225CA5" w:rsidRPr="00225CA5">
        <w:rPr>
          <w:rFonts w:cs="Times New Roman"/>
          <w:color w:val="000000"/>
        </w:rPr>
        <w:t xml:space="preserve">first and last names, email addresses, title, </w:t>
      </w:r>
      <w:r w:rsidR="00552C4A">
        <w:rPr>
          <w:rFonts w:cs="Times New Roman"/>
          <w:color w:val="000000"/>
        </w:rPr>
        <w:t xml:space="preserve">affiliation, </w:t>
      </w:r>
      <w:r w:rsidR="00225CA5" w:rsidRPr="00225CA5">
        <w:rPr>
          <w:rFonts w:cs="Times New Roman"/>
          <w:color w:val="000000"/>
        </w:rPr>
        <w:t>organization, security questions and passwords</w:t>
      </w:r>
      <w:r w:rsidR="007C4145">
        <w:rPr>
          <w:rFonts w:cs="Times New Roman"/>
          <w:color w:val="000000"/>
        </w:rPr>
        <w:t xml:space="preserve"> are collected t</w:t>
      </w:r>
      <w:r w:rsidR="00476028" w:rsidRPr="00476028">
        <w:rPr>
          <w:rFonts w:cs="Times New Roman"/>
          <w:color w:val="000000"/>
        </w:rPr>
        <w:t xml:space="preserve">hrough the one-time completion of a registration form on the </w:t>
      </w:r>
      <w:r w:rsidR="003E7B17">
        <w:rPr>
          <w:rFonts w:cs="Times New Roman"/>
          <w:color w:val="000000"/>
        </w:rPr>
        <w:t>BioSense</w:t>
      </w:r>
      <w:r w:rsidR="00476028" w:rsidRPr="00476028">
        <w:rPr>
          <w:rFonts w:cs="Times New Roman"/>
          <w:color w:val="000000"/>
        </w:rPr>
        <w:t xml:space="preserve"> Platform</w:t>
      </w:r>
      <w:r w:rsidR="008B19AB">
        <w:rPr>
          <w:rFonts w:cs="Times New Roman"/>
          <w:color w:val="000000"/>
        </w:rPr>
        <w:t xml:space="preserve"> </w:t>
      </w:r>
      <w:r w:rsidR="008B19AB" w:rsidRPr="008B19AB">
        <w:rPr>
          <w:rFonts w:cs="Times New Roman"/>
          <w:b/>
          <w:color w:val="000000"/>
        </w:rPr>
        <w:t xml:space="preserve">(Attachment </w:t>
      </w:r>
      <w:r w:rsidR="00FA2858">
        <w:rPr>
          <w:rFonts w:cs="Times New Roman"/>
          <w:b/>
          <w:color w:val="000000"/>
        </w:rPr>
        <w:t>4</w:t>
      </w:r>
      <w:r w:rsidR="008B19AB" w:rsidRPr="008B19AB">
        <w:rPr>
          <w:rFonts w:cs="Times New Roman"/>
          <w:b/>
          <w:color w:val="000000"/>
        </w:rPr>
        <w:t>)</w:t>
      </w:r>
      <w:r w:rsidR="007C4145">
        <w:rPr>
          <w:rFonts w:cs="Times New Roman"/>
          <w:color w:val="000000"/>
        </w:rPr>
        <w:t xml:space="preserve">. For healthcare </w:t>
      </w:r>
      <w:r w:rsidR="00951FB7">
        <w:rPr>
          <w:rFonts w:cs="Times New Roman"/>
          <w:color w:val="000000"/>
        </w:rPr>
        <w:t>information</w:t>
      </w:r>
      <w:r w:rsidR="007C4145">
        <w:rPr>
          <w:rFonts w:cs="Times New Roman"/>
          <w:color w:val="000000"/>
        </w:rPr>
        <w:t xml:space="preserve"> collection, </w:t>
      </w:r>
      <w:r w:rsidR="003E7B17">
        <w:rPr>
          <w:rFonts w:cs="Times New Roman"/>
          <w:color w:val="000000"/>
        </w:rPr>
        <w:t xml:space="preserve">participating </w:t>
      </w:r>
      <w:r w:rsidR="007C4145">
        <w:rPr>
          <w:rFonts w:cs="Times New Roman"/>
          <w:color w:val="000000"/>
        </w:rPr>
        <w:t>s</w:t>
      </w:r>
      <w:r w:rsidR="00447BD5" w:rsidRPr="00ED63F6">
        <w:rPr>
          <w:rFonts w:cs="Times New Roman"/>
          <w:color w:val="000000"/>
        </w:rPr>
        <w:t xml:space="preserve">tate and local public health departments submit </w:t>
      </w:r>
      <w:r w:rsidR="00744C13" w:rsidRPr="00ED63F6">
        <w:rPr>
          <w:rFonts w:cs="Times New Roman"/>
          <w:color w:val="000000"/>
        </w:rPr>
        <w:t xml:space="preserve">healthcare </w:t>
      </w:r>
      <w:r w:rsidR="00447BD5" w:rsidRPr="00ED63F6">
        <w:rPr>
          <w:rFonts w:cs="Times New Roman"/>
          <w:color w:val="000000"/>
        </w:rPr>
        <w:t xml:space="preserve">data </w:t>
      </w:r>
      <w:r w:rsidR="002F5C3A" w:rsidRPr="00ED63F6">
        <w:rPr>
          <w:rFonts w:cs="Times New Roman"/>
          <w:color w:val="000000"/>
        </w:rPr>
        <w:t xml:space="preserve">to their secure space in the </w:t>
      </w:r>
      <w:r w:rsidR="003E7B17">
        <w:rPr>
          <w:rFonts w:cs="Times New Roman"/>
          <w:color w:val="000000"/>
        </w:rPr>
        <w:t>BioSense</w:t>
      </w:r>
      <w:r w:rsidR="003E7B17" w:rsidRPr="00ED63F6">
        <w:rPr>
          <w:rFonts w:cs="Times New Roman"/>
          <w:color w:val="000000"/>
        </w:rPr>
        <w:t xml:space="preserve"> </w:t>
      </w:r>
      <w:r w:rsidR="003E7B17">
        <w:rPr>
          <w:rFonts w:cs="Times New Roman"/>
          <w:color w:val="000000"/>
        </w:rPr>
        <w:t>P</w:t>
      </w:r>
      <w:r w:rsidR="002F5C3A" w:rsidRPr="00ED63F6">
        <w:rPr>
          <w:rFonts w:cs="Times New Roman"/>
          <w:color w:val="000000"/>
        </w:rPr>
        <w:t xml:space="preserve">latform </w:t>
      </w:r>
      <w:r w:rsidR="00447BD5" w:rsidRPr="00ED63F6">
        <w:rPr>
          <w:rFonts w:cs="Times New Roman"/>
          <w:color w:val="000000"/>
        </w:rPr>
        <w:t xml:space="preserve">through automated electronic health information exchange </w:t>
      </w:r>
      <w:r w:rsidR="002F5C3A" w:rsidRPr="00ED63F6">
        <w:rPr>
          <w:rFonts w:cs="Times New Roman"/>
          <w:color w:val="000000"/>
        </w:rPr>
        <w:t>systems</w:t>
      </w:r>
      <w:r w:rsidR="00B12AF9" w:rsidRPr="00ED63F6">
        <w:rPr>
          <w:rFonts w:cs="Times New Roman"/>
          <w:color w:val="000000"/>
        </w:rPr>
        <w:t>,</w:t>
      </w:r>
      <w:r w:rsidR="002F5C3A" w:rsidRPr="00ED63F6">
        <w:rPr>
          <w:rFonts w:cs="Times New Roman"/>
          <w:color w:val="000000"/>
        </w:rPr>
        <w:t xml:space="preserve"> </w:t>
      </w:r>
      <w:r w:rsidR="00744C13" w:rsidRPr="00ED63F6">
        <w:rPr>
          <w:rFonts w:cs="Times New Roman"/>
          <w:color w:val="000000"/>
        </w:rPr>
        <w:t>or hospitals and health professionals in those jurisdictions submit healthcare data to the jurisdiction’s secure space directly.</w:t>
      </w:r>
      <w:r w:rsidR="00447BD5" w:rsidRPr="00ED63F6">
        <w:rPr>
          <w:rFonts w:cs="Times New Roman"/>
          <w:color w:val="000000"/>
        </w:rPr>
        <w:t xml:space="preserve"> When jurisdictions choose to share data with CDC, they access a submenu of the </w:t>
      </w:r>
      <w:r w:rsidR="003E7B17">
        <w:rPr>
          <w:rFonts w:cs="Times New Roman"/>
          <w:color w:val="000000"/>
        </w:rPr>
        <w:t>BioSense</w:t>
      </w:r>
      <w:r w:rsidR="00447BD5" w:rsidRPr="00ED63F6">
        <w:rPr>
          <w:rFonts w:cs="Times New Roman"/>
          <w:color w:val="000000"/>
        </w:rPr>
        <w:t xml:space="preserve"> </w:t>
      </w:r>
      <w:r w:rsidR="003E7B17">
        <w:rPr>
          <w:rFonts w:cs="Times New Roman"/>
          <w:color w:val="000000"/>
        </w:rPr>
        <w:t>P</w:t>
      </w:r>
      <w:r w:rsidR="00447BD5" w:rsidRPr="00ED63F6">
        <w:rPr>
          <w:rFonts w:cs="Times New Roman"/>
          <w:color w:val="000000"/>
        </w:rPr>
        <w:t>latform</w:t>
      </w:r>
      <w:r w:rsidR="008B19AB">
        <w:rPr>
          <w:rFonts w:cs="Times New Roman"/>
          <w:color w:val="000000"/>
        </w:rPr>
        <w:t xml:space="preserve"> </w:t>
      </w:r>
      <w:r w:rsidR="008B19AB" w:rsidRPr="008B19AB">
        <w:rPr>
          <w:rFonts w:cs="Times New Roman"/>
          <w:b/>
          <w:color w:val="000000"/>
        </w:rPr>
        <w:t xml:space="preserve">(Attachment </w:t>
      </w:r>
      <w:r w:rsidR="00FA2858">
        <w:rPr>
          <w:rFonts w:cs="Times New Roman"/>
          <w:b/>
          <w:color w:val="000000"/>
        </w:rPr>
        <w:t>7</w:t>
      </w:r>
      <w:r w:rsidR="008B19AB" w:rsidRPr="008B19AB">
        <w:rPr>
          <w:rFonts w:cs="Times New Roman"/>
          <w:b/>
          <w:color w:val="000000"/>
        </w:rPr>
        <w:t>)</w:t>
      </w:r>
      <w:r w:rsidR="00447BD5" w:rsidRPr="00ED63F6">
        <w:rPr>
          <w:rFonts w:cs="Times New Roman"/>
          <w:color w:val="000000"/>
        </w:rPr>
        <w:t xml:space="preserve">. The submenu allows them to choose with whom to share data and at what level of aggregation from a series of drop-down lists.  After this one-time activity, the jurisdictions’ data </w:t>
      </w:r>
      <w:r w:rsidR="008E74FA" w:rsidRPr="00ED63F6">
        <w:rPr>
          <w:rFonts w:cs="Times New Roman"/>
          <w:color w:val="000000"/>
        </w:rPr>
        <w:t>are</w:t>
      </w:r>
      <w:r w:rsidR="00447BD5" w:rsidRPr="00ED63F6">
        <w:rPr>
          <w:rFonts w:cs="Times New Roman"/>
          <w:color w:val="000000"/>
        </w:rPr>
        <w:t xml:space="preserve"> </w:t>
      </w:r>
      <w:r w:rsidR="00943E7A" w:rsidRPr="00ED63F6">
        <w:rPr>
          <w:rFonts w:cs="Times New Roman"/>
          <w:color w:val="000000"/>
        </w:rPr>
        <w:t xml:space="preserve">accessible to whom </w:t>
      </w:r>
      <w:r w:rsidR="00DB505C" w:rsidRPr="00ED63F6">
        <w:rPr>
          <w:rFonts w:cs="Times New Roman"/>
          <w:color w:val="000000"/>
        </w:rPr>
        <w:t xml:space="preserve">they </w:t>
      </w:r>
      <w:r w:rsidR="00943E7A" w:rsidRPr="00ED63F6">
        <w:rPr>
          <w:rFonts w:cs="Times New Roman"/>
          <w:color w:val="000000"/>
        </w:rPr>
        <w:t>shared</w:t>
      </w:r>
      <w:r w:rsidR="002E0ABC">
        <w:rPr>
          <w:rFonts w:cs="Times New Roman"/>
          <w:color w:val="000000"/>
        </w:rPr>
        <w:t xml:space="preserve"> the data with</w:t>
      </w:r>
      <w:r w:rsidR="00943E7A" w:rsidRPr="00ED63F6">
        <w:rPr>
          <w:rFonts w:cs="Times New Roman"/>
          <w:color w:val="000000"/>
        </w:rPr>
        <w:t xml:space="preserve">. </w:t>
      </w:r>
      <w:r w:rsidR="00024445" w:rsidRPr="00ED63F6">
        <w:rPr>
          <w:rFonts w:cs="Times New Roman"/>
          <w:color w:val="000000"/>
        </w:rPr>
        <w:t xml:space="preserve">The </w:t>
      </w:r>
      <w:r w:rsidR="003E7B17">
        <w:rPr>
          <w:rFonts w:cs="Times New Roman"/>
          <w:color w:val="000000"/>
        </w:rPr>
        <w:t>national clinical laboratory</w:t>
      </w:r>
      <w:r w:rsidR="00024445" w:rsidRPr="00ED63F6">
        <w:rPr>
          <w:rFonts w:cs="Times New Roman"/>
          <w:color w:val="000000"/>
        </w:rPr>
        <w:t xml:space="preserve"> chose to share </w:t>
      </w:r>
      <w:r w:rsidR="0087201C" w:rsidRPr="00ED63F6">
        <w:rPr>
          <w:rFonts w:cs="Times New Roman"/>
          <w:color w:val="000000"/>
        </w:rPr>
        <w:t xml:space="preserve">their healthcare data </w:t>
      </w:r>
      <w:r w:rsidR="00024445" w:rsidRPr="00ED63F6">
        <w:rPr>
          <w:rFonts w:cs="Times New Roman"/>
          <w:color w:val="000000"/>
        </w:rPr>
        <w:t>with CDC when they began participating in NSSP</w:t>
      </w:r>
      <w:r w:rsidR="009B1FE8" w:rsidRPr="00ED63F6">
        <w:rPr>
          <w:rFonts w:cs="Times New Roman"/>
          <w:color w:val="000000"/>
        </w:rPr>
        <w:t xml:space="preserve"> so their data </w:t>
      </w:r>
      <w:r w:rsidR="007457EE" w:rsidRPr="00ED63F6">
        <w:rPr>
          <w:rFonts w:cs="Times New Roman"/>
          <w:color w:val="000000"/>
        </w:rPr>
        <w:t>are</w:t>
      </w:r>
      <w:r w:rsidR="009B1FE8" w:rsidRPr="00ED63F6">
        <w:rPr>
          <w:rFonts w:cs="Times New Roman"/>
          <w:color w:val="000000"/>
        </w:rPr>
        <w:t xml:space="preserve"> available to CDC as soon as </w:t>
      </w:r>
      <w:r w:rsidR="007457EE" w:rsidRPr="00ED63F6">
        <w:rPr>
          <w:rFonts w:cs="Times New Roman"/>
          <w:color w:val="000000"/>
        </w:rPr>
        <w:t>they</w:t>
      </w:r>
      <w:r w:rsidR="009B1FE8" w:rsidRPr="00ED63F6">
        <w:rPr>
          <w:rFonts w:cs="Times New Roman"/>
          <w:color w:val="000000"/>
        </w:rPr>
        <w:t xml:space="preserve"> </w:t>
      </w:r>
      <w:r w:rsidR="007457EE" w:rsidRPr="00ED63F6">
        <w:rPr>
          <w:rFonts w:cs="Times New Roman"/>
          <w:color w:val="000000"/>
        </w:rPr>
        <w:t>are</w:t>
      </w:r>
      <w:r w:rsidR="009B1FE8" w:rsidRPr="00ED63F6">
        <w:rPr>
          <w:rFonts w:cs="Times New Roman"/>
          <w:color w:val="000000"/>
        </w:rPr>
        <w:t xml:space="preserve"> submitted. </w:t>
      </w:r>
    </w:p>
    <w:p w14:paraId="0F686EE4" w14:textId="77777777" w:rsidR="008B19AB" w:rsidRDefault="008B19AB" w:rsidP="008B19AB">
      <w:pPr>
        <w:spacing w:after="0" w:line="360" w:lineRule="auto"/>
        <w:rPr>
          <w:rFonts w:cs="Times New Roman"/>
          <w:color w:val="000000"/>
        </w:rPr>
      </w:pPr>
    </w:p>
    <w:p w14:paraId="0D1AECA0" w14:textId="7EABAE07" w:rsidR="001E52A1" w:rsidRDefault="001E52A1" w:rsidP="008B19AB">
      <w:pPr>
        <w:spacing w:after="0" w:line="360" w:lineRule="auto"/>
        <w:rPr>
          <w:rFonts w:cs="Times New Roman"/>
          <w:color w:val="000000"/>
        </w:rPr>
      </w:pPr>
      <w:r w:rsidRPr="001E52A1">
        <w:rPr>
          <w:rFonts w:cs="Times New Roman"/>
          <w:color w:val="000000"/>
        </w:rPr>
        <w:t>Data quality control includes assessing messages and records for completeness, consistency, validity, and timeliness and developing and implementing data quality control processes and generating data quality assurance reports for users. These quality control processes are based on whether a record can be accurately processed in the system for subsequent analyses and presentation to</w:t>
      </w:r>
      <w:r>
        <w:rPr>
          <w:rFonts w:cs="Times New Roman"/>
          <w:color w:val="000000"/>
        </w:rPr>
        <w:t xml:space="preserve"> </w:t>
      </w:r>
      <w:r w:rsidRPr="001E52A1">
        <w:rPr>
          <w:rFonts w:cs="Times New Roman"/>
          <w:color w:val="000000"/>
        </w:rPr>
        <w:t>th</w:t>
      </w:r>
      <w:r>
        <w:rPr>
          <w:rFonts w:cs="Times New Roman"/>
          <w:color w:val="000000"/>
        </w:rPr>
        <w:t>e</w:t>
      </w:r>
      <w:r w:rsidRPr="001E52A1">
        <w:rPr>
          <w:rFonts w:cs="Times New Roman"/>
          <w:color w:val="000000"/>
        </w:rPr>
        <w:t xml:space="preserve"> user. For example, the system checks for valid facility IDs by making sure that the given facility ID maps to a current facility ID. The validity of the patient visit date and time are checked to make sure that the patient visit date is not in the future and not too far in the past. Timeliness is also assessed based on the Meaningful Use of Electronic Health Records specifications for syndromic surveillance which indicate that the initial record should be sent within 24 hours of the patient visit date. Reports are generated that rate the timeliness of each facility’s data feed. The system doesn’t check items such as patient gender and diagnosis since there is no way of knowing if these are accurate for a particular record.</w:t>
      </w:r>
    </w:p>
    <w:p w14:paraId="52C0BE6E" w14:textId="77777777" w:rsidR="00FA5E08" w:rsidRPr="00ED63F6" w:rsidRDefault="00FA5E08" w:rsidP="008B19AB">
      <w:pPr>
        <w:spacing w:after="0" w:line="360" w:lineRule="auto"/>
        <w:rPr>
          <w:rFonts w:cs="Times New Roman"/>
          <w:b/>
          <w:bCs/>
        </w:rPr>
      </w:pPr>
      <w:r w:rsidRPr="00ED63F6">
        <w:rPr>
          <w:rFonts w:cs="Times New Roman"/>
          <w:b/>
          <w:bCs/>
        </w:rPr>
        <w:lastRenderedPageBreak/>
        <w:t>3</w:t>
      </w:r>
      <w:r w:rsidR="00212F40">
        <w:rPr>
          <w:rFonts w:cs="Times New Roman"/>
          <w:b/>
          <w:bCs/>
        </w:rPr>
        <w:t>.</w:t>
      </w:r>
      <w:r w:rsidRPr="00ED63F6">
        <w:rPr>
          <w:rFonts w:cs="Times New Roman"/>
          <w:b/>
          <w:bCs/>
        </w:rPr>
        <w:t xml:space="preserve"> Methods to Maximize Response Rates and Deal with No response</w:t>
      </w:r>
    </w:p>
    <w:p w14:paraId="4756671D" w14:textId="77777777" w:rsidR="00FA5E08" w:rsidRPr="00ED63F6" w:rsidRDefault="00FA5E08" w:rsidP="008B19AB">
      <w:pPr>
        <w:spacing w:after="0" w:line="360" w:lineRule="auto"/>
        <w:rPr>
          <w:rFonts w:cs="Times New Roman"/>
          <w:b/>
          <w:bCs/>
        </w:rPr>
      </w:pPr>
    </w:p>
    <w:p w14:paraId="58BEA59D" w14:textId="6662F617" w:rsidR="006A765B" w:rsidRPr="00ED63F6" w:rsidRDefault="00D227A0" w:rsidP="008B19AB">
      <w:pPr>
        <w:spacing w:after="0" w:line="360" w:lineRule="auto"/>
        <w:rPr>
          <w:rFonts w:eastAsia="Calibri" w:cs="Times New Roman"/>
        </w:rPr>
      </w:pPr>
      <w:r w:rsidRPr="00ED63F6">
        <w:rPr>
          <w:rFonts w:cs="Times New Roman"/>
          <w:bCs/>
        </w:rPr>
        <w:t xml:space="preserve">CDC, the Association of State and Territorial Health Officials (ASTHO), the Council of State and Territorial Epidemiologist (CSTE), the National Association of County and City Health Officials </w:t>
      </w:r>
      <w:r w:rsidR="00756475" w:rsidRPr="00ED63F6">
        <w:rPr>
          <w:rFonts w:cs="Times New Roman"/>
          <w:bCs/>
        </w:rPr>
        <w:t xml:space="preserve">(NACCHO) </w:t>
      </w:r>
      <w:r w:rsidRPr="00ED63F6">
        <w:rPr>
          <w:rFonts w:cs="Times New Roman"/>
          <w:bCs/>
        </w:rPr>
        <w:t>and other stakeholders collaborate to reach out and provide information to the public health community about the opportunity to participate in NSSP.</w:t>
      </w:r>
      <w:r w:rsidR="004F22D2" w:rsidRPr="00ED63F6">
        <w:t xml:space="preserve"> </w:t>
      </w:r>
      <w:r w:rsidR="004F22D2" w:rsidRPr="00ED63F6">
        <w:rPr>
          <w:rFonts w:cs="Times New Roman"/>
          <w:bCs/>
        </w:rPr>
        <w:t xml:space="preserve">To increase population coverage and representativeness of the data, NSSP will continue to support outreach efforts to state and local health departments in non-participating states. </w:t>
      </w:r>
      <w:r w:rsidR="00B83A53" w:rsidRPr="00ED63F6">
        <w:rPr>
          <w:rFonts w:cs="Times New Roman"/>
          <w:bCs/>
        </w:rPr>
        <w:t xml:space="preserve"> CDC will continue to encourage jurisdictions’ sharing of data</w:t>
      </w:r>
      <w:r w:rsidR="00800DCF" w:rsidRPr="00ED63F6">
        <w:rPr>
          <w:rFonts w:cs="Times New Roman"/>
          <w:bCs/>
        </w:rPr>
        <w:t xml:space="preserve"> within the </w:t>
      </w:r>
      <w:r w:rsidR="004A267C">
        <w:rPr>
          <w:rFonts w:cs="Times New Roman"/>
          <w:bCs/>
        </w:rPr>
        <w:t>BioSense</w:t>
      </w:r>
      <w:r w:rsidR="004A267C" w:rsidRPr="00ED63F6">
        <w:rPr>
          <w:rFonts w:cs="Times New Roman"/>
          <w:bCs/>
        </w:rPr>
        <w:t xml:space="preserve"> </w:t>
      </w:r>
      <w:r w:rsidR="004A267C">
        <w:rPr>
          <w:rFonts w:cs="Times New Roman"/>
          <w:bCs/>
        </w:rPr>
        <w:t>P</w:t>
      </w:r>
      <w:r w:rsidR="00800DCF" w:rsidRPr="00ED63F6">
        <w:rPr>
          <w:rFonts w:cs="Times New Roman"/>
          <w:bCs/>
        </w:rPr>
        <w:t>latform</w:t>
      </w:r>
      <w:r w:rsidR="00B83A53" w:rsidRPr="00ED63F6">
        <w:rPr>
          <w:rFonts w:cs="Times New Roman"/>
          <w:bCs/>
        </w:rPr>
        <w:t xml:space="preserve"> for </w:t>
      </w:r>
      <w:r w:rsidR="004A267C">
        <w:rPr>
          <w:rFonts w:cs="Times New Roman"/>
          <w:bCs/>
        </w:rPr>
        <w:t xml:space="preserve">regional and </w:t>
      </w:r>
      <w:r w:rsidR="006573F1" w:rsidRPr="00ED63F6">
        <w:rPr>
          <w:rFonts w:cs="Times New Roman"/>
          <w:bCs/>
        </w:rPr>
        <w:t xml:space="preserve">national </w:t>
      </w:r>
      <w:r w:rsidR="004A267C">
        <w:rPr>
          <w:rFonts w:cs="Times New Roman"/>
          <w:bCs/>
        </w:rPr>
        <w:t xml:space="preserve">situational awareness based on local and state </w:t>
      </w:r>
      <w:r w:rsidR="006573F1" w:rsidRPr="00ED63F6">
        <w:rPr>
          <w:rFonts w:cs="Times New Roman"/>
          <w:bCs/>
        </w:rPr>
        <w:t>surveillance.</w:t>
      </w:r>
    </w:p>
    <w:p w14:paraId="24E46F53" w14:textId="77777777" w:rsidR="006A765B" w:rsidRPr="00ED63F6" w:rsidRDefault="006A765B" w:rsidP="008B19AB">
      <w:pPr>
        <w:spacing w:after="0" w:line="360" w:lineRule="auto"/>
        <w:rPr>
          <w:rFonts w:eastAsia="Calibri" w:cs="Times New Roman"/>
        </w:rPr>
      </w:pPr>
    </w:p>
    <w:p w14:paraId="6A8F7D38" w14:textId="77777777" w:rsidR="00A86616" w:rsidRPr="00ED63F6" w:rsidRDefault="009E46B2" w:rsidP="008B19AB">
      <w:pPr>
        <w:spacing w:after="0" w:line="360" w:lineRule="auto"/>
        <w:rPr>
          <w:rFonts w:eastAsia="Calibri" w:cs="Times New Roman"/>
        </w:rPr>
      </w:pPr>
      <w:r w:rsidRPr="00ED63F6">
        <w:rPr>
          <w:rFonts w:eastAsia="Calibri" w:cs="Times New Roman"/>
        </w:rPr>
        <w:t xml:space="preserve">CDC monitors the receipt and completeness of electronic data from organizations participating in NSSP and </w:t>
      </w:r>
      <w:r w:rsidR="00A86616" w:rsidRPr="00ED63F6">
        <w:rPr>
          <w:rFonts w:eastAsia="Calibri" w:cs="Times New Roman"/>
        </w:rPr>
        <w:t>collaborates with those organizations to assure completeness of data.</w:t>
      </w:r>
    </w:p>
    <w:p w14:paraId="1DC3C4C8" w14:textId="77777777" w:rsidR="00A86616" w:rsidRPr="00ED63F6" w:rsidRDefault="00A86616" w:rsidP="008B19AB">
      <w:pPr>
        <w:spacing w:after="0" w:line="360" w:lineRule="auto"/>
        <w:rPr>
          <w:rFonts w:eastAsia="Calibri" w:cs="Times New Roman"/>
        </w:rPr>
      </w:pPr>
    </w:p>
    <w:p w14:paraId="7A60F4A9" w14:textId="77777777" w:rsidR="00FA5E08" w:rsidRPr="00ED63F6" w:rsidRDefault="00FA5E08" w:rsidP="008B19AB">
      <w:pPr>
        <w:spacing w:after="0" w:line="360" w:lineRule="auto"/>
        <w:rPr>
          <w:rFonts w:cs="Times New Roman"/>
          <w:b/>
          <w:bCs/>
        </w:rPr>
      </w:pPr>
      <w:r w:rsidRPr="00ED63F6">
        <w:rPr>
          <w:rFonts w:cs="Times New Roman"/>
          <w:b/>
          <w:bCs/>
        </w:rPr>
        <w:t>4. Tests of Procedures or Methods to be Undertaken</w:t>
      </w:r>
    </w:p>
    <w:p w14:paraId="7496E696" w14:textId="77777777" w:rsidR="00FA5E08" w:rsidRPr="00ED63F6" w:rsidRDefault="00FA5E08" w:rsidP="008B19AB">
      <w:pPr>
        <w:spacing w:after="0" w:line="360" w:lineRule="auto"/>
        <w:rPr>
          <w:rFonts w:cs="Times New Roman"/>
          <w:b/>
          <w:bCs/>
        </w:rPr>
      </w:pPr>
    </w:p>
    <w:p w14:paraId="5C18F79C" w14:textId="3A755B75" w:rsidR="001B438C" w:rsidRPr="00ED63F6" w:rsidRDefault="002153FB" w:rsidP="008B19AB">
      <w:pPr>
        <w:spacing w:after="0" w:line="360" w:lineRule="auto"/>
        <w:rPr>
          <w:rFonts w:eastAsia="Calibri" w:cs="Times New Roman"/>
        </w:rPr>
      </w:pPr>
      <w:r w:rsidRPr="00ED63F6">
        <w:rPr>
          <w:rFonts w:eastAsia="Calibri" w:cs="Times New Roman"/>
        </w:rPr>
        <w:t xml:space="preserve">NSSP </w:t>
      </w:r>
      <w:r w:rsidR="00E55E55">
        <w:rPr>
          <w:rFonts w:eastAsia="Calibri" w:cs="Times New Roman"/>
        </w:rPr>
        <w:t>includes</w:t>
      </w:r>
      <w:r w:rsidR="00E55E55" w:rsidRPr="00ED63F6">
        <w:rPr>
          <w:rFonts w:eastAsia="Calibri" w:cs="Times New Roman"/>
        </w:rPr>
        <w:t xml:space="preserve"> </w:t>
      </w:r>
      <w:r w:rsidRPr="00ED63F6">
        <w:rPr>
          <w:rFonts w:eastAsia="Calibri" w:cs="Times New Roman"/>
        </w:rPr>
        <w:t xml:space="preserve">an existing system of information exchange and no pilot testing of </w:t>
      </w:r>
      <w:r w:rsidR="00F27DF5" w:rsidRPr="00ED63F6">
        <w:rPr>
          <w:rFonts w:eastAsia="Calibri" w:cs="Times New Roman"/>
        </w:rPr>
        <w:t xml:space="preserve">data collection </w:t>
      </w:r>
      <w:r w:rsidRPr="00ED63F6">
        <w:rPr>
          <w:rFonts w:eastAsia="Calibri" w:cs="Times New Roman"/>
        </w:rPr>
        <w:t xml:space="preserve">procedures or methods will be undertaken. </w:t>
      </w:r>
    </w:p>
    <w:p w14:paraId="44E003E6" w14:textId="77777777" w:rsidR="00FA5E08" w:rsidRPr="00ED63F6" w:rsidRDefault="00FA5E08" w:rsidP="008B19AB">
      <w:pPr>
        <w:spacing w:after="0" w:line="360" w:lineRule="auto"/>
        <w:rPr>
          <w:rFonts w:cs="Times New Roman"/>
          <w:b/>
          <w:bCs/>
        </w:rPr>
      </w:pPr>
    </w:p>
    <w:p w14:paraId="61025B6E" w14:textId="77777777" w:rsidR="00FA5E08" w:rsidRPr="00ED63F6" w:rsidRDefault="00FA5E08" w:rsidP="008B19AB">
      <w:pPr>
        <w:spacing w:after="0" w:line="360" w:lineRule="auto"/>
        <w:rPr>
          <w:rFonts w:cs="Times New Roman"/>
          <w:b/>
          <w:bCs/>
        </w:rPr>
      </w:pPr>
      <w:r w:rsidRPr="00ED63F6">
        <w:rPr>
          <w:rFonts w:cs="Times New Roman"/>
          <w:b/>
          <w:bCs/>
        </w:rPr>
        <w:t>5. Individuals Consulted on Statistical Aspects and Individuals Collecting and/or Analyzing Data</w:t>
      </w:r>
    </w:p>
    <w:p w14:paraId="327A72BD" w14:textId="77777777" w:rsidR="00BA714D" w:rsidRPr="00ED63F6" w:rsidRDefault="00BA714D" w:rsidP="008B19AB">
      <w:pPr>
        <w:spacing w:after="0" w:line="360" w:lineRule="auto"/>
        <w:rPr>
          <w:rFonts w:cs="Times New Roman"/>
        </w:rPr>
      </w:pPr>
    </w:p>
    <w:p w14:paraId="07BAA153" w14:textId="5C78C538" w:rsidR="00105D35" w:rsidRPr="00ED63F6" w:rsidRDefault="00105D35" w:rsidP="008B19AB">
      <w:pPr>
        <w:spacing w:after="0" w:line="360" w:lineRule="auto"/>
        <w:rPr>
          <w:rFonts w:cs="Times New Roman"/>
        </w:rPr>
      </w:pPr>
      <w:r w:rsidRPr="00ED63F6">
        <w:rPr>
          <w:rFonts w:cs="Times New Roman"/>
        </w:rPr>
        <w:t xml:space="preserve">In planning and developing NSSP, the </w:t>
      </w:r>
      <w:r w:rsidR="00E55E55">
        <w:rPr>
          <w:rFonts w:cs="Times New Roman"/>
        </w:rPr>
        <w:t>BioSense</w:t>
      </w:r>
      <w:r w:rsidR="00E55E55" w:rsidRPr="00ED63F6">
        <w:rPr>
          <w:rFonts w:cs="Times New Roman"/>
        </w:rPr>
        <w:t xml:space="preserve"> </w:t>
      </w:r>
      <w:r w:rsidRPr="00ED63F6">
        <w:rPr>
          <w:rFonts w:cs="Times New Roman"/>
        </w:rPr>
        <w:t xml:space="preserve">Platform and collection and use of syndromic surveillance data, CDC has engaged with individuals and organizations outside of the agency in a variety of ways. The primary group with which CDC consults is an expert group of individuals from public health associations, including ASTHO and CSTE; federal agencies, including CDC, the VA and DoD; state and local public health departments; and healthcare. The names, affiliations, and contact information for that group are in </w:t>
      </w:r>
      <w:r w:rsidRPr="00ED63F6">
        <w:rPr>
          <w:rFonts w:cs="Times New Roman"/>
          <w:b/>
        </w:rPr>
        <w:t xml:space="preserve">Attachment </w:t>
      </w:r>
      <w:r w:rsidR="00E619B7">
        <w:rPr>
          <w:rFonts w:cs="Times New Roman"/>
          <w:b/>
        </w:rPr>
        <w:t>8</w:t>
      </w:r>
      <w:r w:rsidRPr="00ED63F6">
        <w:rPr>
          <w:rFonts w:cs="Times New Roman"/>
        </w:rPr>
        <w:t xml:space="preserve">. That group, including CDC, meets monthly to discuss issues related to availability, quality, security, sharing, use, and reporting of data. As a source of information on data elements for syndromic surveillance, CDC makes use of </w:t>
      </w:r>
      <w:r w:rsidR="000761C3" w:rsidRPr="000761C3">
        <w:rPr>
          <w:rFonts w:cs="Times New Roman"/>
        </w:rPr>
        <w:t>International Society for Disease Surveillance (ISDS)</w:t>
      </w:r>
      <w:r w:rsidRPr="00ED63F6">
        <w:rPr>
          <w:rFonts w:cs="Times New Roman"/>
        </w:rPr>
        <w:t xml:space="preserve"> recommendations to the healthcare and public health communities through the Centers for Medicare and Medicaid Services (CMS) </w:t>
      </w:r>
      <w:r w:rsidR="000761C3">
        <w:rPr>
          <w:rFonts w:cs="Times New Roman"/>
        </w:rPr>
        <w:t>electronic health record (EHR)</w:t>
      </w:r>
      <w:r w:rsidRPr="00ED63F6">
        <w:rPr>
          <w:rFonts w:cs="Times New Roman"/>
        </w:rPr>
        <w:t xml:space="preserve"> Incentive programs (a.k.a., Meaningful Use programs) on use of EHRs for syndromic surveillance ( </w:t>
      </w:r>
      <w:r w:rsidR="00B23E99" w:rsidRPr="00B23E99">
        <w:rPr>
          <w:rFonts w:cs="Times New Roman"/>
        </w:rPr>
        <w:t>http://www.syndromic.org/resources/meaningful-use</w:t>
      </w:r>
      <w:r w:rsidRPr="00ED63F6">
        <w:rPr>
          <w:rFonts w:cs="Times New Roman"/>
        </w:rPr>
        <w:t xml:space="preserve">). CDC collaborates with ISDS to improve electronic data exchange specifications for syndromic surveillance data from EHRs. CDC also participates in monthly conference calls with users of the </w:t>
      </w:r>
      <w:r w:rsidR="00E55E55">
        <w:rPr>
          <w:rFonts w:cs="Times New Roman"/>
        </w:rPr>
        <w:t>BioSense Platform</w:t>
      </w:r>
      <w:r w:rsidR="00E55E55" w:rsidRPr="00ED63F6">
        <w:rPr>
          <w:rFonts w:cs="Times New Roman"/>
        </w:rPr>
        <w:t xml:space="preserve"> </w:t>
      </w:r>
      <w:r w:rsidRPr="00ED63F6">
        <w:rPr>
          <w:rFonts w:cs="Times New Roman"/>
        </w:rPr>
        <w:t>and consults with stakeholders at annual meetings of I</w:t>
      </w:r>
      <w:r w:rsidR="00AF42A0" w:rsidRPr="00ED63F6">
        <w:rPr>
          <w:rFonts w:cs="Times New Roman"/>
        </w:rPr>
        <w:t xml:space="preserve">nternational </w:t>
      </w:r>
      <w:r w:rsidR="00AF42A0" w:rsidRPr="00ED63F6">
        <w:rPr>
          <w:rFonts w:cs="Times New Roman"/>
        </w:rPr>
        <w:lastRenderedPageBreak/>
        <w:t>Society for Disease Surveillance</w:t>
      </w:r>
      <w:r w:rsidRPr="00ED63F6">
        <w:rPr>
          <w:rFonts w:cs="Times New Roman"/>
        </w:rPr>
        <w:t xml:space="preserve"> and CSTE.</w:t>
      </w:r>
      <w:r w:rsidR="00312504">
        <w:rPr>
          <w:rFonts w:cs="Times New Roman"/>
        </w:rPr>
        <w:t xml:space="preserve"> </w:t>
      </w:r>
      <w:r w:rsidR="006C2A87" w:rsidRPr="00ED63F6">
        <w:rPr>
          <w:rFonts w:cs="Times New Roman"/>
        </w:rPr>
        <w:t xml:space="preserve">The CDC’s Center for Surveillance, Epidemiology and Laboratory Services, other CDC Centers, VA, DoD, and </w:t>
      </w:r>
      <w:r w:rsidR="00EB522B" w:rsidRPr="00ED63F6">
        <w:rPr>
          <w:rFonts w:cs="Times New Roman"/>
        </w:rPr>
        <w:t xml:space="preserve">state and local public health officials collect </w:t>
      </w:r>
      <w:r w:rsidR="006C2A87" w:rsidRPr="00ED63F6">
        <w:rPr>
          <w:rFonts w:cs="Times New Roman"/>
        </w:rPr>
        <w:t>and analyze the information.</w:t>
      </w:r>
    </w:p>
    <w:p w14:paraId="1DCB8FB2" w14:textId="77777777" w:rsidR="00A647BC" w:rsidRPr="00ED63F6" w:rsidRDefault="00A647BC" w:rsidP="008B19AB">
      <w:pPr>
        <w:spacing w:after="0" w:line="360" w:lineRule="auto"/>
        <w:rPr>
          <w:rFonts w:cs="Times New Roman"/>
        </w:rPr>
      </w:pPr>
    </w:p>
    <w:p w14:paraId="25546F64" w14:textId="242847D5" w:rsidR="00BB0931" w:rsidRPr="00ED63F6" w:rsidRDefault="00BB0931" w:rsidP="001C4379">
      <w:pPr>
        <w:spacing w:after="0" w:line="240" w:lineRule="auto"/>
        <w:rPr>
          <w:rFonts w:cs="Times New Roman"/>
        </w:rPr>
      </w:pPr>
    </w:p>
    <w:sectPr w:rsidR="00BB0931" w:rsidRPr="00ED63F6" w:rsidSect="00BE32E5">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3945E" w14:textId="77777777" w:rsidR="00C92EEB" w:rsidRDefault="00C92EEB" w:rsidP="006F2353">
      <w:pPr>
        <w:spacing w:after="0" w:line="240" w:lineRule="auto"/>
      </w:pPr>
      <w:r>
        <w:separator/>
      </w:r>
    </w:p>
  </w:endnote>
  <w:endnote w:type="continuationSeparator" w:id="0">
    <w:p w14:paraId="3627C9D3" w14:textId="77777777" w:rsidR="00C92EEB" w:rsidRDefault="00C92EEB" w:rsidP="006F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931543"/>
      <w:docPartObj>
        <w:docPartGallery w:val="Page Numbers (Bottom of Page)"/>
        <w:docPartUnique/>
      </w:docPartObj>
    </w:sdtPr>
    <w:sdtEndPr/>
    <w:sdtContent>
      <w:sdt>
        <w:sdtPr>
          <w:id w:val="860082579"/>
          <w:docPartObj>
            <w:docPartGallery w:val="Page Numbers (Top of Page)"/>
            <w:docPartUnique/>
          </w:docPartObj>
        </w:sdtPr>
        <w:sdtEndPr/>
        <w:sdtContent>
          <w:p w14:paraId="5893032C" w14:textId="77777777" w:rsidR="00C92EEB" w:rsidRDefault="00C92EEB" w:rsidP="00212F4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64B3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64B30">
              <w:rPr>
                <w:b/>
                <w:bCs/>
                <w:noProof/>
              </w:rPr>
              <w:t>6</w:t>
            </w:r>
            <w:r>
              <w:rPr>
                <w:b/>
                <w:bCs/>
                <w:sz w:val="24"/>
                <w:szCs w:val="24"/>
              </w:rPr>
              <w:fldChar w:fldCharType="end"/>
            </w:r>
          </w:p>
        </w:sdtContent>
      </w:sdt>
    </w:sdtContent>
  </w:sdt>
  <w:p w14:paraId="1AED9A5C" w14:textId="77777777" w:rsidR="00C92EEB" w:rsidRDefault="00C92E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8C35E" w14:textId="77777777" w:rsidR="00C92EEB" w:rsidRDefault="00C92EEB" w:rsidP="006F2353">
      <w:pPr>
        <w:spacing w:after="0" w:line="240" w:lineRule="auto"/>
      </w:pPr>
      <w:r>
        <w:separator/>
      </w:r>
    </w:p>
  </w:footnote>
  <w:footnote w:type="continuationSeparator" w:id="0">
    <w:p w14:paraId="39E74C5B" w14:textId="77777777" w:rsidR="00C92EEB" w:rsidRDefault="00C92EEB" w:rsidP="006F2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EDC2F" w14:textId="77777777" w:rsidR="00C92EEB" w:rsidRDefault="00C92EEB">
    <w:pPr>
      <w:pStyle w:val="Header"/>
      <w:jc w:val="right"/>
    </w:pPr>
  </w:p>
  <w:p w14:paraId="0811EE97" w14:textId="77777777" w:rsidR="00C92EEB" w:rsidRDefault="00C92E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3F0B427A"/>
    <w:multiLevelType w:val="hybridMultilevel"/>
    <w:tmpl w:val="C818C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EB11223"/>
    <w:multiLevelType w:val="hybridMultilevel"/>
    <w:tmpl w:val="53207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9AB5823"/>
    <w:multiLevelType w:val="multilevel"/>
    <w:tmpl w:val="FA82ECA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D8"/>
    <w:rsid w:val="00000D1A"/>
    <w:rsid w:val="00024445"/>
    <w:rsid w:val="00024BC1"/>
    <w:rsid w:val="00031BF3"/>
    <w:rsid w:val="00035E7C"/>
    <w:rsid w:val="0003617A"/>
    <w:rsid w:val="00041E2E"/>
    <w:rsid w:val="00055E34"/>
    <w:rsid w:val="000761C3"/>
    <w:rsid w:val="00090E2B"/>
    <w:rsid w:val="00090E64"/>
    <w:rsid w:val="00096CB7"/>
    <w:rsid w:val="00097480"/>
    <w:rsid w:val="000B4AFE"/>
    <w:rsid w:val="000C2F41"/>
    <w:rsid w:val="000C5844"/>
    <w:rsid w:val="000E29CA"/>
    <w:rsid w:val="00104812"/>
    <w:rsid w:val="00105D35"/>
    <w:rsid w:val="001074AE"/>
    <w:rsid w:val="00113280"/>
    <w:rsid w:val="00116538"/>
    <w:rsid w:val="00121DD4"/>
    <w:rsid w:val="0012326A"/>
    <w:rsid w:val="00125859"/>
    <w:rsid w:val="0013412D"/>
    <w:rsid w:val="00134CFA"/>
    <w:rsid w:val="00135E35"/>
    <w:rsid w:val="00142C8F"/>
    <w:rsid w:val="0014731E"/>
    <w:rsid w:val="00155896"/>
    <w:rsid w:val="0016090B"/>
    <w:rsid w:val="00163799"/>
    <w:rsid w:val="00182331"/>
    <w:rsid w:val="001907C1"/>
    <w:rsid w:val="00191710"/>
    <w:rsid w:val="00191A3E"/>
    <w:rsid w:val="00194E22"/>
    <w:rsid w:val="00197095"/>
    <w:rsid w:val="001974FD"/>
    <w:rsid w:val="001A1397"/>
    <w:rsid w:val="001A1C4F"/>
    <w:rsid w:val="001A370A"/>
    <w:rsid w:val="001A7B52"/>
    <w:rsid w:val="001B05F9"/>
    <w:rsid w:val="001B438C"/>
    <w:rsid w:val="001C4379"/>
    <w:rsid w:val="001E52A1"/>
    <w:rsid w:val="001F0420"/>
    <w:rsid w:val="001F1158"/>
    <w:rsid w:val="001F37AA"/>
    <w:rsid w:val="002031ED"/>
    <w:rsid w:val="00212F40"/>
    <w:rsid w:val="002153FB"/>
    <w:rsid w:val="00225CA5"/>
    <w:rsid w:val="00235FEB"/>
    <w:rsid w:val="00237876"/>
    <w:rsid w:val="00237E66"/>
    <w:rsid w:val="00267138"/>
    <w:rsid w:val="00283E78"/>
    <w:rsid w:val="002845E7"/>
    <w:rsid w:val="00285E26"/>
    <w:rsid w:val="002B466D"/>
    <w:rsid w:val="002B796B"/>
    <w:rsid w:val="002C4406"/>
    <w:rsid w:val="002C56A7"/>
    <w:rsid w:val="002D4821"/>
    <w:rsid w:val="002D708D"/>
    <w:rsid w:val="002E0ABC"/>
    <w:rsid w:val="002E787F"/>
    <w:rsid w:val="002F5C3A"/>
    <w:rsid w:val="00300CFB"/>
    <w:rsid w:val="00303B1F"/>
    <w:rsid w:val="003047BE"/>
    <w:rsid w:val="00305CFC"/>
    <w:rsid w:val="003107DE"/>
    <w:rsid w:val="00312504"/>
    <w:rsid w:val="00314B9F"/>
    <w:rsid w:val="00315C9F"/>
    <w:rsid w:val="00320466"/>
    <w:rsid w:val="00322E28"/>
    <w:rsid w:val="0032370F"/>
    <w:rsid w:val="0032550D"/>
    <w:rsid w:val="0034458C"/>
    <w:rsid w:val="00346FB6"/>
    <w:rsid w:val="00347115"/>
    <w:rsid w:val="0036743E"/>
    <w:rsid w:val="003744F5"/>
    <w:rsid w:val="003759DE"/>
    <w:rsid w:val="00375D56"/>
    <w:rsid w:val="00382A49"/>
    <w:rsid w:val="003908DA"/>
    <w:rsid w:val="003914E2"/>
    <w:rsid w:val="003B0BDD"/>
    <w:rsid w:val="003B1988"/>
    <w:rsid w:val="003B361D"/>
    <w:rsid w:val="003B744D"/>
    <w:rsid w:val="003E7B17"/>
    <w:rsid w:val="003F61AB"/>
    <w:rsid w:val="00407238"/>
    <w:rsid w:val="00412D92"/>
    <w:rsid w:val="00425A87"/>
    <w:rsid w:val="004302A2"/>
    <w:rsid w:val="0043661F"/>
    <w:rsid w:val="00447BD5"/>
    <w:rsid w:val="00455CC2"/>
    <w:rsid w:val="00463E0B"/>
    <w:rsid w:val="004758FE"/>
    <w:rsid w:val="00476028"/>
    <w:rsid w:val="004807B9"/>
    <w:rsid w:val="00483096"/>
    <w:rsid w:val="0049165D"/>
    <w:rsid w:val="0049673A"/>
    <w:rsid w:val="004A267C"/>
    <w:rsid w:val="004A34C9"/>
    <w:rsid w:val="004B2396"/>
    <w:rsid w:val="004C0AA3"/>
    <w:rsid w:val="004C5BB6"/>
    <w:rsid w:val="004D0C1D"/>
    <w:rsid w:val="004E4D86"/>
    <w:rsid w:val="004F22D2"/>
    <w:rsid w:val="004F72CD"/>
    <w:rsid w:val="00515912"/>
    <w:rsid w:val="005245F0"/>
    <w:rsid w:val="0054019F"/>
    <w:rsid w:val="00552C4A"/>
    <w:rsid w:val="0057713C"/>
    <w:rsid w:val="00584CF4"/>
    <w:rsid w:val="005F0503"/>
    <w:rsid w:val="005F54E7"/>
    <w:rsid w:val="00600C68"/>
    <w:rsid w:val="006010A3"/>
    <w:rsid w:val="00617970"/>
    <w:rsid w:val="00630F6A"/>
    <w:rsid w:val="00640734"/>
    <w:rsid w:val="0064498B"/>
    <w:rsid w:val="00652C2A"/>
    <w:rsid w:val="006573F1"/>
    <w:rsid w:val="00657C42"/>
    <w:rsid w:val="00664B30"/>
    <w:rsid w:val="006754E1"/>
    <w:rsid w:val="0068601E"/>
    <w:rsid w:val="0068762B"/>
    <w:rsid w:val="00691B4F"/>
    <w:rsid w:val="00697710"/>
    <w:rsid w:val="006A33E0"/>
    <w:rsid w:val="006A765B"/>
    <w:rsid w:val="006C2A87"/>
    <w:rsid w:val="006F1D5D"/>
    <w:rsid w:val="006F2353"/>
    <w:rsid w:val="006F258D"/>
    <w:rsid w:val="006F449C"/>
    <w:rsid w:val="00724073"/>
    <w:rsid w:val="00740B3B"/>
    <w:rsid w:val="00744C13"/>
    <w:rsid w:val="007457EE"/>
    <w:rsid w:val="00746099"/>
    <w:rsid w:val="00756475"/>
    <w:rsid w:val="007639D1"/>
    <w:rsid w:val="00764F21"/>
    <w:rsid w:val="00767CC1"/>
    <w:rsid w:val="007812FA"/>
    <w:rsid w:val="00786631"/>
    <w:rsid w:val="00795511"/>
    <w:rsid w:val="007A21CE"/>
    <w:rsid w:val="007B0C7B"/>
    <w:rsid w:val="007C4145"/>
    <w:rsid w:val="007C454B"/>
    <w:rsid w:val="007C7B82"/>
    <w:rsid w:val="007D35AF"/>
    <w:rsid w:val="007D389C"/>
    <w:rsid w:val="007D51FE"/>
    <w:rsid w:val="007F2B98"/>
    <w:rsid w:val="00800DCF"/>
    <w:rsid w:val="00812546"/>
    <w:rsid w:val="0083465C"/>
    <w:rsid w:val="008540BC"/>
    <w:rsid w:val="008565E8"/>
    <w:rsid w:val="00863A71"/>
    <w:rsid w:val="0087201C"/>
    <w:rsid w:val="0088468E"/>
    <w:rsid w:val="008952EF"/>
    <w:rsid w:val="008A6688"/>
    <w:rsid w:val="008B19AB"/>
    <w:rsid w:val="008C09EE"/>
    <w:rsid w:val="008D2970"/>
    <w:rsid w:val="008D3A0E"/>
    <w:rsid w:val="008D4B18"/>
    <w:rsid w:val="008E0090"/>
    <w:rsid w:val="008E1C22"/>
    <w:rsid w:val="008E74FA"/>
    <w:rsid w:val="00904889"/>
    <w:rsid w:val="009139B0"/>
    <w:rsid w:val="009176A2"/>
    <w:rsid w:val="00917EA5"/>
    <w:rsid w:val="0094017D"/>
    <w:rsid w:val="0094340D"/>
    <w:rsid w:val="00943E7A"/>
    <w:rsid w:val="00951FB7"/>
    <w:rsid w:val="009668DE"/>
    <w:rsid w:val="009816ED"/>
    <w:rsid w:val="009868E8"/>
    <w:rsid w:val="009935A2"/>
    <w:rsid w:val="00996B8D"/>
    <w:rsid w:val="0099717B"/>
    <w:rsid w:val="009A23F5"/>
    <w:rsid w:val="009A2991"/>
    <w:rsid w:val="009B1FE8"/>
    <w:rsid w:val="009B355D"/>
    <w:rsid w:val="009B7C3B"/>
    <w:rsid w:val="009C1E45"/>
    <w:rsid w:val="009D33AB"/>
    <w:rsid w:val="009D7FE6"/>
    <w:rsid w:val="009E4058"/>
    <w:rsid w:val="009E46B2"/>
    <w:rsid w:val="009E51B8"/>
    <w:rsid w:val="009E763A"/>
    <w:rsid w:val="00A01D59"/>
    <w:rsid w:val="00A12E27"/>
    <w:rsid w:val="00A2172F"/>
    <w:rsid w:val="00A226F1"/>
    <w:rsid w:val="00A33EC9"/>
    <w:rsid w:val="00A647BC"/>
    <w:rsid w:val="00A73B49"/>
    <w:rsid w:val="00A740D2"/>
    <w:rsid w:val="00A80483"/>
    <w:rsid w:val="00A82393"/>
    <w:rsid w:val="00A86616"/>
    <w:rsid w:val="00A90F48"/>
    <w:rsid w:val="00A91BF7"/>
    <w:rsid w:val="00A93066"/>
    <w:rsid w:val="00AD1855"/>
    <w:rsid w:val="00AD6931"/>
    <w:rsid w:val="00AE2E33"/>
    <w:rsid w:val="00AE671B"/>
    <w:rsid w:val="00AE6726"/>
    <w:rsid w:val="00AF42A0"/>
    <w:rsid w:val="00AF48B5"/>
    <w:rsid w:val="00AF5FF4"/>
    <w:rsid w:val="00B12AF9"/>
    <w:rsid w:val="00B207C1"/>
    <w:rsid w:val="00B23E99"/>
    <w:rsid w:val="00B31EDD"/>
    <w:rsid w:val="00B340BE"/>
    <w:rsid w:val="00B34A22"/>
    <w:rsid w:val="00B37FF1"/>
    <w:rsid w:val="00B43241"/>
    <w:rsid w:val="00B566CC"/>
    <w:rsid w:val="00B63400"/>
    <w:rsid w:val="00B666A9"/>
    <w:rsid w:val="00B6757E"/>
    <w:rsid w:val="00B70A02"/>
    <w:rsid w:val="00B83A53"/>
    <w:rsid w:val="00B84EA0"/>
    <w:rsid w:val="00B8791B"/>
    <w:rsid w:val="00B90814"/>
    <w:rsid w:val="00BA661D"/>
    <w:rsid w:val="00BA7120"/>
    <w:rsid w:val="00BA714D"/>
    <w:rsid w:val="00BA7874"/>
    <w:rsid w:val="00BB0931"/>
    <w:rsid w:val="00BB332B"/>
    <w:rsid w:val="00BC5746"/>
    <w:rsid w:val="00BD1BB2"/>
    <w:rsid w:val="00BD6D25"/>
    <w:rsid w:val="00BE32E5"/>
    <w:rsid w:val="00BE6C5B"/>
    <w:rsid w:val="00C0152A"/>
    <w:rsid w:val="00C03C81"/>
    <w:rsid w:val="00C103BD"/>
    <w:rsid w:val="00C12539"/>
    <w:rsid w:val="00C22DD4"/>
    <w:rsid w:val="00C25D55"/>
    <w:rsid w:val="00C40A9E"/>
    <w:rsid w:val="00C600E2"/>
    <w:rsid w:val="00C71BE4"/>
    <w:rsid w:val="00C72180"/>
    <w:rsid w:val="00C8537E"/>
    <w:rsid w:val="00C87EC6"/>
    <w:rsid w:val="00C927FB"/>
    <w:rsid w:val="00C92EEB"/>
    <w:rsid w:val="00C93ACE"/>
    <w:rsid w:val="00C94667"/>
    <w:rsid w:val="00C94A3C"/>
    <w:rsid w:val="00C956AA"/>
    <w:rsid w:val="00C95E32"/>
    <w:rsid w:val="00CA4A30"/>
    <w:rsid w:val="00CA6905"/>
    <w:rsid w:val="00CA6B43"/>
    <w:rsid w:val="00CB25B1"/>
    <w:rsid w:val="00CC27B9"/>
    <w:rsid w:val="00CD66F8"/>
    <w:rsid w:val="00CF4047"/>
    <w:rsid w:val="00CF7B85"/>
    <w:rsid w:val="00D02562"/>
    <w:rsid w:val="00D21212"/>
    <w:rsid w:val="00D217A7"/>
    <w:rsid w:val="00D227A0"/>
    <w:rsid w:val="00D3345B"/>
    <w:rsid w:val="00D41104"/>
    <w:rsid w:val="00D53550"/>
    <w:rsid w:val="00D672DD"/>
    <w:rsid w:val="00D74B73"/>
    <w:rsid w:val="00D8080E"/>
    <w:rsid w:val="00D83FD2"/>
    <w:rsid w:val="00D860CB"/>
    <w:rsid w:val="00D9657D"/>
    <w:rsid w:val="00D9745D"/>
    <w:rsid w:val="00DB10D6"/>
    <w:rsid w:val="00DB505C"/>
    <w:rsid w:val="00DC2628"/>
    <w:rsid w:val="00DC4743"/>
    <w:rsid w:val="00DC73D3"/>
    <w:rsid w:val="00DD56DD"/>
    <w:rsid w:val="00DE2EA9"/>
    <w:rsid w:val="00DE6D47"/>
    <w:rsid w:val="00DF5477"/>
    <w:rsid w:val="00E0218B"/>
    <w:rsid w:val="00E1349D"/>
    <w:rsid w:val="00E177C9"/>
    <w:rsid w:val="00E22940"/>
    <w:rsid w:val="00E30B92"/>
    <w:rsid w:val="00E46B50"/>
    <w:rsid w:val="00E555DF"/>
    <w:rsid w:val="00E55E55"/>
    <w:rsid w:val="00E6133A"/>
    <w:rsid w:val="00E619B7"/>
    <w:rsid w:val="00E65896"/>
    <w:rsid w:val="00E927AF"/>
    <w:rsid w:val="00EA07AE"/>
    <w:rsid w:val="00EB522B"/>
    <w:rsid w:val="00EC2D5E"/>
    <w:rsid w:val="00EC33E0"/>
    <w:rsid w:val="00EC39D3"/>
    <w:rsid w:val="00ED63F6"/>
    <w:rsid w:val="00ED6CBF"/>
    <w:rsid w:val="00EE06F9"/>
    <w:rsid w:val="00EE6DD5"/>
    <w:rsid w:val="00EF69B5"/>
    <w:rsid w:val="00F16633"/>
    <w:rsid w:val="00F27DF5"/>
    <w:rsid w:val="00F36BBA"/>
    <w:rsid w:val="00F63CC3"/>
    <w:rsid w:val="00F700F8"/>
    <w:rsid w:val="00F751E4"/>
    <w:rsid w:val="00F878E7"/>
    <w:rsid w:val="00F93FD8"/>
    <w:rsid w:val="00FA045E"/>
    <w:rsid w:val="00FA10F7"/>
    <w:rsid w:val="00FA2858"/>
    <w:rsid w:val="00FA5E08"/>
    <w:rsid w:val="00FA79A1"/>
    <w:rsid w:val="00FC3B85"/>
    <w:rsid w:val="00FD0FBA"/>
    <w:rsid w:val="00FD3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32C44F"/>
  <w15:docId w15:val="{97F500D1-DB6D-4107-BCEB-BF7CB487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74FD"/>
    <w:pPr>
      <w:spacing w:after="18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7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13C"/>
    <w:rPr>
      <w:rFonts w:ascii="Tahoma" w:hAnsi="Tahoma" w:cs="Tahoma"/>
      <w:sz w:val="16"/>
      <w:szCs w:val="16"/>
    </w:rPr>
  </w:style>
  <w:style w:type="paragraph" w:styleId="Header">
    <w:name w:val="header"/>
    <w:basedOn w:val="Normal"/>
    <w:link w:val="HeaderChar"/>
    <w:uiPriority w:val="99"/>
    <w:unhideWhenUsed/>
    <w:rsid w:val="006F2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353"/>
  </w:style>
  <w:style w:type="paragraph" w:styleId="Footer">
    <w:name w:val="footer"/>
    <w:basedOn w:val="Normal"/>
    <w:link w:val="FooterChar"/>
    <w:uiPriority w:val="99"/>
    <w:unhideWhenUsed/>
    <w:rsid w:val="006F2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353"/>
  </w:style>
  <w:style w:type="paragraph" w:customStyle="1" w:styleId="Default">
    <w:name w:val="Default"/>
    <w:rsid w:val="004F72C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9673A"/>
    <w:rPr>
      <w:sz w:val="16"/>
      <w:szCs w:val="16"/>
    </w:rPr>
  </w:style>
  <w:style w:type="paragraph" w:styleId="CommentText">
    <w:name w:val="annotation text"/>
    <w:basedOn w:val="Normal"/>
    <w:link w:val="CommentTextChar"/>
    <w:uiPriority w:val="99"/>
    <w:semiHidden/>
    <w:unhideWhenUsed/>
    <w:rsid w:val="0049673A"/>
    <w:pPr>
      <w:spacing w:line="240" w:lineRule="auto"/>
    </w:pPr>
    <w:rPr>
      <w:sz w:val="20"/>
      <w:szCs w:val="20"/>
    </w:rPr>
  </w:style>
  <w:style w:type="character" w:customStyle="1" w:styleId="CommentTextChar">
    <w:name w:val="Comment Text Char"/>
    <w:basedOn w:val="DefaultParagraphFont"/>
    <w:link w:val="CommentText"/>
    <w:uiPriority w:val="99"/>
    <w:semiHidden/>
    <w:rsid w:val="0049673A"/>
    <w:rPr>
      <w:sz w:val="20"/>
      <w:szCs w:val="20"/>
    </w:rPr>
  </w:style>
  <w:style w:type="paragraph" w:styleId="CommentSubject">
    <w:name w:val="annotation subject"/>
    <w:basedOn w:val="CommentText"/>
    <w:next w:val="CommentText"/>
    <w:link w:val="CommentSubjectChar"/>
    <w:uiPriority w:val="99"/>
    <w:semiHidden/>
    <w:unhideWhenUsed/>
    <w:rsid w:val="0049673A"/>
    <w:rPr>
      <w:b/>
      <w:bCs/>
    </w:rPr>
  </w:style>
  <w:style w:type="character" w:customStyle="1" w:styleId="CommentSubjectChar">
    <w:name w:val="Comment Subject Char"/>
    <w:basedOn w:val="CommentTextChar"/>
    <w:link w:val="CommentSubject"/>
    <w:uiPriority w:val="99"/>
    <w:semiHidden/>
    <w:rsid w:val="0049673A"/>
    <w:rPr>
      <w:b/>
      <w:bCs/>
      <w:sz w:val="20"/>
      <w:szCs w:val="20"/>
    </w:rPr>
  </w:style>
  <w:style w:type="character" w:styleId="Hyperlink">
    <w:name w:val="Hyperlink"/>
    <w:basedOn w:val="DefaultParagraphFont"/>
    <w:uiPriority w:val="99"/>
    <w:unhideWhenUsed/>
    <w:rsid w:val="008952EF"/>
    <w:rPr>
      <w:color w:val="0000FF" w:themeColor="hyperlink"/>
      <w:u w:val="single"/>
    </w:rPr>
  </w:style>
  <w:style w:type="character" w:styleId="FollowedHyperlink">
    <w:name w:val="FollowedHyperlink"/>
    <w:basedOn w:val="DefaultParagraphFont"/>
    <w:uiPriority w:val="99"/>
    <w:semiHidden/>
    <w:unhideWhenUsed/>
    <w:rsid w:val="008846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87640">
      <w:bodyDiv w:val="1"/>
      <w:marLeft w:val="0"/>
      <w:marRight w:val="0"/>
      <w:marTop w:val="0"/>
      <w:marBottom w:val="0"/>
      <w:divBdr>
        <w:top w:val="none" w:sz="0" w:space="0" w:color="auto"/>
        <w:left w:val="none" w:sz="0" w:space="0" w:color="auto"/>
        <w:bottom w:val="none" w:sz="0" w:space="0" w:color="auto"/>
        <w:right w:val="none" w:sz="0" w:space="0" w:color="auto"/>
      </w:divBdr>
    </w:div>
    <w:div w:id="416563218">
      <w:bodyDiv w:val="1"/>
      <w:marLeft w:val="0"/>
      <w:marRight w:val="0"/>
      <w:marTop w:val="0"/>
      <w:marBottom w:val="0"/>
      <w:divBdr>
        <w:top w:val="none" w:sz="0" w:space="0" w:color="auto"/>
        <w:left w:val="none" w:sz="0" w:space="0" w:color="auto"/>
        <w:bottom w:val="none" w:sz="0" w:space="0" w:color="auto"/>
        <w:right w:val="none" w:sz="0" w:space="0" w:color="auto"/>
      </w:divBdr>
    </w:div>
    <w:div w:id="506753609">
      <w:bodyDiv w:val="1"/>
      <w:marLeft w:val="450"/>
      <w:marRight w:val="450"/>
      <w:marTop w:val="450"/>
      <w:marBottom w:val="450"/>
      <w:divBdr>
        <w:top w:val="none" w:sz="0" w:space="0" w:color="auto"/>
        <w:left w:val="none" w:sz="0" w:space="0" w:color="auto"/>
        <w:bottom w:val="none" w:sz="0" w:space="0" w:color="auto"/>
        <w:right w:val="none" w:sz="0" w:space="0" w:color="auto"/>
      </w:divBdr>
      <w:divsChild>
        <w:div w:id="733745824">
          <w:marLeft w:val="0"/>
          <w:marRight w:val="0"/>
          <w:marTop w:val="0"/>
          <w:marBottom w:val="0"/>
          <w:divBdr>
            <w:top w:val="none" w:sz="0" w:space="0" w:color="auto"/>
            <w:left w:val="none" w:sz="0" w:space="0" w:color="auto"/>
            <w:bottom w:val="none" w:sz="0" w:space="0" w:color="auto"/>
            <w:right w:val="none" w:sz="0" w:space="0" w:color="auto"/>
          </w:divBdr>
          <w:divsChild>
            <w:div w:id="1701080840">
              <w:marLeft w:val="0"/>
              <w:marRight w:val="0"/>
              <w:marTop w:val="375"/>
              <w:marBottom w:val="165"/>
              <w:divBdr>
                <w:top w:val="none" w:sz="0" w:space="0" w:color="auto"/>
                <w:left w:val="none" w:sz="0" w:space="0" w:color="auto"/>
                <w:bottom w:val="dotted" w:sz="6" w:space="0" w:color="AFAFAF"/>
                <w:right w:val="none" w:sz="0" w:space="0" w:color="auto"/>
              </w:divBdr>
              <w:divsChild>
                <w:div w:id="1787967211">
                  <w:marLeft w:val="0"/>
                  <w:marRight w:val="0"/>
                  <w:marTop w:val="225"/>
                  <w:marBottom w:val="0"/>
                  <w:divBdr>
                    <w:top w:val="dotted" w:sz="6" w:space="29" w:color="AFAFAF"/>
                    <w:left w:val="none" w:sz="0" w:space="0" w:color="auto"/>
                    <w:bottom w:val="none" w:sz="0" w:space="0" w:color="auto"/>
                    <w:right w:val="none" w:sz="0" w:space="0" w:color="auto"/>
                  </w:divBdr>
                </w:div>
              </w:divsChild>
            </w:div>
          </w:divsChild>
        </w:div>
      </w:divsChild>
    </w:div>
    <w:div w:id="611012853">
      <w:bodyDiv w:val="1"/>
      <w:marLeft w:val="0"/>
      <w:marRight w:val="0"/>
      <w:marTop w:val="0"/>
      <w:marBottom w:val="0"/>
      <w:divBdr>
        <w:top w:val="none" w:sz="0" w:space="0" w:color="auto"/>
        <w:left w:val="none" w:sz="0" w:space="0" w:color="auto"/>
        <w:bottom w:val="none" w:sz="0" w:space="0" w:color="auto"/>
        <w:right w:val="none" w:sz="0" w:space="0" w:color="auto"/>
      </w:divBdr>
    </w:div>
    <w:div w:id="782845850">
      <w:bodyDiv w:val="1"/>
      <w:marLeft w:val="0"/>
      <w:marRight w:val="0"/>
      <w:marTop w:val="0"/>
      <w:marBottom w:val="0"/>
      <w:divBdr>
        <w:top w:val="none" w:sz="0" w:space="0" w:color="auto"/>
        <w:left w:val="none" w:sz="0" w:space="0" w:color="auto"/>
        <w:bottom w:val="none" w:sz="0" w:space="0" w:color="auto"/>
        <w:right w:val="none" w:sz="0" w:space="0" w:color="auto"/>
      </w:divBdr>
    </w:div>
    <w:div w:id="849216151">
      <w:bodyDiv w:val="1"/>
      <w:marLeft w:val="0"/>
      <w:marRight w:val="0"/>
      <w:marTop w:val="0"/>
      <w:marBottom w:val="0"/>
      <w:divBdr>
        <w:top w:val="none" w:sz="0" w:space="0" w:color="auto"/>
        <w:left w:val="none" w:sz="0" w:space="0" w:color="auto"/>
        <w:bottom w:val="none" w:sz="0" w:space="0" w:color="auto"/>
        <w:right w:val="none" w:sz="0" w:space="0" w:color="auto"/>
      </w:divBdr>
    </w:div>
    <w:div w:id="1120610377">
      <w:bodyDiv w:val="1"/>
      <w:marLeft w:val="0"/>
      <w:marRight w:val="0"/>
      <w:marTop w:val="0"/>
      <w:marBottom w:val="0"/>
      <w:divBdr>
        <w:top w:val="none" w:sz="0" w:space="0" w:color="auto"/>
        <w:left w:val="none" w:sz="0" w:space="0" w:color="auto"/>
        <w:bottom w:val="none" w:sz="0" w:space="0" w:color="auto"/>
        <w:right w:val="none" w:sz="0" w:space="0" w:color="auto"/>
      </w:divBdr>
    </w:div>
    <w:div w:id="1181315372">
      <w:bodyDiv w:val="1"/>
      <w:marLeft w:val="0"/>
      <w:marRight w:val="0"/>
      <w:marTop w:val="0"/>
      <w:marBottom w:val="0"/>
      <w:divBdr>
        <w:top w:val="none" w:sz="0" w:space="0" w:color="auto"/>
        <w:left w:val="none" w:sz="0" w:space="0" w:color="auto"/>
        <w:bottom w:val="none" w:sz="0" w:space="0" w:color="auto"/>
        <w:right w:val="none" w:sz="0" w:space="0" w:color="auto"/>
      </w:divBdr>
    </w:div>
    <w:div w:id="1611161164">
      <w:bodyDiv w:val="1"/>
      <w:marLeft w:val="0"/>
      <w:marRight w:val="0"/>
      <w:marTop w:val="0"/>
      <w:marBottom w:val="0"/>
      <w:divBdr>
        <w:top w:val="none" w:sz="0" w:space="0" w:color="auto"/>
        <w:left w:val="none" w:sz="0" w:space="0" w:color="auto"/>
        <w:bottom w:val="none" w:sz="0" w:space="0" w:color="auto"/>
        <w:right w:val="none" w:sz="0" w:space="0" w:color="auto"/>
      </w:divBdr>
    </w:div>
    <w:div w:id="177589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D392E-9453-424A-A37A-E36FA65FB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J. Coates</dc:creator>
  <cp:lastModifiedBy>Steinberg, Shari (CDC/OD/OADS)</cp:lastModifiedBy>
  <cp:revision>2</cp:revision>
  <cp:lastPrinted>2016-05-05T20:25:00Z</cp:lastPrinted>
  <dcterms:created xsi:type="dcterms:W3CDTF">2016-05-11T12:43:00Z</dcterms:created>
  <dcterms:modified xsi:type="dcterms:W3CDTF">2016-05-11T12:43:00Z</dcterms:modified>
</cp:coreProperties>
</file>