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87540" w:rsidRDefault="00487540" w:rsidP="00B33010">
      <w:pPr>
        <w:jc w:val="center"/>
      </w:pPr>
      <w:r w:rsidRPr="002A5187">
        <w:rPr>
          <w:b/>
          <w:bCs/>
          <w:noProof/>
        </w:rPr>
        <mc:AlternateContent>
          <mc:Choice Requires="wps">
            <w:drawing>
              <wp:anchor distT="0" distB="0" distL="114300" distR="114300" simplePos="0" relativeHeight="251659264" behindDoc="0" locked="0" layoutInCell="1" allowOverlap="1" wp14:anchorId="459AE2E4" wp14:editId="61FF106E">
                <wp:simplePos x="0" y="0"/>
                <wp:positionH relativeFrom="column">
                  <wp:posOffset>2057400</wp:posOffset>
                </wp:positionH>
                <wp:positionV relativeFrom="paragraph">
                  <wp:posOffset>-438150</wp:posOffset>
                </wp:positionV>
                <wp:extent cx="1438275" cy="723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23900"/>
                        </a:xfrm>
                        <a:prstGeom prst="rect">
                          <a:avLst/>
                        </a:prstGeom>
                        <a:solidFill>
                          <a:srgbClr val="FFFFFF"/>
                        </a:solidFill>
                        <a:ln w="9525">
                          <a:noFill/>
                          <a:miter lim="800000"/>
                          <a:headEnd/>
                          <a:tailEnd/>
                        </a:ln>
                      </wps:spPr>
                      <wps:txbx>
                        <w:txbxContent>
                          <w:p w:rsidR="009D05E7" w:rsidRDefault="00487540" w:rsidP="00487540">
                            <w:pPr>
                              <w:rPr>
                                <w:sz w:val="16"/>
                                <w:szCs w:val="16"/>
                              </w:rPr>
                            </w:pPr>
                            <w:r>
                              <w:rPr>
                                <w:sz w:val="16"/>
                                <w:szCs w:val="16"/>
                              </w:rPr>
                              <w:t>OMB Control 0920-0824</w:t>
                            </w:r>
                          </w:p>
                          <w:p w:rsidR="00487540" w:rsidRPr="002A5187" w:rsidRDefault="00A04047" w:rsidP="00487540">
                            <w:pPr>
                              <w:rPr>
                                <w:sz w:val="16"/>
                                <w:szCs w:val="16"/>
                              </w:rPr>
                            </w:pPr>
                            <w:r>
                              <w:rPr>
                                <w:sz w:val="16"/>
                                <w:szCs w:val="16"/>
                              </w:rPr>
                              <w:t xml:space="preserve">Exp. </w:t>
                            </w:r>
                            <w:r w:rsidR="001D767F">
                              <w:rPr>
                                <w:sz w:val="16"/>
                                <w:szCs w:val="16"/>
                              </w:rPr>
                              <w:t xml:space="preserve">Date </w:t>
                            </w:r>
                            <w:r w:rsidR="00487540">
                              <w:rPr>
                                <w:sz w:val="16"/>
                                <w:szCs w:val="16"/>
                              </w:rPr>
                              <w:t>XX/XX/</w:t>
                            </w:r>
                            <w:r w:rsidR="00427D52">
                              <w:rPr>
                                <w:sz w:val="16"/>
                                <w:szCs w:val="16"/>
                              </w:rPr>
                              <w:t>20</w:t>
                            </w:r>
                            <w:r w:rsidR="00487540">
                              <w:rPr>
                                <w:sz w:val="16"/>
                                <w:szCs w:val="16"/>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AE2E4" id="_x0000_t202" coordsize="21600,21600" o:spt="202" path="m,l,21600r21600,l21600,xe">
                <v:stroke joinstyle="miter"/>
                <v:path gradientshapeok="t" o:connecttype="rect"/>
              </v:shapetype>
              <v:shape id="Text Box 2" o:spid="_x0000_s1026" type="#_x0000_t202" style="position:absolute;left:0;text-align:left;margin-left:162pt;margin-top:-34.5pt;width:113.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" stroked="f">
                <v:textbox>
                  <w:txbxContent>
                    <w:p w:rsidR="009D05E7" w:rsidRDefault="00487540" w:rsidP="00487540">
                      <w:pPr>
                        <w:rPr>
                          <w:sz w:val="16"/>
                          <w:szCs w:val="16"/>
                        </w:rPr>
                      </w:pPr>
                      <w:r>
                        <w:rPr>
                          <w:sz w:val="16"/>
                          <w:szCs w:val="16"/>
                        </w:rPr>
                        <w:t>OMB Control 0920-0824</w:t>
                      </w:r>
                    </w:p>
                    <w:p w:rsidR="00487540" w:rsidRPr="002A5187" w:rsidRDefault="00A04047" w:rsidP="00487540">
                      <w:pPr>
                        <w:rPr>
                          <w:sz w:val="16"/>
                          <w:szCs w:val="16"/>
                        </w:rPr>
                      </w:pPr>
                      <w:r>
                        <w:rPr>
                          <w:sz w:val="16"/>
                          <w:szCs w:val="16"/>
                        </w:rPr>
                        <w:t xml:space="preserve">Exp. </w:t>
                      </w:r>
                      <w:r w:rsidR="001D767F">
                        <w:rPr>
                          <w:sz w:val="16"/>
                          <w:szCs w:val="16"/>
                        </w:rPr>
                        <w:t xml:space="preserve">Date </w:t>
                      </w:r>
                      <w:bookmarkStart w:id="1" w:name="_GoBack"/>
                      <w:bookmarkEnd w:id="1"/>
                      <w:r w:rsidR="00487540">
                        <w:rPr>
                          <w:sz w:val="16"/>
                          <w:szCs w:val="16"/>
                        </w:rPr>
                        <w:t>XX/XX/</w:t>
                      </w:r>
                      <w:r w:rsidR="00427D52">
                        <w:rPr>
                          <w:sz w:val="16"/>
                          <w:szCs w:val="16"/>
                        </w:rPr>
                        <w:t>20</w:t>
                      </w:r>
                      <w:r w:rsidR="00487540">
                        <w:rPr>
                          <w:sz w:val="16"/>
                          <w:szCs w:val="16"/>
                        </w:rPr>
                        <w:t>XX</w:t>
                      </w:r>
                    </w:p>
                  </w:txbxContent>
                </v:textbox>
              </v:shape>
            </w:pict>
          </mc:Fallback>
        </mc:AlternateContent>
      </w:r>
    </w:p>
    <w:p w:rsidR="00487540" w:rsidRDefault="00487540" w:rsidP="00B33010">
      <w:pPr>
        <w:jc w:val="center"/>
      </w:pPr>
    </w:p>
    <w:p w:rsidR="003637E6" w:rsidRDefault="00B33010" w:rsidP="00B33010">
      <w:pPr>
        <w:jc w:val="center"/>
      </w:pPr>
      <w:r>
        <w:t>BioSense Recruitment Pro</w:t>
      </w:r>
      <w:r w:rsidR="00487540">
        <w:t>cess</w:t>
      </w:r>
    </w:p>
    <w:p w:rsidR="00B33010" w:rsidRDefault="00B33010"/>
    <w:p w:rsidR="00B33010" w:rsidRDefault="00B33010">
      <w:r>
        <w:t xml:space="preserve">When a state, local, or territorial </w:t>
      </w:r>
      <w:r w:rsidR="00580785">
        <w:t xml:space="preserve">public </w:t>
      </w:r>
      <w:r>
        <w:t>health department contacts CDC and expresses an interest in joining BioSense, CDC ask</w:t>
      </w:r>
      <w:r w:rsidR="006C3624">
        <w:t>s</w:t>
      </w:r>
      <w:r>
        <w:t xml:space="preserve"> them to </w:t>
      </w:r>
      <w:r w:rsidRPr="00B33010">
        <w:t xml:space="preserve">forward their request to the Association of State and Territorial Health Officials (ASTHO). ASTHO has established procedures for bringing them onboard, including signing a Data Use Agreement (DUA). Once </w:t>
      </w:r>
      <w:r w:rsidR="006A6560">
        <w:t>the</w:t>
      </w:r>
      <w:r w:rsidRPr="00B33010">
        <w:t xml:space="preserve"> </w:t>
      </w:r>
      <w:r w:rsidR="00580785">
        <w:t>health department</w:t>
      </w:r>
      <w:r w:rsidRPr="00B33010">
        <w:t xml:space="preserve"> has signed their DUA, CDC provides contractor support (currently ICF International) </w:t>
      </w:r>
      <w:r w:rsidR="00580785">
        <w:t>to help the health department</w:t>
      </w:r>
      <w:r w:rsidRPr="00B33010">
        <w:t xml:space="preserve"> recruit individual hospitals and establish the technical connections that enable the hospitals to send data to the BioSense </w:t>
      </w:r>
      <w:r>
        <w:t xml:space="preserve">Platform </w:t>
      </w:r>
      <w:r w:rsidRPr="00B33010">
        <w:t xml:space="preserve">on behalf of the </w:t>
      </w:r>
      <w:r w:rsidR="00580785">
        <w:t>health department</w:t>
      </w:r>
      <w:r w:rsidRPr="00B33010">
        <w:t>.</w:t>
      </w:r>
    </w:p>
    <w:p w:rsidR="00487540" w:rsidRDefault="00487540"/>
    <w:p w:rsidR="00487540" w:rsidRDefault="00487540"/>
    <w:p w:rsidR="00487540" w:rsidRDefault="00487540"/>
    <w:p w:rsidR="00487540" w:rsidRDefault="00487540"/>
    <w:p w:rsidR="00487540" w:rsidRDefault="00487540"/>
    <w:p w:rsidR="00487540" w:rsidRDefault="00487540"/>
    <w:p w:rsidR="00487540" w:rsidRDefault="00487540">
      <w:pPr>
        <w:rPr>
          <w:sz w:val="16"/>
          <w:szCs w:val="16"/>
        </w:rPr>
      </w:pPr>
    </w:p>
    <w:p w:rsidR="00487540" w:rsidRDefault="00487540">
      <w:pPr>
        <w:rPr>
          <w:sz w:val="16"/>
          <w:szCs w:val="16"/>
        </w:rPr>
      </w:pPr>
    </w:p>
    <w:p w:rsidR="00487540" w:rsidRDefault="00487540">
      <w:pPr>
        <w:rPr>
          <w:sz w:val="16"/>
          <w:szCs w:val="16"/>
        </w:rPr>
      </w:pPr>
    </w:p>
    <w:p w:rsidR="00487540" w:rsidRDefault="00487540">
      <w:pPr>
        <w:rPr>
          <w:sz w:val="16"/>
          <w:szCs w:val="16"/>
        </w:rPr>
      </w:pPr>
    </w:p>
    <w:p w:rsidR="00487540" w:rsidRDefault="00487540">
      <w:pPr>
        <w:rPr>
          <w:sz w:val="16"/>
          <w:szCs w:val="16"/>
        </w:rPr>
      </w:pPr>
    </w:p>
    <w:p w:rsidR="00487540" w:rsidRDefault="00487540">
      <w:pPr>
        <w:rPr>
          <w:sz w:val="16"/>
          <w:szCs w:val="16"/>
        </w:rPr>
      </w:pPr>
    </w:p>
    <w:p w:rsidR="00487540" w:rsidRDefault="00487540">
      <w:pPr>
        <w:rPr>
          <w:sz w:val="16"/>
          <w:szCs w:val="16"/>
        </w:rPr>
      </w:pPr>
    </w:p>
    <w:p w:rsidR="00487540" w:rsidRPr="00487540" w:rsidRDefault="00487540">
      <w:pPr>
        <w:rPr>
          <w:sz w:val="16"/>
          <w:szCs w:val="16"/>
        </w:rPr>
      </w:pPr>
      <w:r w:rsidRPr="00487540">
        <w:rPr>
          <w:sz w:val="16"/>
          <w:szCs w:val="16"/>
        </w:rPr>
        <w:t xml:space="preserve">Public reporting burden of this collection of information is estimated to average </w:t>
      </w:r>
      <w:r>
        <w:rPr>
          <w:sz w:val="16"/>
          <w:szCs w:val="16"/>
        </w:rPr>
        <w:t>1 hour</w:t>
      </w:r>
      <w:r w:rsidRPr="00487540">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w:t>
      </w:r>
      <w:r>
        <w:rPr>
          <w:sz w:val="16"/>
          <w:szCs w:val="16"/>
        </w:rPr>
        <w:t>4</w:t>
      </w:r>
    </w:p>
    <w:p w:rsidR="00487540" w:rsidRDefault="00487540"/>
    <w:sectPr w:rsidR="0048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10"/>
    <w:rsid w:val="001D767F"/>
    <w:rsid w:val="003637E6"/>
    <w:rsid w:val="00427D52"/>
    <w:rsid w:val="00487540"/>
    <w:rsid w:val="00544202"/>
    <w:rsid w:val="00580785"/>
    <w:rsid w:val="006A6560"/>
    <w:rsid w:val="006C3624"/>
    <w:rsid w:val="009D05E7"/>
    <w:rsid w:val="00A04047"/>
    <w:rsid w:val="00B3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44502-5E1B-4594-880F-A9FB0614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Gadsden-Knowles, Kim (CDC/OPHSS/CSELS)</dc:creator>
  <cp:keywords/>
  <dc:description/>
  <cp:lastModifiedBy>Steinberg, Shari (CDC/OD/OADS)</cp:lastModifiedBy>
  <cp:revision>2</cp:revision>
  <cp:lastPrinted>2015-10-29T18:22:00Z</cp:lastPrinted>
  <dcterms:created xsi:type="dcterms:W3CDTF">2015-10-29T18:49:00Z</dcterms:created>
  <dcterms:modified xsi:type="dcterms:W3CDTF">2015-10-29T18:49:00Z</dcterms:modified>
</cp:coreProperties>
</file>