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95402" w14:textId="77777777" w:rsidR="00B02DDC" w:rsidRDefault="00634890" w:rsidP="00B02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</w:t>
      </w:r>
      <w:r w:rsidR="00577CA2">
        <w:rPr>
          <w:rFonts w:ascii="Times New Roman" w:hAnsi="Times New Roman" w:cs="Times New Roman"/>
          <w:sz w:val="24"/>
          <w:szCs w:val="24"/>
        </w:rPr>
        <w:t>A</w:t>
      </w:r>
    </w:p>
    <w:p w14:paraId="6D25F4FC" w14:textId="0C035012" w:rsidR="0067436F" w:rsidRPr="0067436F" w:rsidRDefault="0067436F" w:rsidP="0067436F">
      <w:pPr>
        <w:pStyle w:val="TableCaption"/>
      </w:pPr>
      <w:r w:rsidRPr="0067436F">
        <w:t>Table A. Measures Continued, Added, or Removed in FY 2016 IPPS/LTCH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2832"/>
        <w:gridCol w:w="2265"/>
        <w:gridCol w:w="2265"/>
      </w:tblGrid>
      <w:tr w:rsidR="00C010D7" w:rsidRPr="001B73E9" w14:paraId="2D85F837" w14:textId="77777777" w:rsidTr="0067436F">
        <w:trPr>
          <w:cantSplit/>
          <w:trHeight w:val="77"/>
          <w:tblHeader/>
          <w:jc w:val="center"/>
        </w:trPr>
        <w:tc>
          <w:tcPr>
            <w:tcW w:w="1063" w:type="pct"/>
            <w:shd w:val="clear" w:color="auto" w:fill="95B3D7" w:themeFill="accent1" w:themeFillTint="99"/>
          </w:tcPr>
          <w:p w14:paraId="7EC33B8D" w14:textId="77777777" w:rsidR="00C010D7" w:rsidRPr="001B73E9" w:rsidRDefault="00C010D7" w:rsidP="0067436F">
            <w:pPr>
              <w:pStyle w:val="TableColumnHeading"/>
            </w:pPr>
            <w:r w:rsidRPr="001B73E9">
              <w:t>Measure Domain</w:t>
            </w:r>
          </w:p>
        </w:tc>
        <w:tc>
          <w:tcPr>
            <w:tcW w:w="1067" w:type="pct"/>
            <w:shd w:val="clear" w:color="auto" w:fill="95B3D7" w:themeFill="accent1" w:themeFillTint="99"/>
            <w:noWrap/>
            <w:vAlign w:val="center"/>
          </w:tcPr>
          <w:p w14:paraId="3350593B" w14:textId="50175E7A" w:rsidR="00C010D7" w:rsidRPr="001B73E9" w:rsidRDefault="00C010D7" w:rsidP="0067436F">
            <w:pPr>
              <w:pStyle w:val="TableColumnHeading"/>
            </w:pPr>
            <w:r w:rsidRPr="001B73E9">
              <w:t>NQF Endorsement</w:t>
            </w:r>
            <w:r w:rsidR="0067436F">
              <w:t xml:space="preserve"> </w:t>
            </w:r>
            <w:r w:rsidRPr="001B73E9">
              <w:t>Number</w:t>
            </w:r>
          </w:p>
        </w:tc>
        <w:tc>
          <w:tcPr>
            <w:tcW w:w="1435" w:type="pct"/>
            <w:shd w:val="clear" w:color="auto" w:fill="95B3D7" w:themeFill="accent1" w:themeFillTint="99"/>
            <w:vAlign w:val="center"/>
          </w:tcPr>
          <w:p w14:paraId="2C7BEBF9" w14:textId="77777777" w:rsidR="00C010D7" w:rsidRPr="001B73E9" w:rsidRDefault="00C010D7" w:rsidP="0067436F">
            <w:pPr>
              <w:pStyle w:val="TableColumnHeading"/>
            </w:pPr>
            <w:r w:rsidRPr="001B73E9">
              <w:t>Measure Name</w:t>
            </w:r>
          </w:p>
        </w:tc>
        <w:tc>
          <w:tcPr>
            <w:tcW w:w="1435" w:type="pct"/>
            <w:shd w:val="clear" w:color="auto" w:fill="95B3D7" w:themeFill="accent1" w:themeFillTint="99"/>
          </w:tcPr>
          <w:p w14:paraId="29188A7F" w14:textId="77777777" w:rsidR="00C010D7" w:rsidRPr="001B73E9" w:rsidRDefault="00C010D7" w:rsidP="0067436F">
            <w:pPr>
              <w:pStyle w:val="TableColumnHeading"/>
            </w:pPr>
            <w:r>
              <w:t>FY 2016 IPPS/LTCH Rule Status</w:t>
            </w:r>
          </w:p>
        </w:tc>
      </w:tr>
      <w:tr w:rsidR="00BD07F3" w:rsidRPr="001B73E9" w14:paraId="348E3324" w14:textId="77777777" w:rsidTr="0067436F">
        <w:trPr>
          <w:trHeight w:val="548"/>
          <w:jc w:val="center"/>
        </w:trPr>
        <w:tc>
          <w:tcPr>
            <w:tcW w:w="1063" w:type="pct"/>
            <w:vMerge w:val="restart"/>
            <w:shd w:val="clear" w:color="auto" w:fill="auto"/>
            <w:vAlign w:val="center"/>
          </w:tcPr>
          <w:p w14:paraId="079013CD" w14:textId="77777777" w:rsidR="00BD07F3" w:rsidRPr="001B73E9" w:rsidRDefault="00BD07F3" w:rsidP="0067436F">
            <w:pPr>
              <w:pStyle w:val="TableText"/>
            </w:pPr>
            <w:r>
              <w:t>Patient Safety</w:t>
            </w:r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14:paraId="3D544D54" w14:textId="77777777" w:rsidR="00BD07F3" w:rsidRPr="001B73E9" w:rsidRDefault="00BD07F3" w:rsidP="0067436F">
            <w:pPr>
              <w:pStyle w:val="TableText"/>
            </w:pPr>
            <w:r>
              <w:t>0139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14:paraId="66276FA6" w14:textId="77777777" w:rsidR="00BD07F3" w:rsidRPr="001B73E9" w:rsidRDefault="00BD07F3" w:rsidP="0067436F">
            <w:pPr>
              <w:pStyle w:val="TableText"/>
            </w:pPr>
            <w:r>
              <w:t>Central Line-Associated Bloodstream Infection (CLABSI)</w:t>
            </w:r>
          </w:p>
        </w:tc>
        <w:tc>
          <w:tcPr>
            <w:tcW w:w="1435" w:type="pct"/>
            <w:vAlign w:val="center"/>
          </w:tcPr>
          <w:p w14:paraId="11F30EDF" w14:textId="77777777" w:rsidR="00BD07F3" w:rsidRDefault="00BD07F3" w:rsidP="0067436F">
            <w:pPr>
              <w:pStyle w:val="TableText"/>
            </w:pPr>
            <w:r>
              <w:t>Continue in Program</w:t>
            </w:r>
          </w:p>
        </w:tc>
      </w:tr>
      <w:tr w:rsidR="00BD07F3" w:rsidRPr="001B73E9" w14:paraId="46596427" w14:textId="77777777" w:rsidTr="0067436F">
        <w:trPr>
          <w:trHeight w:val="77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4E4CB369" w14:textId="77777777" w:rsidR="00BD07F3" w:rsidRDefault="00BD07F3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6F8B99FC" w14:textId="77777777" w:rsidR="00BD07F3" w:rsidRPr="001B73E9" w:rsidRDefault="00BD07F3" w:rsidP="0067436F">
            <w:pPr>
              <w:pStyle w:val="TableText"/>
            </w:pPr>
            <w:r>
              <w:t>0138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599F4664" w14:textId="77777777" w:rsidR="00BD07F3" w:rsidRPr="001B73E9" w:rsidRDefault="00BD07F3" w:rsidP="0067436F">
            <w:pPr>
              <w:pStyle w:val="TableText"/>
            </w:pPr>
            <w:r>
              <w:t>Catheter-Associated Urinary Tract Infection (CAUTI)</w:t>
            </w:r>
          </w:p>
        </w:tc>
        <w:tc>
          <w:tcPr>
            <w:tcW w:w="1435" w:type="pct"/>
            <w:vAlign w:val="center"/>
          </w:tcPr>
          <w:p w14:paraId="4E5C4F42" w14:textId="77777777" w:rsidR="00BD07F3" w:rsidRDefault="00BD07F3" w:rsidP="0067436F">
            <w:pPr>
              <w:pStyle w:val="TableText"/>
            </w:pPr>
            <w:r>
              <w:t>Continue in Program</w:t>
            </w:r>
          </w:p>
        </w:tc>
      </w:tr>
      <w:tr w:rsidR="00BD07F3" w:rsidRPr="001B73E9" w14:paraId="208EB74F" w14:textId="77777777" w:rsidTr="0067436F">
        <w:trPr>
          <w:trHeight w:val="77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6E640974" w14:textId="77777777" w:rsidR="00BD07F3" w:rsidRDefault="00BD07F3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</w:tcPr>
          <w:p w14:paraId="0ECB8674" w14:textId="77777777" w:rsidR="00BD07F3" w:rsidRPr="00AD6F38" w:rsidRDefault="00BD07F3" w:rsidP="0067436F">
            <w:pPr>
              <w:pStyle w:val="TableText"/>
            </w:pPr>
            <w:r w:rsidRPr="00AD6F38">
              <w:t>0753</w:t>
            </w:r>
          </w:p>
        </w:tc>
        <w:tc>
          <w:tcPr>
            <w:tcW w:w="1435" w:type="pct"/>
            <w:shd w:val="clear" w:color="auto" w:fill="auto"/>
          </w:tcPr>
          <w:p w14:paraId="30F1C56A" w14:textId="77777777" w:rsidR="00BD07F3" w:rsidRPr="00AD6F38" w:rsidRDefault="00BD07F3" w:rsidP="0067436F">
            <w:pPr>
              <w:pStyle w:val="TableText"/>
            </w:pPr>
            <w:r w:rsidRPr="00AD6F38">
              <w:t>Harmonized Procedure Specific Surgical Site Infection (SSI) Outcome Measure</w:t>
            </w:r>
          </w:p>
        </w:tc>
        <w:tc>
          <w:tcPr>
            <w:tcW w:w="1435" w:type="pct"/>
            <w:vAlign w:val="center"/>
          </w:tcPr>
          <w:p w14:paraId="462F52F7" w14:textId="77777777" w:rsidR="00BD07F3" w:rsidRPr="00AD6F38" w:rsidRDefault="00BD07F3" w:rsidP="0067436F">
            <w:pPr>
              <w:pStyle w:val="TableText"/>
            </w:pPr>
            <w:r>
              <w:t>Continue in Program</w:t>
            </w:r>
          </w:p>
        </w:tc>
      </w:tr>
      <w:tr w:rsidR="00BD07F3" w:rsidRPr="001B73E9" w14:paraId="1F9B3186" w14:textId="77777777" w:rsidTr="0067436F">
        <w:trPr>
          <w:trHeight w:val="77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1E1B028E" w14:textId="77777777" w:rsidR="00BD07F3" w:rsidRDefault="00BD07F3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</w:tcPr>
          <w:p w14:paraId="0D3DC58D" w14:textId="77777777" w:rsidR="00BD07F3" w:rsidRPr="00AD6F38" w:rsidRDefault="00BD07F3" w:rsidP="0067436F">
            <w:pPr>
              <w:pStyle w:val="TableText"/>
            </w:pPr>
            <w:r>
              <w:t>1716</w:t>
            </w:r>
          </w:p>
        </w:tc>
        <w:tc>
          <w:tcPr>
            <w:tcW w:w="1435" w:type="pct"/>
            <w:shd w:val="clear" w:color="auto" w:fill="auto"/>
          </w:tcPr>
          <w:p w14:paraId="15D05C09" w14:textId="77777777" w:rsidR="00BD07F3" w:rsidRPr="00AD6F38" w:rsidRDefault="00BD07F3" w:rsidP="0067436F">
            <w:pPr>
              <w:pStyle w:val="TableText"/>
            </w:pPr>
            <w:r>
              <w:t xml:space="preserve">Facility-wide Inpatient Hospital-onset Methicillin-resistant </w:t>
            </w:r>
            <w:r w:rsidRPr="00747A3F">
              <w:rPr>
                <w:i/>
              </w:rPr>
              <w:t>Staphylococcus aureus</w:t>
            </w:r>
            <w:r>
              <w:t xml:space="preserve"> (MRSA) Bacteremia Outcome Measure</w:t>
            </w:r>
          </w:p>
        </w:tc>
        <w:tc>
          <w:tcPr>
            <w:tcW w:w="1435" w:type="pct"/>
            <w:vAlign w:val="center"/>
          </w:tcPr>
          <w:p w14:paraId="75678661" w14:textId="77777777" w:rsidR="00BD07F3" w:rsidRDefault="00BD07F3" w:rsidP="0067436F">
            <w:pPr>
              <w:pStyle w:val="TableText"/>
            </w:pPr>
            <w:r>
              <w:t>Add to Program</w:t>
            </w:r>
          </w:p>
        </w:tc>
      </w:tr>
      <w:tr w:rsidR="00BD07F3" w:rsidRPr="001B73E9" w14:paraId="25049F03" w14:textId="77777777" w:rsidTr="0067436F">
        <w:trPr>
          <w:trHeight w:val="77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1FC7A5F1" w14:textId="77777777" w:rsidR="00BD07F3" w:rsidRDefault="00BD07F3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</w:tcPr>
          <w:p w14:paraId="4935D43C" w14:textId="77777777" w:rsidR="00BD07F3" w:rsidRDefault="00BD07F3" w:rsidP="0067436F">
            <w:pPr>
              <w:pStyle w:val="TableText"/>
            </w:pPr>
            <w:r>
              <w:t>1717</w:t>
            </w:r>
          </w:p>
        </w:tc>
        <w:tc>
          <w:tcPr>
            <w:tcW w:w="1435" w:type="pct"/>
            <w:shd w:val="clear" w:color="auto" w:fill="auto"/>
          </w:tcPr>
          <w:p w14:paraId="311BD8CA" w14:textId="77777777" w:rsidR="00BD07F3" w:rsidRPr="00BD07F3" w:rsidRDefault="00BD07F3" w:rsidP="0067436F">
            <w:pPr>
              <w:pStyle w:val="TableText"/>
            </w:pPr>
            <w:r>
              <w:t xml:space="preserve">Facility-wide Inpatient Hospital-onset </w:t>
            </w:r>
            <w:r>
              <w:rPr>
                <w:i/>
              </w:rPr>
              <w:t>Clostridium difficile</w:t>
            </w:r>
            <w:r>
              <w:t xml:space="preserve"> Infection (CDI) Outcome Measure</w:t>
            </w:r>
          </w:p>
        </w:tc>
        <w:tc>
          <w:tcPr>
            <w:tcW w:w="1435" w:type="pct"/>
            <w:vAlign w:val="center"/>
          </w:tcPr>
          <w:p w14:paraId="145892CE" w14:textId="77777777" w:rsidR="00BD07F3" w:rsidRDefault="00BD07F3" w:rsidP="0067436F">
            <w:pPr>
              <w:pStyle w:val="TableText"/>
            </w:pPr>
            <w:r>
              <w:t>Add to Program</w:t>
            </w:r>
          </w:p>
        </w:tc>
      </w:tr>
      <w:tr w:rsidR="00BD07F3" w:rsidRPr="001B73E9" w14:paraId="422CD3B3" w14:textId="77777777" w:rsidTr="0067436F">
        <w:trPr>
          <w:trHeight w:val="77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3D54F614" w14:textId="77777777" w:rsidR="00BD07F3" w:rsidRDefault="00BD07F3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</w:tcPr>
          <w:p w14:paraId="7F713BBF" w14:textId="77777777" w:rsidR="00BD07F3" w:rsidRDefault="00BD07F3" w:rsidP="0067436F">
            <w:pPr>
              <w:pStyle w:val="TableText"/>
            </w:pPr>
            <w:r>
              <w:t>0431</w:t>
            </w:r>
          </w:p>
        </w:tc>
        <w:tc>
          <w:tcPr>
            <w:tcW w:w="1435" w:type="pct"/>
            <w:shd w:val="clear" w:color="auto" w:fill="auto"/>
          </w:tcPr>
          <w:p w14:paraId="360E1077" w14:textId="77777777" w:rsidR="00BD07F3" w:rsidRDefault="00BD07F3" w:rsidP="0067436F">
            <w:pPr>
              <w:pStyle w:val="TableText"/>
            </w:pPr>
            <w:r>
              <w:t>Influenza Vaccination Coverage Among Healthcare Personnel</w:t>
            </w:r>
          </w:p>
        </w:tc>
        <w:tc>
          <w:tcPr>
            <w:tcW w:w="1435" w:type="pct"/>
            <w:vAlign w:val="center"/>
          </w:tcPr>
          <w:p w14:paraId="549A654B" w14:textId="77777777" w:rsidR="00BD07F3" w:rsidRDefault="00BD07F3" w:rsidP="0067436F">
            <w:pPr>
              <w:pStyle w:val="TableText"/>
            </w:pPr>
            <w:r>
              <w:t>Add to Program</w:t>
            </w:r>
          </w:p>
        </w:tc>
      </w:tr>
      <w:tr w:rsidR="00C010D7" w:rsidRPr="001B73E9" w14:paraId="6E9FDBDE" w14:textId="77777777" w:rsidTr="0067436F">
        <w:trPr>
          <w:trHeight w:val="755"/>
          <w:jc w:val="center"/>
        </w:trPr>
        <w:tc>
          <w:tcPr>
            <w:tcW w:w="1063" w:type="pct"/>
            <w:vMerge w:val="restart"/>
            <w:shd w:val="clear" w:color="auto" w:fill="auto"/>
            <w:vAlign w:val="center"/>
          </w:tcPr>
          <w:p w14:paraId="4CC2519E" w14:textId="77777777" w:rsidR="00C010D7" w:rsidRDefault="00C010D7" w:rsidP="0067436F">
            <w:pPr>
              <w:pStyle w:val="TableText"/>
            </w:pPr>
            <w:r>
              <w:t>Cancer Specific Treatment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5C20133" w14:textId="77777777" w:rsidR="00C010D7" w:rsidRPr="001B73E9" w:rsidRDefault="00C010D7" w:rsidP="0067436F">
            <w:pPr>
              <w:pStyle w:val="TableText"/>
            </w:pPr>
            <w:r w:rsidRPr="001B73E9">
              <w:t>0223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0EB4E376" w14:textId="77777777" w:rsidR="00C010D7" w:rsidRPr="001B73E9" w:rsidRDefault="00C010D7" w:rsidP="0067436F">
            <w:pPr>
              <w:pStyle w:val="TableText"/>
            </w:pPr>
            <w:r w:rsidRPr="001B73E9">
              <w:t>Adjuvant Chemotherapy is considered or administered within 4 months (120 days) of diagnosis to patients under the age of 80 with AJCC Stage III (lymph node positive) colon cancer</w:t>
            </w:r>
          </w:p>
        </w:tc>
        <w:tc>
          <w:tcPr>
            <w:tcW w:w="1435" w:type="pct"/>
            <w:vAlign w:val="center"/>
          </w:tcPr>
          <w:p w14:paraId="4C86E8DA" w14:textId="77777777" w:rsidR="00C010D7" w:rsidRPr="001B73E9" w:rsidRDefault="00C010D7" w:rsidP="0067436F">
            <w:pPr>
              <w:pStyle w:val="TableText"/>
            </w:pPr>
            <w:r>
              <w:t>Continue in Program</w:t>
            </w:r>
          </w:p>
        </w:tc>
      </w:tr>
      <w:tr w:rsidR="00C010D7" w:rsidRPr="001B73E9" w14:paraId="461521D0" w14:textId="77777777" w:rsidTr="0067436F">
        <w:trPr>
          <w:trHeight w:val="77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05C2CA57" w14:textId="77777777" w:rsidR="00C010D7" w:rsidRDefault="00C010D7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1CD9144B" w14:textId="77777777" w:rsidR="00C010D7" w:rsidRPr="001B73E9" w:rsidRDefault="00C010D7" w:rsidP="0067436F">
            <w:pPr>
              <w:pStyle w:val="TableText"/>
            </w:pPr>
            <w:r w:rsidRPr="001B73E9">
              <w:t>0559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4EEC4CEC" w14:textId="77777777" w:rsidR="00C010D7" w:rsidRPr="001B73E9" w:rsidRDefault="00C010D7" w:rsidP="0067436F">
            <w:pPr>
              <w:pStyle w:val="TableText"/>
            </w:pPr>
            <w:r w:rsidRPr="001B73E9">
              <w:t xml:space="preserve">Combination Chemotherapy is </w:t>
            </w:r>
            <w:r w:rsidRPr="001B73E9">
              <w:lastRenderedPageBreak/>
              <w:t>considered or administered within 4 months (120 days) of diagnosis for women under 70 with AJCC T1c, or Stage II or III hormone receptor negative breast cancer</w:t>
            </w:r>
          </w:p>
        </w:tc>
        <w:tc>
          <w:tcPr>
            <w:tcW w:w="1435" w:type="pct"/>
            <w:vAlign w:val="center"/>
          </w:tcPr>
          <w:p w14:paraId="5A4FE51B" w14:textId="77777777" w:rsidR="00C010D7" w:rsidRPr="001B73E9" w:rsidRDefault="00C010D7" w:rsidP="0067436F">
            <w:pPr>
              <w:pStyle w:val="TableText"/>
            </w:pPr>
            <w:r>
              <w:lastRenderedPageBreak/>
              <w:t>Continue in Program</w:t>
            </w:r>
          </w:p>
        </w:tc>
      </w:tr>
      <w:tr w:rsidR="00C010D7" w:rsidRPr="001B73E9" w14:paraId="69DCC5BE" w14:textId="77777777" w:rsidTr="0067436F">
        <w:trPr>
          <w:trHeight w:val="77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33BEFCB5" w14:textId="77777777" w:rsidR="00C010D7" w:rsidRDefault="00C010D7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40F184EB" w14:textId="77777777" w:rsidR="00C010D7" w:rsidRPr="001B73E9" w:rsidRDefault="00C010D7" w:rsidP="0067436F">
            <w:pPr>
              <w:pStyle w:val="TableText"/>
            </w:pPr>
            <w:r w:rsidRPr="001B73E9">
              <w:t>0220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0C850B0F" w14:textId="77777777" w:rsidR="00C010D7" w:rsidRPr="001B73E9" w:rsidRDefault="00C010D7" w:rsidP="0067436F">
            <w:pPr>
              <w:pStyle w:val="TableText"/>
            </w:pPr>
            <w:r w:rsidRPr="001B73E9">
              <w:t>Adjuvant Hormonal Therapy</w:t>
            </w:r>
          </w:p>
        </w:tc>
        <w:tc>
          <w:tcPr>
            <w:tcW w:w="1435" w:type="pct"/>
            <w:vAlign w:val="center"/>
          </w:tcPr>
          <w:p w14:paraId="6705F033" w14:textId="77777777" w:rsidR="00C010D7" w:rsidRPr="001B73E9" w:rsidRDefault="00C010D7" w:rsidP="0067436F">
            <w:pPr>
              <w:pStyle w:val="TableText"/>
            </w:pPr>
            <w:r>
              <w:t>Continue in Program</w:t>
            </w:r>
          </w:p>
        </w:tc>
      </w:tr>
      <w:tr w:rsidR="00C010D7" w:rsidRPr="00B02DDC" w14:paraId="0D3BF4EA" w14:textId="77777777" w:rsidTr="0067436F">
        <w:trPr>
          <w:trHeight w:val="710"/>
          <w:jc w:val="center"/>
        </w:trPr>
        <w:tc>
          <w:tcPr>
            <w:tcW w:w="1063" w:type="pct"/>
            <w:vMerge w:val="restart"/>
            <w:shd w:val="clear" w:color="auto" w:fill="auto"/>
            <w:vAlign w:val="center"/>
          </w:tcPr>
          <w:p w14:paraId="559AF578" w14:textId="77777777" w:rsidR="00C010D7" w:rsidRPr="00B02DDC" w:rsidRDefault="00F00B11" w:rsidP="0067436F">
            <w:pPr>
              <w:pStyle w:val="TableText"/>
            </w:pPr>
            <w:r w:rsidRPr="00B02DDC">
              <w:t xml:space="preserve">Surgical Care </w:t>
            </w:r>
            <w:r w:rsidR="00C010D7" w:rsidRPr="00B02DDC">
              <w:t xml:space="preserve">Improvement Project (SCIP) 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34C7E891" w14:textId="77777777" w:rsidR="00C010D7" w:rsidRPr="00B02DDC" w:rsidRDefault="00C010D7" w:rsidP="0067436F">
            <w:pPr>
              <w:pStyle w:val="TableText"/>
            </w:pPr>
            <w:r w:rsidRPr="00B02DDC">
              <w:t>0218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7431D2B2" w14:textId="77777777" w:rsidR="00C010D7" w:rsidRPr="00B02DDC" w:rsidRDefault="00C010D7" w:rsidP="0067436F">
            <w:pPr>
              <w:pStyle w:val="TableText"/>
            </w:pPr>
            <w:r w:rsidRPr="00B02DDC">
              <w:t>Surgery Patients who Received Appropriate VTE Prophylaxis within 24 Hrs Prior to Surgery to 24 Hrs After Surgery End Time</w:t>
            </w:r>
          </w:p>
        </w:tc>
        <w:tc>
          <w:tcPr>
            <w:tcW w:w="1435" w:type="pct"/>
            <w:vAlign w:val="center"/>
          </w:tcPr>
          <w:p w14:paraId="366CF691" w14:textId="77777777" w:rsidR="00C010D7" w:rsidRPr="00B02DDC" w:rsidRDefault="00C010D7" w:rsidP="0067436F">
            <w:pPr>
              <w:pStyle w:val="TableText"/>
            </w:pPr>
            <w:r>
              <w:t>Remove from Program as of Q4 2015 Discharges</w:t>
            </w:r>
          </w:p>
        </w:tc>
      </w:tr>
      <w:tr w:rsidR="00C010D7" w:rsidRPr="00B02DDC" w14:paraId="0A74C638" w14:textId="77777777" w:rsidTr="0067436F">
        <w:trPr>
          <w:trHeight w:val="710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502F7F7C" w14:textId="77777777" w:rsidR="00C010D7" w:rsidRPr="00B02DDC" w:rsidRDefault="00C010D7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493AA704" w14:textId="77777777" w:rsidR="00C010D7" w:rsidRPr="00B02DDC" w:rsidRDefault="00C010D7" w:rsidP="0067436F">
            <w:pPr>
              <w:pStyle w:val="TableText"/>
            </w:pPr>
            <w:r w:rsidRPr="00B02DDC">
              <w:t>0284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6A261EAA" w14:textId="77777777" w:rsidR="00C010D7" w:rsidRPr="00B02DDC" w:rsidRDefault="00C010D7" w:rsidP="0067436F">
            <w:pPr>
              <w:pStyle w:val="TableText"/>
            </w:pPr>
            <w:r w:rsidRPr="00B02DDC">
              <w:t>Surgery Patients on Beta Blocker Therapy Prior to Admission who received a Beta Blocker during the Perioperative Period</w:t>
            </w:r>
          </w:p>
        </w:tc>
        <w:tc>
          <w:tcPr>
            <w:tcW w:w="1435" w:type="pct"/>
            <w:vAlign w:val="center"/>
          </w:tcPr>
          <w:p w14:paraId="53735445" w14:textId="77777777" w:rsidR="00C010D7" w:rsidRPr="00B02DDC" w:rsidRDefault="00C010D7" w:rsidP="0067436F">
            <w:pPr>
              <w:pStyle w:val="TableText"/>
            </w:pPr>
            <w:r>
              <w:t>Remove from Program as of Q4 2015 Discharges</w:t>
            </w:r>
          </w:p>
        </w:tc>
      </w:tr>
      <w:tr w:rsidR="00C010D7" w:rsidRPr="00B02DDC" w14:paraId="72382F2C" w14:textId="77777777" w:rsidTr="0067436F">
        <w:trPr>
          <w:trHeight w:val="710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3CE4FC14" w14:textId="77777777" w:rsidR="00C010D7" w:rsidRPr="00B02DDC" w:rsidRDefault="00C010D7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37A76BC6" w14:textId="77777777" w:rsidR="00C010D7" w:rsidRPr="00B02DDC" w:rsidRDefault="00C010D7" w:rsidP="0067436F">
            <w:pPr>
              <w:pStyle w:val="TableText"/>
            </w:pPr>
            <w:r w:rsidRPr="00B02DDC">
              <w:t>0453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2CDE62F9" w14:textId="77777777" w:rsidR="00C010D7" w:rsidRPr="00B02DDC" w:rsidRDefault="00C010D7" w:rsidP="0067436F">
            <w:pPr>
              <w:pStyle w:val="TableText"/>
            </w:pPr>
            <w:r w:rsidRPr="00B02DDC">
              <w:t>Urinary Catheter Removed on Post-Operative Day 1 or Post-Operative Day 2 with Day</w:t>
            </w:r>
            <w:r w:rsidR="00F00B11">
              <w:t xml:space="preserve"> of</w:t>
            </w:r>
            <w:r w:rsidRPr="00B02DDC">
              <w:t xml:space="preserve"> Surgery Being Day Zero</w:t>
            </w:r>
          </w:p>
        </w:tc>
        <w:tc>
          <w:tcPr>
            <w:tcW w:w="1435" w:type="pct"/>
            <w:vAlign w:val="center"/>
          </w:tcPr>
          <w:p w14:paraId="6A87AE57" w14:textId="77777777" w:rsidR="00C010D7" w:rsidRPr="00B02DDC" w:rsidRDefault="00C010D7" w:rsidP="0067436F">
            <w:pPr>
              <w:pStyle w:val="TableText"/>
            </w:pPr>
            <w:r>
              <w:t>Remove from Program as of Q4 2015 Discharges</w:t>
            </w:r>
          </w:p>
        </w:tc>
      </w:tr>
      <w:tr w:rsidR="00C010D7" w:rsidRPr="00B02DDC" w14:paraId="7D957073" w14:textId="77777777" w:rsidTr="0067436F">
        <w:trPr>
          <w:trHeight w:val="710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70769694" w14:textId="77777777" w:rsidR="00C010D7" w:rsidRPr="00B02DDC" w:rsidRDefault="00C010D7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107BA5AD" w14:textId="77777777" w:rsidR="00C010D7" w:rsidRPr="00B02DDC" w:rsidRDefault="00C010D7" w:rsidP="0067436F">
            <w:pPr>
              <w:pStyle w:val="TableText"/>
            </w:pPr>
            <w:r w:rsidRPr="00B02DDC">
              <w:t>0527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728FA5B3" w14:textId="77777777" w:rsidR="00C010D7" w:rsidRPr="00B02DDC" w:rsidRDefault="00C010D7" w:rsidP="0067436F">
            <w:pPr>
              <w:pStyle w:val="TableText"/>
            </w:pPr>
            <w:r w:rsidRPr="00B02DDC">
              <w:t>Prophylactic Antibiotic Received Within 1 Hr Prior to Surgical Incision</w:t>
            </w:r>
          </w:p>
        </w:tc>
        <w:tc>
          <w:tcPr>
            <w:tcW w:w="1435" w:type="pct"/>
            <w:vAlign w:val="center"/>
          </w:tcPr>
          <w:p w14:paraId="0BD4CBA7" w14:textId="77777777" w:rsidR="00C010D7" w:rsidRPr="00B02DDC" w:rsidRDefault="00C010D7" w:rsidP="0067436F">
            <w:pPr>
              <w:pStyle w:val="TableText"/>
            </w:pPr>
            <w:r>
              <w:t>Remove from Program as of Q4 2015 Discharges</w:t>
            </w:r>
          </w:p>
        </w:tc>
      </w:tr>
      <w:tr w:rsidR="00C010D7" w:rsidRPr="00B02DDC" w14:paraId="5A225742" w14:textId="77777777" w:rsidTr="0067436F">
        <w:trPr>
          <w:trHeight w:val="710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6907E11D" w14:textId="77777777" w:rsidR="00C010D7" w:rsidRPr="00B02DDC" w:rsidRDefault="00C010D7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6E5400C1" w14:textId="77777777" w:rsidR="00C010D7" w:rsidRPr="00B02DDC" w:rsidRDefault="00C010D7" w:rsidP="0067436F">
            <w:pPr>
              <w:pStyle w:val="TableText"/>
            </w:pPr>
            <w:r w:rsidRPr="00B02DDC">
              <w:t>0528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27ADE98C" w14:textId="77777777" w:rsidR="00C010D7" w:rsidRPr="00B02DDC" w:rsidRDefault="00C010D7" w:rsidP="0067436F">
            <w:pPr>
              <w:pStyle w:val="TableText"/>
            </w:pPr>
            <w:r w:rsidRPr="00B02DDC">
              <w:t>Prophylactic Antibiotic Selection for Surgical Patients</w:t>
            </w:r>
          </w:p>
        </w:tc>
        <w:tc>
          <w:tcPr>
            <w:tcW w:w="1435" w:type="pct"/>
            <w:vAlign w:val="center"/>
          </w:tcPr>
          <w:p w14:paraId="55E55608" w14:textId="77777777" w:rsidR="00C010D7" w:rsidRPr="00B02DDC" w:rsidRDefault="00C010D7" w:rsidP="0067436F">
            <w:pPr>
              <w:pStyle w:val="TableText"/>
            </w:pPr>
            <w:r>
              <w:t>Remove from Program as of Q4 2015 Discharges</w:t>
            </w:r>
          </w:p>
        </w:tc>
      </w:tr>
      <w:tr w:rsidR="00C010D7" w:rsidRPr="00B02DDC" w14:paraId="05871135" w14:textId="77777777" w:rsidTr="0067436F">
        <w:trPr>
          <w:trHeight w:val="1283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727A5D75" w14:textId="77777777" w:rsidR="00C010D7" w:rsidRPr="00B02DDC" w:rsidRDefault="00C010D7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B605394" w14:textId="77777777" w:rsidR="00C010D7" w:rsidRPr="00B02DDC" w:rsidRDefault="00C010D7" w:rsidP="0067436F">
            <w:pPr>
              <w:pStyle w:val="TableText"/>
            </w:pPr>
            <w:r w:rsidRPr="00B02DDC">
              <w:t>0529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19733B32" w14:textId="77777777" w:rsidR="00C010D7" w:rsidRPr="00B02DDC" w:rsidRDefault="00C010D7" w:rsidP="0067436F">
            <w:pPr>
              <w:pStyle w:val="TableText"/>
            </w:pPr>
            <w:r w:rsidRPr="00B02DDC">
              <w:t>Prophylactic Antibiotic Discontinued Within 24 Hrs After Surgery End Time</w:t>
            </w:r>
          </w:p>
        </w:tc>
        <w:tc>
          <w:tcPr>
            <w:tcW w:w="1435" w:type="pct"/>
            <w:vAlign w:val="center"/>
          </w:tcPr>
          <w:p w14:paraId="74B2AC40" w14:textId="77777777" w:rsidR="00C010D7" w:rsidRPr="00B02DDC" w:rsidRDefault="00C010D7" w:rsidP="0067436F">
            <w:pPr>
              <w:pStyle w:val="TableText"/>
            </w:pPr>
            <w:r>
              <w:t>Remove from Program as of Q4 2015 Discharges</w:t>
            </w:r>
          </w:p>
        </w:tc>
      </w:tr>
      <w:tr w:rsidR="00C010D7" w:rsidRPr="00B02DDC" w14:paraId="652F27B8" w14:textId="77777777" w:rsidTr="0067436F">
        <w:trPr>
          <w:trHeight w:val="645"/>
          <w:jc w:val="center"/>
        </w:trPr>
        <w:tc>
          <w:tcPr>
            <w:tcW w:w="1063" w:type="pct"/>
            <w:vMerge w:val="restart"/>
            <w:shd w:val="clear" w:color="auto" w:fill="auto"/>
            <w:vAlign w:val="center"/>
          </w:tcPr>
          <w:p w14:paraId="29ABDEC5" w14:textId="77777777" w:rsidR="00C010D7" w:rsidRPr="00B02DDC" w:rsidRDefault="00C010D7" w:rsidP="0067436F">
            <w:pPr>
              <w:pStyle w:val="TableText"/>
            </w:pPr>
            <w:r>
              <w:t>Oncology Care Measures</w:t>
            </w:r>
          </w:p>
        </w:tc>
        <w:tc>
          <w:tcPr>
            <w:tcW w:w="1067" w:type="pct"/>
            <w:shd w:val="clear" w:color="auto" w:fill="auto"/>
            <w:noWrap/>
          </w:tcPr>
          <w:p w14:paraId="418DEE1A" w14:textId="77777777" w:rsidR="00C010D7" w:rsidRPr="00AD6F38" w:rsidRDefault="00C010D7" w:rsidP="0067436F">
            <w:pPr>
              <w:pStyle w:val="TableText"/>
            </w:pPr>
            <w:r w:rsidRPr="00AD6F38">
              <w:t>0382</w:t>
            </w:r>
          </w:p>
        </w:tc>
        <w:tc>
          <w:tcPr>
            <w:tcW w:w="1435" w:type="pct"/>
            <w:shd w:val="clear" w:color="auto" w:fill="auto"/>
          </w:tcPr>
          <w:p w14:paraId="7CF440AC" w14:textId="77777777" w:rsidR="00C010D7" w:rsidRPr="00AD6F38" w:rsidRDefault="00C010D7" w:rsidP="0067436F">
            <w:pPr>
              <w:pStyle w:val="TableText"/>
            </w:pPr>
            <w:r w:rsidRPr="00AD6F38">
              <w:t>Oncology-Radiation Dose Limits to Normal Tissues</w:t>
            </w:r>
          </w:p>
        </w:tc>
        <w:tc>
          <w:tcPr>
            <w:tcW w:w="1435" w:type="pct"/>
            <w:vAlign w:val="center"/>
          </w:tcPr>
          <w:p w14:paraId="4161EF89" w14:textId="77777777" w:rsidR="00C010D7" w:rsidRPr="00AD6F38" w:rsidRDefault="00C010D7" w:rsidP="0067436F">
            <w:pPr>
              <w:pStyle w:val="TableText"/>
            </w:pPr>
            <w:r>
              <w:t>Continue in Program</w:t>
            </w:r>
          </w:p>
        </w:tc>
      </w:tr>
      <w:tr w:rsidR="00C010D7" w:rsidRPr="00B02DDC" w14:paraId="6E054584" w14:textId="77777777" w:rsidTr="0067436F">
        <w:trPr>
          <w:trHeight w:val="710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5D13AC96" w14:textId="77777777" w:rsidR="00C010D7" w:rsidRPr="00B02DDC" w:rsidRDefault="00C010D7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6D0E22A" w14:textId="77777777" w:rsidR="00C010D7" w:rsidRPr="00B02DDC" w:rsidRDefault="00C010D7" w:rsidP="0067436F">
            <w:pPr>
              <w:pStyle w:val="TableText"/>
            </w:pPr>
            <w:r w:rsidRPr="00B02DDC">
              <w:t>0383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26813FC6" w14:textId="77777777" w:rsidR="00C010D7" w:rsidRPr="00B02DDC" w:rsidRDefault="00C010D7" w:rsidP="0067436F">
            <w:pPr>
              <w:pStyle w:val="TableText"/>
            </w:pPr>
            <w:r w:rsidRPr="00AD6F38">
              <w:t>Oncology: Plan of Care for Pain</w:t>
            </w:r>
          </w:p>
        </w:tc>
        <w:tc>
          <w:tcPr>
            <w:tcW w:w="1435" w:type="pct"/>
            <w:vAlign w:val="center"/>
          </w:tcPr>
          <w:p w14:paraId="47785297" w14:textId="77777777" w:rsidR="00C010D7" w:rsidRPr="00AD6F38" w:rsidRDefault="00C010D7" w:rsidP="0067436F">
            <w:pPr>
              <w:pStyle w:val="TableText"/>
            </w:pPr>
            <w:r>
              <w:t>Continue in Program</w:t>
            </w:r>
          </w:p>
        </w:tc>
      </w:tr>
      <w:tr w:rsidR="00C010D7" w:rsidRPr="00B02DDC" w14:paraId="195C75F8" w14:textId="77777777" w:rsidTr="0067436F">
        <w:trPr>
          <w:trHeight w:val="710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5B48D0E9" w14:textId="77777777" w:rsidR="00C010D7" w:rsidRPr="00B02DDC" w:rsidRDefault="00C010D7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13837382" w14:textId="77777777" w:rsidR="00C010D7" w:rsidRPr="00B02DDC" w:rsidRDefault="00C010D7" w:rsidP="0067436F">
            <w:pPr>
              <w:pStyle w:val="TableText"/>
            </w:pPr>
            <w:r w:rsidRPr="00B02DDC">
              <w:t>0384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34F2F52E" w14:textId="77777777" w:rsidR="00C010D7" w:rsidRPr="00B02DDC" w:rsidRDefault="00C010D7" w:rsidP="0067436F">
            <w:pPr>
              <w:pStyle w:val="TableText"/>
            </w:pPr>
            <w:r w:rsidRPr="00AD6F38">
              <w:t>Oncology: Pain Intensity Quantified</w:t>
            </w:r>
          </w:p>
        </w:tc>
        <w:tc>
          <w:tcPr>
            <w:tcW w:w="1435" w:type="pct"/>
            <w:vAlign w:val="center"/>
          </w:tcPr>
          <w:p w14:paraId="67B4ACF7" w14:textId="77777777" w:rsidR="00C010D7" w:rsidRPr="00AD6F38" w:rsidRDefault="00C010D7" w:rsidP="0067436F">
            <w:pPr>
              <w:pStyle w:val="TableText"/>
            </w:pPr>
            <w:r>
              <w:t>Continue in Program</w:t>
            </w:r>
          </w:p>
        </w:tc>
      </w:tr>
      <w:tr w:rsidR="00C010D7" w:rsidRPr="00B02DDC" w14:paraId="4C4326B6" w14:textId="77777777" w:rsidTr="0067436F">
        <w:trPr>
          <w:trHeight w:val="710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0B2676B3" w14:textId="77777777" w:rsidR="00C010D7" w:rsidRPr="00B02DDC" w:rsidRDefault="00C010D7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DA46F11" w14:textId="77777777" w:rsidR="00C010D7" w:rsidRPr="00B02DDC" w:rsidRDefault="00C010D7" w:rsidP="0067436F">
            <w:pPr>
              <w:pStyle w:val="TableText"/>
            </w:pPr>
            <w:r w:rsidRPr="00B02DDC">
              <w:t>0390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0845C84E" w14:textId="77777777" w:rsidR="00C010D7" w:rsidRPr="00B02DDC" w:rsidRDefault="00C010D7" w:rsidP="0067436F">
            <w:pPr>
              <w:pStyle w:val="TableText"/>
            </w:pPr>
            <w:r w:rsidRPr="00AD6F38">
              <w:t>Prostate Cancer-Adjuvant Hormonal Therapy for High-Risk Patients</w:t>
            </w:r>
          </w:p>
        </w:tc>
        <w:tc>
          <w:tcPr>
            <w:tcW w:w="1435" w:type="pct"/>
            <w:vAlign w:val="center"/>
          </w:tcPr>
          <w:p w14:paraId="782205BD" w14:textId="77777777" w:rsidR="00C010D7" w:rsidRPr="00AD6F38" w:rsidRDefault="00C010D7" w:rsidP="0067436F">
            <w:pPr>
              <w:pStyle w:val="TableText"/>
            </w:pPr>
            <w:r>
              <w:t>Continue in Program</w:t>
            </w:r>
          </w:p>
        </w:tc>
      </w:tr>
      <w:tr w:rsidR="00C010D7" w:rsidRPr="00B02DDC" w14:paraId="08DF3A6B" w14:textId="77777777" w:rsidTr="0067436F">
        <w:trPr>
          <w:trHeight w:val="710"/>
          <w:jc w:val="center"/>
        </w:trPr>
        <w:tc>
          <w:tcPr>
            <w:tcW w:w="1063" w:type="pct"/>
            <w:vMerge/>
            <w:shd w:val="clear" w:color="auto" w:fill="auto"/>
            <w:vAlign w:val="center"/>
          </w:tcPr>
          <w:p w14:paraId="4730E21E" w14:textId="77777777" w:rsidR="00C010D7" w:rsidRPr="00B02DDC" w:rsidRDefault="00C010D7" w:rsidP="0067436F">
            <w:pPr>
              <w:pStyle w:val="TableText"/>
            </w:pP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395F761C" w14:textId="77777777" w:rsidR="00C010D7" w:rsidRPr="00B02DDC" w:rsidRDefault="00C010D7" w:rsidP="0067436F">
            <w:pPr>
              <w:pStyle w:val="TableText"/>
            </w:pPr>
            <w:r w:rsidRPr="00B02DDC">
              <w:t>0389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1E42E884" w14:textId="77777777" w:rsidR="00C010D7" w:rsidRPr="00B02DDC" w:rsidRDefault="00C010D7" w:rsidP="0067436F">
            <w:pPr>
              <w:pStyle w:val="TableText"/>
            </w:pPr>
            <w:r w:rsidRPr="00AD6F38">
              <w:t>Prostate Cancer-Avoidance of Overuse Measure-Bone Scan for Staging Low-Risk Patients</w:t>
            </w:r>
          </w:p>
        </w:tc>
        <w:tc>
          <w:tcPr>
            <w:tcW w:w="1435" w:type="pct"/>
            <w:vAlign w:val="center"/>
          </w:tcPr>
          <w:p w14:paraId="07DEC95A" w14:textId="77777777" w:rsidR="00C010D7" w:rsidRPr="00AD6F38" w:rsidRDefault="00C010D7" w:rsidP="0067436F">
            <w:pPr>
              <w:pStyle w:val="TableText"/>
            </w:pPr>
            <w:r>
              <w:t>Continue in Program</w:t>
            </w:r>
          </w:p>
        </w:tc>
      </w:tr>
      <w:tr w:rsidR="00C010D7" w:rsidRPr="00B02DDC" w14:paraId="09313416" w14:textId="77777777" w:rsidTr="0067436F">
        <w:trPr>
          <w:trHeight w:val="710"/>
          <w:jc w:val="center"/>
        </w:trPr>
        <w:tc>
          <w:tcPr>
            <w:tcW w:w="1063" w:type="pct"/>
            <w:shd w:val="clear" w:color="auto" w:fill="auto"/>
            <w:vAlign w:val="center"/>
          </w:tcPr>
          <w:p w14:paraId="76D0E19A" w14:textId="77777777" w:rsidR="00C010D7" w:rsidRPr="00B02DDC" w:rsidRDefault="00C010D7" w:rsidP="0067436F">
            <w:pPr>
              <w:pStyle w:val="TableText"/>
            </w:pPr>
            <w:r w:rsidRPr="00B02DDC">
              <w:t>Patient Engagement/Patient Experience of Care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466BBCC4" w14:textId="77777777" w:rsidR="00C010D7" w:rsidRPr="00B02DDC" w:rsidRDefault="00C010D7" w:rsidP="0067436F">
            <w:pPr>
              <w:pStyle w:val="TableText"/>
            </w:pPr>
            <w:r w:rsidRPr="00B02DDC">
              <w:t>0166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2E3593BB" w14:textId="77777777" w:rsidR="00C010D7" w:rsidRPr="00B02DDC" w:rsidRDefault="00C010D7" w:rsidP="0067436F">
            <w:pPr>
              <w:pStyle w:val="TableText"/>
            </w:pPr>
            <w:r w:rsidRPr="00B02DDC">
              <w:t>HCAHPS Patient Experience of Care Survey</w:t>
            </w:r>
          </w:p>
        </w:tc>
        <w:tc>
          <w:tcPr>
            <w:tcW w:w="1435" w:type="pct"/>
            <w:vAlign w:val="center"/>
          </w:tcPr>
          <w:p w14:paraId="58712F52" w14:textId="77777777" w:rsidR="00C010D7" w:rsidRPr="00B02DDC" w:rsidRDefault="00C010D7" w:rsidP="0067436F">
            <w:pPr>
              <w:pStyle w:val="TableText"/>
            </w:pPr>
            <w:r>
              <w:t>Continue in Program</w:t>
            </w:r>
          </w:p>
        </w:tc>
      </w:tr>
      <w:tr w:rsidR="00C010D7" w:rsidRPr="00B02DDC" w14:paraId="68E2E13C" w14:textId="77777777" w:rsidTr="0067436F">
        <w:trPr>
          <w:trHeight w:val="710"/>
          <w:jc w:val="center"/>
        </w:trPr>
        <w:tc>
          <w:tcPr>
            <w:tcW w:w="1063" w:type="pct"/>
            <w:shd w:val="clear" w:color="auto" w:fill="auto"/>
          </w:tcPr>
          <w:p w14:paraId="3FA7D48F" w14:textId="77777777" w:rsidR="00C010D7" w:rsidRPr="00AD6F38" w:rsidRDefault="00C010D7" w:rsidP="0067436F">
            <w:pPr>
              <w:pStyle w:val="TableText"/>
            </w:pPr>
            <w:r w:rsidRPr="00AD6F38">
              <w:t>Clinical Effectiveness</w:t>
            </w:r>
          </w:p>
        </w:tc>
        <w:tc>
          <w:tcPr>
            <w:tcW w:w="1067" w:type="pct"/>
            <w:shd w:val="clear" w:color="auto" w:fill="auto"/>
            <w:noWrap/>
          </w:tcPr>
          <w:p w14:paraId="24923E01" w14:textId="77777777" w:rsidR="00C010D7" w:rsidRPr="00AD6F38" w:rsidRDefault="00C010D7" w:rsidP="0067436F">
            <w:pPr>
              <w:pStyle w:val="TableText"/>
            </w:pPr>
            <w:r w:rsidRPr="00AD6F38">
              <w:t>1822</w:t>
            </w:r>
          </w:p>
        </w:tc>
        <w:tc>
          <w:tcPr>
            <w:tcW w:w="1435" w:type="pct"/>
            <w:shd w:val="clear" w:color="auto" w:fill="auto"/>
          </w:tcPr>
          <w:p w14:paraId="19616DDA" w14:textId="77777777" w:rsidR="00C010D7" w:rsidRPr="00AD6F38" w:rsidRDefault="00C010D7" w:rsidP="0067436F">
            <w:pPr>
              <w:pStyle w:val="TableText"/>
            </w:pPr>
            <w:r w:rsidRPr="00AD6F38">
              <w:t xml:space="preserve">External Beam Radiotherapy (EBRT) </w:t>
            </w:r>
          </w:p>
        </w:tc>
        <w:tc>
          <w:tcPr>
            <w:tcW w:w="1435" w:type="pct"/>
            <w:vAlign w:val="center"/>
          </w:tcPr>
          <w:p w14:paraId="49C01498" w14:textId="77777777" w:rsidR="00C010D7" w:rsidRPr="00AD6F38" w:rsidRDefault="00C010D7" w:rsidP="0067436F">
            <w:pPr>
              <w:pStyle w:val="TableText"/>
            </w:pPr>
            <w:r>
              <w:t>Continue in Program</w:t>
            </w:r>
          </w:p>
        </w:tc>
      </w:tr>
    </w:tbl>
    <w:p w14:paraId="62E7A8B7" w14:textId="77777777" w:rsidR="00B02DDC" w:rsidRDefault="00B02DDC" w:rsidP="00B02DDC">
      <w:pPr>
        <w:pStyle w:val="Default"/>
      </w:pPr>
    </w:p>
    <w:p w14:paraId="6C40603A" w14:textId="77777777" w:rsidR="00776FD4" w:rsidRDefault="00776FD4" w:rsidP="00B02DDC">
      <w:pPr>
        <w:pStyle w:val="Default"/>
      </w:pPr>
    </w:p>
    <w:p w14:paraId="7A7D53E4" w14:textId="77777777" w:rsidR="007A2B6F" w:rsidRDefault="007A2B6F" w:rsidP="00B02DDC">
      <w:pPr>
        <w:pStyle w:val="Default"/>
      </w:pPr>
    </w:p>
    <w:p w14:paraId="19D48289" w14:textId="0AF41432" w:rsidR="0067436F" w:rsidRDefault="0067436F" w:rsidP="0067436F">
      <w:pPr>
        <w:pStyle w:val="TableCaption"/>
      </w:pPr>
      <w:r w:rsidRPr="0067436F">
        <w:t>Table B. Summary of PCHQR Information Collection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3116"/>
        <w:gridCol w:w="3097"/>
      </w:tblGrid>
      <w:tr w:rsidR="00776FD4" w14:paraId="652FDFA6" w14:textId="77777777" w:rsidTr="00AF1084">
        <w:trPr>
          <w:cantSplit/>
          <w:tblHeader/>
        </w:trPr>
        <w:tc>
          <w:tcPr>
            <w:tcW w:w="6253" w:type="dxa"/>
            <w:gridSpan w:val="2"/>
            <w:shd w:val="clear" w:color="auto" w:fill="95B3D7" w:themeFill="accent1" w:themeFillTint="99"/>
          </w:tcPr>
          <w:p w14:paraId="2A76939C" w14:textId="77777777" w:rsidR="00776FD4" w:rsidRPr="00776FD4" w:rsidRDefault="00776FD4" w:rsidP="0067436F">
            <w:pPr>
              <w:pStyle w:val="TableColumnHeading"/>
            </w:pPr>
            <w:bookmarkStart w:id="0" w:name="_GoBack"/>
            <w:r w:rsidRPr="00776FD4">
              <w:t>Forms Associated with the 2016 IPPS/LTCH PPS Final Rule PRA Package</w:t>
            </w:r>
          </w:p>
        </w:tc>
        <w:tc>
          <w:tcPr>
            <w:tcW w:w="3097" w:type="dxa"/>
            <w:shd w:val="clear" w:color="auto" w:fill="95B3D7" w:themeFill="accent1" w:themeFillTint="99"/>
          </w:tcPr>
          <w:p w14:paraId="22099899" w14:textId="77777777" w:rsidR="00776FD4" w:rsidRPr="00776FD4" w:rsidRDefault="00776FD4" w:rsidP="0067436F">
            <w:pPr>
              <w:pStyle w:val="TableColumnHeading"/>
            </w:pPr>
            <w:r w:rsidRPr="00776FD4">
              <w:t>Notes</w:t>
            </w:r>
          </w:p>
        </w:tc>
      </w:tr>
      <w:bookmarkEnd w:id="0"/>
      <w:tr w:rsidR="00776FD4" w14:paraId="55667549" w14:textId="77777777" w:rsidTr="0067436F">
        <w:tc>
          <w:tcPr>
            <w:tcW w:w="3137" w:type="dxa"/>
            <w:vMerge w:val="restart"/>
            <w:vAlign w:val="center"/>
          </w:tcPr>
          <w:p w14:paraId="78A3DABD" w14:textId="77777777" w:rsidR="00776FD4" w:rsidRPr="00776FD4" w:rsidRDefault="00776FD4" w:rsidP="0067436F">
            <w:pPr>
              <w:pStyle w:val="TableText"/>
            </w:pPr>
            <w:r w:rsidRPr="00776FD4">
              <w:t>Program/Procedural Requirements</w:t>
            </w:r>
          </w:p>
        </w:tc>
        <w:tc>
          <w:tcPr>
            <w:tcW w:w="3116" w:type="dxa"/>
          </w:tcPr>
          <w:p w14:paraId="410B7308" w14:textId="77777777" w:rsidR="00776FD4" w:rsidRPr="00776FD4" w:rsidRDefault="00776FD4" w:rsidP="0067436F">
            <w:pPr>
              <w:pStyle w:val="TableText"/>
            </w:pPr>
            <w:r w:rsidRPr="00776FD4">
              <w:t>Measures Exception Paper-Based and Web Application</w:t>
            </w:r>
          </w:p>
        </w:tc>
        <w:tc>
          <w:tcPr>
            <w:tcW w:w="3097" w:type="dxa"/>
            <w:vMerge w:val="restart"/>
            <w:vAlign w:val="center"/>
          </w:tcPr>
          <w:p w14:paraId="6F48C2CF" w14:textId="77777777" w:rsidR="00776FD4" w:rsidRPr="00776FD4" w:rsidRDefault="00776FD4" w:rsidP="0067436F">
            <w:pPr>
              <w:pStyle w:val="TableText"/>
            </w:pPr>
            <w:r w:rsidRPr="00776FD4">
              <w:t>No changes</w:t>
            </w:r>
          </w:p>
        </w:tc>
      </w:tr>
      <w:tr w:rsidR="00776FD4" w14:paraId="5FD3300C" w14:textId="77777777" w:rsidTr="0067436F">
        <w:tc>
          <w:tcPr>
            <w:tcW w:w="3137" w:type="dxa"/>
            <w:vMerge/>
            <w:vAlign w:val="center"/>
          </w:tcPr>
          <w:p w14:paraId="56AE558C" w14:textId="77777777" w:rsidR="00776FD4" w:rsidRPr="00776FD4" w:rsidRDefault="00776FD4" w:rsidP="0067436F">
            <w:pPr>
              <w:pStyle w:val="TableText"/>
            </w:pPr>
          </w:p>
        </w:tc>
        <w:tc>
          <w:tcPr>
            <w:tcW w:w="3116" w:type="dxa"/>
          </w:tcPr>
          <w:p w14:paraId="7914C881" w14:textId="77777777" w:rsidR="00776FD4" w:rsidRPr="00776FD4" w:rsidRDefault="00776FD4" w:rsidP="0067436F">
            <w:pPr>
              <w:pStyle w:val="TableText"/>
            </w:pPr>
            <w:r w:rsidRPr="00776FD4">
              <w:t>NOP Paper-Based and Web Application</w:t>
            </w:r>
          </w:p>
        </w:tc>
        <w:tc>
          <w:tcPr>
            <w:tcW w:w="3097" w:type="dxa"/>
            <w:vMerge/>
            <w:vAlign w:val="center"/>
          </w:tcPr>
          <w:p w14:paraId="2D5CE53D" w14:textId="77777777" w:rsidR="00776FD4" w:rsidRPr="00776FD4" w:rsidRDefault="00776FD4" w:rsidP="0067436F">
            <w:pPr>
              <w:pStyle w:val="TableText"/>
            </w:pPr>
          </w:p>
        </w:tc>
      </w:tr>
      <w:tr w:rsidR="00776FD4" w14:paraId="107274DE" w14:textId="77777777" w:rsidTr="0067436F">
        <w:tc>
          <w:tcPr>
            <w:tcW w:w="3137" w:type="dxa"/>
            <w:vMerge/>
            <w:vAlign w:val="center"/>
          </w:tcPr>
          <w:p w14:paraId="43E722DD" w14:textId="77777777" w:rsidR="00776FD4" w:rsidRPr="00776FD4" w:rsidRDefault="00776FD4" w:rsidP="0067436F">
            <w:pPr>
              <w:pStyle w:val="TableText"/>
            </w:pPr>
          </w:p>
        </w:tc>
        <w:tc>
          <w:tcPr>
            <w:tcW w:w="3116" w:type="dxa"/>
          </w:tcPr>
          <w:p w14:paraId="15313E59" w14:textId="77777777" w:rsidR="00776FD4" w:rsidRPr="00776FD4" w:rsidRDefault="00776FD4" w:rsidP="0067436F">
            <w:pPr>
              <w:pStyle w:val="TableText"/>
            </w:pPr>
            <w:r w:rsidRPr="00776FD4">
              <w:t>DACA Paper-Based and Web Application</w:t>
            </w:r>
          </w:p>
        </w:tc>
        <w:tc>
          <w:tcPr>
            <w:tcW w:w="3097" w:type="dxa"/>
            <w:vMerge/>
            <w:vAlign w:val="center"/>
          </w:tcPr>
          <w:p w14:paraId="1D318971" w14:textId="77777777" w:rsidR="00776FD4" w:rsidRPr="00776FD4" w:rsidRDefault="00776FD4" w:rsidP="0067436F">
            <w:pPr>
              <w:pStyle w:val="TableText"/>
            </w:pPr>
          </w:p>
        </w:tc>
      </w:tr>
      <w:tr w:rsidR="00776FD4" w14:paraId="0D97E499" w14:textId="77777777" w:rsidTr="0067436F">
        <w:tc>
          <w:tcPr>
            <w:tcW w:w="3137" w:type="dxa"/>
            <w:vMerge/>
            <w:vAlign w:val="center"/>
          </w:tcPr>
          <w:p w14:paraId="11FA20B3" w14:textId="77777777" w:rsidR="00776FD4" w:rsidRPr="00776FD4" w:rsidRDefault="00776FD4" w:rsidP="0067436F">
            <w:pPr>
              <w:pStyle w:val="TableText"/>
            </w:pPr>
          </w:p>
        </w:tc>
        <w:tc>
          <w:tcPr>
            <w:tcW w:w="3116" w:type="dxa"/>
          </w:tcPr>
          <w:p w14:paraId="43C52168" w14:textId="77777777" w:rsidR="00776FD4" w:rsidRPr="00776FD4" w:rsidRDefault="00776FD4" w:rsidP="0067436F">
            <w:pPr>
              <w:pStyle w:val="TableText"/>
            </w:pPr>
            <w:r w:rsidRPr="00776FD4">
              <w:t>Extraordinary Circumstances Exception (ECE) Paper-Based and Web application+</w:t>
            </w:r>
          </w:p>
        </w:tc>
        <w:tc>
          <w:tcPr>
            <w:tcW w:w="3097" w:type="dxa"/>
            <w:vMerge/>
            <w:vAlign w:val="center"/>
          </w:tcPr>
          <w:p w14:paraId="7C9F7D53" w14:textId="77777777" w:rsidR="00776FD4" w:rsidRPr="00776FD4" w:rsidRDefault="00776FD4" w:rsidP="0067436F">
            <w:pPr>
              <w:pStyle w:val="TableText"/>
            </w:pPr>
          </w:p>
        </w:tc>
      </w:tr>
      <w:tr w:rsidR="007413A1" w14:paraId="3FF50D97" w14:textId="77777777" w:rsidTr="0067436F">
        <w:trPr>
          <w:trHeight w:val="818"/>
        </w:trPr>
        <w:tc>
          <w:tcPr>
            <w:tcW w:w="3137" w:type="dxa"/>
            <w:vMerge w:val="restart"/>
            <w:vAlign w:val="center"/>
          </w:tcPr>
          <w:p w14:paraId="17297669" w14:textId="77777777" w:rsidR="007413A1" w:rsidRPr="00776FD4" w:rsidRDefault="007413A1" w:rsidP="0067436F">
            <w:pPr>
              <w:pStyle w:val="TableText"/>
            </w:pPr>
            <w:r>
              <w:t>Measure Requirements</w:t>
            </w:r>
          </w:p>
          <w:p w14:paraId="2CB04FCB" w14:textId="1A9F1C19" w:rsidR="007413A1" w:rsidRPr="00776FD4" w:rsidRDefault="007413A1" w:rsidP="0067436F">
            <w:pPr>
              <w:pStyle w:val="TableText"/>
            </w:pPr>
          </w:p>
        </w:tc>
        <w:tc>
          <w:tcPr>
            <w:tcW w:w="3116" w:type="dxa"/>
          </w:tcPr>
          <w:p w14:paraId="02F1FAB0" w14:textId="4B468BDF" w:rsidR="007413A1" w:rsidRPr="000A0D7D" w:rsidRDefault="007413A1" w:rsidP="0067436F">
            <w:pPr>
              <w:pStyle w:val="TableText"/>
            </w:pPr>
            <w:r>
              <w:t>All Previously Finalized Measure Data Collection  Paper-Based and Web Application</w:t>
            </w:r>
          </w:p>
        </w:tc>
        <w:tc>
          <w:tcPr>
            <w:tcW w:w="3097" w:type="dxa"/>
            <w:vAlign w:val="center"/>
          </w:tcPr>
          <w:p w14:paraId="182AE08C" w14:textId="77777777" w:rsidR="007413A1" w:rsidRPr="00776FD4" w:rsidRDefault="007413A1" w:rsidP="0067436F">
            <w:pPr>
              <w:pStyle w:val="TableText"/>
            </w:pPr>
            <w:r>
              <w:t>No changes</w:t>
            </w:r>
          </w:p>
        </w:tc>
      </w:tr>
      <w:tr w:rsidR="00C13DA8" w14:paraId="4A778E40" w14:textId="77777777" w:rsidTr="0067436F">
        <w:tc>
          <w:tcPr>
            <w:tcW w:w="3137" w:type="dxa"/>
            <w:vMerge/>
            <w:vAlign w:val="center"/>
          </w:tcPr>
          <w:p w14:paraId="0D4F00FA" w14:textId="77777777" w:rsidR="00C13DA8" w:rsidRPr="00776FD4" w:rsidRDefault="00C13DA8" w:rsidP="0067436F">
            <w:pPr>
              <w:pStyle w:val="TableText"/>
            </w:pPr>
          </w:p>
        </w:tc>
        <w:tc>
          <w:tcPr>
            <w:tcW w:w="3116" w:type="dxa"/>
          </w:tcPr>
          <w:p w14:paraId="2AE52BDF" w14:textId="77777777" w:rsidR="00C13DA8" w:rsidRPr="000A0D7D" w:rsidRDefault="00C13DA8" w:rsidP="0067436F">
            <w:pPr>
              <w:pStyle w:val="TableText"/>
            </w:pPr>
            <w:r>
              <w:t xml:space="preserve">NHSN/CDC MRSA and CDI* </w:t>
            </w:r>
          </w:p>
        </w:tc>
        <w:tc>
          <w:tcPr>
            <w:tcW w:w="3097" w:type="dxa"/>
            <w:vAlign w:val="center"/>
          </w:tcPr>
          <w:p w14:paraId="34D0D491" w14:textId="6B8D2FDA" w:rsidR="00C13DA8" w:rsidRPr="00776FD4" w:rsidRDefault="00C13DA8" w:rsidP="0067436F">
            <w:pPr>
              <w:pStyle w:val="TableText"/>
            </w:pPr>
            <w:r>
              <w:t>Burden estimated by CDC</w:t>
            </w:r>
          </w:p>
        </w:tc>
      </w:tr>
      <w:tr w:rsidR="00C13DA8" w14:paraId="30C1ACFD" w14:textId="77777777" w:rsidTr="0067436F">
        <w:tc>
          <w:tcPr>
            <w:tcW w:w="3137" w:type="dxa"/>
            <w:vMerge/>
          </w:tcPr>
          <w:p w14:paraId="67990357" w14:textId="77777777" w:rsidR="00C13DA8" w:rsidRDefault="00C13DA8" w:rsidP="0067436F">
            <w:pPr>
              <w:pStyle w:val="TableText"/>
            </w:pPr>
          </w:p>
        </w:tc>
        <w:tc>
          <w:tcPr>
            <w:tcW w:w="3116" w:type="dxa"/>
          </w:tcPr>
          <w:p w14:paraId="7422157E" w14:textId="7BE20C09" w:rsidR="00C13DA8" w:rsidRDefault="00C13DA8" w:rsidP="0067436F">
            <w:pPr>
              <w:pStyle w:val="TableText"/>
            </w:pPr>
            <w:r>
              <w:t>NHSN/CDC Influenza Vaccination Coverage Among Healthcare Personnel*</w:t>
            </w:r>
            <w:r w:rsidR="003F6454">
              <w:t>*</w:t>
            </w:r>
          </w:p>
        </w:tc>
        <w:tc>
          <w:tcPr>
            <w:tcW w:w="3097" w:type="dxa"/>
            <w:vAlign w:val="center"/>
          </w:tcPr>
          <w:p w14:paraId="5A9F6A66" w14:textId="67D1FFE6" w:rsidR="00C13DA8" w:rsidRPr="00776FD4" w:rsidRDefault="00C13DA8" w:rsidP="0067436F">
            <w:pPr>
              <w:pStyle w:val="TableText"/>
            </w:pPr>
            <w:r>
              <w:t>See Statement A for burden estimates</w:t>
            </w:r>
          </w:p>
        </w:tc>
      </w:tr>
    </w:tbl>
    <w:p w14:paraId="111628E6" w14:textId="77777777" w:rsidR="00B02DDC" w:rsidRPr="00D272DB" w:rsidRDefault="00776FD4" w:rsidP="0077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DB">
        <w:rPr>
          <w:rFonts w:ascii="Times New Roman" w:hAnsi="Times New Roman" w:cs="Times New Roman"/>
          <w:sz w:val="24"/>
          <w:szCs w:val="24"/>
        </w:rPr>
        <w:t xml:space="preserve">Note: </w:t>
      </w:r>
      <w:r w:rsidRPr="00D272D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D272DB">
        <w:rPr>
          <w:rFonts w:ascii="Times New Roman" w:hAnsi="Times New Roman" w:cs="Times New Roman"/>
          <w:sz w:val="24"/>
          <w:szCs w:val="24"/>
        </w:rPr>
        <w:t xml:space="preserve"> Submitted under the Hospital IQR program. We continue to use a standard ECE form.</w:t>
      </w:r>
    </w:p>
    <w:p w14:paraId="11CA6356" w14:textId="7E53149C" w:rsidR="003F6454" w:rsidRPr="00D272DB" w:rsidRDefault="00C13DA8" w:rsidP="003F6454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272DB">
        <w:rPr>
          <w:rFonts w:ascii="Times New Roman" w:hAnsi="Times New Roman" w:cs="Times New Roman"/>
          <w:sz w:val="24"/>
          <w:szCs w:val="24"/>
        </w:rPr>
        <w:t>*</w:t>
      </w:r>
      <w:r w:rsidRPr="00D272DB">
        <w:rPr>
          <w:rFonts w:ascii="Times New Roman" w:hAnsi="Times New Roman" w:cs="Times New Roman"/>
        </w:rPr>
        <w:t xml:space="preserve"> </w:t>
      </w:r>
      <w:r w:rsidRPr="00D272DB">
        <w:rPr>
          <w:rFonts w:ascii="Times New Roman" w:hAnsi="Times New Roman" w:cs="Times New Roman"/>
          <w:sz w:val="24"/>
          <w:szCs w:val="24"/>
        </w:rPr>
        <w:t>Measures covered under OMB Control Number 0920-0666</w:t>
      </w:r>
      <w:r w:rsidR="003F6454" w:rsidRPr="00D272DB">
        <w:rPr>
          <w:rFonts w:ascii="Times New Roman" w:hAnsi="Times New Roman" w:cs="Times New Roman"/>
          <w:sz w:val="24"/>
          <w:szCs w:val="24"/>
        </w:rPr>
        <w:t xml:space="preserve"> – approved forms and    </w:t>
      </w:r>
    </w:p>
    <w:p w14:paraId="1A2BC1DE" w14:textId="02010323" w:rsidR="00C13DA8" w:rsidRPr="00D272DB" w:rsidRDefault="003F6454" w:rsidP="003F6454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272DB">
        <w:rPr>
          <w:rFonts w:ascii="Times New Roman" w:hAnsi="Times New Roman" w:cs="Times New Roman"/>
          <w:sz w:val="24"/>
          <w:szCs w:val="24"/>
        </w:rPr>
        <w:t xml:space="preserve">    documentation available at </w:t>
      </w:r>
      <w:hyperlink r:id="rId7" w:history="1">
        <w:r w:rsidRPr="00D272DB">
          <w:rPr>
            <w:rStyle w:val="Hyperlink"/>
            <w:rFonts w:ascii="Times New Roman" w:hAnsi="Times New Roman" w:cs="Times New Roman"/>
            <w:sz w:val="24"/>
            <w:szCs w:val="24"/>
          </w:rPr>
          <w:t>http://www.cdc.gov/nhsn/acute-care-hospital/cdiff-mrsa/</w:t>
        </w:r>
      </w:hyperlink>
      <w:r w:rsidRPr="00D27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A618C" w14:textId="617D8C28" w:rsidR="003F6454" w:rsidRPr="00D272DB" w:rsidRDefault="003F6454" w:rsidP="003F6454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D272DB">
        <w:rPr>
          <w:rFonts w:ascii="Times New Roman" w:hAnsi="Times New Roman" w:cs="Times New Roman"/>
        </w:rPr>
        <w:t xml:space="preserve">** Measure covered under OMB Control Number 0920-0666 – approved documentation available at </w:t>
      </w:r>
      <w:hyperlink r:id="rId8" w:history="1">
        <w:r w:rsidRPr="00D272DB">
          <w:rPr>
            <w:rStyle w:val="Hyperlink"/>
            <w:rFonts w:ascii="Times New Roman" w:hAnsi="Times New Roman" w:cs="Times New Roman"/>
          </w:rPr>
          <w:t>http://www.cdc.gov/flu/toolkit/long-term-care/reporting.htm</w:t>
        </w:r>
      </w:hyperlink>
      <w:r w:rsidRPr="00D272DB">
        <w:rPr>
          <w:rFonts w:ascii="Times New Roman" w:hAnsi="Times New Roman" w:cs="Times New Roman"/>
        </w:rPr>
        <w:t xml:space="preserve"> </w:t>
      </w:r>
    </w:p>
    <w:sectPr w:rsidR="003F6454" w:rsidRPr="00D27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078C1" w14:textId="77777777" w:rsidR="00316942" w:rsidRDefault="00316942" w:rsidP="003B471C">
      <w:pPr>
        <w:spacing w:after="0" w:line="240" w:lineRule="auto"/>
      </w:pPr>
      <w:r>
        <w:separator/>
      </w:r>
    </w:p>
  </w:endnote>
  <w:endnote w:type="continuationSeparator" w:id="0">
    <w:p w14:paraId="06C9A269" w14:textId="77777777" w:rsidR="00316942" w:rsidRDefault="00316942" w:rsidP="003B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26AF6" w14:textId="77777777" w:rsidR="00316942" w:rsidRDefault="00316942" w:rsidP="003B471C">
      <w:pPr>
        <w:spacing w:after="0" w:line="240" w:lineRule="auto"/>
      </w:pPr>
      <w:r>
        <w:separator/>
      </w:r>
    </w:p>
  </w:footnote>
  <w:footnote w:type="continuationSeparator" w:id="0">
    <w:p w14:paraId="14AD2930" w14:textId="77777777" w:rsidR="00316942" w:rsidRDefault="00316942" w:rsidP="003B4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DC"/>
    <w:rsid w:val="0001008D"/>
    <w:rsid w:val="001B73E9"/>
    <w:rsid w:val="001E277A"/>
    <w:rsid w:val="00225A05"/>
    <w:rsid w:val="00245587"/>
    <w:rsid w:val="00281A1A"/>
    <w:rsid w:val="002A214B"/>
    <w:rsid w:val="002C74CA"/>
    <w:rsid w:val="00316942"/>
    <w:rsid w:val="003B471C"/>
    <w:rsid w:val="003D3C53"/>
    <w:rsid w:val="003F6454"/>
    <w:rsid w:val="0052189A"/>
    <w:rsid w:val="00577CA2"/>
    <w:rsid w:val="00634890"/>
    <w:rsid w:val="00661ABB"/>
    <w:rsid w:val="0067436F"/>
    <w:rsid w:val="007413A1"/>
    <w:rsid w:val="00747A3F"/>
    <w:rsid w:val="00750348"/>
    <w:rsid w:val="00776FD4"/>
    <w:rsid w:val="0078799A"/>
    <w:rsid w:val="007A2B6F"/>
    <w:rsid w:val="00850A0B"/>
    <w:rsid w:val="00AB190C"/>
    <w:rsid w:val="00AD6F38"/>
    <w:rsid w:val="00AF1084"/>
    <w:rsid w:val="00B02DDC"/>
    <w:rsid w:val="00B65546"/>
    <w:rsid w:val="00BD07F3"/>
    <w:rsid w:val="00C010D7"/>
    <w:rsid w:val="00C13DA8"/>
    <w:rsid w:val="00C55974"/>
    <w:rsid w:val="00D272DB"/>
    <w:rsid w:val="00EE66FE"/>
    <w:rsid w:val="00F0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832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2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D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3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DA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64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71C"/>
  </w:style>
  <w:style w:type="paragraph" w:styleId="Footer">
    <w:name w:val="footer"/>
    <w:basedOn w:val="Normal"/>
    <w:link w:val="FooterChar"/>
    <w:uiPriority w:val="99"/>
    <w:unhideWhenUsed/>
    <w:rsid w:val="003B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71C"/>
  </w:style>
  <w:style w:type="paragraph" w:customStyle="1" w:styleId="TableCaption">
    <w:name w:val="Table Caption"/>
    <w:basedOn w:val="Normal"/>
    <w:qFormat/>
    <w:rsid w:val="0067436F"/>
    <w:pPr>
      <w:jc w:val="center"/>
    </w:pPr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TableColumnHeading">
    <w:name w:val="Table Column Heading"/>
    <w:basedOn w:val="Normal"/>
    <w:qFormat/>
    <w:rsid w:val="0067436F"/>
    <w:pPr>
      <w:jc w:val="center"/>
    </w:pPr>
    <w:rPr>
      <w:rFonts w:ascii="Times New Roman" w:hAnsi="Times New Roman" w:cs="Times New Roman"/>
      <w:b/>
    </w:rPr>
  </w:style>
  <w:style w:type="paragraph" w:customStyle="1" w:styleId="TableText">
    <w:name w:val="Table Text"/>
    <w:basedOn w:val="Normal"/>
    <w:qFormat/>
    <w:rsid w:val="0067436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flu/toolkit/long-term-care/reporting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nhsn/acute-care-hospital/cdiff-mrs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741A5-DA3A-411B-91BB-4AAE568A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2015-05-07T18:03:00Z</dcterms:created>
  <dcterms:modified xsi:type="dcterms:W3CDTF">2015-05-08T12:28:00Z</dcterms:modified>
</cp:coreProperties>
</file>