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4AB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6940218B" w14:textId="77777777" w:rsidR="00437DA2" w:rsidRPr="00CB15F5"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CB15F5">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C53C90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55320B4" w14:textId="77777777" w:rsidR="00016546" w:rsidRPr="000D13B3" w:rsidRDefault="00016546" w:rsidP="00016546">
      <w:pPr>
        <w:spacing w:after="0" w:line="240" w:lineRule="auto"/>
        <w:rPr>
          <w:rFonts w:cs="Arial"/>
          <w:sz w:val="18"/>
          <w:szCs w:val="18"/>
        </w:rPr>
      </w:pPr>
    </w:p>
    <w:p w14:paraId="311A5E1A" w14:textId="7A4C586E"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B421F0">
        <w:rPr>
          <w:rFonts w:cs="Arial"/>
          <w:sz w:val="18"/>
          <w:szCs w:val="18"/>
        </w:rPr>
        <w:t>4/9</w:t>
      </w:r>
      <w:r w:rsidR="002F689B">
        <w:rPr>
          <w:rFonts w:cs="Arial"/>
          <w:sz w:val="18"/>
          <w:szCs w:val="18"/>
        </w:rPr>
        <w:t>/2018</w:t>
      </w:r>
    </w:p>
    <w:p w14:paraId="5B98D493" w14:textId="24FB3671" w:rsidR="00016546" w:rsidRPr="000D13B3" w:rsidRDefault="00391556" w:rsidP="00391556">
      <w:pPr>
        <w:tabs>
          <w:tab w:val="left" w:pos="1980"/>
          <w:tab w:val="left" w:pos="3330"/>
          <w:tab w:val="left" w:pos="5040"/>
        </w:tabs>
        <w:spacing w:after="0" w:line="360" w:lineRule="auto"/>
        <w:rPr>
          <w:rFonts w:cs="Arial"/>
        </w:rPr>
      </w:pPr>
      <w:r w:rsidRPr="000D13B3">
        <w:rPr>
          <w:rFonts w:cs="Arial"/>
          <w:b/>
        </w:rPr>
        <w:t>PROJECT TITLE</w:t>
      </w:r>
      <w:r w:rsidR="00DA5C9A" w:rsidRPr="000D13B3">
        <w:rPr>
          <w:rFonts w:cs="Arial"/>
          <w:b/>
        </w:rPr>
        <w:t>:</w:t>
      </w:r>
      <w:r w:rsidR="00B6572A">
        <w:rPr>
          <w:rFonts w:cs="Arial"/>
        </w:rPr>
        <w:t xml:space="preserve">  </w:t>
      </w:r>
      <w:r w:rsidR="00B6572A" w:rsidRPr="00B6572A">
        <w:rPr>
          <w:rFonts w:cstheme="minorHAnsi"/>
          <w:b/>
          <w:bCs/>
        </w:rPr>
        <w:t xml:space="preserve">Visitor Use </w:t>
      </w:r>
      <w:r w:rsidR="0034130F">
        <w:rPr>
          <w:rFonts w:cstheme="minorHAnsi"/>
          <w:b/>
          <w:bCs/>
        </w:rPr>
        <w:t xml:space="preserve">and </w:t>
      </w:r>
      <w:r w:rsidR="002F689B">
        <w:rPr>
          <w:rFonts w:cstheme="minorHAnsi"/>
          <w:b/>
          <w:bCs/>
        </w:rPr>
        <w:t>Threshold Testing</w:t>
      </w:r>
      <w:r w:rsidR="00B6572A" w:rsidRPr="00B6572A">
        <w:rPr>
          <w:rFonts w:cstheme="minorHAnsi"/>
          <w:b/>
          <w:bCs/>
        </w:rPr>
        <w:t xml:space="preserve"> at Theodore Roosevelt National Park</w:t>
      </w:r>
    </w:p>
    <w:p w14:paraId="111FF009"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1AFBE0D0" w14:textId="2D66A250" w:rsidR="003D58CD" w:rsidRPr="00BF4894" w:rsidRDefault="003D58CD" w:rsidP="00F531D3">
      <w:pPr>
        <w:tabs>
          <w:tab w:val="left" w:pos="1800"/>
        </w:tabs>
        <w:spacing w:after="0"/>
        <w:rPr>
          <w:rFonts w:ascii="Calibri" w:eastAsia="Times New Roman" w:hAnsi="Calibri" w:cs="TimesNewRomanPSMT"/>
          <w:i/>
          <w:szCs w:val="24"/>
        </w:rPr>
      </w:pPr>
      <w:r w:rsidRPr="003D58CD">
        <w:rPr>
          <w:rFonts w:ascii="Calibri" w:eastAsia="Times New Roman" w:hAnsi="Calibri" w:cs="TimesNewRomanPSMT"/>
          <w:i/>
          <w:szCs w:val="24"/>
        </w:rPr>
        <w:t>Many outdoor recreation activities, such as hiking and wildlife viewing, may cause impacts to the resources and to the visitor experience. Potential impacts to trails include increased muddiness, compaction, rutting, and erosion. Potential social conflicts tend to revolve around shared use with other visitors, and crowding.  With an increased use of parks and protected areas, understanding impacts of this increased use, both physically and socially, is of critical importance in order to maintain the resources of Theodore Roosevelt National Park and parks like it. This study was designed to collect data about levels, types, patterns, and impacts of visitor activities at Theodore Roosevelt National Park in North Dakota, and thus, help inform the ongoing and future planning process related to visitor use management.</w:t>
      </w:r>
      <w:r w:rsidR="00DC21E3">
        <w:rPr>
          <w:rFonts w:ascii="Calibri" w:eastAsia="Times New Roman" w:hAnsi="Calibri" w:cs="TimesNewRomanPSMT"/>
          <w:i/>
          <w:szCs w:val="24"/>
        </w:rPr>
        <w:t xml:space="preserve">  This is phase two of the study that will help to identify the thresholds of quality that visitors are willing to accept for various activities in the park.</w:t>
      </w:r>
    </w:p>
    <w:p w14:paraId="4BEC4302"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41D38D73" w14:textId="3082B29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Name:</w:t>
      </w:r>
      <w:r w:rsidRPr="002E6066">
        <w:rPr>
          <w:rFonts w:cs="Arial"/>
        </w:rPr>
        <w:tab/>
      </w:r>
      <w:r w:rsidR="00B4689F">
        <w:rPr>
          <w:rFonts w:cstheme="minorHAnsi"/>
        </w:rPr>
        <w:t>Ryan Sharp</w:t>
      </w:r>
      <w:r w:rsidR="002E6066" w:rsidRPr="002E6066">
        <w:rPr>
          <w:rFonts w:cstheme="minorHAnsi"/>
        </w:rPr>
        <w:t>, PhD</w:t>
      </w:r>
    </w:p>
    <w:p w14:paraId="6BE659EE" w14:textId="210B526F"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B4689F">
        <w:rPr>
          <w:rFonts w:cstheme="minorHAnsi"/>
          <w:bCs/>
        </w:rPr>
        <w:t>Kansas State University</w:t>
      </w:r>
      <w:r w:rsidRPr="002E6066">
        <w:rPr>
          <w:rFonts w:cs="Arial"/>
        </w:rPr>
        <w:tab/>
      </w:r>
    </w:p>
    <w:p w14:paraId="7F14E18A" w14:textId="4A66298A"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B4689F">
        <w:rPr>
          <w:rFonts w:ascii="Calibri" w:eastAsia="Times New Roman" w:hAnsi="Calibri" w:cs="Calibri"/>
        </w:rPr>
        <w:t>2021 Throckmorton, Manhattan, KS 66506</w:t>
      </w:r>
    </w:p>
    <w:p w14:paraId="5F1D627E" w14:textId="4C547C55"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B4689F">
        <w:rPr>
          <w:rFonts w:ascii="Calibri" w:eastAsia="Times New Roman" w:hAnsi="Calibri" w:cs="Calibri"/>
        </w:rPr>
        <w:t>785-</w:t>
      </w:r>
      <w:r w:rsidR="00E71A73">
        <w:rPr>
          <w:rFonts w:ascii="Calibri" w:eastAsia="Times New Roman" w:hAnsi="Calibri" w:cs="Calibri"/>
        </w:rPr>
        <w:t>532-1665</w:t>
      </w:r>
    </w:p>
    <w:p w14:paraId="05586341" w14:textId="6032A39E"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hyperlink r:id="rId8" w:history="1">
        <w:r w:rsidR="00E71A73">
          <w:rPr>
            <w:rFonts w:ascii="Calibri" w:eastAsia="Times New Roman" w:hAnsi="Calibri" w:cs="Calibri"/>
            <w:color w:val="0000FF"/>
            <w:u w:val="single"/>
          </w:rPr>
          <w:t>ryansharp@ksu.edu</w:t>
        </w:r>
      </w:hyperlink>
    </w:p>
    <w:p w14:paraId="2AE4622C"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1696F63F" w14:textId="2B85EBA1"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E71A73">
        <w:rPr>
          <w:rFonts w:cstheme="minorHAnsi"/>
          <w:bCs/>
          <w:szCs w:val="20"/>
        </w:rPr>
        <w:t>Chad Sexton</w:t>
      </w:r>
    </w:p>
    <w:p w14:paraId="38719492" w14:textId="4BAD475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002E6066">
        <w:rPr>
          <w:rFonts w:cs="Arial"/>
        </w:rPr>
        <w:t>Park:</w:t>
      </w:r>
      <w:r w:rsidRPr="000D13B3">
        <w:rPr>
          <w:rFonts w:cs="Arial"/>
        </w:rPr>
        <w:tab/>
      </w:r>
      <w:r w:rsidR="00E71A73">
        <w:rPr>
          <w:rFonts w:cstheme="minorHAnsi"/>
          <w:bCs/>
          <w:szCs w:val="20"/>
        </w:rPr>
        <w:t>Theodore Roosevelt National Park</w:t>
      </w:r>
    </w:p>
    <w:p w14:paraId="785D7C07" w14:textId="5196DC3A" w:rsidR="00F531D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E71A73">
        <w:rPr>
          <w:rFonts w:cstheme="minorHAnsi"/>
          <w:bCs/>
          <w:szCs w:val="20"/>
        </w:rPr>
        <w:t>315 2</w:t>
      </w:r>
      <w:r w:rsidR="00E71A73" w:rsidRPr="00217C05">
        <w:rPr>
          <w:rFonts w:cstheme="minorHAnsi"/>
          <w:bCs/>
          <w:szCs w:val="20"/>
          <w:vertAlign w:val="superscript"/>
        </w:rPr>
        <w:t>nd</w:t>
      </w:r>
      <w:r w:rsidR="00E71A73">
        <w:rPr>
          <w:rFonts w:cstheme="minorHAnsi"/>
          <w:bCs/>
          <w:szCs w:val="20"/>
        </w:rPr>
        <w:t xml:space="preserve"> Ave, Medora, ND 58645</w:t>
      </w:r>
      <w:r w:rsidR="00F531D3" w:rsidRPr="00F531D3">
        <w:rPr>
          <w:rFonts w:cs="Arial"/>
        </w:rPr>
        <w:t xml:space="preserve"> </w:t>
      </w:r>
    </w:p>
    <w:p w14:paraId="356C1453" w14:textId="238B6E12" w:rsidR="00947B88" w:rsidRPr="000D13B3" w:rsidRDefault="00F531D3" w:rsidP="0065616C">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F531D3">
        <w:rPr>
          <w:rFonts w:cstheme="minorHAnsi"/>
          <w:bCs/>
          <w:szCs w:val="20"/>
        </w:rPr>
        <w:t xml:space="preserve"> </w:t>
      </w:r>
      <w:r w:rsidR="002E6066">
        <w:rPr>
          <w:rFonts w:cstheme="minorHAnsi"/>
          <w:bCs/>
          <w:szCs w:val="20"/>
        </w:rPr>
        <w:tab/>
      </w:r>
      <w:r w:rsidR="00E71A73">
        <w:rPr>
          <w:rFonts w:ascii="Calibri" w:eastAsia="Times New Roman" w:hAnsi="Calibri" w:cs="Calibri"/>
          <w:sz w:val="20"/>
          <w:szCs w:val="20"/>
        </w:rPr>
        <w:t>701-623-4730</w:t>
      </w:r>
    </w:p>
    <w:p w14:paraId="5D3F964A" w14:textId="7950BB35" w:rsidR="003D58CD" w:rsidRDefault="00947B88" w:rsidP="001732DC">
      <w:pPr>
        <w:pBdr>
          <w:bottom w:val="single" w:sz="48" w:space="1" w:color="76923C" w:themeColor="accent3" w:themeShade="BF"/>
        </w:pBdr>
        <w:tabs>
          <w:tab w:val="left" w:pos="360"/>
          <w:tab w:val="left" w:pos="1440"/>
          <w:tab w:val="left" w:pos="5040"/>
          <w:tab w:val="left" w:pos="5760"/>
        </w:tabs>
        <w:spacing w:after="0" w:line="360" w:lineRule="auto"/>
        <w:rPr>
          <w:rFonts w:cs="Arial"/>
          <w:b/>
        </w:rPr>
      </w:pPr>
      <w:r w:rsidRPr="000D13B3">
        <w:rPr>
          <w:rFonts w:cs="Arial"/>
        </w:rPr>
        <w:tab/>
        <w:t>Email:</w:t>
      </w:r>
      <w:r w:rsidRPr="000D13B3">
        <w:rPr>
          <w:rFonts w:cs="Arial"/>
        </w:rPr>
        <w:tab/>
      </w:r>
      <w:r w:rsidR="00E71A73">
        <w:t>chad_sexton@nps.gov</w:t>
      </w:r>
    </w:p>
    <w:p w14:paraId="6B75735D"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13D7B8DD" w14:textId="77777777"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w:t>
      </w:r>
      <w:r w:rsidR="00F531D3">
        <w:rPr>
          <w:rFonts w:cs="Arial"/>
        </w:rPr>
        <w:t>ill the collection take pla</w:t>
      </w:r>
      <w:r w:rsidR="00B96EA2">
        <w:rPr>
          <w:rFonts w:cs="Arial"/>
        </w:rPr>
        <w:t>c</w:t>
      </w:r>
      <w:r w:rsidR="00F531D3">
        <w:rPr>
          <w:rFonts w:cs="Arial"/>
        </w:rPr>
        <w:t xml:space="preserve">e? </w:t>
      </w:r>
      <w:r w:rsidR="00B96EA2" w:rsidRPr="00B96EA2">
        <w:rPr>
          <w:rFonts w:ascii="Calibri" w:eastAsia="Times New Roman" w:hAnsi="Calibri" w:cs="Calibri"/>
        </w:rPr>
        <w:t>Theodore Roosevelt National Park (THRO)</w:t>
      </w:r>
    </w:p>
    <w:p w14:paraId="55DBB659" w14:textId="5E5A77D0"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BF4894">
        <w:rPr>
          <w:rFonts w:cs="Arial"/>
        </w:rPr>
        <w:t>May 2018</w:t>
      </w:r>
      <w:r w:rsidR="00F531D3">
        <w:rPr>
          <w:rFonts w:cs="Arial"/>
        </w:rPr>
        <w:t xml:space="preserve">    </w:t>
      </w:r>
      <w:r w:rsidR="00B96EA2">
        <w:rPr>
          <w:rFonts w:cs="Arial"/>
        </w:rPr>
        <w:tab/>
      </w:r>
      <w:r w:rsidR="00F531D3">
        <w:rPr>
          <w:rFonts w:cs="Arial"/>
        </w:rPr>
        <w:t xml:space="preserve">Sampling Period End Date:  </w:t>
      </w:r>
      <w:r w:rsidR="00BF4894">
        <w:rPr>
          <w:rFonts w:cs="Arial"/>
        </w:rPr>
        <w:t>October</w:t>
      </w:r>
      <w:r w:rsidR="00F531D3">
        <w:rPr>
          <w:rFonts w:cs="Arial"/>
        </w:rPr>
        <w:t xml:space="preserve"> 201</w:t>
      </w:r>
      <w:r w:rsidR="002E6066">
        <w:rPr>
          <w:rFonts w:cs="Arial"/>
        </w:rPr>
        <w:t>8</w:t>
      </w:r>
    </w:p>
    <w:p w14:paraId="68EF59C8"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41544B9C"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A3"/>
      </w:r>
      <w:r w:rsidRPr="000D13B3">
        <w:rPr>
          <w:rFonts w:cs="Arial"/>
        </w:rPr>
        <w:t xml:space="preserve">  Mail-Back Questionnaire</w:t>
      </w:r>
      <w:r w:rsidRPr="000D13B3">
        <w:rPr>
          <w:rFonts w:cs="Arial"/>
        </w:rPr>
        <w:tab/>
      </w:r>
      <w:r w:rsidR="00F531D3" w:rsidRPr="00F531D3">
        <w:rPr>
          <w:rFonts w:cs="Arial"/>
          <w:sz w:val="28"/>
          <w:szCs w:val="28"/>
        </w:rPr>
        <w:sym w:font="Wingdings 2" w:char="F0A3"/>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14:paraId="59E58679"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54"/>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p>
    <w:p w14:paraId="5564B1E3" w14:textId="2B5B8585"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Other (List)  </w:t>
      </w:r>
    </w:p>
    <w:p w14:paraId="13093AD1" w14:textId="77777777" w:rsidR="00B96EA2"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p>
    <w:p w14:paraId="6422263C" w14:textId="77777777" w:rsidR="00BB4F22" w:rsidRPr="000D13B3" w:rsidRDefault="00B96EA2"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00BB4F22" w:rsidRPr="000D13B3">
        <w:rPr>
          <w:rFonts w:cs="Arial"/>
        </w:rPr>
        <w:t xml:space="preserve">  No  </w:t>
      </w:r>
      <w:r>
        <w:rPr>
          <w:rFonts w:cs="Arial"/>
          <w:sz w:val="28"/>
          <w:szCs w:val="28"/>
        </w:rPr>
        <w:sym w:font="Wingdings 2" w:char="F054"/>
      </w:r>
      <w:r w:rsidR="00BB4F22" w:rsidRPr="000D13B3">
        <w:rPr>
          <w:rFonts w:cs="Arial"/>
        </w:rPr>
        <w:t xml:space="preserve">  Yes – Type of Device:  </w:t>
      </w:r>
      <w:r w:rsidRPr="00B96EA2">
        <w:rPr>
          <w:rFonts w:cs="Arial"/>
        </w:rPr>
        <w:t>tablet computer (e.g. i-Pad)</w:t>
      </w:r>
    </w:p>
    <w:p w14:paraId="0D21C27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632EDE18" w14:textId="77777777" w:rsidR="00BB4F22" w:rsidRPr="000D13B3"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80B30C3" w14:textId="77777777" w:rsidR="00B96EA2" w:rsidRDefault="00B96EA2" w:rsidP="00B96EA2">
      <w:pPr>
        <w:pStyle w:val="NoSpacing"/>
      </w:pPr>
    </w:p>
    <w:p w14:paraId="7A4C55E7" w14:textId="08E6CE7A" w:rsidR="00B96EA2" w:rsidRPr="00B96EA2" w:rsidRDefault="00535739" w:rsidP="00B96EA2">
      <w:pPr>
        <w:spacing w:line="360" w:lineRule="auto"/>
        <w:rPr>
          <w:rFonts w:eastAsia="Times New Roman" w:cstheme="minorHAnsi"/>
        </w:rPr>
      </w:pPr>
      <w:r>
        <w:rPr>
          <w:rFonts w:eastAsia="Times New Roman" w:cstheme="minorHAnsi"/>
        </w:rPr>
        <w:t xml:space="preserve">According to the interagency Visitor Use Management Council, </w:t>
      </w:r>
      <w:r w:rsidRPr="00535739">
        <w:rPr>
          <w:rFonts w:eastAsia="Times New Roman" w:cstheme="minorHAnsi"/>
          <w:i/>
        </w:rPr>
        <w:t>“visitor use management is the</w:t>
      </w:r>
      <w:r w:rsidRPr="007E15B6">
        <w:rPr>
          <w:rFonts w:eastAsia="Times New Roman" w:cstheme="minorHAnsi"/>
        </w:rPr>
        <w:t xml:space="preserve"> proactive</w:t>
      </w:r>
      <w:r w:rsidRPr="00535739">
        <w:rPr>
          <w:rFonts w:eastAsia="Times New Roman" w:cstheme="minorHAnsi"/>
          <w:i/>
        </w:rPr>
        <w:t xml:space="preserve"> and adaptive process for managing characteristics of visitor use and the natural and managerial setting using a variety of strategies and tools to achieve and maintain desired resource conditions and visitor experiences</w:t>
      </w:r>
      <w:r>
        <w:rPr>
          <w:rFonts w:eastAsia="Times New Roman" w:cstheme="minorHAnsi"/>
        </w:rPr>
        <w:t xml:space="preserve"> (IVUMC, 2017)</w:t>
      </w:r>
      <w:r w:rsidRPr="00535739">
        <w:rPr>
          <w:rFonts w:eastAsia="Times New Roman" w:cstheme="minorHAnsi"/>
        </w:rPr>
        <w:t>.</w:t>
      </w:r>
      <w:r>
        <w:rPr>
          <w:rFonts w:eastAsia="Times New Roman" w:cstheme="minorHAnsi"/>
        </w:rPr>
        <w:t>”  This study at Theodore Roosevelt National Park (THRO) was initiated to be a proactive study of visitor use in the park.  THRO saw an increase in visitation from 559,580 visitors in 2014 to 753,880 in 2016, an increase of over 20%.  This increase in visitation alerted park managers to the need to better understand their visitors and the impacts that they may have if visitation remains high and/or continues to increase.  Although managers have not seen (anecdotal</w:t>
      </w:r>
      <w:r w:rsidR="00E95D1F">
        <w:rPr>
          <w:rFonts w:eastAsia="Times New Roman" w:cstheme="minorHAnsi"/>
        </w:rPr>
        <w:t>ly</w:t>
      </w:r>
      <w:r>
        <w:rPr>
          <w:rFonts w:eastAsia="Times New Roman" w:cstheme="minorHAnsi"/>
        </w:rPr>
        <w:t>) any significant impacts to the ecological or experiential conditions in the park, they decided to initiate a study to prepare, proactively, for impacts that may arise</w:t>
      </w:r>
      <w:r w:rsidR="00E95D1F">
        <w:rPr>
          <w:rFonts w:eastAsia="Times New Roman" w:cstheme="minorHAnsi"/>
        </w:rPr>
        <w:t xml:space="preserve"> if</w:t>
      </w:r>
      <w:r>
        <w:rPr>
          <w:rFonts w:eastAsia="Times New Roman" w:cstheme="minorHAnsi"/>
        </w:rPr>
        <w:t xml:space="preserve"> visitation continues to increase.  The mangers also wanted to understand if pulses of use may have any impacts on how visitors </w:t>
      </w:r>
      <w:r w:rsidR="00E95D1F">
        <w:rPr>
          <w:rFonts w:eastAsia="Times New Roman" w:cstheme="minorHAnsi"/>
        </w:rPr>
        <w:t>perceive</w:t>
      </w:r>
      <w:r>
        <w:rPr>
          <w:rFonts w:eastAsia="Times New Roman" w:cstheme="minorHAnsi"/>
        </w:rPr>
        <w:t xml:space="preserve"> their experience.  For these reason t</w:t>
      </w:r>
      <w:r w:rsidR="00B96EA2" w:rsidRPr="00B96EA2">
        <w:rPr>
          <w:rFonts w:eastAsia="Times New Roman" w:cstheme="minorHAnsi"/>
        </w:rPr>
        <w:t xml:space="preserve">he overall purpose of this collection is to gather information </w:t>
      </w:r>
      <w:r w:rsidR="00C86DD2">
        <w:rPr>
          <w:rFonts w:eastAsia="Times New Roman" w:cstheme="minorHAnsi"/>
        </w:rPr>
        <w:t>to</w:t>
      </w:r>
      <w:r w:rsidR="00B96EA2" w:rsidRPr="00B96EA2">
        <w:rPr>
          <w:rFonts w:eastAsia="Times New Roman" w:cstheme="minorHAnsi"/>
        </w:rPr>
        <w:t xml:space="preserve"> support</w:t>
      </w:r>
      <w:r>
        <w:rPr>
          <w:rFonts w:eastAsia="Times New Roman" w:cstheme="minorHAnsi"/>
        </w:rPr>
        <w:t xml:space="preserve"> proactive</w:t>
      </w:r>
      <w:r w:rsidR="00B96EA2" w:rsidRPr="00B96EA2">
        <w:rPr>
          <w:rFonts w:eastAsia="Times New Roman" w:cstheme="minorHAnsi"/>
        </w:rPr>
        <w:t xml:space="preserve"> </w:t>
      </w:r>
      <w:r w:rsidR="001732DC">
        <w:rPr>
          <w:rFonts w:eastAsia="Times New Roman" w:cstheme="minorHAnsi"/>
        </w:rPr>
        <w:t>V</w:t>
      </w:r>
      <w:r w:rsidR="00B96EA2" w:rsidRPr="00B96EA2">
        <w:rPr>
          <w:rFonts w:eastAsia="Times New Roman" w:cstheme="minorHAnsi"/>
        </w:rPr>
        <w:t xml:space="preserve">isitor </w:t>
      </w:r>
      <w:r w:rsidR="001732DC">
        <w:rPr>
          <w:rFonts w:eastAsia="Times New Roman" w:cstheme="minorHAnsi"/>
        </w:rPr>
        <w:t>U</w:t>
      </w:r>
      <w:r w:rsidR="00B96EA2" w:rsidRPr="00B96EA2">
        <w:rPr>
          <w:rFonts w:eastAsia="Times New Roman" w:cstheme="minorHAnsi"/>
        </w:rPr>
        <w:t xml:space="preserve">se </w:t>
      </w:r>
      <w:r w:rsidR="001732DC">
        <w:rPr>
          <w:rFonts w:eastAsia="Times New Roman" w:cstheme="minorHAnsi"/>
        </w:rPr>
        <w:t>M</w:t>
      </w:r>
      <w:r w:rsidR="00B96EA2" w:rsidRPr="00B96EA2">
        <w:rPr>
          <w:rFonts w:eastAsia="Times New Roman" w:cstheme="minorHAnsi"/>
        </w:rPr>
        <w:t xml:space="preserve">anagement (VUM) planning </w:t>
      </w:r>
      <w:r w:rsidR="00C86DD2">
        <w:rPr>
          <w:rFonts w:eastAsia="Times New Roman" w:cstheme="minorHAnsi"/>
        </w:rPr>
        <w:t>efforts and</w:t>
      </w:r>
      <w:r w:rsidR="00B96EA2" w:rsidRPr="00B96EA2">
        <w:rPr>
          <w:rFonts w:eastAsia="Times New Roman" w:cstheme="minorHAnsi"/>
        </w:rPr>
        <w:t xml:space="preserve"> inform </w:t>
      </w:r>
      <w:r w:rsidR="001732DC">
        <w:rPr>
          <w:rFonts w:eastAsia="Times New Roman" w:cstheme="minorHAnsi"/>
        </w:rPr>
        <w:t>THRO</w:t>
      </w:r>
      <w:r w:rsidR="001732DC" w:rsidRPr="00B96EA2">
        <w:rPr>
          <w:rFonts w:eastAsia="Times New Roman" w:cstheme="minorHAnsi"/>
        </w:rPr>
        <w:t xml:space="preserve"> </w:t>
      </w:r>
      <w:r w:rsidR="00B96EA2" w:rsidRPr="00B96EA2">
        <w:rPr>
          <w:rFonts w:eastAsia="Times New Roman" w:cstheme="minorHAnsi"/>
        </w:rPr>
        <w:t>manager</w:t>
      </w:r>
      <w:r w:rsidR="00B96EA2">
        <w:rPr>
          <w:rFonts w:eastAsia="Times New Roman" w:cstheme="minorHAnsi"/>
        </w:rPr>
        <w:t>’</w:t>
      </w:r>
      <w:r w:rsidR="00B96EA2" w:rsidRPr="00B96EA2">
        <w:rPr>
          <w:rFonts w:eastAsia="Times New Roman" w:cstheme="minorHAnsi"/>
        </w:rPr>
        <w:t>s</w:t>
      </w:r>
      <w:r w:rsidR="00B96EA2">
        <w:rPr>
          <w:rFonts w:eastAsia="Times New Roman" w:cstheme="minorHAnsi"/>
        </w:rPr>
        <w:t xml:space="preserve"> decisions </w:t>
      </w:r>
      <w:r w:rsidR="00C86DD2">
        <w:rPr>
          <w:rFonts w:eastAsia="Times New Roman" w:cstheme="minorHAnsi"/>
        </w:rPr>
        <w:t xml:space="preserve">to </w:t>
      </w:r>
      <w:r w:rsidR="00B96EA2" w:rsidRPr="00B96EA2">
        <w:rPr>
          <w:rFonts w:eastAsia="Times New Roman" w:cstheme="minorHAnsi"/>
        </w:rPr>
        <w:t>provid</w:t>
      </w:r>
      <w:r w:rsidR="00C86DD2">
        <w:rPr>
          <w:rFonts w:eastAsia="Times New Roman" w:cstheme="minorHAnsi"/>
        </w:rPr>
        <w:t>e</w:t>
      </w:r>
      <w:r w:rsidR="00B96EA2" w:rsidRPr="00B96EA2">
        <w:rPr>
          <w:rFonts w:eastAsia="Times New Roman" w:cstheme="minorHAnsi"/>
        </w:rPr>
        <w:t xml:space="preserve"> sustainable and appropriate visitor experiences </w:t>
      </w:r>
      <w:r w:rsidR="00C86DD2">
        <w:rPr>
          <w:rFonts w:eastAsia="Times New Roman" w:cstheme="minorHAnsi"/>
        </w:rPr>
        <w:t>with</w:t>
      </w:r>
      <w:r w:rsidR="00B96EA2" w:rsidRPr="00B96EA2">
        <w:rPr>
          <w:rFonts w:eastAsia="Times New Roman" w:cstheme="minorHAnsi"/>
        </w:rPr>
        <w:t xml:space="preserve">in the park. </w:t>
      </w:r>
      <w:r w:rsidR="00DC21E3">
        <w:rPr>
          <w:rFonts w:eastAsia="Times New Roman" w:cstheme="minorHAnsi"/>
        </w:rPr>
        <w:t xml:space="preserve">This is part two of an ongoing study.  Last year information was collected to inform indicators and this study will use this inform to develop thresholds for those identified indicators. </w:t>
      </w:r>
      <w:r w:rsidR="00B96EA2" w:rsidRPr="00B96EA2">
        <w:rPr>
          <w:rFonts w:eastAsia="Times New Roman" w:cstheme="minorHAnsi"/>
        </w:rPr>
        <w:t xml:space="preserve">This study </w:t>
      </w:r>
      <w:r w:rsidR="00905909">
        <w:rPr>
          <w:rFonts w:eastAsia="Times New Roman" w:cstheme="minorHAnsi"/>
        </w:rPr>
        <w:t>will use an on-site survey instrument to</w:t>
      </w:r>
      <w:r w:rsidR="00B96EA2" w:rsidRPr="00B96EA2">
        <w:rPr>
          <w:rFonts w:eastAsia="Times New Roman" w:cstheme="minorHAnsi"/>
        </w:rPr>
        <w:t xml:space="preserve">: </w:t>
      </w:r>
    </w:p>
    <w:p w14:paraId="60C7BB5E" w14:textId="5DA2A170" w:rsidR="00B96EA2" w:rsidRPr="00B96EA2" w:rsidRDefault="001732DC" w:rsidP="007E15B6">
      <w:pPr>
        <w:pStyle w:val="ListParagraph"/>
        <w:numPr>
          <w:ilvl w:val="0"/>
          <w:numId w:val="14"/>
        </w:numPr>
        <w:ind w:left="720"/>
      </w:pPr>
      <w:r>
        <w:t>U</w:t>
      </w:r>
      <w:r w:rsidR="00B96EA2" w:rsidRPr="00B96EA2">
        <w:t>nderstand current conditions and for comparison to future monitoring efforts;</w:t>
      </w:r>
    </w:p>
    <w:p w14:paraId="696BEDD2" w14:textId="5CB1DE79" w:rsidR="00B96EA2" w:rsidRDefault="00B96EA2" w:rsidP="007E15B6">
      <w:pPr>
        <w:pStyle w:val="ListParagraph"/>
        <w:numPr>
          <w:ilvl w:val="0"/>
          <w:numId w:val="14"/>
        </w:numPr>
        <w:ind w:left="720"/>
      </w:pPr>
      <w:r w:rsidRPr="00B96EA2">
        <w:t>Inform larger visitor use management</w:t>
      </w:r>
      <w:r w:rsidR="00382B19">
        <w:t xml:space="preserve"> plans</w:t>
      </w:r>
      <w:r w:rsidRPr="00B96EA2">
        <w:t xml:space="preserve"> </w:t>
      </w:r>
      <w:r w:rsidR="00382B19">
        <w:t xml:space="preserve">by </w:t>
      </w:r>
      <w:r w:rsidR="00905909">
        <w:t>identif</w:t>
      </w:r>
      <w:r w:rsidR="00382B19">
        <w:t>ying</w:t>
      </w:r>
      <w:r w:rsidR="00DC21E3">
        <w:t xml:space="preserve"> </w:t>
      </w:r>
      <w:r w:rsidR="00905909" w:rsidRPr="00B96EA2">
        <w:t xml:space="preserve">thresholds </w:t>
      </w:r>
      <w:r w:rsidR="00382B19">
        <w:t xml:space="preserve">that may affect visitor </w:t>
      </w:r>
      <w:r w:rsidR="00905909" w:rsidRPr="00B96EA2">
        <w:t>management strategies</w:t>
      </w:r>
    </w:p>
    <w:p w14:paraId="7A0C0291" w14:textId="77777777" w:rsidR="00EE7E74" w:rsidRPr="00EE7E74" w:rsidRDefault="00EE7E74" w:rsidP="00EE7E74">
      <w:r w:rsidRPr="00EE7E74">
        <w:lastRenderedPageBreak/>
        <w:t>Study findings will be used to:</w:t>
      </w:r>
    </w:p>
    <w:p w14:paraId="39CB7601" w14:textId="77777777" w:rsidR="00EE7E74" w:rsidRPr="00EE7E74" w:rsidRDefault="00EE7E74" w:rsidP="00EE7E74">
      <w:pPr>
        <w:numPr>
          <w:ilvl w:val="0"/>
          <w:numId w:val="12"/>
        </w:numPr>
      </w:pPr>
      <w:r w:rsidRPr="00EE7E74">
        <w:t>Provide baseline data for understanding current conditions and for comparison to future monitoring efforts;</w:t>
      </w:r>
    </w:p>
    <w:p w14:paraId="4D7ACB9F" w14:textId="6ECF13D0" w:rsidR="00EE7E74" w:rsidRPr="00EE7E74" w:rsidRDefault="002F689B" w:rsidP="00EE7E74">
      <w:pPr>
        <w:numPr>
          <w:ilvl w:val="0"/>
          <w:numId w:val="12"/>
        </w:numPr>
      </w:pPr>
      <w:r>
        <w:t>Inform larger visitor use management</w:t>
      </w:r>
      <w:r w:rsidR="00EE7E74" w:rsidRPr="00EE7E74">
        <w:t xml:space="preserve"> planning processes at </w:t>
      </w:r>
      <w:r>
        <w:t>THRO</w:t>
      </w:r>
      <w:r w:rsidR="00EE7E74" w:rsidRPr="00EE7E74">
        <w:t xml:space="preserve"> </w:t>
      </w:r>
    </w:p>
    <w:p w14:paraId="7AE262A2" w14:textId="7529A6ED" w:rsidR="00EE7E74" w:rsidRPr="00EE7E74" w:rsidRDefault="00EE7E74" w:rsidP="00EE7E74">
      <w:pPr>
        <w:numPr>
          <w:ilvl w:val="0"/>
          <w:numId w:val="12"/>
        </w:numPr>
      </w:pPr>
      <w:r w:rsidRPr="00EE7E74">
        <w:t>Update existing plans where appropriate</w:t>
      </w:r>
      <w:r w:rsidR="002F689B">
        <w:t xml:space="preserve"> [e.g., Final Master Plan</w:t>
      </w:r>
      <w:r w:rsidRPr="00EE7E74">
        <w:t xml:space="preserve">; </w:t>
      </w:r>
      <w:r w:rsidR="002F689B">
        <w:t>Backcountry Management Plan</w:t>
      </w:r>
      <w:r w:rsidRPr="00EE7E74">
        <w:t xml:space="preserve">; </w:t>
      </w:r>
      <w:r w:rsidR="002F689B">
        <w:t>Wilderness Plan]</w:t>
      </w:r>
      <w:r w:rsidRPr="00EE7E74">
        <w:t xml:space="preserve">   </w:t>
      </w:r>
    </w:p>
    <w:p w14:paraId="59EED2D1" w14:textId="77777777" w:rsidR="00EE7E74" w:rsidRPr="00EE7E74" w:rsidRDefault="00EE7E74" w:rsidP="00EE7E74">
      <w:pPr>
        <w:numPr>
          <w:ilvl w:val="0"/>
          <w:numId w:val="12"/>
        </w:numPr>
      </w:pPr>
      <w:r w:rsidRPr="00EE7E74">
        <w:t>Inform potential management action aimed at maintaining high quality visitor experiences and protecting ecological and cultural resources.  Potential actions informed by this project may include but are not limited redistributing use, site hardening and infrastructure improvement, permitting and allocation, interpretation design and delivery, and public communication. and</w:t>
      </w:r>
    </w:p>
    <w:p w14:paraId="25BCDF83" w14:textId="6FC46AC3" w:rsidR="00EE7E74" w:rsidRPr="00EE7E74" w:rsidRDefault="00EE7E74" w:rsidP="00EE7E74">
      <w:pPr>
        <w:numPr>
          <w:ilvl w:val="0"/>
          <w:numId w:val="12"/>
        </w:numPr>
      </w:pPr>
      <w:r w:rsidRPr="00EE7E74">
        <w:t>Provide data that will inform thresholds</w:t>
      </w:r>
      <w:r w:rsidR="002F689B">
        <w:t xml:space="preserve"> for indicators that were identified in previous research activities.</w:t>
      </w:r>
      <w:r w:rsidRPr="00EE7E74">
        <w:t xml:space="preserve"> </w:t>
      </w:r>
    </w:p>
    <w:p w14:paraId="7CB7AC21" w14:textId="0148CF77" w:rsidR="00EE7E74" w:rsidRPr="00EE7E74" w:rsidRDefault="002F689B" w:rsidP="00EE7E74">
      <w:r>
        <w:t xml:space="preserve">The </w:t>
      </w:r>
      <w:r w:rsidR="00EE7E74" w:rsidRPr="00EE7E74">
        <w:t>on-site questionnaires will be used</w:t>
      </w:r>
      <w:r>
        <w:t xml:space="preserve"> to</w:t>
      </w:r>
      <w:r w:rsidR="00EE7E74" w:rsidRPr="00EE7E74">
        <w:t xml:space="preserve"> collect the specific information from visitors at each of the intercept locations each of the following locations in the park. </w:t>
      </w:r>
    </w:p>
    <w:p w14:paraId="03678D9E" w14:textId="6FC5FF82" w:rsidR="00930E45" w:rsidRDefault="00930E45" w:rsidP="00930E45">
      <w:pPr>
        <w:tabs>
          <w:tab w:val="left" w:pos="360"/>
          <w:tab w:val="left" w:pos="720"/>
          <w:tab w:val="left" w:pos="1440"/>
          <w:tab w:val="left" w:pos="2160"/>
          <w:tab w:val="left" w:pos="3600"/>
          <w:tab w:val="left" w:pos="5040"/>
          <w:tab w:val="left" w:pos="5760"/>
        </w:tabs>
        <w:spacing w:after="0" w:line="360" w:lineRule="auto"/>
        <w:rPr>
          <w:rFonts w:cs="Arial"/>
          <w:b/>
        </w:rPr>
      </w:pPr>
    </w:p>
    <w:p w14:paraId="4179B3FE" w14:textId="6E3B2977" w:rsidR="00BB4F22" w:rsidRPr="000D13B3" w:rsidRDefault="00DD4CE9" w:rsidP="00930E45">
      <w:pPr>
        <w:pBdr>
          <w:top w:val="single" w:sz="36"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FAF515" w14:textId="77777777" w:rsidR="00E95952" w:rsidRPr="005150A2"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5150A2">
        <w:rPr>
          <w:rFonts w:cs="Arial"/>
          <w:b/>
        </w:rPr>
        <w:t xml:space="preserve">Respondent Universe:  </w:t>
      </w:r>
    </w:p>
    <w:p w14:paraId="5A99105A" w14:textId="43183050" w:rsidR="00B96EA2" w:rsidRDefault="00B96EA2" w:rsidP="005A79ED">
      <w:pPr>
        <w:spacing w:line="360" w:lineRule="auto"/>
        <w:rPr>
          <w:rFonts w:cstheme="minorHAnsi"/>
        </w:rPr>
      </w:pPr>
      <w:r>
        <w:rPr>
          <w:rFonts w:cstheme="minorHAnsi"/>
        </w:rPr>
        <w:t>The respondent universe for this collection will be a systematic sample of</w:t>
      </w:r>
      <w:r w:rsidR="001732DC">
        <w:rPr>
          <w:rFonts w:cstheme="minorHAnsi"/>
        </w:rPr>
        <w:t xml:space="preserve"> all </w:t>
      </w:r>
      <w:r w:rsidR="00382B19">
        <w:rPr>
          <w:rFonts w:cstheme="minorHAnsi"/>
        </w:rPr>
        <w:t>adult recreation users (</w:t>
      </w:r>
      <w:r>
        <w:rPr>
          <w:rFonts w:cstheme="minorHAnsi"/>
        </w:rPr>
        <w:t>age 18 and older</w:t>
      </w:r>
      <w:r w:rsidR="00382B19">
        <w:rPr>
          <w:rFonts w:cstheme="minorHAnsi"/>
        </w:rPr>
        <w:t>)</w:t>
      </w:r>
      <w:r>
        <w:rPr>
          <w:rFonts w:cstheme="minorHAnsi"/>
        </w:rPr>
        <w:t xml:space="preserve">, </w:t>
      </w:r>
      <w:r w:rsidR="00382B19">
        <w:rPr>
          <w:rFonts w:cstheme="minorHAnsi"/>
        </w:rPr>
        <w:t>at the</w:t>
      </w:r>
      <w:r w:rsidR="005150A2">
        <w:rPr>
          <w:rFonts w:cstheme="minorHAnsi"/>
        </w:rPr>
        <w:t xml:space="preserve"> following</w:t>
      </w:r>
      <w:r w:rsidR="00382B19">
        <w:rPr>
          <w:rFonts w:cstheme="minorHAnsi"/>
        </w:rPr>
        <w:t xml:space="preserve"> intercept locations </w:t>
      </w:r>
      <w:r>
        <w:rPr>
          <w:rFonts w:cstheme="minorHAnsi"/>
        </w:rPr>
        <w:t>during the study periods (August 2017 - June 2018)</w:t>
      </w:r>
      <w:r w:rsidRPr="006133FE">
        <w:rPr>
          <w:rFonts w:cstheme="minorHAnsi"/>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5712"/>
      </w:tblGrid>
      <w:tr w:rsidR="00AE79B6" w:rsidRPr="00EE7E74" w14:paraId="73BB3D6A" w14:textId="77777777" w:rsidTr="00555AB2">
        <w:tc>
          <w:tcPr>
            <w:tcW w:w="3600" w:type="dxa"/>
          </w:tcPr>
          <w:p w14:paraId="597F3B6A" w14:textId="77777777" w:rsidR="00AE79B6" w:rsidRPr="00EE7E74" w:rsidRDefault="00AE79B6" w:rsidP="00DF4773">
            <w:pPr>
              <w:spacing w:after="200" w:line="276" w:lineRule="auto"/>
            </w:pPr>
            <w:r>
              <w:t>A</w:t>
            </w:r>
            <w:r w:rsidRPr="00EE7E74">
              <w:t>ll intercept locations</w:t>
            </w:r>
          </w:p>
        </w:tc>
        <w:tc>
          <w:tcPr>
            <w:tcW w:w="5712" w:type="dxa"/>
          </w:tcPr>
          <w:p w14:paraId="01173E3C" w14:textId="77777777" w:rsidR="00AE79B6" w:rsidRPr="00EE7E74" w:rsidRDefault="00AE79B6" w:rsidP="00DF4773">
            <w:pPr>
              <w:numPr>
                <w:ilvl w:val="0"/>
                <w:numId w:val="15"/>
              </w:numPr>
              <w:spacing w:after="200" w:line="276" w:lineRule="auto"/>
            </w:pPr>
            <w:r w:rsidRPr="00EE7E74">
              <w:t>Individual characteristics</w:t>
            </w:r>
            <w:r>
              <w:t>, t</w:t>
            </w:r>
            <w:r w:rsidRPr="00EE7E74">
              <w:t>rip/visit characteristics</w:t>
            </w:r>
            <w:r>
              <w:t xml:space="preserve">, </w:t>
            </w:r>
            <w:r w:rsidRPr="00EE7E74">
              <w:t>Individual activities</w:t>
            </w:r>
          </w:p>
        </w:tc>
      </w:tr>
      <w:tr w:rsidR="00AE79B6" w:rsidRPr="00EE7E74" w14:paraId="42E25CC1" w14:textId="77777777" w:rsidTr="00555AB2">
        <w:tc>
          <w:tcPr>
            <w:tcW w:w="3600" w:type="dxa"/>
          </w:tcPr>
          <w:p w14:paraId="712FFF7F" w14:textId="77777777" w:rsidR="00AE79B6" w:rsidRPr="00EE7E74" w:rsidRDefault="00AE79B6" w:rsidP="00DF4773">
            <w:pPr>
              <w:spacing w:after="200" w:line="276" w:lineRule="auto"/>
            </w:pPr>
            <w:r>
              <w:t>Loop Road – South Unit</w:t>
            </w:r>
          </w:p>
        </w:tc>
        <w:tc>
          <w:tcPr>
            <w:tcW w:w="5712" w:type="dxa"/>
          </w:tcPr>
          <w:p w14:paraId="59699768" w14:textId="77777777" w:rsidR="00AE79B6" w:rsidRPr="00EE7E74" w:rsidRDefault="00AE79B6" w:rsidP="00DF4773">
            <w:pPr>
              <w:numPr>
                <w:ilvl w:val="0"/>
                <w:numId w:val="15"/>
              </w:numPr>
              <w:spacing w:after="200" w:line="276" w:lineRule="auto"/>
            </w:pPr>
            <w:r w:rsidRPr="00EE7E74">
              <w:t>Users’ perceptions of crowding</w:t>
            </w:r>
            <w:r>
              <w:t xml:space="preserve"> at wildlife viewing areas, roadside pull offs and attraction sites (Boicort)</w:t>
            </w:r>
          </w:p>
        </w:tc>
      </w:tr>
      <w:tr w:rsidR="00AE79B6" w:rsidRPr="00EE7E74" w14:paraId="0215B9C8" w14:textId="77777777" w:rsidTr="00555AB2">
        <w:tc>
          <w:tcPr>
            <w:tcW w:w="3600" w:type="dxa"/>
          </w:tcPr>
          <w:p w14:paraId="010D2824" w14:textId="77777777" w:rsidR="00AE79B6" w:rsidRPr="00EE7E74" w:rsidRDefault="00AE79B6" w:rsidP="00DF4773">
            <w:pPr>
              <w:spacing w:after="200" w:line="276" w:lineRule="auto"/>
            </w:pPr>
            <w:r>
              <w:t>Oxbow Overlook – North Unit</w:t>
            </w:r>
          </w:p>
        </w:tc>
        <w:tc>
          <w:tcPr>
            <w:tcW w:w="5712" w:type="dxa"/>
          </w:tcPr>
          <w:p w14:paraId="70C9A040" w14:textId="77777777" w:rsidR="00AE79B6" w:rsidRPr="00EE7E74" w:rsidRDefault="00AE79B6" w:rsidP="00DF4773">
            <w:pPr>
              <w:numPr>
                <w:ilvl w:val="0"/>
                <w:numId w:val="15"/>
              </w:numPr>
              <w:spacing w:after="200" w:line="276" w:lineRule="auto"/>
            </w:pPr>
            <w:r w:rsidRPr="00EE7E74">
              <w:t>Users’ perceptions of crowding</w:t>
            </w:r>
            <w:r>
              <w:t xml:space="preserve"> at the Oxbow Overlook</w:t>
            </w:r>
          </w:p>
        </w:tc>
      </w:tr>
      <w:tr w:rsidR="00AE79B6" w:rsidRPr="00EE7E74" w14:paraId="3921F151" w14:textId="77777777" w:rsidTr="00555AB2">
        <w:tc>
          <w:tcPr>
            <w:tcW w:w="3600" w:type="dxa"/>
          </w:tcPr>
          <w:p w14:paraId="1684D658" w14:textId="77777777" w:rsidR="00AE79B6" w:rsidRPr="00EE7E74" w:rsidRDefault="00AE79B6" w:rsidP="00DF4773">
            <w:pPr>
              <w:spacing w:after="200" w:line="276" w:lineRule="auto"/>
            </w:pPr>
            <w:r>
              <w:t>Riverbend Overlook – North Unit</w:t>
            </w:r>
          </w:p>
        </w:tc>
        <w:tc>
          <w:tcPr>
            <w:tcW w:w="5712" w:type="dxa"/>
          </w:tcPr>
          <w:p w14:paraId="011FB9A7" w14:textId="77777777" w:rsidR="00AE79B6" w:rsidRPr="00EE7E74" w:rsidRDefault="00AE79B6" w:rsidP="00DF4773">
            <w:pPr>
              <w:numPr>
                <w:ilvl w:val="0"/>
                <w:numId w:val="15"/>
              </w:numPr>
              <w:spacing w:after="200" w:line="276" w:lineRule="auto"/>
            </w:pPr>
            <w:r w:rsidRPr="00EE7E74">
              <w:t>Users’ perceptions of crowding</w:t>
            </w:r>
            <w:r>
              <w:t xml:space="preserve"> at the Riverbend Overlook</w:t>
            </w:r>
          </w:p>
        </w:tc>
      </w:tr>
    </w:tbl>
    <w:p w14:paraId="64E7259A" w14:textId="77777777" w:rsidR="00930E45" w:rsidRDefault="00930E45" w:rsidP="00930E45">
      <w:pPr>
        <w:pStyle w:val="ListParagraph"/>
      </w:pPr>
    </w:p>
    <w:p w14:paraId="0C5CFC3C" w14:textId="77777777" w:rsidR="00E95952" w:rsidRPr="002E6066"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E6066">
        <w:rPr>
          <w:rFonts w:cs="Arial"/>
          <w:b/>
        </w:rPr>
        <w:t xml:space="preserve">Sampling Plan / Procedures:  </w:t>
      </w:r>
    </w:p>
    <w:p w14:paraId="36A058DB" w14:textId="002EF645" w:rsidR="00CB15F5" w:rsidRDefault="00CB15F5" w:rsidP="00CB15F5">
      <w:pPr>
        <w:spacing w:line="360" w:lineRule="auto"/>
        <w:rPr>
          <w:rFonts w:cstheme="minorHAnsi"/>
        </w:rPr>
      </w:pPr>
      <w:r w:rsidRPr="00CB15F5">
        <w:rPr>
          <w:rFonts w:cstheme="minorHAnsi"/>
        </w:rPr>
        <w:t>According to the NPS visitor use s</w:t>
      </w:r>
      <w:r w:rsidR="00DC21E3">
        <w:rPr>
          <w:rFonts w:cstheme="minorHAnsi"/>
        </w:rPr>
        <w:t>tatistics, approximately 708,003 people visited the park in 2017</w:t>
      </w:r>
      <w:r w:rsidRPr="00CB15F5">
        <w:rPr>
          <w:rFonts w:cstheme="minorHAnsi"/>
        </w:rPr>
        <w:t xml:space="preserve">.  </w:t>
      </w:r>
      <w:r w:rsidR="00F44747">
        <w:rPr>
          <w:rFonts w:cstheme="minorHAnsi"/>
        </w:rPr>
        <w:t>O</w:t>
      </w:r>
      <w:r w:rsidRPr="00CB15F5">
        <w:rPr>
          <w:rFonts w:cstheme="minorHAnsi"/>
        </w:rPr>
        <w:t xml:space="preserve">ur sample </w:t>
      </w:r>
      <w:r w:rsidR="001732DC">
        <w:rPr>
          <w:rFonts w:cstheme="minorHAnsi"/>
        </w:rPr>
        <w:t xml:space="preserve">sizes </w:t>
      </w:r>
      <w:r w:rsidRPr="00CB15F5">
        <w:rPr>
          <w:rFonts w:cstheme="minorHAnsi"/>
        </w:rPr>
        <w:t>across the</w:t>
      </w:r>
      <w:r w:rsidR="00974F62">
        <w:rPr>
          <w:rFonts w:cstheme="minorHAnsi"/>
        </w:rPr>
        <w:t xml:space="preserve"> </w:t>
      </w:r>
      <w:r w:rsidRPr="00CB15F5">
        <w:rPr>
          <w:rFonts w:cstheme="minorHAnsi"/>
        </w:rPr>
        <w:t>Spring, Summer</w:t>
      </w:r>
      <w:r w:rsidR="00974F62">
        <w:rPr>
          <w:rFonts w:cstheme="minorHAnsi"/>
        </w:rPr>
        <w:t xml:space="preserve">, and </w:t>
      </w:r>
      <w:r w:rsidR="00974F62" w:rsidRPr="00CB15F5">
        <w:rPr>
          <w:rFonts w:cstheme="minorHAnsi"/>
        </w:rPr>
        <w:t xml:space="preserve">Fall </w:t>
      </w:r>
      <w:r w:rsidRPr="00CB15F5">
        <w:rPr>
          <w:rFonts w:cstheme="minorHAnsi"/>
        </w:rPr>
        <w:t xml:space="preserve">seasons, </w:t>
      </w:r>
      <w:r w:rsidR="001732DC">
        <w:rPr>
          <w:rFonts w:cstheme="minorHAnsi"/>
        </w:rPr>
        <w:t xml:space="preserve">is intended to </w:t>
      </w:r>
      <w:r w:rsidRPr="00CB15F5">
        <w:rPr>
          <w:rFonts w:cstheme="minorHAnsi"/>
        </w:rPr>
        <w:t>capture a representative sample for each location.  The numbers provided in the tables below are estimates based on previous studies, areas of high, medium and low use, and park manager input.</w:t>
      </w:r>
    </w:p>
    <w:p w14:paraId="00759741" w14:textId="5B9C0478" w:rsidR="00217C05" w:rsidRDefault="00DB03E8" w:rsidP="00CB15F5">
      <w:pPr>
        <w:spacing w:line="360" w:lineRule="auto"/>
        <w:rPr>
          <w:rFonts w:cstheme="minorHAnsi"/>
        </w:rPr>
      </w:pPr>
      <w:r w:rsidRPr="00DB03E8">
        <w:rPr>
          <w:rFonts w:cstheme="minorHAnsi"/>
        </w:rPr>
        <w:t>In order to accurately gauge experiences, all visitors will be approached at the end of their experience</w:t>
      </w:r>
      <w:r>
        <w:rPr>
          <w:rFonts w:cstheme="minorHAnsi"/>
        </w:rPr>
        <w:t xml:space="preserve"> as they are exiting the sampling areas</w:t>
      </w:r>
      <w:r w:rsidRPr="00DB03E8">
        <w:rPr>
          <w:rFonts w:cstheme="minorHAnsi"/>
        </w:rPr>
        <w:t>.</w:t>
      </w:r>
      <w:r>
        <w:rPr>
          <w:rFonts w:cstheme="minorHAnsi"/>
        </w:rPr>
        <w:t xml:space="preserve"> </w:t>
      </w:r>
      <w:r w:rsidR="00B96EA2">
        <w:rPr>
          <w:rFonts w:cstheme="minorHAnsi"/>
        </w:rPr>
        <w:t xml:space="preserve">Sampling will occur </w:t>
      </w:r>
      <w:r w:rsidR="00217C05">
        <w:rPr>
          <w:rFonts w:cstheme="minorHAnsi"/>
        </w:rPr>
        <w:t>at the entrance station in the South Unit and the</w:t>
      </w:r>
      <w:r w:rsidR="00B96EA2">
        <w:rPr>
          <w:rFonts w:cstheme="minorHAnsi"/>
        </w:rPr>
        <w:t xml:space="preserve"> overlooks at each of the locations listed </w:t>
      </w:r>
      <w:r>
        <w:rPr>
          <w:rFonts w:cstheme="minorHAnsi"/>
        </w:rPr>
        <w:t>below</w:t>
      </w:r>
      <w:r w:rsidR="00B96EA2">
        <w:rPr>
          <w:rFonts w:cstheme="minorHAnsi"/>
        </w:rPr>
        <w:t xml:space="preserve"> from </w:t>
      </w:r>
      <w:r w:rsidR="003F5DFD">
        <w:rPr>
          <w:rFonts w:cstheme="minorHAnsi"/>
        </w:rPr>
        <w:t>9</w:t>
      </w:r>
      <w:r w:rsidR="00B96EA2">
        <w:rPr>
          <w:rFonts w:cstheme="minorHAnsi"/>
        </w:rPr>
        <w:t xml:space="preserve">am to 5pm during </w:t>
      </w:r>
      <w:r w:rsidR="00E73FAC">
        <w:rPr>
          <w:rFonts w:cstheme="minorHAnsi"/>
        </w:rPr>
        <w:t>each</w:t>
      </w:r>
      <w:r w:rsidR="00B96EA2">
        <w:rPr>
          <w:rFonts w:cstheme="minorHAnsi"/>
        </w:rPr>
        <w:t xml:space="preserve"> </w:t>
      </w:r>
      <w:r w:rsidR="00C95F7D">
        <w:rPr>
          <w:rFonts w:cstheme="minorHAnsi"/>
        </w:rPr>
        <w:t xml:space="preserve">7-day </w:t>
      </w:r>
      <w:r w:rsidR="00B96EA2">
        <w:rPr>
          <w:rFonts w:cstheme="minorHAnsi"/>
        </w:rPr>
        <w:t>sampling period</w:t>
      </w:r>
      <w:r w:rsidR="00E73FAC">
        <w:rPr>
          <w:rFonts w:cstheme="minorHAnsi"/>
        </w:rPr>
        <w:t xml:space="preserve">: </w:t>
      </w:r>
      <w:r>
        <w:rPr>
          <w:rFonts w:cstheme="minorHAnsi"/>
        </w:rPr>
        <w:t>Spring (</w:t>
      </w:r>
      <w:r w:rsidR="00DC21E3">
        <w:rPr>
          <w:rFonts w:cstheme="minorHAnsi"/>
        </w:rPr>
        <w:t>May 25-31</w:t>
      </w:r>
      <w:r>
        <w:rPr>
          <w:rFonts w:cstheme="minorHAnsi"/>
        </w:rPr>
        <w:t>, 2018)</w:t>
      </w:r>
      <w:r w:rsidR="00E73FAC">
        <w:rPr>
          <w:rFonts w:cstheme="minorHAnsi"/>
        </w:rPr>
        <w:t>;</w:t>
      </w:r>
      <w:r>
        <w:rPr>
          <w:rFonts w:cstheme="minorHAnsi"/>
        </w:rPr>
        <w:t xml:space="preserve"> Summer (</w:t>
      </w:r>
      <w:r w:rsidR="00DC21E3">
        <w:rPr>
          <w:rFonts w:cstheme="minorHAnsi"/>
        </w:rPr>
        <w:t>August 9-15</w:t>
      </w:r>
      <w:r>
        <w:rPr>
          <w:rFonts w:cstheme="minorHAnsi"/>
        </w:rPr>
        <w:t>,</w:t>
      </w:r>
      <w:r w:rsidR="00B96EA2">
        <w:rPr>
          <w:rFonts w:cstheme="minorHAnsi"/>
        </w:rPr>
        <w:t xml:space="preserve"> 2018) </w:t>
      </w:r>
      <w:r w:rsidR="00DC21E3">
        <w:rPr>
          <w:rFonts w:cstheme="minorHAnsi"/>
        </w:rPr>
        <w:t>and Fall (Sept. 13-19, 2018), for a total of 21</w:t>
      </w:r>
      <w:r w:rsidR="00B96EA2">
        <w:rPr>
          <w:rFonts w:cstheme="minorHAnsi"/>
        </w:rPr>
        <w:t xml:space="preserve"> sampling days</w:t>
      </w:r>
      <w:r w:rsidR="003F5DFD">
        <w:rPr>
          <w:rFonts w:cstheme="minorHAnsi"/>
        </w:rPr>
        <w:t xml:space="preserve"> per site</w:t>
      </w:r>
      <w:r w:rsidR="00B96EA2">
        <w:rPr>
          <w:rFonts w:cstheme="minorHAnsi"/>
        </w:rPr>
        <w:t xml:space="preserve">.  </w:t>
      </w:r>
      <w:r w:rsidR="00872D28">
        <w:rPr>
          <w:rFonts w:cstheme="minorHAnsi"/>
        </w:rPr>
        <w:t>Table 1</w:t>
      </w:r>
      <w:r>
        <w:rPr>
          <w:rFonts w:cstheme="minorHAnsi"/>
        </w:rPr>
        <w:t xml:space="preserve"> below </w:t>
      </w:r>
      <w:r w:rsidR="00B96EA2">
        <w:rPr>
          <w:rFonts w:cstheme="minorHAnsi"/>
        </w:rPr>
        <w:t>provide an example of the proposed sampling schedule</w:t>
      </w:r>
      <w:r w:rsidR="00CB15F5">
        <w:rPr>
          <w:rFonts w:cstheme="minorHAnsi"/>
        </w:rPr>
        <w:t>.</w:t>
      </w:r>
    </w:p>
    <w:p w14:paraId="7F6BFC47" w14:textId="117CF1D5" w:rsidR="00872D28" w:rsidRPr="00872D28" w:rsidRDefault="00872D28" w:rsidP="00872D28">
      <w:pPr>
        <w:spacing w:after="120" w:line="360" w:lineRule="auto"/>
        <w:rPr>
          <w:rFonts w:cstheme="minorHAnsi"/>
          <w:b/>
        </w:rPr>
      </w:pPr>
      <w:r>
        <w:rPr>
          <w:rFonts w:cstheme="minorHAnsi"/>
          <w:b/>
        </w:rPr>
        <w:t>Table 1. Example Sampling Schedule</w:t>
      </w:r>
    </w:p>
    <w:tbl>
      <w:tblPr>
        <w:tblW w:w="8280" w:type="dxa"/>
        <w:tblInd w:w="720" w:type="dxa"/>
        <w:tblLayout w:type="fixed"/>
        <w:tblLook w:val="04A0" w:firstRow="1" w:lastRow="0" w:firstColumn="1" w:lastColumn="0" w:noHBand="0" w:noVBand="1"/>
      </w:tblPr>
      <w:tblGrid>
        <w:gridCol w:w="4303"/>
        <w:gridCol w:w="941"/>
        <w:gridCol w:w="999"/>
        <w:gridCol w:w="941"/>
        <w:gridCol w:w="1096"/>
      </w:tblGrid>
      <w:tr w:rsidR="00555AB2" w:rsidRPr="000D13B3" w14:paraId="289A3D0D" w14:textId="14A5174B" w:rsidTr="006962A0">
        <w:trPr>
          <w:trHeight w:val="453"/>
        </w:trPr>
        <w:tc>
          <w:tcPr>
            <w:tcW w:w="4303" w:type="dxa"/>
            <w:vMerge w:val="restart"/>
            <w:tcBorders>
              <w:top w:val="single" w:sz="8" w:space="0" w:color="76923C" w:themeColor="accent3" w:themeShade="BF"/>
            </w:tcBorders>
            <w:shd w:val="clear" w:color="auto" w:fill="auto"/>
            <w:noWrap/>
            <w:vAlign w:val="center"/>
          </w:tcPr>
          <w:p w14:paraId="2EA59CB4" w14:textId="6D863C97" w:rsidR="00555AB2" w:rsidRPr="00555AB2" w:rsidRDefault="00555AB2" w:rsidP="00C95F7D">
            <w:pPr>
              <w:autoSpaceDE w:val="0"/>
              <w:autoSpaceDN w:val="0"/>
              <w:spacing w:after="0" w:line="240" w:lineRule="auto"/>
              <w:rPr>
                <w:rFonts w:eastAsia="Times New Roman" w:cs="Calibri"/>
                <w:b/>
                <w:bCs/>
              </w:rPr>
            </w:pPr>
            <w:r w:rsidRPr="00555AB2">
              <w:rPr>
                <w:rFonts w:eastAsia="Times New Roman" w:cs="Calibri"/>
                <w:b/>
                <w:bCs/>
              </w:rPr>
              <w:t>Location</w:t>
            </w:r>
          </w:p>
        </w:tc>
        <w:tc>
          <w:tcPr>
            <w:tcW w:w="3977" w:type="dxa"/>
            <w:gridSpan w:val="4"/>
            <w:tcBorders>
              <w:top w:val="single" w:sz="8" w:space="0" w:color="76923C" w:themeColor="accent3" w:themeShade="BF"/>
              <w:bottom w:val="single" w:sz="4" w:space="0" w:color="auto"/>
            </w:tcBorders>
            <w:shd w:val="clear" w:color="auto" w:fill="76923C" w:themeFill="accent3" w:themeFillShade="BF"/>
            <w:noWrap/>
            <w:vAlign w:val="center"/>
          </w:tcPr>
          <w:p w14:paraId="1C7B4C2D" w14:textId="4D0EEB6D" w:rsidR="00555AB2" w:rsidRPr="00555AB2" w:rsidRDefault="00555AB2" w:rsidP="00905909">
            <w:pPr>
              <w:autoSpaceDE w:val="0"/>
              <w:autoSpaceDN w:val="0"/>
              <w:spacing w:after="0" w:line="240" w:lineRule="auto"/>
              <w:jc w:val="center"/>
              <w:rPr>
                <w:rFonts w:eastAsia="Times New Roman" w:cs="Calibri"/>
                <w:b/>
                <w:bCs/>
              </w:rPr>
            </w:pPr>
            <w:r w:rsidRPr="00555AB2">
              <w:rPr>
                <w:rFonts w:eastAsia="Times New Roman" w:cs="Calibri"/>
                <w:b/>
                <w:bCs/>
              </w:rPr>
              <w:t>Sampling Days Per Site</w:t>
            </w:r>
          </w:p>
        </w:tc>
      </w:tr>
      <w:tr w:rsidR="00E73FAC" w:rsidRPr="000D13B3" w14:paraId="53A55551" w14:textId="4126091A" w:rsidTr="00555AB2">
        <w:trPr>
          <w:trHeight w:val="517"/>
        </w:trPr>
        <w:tc>
          <w:tcPr>
            <w:tcW w:w="4303" w:type="dxa"/>
            <w:vMerge/>
            <w:shd w:val="clear" w:color="auto" w:fill="auto"/>
            <w:noWrap/>
            <w:vAlign w:val="center"/>
          </w:tcPr>
          <w:p w14:paraId="4024D186" w14:textId="79C3F476" w:rsidR="00E73FAC" w:rsidRPr="00555AB2" w:rsidRDefault="00E73FAC" w:rsidP="00905909">
            <w:pPr>
              <w:autoSpaceDE w:val="0"/>
              <w:autoSpaceDN w:val="0"/>
              <w:spacing w:after="0" w:line="240" w:lineRule="auto"/>
              <w:jc w:val="center"/>
              <w:rPr>
                <w:rFonts w:eastAsia="Times New Roman" w:cs="Calibri"/>
                <w:b/>
                <w:bCs/>
              </w:rPr>
            </w:pPr>
          </w:p>
        </w:tc>
        <w:tc>
          <w:tcPr>
            <w:tcW w:w="941"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5F86C530" w14:textId="2875E3A7" w:rsidR="00E73FAC" w:rsidRPr="00555AB2" w:rsidRDefault="00E73FAC" w:rsidP="00905909">
            <w:pPr>
              <w:spacing w:after="0" w:line="240" w:lineRule="auto"/>
              <w:jc w:val="center"/>
              <w:rPr>
                <w:rFonts w:eastAsia="Times New Roman" w:cs="Times New Roman"/>
                <w:b/>
                <w:color w:val="000000"/>
                <w:sz w:val="20"/>
                <w:szCs w:val="16"/>
              </w:rPr>
            </w:pPr>
            <w:r w:rsidRPr="00555AB2">
              <w:rPr>
                <w:rFonts w:eastAsia="Times New Roman" w:cs="Times New Roman"/>
                <w:b/>
                <w:color w:val="000000"/>
                <w:sz w:val="20"/>
                <w:szCs w:val="16"/>
              </w:rPr>
              <w:t>Spring (May)</w:t>
            </w:r>
          </w:p>
        </w:tc>
        <w:tc>
          <w:tcPr>
            <w:tcW w:w="999"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5047B587" w14:textId="697E725D" w:rsidR="00E73FAC" w:rsidRPr="00555AB2" w:rsidRDefault="00E73FAC" w:rsidP="00905909">
            <w:pPr>
              <w:spacing w:after="0" w:line="240" w:lineRule="auto"/>
              <w:jc w:val="center"/>
              <w:rPr>
                <w:rFonts w:eastAsia="Times New Roman" w:cs="Times New Roman"/>
                <w:b/>
                <w:color w:val="000000"/>
                <w:sz w:val="20"/>
                <w:szCs w:val="16"/>
              </w:rPr>
            </w:pPr>
            <w:r w:rsidRPr="00555AB2">
              <w:rPr>
                <w:rFonts w:eastAsia="Times New Roman" w:cs="Times New Roman"/>
                <w:b/>
                <w:color w:val="000000"/>
                <w:sz w:val="20"/>
                <w:szCs w:val="16"/>
              </w:rPr>
              <w:t>Summer (Aug.)</w:t>
            </w:r>
          </w:p>
        </w:tc>
        <w:tc>
          <w:tcPr>
            <w:tcW w:w="941"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14:paraId="39C4273E" w14:textId="77777777" w:rsidR="00E73FAC" w:rsidRPr="00555AB2" w:rsidRDefault="00E73FAC" w:rsidP="0048549C">
            <w:pPr>
              <w:spacing w:after="0" w:line="240" w:lineRule="auto"/>
              <w:jc w:val="center"/>
              <w:rPr>
                <w:rFonts w:eastAsia="Times New Roman" w:cs="Times New Roman"/>
                <w:b/>
                <w:color w:val="000000"/>
                <w:sz w:val="20"/>
                <w:szCs w:val="16"/>
              </w:rPr>
            </w:pPr>
            <w:r w:rsidRPr="00555AB2">
              <w:rPr>
                <w:rFonts w:eastAsia="Times New Roman" w:cs="Times New Roman"/>
                <w:b/>
                <w:color w:val="000000"/>
                <w:sz w:val="20"/>
                <w:szCs w:val="16"/>
              </w:rPr>
              <w:t xml:space="preserve">Fall </w:t>
            </w:r>
          </w:p>
          <w:p w14:paraId="6A0BD5E1" w14:textId="32F64F46" w:rsidR="00E73FAC" w:rsidRPr="00555AB2" w:rsidRDefault="00E73FAC" w:rsidP="0048549C">
            <w:pPr>
              <w:spacing w:after="0" w:line="240" w:lineRule="auto"/>
              <w:jc w:val="center"/>
              <w:rPr>
                <w:rFonts w:eastAsia="Times New Roman" w:cs="Times New Roman"/>
                <w:b/>
                <w:color w:val="000000"/>
                <w:sz w:val="20"/>
                <w:szCs w:val="16"/>
              </w:rPr>
            </w:pPr>
            <w:r w:rsidRPr="00555AB2">
              <w:rPr>
                <w:rFonts w:eastAsia="Times New Roman" w:cs="Times New Roman"/>
                <w:b/>
                <w:color w:val="000000"/>
                <w:sz w:val="20"/>
                <w:szCs w:val="16"/>
              </w:rPr>
              <w:t>(Sept.)</w:t>
            </w:r>
          </w:p>
        </w:tc>
        <w:tc>
          <w:tcPr>
            <w:tcW w:w="1096" w:type="dxa"/>
            <w:tcBorders>
              <w:top w:val="single" w:sz="4" w:space="0" w:color="auto"/>
              <w:left w:val="single" w:sz="8" w:space="0" w:color="76923C" w:themeColor="accent3" w:themeShade="BF"/>
              <w:bottom w:val="single" w:sz="4" w:space="0" w:color="auto"/>
            </w:tcBorders>
            <w:shd w:val="clear" w:color="auto" w:fill="C2D69B" w:themeFill="accent3" w:themeFillTint="99"/>
            <w:vAlign w:val="center"/>
          </w:tcPr>
          <w:p w14:paraId="6B381178" w14:textId="38EFAA19" w:rsidR="00E73FAC" w:rsidRPr="00555AB2" w:rsidRDefault="00E73FAC" w:rsidP="0048549C">
            <w:pPr>
              <w:spacing w:after="0" w:line="240" w:lineRule="auto"/>
              <w:jc w:val="center"/>
              <w:rPr>
                <w:rFonts w:eastAsia="Times New Roman" w:cs="Times New Roman"/>
                <w:b/>
                <w:color w:val="000000"/>
                <w:sz w:val="20"/>
                <w:szCs w:val="16"/>
              </w:rPr>
            </w:pPr>
            <w:r w:rsidRPr="00555AB2">
              <w:rPr>
                <w:rFonts w:eastAsia="Times New Roman" w:cs="Times New Roman"/>
                <w:b/>
                <w:color w:val="000000"/>
                <w:sz w:val="20"/>
                <w:szCs w:val="16"/>
              </w:rPr>
              <w:t>Total</w:t>
            </w:r>
          </w:p>
        </w:tc>
      </w:tr>
      <w:tr w:rsidR="00E73FAC" w:rsidRPr="000D13B3" w14:paraId="0827125F" w14:textId="61031F6E" w:rsidTr="00555AB2">
        <w:trPr>
          <w:trHeight w:val="357"/>
        </w:trPr>
        <w:tc>
          <w:tcPr>
            <w:tcW w:w="4303" w:type="dxa"/>
            <w:shd w:val="clear" w:color="auto" w:fill="auto"/>
            <w:noWrap/>
          </w:tcPr>
          <w:p w14:paraId="57605DEB" w14:textId="6A1ADE90" w:rsidR="00E73FAC" w:rsidRPr="00555AB2" w:rsidRDefault="00E73FAC" w:rsidP="00905909">
            <w:pPr>
              <w:autoSpaceDE w:val="0"/>
              <w:autoSpaceDN w:val="0"/>
              <w:spacing w:after="0" w:line="240" w:lineRule="auto"/>
              <w:rPr>
                <w:rFonts w:eastAsia="Times New Roman" w:cs="Calibri"/>
                <w:b/>
                <w:bCs/>
                <w:szCs w:val="20"/>
              </w:rPr>
            </w:pPr>
            <w:r w:rsidRPr="00555AB2">
              <w:rPr>
                <w:rFonts w:ascii="Calibri" w:hAnsi="Calibri" w:cs="Calibri"/>
                <w:b/>
              </w:rPr>
              <w:t>Loop Road South Unit Entrance Station</w:t>
            </w:r>
          </w:p>
        </w:tc>
        <w:tc>
          <w:tcPr>
            <w:tcW w:w="941" w:type="dxa"/>
            <w:tcBorders>
              <w:right w:val="single" w:sz="8" w:space="0" w:color="76923C" w:themeColor="accent3" w:themeShade="BF"/>
            </w:tcBorders>
            <w:shd w:val="clear" w:color="auto" w:fill="auto"/>
            <w:noWrap/>
            <w:vAlign w:val="center"/>
          </w:tcPr>
          <w:p w14:paraId="26FFDABD" w14:textId="716EA1E0"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999" w:type="dxa"/>
            <w:tcBorders>
              <w:left w:val="single" w:sz="8" w:space="0" w:color="76923C" w:themeColor="accent3" w:themeShade="BF"/>
              <w:right w:val="single" w:sz="8" w:space="0" w:color="76923C" w:themeColor="accent3" w:themeShade="BF"/>
            </w:tcBorders>
            <w:vAlign w:val="center"/>
          </w:tcPr>
          <w:p w14:paraId="40773A62" w14:textId="22A728E6"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941" w:type="dxa"/>
            <w:tcBorders>
              <w:left w:val="single" w:sz="8" w:space="0" w:color="76923C" w:themeColor="accent3" w:themeShade="BF"/>
            </w:tcBorders>
            <w:vAlign w:val="center"/>
          </w:tcPr>
          <w:p w14:paraId="3907A482" w14:textId="01D8CAA3"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1096" w:type="dxa"/>
            <w:tcBorders>
              <w:left w:val="single" w:sz="8" w:space="0" w:color="76923C" w:themeColor="accent3" w:themeShade="BF"/>
            </w:tcBorders>
          </w:tcPr>
          <w:p w14:paraId="4FD99C19" w14:textId="0FDD3076"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21</w:t>
            </w:r>
          </w:p>
        </w:tc>
      </w:tr>
      <w:tr w:rsidR="00E73FAC" w:rsidRPr="000D13B3" w14:paraId="54E31D09" w14:textId="6A463C74" w:rsidTr="00555AB2">
        <w:trPr>
          <w:trHeight w:val="223"/>
        </w:trPr>
        <w:tc>
          <w:tcPr>
            <w:tcW w:w="4303" w:type="dxa"/>
            <w:shd w:val="clear" w:color="auto" w:fill="auto"/>
            <w:noWrap/>
          </w:tcPr>
          <w:p w14:paraId="5FCB588E" w14:textId="14EA1737" w:rsidR="00E73FAC" w:rsidRPr="00555AB2" w:rsidRDefault="00E73FAC" w:rsidP="00905909">
            <w:pPr>
              <w:autoSpaceDE w:val="0"/>
              <w:autoSpaceDN w:val="0"/>
              <w:spacing w:after="0"/>
              <w:rPr>
                <w:rFonts w:eastAsia="Times New Roman" w:cs="Times New Roman"/>
                <w:szCs w:val="20"/>
              </w:rPr>
            </w:pPr>
            <w:r w:rsidRPr="00555AB2">
              <w:rPr>
                <w:rFonts w:ascii="Calibri" w:hAnsi="Calibri" w:cs="Calibri"/>
                <w:b/>
              </w:rPr>
              <w:t xml:space="preserve">Oxbow Overlook </w:t>
            </w:r>
          </w:p>
        </w:tc>
        <w:tc>
          <w:tcPr>
            <w:tcW w:w="941" w:type="dxa"/>
            <w:tcBorders>
              <w:right w:val="single" w:sz="8" w:space="0" w:color="76923C" w:themeColor="accent3" w:themeShade="BF"/>
            </w:tcBorders>
            <w:shd w:val="clear" w:color="auto" w:fill="auto"/>
            <w:noWrap/>
            <w:vAlign w:val="center"/>
          </w:tcPr>
          <w:p w14:paraId="171124AB" w14:textId="2680B87E"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999" w:type="dxa"/>
            <w:tcBorders>
              <w:left w:val="single" w:sz="8" w:space="0" w:color="76923C" w:themeColor="accent3" w:themeShade="BF"/>
              <w:right w:val="single" w:sz="8" w:space="0" w:color="76923C" w:themeColor="accent3" w:themeShade="BF"/>
            </w:tcBorders>
            <w:vAlign w:val="center"/>
          </w:tcPr>
          <w:p w14:paraId="07B868E0" w14:textId="29C5C1B5"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941" w:type="dxa"/>
            <w:tcBorders>
              <w:left w:val="single" w:sz="8" w:space="0" w:color="76923C" w:themeColor="accent3" w:themeShade="BF"/>
            </w:tcBorders>
            <w:vAlign w:val="center"/>
          </w:tcPr>
          <w:p w14:paraId="489C080E" w14:textId="22A509A2"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1096" w:type="dxa"/>
            <w:tcBorders>
              <w:left w:val="single" w:sz="8" w:space="0" w:color="76923C" w:themeColor="accent3" w:themeShade="BF"/>
            </w:tcBorders>
          </w:tcPr>
          <w:p w14:paraId="238A1206" w14:textId="3789CA34"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21</w:t>
            </w:r>
          </w:p>
        </w:tc>
      </w:tr>
      <w:tr w:rsidR="00E73FAC" w:rsidRPr="000D13B3" w14:paraId="0B50929E" w14:textId="02E22888" w:rsidTr="00555AB2">
        <w:trPr>
          <w:trHeight w:val="277"/>
        </w:trPr>
        <w:tc>
          <w:tcPr>
            <w:tcW w:w="4303" w:type="dxa"/>
            <w:tcBorders>
              <w:bottom w:val="single" w:sz="4" w:space="0" w:color="auto"/>
            </w:tcBorders>
            <w:shd w:val="clear" w:color="auto" w:fill="auto"/>
            <w:noWrap/>
          </w:tcPr>
          <w:p w14:paraId="27DDBEE2" w14:textId="4D074FC0" w:rsidR="00E73FAC" w:rsidRPr="00555AB2" w:rsidRDefault="00E73FAC" w:rsidP="00E078B5">
            <w:pPr>
              <w:autoSpaceDE w:val="0"/>
              <w:autoSpaceDN w:val="0"/>
              <w:spacing w:after="0" w:line="240" w:lineRule="auto"/>
              <w:rPr>
                <w:rFonts w:eastAsia="Times New Roman" w:cs="Calibri"/>
                <w:b/>
              </w:rPr>
            </w:pPr>
            <w:r w:rsidRPr="00555AB2">
              <w:rPr>
                <w:rFonts w:ascii="Calibri" w:hAnsi="Calibri" w:cs="Calibri"/>
                <w:b/>
              </w:rPr>
              <w:t>Riverbend Overlook</w:t>
            </w:r>
          </w:p>
        </w:tc>
        <w:tc>
          <w:tcPr>
            <w:tcW w:w="941" w:type="dxa"/>
            <w:tcBorders>
              <w:bottom w:val="single" w:sz="4" w:space="0" w:color="auto"/>
              <w:right w:val="single" w:sz="8" w:space="0" w:color="76923C" w:themeColor="accent3" w:themeShade="BF"/>
            </w:tcBorders>
            <w:shd w:val="clear" w:color="auto" w:fill="auto"/>
            <w:noWrap/>
            <w:vAlign w:val="center"/>
          </w:tcPr>
          <w:p w14:paraId="00F0AB10" w14:textId="528F2BC1"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999" w:type="dxa"/>
            <w:tcBorders>
              <w:left w:val="single" w:sz="8" w:space="0" w:color="76923C" w:themeColor="accent3" w:themeShade="BF"/>
              <w:bottom w:val="single" w:sz="4" w:space="0" w:color="auto"/>
              <w:right w:val="single" w:sz="8" w:space="0" w:color="76923C" w:themeColor="accent3" w:themeShade="BF"/>
            </w:tcBorders>
            <w:vAlign w:val="center"/>
          </w:tcPr>
          <w:p w14:paraId="2BDF38D0" w14:textId="01C3397F"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941" w:type="dxa"/>
            <w:tcBorders>
              <w:left w:val="single" w:sz="8" w:space="0" w:color="76923C" w:themeColor="accent3" w:themeShade="BF"/>
              <w:bottom w:val="single" w:sz="4" w:space="0" w:color="auto"/>
            </w:tcBorders>
            <w:vAlign w:val="center"/>
          </w:tcPr>
          <w:p w14:paraId="2D935FA7" w14:textId="39815DF5"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7</w:t>
            </w:r>
          </w:p>
        </w:tc>
        <w:tc>
          <w:tcPr>
            <w:tcW w:w="1096" w:type="dxa"/>
            <w:tcBorders>
              <w:left w:val="single" w:sz="8" w:space="0" w:color="76923C" w:themeColor="accent3" w:themeShade="BF"/>
              <w:bottom w:val="single" w:sz="4" w:space="0" w:color="auto"/>
            </w:tcBorders>
          </w:tcPr>
          <w:p w14:paraId="39398D4C" w14:textId="09487557" w:rsidR="00E73FAC" w:rsidRPr="00555AB2" w:rsidRDefault="00E73FAC" w:rsidP="00905909">
            <w:pPr>
              <w:autoSpaceDE w:val="0"/>
              <w:autoSpaceDN w:val="0"/>
              <w:spacing w:after="0" w:line="240" w:lineRule="auto"/>
              <w:jc w:val="center"/>
              <w:rPr>
                <w:rFonts w:eastAsia="Times New Roman" w:cs="Calibri"/>
                <w:b/>
                <w:bCs/>
              </w:rPr>
            </w:pPr>
            <w:r w:rsidRPr="00555AB2">
              <w:rPr>
                <w:rFonts w:eastAsia="Times New Roman" w:cs="Calibri"/>
                <w:b/>
                <w:bCs/>
              </w:rPr>
              <w:t>21</w:t>
            </w:r>
          </w:p>
        </w:tc>
      </w:tr>
    </w:tbl>
    <w:p w14:paraId="74CE0D24" w14:textId="77777777" w:rsidR="00DB03E8" w:rsidRPr="00DB03E8" w:rsidRDefault="00DB03E8" w:rsidP="00DB03E8">
      <w:pPr>
        <w:pStyle w:val="NoSpacing"/>
        <w:rPr>
          <w:rFonts w:asciiTheme="minorHAnsi" w:hAnsiTheme="minorHAnsi"/>
          <w:sz w:val="22"/>
        </w:rPr>
      </w:pPr>
    </w:p>
    <w:p w14:paraId="1FDB107F" w14:textId="6F489B00" w:rsidR="00B96EA2" w:rsidRDefault="00C95F7D" w:rsidP="00CB15F5">
      <w:pPr>
        <w:spacing w:line="360" w:lineRule="auto"/>
        <w:rPr>
          <w:rFonts w:cstheme="minorHAnsi"/>
        </w:rPr>
      </w:pPr>
      <w:r>
        <w:rPr>
          <w:rFonts w:cstheme="minorHAnsi"/>
        </w:rPr>
        <w:t>W</w:t>
      </w:r>
      <w:r w:rsidR="0095705C">
        <w:rPr>
          <w:rFonts w:cstheme="minorHAnsi"/>
        </w:rPr>
        <w:t xml:space="preserve">e expect to </w:t>
      </w:r>
      <w:r w:rsidR="00B3574B">
        <w:rPr>
          <w:rFonts w:cstheme="minorHAnsi"/>
        </w:rPr>
        <w:t xml:space="preserve">contact </w:t>
      </w:r>
      <w:r>
        <w:rPr>
          <w:rFonts w:cstheme="minorHAnsi"/>
        </w:rPr>
        <w:t xml:space="preserve">at least </w:t>
      </w:r>
      <w:r w:rsidR="002F689B">
        <w:rPr>
          <w:rFonts w:cstheme="minorHAnsi"/>
        </w:rPr>
        <w:t>600</w:t>
      </w:r>
      <w:r w:rsidR="00B3574B">
        <w:rPr>
          <w:rFonts w:cstheme="minorHAnsi"/>
        </w:rPr>
        <w:t xml:space="preserve"> visitors </w:t>
      </w:r>
      <w:r>
        <w:rPr>
          <w:rFonts w:cstheme="minorHAnsi"/>
        </w:rPr>
        <w:t>during the sampling period</w:t>
      </w:r>
      <w:r w:rsidR="00872D28">
        <w:rPr>
          <w:rFonts w:cstheme="minorHAnsi"/>
        </w:rPr>
        <w:t xml:space="preserve"> (Table 2)</w:t>
      </w:r>
      <w:r>
        <w:rPr>
          <w:rFonts w:cstheme="minorHAnsi"/>
        </w:rPr>
        <w:t>.  Ba</w:t>
      </w:r>
      <w:r w:rsidR="00B3574B">
        <w:rPr>
          <w:rFonts w:cstheme="minorHAnsi"/>
        </w:rPr>
        <w:t xml:space="preserve">sed upon our sampling methods we anticipate </w:t>
      </w:r>
      <w:r w:rsidR="00BA00C8">
        <w:rPr>
          <w:rFonts w:cstheme="minorHAnsi"/>
        </w:rPr>
        <w:t>contacting at least 50</w:t>
      </w:r>
      <w:r w:rsidR="0072090D">
        <w:rPr>
          <w:rFonts w:cstheme="minorHAnsi"/>
        </w:rPr>
        <w:t xml:space="preserve"> </w:t>
      </w:r>
      <w:r w:rsidR="001732DC">
        <w:rPr>
          <w:rFonts w:cstheme="minorHAnsi"/>
        </w:rPr>
        <w:t xml:space="preserve">visitors </w:t>
      </w:r>
      <w:r w:rsidR="0072090D">
        <w:rPr>
          <w:rFonts w:cstheme="minorHAnsi"/>
        </w:rPr>
        <w:t>at each</w:t>
      </w:r>
      <w:r w:rsidR="00872D28">
        <w:rPr>
          <w:rFonts w:cstheme="minorHAnsi"/>
        </w:rPr>
        <w:t xml:space="preserve"> site</w:t>
      </w:r>
      <w:r w:rsidR="0072090D">
        <w:rPr>
          <w:rFonts w:cstheme="minorHAnsi"/>
        </w:rPr>
        <w:t xml:space="preserve"> </w:t>
      </w:r>
      <w:r w:rsidR="00872D28">
        <w:rPr>
          <w:rFonts w:cstheme="minorHAnsi"/>
        </w:rPr>
        <w:t>(</w:t>
      </w:r>
      <w:r w:rsidR="00BA00C8">
        <w:rPr>
          <w:rFonts w:cstheme="minorHAnsi"/>
        </w:rPr>
        <w:t>100</w:t>
      </w:r>
      <w:r w:rsidR="00872D28">
        <w:rPr>
          <w:rFonts w:cstheme="minorHAnsi"/>
        </w:rPr>
        <w:t xml:space="preserve"> at the Loop Rd)</w:t>
      </w:r>
      <w:r w:rsidR="0072090D">
        <w:rPr>
          <w:rFonts w:cstheme="minorHAnsi"/>
        </w:rPr>
        <w:t xml:space="preserve"> </w:t>
      </w:r>
      <w:r w:rsidR="00B3574B">
        <w:rPr>
          <w:rFonts w:cstheme="minorHAnsi"/>
        </w:rPr>
        <w:t xml:space="preserve">during </w:t>
      </w:r>
      <w:r w:rsidR="0059583B">
        <w:rPr>
          <w:rFonts w:cstheme="minorHAnsi"/>
        </w:rPr>
        <w:t>each</w:t>
      </w:r>
      <w:r w:rsidR="00B3574B">
        <w:rPr>
          <w:rFonts w:cstheme="minorHAnsi"/>
        </w:rPr>
        <w:t xml:space="preserve"> seven day sampling period</w:t>
      </w:r>
      <w:r w:rsidR="0072090D">
        <w:rPr>
          <w:rFonts w:cstheme="minorHAnsi"/>
        </w:rPr>
        <w:t xml:space="preserve">, for a combined total of </w:t>
      </w:r>
      <w:r w:rsidR="001732DC">
        <w:rPr>
          <w:rFonts w:cstheme="minorHAnsi"/>
        </w:rPr>
        <w:t>600</w:t>
      </w:r>
      <w:r w:rsidR="0072090D">
        <w:rPr>
          <w:rFonts w:cstheme="minorHAnsi"/>
        </w:rPr>
        <w:t xml:space="preserve"> people </w:t>
      </w:r>
      <w:r w:rsidR="001732DC">
        <w:rPr>
          <w:rFonts w:cstheme="minorHAnsi"/>
        </w:rPr>
        <w:t xml:space="preserve">at the end of the </w:t>
      </w:r>
      <w:r w:rsidR="0072090D">
        <w:rPr>
          <w:rFonts w:cstheme="minorHAnsi"/>
        </w:rPr>
        <w:t xml:space="preserve">sampling period.  </w:t>
      </w:r>
      <w:r w:rsidR="00872D28">
        <w:rPr>
          <w:rFonts w:cstheme="minorHAnsi"/>
        </w:rPr>
        <w:t>These are contacts, and not necessarily resulting in completed surveys</w:t>
      </w:r>
      <w:r w:rsidR="002F3966">
        <w:rPr>
          <w:rFonts w:cstheme="minorHAnsi"/>
        </w:rPr>
        <w:t>.</w:t>
      </w:r>
    </w:p>
    <w:p w14:paraId="41B1607A" w14:textId="6B8252C1" w:rsidR="00872D28" w:rsidRPr="00872D28" w:rsidRDefault="00872D28" w:rsidP="00872D28">
      <w:pPr>
        <w:spacing w:line="360" w:lineRule="auto"/>
        <w:ind w:left="720" w:hanging="720"/>
        <w:rPr>
          <w:rFonts w:cstheme="minorHAnsi"/>
          <w:b/>
        </w:rPr>
      </w:pPr>
      <w:r>
        <w:rPr>
          <w:rFonts w:cstheme="minorHAnsi"/>
          <w:b/>
        </w:rPr>
        <w:t>Table 2. Expected Contacts by Season and Location</w:t>
      </w:r>
    </w:p>
    <w:tbl>
      <w:tblPr>
        <w:tblW w:w="8640" w:type="dxa"/>
        <w:tblInd w:w="1458" w:type="dxa"/>
        <w:tblLayout w:type="fixed"/>
        <w:tblLook w:val="04A0" w:firstRow="1" w:lastRow="0" w:firstColumn="1" w:lastColumn="0" w:noHBand="0" w:noVBand="1"/>
      </w:tblPr>
      <w:tblGrid>
        <w:gridCol w:w="4050"/>
        <w:gridCol w:w="1530"/>
        <w:gridCol w:w="990"/>
        <w:gridCol w:w="1170"/>
        <w:gridCol w:w="900"/>
      </w:tblGrid>
      <w:tr w:rsidR="0048549C" w:rsidRPr="000D13B3" w14:paraId="09E1D797" w14:textId="77777777" w:rsidTr="002F3966">
        <w:trPr>
          <w:trHeight w:val="369"/>
        </w:trPr>
        <w:tc>
          <w:tcPr>
            <w:tcW w:w="4050" w:type="dxa"/>
            <w:vMerge w:val="restart"/>
            <w:tcBorders>
              <w:top w:val="single" w:sz="4" w:space="0" w:color="auto"/>
              <w:left w:val="nil"/>
              <w:right w:val="nil"/>
            </w:tcBorders>
            <w:shd w:val="clear" w:color="auto" w:fill="auto"/>
            <w:noWrap/>
            <w:vAlign w:val="center"/>
            <w:hideMark/>
          </w:tcPr>
          <w:p w14:paraId="321499B3" w14:textId="3FCD3776" w:rsidR="0048549C" w:rsidRPr="006C4321" w:rsidRDefault="0048549C" w:rsidP="00B3574B">
            <w:pPr>
              <w:pStyle w:val="NoSpacing"/>
              <w:rPr>
                <w:i/>
                <w:iCs/>
                <w:color w:val="000000"/>
                <w:sz w:val="16"/>
                <w:szCs w:val="16"/>
              </w:rPr>
            </w:pPr>
            <w:r w:rsidRPr="00B3574B">
              <w:rPr>
                <w:rFonts w:asciiTheme="minorHAnsi" w:hAnsiTheme="minorHAnsi"/>
                <w:b/>
                <w:sz w:val="22"/>
              </w:rPr>
              <w:t>Location</w:t>
            </w:r>
          </w:p>
        </w:tc>
        <w:tc>
          <w:tcPr>
            <w:tcW w:w="4590" w:type="dxa"/>
            <w:gridSpan w:val="4"/>
            <w:tcBorders>
              <w:top w:val="single" w:sz="4" w:space="0" w:color="auto"/>
              <w:left w:val="nil"/>
              <w:bottom w:val="single" w:sz="4" w:space="0" w:color="auto"/>
              <w:right w:val="single" w:sz="8" w:space="0" w:color="76923C" w:themeColor="accent3" w:themeShade="BF"/>
            </w:tcBorders>
            <w:shd w:val="clear" w:color="auto" w:fill="76923C" w:themeFill="accent3" w:themeFillShade="BF"/>
            <w:noWrap/>
            <w:vAlign w:val="bottom"/>
          </w:tcPr>
          <w:p w14:paraId="5B593F64" w14:textId="77777777" w:rsidR="0048549C" w:rsidRPr="006C4321" w:rsidRDefault="0048549C" w:rsidP="00905909">
            <w:pPr>
              <w:spacing w:after="0" w:line="240" w:lineRule="auto"/>
              <w:jc w:val="center"/>
              <w:rPr>
                <w:rFonts w:eastAsia="Times New Roman" w:cs="Times New Roman"/>
                <w:b/>
                <w:color w:val="000000"/>
                <w:sz w:val="18"/>
                <w:szCs w:val="16"/>
              </w:rPr>
            </w:pPr>
            <w:r w:rsidRPr="006C4321">
              <w:rPr>
                <w:rFonts w:eastAsia="Times New Roman" w:cs="Times New Roman"/>
                <w:b/>
                <w:color w:val="000000"/>
                <w:sz w:val="20"/>
                <w:szCs w:val="20"/>
              </w:rPr>
              <w:t>Estimated</w:t>
            </w:r>
            <w:r w:rsidRPr="006C4321">
              <w:rPr>
                <w:rFonts w:eastAsia="Times New Roman" w:cs="Times New Roman"/>
                <w:b/>
                <w:color w:val="000000"/>
                <w:sz w:val="18"/>
                <w:szCs w:val="16"/>
              </w:rPr>
              <w:t xml:space="preserve"> Number of Visitor Contacts</w:t>
            </w:r>
          </w:p>
        </w:tc>
      </w:tr>
      <w:tr w:rsidR="0048549C" w:rsidRPr="000D13B3" w14:paraId="3390CC28" w14:textId="77777777" w:rsidTr="00C43A28">
        <w:trPr>
          <w:trHeight w:val="395"/>
        </w:trPr>
        <w:tc>
          <w:tcPr>
            <w:tcW w:w="4050" w:type="dxa"/>
            <w:vMerge/>
            <w:tcBorders>
              <w:left w:val="nil"/>
              <w:bottom w:val="nil"/>
              <w:right w:val="nil"/>
            </w:tcBorders>
            <w:shd w:val="clear" w:color="auto" w:fill="auto"/>
            <w:noWrap/>
            <w:vAlign w:val="center"/>
            <w:hideMark/>
          </w:tcPr>
          <w:p w14:paraId="381883CA" w14:textId="358EBBF3" w:rsidR="0048549C" w:rsidRPr="00B3574B" w:rsidRDefault="0048549C" w:rsidP="00B3574B">
            <w:pPr>
              <w:pStyle w:val="NoSpacing"/>
              <w:rPr>
                <w:rFonts w:asciiTheme="minorHAnsi" w:hAnsiTheme="minorHAnsi"/>
                <w:b/>
                <w:sz w:val="22"/>
              </w:rPr>
            </w:pPr>
          </w:p>
        </w:tc>
        <w:tc>
          <w:tcPr>
            <w:tcW w:w="1530" w:type="dxa"/>
            <w:tcBorders>
              <w:top w:val="single" w:sz="4" w:space="0" w:color="auto"/>
              <w:left w:val="nil"/>
              <w:bottom w:val="nil"/>
              <w:right w:val="single" w:sz="8" w:space="0" w:color="76923C" w:themeColor="accent3" w:themeShade="BF"/>
            </w:tcBorders>
            <w:shd w:val="clear" w:color="auto" w:fill="C2D69B" w:themeFill="accent3" w:themeFillTint="99"/>
            <w:noWrap/>
            <w:vAlign w:val="center"/>
          </w:tcPr>
          <w:p w14:paraId="1F849E3F" w14:textId="2F16DC06" w:rsidR="0048549C" w:rsidRPr="00B3574B" w:rsidRDefault="0048549C" w:rsidP="0048549C">
            <w:pPr>
              <w:pStyle w:val="NoSpacing"/>
              <w:jc w:val="center"/>
              <w:rPr>
                <w:rFonts w:asciiTheme="minorHAnsi" w:hAnsiTheme="minorHAnsi"/>
                <w:sz w:val="20"/>
              </w:rPr>
            </w:pPr>
            <w:r w:rsidRPr="00B3574B">
              <w:rPr>
                <w:rFonts w:asciiTheme="minorHAnsi" w:hAnsiTheme="minorHAnsi"/>
                <w:sz w:val="20"/>
              </w:rPr>
              <w:t>Spring</w:t>
            </w:r>
          </w:p>
        </w:tc>
        <w:tc>
          <w:tcPr>
            <w:tcW w:w="99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vAlign w:val="center"/>
          </w:tcPr>
          <w:p w14:paraId="3DB7A3C3" w14:textId="1B03AFFE" w:rsidR="0048549C" w:rsidRPr="00B3574B" w:rsidRDefault="0048549C" w:rsidP="00B3574B">
            <w:pPr>
              <w:pStyle w:val="NoSpacing"/>
              <w:jc w:val="center"/>
              <w:rPr>
                <w:rFonts w:asciiTheme="minorHAnsi" w:hAnsiTheme="minorHAnsi"/>
                <w:sz w:val="20"/>
              </w:rPr>
            </w:pPr>
            <w:r w:rsidRPr="00B3574B">
              <w:rPr>
                <w:rFonts w:asciiTheme="minorHAnsi" w:hAnsiTheme="minorHAnsi"/>
                <w:sz w:val="20"/>
              </w:rPr>
              <w:t>Summer</w:t>
            </w:r>
            <w:r w:rsidRPr="00B3574B" w:rsidDel="0048549C">
              <w:rPr>
                <w:rFonts w:asciiTheme="minorHAnsi" w:hAnsiTheme="minorHAnsi"/>
                <w:sz w:val="20"/>
              </w:rPr>
              <w:t xml:space="preserve"> </w:t>
            </w:r>
          </w:p>
        </w:tc>
        <w:tc>
          <w:tcPr>
            <w:tcW w:w="117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4912579E" w14:textId="778366A2" w:rsidR="0048549C" w:rsidRPr="00B3574B" w:rsidRDefault="0048549C" w:rsidP="0048549C">
            <w:pPr>
              <w:pStyle w:val="NoSpacing"/>
              <w:jc w:val="center"/>
              <w:rPr>
                <w:rFonts w:asciiTheme="minorHAnsi" w:hAnsiTheme="minorHAnsi"/>
                <w:sz w:val="20"/>
              </w:rPr>
            </w:pPr>
            <w:r w:rsidRPr="00B3574B">
              <w:rPr>
                <w:rFonts w:asciiTheme="minorHAnsi" w:hAnsiTheme="minorHAnsi"/>
                <w:sz w:val="20"/>
              </w:rPr>
              <w:t xml:space="preserve">Fall </w:t>
            </w:r>
          </w:p>
        </w:tc>
        <w:tc>
          <w:tcPr>
            <w:tcW w:w="900" w:type="dxa"/>
            <w:tcBorders>
              <w:top w:val="single" w:sz="4" w:space="0" w:color="auto"/>
              <w:left w:val="single" w:sz="8" w:space="0" w:color="76923C" w:themeColor="accent3" w:themeShade="BF"/>
              <w:bottom w:val="nil"/>
              <w:right w:val="single" w:sz="8" w:space="0" w:color="76923C" w:themeColor="accent3" w:themeShade="BF"/>
            </w:tcBorders>
            <w:shd w:val="clear" w:color="auto" w:fill="C2D69B" w:themeFill="accent3" w:themeFillTint="99"/>
            <w:noWrap/>
            <w:vAlign w:val="center"/>
          </w:tcPr>
          <w:p w14:paraId="5FB811D4" w14:textId="77777777" w:rsidR="0048549C" w:rsidRPr="00B3574B" w:rsidRDefault="0048549C" w:rsidP="00B3574B">
            <w:pPr>
              <w:pStyle w:val="NoSpacing"/>
              <w:jc w:val="center"/>
              <w:rPr>
                <w:rFonts w:asciiTheme="minorHAnsi" w:hAnsiTheme="minorHAnsi"/>
                <w:sz w:val="20"/>
              </w:rPr>
            </w:pPr>
            <w:r w:rsidRPr="00B3574B">
              <w:rPr>
                <w:rFonts w:asciiTheme="minorHAnsi" w:hAnsiTheme="minorHAnsi"/>
                <w:sz w:val="20"/>
              </w:rPr>
              <w:t>TOTAL</w:t>
            </w:r>
          </w:p>
        </w:tc>
      </w:tr>
      <w:tr w:rsidR="0095705C" w:rsidRPr="000D13B3" w14:paraId="33B2E140" w14:textId="77777777" w:rsidTr="00774EB5">
        <w:trPr>
          <w:trHeight w:val="279"/>
        </w:trPr>
        <w:tc>
          <w:tcPr>
            <w:tcW w:w="4050" w:type="dxa"/>
            <w:tcBorders>
              <w:top w:val="nil"/>
              <w:left w:val="nil"/>
              <w:bottom w:val="nil"/>
              <w:right w:val="nil"/>
            </w:tcBorders>
            <w:shd w:val="clear" w:color="auto" w:fill="auto"/>
            <w:noWrap/>
          </w:tcPr>
          <w:p w14:paraId="54F4E1B6" w14:textId="28214C16" w:rsidR="0095705C" w:rsidRPr="00B3574B" w:rsidRDefault="0095705C" w:rsidP="00B3574B">
            <w:pPr>
              <w:pStyle w:val="NoSpacing"/>
              <w:rPr>
                <w:rFonts w:asciiTheme="minorHAnsi" w:hAnsiTheme="minorHAnsi"/>
                <w:b/>
                <w:sz w:val="20"/>
              </w:rPr>
            </w:pPr>
            <w:r w:rsidRPr="00B3574B">
              <w:rPr>
                <w:rFonts w:asciiTheme="minorHAnsi" w:hAnsiTheme="minorHAnsi" w:cs="Calibri"/>
                <w:b/>
                <w:sz w:val="20"/>
              </w:rPr>
              <w:t>Loop Road</w:t>
            </w:r>
            <w:r w:rsidR="00863D72">
              <w:rPr>
                <w:rFonts w:asciiTheme="minorHAnsi" w:hAnsiTheme="minorHAnsi" w:cs="Calibri"/>
                <w:b/>
                <w:sz w:val="20"/>
              </w:rPr>
              <w:t xml:space="preserve"> South Unit Entrance Station</w:t>
            </w:r>
          </w:p>
        </w:tc>
        <w:tc>
          <w:tcPr>
            <w:tcW w:w="1530" w:type="dxa"/>
            <w:tcBorders>
              <w:top w:val="nil"/>
              <w:left w:val="nil"/>
              <w:bottom w:val="nil"/>
              <w:right w:val="single" w:sz="8" w:space="0" w:color="76923C" w:themeColor="accent3" w:themeShade="BF"/>
            </w:tcBorders>
            <w:shd w:val="clear" w:color="auto" w:fill="auto"/>
            <w:noWrap/>
            <w:vAlign w:val="bottom"/>
          </w:tcPr>
          <w:p w14:paraId="5183F263" w14:textId="2895E880" w:rsidR="0095705C" w:rsidRPr="00B3574B" w:rsidRDefault="002F689B" w:rsidP="00863D72">
            <w:pPr>
              <w:pStyle w:val="NoSpacing"/>
              <w:jc w:val="center"/>
              <w:rPr>
                <w:rFonts w:asciiTheme="minorHAnsi" w:hAnsiTheme="minorHAnsi"/>
                <w:sz w:val="20"/>
              </w:rPr>
            </w:pPr>
            <w:r>
              <w:rPr>
                <w:rFonts w:asciiTheme="minorHAnsi" w:hAnsiTheme="minorHAnsi"/>
                <w:sz w:val="20"/>
              </w:rPr>
              <w:t>100</w:t>
            </w:r>
          </w:p>
        </w:tc>
        <w:tc>
          <w:tcPr>
            <w:tcW w:w="99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4DF68FB0" w14:textId="2B5DE4C8" w:rsidR="0095705C" w:rsidRPr="00B3574B" w:rsidRDefault="002F689B" w:rsidP="00863D72">
            <w:pPr>
              <w:pStyle w:val="NoSpacing"/>
              <w:jc w:val="center"/>
              <w:rPr>
                <w:rFonts w:asciiTheme="minorHAnsi" w:hAnsiTheme="minorHAnsi"/>
                <w:sz w:val="20"/>
              </w:rPr>
            </w:pPr>
            <w:r>
              <w:rPr>
                <w:rFonts w:asciiTheme="minorHAnsi" w:hAnsiTheme="minorHAnsi"/>
                <w:sz w:val="20"/>
              </w:rPr>
              <w:t>100</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06F336F8" w14:textId="6E3D0009" w:rsidR="0095705C" w:rsidRPr="00B3574B" w:rsidRDefault="00863D72" w:rsidP="00863D72">
            <w:pPr>
              <w:pStyle w:val="NoSpacing"/>
              <w:jc w:val="center"/>
              <w:rPr>
                <w:rFonts w:asciiTheme="minorHAnsi" w:hAnsiTheme="minorHAnsi"/>
                <w:sz w:val="20"/>
              </w:rPr>
            </w:pPr>
            <w:r>
              <w:rPr>
                <w:rFonts w:asciiTheme="minorHAnsi" w:hAnsiTheme="minorHAnsi"/>
                <w:sz w:val="20"/>
              </w:rPr>
              <w:t>1</w:t>
            </w:r>
            <w:r w:rsidR="002F689B">
              <w:rPr>
                <w:rFonts w:asciiTheme="minorHAnsi" w:hAnsiTheme="minorHAnsi"/>
                <w:sz w:val="20"/>
              </w:rPr>
              <w:t>00</w:t>
            </w:r>
          </w:p>
        </w:tc>
        <w:tc>
          <w:tcPr>
            <w:tcW w:w="900" w:type="dxa"/>
            <w:tcBorders>
              <w:top w:val="nil"/>
              <w:left w:val="single" w:sz="8" w:space="0" w:color="76923C" w:themeColor="accent3" w:themeShade="BF"/>
              <w:bottom w:val="nil"/>
              <w:right w:val="single" w:sz="4" w:space="0" w:color="auto"/>
            </w:tcBorders>
            <w:shd w:val="clear" w:color="auto" w:fill="auto"/>
            <w:noWrap/>
            <w:vAlign w:val="bottom"/>
          </w:tcPr>
          <w:p w14:paraId="3B908E61" w14:textId="25564FB2" w:rsidR="0095705C" w:rsidRPr="00B3574B" w:rsidRDefault="002F689B" w:rsidP="00863D72">
            <w:pPr>
              <w:pStyle w:val="NoSpacing"/>
              <w:jc w:val="center"/>
              <w:rPr>
                <w:rFonts w:asciiTheme="minorHAnsi" w:hAnsiTheme="minorHAnsi"/>
                <w:sz w:val="20"/>
              </w:rPr>
            </w:pPr>
            <w:r>
              <w:rPr>
                <w:rFonts w:asciiTheme="minorHAnsi" w:hAnsiTheme="minorHAnsi"/>
                <w:sz w:val="20"/>
              </w:rPr>
              <w:t>300</w:t>
            </w:r>
          </w:p>
        </w:tc>
      </w:tr>
      <w:tr w:rsidR="0095705C" w:rsidRPr="000D13B3" w14:paraId="19973A49" w14:textId="77777777" w:rsidTr="00774EB5">
        <w:trPr>
          <w:trHeight w:val="189"/>
        </w:trPr>
        <w:tc>
          <w:tcPr>
            <w:tcW w:w="4050" w:type="dxa"/>
            <w:tcBorders>
              <w:top w:val="nil"/>
              <w:left w:val="nil"/>
              <w:right w:val="nil"/>
            </w:tcBorders>
            <w:shd w:val="clear" w:color="auto" w:fill="auto"/>
            <w:noWrap/>
          </w:tcPr>
          <w:p w14:paraId="70782F0F" w14:textId="1E56363F" w:rsidR="0095705C" w:rsidRPr="00B3574B" w:rsidRDefault="00863D72" w:rsidP="00B3574B">
            <w:pPr>
              <w:pStyle w:val="NoSpacing"/>
              <w:rPr>
                <w:rFonts w:asciiTheme="minorHAnsi" w:hAnsiTheme="minorHAnsi"/>
                <w:b/>
                <w:sz w:val="20"/>
              </w:rPr>
            </w:pPr>
            <w:r>
              <w:rPr>
                <w:rFonts w:asciiTheme="minorHAnsi" w:hAnsiTheme="minorHAnsi" w:cs="Calibri"/>
                <w:b/>
                <w:sz w:val="20"/>
              </w:rPr>
              <w:t>Oxbow Overlook</w:t>
            </w:r>
          </w:p>
        </w:tc>
        <w:tc>
          <w:tcPr>
            <w:tcW w:w="1530" w:type="dxa"/>
            <w:tcBorders>
              <w:top w:val="nil"/>
              <w:left w:val="nil"/>
              <w:right w:val="single" w:sz="8" w:space="0" w:color="76923C" w:themeColor="accent3" w:themeShade="BF"/>
            </w:tcBorders>
            <w:shd w:val="clear" w:color="auto" w:fill="auto"/>
            <w:noWrap/>
            <w:vAlign w:val="bottom"/>
          </w:tcPr>
          <w:p w14:paraId="4DB25858" w14:textId="4252DA35" w:rsidR="0095705C" w:rsidRPr="00B3574B" w:rsidRDefault="002F689B" w:rsidP="00863D72">
            <w:pPr>
              <w:pStyle w:val="NoSpacing"/>
              <w:jc w:val="center"/>
              <w:rPr>
                <w:rFonts w:asciiTheme="minorHAnsi" w:hAnsiTheme="minorHAnsi"/>
                <w:sz w:val="20"/>
              </w:rPr>
            </w:pPr>
            <w:r>
              <w:rPr>
                <w:rFonts w:asciiTheme="minorHAnsi" w:hAnsiTheme="minorHAnsi"/>
                <w:sz w:val="20"/>
              </w:rPr>
              <w:t>50</w:t>
            </w:r>
          </w:p>
        </w:tc>
        <w:tc>
          <w:tcPr>
            <w:tcW w:w="990" w:type="dxa"/>
            <w:tcBorders>
              <w:top w:val="nil"/>
              <w:left w:val="single" w:sz="8" w:space="0" w:color="76923C" w:themeColor="accent3" w:themeShade="BF"/>
              <w:right w:val="single" w:sz="8" w:space="0" w:color="76923C" w:themeColor="accent3" w:themeShade="BF"/>
            </w:tcBorders>
            <w:shd w:val="clear" w:color="auto" w:fill="auto"/>
            <w:vAlign w:val="bottom"/>
          </w:tcPr>
          <w:p w14:paraId="4DF41896" w14:textId="74E2B9D5" w:rsidR="0095705C" w:rsidRPr="00B3574B" w:rsidRDefault="002F689B" w:rsidP="00863D72">
            <w:pPr>
              <w:pStyle w:val="NoSpacing"/>
              <w:jc w:val="center"/>
              <w:rPr>
                <w:rFonts w:asciiTheme="minorHAnsi" w:hAnsiTheme="minorHAnsi"/>
                <w:sz w:val="20"/>
              </w:rPr>
            </w:pPr>
            <w:r>
              <w:rPr>
                <w:rFonts w:asciiTheme="minorHAnsi" w:hAnsiTheme="minorHAnsi"/>
                <w:sz w:val="20"/>
              </w:rPr>
              <w:t>50</w:t>
            </w:r>
          </w:p>
        </w:tc>
        <w:tc>
          <w:tcPr>
            <w:tcW w:w="1170" w:type="dxa"/>
            <w:tcBorders>
              <w:top w:val="nil"/>
              <w:left w:val="single" w:sz="8" w:space="0" w:color="76923C" w:themeColor="accent3" w:themeShade="BF"/>
              <w:right w:val="single" w:sz="8" w:space="0" w:color="76923C" w:themeColor="accent3" w:themeShade="BF"/>
            </w:tcBorders>
            <w:shd w:val="clear" w:color="auto" w:fill="auto"/>
            <w:noWrap/>
            <w:vAlign w:val="bottom"/>
          </w:tcPr>
          <w:p w14:paraId="28600C8F" w14:textId="59F070AB" w:rsidR="0095705C" w:rsidRPr="00B3574B" w:rsidRDefault="002F689B" w:rsidP="00863D72">
            <w:pPr>
              <w:pStyle w:val="NoSpacing"/>
              <w:jc w:val="center"/>
              <w:rPr>
                <w:rFonts w:asciiTheme="minorHAnsi" w:hAnsiTheme="minorHAnsi"/>
                <w:sz w:val="20"/>
              </w:rPr>
            </w:pPr>
            <w:r>
              <w:rPr>
                <w:rFonts w:asciiTheme="minorHAnsi" w:hAnsiTheme="minorHAnsi"/>
                <w:sz w:val="20"/>
              </w:rPr>
              <w:t>50</w:t>
            </w:r>
          </w:p>
        </w:tc>
        <w:tc>
          <w:tcPr>
            <w:tcW w:w="900" w:type="dxa"/>
            <w:tcBorders>
              <w:top w:val="nil"/>
              <w:left w:val="single" w:sz="8" w:space="0" w:color="76923C" w:themeColor="accent3" w:themeShade="BF"/>
              <w:right w:val="single" w:sz="4" w:space="0" w:color="auto"/>
            </w:tcBorders>
            <w:shd w:val="clear" w:color="auto" w:fill="auto"/>
            <w:noWrap/>
            <w:vAlign w:val="bottom"/>
          </w:tcPr>
          <w:p w14:paraId="07CE8A2B" w14:textId="5D5E23A9" w:rsidR="0095705C" w:rsidRPr="00B3574B" w:rsidRDefault="002F689B" w:rsidP="00863D72">
            <w:pPr>
              <w:pStyle w:val="NoSpacing"/>
              <w:jc w:val="center"/>
              <w:rPr>
                <w:rFonts w:asciiTheme="minorHAnsi" w:hAnsiTheme="minorHAnsi"/>
                <w:sz w:val="20"/>
              </w:rPr>
            </w:pPr>
            <w:r>
              <w:rPr>
                <w:rFonts w:asciiTheme="minorHAnsi" w:hAnsiTheme="minorHAnsi"/>
                <w:sz w:val="20"/>
              </w:rPr>
              <w:t>150</w:t>
            </w:r>
          </w:p>
        </w:tc>
      </w:tr>
      <w:tr w:rsidR="0095705C" w:rsidRPr="000D13B3" w14:paraId="28C4592B" w14:textId="77777777" w:rsidTr="00774EB5">
        <w:trPr>
          <w:trHeight w:val="207"/>
        </w:trPr>
        <w:tc>
          <w:tcPr>
            <w:tcW w:w="4050" w:type="dxa"/>
            <w:tcBorders>
              <w:top w:val="nil"/>
              <w:left w:val="nil"/>
              <w:bottom w:val="nil"/>
              <w:right w:val="nil"/>
            </w:tcBorders>
            <w:shd w:val="clear" w:color="auto" w:fill="auto"/>
            <w:noWrap/>
          </w:tcPr>
          <w:p w14:paraId="59A3D1DE" w14:textId="7F62208E" w:rsidR="0095705C" w:rsidRPr="00B3574B" w:rsidRDefault="00863D72" w:rsidP="00B3574B">
            <w:pPr>
              <w:pStyle w:val="NoSpacing"/>
              <w:rPr>
                <w:rFonts w:asciiTheme="minorHAnsi" w:hAnsiTheme="minorHAnsi"/>
                <w:b/>
                <w:sz w:val="20"/>
              </w:rPr>
            </w:pPr>
            <w:r>
              <w:rPr>
                <w:rFonts w:asciiTheme="minorHAnsi" w:hAnsiTheme="minorHAnsi" w:cs="Calibri"/>
                <w:b/>
                <w:sz w:val="20"/>
              </w:rPr>
              <w:t>Riverbend Overlook</w:t>
            </w:r>
            <w:r w:rsidR="0095705C" w:rsidRPr="00B3574B">
              <w:rPr>
                <w:rFonts w:asciiTheme="minorHAnsi" w:hAnsiTheme="minorHAnsi" w:cs="Calibri"/>
                <w:b/>
                <w:sz w:val="20"/>
              </w:rPr>
              <w:t xml:space="preserve"> </w:t>
            </w:r>
          </w:p>
        </w:tc>
        <w:tc>
          <w:tcPr>
            <w:tcW w:w="1530" w:type="dxa"/>
            <w:tcBorders>
              <w:top w:val="nil"/>
              <w:left w:val="nil"/>
              <w:bottom w:val="nil"/>
              <w:right w:val="single" w:sz="8" w:space="0" w:color="76923C" w:themeColor="accent3" w:themeShade="BF"/>
            </w:tcBorders>
            <w:shd w:val="clear" w:color="auto" w:fill="auto"/>
            <w:noWrap/>
            <w:vAlign w:val="bottom"/>
          </w:tcPr>
          <w:p w14:paraId="7CB71932" w14:textId="6AA21A73" w:rsidR="0095705C" w:rsidRPr="00B3574B" w:rsidRDefault="002F689B" w:rsidP="00863D72">
            <w:pPr>
              <w:pStyle w:val="NoSpacing"/>
              <w:jc w:val="center"/>
              <w:rPr>
                <w:rFonts w:asciiTheme="minorHAnsi" w:hAnsiTheme="minorHAnsi"/>
                <w:sz w:val="20"/>
              </w:rPr>
            </w:pPr>
            <w:r>
              <w:rPr>
                <w:rFonts w:asciiTheme="minorHAnsi" w:hAnsiTheme="minorHAnsi"/>
                <w:sz w:val="20"/>
              </w:rPr>
              <w:t>50</w:t>
            </w:r>
          </w:p>
        </w:tc>
        <w:tc>
          <w:tcPr>
            <w:tcW w:w="990" w:type="dxa"/>
            <w:tcBorders>
              <w:top w:val="nil"/>
              <w:left w:val="single" w:sz="8" w:space="0" w:color="76923C" w:themeColor="accent3" w:themeShade="BF"/>
              <w:bottom w:val="nil"/>
              <w:right w:val="single" w:sz="8" w:space="0" w:color="76923C" w:themeColor="accent3" w:themeShade="BF"/>
            </w:tcBorders>
            <w:shd w:val="clear" w:color="auto" w:fill="auto"/>
            <w:vAlign w:val="bottom"/>
          </w:tcPr>
          <w:p w14:paraId="174E946B" w14:textId="1778E01F" w:rsidR="0095705C" w:rsidRPr="00B3574B" w:rsidRDefault="00863D72" w:rsidP="00863D72">
            <w:pPr>
              <w:pStyle w:val="NoSpacing"/>
              <w:jc w:val="center"/>
              <w:rPr>
                <w:rFonts w:asciiTheme="minorHAnsi" w:hAnsiTheme="minorHAnsi"/>
                <w:sz w:val="20"/>
              </w:rPr>
            </w:pPr>
            <w:r>
              <w:rPr>
                <w:rFonts w:asciiTheme="minorHAnsi" w:hAnsiTheme="minorHAnsi"/>
                <w:sz w:val="20"/>
              </w:rPr>
              <w:t>50</w:t>
            </w:r>
          </w:p>
        </w:tc>
        <w:tc>
          <w:tcPr>
            <w:tcW w:w="1170" w:type="dxa"/>
            <w:tcBorders>
              <w:top w:val="nil"/>
              <w:left w:val="single" w:sz="8" w:space="0" w:color="76923C" w:themeColor="accent3" w:themeShade="BF"/>
              <w:bottom w:val="nil"/>
              <w:right w:val="single" w:sz="8" w:space="0" w:color="76923C" w:themeColor="accent3" w:themeShade="BF"/>
            </w:tcBorders>
            <w:shd w:val="clear" w:color="auto" w:fill="auto"/>
            <w:noWrap/>
            <w:vAlign w:val="bottom"/>
          </w:tcPr>
          <w:p w14:paraId="3CA08D16" w14:textId="2C88C631" w:rsidR="0095705C" w:rsidRPr="00B3574B" w:rsidRDefault="00863D72" w:rsidP="00863D72">
            <w:pPr>
              <w:pStyle w:val="NoSpacing"/>
              <w:jc w:val="center"/>
              <w:rPr>
                <w:rFonts w:asciiTheme="minorHAnsi" w:hAnsiTheme="minorHAnsi"/>
                <w:sz w:val="20"/>
              </w:rPr>
            </w:pPr>
            <w:r>
              <w:rPr>
                <w:rFonts w:asciiTheme="minorHAnsi" w:hAnsiTheme="minorHAnsi"/>
                <w:sz w:val="20"/>
              </w:rPr>
              <w:t>50</w:t>
            </w:r>
          </w:p>
        </w:tc>
        <w:tc>
          <w:tcPr>
            <w:tcW w:w="900" w:type="dxa"/>
            <w:tcBorders>
              <w:top w:val="nil"/>
              <w:left w:val="single" w:sz="8" w:space="0" w:color="76923C" w:themeColor="accent3" w:themeShade="BF"/>
              <w:bottom w:val="nil"/>
              <w:right w:val="single" w:sz="4" w:space="0" w:color="auto"/>
            </w:tcBorders>
            <w:shd w:val="clear" w:color="auto" w:fill="auto"/>
            <w:noWrap/>
            <w:vAlign w:val="bottom"/>
          </w:tcPr>
          <w:p w14:paraId="76515204" w14:textId="0587B25A" w:rsidR="0095705C" w:rsidRPr="00B3574B" w:rsidRDefault="002F689B" w:rsidP="00863D72">
            <w:pPr>
              <w:pStyle w:val="NoSpacing"/>
              <w:jc w:val="center"/>
              <w:rPr>
                <w:rFonts w:asciiTheme="minorHAnsi" w:hAnsiTheme="minorHAnsi"/>
                <w:sz w:val="20"/>
              </w:rPr>
            </w:pPr>
            <w:r>
              <w:rPr>
                <w:rFonts w:asciiTheme="minorHAnsi" w:hAnsiTheme="minorHAnsi"/>
                <w:sz w:val="20"/>
              </w:rPr>
              <w:t>150</w:t>
            </w:r>
          </w:p>
        </w:tc>
      </w:tr>
      <w:tr w:rsidR="0095705C" w:rsidRPr="000D13B3" w14:paraId="344E366B" w14:textId="77777777" w:rsidTr="00774EB5">
        <w:trPr>
          <w:trHeight w:val="270"/>
        </w:trPr>
        <w:tc>
          <w:tcPr>
            <w:tcW w:w="4050" w:type="dxa"/>
            <w:tcBorders>
              <w:top w:val="nil"/>
              <w:left w:val="nil"/>
              <w:bottom w:val="single" w:sz="4" w:space="0" w:color="auto"/>
              <w:right w:val="nil"/>
            </w:tcBorders>
            <w:shd w:val="clear" w:color="auto" w:fill="auto"/>
            <w:noWrap/>
          </w:tcPr>
          <w:p w14:paraId="774F611B" w14:textId="77777777" w:rsidR="0095705C" w:rsidRPr="00B3574B" w:rsidRDefault="0095705C" w:rsidP="00B3574B">
            <w:pPr>
              <w:pStyle w:val="NoSpacing"/>
              <w:jc w:val="right"/>
              <w:rPr>
                <w:rFonts w:asciiTheme="minorHAnsi" w:hAnsiTheme="minorHAnsi" w:cs="Calibri"/>
                <w:b/>
                <w:sz w:val="20"/>
              </w:rPr>
            </w:pPr>
            <w:r w:rsidRPr="00B3574B">
              <w:rPr>
                <w:rFonts w:asciiTheme="minorHAnsi" w:hAnsiTheme="minorHAnsi" w:cs="Calibri"/>
                <w:b/>
                <w:sz w:val="20"/>
              </w:rPr>
              <w:t>Total</w:t>
            </w:r>
          </w:p>
        </w:tc>
        <w:tc>
          <w:tcPr>
            <w:tcW w:w="1530" w:type="dxa"/>
            <w:tcBorders>
              <w:top w:val="nil"/>
              <w:left w:val="nil"/>
              <w:bottom w:val="single" w:sz="4" w:space="0" w:color="auto"/>
              <w:right w:val="single" w:sz="8" w:space="0" w:color="76923C" w:themeColor="accent3" w:themeShade="BF"/>
            </w:tcBorders>
            <w:shd w:val="clear" w:color="auto" w:fill="auto"/>
            <w:noWrap/>
            <w:vAlign w:val="bottom"/>
          </w:tcPr>
          <w:p w14:paraId="3B4D324F" w14:textId="094D8F55" w:rsidR="0095705C" w:rsidRPr="00B3574B" w:rsidRDefault="002F689B" w:rsidP="00863D72">
            <w:pPr>
              <w:pStyle w:val="NoSpacing"/>
              <w:jc w:val="center"/>
              <w:rPr>
                <w:rFonts w:asciiTheme="minorHAnsi" w:hAnsiTheme="minorHAnsi"/>
                <w:sz w:val="20"/>
              </w:rPr>
            </w:pPr>
            <w:r>
              <w:rPr>
                <w:rFonts w:asciiTheme="minorHAnsi" w:hAnsiTheme="minorHAnsi"/>
                <w:sz w:val="20"/>
              </w:rPr>
              <w:t>200</w:t>
            </w:r>
          </w:p>
        </w:tc>
        <w:tc>
          <w:tcPr>
            <w:tcW w:w="990" w:type="dxa"/>
            <w:tcBorders>
              <w:top w:val="nil"/>
              <w:left w:val="single" w:sz="8" w:space="0" w:color="76923C" w:themeColor="accent3" w:themeShade="BF"/>
              <w:bottom w:val="single" w:sz="4" w:space="0" w:color="auto"/>
              <w:right w:val="single" w:sz="8" w:space="0" w:color="76923C" w:themeColor="accent3" w:themeShade="BF"/>
            </w:tcBorders>
            <w:shd w:val="clear" w:color="auto" w:fill="auto"/>
            <w:vAlign w:val="bottom"/>
          </w:tcPr>
          <w:p w14:paraId="1B8FD0F3" w14:textId="739BC094" w:rsidR="0095705C" w:rsidRPr="00B3574B" w:rsidRDefault="002F689B" w:rsidP="00863D72">
            <w:pPr>
              <w:pStyle w:val="NoSpacing"/>
              <w:jc w:val="center"/>
              <w:rPr>
                <w:rFonts w:asciiTheme="minorHAnsi" w:hAnsiTheme="minorHAnsi"/>
                <w:sz w:val="20"/>
              </w:rPr>
            </w:pPr>
            <w:r>
              <w:rPr>
                <w:rFonts w:asciiTheme="minorHAnsi" w:hAnsiTheme="minorHAnsi"/>
                <w:sz w:val="20"/>
              </w:rPr>
              <w:t>200</w:t>
            </w:r>
          </w:p>
        </w:tc>
        <w:tc>
          <w:tcPr>
            <w:tcW w:w="1170" w:type="dxa"/>
            <w:tcBorders>
              <w:top w:val="nil"/>
              <w:left w:val="single" w:sz="8" w:space="0" w:color="76923C" w:themeColor="accent3" w:themeShade="BF"/>
              <w:bottom w:val="single" w:sz="4" w:space="0" w:color="auto"/>
              <w:right w:val="single" w:sz="8" w:space="0" w:color="76923C" w:themeColor="accent3" w:themeShade="BF"/>
            </w:tcBorders>
            <w:shd w:val="clear" w:color="auto" w:fill="auto"/>
            <w:noWrap/>
            <w:vAlign w:val="bottom"/>
          </w:tcPr>
          <w:p w14:paraId="774FC25B" w14:textId="169CB235" w:rsidR="0095705C" w:rsidRPr="00B3574B" w:rsidRDefault="002F689B" w:rsidP="00863D72">
            <w:pPr>
              <w:pStyle w:val="NoSpacing"/>
              <w:jc w:val="center"/>
              <w:rPr>
                <w:rFonts w:asciiTheme="minorHAnsi" w:hAnsiTheme="minorHAnsi"/>
                <w:sz w:val="20"/>
              </w:rPr>
            </w:pPr>
            <w:r>
              <w:rPr>
                <w:rFonts w:asciiTheme="minorHAnsi" w:hAnsiTheme="minorHAnsi"/>
                <w:sz w:val="20"/>
              </w:rPr>
              <w:t>200</w:t>
            </w:r>
          </w:p>
        </w:tc>
        <w:tc>
          <w:tcPr>
            <w:tcW w:w="900" w:type="dxa"/>
            <w:tcBorders>
              <w:top w:val="nil"/>
              <w:left w:val="single" w:sz="8" w:space="0" w:color="76923C" w:themeColor="accent3" w:themeShade="BF"/>
              <w:bottom w:val="single" w:sz="4" w:space="0" w:color="auto"/>
              <w:right w:val="single" w:sz="4" w:space="0" w:color="auto"/>
            </w:tcBorders>
            <w:shd w:val="clear" w:color="auto" w:fill="auto"/>
            <w:noWrap/>
            <w:vAlign w:val="bottom"/>
          </w:tcPr>
          <w:p w14:paraId="49E01338" w14:textId="588FC68B" w:rsidR="0095705C" w:rsidRPr="00B3574B" w:rsidRDefault="002F689B" w:rsidP="00863D72">
            <w:pPr>
              <w:pStyle w:val="NoSpacing"/>
              <w:jc w:val="center"/>
              <w:rPr>
                <w:rFonts w:asciiTheme="minorHAnsi" w:hAnsiTheme="minorHAnsi"/>
                <w:sz w:val="20"/>
              </w:rPr>
            </w:pPr>
            <w:r>
              <w:rPr>
                <w:rFonts w:asciiTheme="minorHAnsi" w:hAnsiTheme="minorHAnsi"/>
                <w:sz w:val="20"/>
              </w:rPr>
              <w:t>600</w:t>
            </w:r>
          </w:p>
        </w:tc>
      </w:tr>
    </w:tbl>
    <w:p w14:paraId="378A7000" w14:textId="77777777" w:rsidR="00B96EA2" w:rsidRPr="00B3574B" w:rsidRDefault="00B96EA2" w:rsidP="00B3574B">
      <w:pPr>
        <w:pStyle w:val="NoSpacing"/>
        <w:rPr>
          <w:rFonts w:asciiTheme="minorHAnsi" w:hAnsiTheme="minorHAnsi"/>
          <w:sz w:val="20"/>
        </w:rPr>
      </w:pPr>
    </w:p>
    <w:p w14:paraId="33F17C6F" w14:textId="14C7F7C1" w:rsidR="00151947" w:rsidRDefault="00D22C4B" w:rsidP="0034130F">
      <w:pPr>
        <w:tabs>
          <w:tab w:val="left" w:pos="360"/>
          <w:tab w:val="left" w:pos="1440"/>
          <w:tab w:val="left" w:pos="2160"/>
          <w:tab w:val="left" w:pos="3600"/>
          <w:tab w:val="left" w:pos="5040"/>
          <w:tab w:val="left" w:pos="5760"/>
        </w:tabs>
        <w:spacing w:after="0" w:line="240" w:lineRule="auto"/>
        <w:ind w:left="180" w:right="1080"/>
        <w:jc w:val="both"/>
        <w:rPr>
          <w:rFonts w:cs="Arial"/>
          <w:i/>
          <w:sz w:val="20"/>
        </w:rPr>
      </w:pPr>
      <w:r w:rsidRPr="00D0735B">
        <w:rPr>
          <w:rFonts w:cs="Arial"/>
          <w:i/>
          <w:sz w:val="20"/>
        </w:rPr>
        <w:t>*</w:t>
      </w:r>
      <w:r w:rsidRPr="0034130F">
        <w:rPr>
          <w:rFonts w:cs="Arial"/>
          <w:b/>
          <w:i/>
          <w:sz w:val="20"/>
        </w:rPr>
        <w:t>Note</w:t>
      </w:r>
      <w:r w:rsidRPr="00D0735B">
        <w:rPr>
          <w:rFonts w:cs="Arial"/>
          <w:i/>
          <w:sz w:val="20"/>
        </w:rPr>
        <w:t xml:space="preserve"> – This survey </w:t>
      </w:r>
      <w:r w:rsidR="0034130F">
        <w:rPr>
          <w:rFonts w:cs="Arial"/>
          <w:i/>
          <w:sz w:val="20"/>
        </w:rPr>
        <w:t>“</w:t>
      </w:r>
      <w:r w:rsidR="0034130F" w:rsidRPr="0034130F">
        <w:rPr>
          <w:rFonts w:cs="Arial"/>
          <w:b/>
          <w:i/>
          <w:sz w:val="20"/>
        </w:rPr>
        <w:t>VISITOR THRESHOLDS</w:t>
      </w:r>
      <w:r w:rsidR="0034130F">
        <w:rPr>
          <w:rFonts w:cs="Arial"/>
          <w:i/>
          <w:sz w:val="20"/>
        </w:rPr>
        <w:t>”</w:t>
      </w:r>
      <w:r w:rsidR="00130529" w:rsidRPr="00D0735B">
        <w:rPr>
          <w:rFonts w:cs="Arial"/>
          <w:i/>
          <w:sz w:val="20"/>
        </w:rPr>
        <w:t xml:space="preserve"> will be administered</w:t>
      </w:r>
      <w:r w:rsidRPr="00D0735B">
        <w:rPr>
          <w:rFonts w:cs="Arial"/>
          <w:i/>
          <w:sz w:val="20"/>
        </w:rPr>
        <w:t xml:space="preserve"> concurrently </w:t>
      </w:r>
      <w:r w:rsidR="0034130F">
        <w:rPr>
          <w:rFonts w:cs="Arial"/>
          <w:i/>
          <w:sz w:val="20"/>
        </w:rPr>
        <w:t>on the same days and at the same sites as the “</w:t>
      </w:r>
      <w:r w:rsidR="0034130F" w:rsidRPr="0034130F">
        <w:rPr>
          <w:rFonts w:cs="Arial"/>
          <w:b/>
          <w:i/>
          <w:sz w:val="20"/>
        </w:rPr>
        <w:t>TECHNOLOGY PREFERENCES</w:t>
      </w:r>
      <w:r w:rsidR="0034130F">
        <w:rPr>
          <w:rFonts w:cs="Arial"/>
          <w:i/>
          <w:sz w:val="20"/>
        </w:rPr>
        <w:t>”</w:t>
      </w:r>
      <w:r w:rsidRPr="00D0735B">
        <w:rPr>
          <w:rFonts w:cs="Arial"/>
          <w:i/>
          <w:sz w:val="20"/>
        </w:rPr>
        <w:t xml:space="preserve"> </w:t>
      </w:r>
      <w:r w:rsidR="0034130F">
        <w:rPr>
          <w:rFonts w:cs="Arial"/>
          <w:i/>
          <w:sz w:val="20"/>
        </w:rPr>
        <w:t xml:space="preserve">survey. Sampling will be such that </w:t>
      </w:r>
      <w:r w:rsidR="00DE3831">
        <w:rPr>
          <w:rFonts w:cs="Arial"/>
          <w:i/>
          <w:sz w:val="20"/>
        </w:rPr>
        <w:t xml:space="preserve">one person from </w:t>
      </w:r>
      <w:r w:rsidR="0034130F">
        <w:rPr>
          <w:rFonts w:cs="Arial"/>
          <w:i/>
          <w:sz w:val="20"/>
        </w:rPr>
        <w:t>e</w:t>
      </w:r>
      <w:r w:rsidRPr="00D0735B">
        <w:rPr>
          <w:rFonts w:cs="Arial"/>
          <w:i/>
          <w:sz w:val="20"/>
        </w:rPr>
        <w:t xml:space="preserve">very other </w:t>
      </w:r>
      <w:r w:rsidR="00DE3831">
        <w:rPr>
          <w:rFonts w:cs="Arial"/>
          <w:i/>
          <w:sz w:val="20"/>
        </w:rPr>
        <w:t xml:space="preserve">randomly </w:t>
      </w:r>
      <w:r w:rsidRPr="00D0735B">
        <w:rPr>
          <w:rFonts w:cs="Arial"/>
          <w:i/>
          <w:sz w:val="20"/>
        </w:rPr>
        <w:t xml:space="preserve">group will receive either a </w:t>
      </w:r>
      <w:r w:rsidR="00DE3831" w:rsidRPr="0034130F">
        <w:rPr>
          <w:rFonts w:cs="Arial"/>
          <w:b/>
          <w:i/>
          <w:sz w:val="20"/>
        </w:rPr>
        <w:t>visitor thresholds</w:t>
      </w:r>
      <w:r w:rsidR="00DE3831">
        <w:rPr>
          <w:rFonts w:cs="Arial"/>
          <w:i/>
          <w:sz w:val="20"/>
        </w:rPr>
        <w:t xml:space="preserve"> </w:t>
      </w:r>
      <w:r w:rsidRPr="00D0735B">
        <w:rPr>
          <w:rFonts w:cs="Arial"/>
          <w:i/>
          <w:sz w:val="20"/>
        </w:rPr>
        <w:t xml:space="preserve">or </w:t>
      </w:r>
      <w:r w:rsidR="0034130F">
        <w:rPr>
          <w:rFonts w:cs="Arial"/>
          <w:i/>
          <w:sz w:val="20"/>
        </w:rPr>
        <w:t xml:space="preserve">a </w:t>
      </w:r>
      <w:r w:rsidR="00DE3831" w:rsidRPr="0034130F">
        <w:rPr>
          <w:rFonts w:cs="Arial"/>
          <w:b/>
          <w:i/>
          <w:sz w:val="20"/>
        </w:rPr>
        <w:t>technology preferences</w:t>
      </w:r>
      <w:r w:rsidR="00DE3831">
        <w:rPr>
          <w:rFonts w:cs="Arial"/>
          <w:b/>
          <w:i/>
          <w:sz w:val="20"/>
        </w:rPr>
        <w:t xml:space="preserve"> </w:t>
      </w:r>
      <w:r w:rsidR="0034130F">
        <w:rPr>
          <w:rFonts w:cs="Arial"/>
          <w:i/>
          <w:sz w:val="20"/>
        </w:rPr>
        <w:t>survey</w:t>
      </w:r>
      <w:r w:rsidRPr="00D0735B">
        <w:rPr>
          <w:rFonts w:cs="Arial"/>
          <w:i/>
          <w:sz w:val="20"/>
        </w:rPr>
        <w:t xml:space="preserve">.  </w:t>
      </w:r>
    </w:p>
    <w:p w14:paraId="72970D75" w14:textId="77777777" w:rsidR="00EB6E34" w:rsidRPr="00D0735B" w:rsidRDefault="00EB6E34" w:rsidP="00D0735B">
      <w:pPr>
        <w:tabs>
          <w:tab w:val="left" w:pos="360"/>
          <w:tab w:val="left" w:pos="1440"/>
          <w:tab w:val="left" w:pos="2160"/>
          <w:tab w:val="left" w:pos="3600"/>
          <w:tab w:val="left" w:pos="5040"/>
          <w:tab w:val="left" w:pos="5760"/>
        </w:tabs>
        <w:spacing w:after="0" w:line="240" w:lineRule="auto"/>
        <w:ind w:left="900" w:right="1080"/>
        <w:jc w:val="both"/>
        <w:rPr>
          <w:rFonts w:cs="Arial"/>
          <w:i/>
          <w:sz w:val="20"/>
        </w:rPr>
      </w:pPr>
    </w:p>
    <w:p w14:paraId="69A722E3" w14:textId="77777777"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4BF256B9" w14:textId="023211A8" w:rsidR="00DB0008" w:rsidRDefault="00DB0008" w:rsidP="00DB0008">
      <w:pPr>
        <w:spacing w:line="360" w:lineRule="auto"/>
        <w:rPr>
          <w:rFonts w:cstheme="minorHAnsi"/>
        </w:rPr>
      </w:pPr>
      <w:r>
        <w:rPr>
          <w:rFonts w:cstheme="minorHAnsi"/>
        </w:rPr>
        <w:t>The initial contact with visitors will be used to explain the study and determine if visitors are interested in participating (see script</w:t>
      </w:r>
      <w:r w:rsidR="005950D0">
        <w:rPr>
          <w:rFonts w:cstheme="minorHAnsi"/>
        </w:rPr>
        <w:t xml:space="preserve"> below</w:t>
      </w:r>
      <w:r>
        <w:rPr>
          <w:rFonts w:cstheme="minorHAnsi"/>
        </w:rPr>
        <w:t xml:space="preserve">). This should take approximately one minute. If a group is encountered, the survey interviewer will ask the individual within the group </w:t>
      </w:r>
      <w:r w:rsidR="001732DC">
        <w:rPr>
          <w:rFonts w:cstheme="minorHAnsi"/>
        </w:rPr>
        <w:t xml:space="preserve">with </w:t>
      </w:r>
      <w:r>
        <w:rPr>
          <w:rFonts w:cstheme="minorHAnsi"/>
        </w:rPr>
        <w:t xml:space="preserve">the next birthday to serve as the respondent. </w:t>
      </w:r>
      <w:r w:rsidR="001732DC">
        <w:rPr>
          <w:rFonts w:cstheme="minorHAnsi"/>
        </w:rPr>
        <w:t xml:space="preserve"> </w:t>
      </w:r>
      <w:r>
        <w:rPr>
          <w:rFonts w:cstheme="minorHAnsi"/>
        </w:rPr>
        <w:t xml:space="preserve">At this point, all individuals approached will be asked the non-response bias questions to collect information that will be used in the final analysis (see item E below). The visitors that refuse to participate will be asked if they would be willing to take two minutes to respond to non-response bias questions. The number of refusals will be recorded and used to calculate the overall response rate for the collection. </w:t>
      </w:r>
    </w:p>
    <w:p w14:paraId="2AF5E581" w14:textId="46BB14B9" w:rsidR="00DB0008" w:rsidRPr="0082235F" w:rsidRDefault="00DB0008" w:rsidP="00DB0008">
      <w:pPr>
        <w:rPr>
          <w:rFonts w:cstheme="minorHAnsi"/>
        </w:rPr>
      </w:pPr>
      <w:r>
        <w:rPr>
          <w:rFonts w:cstheme="minorHAnsi"/>
        </w:rPr>
        <w:t xml:space="preserve">Visitors </w:t>
      </w:r>
      <w:r w:rsidR="002B4D48">
        <w:rPr>
          <w:rFonts w:cstheme="minorHAnsi"/>
        </w:rPr>
        <w:t>approached during the initial contact</w:t>
      </w:r>
      <w:r>
        <w:rPr>
          <w:rFonts w:cstheme="minorHAnsi"/>
        </w:rPr>
        <w:t xml:space="preserve"> will be read the following script:</w:t>
      </w:r>
    </w:p>
    <w:p w14:paraId="59367772" w14:textId="63C08F3A" w:rsidR="00DB0008" w:rsidRPr="00130529" w:rsidRDefault="00DB0008" w:rsidP="00130529">
      <w:pPr>
        <w:pStyle w:val="ListParagraph"/>
        <w:rPr>
          <w:rFonts w:cstheme="minorHAnsi"/>
          <w:i/>
        </w:rPr>
      </w:pPr>
      <w:r w:rsidRPr="007A32D3">
        <w:rPr>
          <w:rFonts w:cstheme="minorHAnsi"/>
          <w:i/>
        </w:rPr>
        <w:t>“Hello, I am conducting a survey for the National Park Service to better unde</w:t>
      </w:r>
      <w:r>
        <w:rPr>
          <w:rFonts w:cstheme="minorHAnsi"/>
          <w:i/>
        </w:rPr>
        <w:t xml:space="preserve">rstand your opinions related to your </w:t>
      </w:r>
      <w:r w:rsidR="00A1090B">
        <w:rPr>
          <w:rFonts w:cstheme="minorHAnsi"/>
          <w:i/>
        </w:rPr>
        <w:t>how many people you saw in the park today</w:t>
      </w:r>
      <w:r w:rsidRPr="007A32D3">
        <w:rPr>
          <w:rFonts w:cstheme="minorHAnsi"/>
          <w:i/>
        </w:rPr>
        <w:t>. Your participation is voluntary and all responses will be kept anonymous. Would you be willing to take a</w:t>
      </w:r>
      <w:r w:rsidR="00BA00C8">
        <w:rPr>
          <w:rFonts w:cstheme="minorHAnsi"/>
          <w:i/>
        </w:rPr>
        <w:t xml:space="preserve"> 15</w:t>
      </w:r>
      <w:r>
        <w:rPr>
          <w:rFonts w:cstheme="minorHAnsi"/>
          <w:i/>
        </w:rPr>
        <w:t>-minute</w:t>
      </w:r>
      <w:r w:rsidRPr="007A32D3">
        <w:rPr>
          <w:rFonts w:cstheme="minorHAnsi"/>
          <w:i/>
        </w:rPr>
        <w:t xml:space="preserve"> survey and give it back to the interviewer?”</w:t>
      </w:r>
    </w:p>
    <w:tbl>
      <w:tblPr>
        <w:tblStyle w:val="TableGrid"/>
        <w:tblW w:w="9630" w:type="dxa"/>
        <w:tblInd w:w="715" w:type="dxa"/>
        <w:tblBorders>
          <w:insideH w:val="none" w:sz="0" w:space="0" w:color="auto"/>
          <w:insideV w:val="none" w:sz="0" w:space="0" w:color="auto"/>
        </w:tblBorders>
        <w:tblLayout w:type="fixed"/>
        <w:tblLook w:val="04A0" w:firstRow="1" w:lastRow="0" w:firstColumn="1" w:lastColumn="0" w:noHBand="0" w:noVBand="1"/>
      </w:tblPr>
      <w:tblGrid>
        <w:gridCol w:w="9630"/>
      </w:tblGrid>
      <w:tr w:rsidR="00DB0008" w:rsidRPr="00051747" w14:paraId="7325793A" w14:textId="77777777" w:rsidTr="009853B1">
        <w:trPr>
          <w:trHeight w:val="692"/>
        </w:trPr>
        <w:tc>
          <w:tcPr>
            <w:tcW w:w="9630" w:type="dxa"/>
            <w:tcBorders>
              <w:top w:val="single" w:sz="4" w:space="0" w:color="auto"/>
              <w:left w:val="single" w:sz="4" w:space="0" w:color="auto"/>
              <w:bottom w:val="nil"/>
              <w:right w:val="single" w:sz="4" w:space="0" w:color="auto"/>
            </w:tcBorders>
            <w:shd w:val="clear" w:color="auto" w:fill="F2F2F2" w:themeFill="background1" w:themeFillShade="F2"/>
          </w:tcPr>
          <w:p w14:paraId="19913831" w14:textId="77777777" w:rsidR="00DB0008" w:rsidRPr="00051747" w:rsidRDefault="00DB0008" w:rsidP="00905909">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DB0008" w:rsidRPr="00051747" w14:paraId="040B1CAA" w14:textId="77777777" w:rsidTr="009853B1">
        <w:trPr>
          <w:trHeight w:val="558"/>
        </w:trPr>
        <w:tc>
          <w:tcPr>
            <w:tcW w:w="9630" w:type="dxa"/>
            <w:tcBorders>
              <w:top w:val="nil"/>
              <w:left w:val="single" w:sz="4" w:space="0" w:color="auto"/>
              <w:bottom w:val="nil"/>
              <w:right w:val="single" w:sz="4" w:space="0" w:color="auto"/>
            </w:tcBorders>
            <w:shd w:val="clear" w:color="auto" w:fill="F2F2F2" w:themeFill="background1" w:themeFillShade="F2"/>
          </w:tcPr>
          <w:p w14:paraId="7FA8A692" w14:textId="61D66D1E" w:rsidR="00DB0008" w:rsidRPr="00051747" w:rsidRDefault="00DB0008" w:rsidP="00905909">
            <w:pPr>
              <w:spacing w:line="276" w:lineRule="auto"/>
              <w:ind w:left="342"/>
            </w:pPr>
            <w:r w:rsidRPr="00051747">
              <w:t>If “</w:t>
            </w:r>
            <w:r w:rsidRPr="00051747">
              <w:rPr>
                <w:b/>
              </w:rPr>
              <w:t>YES</w:t>
            </w:r>
            <w:r w:rsidRPr="00051747">
              <w:t>” (already asked to participate) then, “</w:t>
            </w:r>
            <w:r w:rsidR="00A1090B">
              <w:rPr>
                <w:i/>
              </w:rPr>
              <w:t>Thank you for agreeing</w:t>
            </w:r>
            <w:r w:rsidRPr="00051747">
              <w:rPr>
                <w:i/>
              </w:rPr>
              <w:t xml:space="preserve"> to participate i</w:t>
            </w:r>
            <w:r w:rsidR="00A1090B">
              <w:rPr>
                <w:i/>
              </w:rPr>
              <w:t>n this study</w:t>
            </w:r>
            <w:r w:rsidRPr="00051747">
              <w:rPr>
                <w:i/>
              </w:rPr>
              <w:t>.  Have a great day.”</w:t>
            </w:r>
          </w:p>
        </w:tc>
      </w:tr>
      <w:tr w:rsidR="00DB0008" w:rsidRPr="00051747" w14:paraId="3BC04F6B" w14:textId="77777777" w:rsidTr="009853B1">
        <w:trPr>
          <w:trHeight w:val="1764"/>
        </w:trPr>
        <w:tc>
          <w:tcPr>
            <w:tcW w:w="9630" w:type="dxa"/>
            <w:tcBorders>
              <w:top w:val="nil"/>
              <w:left w:val="single" w:sz="4" w:space="0" w:color="auto"/>
              <w:bottom w:val="nil"/>
              <w:right w:val="single" w:sz="4" w:space="0" w:color="auto"/>
            </w:tcBorders>
            <w:shd w:val="clear" w:color="auto" w:fill="F2F2F2" w:themeFill="background1" w:themeFillShade="F2"/>
          </w:tcPr>
          <w:p w14:paraId="39574F58" w14:textId="77777777" w:rsidR="00DB0008" w:rsidRPr="00051747" w:rsidRDefault="00DB0008" w:rsidP="00905909">
            <w:pPr>
              <w:spacing w:line="276" w:lineRule="auto"/>
              <w:ind w:left="342"/>
            </w:pPr>
            <w:r w:rsidRPr="00051747">
              <w:t>If “</w:t>
            </w:r>
            <w:r w:rsidRPr="00051747">
              <w:rPr>
                <w:b/>
              </w:rPr>
              <w:t>NO</w:t>
            </w:r>
            <w:r w:rsidRPr="00051747">
              <w:t xml:space="preserve">” (have not been previously asked to participate) then, </w:t>
            </w:r>
          </w:p>
          <w:p w14:paraId="658BB58A" w14:textId="473700E4" w:rsidR="00DB0008" w:rsidRPr="00051747" w:rsidRDefault="00DB0008" w:rsidP="00905909">
            <w:pPr>
              <w:spacing w:line="276" w:lineRule="auto"/>
              <w:ind w:left="342"/>
              <w:rPr>
                <w:i/>
              </w:rPr>
            </w:pPr>
            <w:r w:rsidRPr="00051747">
              <w:rPr>
                <w:i/>
              </w:rPr>
              <w:t xml:space="preserve">“Thank you for agreeing to participate. </w:t>
            </w:r>
            <w:r>
              <w:rPr>
                <w:i/>
              </w:rPr>
              <w:t>Who in your group is at least 18</w:t>
            </w:r>
            <w:r w:rsidRPr="00051747">
              <w:rPr>
                <w:i/>
              </w:rPr>
              <w:t xml:space="preserve"> years old and has the next birthday?</w:t>
            </w:r>
            <w:r w:rsidR="00130529">
              <w:rPr>
                <w:i/>
              </w:rPr>
              <w:t>”</w:t>
            </w:r>
            <w:r w:rsidRPr="00051747">
              <w:t xml:space="preserve"> A</w:t>
            </w:r>
            <w:r w:rsidRPr="00051747">
              <w:rPr>
                <w:i/>
              </w:rPr>
              <w:t xml:space="preserve">sk them to start the process by answering the non-response bias questions (listed below). Record responses in spaces provided on the tracking sheet. Hand them a </w:t>
            </w:r>
            <w:r w:rsidR="00130529">
              <w:rPr>
                <w:i/>
              </w:rPr>
              <w:t>tablet survey</w:t>
            </w:r>
            <w:r w:rsidR="00BA00C8">
              <w:rPr>
                <w:i/>
              </w:rPr>
              <w:t xml:space="preserve"> including</w:t>
            </w:r>
            <w:r w:rsidR="00130529">
              <w:rPr>
                <w:i/>
              </w:rPr>
              <w:t xml:space="preserve"> </w:t>
            </w:r>
            <w:r w:rsidR="00BA00C8">
              <w:rPr>
                <w:i/>
              </w:rPr>
              <w:t>two</w:t>
            </w:r>
            <w:r w:rsidR="00130529">
              <w:rPr>
                <w:i/>
              </w:rPr>
              <w:t xml:space="preserve"> photo binder they will use to evaluate the conditions at the location</w:t>
            </w:r>
            <w:r w:rsidRPr="00051747">
              <w:rPr>
                <w:i/>
              </w:rPr>
              <w:t>.</w:t>
            </w:r>
            <w:r w:rsidR="00130529">
              <w:rPr>
                <w:i/>
              </w:rPr>
              <w:t xml:space="preserve"> Participants will then b</w:t>
            </w:r>
            <w:r w:rsidR="009853B1">
              <w:rPr>
                <w:i/>
              </w:rPr>
              <w:t>e briefed on how to utilize the</w:t>
            </w:r>
            <w:r w:rsidR="0004649F">
              <w:rPr>
                <w:i/>
              </w:rPr>
              <w:t xml:space="preserve"> provided </w:t>
            </w:r>
            <w:r w:rsidR="00130529">
              <w:rPr>
                <w:i/>
              </w:rPr>
              <w:t>binder</w:t>
            </w:r>
            <w:r w:rsidR="00BA00C8">
              <w:rPr>
                <w:i/>
              </w:rPr>
              <w:t>s</w:t>
            </w:r>
            <w:r w:rsidR="00130529">
              <w:rPr>
                <w:i/>
              </w:rPr>
              <w:t xml:space="preserve"> to answer the questions in the survey: “Please use the binder to answer the questions in the survey when prompted, please let me know if you have any questions about the process.”</w:t>
            </w:r>
          </w:p>
        </w:tc>
      </w:tr>
      <w:tr w:rsidR="00DB0008" w:rsidRPr="00051747" w14:paraId="101C3FFA" w14:textId="77777777" w:rsidTr="009853B1">
        <w:trPr>
          <w:trHeight w:val="981"/>
        </w:trPr>
        <w:tc>
          <w:tcPr>
            <w:tcW w:w="9630" w:type="dxa"/>
            <w:tcBorders>
              <w:top w:val="nil"/>
              <w:left w:val="single" w:sz="4" w:space="0" w:color="auto"/>
              <w:bottom w:val="nil"/>
              <w:right w:val="single" w:sz="4" w:space="0" w:color="auto"/>
            </w:tcBorders>
            <w:shd w:val="clear" w:color="auto" w:fill="F2F2F2" w:themeFill="background1" w:themeFillShade="F2"/>
          </w:tcPr>
          <w:p w14:paraId="5BB37F01" w14:textId="77777777" w:rsidR="00DB0008" w:rsidRPr="00051747" w:rsidRDefault="00DB0008" w:rsidP="00905909">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DB0008" w:rsidRPr="00051747" w14:paraId="73546AB7" w14:textId="77777777" w:rsidTr="009853B1">
        <w:trPr>
          <w:trHeight w:val="459"/>
        </w:trPr>
        <w:tc>
          <w:tcPr>
            <w:tcW w:w="9630" w:type="dxa"/>
            <w:tcBorders>
              <w:top w:val="nil"/>
              <w:left w:val="single" w:sz="4" w:space="0" w:color="auto"/>
              <w:bottom w:val="single" w:sz="4" w:space="0" w:color="auto"/>
              <w:right w:val="single" w:sz="4" w:space="0" w:color="auto"/>
            </w:tcBorders>
            <w:shd w:val="clear" w:color="auto" w:fill="F2F2F2" w:themeFill="background1" w:themeFillShade="F2"/>
          </w:tcPr>
          <w:p w14:paraId="26CF21E7" w14:textId="77777777" w:rsidR="00DB0008" w:rsidRPr="00051747" w:rsidRDefault="00DB0008" w:rsidP="00905909">
            <w:pPr>
              <w:spacing w:line="276" w:lineRule="auto"/>
            </w:pPr>
            <w:r w:rsidRPr="00051747">
              <w:rPr>
                <w:i/>
              </w:rPr>
              <w:sym w:font="Wingdings" w:char="F0E8"/>
            </w:r>
            <w:r w:rsidRPr="00051747">
              <w:rPr>
                <w:i/>
              </w:rPr>
              <w:t>If NO– (hard refusal) - end the contact and thank them for their time.</w:t>
            </w:r>
          </w:p>
        </w:tc>
      </w:tr>
    </w:tbl>
    <w:p w14:paraId="3EC79ADE" w14:textId="77777777" w:rsidR="00DE3831" w:rsidRDefault="00DE3831" w:rsidP="009853B1">
      <w:pPr>
        <w:autoSpaceDE w:val="0"/>
        <w:autoSpaceDN w:val="0"/>
        <w:spacing w:after="0" w:line="360" w:lineRule="auto"/>
        <w:rPr>
          <w:rFonts w:ascii="Calibri" w:eastAsia="Times New Roman" w:hAnsi="Calibri" w:cs="Calibri"/>
        </w:rPr>
      </w:pPr>
    </w:p>
    <w:p w14:paraId="088ED97B" w14:textId="7F496C2B" w:rsidR="002E6066" w:rsidRDefault="00130529" w:rsidP="009853B1">
      <w:pPr>
        <w:autoSpaceDE w:val="0"/>
        <w:autoSpaceDN w:val="0"/>
        <w:spacing w:after="0" w:line="360" w:lineRule="auto"/>
        <w:rPr>
          <w:rFonts w:ascii="Calibri" w:eastAsia="Times New Roman" w:hAnsi="Calibri" w:cs="Calibri"/>
        </w:rPr>
      </w:pPr>
      <w:r>
        <w:rPr>
          <w:rFonts w:ascii="Calibri" w:eastAsia="Times New Roman" w:hAnsi="Calibri" w:cs="Calibri"/>
        </w:rPr>
        <w:t xml:space="preserve">The photo binders used for the study will include five, 8.5 x 11 color photos, </w:t>
      </w:r>
      <w:r w:rsidR="009853B1">
        <w:rPr>
          <w:rFonts w:ascii="Calibri" w:eastAsia="Times New Roman" w:hAnsi="Calibri" w:cs="Calibri"/>
        </w:rPr>
        <w:t>will be used to depict levels of crowding (</w:t>
      </w:r>
      <w:r>
        <w:rPr>
          <w:rFonts w:ascii="Calibri" w:eastAsia="Times New Roman" w:hAnsi="Calibri" w:cs="Calibri"/>
        </w:rPr>
        <w:t>presented in ascending order from 0 people to 50 people) of the conditions for the location the interviewer is stationed</w:t>
      </w:r>
      <w:r w:rsidR="009853B1">
        <w:rPr>
          <w:rFonts w:ascii="Calibri" w:eastAsia="Times New Roman" w:hAnsi="Calibri" w:cs="Calibri"/>
        </w:rPr>
        <w:t xml:space="preserve">. </w:t>
      </w:r>
      <w:r>
        <w:rPr>
          <w:rFonts w:ascii="Calibri" w:eastAsia="Times New Roman" w:hAnsi="Calibri" w:cs="Calibri"/>
        </w:rPr>
        <w:t xml:space="preserve">The respondent </w:t>
      </w:r>
      <w:r w:rsidR="009853B1">
        <w:rPr>
          <w:rFonts w:ascii="Calibri" w:eastAsia="Times New Roman" w:hAnsi="Calibri" w:cs="Calibri"/>
        </w:rPr>
        <w:t>use the photos to</w:t>
      </w:r>
      <w:r>
        <w:rPr>
          <w:rFonts w:ascii="Calibri" w:eastAsia="Times New Roman" w:hAnsi="Calibri" w:cs="Calibri"/>
        </w:rPr>
        <w:t xml:space="preserve"> </w:t>
      </w:r>
      <w:r w:rsidR="009853B1">
        <w:rPr>
          <w:rFonts w:ascii="Calibri" w:eastAsia="Times New Roman" w:hAnsi="Calibri" w:cs="Calibri"/>
        </w:rPr>
        <w:t>a</w:t>
      </w:r>
      <w:r w:rsidR="00D0735B">
        <w:rPr>
          <w:rFonts w:ascii="Calibri" w:eastAsia="Times New Roman" w:hAnsi="Calibri" w:cs="Calibri"/>
        </w:rPr>
        <w:t>nswer questions 4 and 5 on the</w:t>
      </w:r>
      <w:r>
        <w:rPr>
          <w:rFonts w:ascii="Calibri" w:eastAsia="Times New Roman" w:hAnsi="Calibri" w:cs="Calibri"/>
        </w:rPr>
        <w:t xml:space="preserve"> survey.  </w:t>
      </w:r>
    </w:p>
    <w:p w14:paraId="668DA2A1" w14:textId="370B59D8" w:rsidR="00130529" w:rsidRPr="002E6066" w:rsidRDefault="00130529" w:rsidP="002E6066">
      <w:pPr>
        <w:autoSpaceDE w:val="0"/>
        <w:autoSpaceDN w:val="0"/>
        <w:spacing w:after="0" w:line="240" w:lineRule="auto"/>
        <w:rPr>
          <w:rFonts w:ascii="Calibri" w:eastAsia="Times New Roman" w:hAnsi="Calibri" w:cs="Calibri"/>
        </w:rPr>
      </w:pPr>
    </w:p>
    <w:p w14:paraId="6B3A05D8"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BFF1838" w14:textId="1F9D2CB7" w:rsidR="00DB0008" w:rsidRDefault="00DB0008" w:rsidP="005950D0">
      <w:pPr>
        <w:spacing w:line="360" w:lineRule="auto"/>
        <w:rPr>
          <w:rFonts w:cs="Calibri"/>
        </w:rPr>
      </w:pPr>
      <w:r w:rsidRPr="00051747">
        <w:rPr>
          <w:rFonts w:cs="Calibri"/>
        </w:rPr>
        <w:t>The response rate for each of</w:t>
      </w:r>
      <w:r>
        <w:rPr>
          <w:rFonts w:cs="Calibri"/>
        </w:rPr>
        <w:t xml:space="preserve"> the collections is based on</w:t>
      </w:r>
      <w:r w:rsidRPr="00051747">
        <w:rPr>
          <w:rFonts w:cs="Calibri"/>
        </w:rPr>
        <w:t xml:space="preserve"> surveys </w:t>
      </w:r>
      <w:r w:rsidR="00D0735B">
        <w:rPr>
          <w:rFonts w:cs="Calibri"/>
        </w:rPr>
        <w:t xml:space="preserve">conducted by the research team </w:t>
      </w:r>
      <w:r w:rsidRPr="00051747">
        <w:rPr>
          <w:rFonts w:cs="Calibri"/>
        </w:rPr>
        <w:t>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sidRPr="00814E93">
        <w:rPr>
          <w:rFonts w:cstheme="minorHAnsi"/>
        </w:rPr>
        <w:t xml:space="preserve">To achieve this, we will likely have to contact approximately </w:t>
      </w:r>
      <w:r w:rsidR="00C05F20">
        <w:rPr>
          <w:rFonts w:cstheme="minorHAnsi"/>
        </w:rPr>
        <w:t>600</w:t>
      </w:r>
      <w:r w:rsidRPr="00814E93">
        <w:rPr>
          <w:rFonts w:cstheme="minorHAnsi"/>
        </w:rPr>
        <w:t xml:space="preserve"> visitors assuming a 50% response rate</w:t>
      </w:r>
      <w:r w:rsidR="00E05F88">
        <w:rPr>
          <w:rFonts w:cstheme="minorHAnsi"/>
        </w:rPr>
        <w:t xml:space="preserve"> (Table 4)</w:t>
      </w:r>
      <w:r w:rsidRPr="00814E93">
        <w:rPr>
          <w:rFonts w:cstheme="minorHAnsi"/>
        </w:rPr>
        <w:t>.</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774C1C0A" w14:textId="3658B163" w:rsidR="00846139" w:rsidRDefault="00846139" w:rsidP="00774EB5">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log, and will be used in calculating the </w:t>
      </w:r>
      <w:r>
        <w:rPr>
          <w:rFonts w:cs="Calibri"/>
        </w:rPr>
        <w:t xml:space="preserve">overall </w:t>
      </w:r>
      <w:r w:rsidRPr="00051747">
        <w:rPr>
          <w:rFonts w:cs="Calibri"/>
        </w:rPr>
        <w:t>response rate.</w:t>
      </w:r>
    </w:p>
    <w:p w14:paraId="0399E86D" w14:textId="0CB679A1" w:rsidR="00E05F88" w:rsidRPr="00E05F88" w:rsidRDefault="00E05F88" w:rsidP="00774EB5">
      <w:pPr>
        <w:spacing w:line="360" w:lineRule="auto"/>
        <w:rPr>
          <w:rFonts w:cs="Calibri"/>
          <w:b/>
        </w:rPr>
      </w:pPr>
      <w:r>
        <w:rPr>
          <w:rFonts w:cs="Calibri"/>
          <w:b/>
        </w:rPr>
        <w:t>Table 4. Anticipated Response Rates</w:t>
      </w:r>
    </w:p>
    <w:tbl>
      <w:tblPr>
        <w:tblStyle w:val="TableGrid"/>
        <w:tblW w:w="0" w:type="auto"/>
        <w:tblInd w:w="355" w:type="dxa"/>
        <w:tblLook w:val="04A0" w:firstRow="1" w:lastRow="0" w:firstColumn="1" w:lastColumn="0" w:noHBand="0" w:noVBand="1"/>
      </w:tblPr>
      <w:tblGrid>
        <w:gridCol w:w="3870"/>
        <w:gridCol w:w="1080"/>
        <w:gridCol w:w="1260"/>
        <w:gridCol w:w="1710"/>
        <w:gridCol w:w="1440"/>
        <w:gridCol w:w="1075"/>
      </w:tblGrid>
      <w:tr w:rsidR="002F689B" w:rsidRPr="000D13B3" w14:paraId="5A8C66A6" w14:textId="77777777" w:rsidTr="00EB6E34">
        <w:tc>
          <w:tcPr>
            <w:tcW w:w="387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72CAF49"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Pr="000D13B3">
              <w:rPr>
                <w:rFonts w:cs="Arial"/>
                <w:b/>
                <w:sz w:val="20"/>
                <w:szCs w:val="20"/>
              </w:rPr>
              <w:t>Location</w:t>
            </w:r>
          </w:p>
        </w:tc>
        <w:tc>
          <w:tcPr>
            <w:tcW w:w="108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84D35E0"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26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5188840" w14:textId="77777777" w:rsidR="002F689B" w:rsidRPr="000D13B3" w:rsidRDefault="002F689B" w:rsidP="007758EE">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092FC9BB"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Pr="000D13B3">
              <w:rPr>
                <w:rFonts w:eastAsia="Times New Roman" w:cs="Times New Roman"/>
                <w:b/>
                <w:color w:val="000000"/>
                <w:sz w:val="20"/>
                <w:szCs w:val="20"/>
              </w:rPr>
              <w:t>%</w:t>
            </w:r>
          </w:p>
        </w:tc>
        <w:tc>
          <w:tcPr>
            <w:tcW w:w="171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95AD38B" w14:textId="77777777" w:rsidR="002F689B" w:rsidRPr="000D13B3" w:rsidRDefault="002F689B" w:rsidP="007758EE">
            <w:pPr>
              <w:jc w:val="center"/>
              <w:rPr>
                <w:b/>
                <w:color w:val="000000"/>
                <w:sz w:val="20"/>
                <w:szCs w:val="20"/>
              </w:rPr>
            </w:pPr>
            <w:r w:rsidRPr="000D13B3">
              <w:rPr>
                <w:b/>
                <w:color w:val="000000"/>
                <w:sz w:val="20"/>
                <w:szCs w:val="20"/>
              </w:rPr>
              <w:t>Non-respondents</w:t>
            </w:r>
          </w:p>
          <w:p w14:paraId="7C722F58" w14:textId="77777777" w:rsidR="002F689B" w:rsidRPr="000D13B3" w:rsidRDefault="002F689B" w:rsidP="007758EE">
            <w:pPr>
              <w:jc w:val="center"/>
              <w:rPr>
                <w:b/>
                <w:color w:val="000000"/>
                <w:sz w:val="20"/>
                <w:szCs w:val="20"/>
              </w:rPr>
            </w:pPr>
            <w:r w:rsidRPr="000D13B3">
              <w:rPr>
                <w:b/>
                <w:color w:val="000000"/>
                <w:sz w:val="20"/>
                <w:szCs w:val="20"/>
              </w:rPr>
              <w:t>(Soft refusals)</w:t>
            </w:r>
          </w:p>
          <w:p w14:paraId="438F377B"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Pr="000D13B3">
              <w:rPr>
                <w:b/>
                <w:color w:val="000000"/>
                <w:sz w:val="20"/>
                <w:szCs w:val="20"/>
              </w:rPr>
              <w:t>%</w:t>
            </w:r>
          </w:p>
        </w:tc>
        <w:tc>
          <w:tcPr>
            <w:tcW w:w="144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685054E7" w14:textId="77777777" w:rsidR="002F689B" w:rsidRPr="000D13B3" w:rsidRDefault="002F689B" w:rsidP="007758EE">
            <w:pPr>
              <w:jc w:val="center"/>
              <w:rPr>
                <w:b/>
                <w:color w:val="000000"/>
                <w:sz w:val="20"/>
                <w:szCs w:val="20"/>
              </w:rPr>
            </w:pPr>
            <w:r w:rsidRPr="000D13B3">
              <w:rPr>
                <w:b/>
                <w:color w:val="000000"/>
                <w:sz w:val="20"/>
                <w:szCs w:val="20"/>
              </w:rPr>
              <w:t xml:space="preserve">Non-response survey </w:t>
            </w:r>
          </w:p>
          <w:p w14:paraId="6CD61F58"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Pr="000D13B3">
              <w:rPr>
                <w:b/>
                <w:color w:val="000000"/>
                <w:sz w:val="20"/>
                <w:szCs w:val="20"/>
              </w:rPr>
              <w:t>%</w:t>
            </w:r>
          </w:p>
        </w:tc>
        <w:tc>
          <w:tcPr>
            <w:tcW w:w="107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6D7D75B7" w14:textId="77777777" w:rsidR="002F689B" w:rsidRPr="000D13B3" w:rsidRDefault="002F689B" w:rsidP="007758EE">
            <w:pPr>
              <w:jc w:val="center"/>
              <w:rPr>
                <w:b/>
                <w:color w:val="000000"/>
                <w:sz w:val="20"/>
                <w:szCs w:val="20"/>
              </w:rPr>
            </w:pPr>
            <w:r w:rsidRPr="000D13B3">
              <w:rPr>
                <w:b/>
                <w:color w:val="000000"/>
                <w:sz w:val="20"/>
                <w:szCs w:val="20"/>
              </w:rPr>
              <w:t>Hard Refusals</w:t>
            </w:r>
          </w:p>
          <w:p w14:paraId="0119EC57"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Pr="000D13B3">
              <w:rPr>
                <w:b/>
                <w:color w:val="000000"/>
                <w:sz w:val="20"/>
                <w:szCs w:val="20"/>
              </w:rPr>
              <w:t>%</w:t>
            </w:r>
          </w:p>
        </w:tc>
      </w:tr>
      <w:tr w:rsidR="002F689B" w:rsidRPr="000D13B3" w14:paraId="1DF422D4" w14:textId="77777777" w:rsidTr="00EB6E34">
        <w:tc>
          <w:tcPr>
            <w:tcW w:w="3870" w:type="dxa"/>
            <w:tcBorders>
              <w:top w:val="single" w:sz="8" w:space="0" w:color="76923C" w:themeColor="accent3" w:themeShade="BF"/>
            </w:tcBorders>
          </w:tcPr>
          <w:p w14:paraId="574ACC1D" w14:textId="77777777" w:rsidR="002F689B" w:rsidRPr="00DB0008" w:rsidRDefault="002F689B" w:rsidP="007758EE">
            <w:pPr>
              <w:autoSpaceDE w:val="0"/>
              <w:autoSpaceDN w:val="0"/>
              <w:rPr>
                <w:rFonts w:ascii="Calibri" w:hAnsi="Calibri" w:cs="Calibri"/>
                <w:b/>
                <w:sz w:val="20"/>
              </w:rPr>
            </w:pPr>
            <w:r w:rsidRPr="00DB0008">
              <w:rPr>
                <w:rFonts w:ascii="Calibri" w:hAnsi="Calibri" w:cs="Calibri"/>
                <w:b/>
                <w:sz w:val="20"/>
              </w:rPr>
              <w:t>Loop Road</w:t>
            </w:r>
            <w:r>
              <w:rPr>
                <w:rFonts w:ascii="Calibri" w:hAnsi="Calibri" w:cs="Calibri"/>
                <w:b/>
                <w:sz w:val="20"/>
              </w:rPr>
              <w:t xml:space="preserve"> South Unit Entrance Station</w:t>
            </w:r>
          </w:p>
        </w:tc>
        <w:tc>
          <w:tcPr>
            <w:tcW w:w="1080" w:type="dxa"/>
            <w:tcBorders>
              <w:top w:val="single" w:sz="8" w:space="0" w:color="76923C" w:themeColor="accent3" w:themeShade="BF"/>
            </w:tcBorders>
            <w:vAlign w:val="center"/>
          </w:tcPr>
          <w:p w14:paraId="6B8569B8"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260" w:type="dxa"/>
            <w:tcBorders>
              <w:top w:val="single" w:sz="8" w:space="0" w:color="76923C" w:themeColor="accent3" w:themeShade="BF"/>
            </w:tcBorders>
            <w:vAlign w:val="center"/>
          </w:tcPr>
          <w:p w14:paraId="7835BB57"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710" w:type="dxa"/>
            <w:tcBorders>
              <w:top w:val="single" w:sz="8" w:space="0" w:color="76923C" w:themeColor="accent3" w:themeShade="BF"/>
            </w:tcBorders>
            <w:vAlign w:val="center"/>
          </w:tcPr>
          <w:p w14:paraId="4060F06B"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440" w:type="dxa"/>
            <w:tcBorders>
              <w:top w:val="single" w:sz="8" w:space="0" w:color="76923C" w:themeColor="accent3" w:themeShade="BF"/>
            </w:tcBorders>
            <w:vAlign w:val="center"/>
          </w:tcPr>
          <w:p w14:paraId="61F3FD6E"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075" w:type="dxa"/>
            <w:tcBorders>
              <w:top w:val="single" w:sz="8" w:space="0" w:color="76923C" w:themeColor="accent3" w:themeShade="BF"/>
            </w:tcBorders>
            <w:vAlign w:val="center"/>
          </w:tcPr>
          <w:p w14:paraId="684E4684"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r>
      <w:tr w:rsidR="002F689B" w:rsidRPr="000D13B3" w14:paraId="01E2B09B" w14:textId="77777777" w:rsidTr="00EB6E34">
        <w:tc>
          <w:tcPr>
            <w:tcW w:w="3870" w:type="dxa"/>
          </w:tcPr>
          <w:p w14:paraId="39E8CF92" w14:textId="77777777" w:rsidR="002F689B" w:rsidRPr="00DB0008" w:rsidRDefault="002F689B" w:rsidP="007758EE">
            <w:pPr>
              <w:autoSpaceDE w:val="0"/>
              <w:autoSpaceDN w:val="0"/>
              <w:rPr>
                <w:rFonts w:ascii="Calibri" w:hAnsi="Calibri" w:cs="Calibri"/>
                <w:b/>
                <w:sz w:val="20"/>
              </w:rPr>
            </w:pPr>
            <w:r>
              <w:rPr>
                <w:rFonts w:ascii="Calibri" w:hAnsi="Calibri" w:cs="Calibri"/>
                <w:b/>
                <w:sz w:val="20"/>
              </w:rPr>
              <w:t>Oxbow Overlook</w:t>
            </w:r>
          </w:p>
        </w:tc>
        <w:tc>
          <w:tcPr>
            <w:tcW w:w="1080" w:type="dxa"/>
            <w:vAlign w:val="center"/>
          </w:tcPr>
          <w:p w14:paraId="336FE27D"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260" w:type="dxa"/>
            <w:vAlign w:val="center"/>
          </w:tcPr>
          <w:p w14:paraId="6650B611"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710" w:type="dxa"/>
            <w:vAlign w:val="center"/>
          </w:tcPr>
          <w:p w14:paraId="41659027"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440" w:type="dxa"/>
            <w:vAlign w:val="center"/>
          </w:tcPr>
          <w:p w14:paraId="70580A2C"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c>
          <w:tcPr>
            <w:tcW w:w="1075" w:type="dxa"/>
            <w:vAlign w:val="center"/>
          </w:tcPr>
          <w:p w14:paraId="7C8B2A4C"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r>
      <w:tr w:rsidR="002F689B" w:rsidRPr="000D13B3" w14:paraId="5B686A7A" w14:textId="77777777" w:rsidTr="00EB6E34">
        <w:tc>
          <w:tcPr>
            <w:tcW w:w="3870" w:type="dxa"/>
          </w:tcPr>
          <w:p w14:paraId="709DDBAF" w14:textId="77777777" w:rsidR="002F689B" w:rsidRPr="00DB0008" w:rsidRDefault="002F689B" w:rsidP="007758EE">
            <w:pPr>
              <w:autoSpaceDE w:val="0"/>
              <w:autoSpaceDN w:val="0"/>
              <w:rPr>
                <w:rFonts w:ascii="Calibri" w:hAnsi="Calibri" w:cs="Calibri"/>
                <w:b/>
                <w:sz w:val="20"/>
              </w:rPr>
            </w:pPr>
            <w:r>
              <w:rPr>
                <w:rFonts w:ascii="Calibri" w:hAnsi="Calibri" w:cs="Calibri"/>
                <w:b/>
                <w:sz w:val="20"/>
              </w:rPr>
              <w:t>Riverbend Overlook</w:t>
            </w:r>
            <w:r w:rsidRPr="00DB0008">
              <w:rPr>
                <w:rFonts w:ascii="Calibri" w:hAnsi="Calibri" w:cs="Calibri"/>
                <w:b/>
                <w:sz w:val="20"/>
              </w:rPr>
              <w:t xml:space="preserve"> </w:t>
            </w:r>
          </w:p>
        </w:tc>
        <w:tc>
          <w:tcPr>
            <w:tcW w:w="1080" w:type="dxa"/>
            <w:vAlign w:val="center"/>
          </w:tcPr>
          <w:p w14:paraId="7301BD50"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260" w:type="dxa"/>
            <w:vAlign w:val="center"/>
          </w:tcPr>
          <w:p w14:paraId="24C896D5"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710" w:type="dxa"/>
            <w:vAlign w:val="center"/>
          </w:tcPr>
          <w:p w14:paraId="3E4F2B17"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75</w:t>
            </w:r>
          </w:p>
        </w:tc>
        <w:tc>
          <w:tcPr>
            <w:tcW w:w="1440" w:type="dxa"/>
            <w:vAlign w:val="center"/>
          </w:tcPr>
          <w:p w14:paraId="7E34F6A8"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w:t>
            </w:r>
          </w:p>
        </w:tc>
        <w:tc>
          <w:tcPr>
            <w:tcW w:w="1075" w:type="dxa"/>
            <w:vAlign w:val="center"/>
          </w:tcPr>
          <w:p w14:paraId="50E77B0C"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r>
      <w:tr w:rsidR="002F689B" w:rsidRPr="000D13B3" w14:paraId="15ADBDC1" w14:textId="77777777" w:rsidTr="00EB6E34">
        <w:tc>
          <w:tcPr>
            <w:tcW w:w="3870" w:type="dxa"/>
            <w:tcBorders>
              <w:bottom w:val="single" w:sz="8" w:space="0" w:color="76923C" w:themeColor="accent3" w:themeShade="BF"/>
            </w:tcBorders>
            <w:vAlign w:val="bottom"/>
          </w:tcPr>
          <w:p w14:paraId="4FC9B278" w14:textId="77777777" w:rsidR="002F689B" w:rsidRPr="000D13B3" w:rsidRDefault="002F689B" w:rsidP="007758EE">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080" w:type="dxa"/>
            <w:tcBorders>
              <w:bottom w:val="single" w:sz="8" w:space="0" w:color="76923C" w:themeColor="accent3" w:themeShade="BF"/>
            </w:tcBorders>
            <w:vAlign w:val="center"/>
          </w:tcPr>
          <w:p w14:paraId="07D091DE"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260" w:type="dxa"/>
            <w:tcBorders>
              <w:bottom w:val="single" w:sz="8" w:space="0" w:color="76923C" w:themeColor="accent3" w:themeShade="BF"/>
            </w:tcBorders>
            <w:vAlign w:val="center"/>
          </w:tcPr>
          <w:p w14:paraId="6778B72E"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710" w:type="dxa"/>
            <w:tcBorders>
              <w:bottom w:val="single" w:sz="8" w:space="0" w:color="76923C" w:themeColor="accent3" w:themeShade="BF"/>
            </w:tcBorders>
            <w:vAlign w:val="center"/>
          </w:tcPr>
          <w:p w14:paraId="1D184F22"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440" w:type="dxa"/>
            <w:tcBorders>
              <w:bottom w:val="single" w:sz="8" w:space="0" w:color="76923C" w:themeColor="accent3" w:themeShade="BF"/>
            </w:tcBorders>
            <w:vAlign w:val="center"/>
          </w:tcPr>
          <w:p w14:paraId="48A082A6"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075" w:type="dxa"/>
            <w:tcBorders>
              <w:bottom w:val="single" w:sz="8" w:space="0" w:color="76923C" w:themeColor="accent3" w:themeShade="BF"/>
            </w:tcBorders>
            <w:vAlign w:val="center"/>
          </w:tcPr>
          <w:p w14:paraId="50C0F617" w14:textId="77777777" w:rsidR="002F689B" w:rsidRPr="000D13B3" w:rsidRDefault="002F689B" w:rsidP="007758EE">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bl>
    <w:p w14:paraId="4EF08C9D" w14:textId="6B8C637F" w:rsidR="001732DC" w:rsidRPr="000D13B3" w:rsidRDefault="001732D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E7B1CBC"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440A1729" w14:textId="77777777" w:rsidR="00DB0008" w:rsidRPr="00051747" w:rsidRDefault="00DB0008" w:rsidP="00DB0008">
      <w:pPr>
        <w:rPr>
          <w:rFonts w:cs="Calibri"/>
        </w:rPr>
      </w:pPr>
      <w:r w:rsidRPr="00051747">
        <w:rPr>
          <w:rFonts w:cs="Calibri"/>
        </w:rPr>
        <w:t xml:space="preserve">During the initial contact, the interviewer will ask each visitor four questions taken from the survey. These questions will be used in a non-response bias analysis. </w:t>
      </w:r>
    </w:p>
    <w:p w14:paraId="522768F1" w14:textId="77777777" w:rsidR="00DB0008" w:rsidRPr="00051747" w:rsidRDefault="00DB0008" w:rsidP="00DB0008">
      <w:pPr>
        <w:ind w:left="444"/>
        <w:rPr>
          <w:rFonts w:cs="Calibri"/>
          <w:i/>
        </w:rPr>
      </w:pPr>
      <w:r w:rsidRPr="00051747">
        <w:rPr>
          <w:rFonts w:cs="Calibri"/>
          <w:i/>
        </w:rPr>
        <w:t xml:space="preserve">1) What type of group are you traveling with today?  </w:t>
      </w:r>
    </w:p>
    <w:p w14:paraId="4CF1D8B7" w14:textId="77777777" w:rsidR="00DB0008" w:rsidRPr="00051747" w:rsidRDefault="00DB0008" w:rsidP="00DB0008">
      <w:pPr>
        <w:ind w:left="444"/>
        <w:rPr>
          <w:rFonts w:cs="Calibri"/>
          <w:i/>
        </w:rPr>
      </w:pPr>
      <w:r w:rsidRPr="00051747">
        <w:rPr>
          <w:rFonts w:cs="Calibri"/>
          <w:i/>
        </w:rPr>
        <w:t>2) How many people are in your group?</w:t>
      </w:r>
    </w:p>
    <w:p w14:paraId="12847570" w14:textId="1C73C497" w:rsidR="00DB0008" w:rsidRDefault="00AA499F" w:rsidP="00DB0008">
      <w:pPr>
        <w:ind w:left="444"/>
        <w:rPr>
          <w:rFonts w:cs="Calibri"/>
          <w:i/>
        </w:rPr>
      </w:pPr>
      <w:r>
        <w:rPr>
          <w:rFonts w:cs="Calibri"/>
          <w:i/>
        </w:rPr>
        <w:t>3</w:t>
      </w:r>
      <w:r w:rsidR="00DB0008" w:rsidRPr="00051747">
        <w:rPr>
          <w:rFonts w:cs="Calibri"/>
          <w:i/>
        </w:rPr>
        <w:t>) How old is the person who will complete the questionnaire?</w:t>
      </w:r>
    </w:p>
    <w:p w14:paraId="45360100" w14:textId="5E750C49" w:rsidR="007A654F" w:rsidRPr="00051747" w:rsidRDefault="00B26514" w:rsidP="00DB0008">
      <w:pPr>
        <w:ind w:left="444"/>
        <w:rPr>
          <w:rFonts w:cs="Calibri"/>
          <w:i/>
        </w:rPr>
      </w:pPr>
      <w:r>
        <w:rPr>
          <w:rFonts w:cs="Calibri"/>
          <w:i/>
        </w:rPr>
        <w:t>4</w:t>
      </w:r>
      <w:r w:rsidR="007A654F">
        <w:rPr>
          <w:rFonts w:cs="Calibri"/>
          <w:i/>
        </w:rPr>
        <w:t xml:space="preserve">) How crowded did you feel in the park today?  1= not crowded to 9= extremely crowded.  </w:t>
      </w:r>
    </w:p>
    <w:p w14:paraId="7E99FD29" w14:textId="3CD93E9E" w:rsidR="00D0735B" w:rsidRDefault="00DB0008" w:rsidP="00D0735B">
      <w:pPr>
        <w:spacing w:line="360" w:lineRule="auto"/>
        <w:rPr>
          <w:rFonts w:cs="Calibri"/>
        </w:rPr>
      </w:pPr>
      <w:r w:rsidRPr="00051747">
        <w:rPr>
          <w:rFonts w:cs="Calibri"/>
        </w:rPr>
        <w:t>Responses will be recorded on a log for every survey contact. Results of the non-response bias check will be described in a report and the implications for park planning and management will be discussed.</w:t>
      </w:r>
    </w:p>
    <w:p w14:paraId="749205E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FA5501" w14:textId="34EF0C48" w:rsidR="00DB0008" w:rsidRPr="00B26514" w:rsidRDefault="00DB0008" w:rsidP="00D0735B">
      <w:pPr>
        <w:pStyle w:val="ListParagraph"/>
        <w:spacing w:line="360" w:lineRule="auto"/>
        <w:ind w:left="-6"/>
        <w:rPr>
          <w:rFonts w:cs="Calibri"/>
        </w:rPr>
      </w:pPr>
      <w:r w:rsidRPr="00051747">
        <w:rPr>
          <w:rFonts w:cs="Calibri"/>
        </w:rPr>
        <w:t xml:space="preserve">The questionnaire format and many of the questions have been used in </w:t>
      </w:r>
      <w:r>
        <w:rPr>
          <w:rFonts w:cs="Calibri"/>
        </w:rPr>
        <w:t>many survey</w:t>
      </w:r>
      <w:r w:rsidRPr="00051747">
        <w:rPr>
          <w:rFonts w:cs="Calibri"/>
        </w:rPr>
        <w:t xml:space="preserve"> instruments</w:t>
      </w:r>
      <w:r>
        <w:rPr>
          <w:rFonts w:cs="Calibri"/>
        </w:rPr>
        <w:t xml:space="preserve"> previously approved by OMB</w:t>
      </w:r>
      <w:r w:rsidRPr="00051747">
        <w:rPr>
          <w:rFonts w:cs="Calibri"/>
        </w:rPr>
        <w:t>. The questions are taken from the currently approved list of questions in NPS Pool of Known Questions (OMB 1024-0224; Cur</w:t>
      </w:r>
      <w:r>
        <w:rPr>
          <w:rFonts w:cs="Calibri"/>
        </w:rPr>
        <w:t>rent Expirations Date: 5-31-2019</w:t>
      </w:r>
      <w:r w:rsidRPr="00051747">
        <w:rPr>
          <w:rFonts w:cs="Calibri"/>
        </w:rPr>
        <w:t>)</w:t>
      </w:r>
      <w:r w:rsidR="00B26514">
        <w:rPr>
          <w:rFonts w:cs="Calibri"/>
        </w:rPr>
        <w:t xml:space="preserve"> and is largely based on the approved protocol from Buffalo National River (7/22/2016).</w:t>
      </w:r>
      <w:r w:rsidRPr="00B26514">
        <w:rPr>
          <w:rFonts w:cs="Calibri"/>
        </w:rPr>
        <w:t xml:space="preserve"> Variations of the questions have been reviewed by THRO managers and professors</w:t>
      </w:r>
      <w:r w:rsidR="00663DA5" w:rsidRPr="00B26514">
        <w:rPr>
          <w:rFonts w:cs="Calibri"/>
        </w:rPr>
        <w:t xml:space="preserve"> from Kansas State University and Clemson University</w:t>
      </w:r>
      <w:r w:rsidRPr="00B26514">
        <w:rPr>
          <w:rFonts w:cs="Calibri"/>
        </w:rPr>
        <w:t xml:space="preserve">.  The questionnaire was tested on eight voluntary members of the general public for burden length and clarity of the questions. Feedback from the volunteers was incorporated in the final questionnaire.  </w:t>
      </w:r>
    </w:p>
    <w:p w14:paraId="3E9BBD3D"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0E70A35E" w14:textId="49D3D3B8" w:rsidR="00BF2B50" w:rsidRPr="00DB0008" w:rsidRDefault="00BF2B50" w:rsidP="00BF2B50">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Pr>
          <w:rFonts w:ascii="Calibri" w:eastAsia="Times New Roman" w:hAnsi="Calibri" w:cs="Calibri"/>
        </w:rPr>
        <w:t xml:space="preserve">600 </w:t>
      </w:r>
      <w:r w:rsidRPr="00DB0008">
        <w:rPr>
          <w:rFonts w:ascii="Calibri" w:eastAsia="Times New Roman" w:hAnsi="Calibri" w:cs="Calibri"/>
        </w:rPr>
        <w:t xml:space="preserve">individuals </w:t>
      </w:r>
      <w:r>
        <w:rPr>
          <w:rFonts w:ascii="Calibri" w:eastAsia="Times New Roman" w:hAnsi="Calibri" w:cs="Calibri"/>
        </w:rPr>
        <w:t>across</w:t>
      </w:r>
      <w:r w:rsidRPr="00DB0008">
        <w:rPr>
          <w:rFonts w:ascii="Calibri" w:eastAsia="Times New Roman" w:hAnsi="Calibri" w:cs="Calibri"/>
        </w:rPr>
        <w:t xml:space="preserve"> all sites during the sampling periods. Among which we anticipate that </w:t>
      </w:r>
      <w:r>
        <w:rPr>
          <w:rFonts w:ascii="Calibri" w:eastAsia="Times New Roman" w:hAnsi="Calibri" w:cs="Calibri"/>
        </w:rPr>
        <w:t>300</w:t>
      </w:r>
      <w:r w:rsidDel="005F7258">
        <w:rPr>
          <w:rFonts w:ascii="Calibri" w:eastAsia="Times New Roman" w:hAnsi="Calibri" w:cs="Calibri"/>
        </w:rPr>
        <w:t xml:space="preserve"> </w:t>
      </w:r>
      <w:r w:rsidRPr="00DB0008">
        <w:rPr>
          <w:rFonts w:ascii="Calibri" w:eastAsia="Times New Roman" w:hAnsi="Calibri" w:cs="Calibri"/>
        </w:rPr>
        <w:t xml:space="preserve">individuals will agree to participate and complete a survey </w:t>
      </w:r>
      <w:r w:rsidRPr="00B421F0">
        <w:rPr>
          <w:rFonts w:ascii="Calibri" w:eastAsia="Times New Roman" w:hAnsi="Calibri" w:cs="Calibri"/>
        </w:rPr>
        <w:t>while on site which will take about</w:t>
      </w:r>
      <w:r w:rsidRPr="00F27420">
        <w:rPr>
          <w:rFonts w:ascii="Calibri" w:eastAsia="Times New Roman" w:hAnsi="Calibri" w:cs="Calibri"/>
        </w:rPr>
        <w:t xml:space="preserve"> 1</w:t>
      </w:r>
      <w:r w:rsidR="00AA499F">
        <w:rPr>
          <w:rFonts w:ascii="Calibri" w:eastAsia="Times New Roman" w:hAnsi="Calibri" w:cs="Calibri"/>
        </w:rPr>
        <w:t>5</w:t>
      </w:r>
      <w:r w:rsidRPr="00F27420">
        <w:rPr>
          <w:rFonts w:ascii="Calibri" w:eastAsia="Times New Roman" w:hAnsi="Calibri" w:cs="Calibri"/>
        </w:rPr>
        <w:t xml:space="preserve"> minutes to complete</w:t>
      </w:r>
      <w:r w:rsidRPr="00B421F0">
        <w:rPr>
          <w:rFonts w:ascii="Calibri" w:eastAsia="Times New Roman" w:hAnsi="Calibri" w:cs="Calibri"/>
        </w:rPr>
        <w:t>.</w:t>
      </w:r>
      <w:r w:rsidRPr="00DB0008">
        <w:rPr>
          <w:rFonts w:ascii="Calibri" w:eastAsia="Times New Roman" w:hAnsi="Calibri" w:cs="Calibri"/>
        </w:rPr>
        <w:t xml:space="preserve"> We expect that </w:t>
      </w:r>
      <w:r>
        <w:rPr>
          <w:rFonts w:ascii="Calibri" w:eastAsia="Times New Roman" w:hAnsi="Calibri" w:cs="Calibri"/>
        </w:rPr>
        <w:t xml:space="preserve">300 </w:t>
      </w:r>
      <w:r w:rsidRPr="00DB0008">
        <w:rPr>
          <w:rFonts w:ascii="Calibri" w:eastAsia="Times New Roman" w:hAnsi="Calibri" w:cs="Calibri"/>
        </w:rPr>
        <w:t>(</w:t>
      </w:r>
      <w:r>
        <w:rPr>
          <w:rFonts w:ascii="Calibri" w:eastAsia="Times New Roman" w:hAnsi="Calibri" w:cs="Calibri"/>
        </w:rPr>
        <w:t>5</w:t>
      </w:r>
      <w:r w:rsidRPr="00DB0008">
        <w:rPr>
          <w:rFonts w:ascii="Calibri" w:eastAsia="Times New Roman" w:hAnsi="Calibri" w:cs="Calibri"/>
        </w:rPr>
        <w:t xml:space="preserve">0%) visitors will refuse to participate and for those individuals, we </w:t>
      </w:r>
      <w:r>
        <w:rPr>
          <w:rFonts w:ascii="Calibri" w:eastAsia="Times New Roman" w:hAnsi="Calibri" w:cs="Calibri"/>
        </w:rPr>
        <w:t xml:space="preserve">attempt to </w:t>
      </w:r>
      <w:r w:rsidRPr="00DB0008">
        <w:rPr>
          <w:rFonts w:ascii="Calibri" w:eastAsia="Times New Roman" w:hAnsi="Calibri" w:cs="Calibri"/>
        </w:rPr>
        <w:t>record their reason for refusal.</w:t>
      </w:r>
    </w:p>
    <w:p w14:paraId="1237F709" w14:textId="77777777" w:rsidR="00BF2B50" w:rsidRPr="00DB0008" w:rsidRDefault="00BF2B50" w:rsidP="00BF2B50">
      <w:pPr>
        <w:autoSpaceDE w:val="0"/>
        <w:autoSpaceDN w:val="0"/>
        <w:spacing w:after="0" w:line="240" w:lineRule="auto"/>
        <w:ind w:right="342"/>
        <w:rPr>
          <w:rFonts w:ascii="Calibri" w:eastAsia="Times New Roman" w:hAnsi="Calibri" w:cs="Calibri"/>
        </w:rPr>
      </w:pPr>
    </w:p>
    <w:p w14:paraId="080CDC5B" w14:textId="28FBFE5D" w:rsidR="00BF2B50" w:rsidRDefault="00BF2B50" w:rsidP="00BF2B50">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Of all the visitors refusing to accept the invitation (</w:t>
      </w:r>
      <w:r w:rsidRPr="003B7ABC">
        <w:rPr>
          <w:rFonts w:ascii="Calibri" w:eastAsia="Times New Roman" w:hAnsi="Calibri" w:cs="Calibri"/>
        </w:rPr>
        <w:t xml:space="preserve">n= </w:t>
      </w:r>
      <w:r>
        <w:rPr>
          <w:rFonts w:ascii="Calibri" w:eastAsia="Times New Roman" w:hAnsi="Calibri" w:cs="Calibri"/>
        </w:rPr>
        <w:t>300</w:t>
      </w:r>
      <w:r w:rsidRPr="00DB0008">
        <w:rPr>
          <w:rFonts w:ascii="Calibri" w:eastAsia="Times New Roman" w:hAnsi="Calibri" w:cs="Calibri"/>
        </w:rPr>
        <w:t xml:space="preserve">) we will ask if they would be willing </w:t>
      </w:r>
      <w:r w:rsidR="0090093C">
        <w:rPr>
          <w:rFonts w:ascii="Calibri" w:eastAsia="Times New Roman" w:hAnsi="Calibri" w:cs="Calibri"/>
        </w:rPr>
        <w:t xml:space="preserve">to take one minute to </w:t>
      </w:r>
      <w:r w:rsidRPr="00DB0008">
        <w:rPr>
          <w:rFonts w:ascii="Calibri" w:eastAsia="Times New Roman" w:hAnsi="Calibri" w:cs="Calibri"/>
        </w:rPr>
        <w:t>to answer the f</w:t>
      </w:r>
      <w:r>
        <w:rPr>
          <w:rFonts w:ascii="Calibri" w:eastAsia="Times New Roman" w:hAnsi="Calibri" w:cs="Calibri"/>
        </w:rPr>
        <w:t>our</w:t>
      </w:r>
      <w:r w:rsidRPr="00DB0008">
        <w:rPr>
          <w:rFonts w:ascii="Calibri" w:eastAsia="Times New Roman" w:hAnsi="Calibri" w:cs="Calibri"/>
        </w:rPr>
        <w:t xml:space="preserve"> questions </w:t>
      </w:r>
      <w:r>
        <w:rPr>
          <w:rFonts w:ascii="Calibri" w:eastAsia="Times New Roman" w:hAnsi="Calibri" w:cs="Calibri"/>
        </w:rPr>
        <w:t xml:space="preserve">(above) </w:t>
      </w:r>
      <w:r w:rsidRPr="00DB0008">
        <w:rPr>
          <w:rFonts w:ascii="Calibri" w:eastAsia="Times New Roman" w:hAnsi="Calibri" w:cs="Calibri"/>
        </w:rPr>
        <w:t>that will serve as the non-response bias check</w:t>
      </w:r>
      <w:r>
        <w:rPr>
          <w:rFonts w:ascii="Calibri" w:eastAsia="Times New Roman" w:hAnsi="Calibri" w:cs="Calibri"/>
        </w:rPr>
        <w:t xml:space="preserve"> for this collection</w:t>
      </w:r>
      <w:r w:rsidRPr="00DB0008">
        <w:rPr>
          <w:rFonts w:ascii="Calibri" w:eastAsia="Times New Roman" w:hAnsi="Calibri" w:cs="Calibri"/>
        </w:rPr>
        <w:t>.  We expect that 20% (n=</w:t>
      </w:r>
      <w:r>
        <w:rPr>
          <w:rFonts w:ascii="Calibri" w:eastAsia="Times New Roman" w:hAnsi="Calibri" w:cs="Calibri"/>
        </w:rPr>
        <w:t>60</w:t>
      </w:r>
      <w:r w:rsidRPr="00DB0008">
        <w:rPr>
          <w:rFonts w:ascii="Calibri" w:eastAsia="Times New Roman" w:hAnsi="Calibri" w:cs="Calibri"/>
        </w:rPr>
        <w:t>) of the on-site refusals will answer the non-response bias questions</w:t>
      </w:r>
      <w:r>
        <w:rPr>
          <w:rFonts w:ascii="Calibri" w:eastAsia="Times New Roman" w:hAnsi="Calibri" w:cs="Calibri"/>
        </w:rPr>
        <w:t xml:space="preserve">. </w:t>
      </w:r>
      <w:r w:rsidRPr="00DB0008">
        <w:rPr>
          <w:rFonts w:ascii="Calibri" w:eastAsia="Times New Roman" w:hAnsi="Calibri" w:cs="Calibri"/>
        </w:rPr>
        <w:t xml:space="preserve"> </w:t>
      </w:r>
      <w:r>
        <w:rPr>
          <w:rFonts w:ascii="Calibri" w:eastAsia="Times New Roman" w:hAnsi="Calibri" w:cs="Calibri"/>
        </w:rPr>
        <w:t xml:space="preserve">We anticipate that it will take </w:t>
      </w:r>
      <w:r w:rsidR="00E05F88">
        <w:rPr>
          <w:rFonts w:ascii="Calibri" w:eastAsia="Times New Roman" w:hAnsi="Calibri" w:cs="Calibri"/>
        </w:rPr>
        <w:t>a</w:t>
      </w:r>
      <w:r w:rsidR="005A28EC">
        <w:rPr>
          <w:rFonts w:ascii="Calibri" w:eastAsia="Times New Roman" w:hAnsi="Calibri" w:cs="Calibri"/>
        </w:rPr>
        <w:t xml:space="preserve"> </w:t>
      </w:r>
      <w:r>
        <w:rPr>
          <w:rFonts w:ascii="Calibri" w:eastAsia="Times New Roman" w:hAnsi="Calibri" w:cs="Calibri"/>
        </w:rPr>
        <w:t>minute</w:t>
      </w:r>
      <w:r w:rsidR="00E05F88">
        <w:rPr>
          <w:rFonts w:ascii="Calibri" w:eastAsia="Times New Roman" w:hAnsi="Calibri" w:cs="Calibri"/>
        </w:rPr>
        <w:t>,</w:t>
      </w:r>
      <w:r>
        <w:rPr>
          <w:rFonts w:ascii="Calibri" w:eastAsia="Times New Roman" w:hAnsi="Calibri" w:cs="Calibri"/>
        </w:rPr>
        <w:t xml:space="preserve"> resulting in a total of 1</w:t>
      </w:r>
      <w:r w:rsidDel="005F7258">
        <w:rPr>
          <w:rFonts w:ascii="Calibri" w:eastAsia="Times New Roman" w:hAnsi="Calibri" w:cs="Calibri"/>
        </w:rPr>
        <w:t xml:space="preserve"> </w:t>
      </w:r>
      <w:r>
        <w:rPr>
          <w:rFonts w:ascii="Calibri" w:eastAsia="Times New Roman" w:hAnsi="Calibri" w:cs="Calibri"/>
        </w:rPr>
        <w:t>hour for the non-response survey (60</w:t>
      </w:r>
      <w:r w:rsidDel="005F7258">
        <w:rPr>
          <w:rFonts w:ascii="Calibri" w:eastAsia="Times New Roman" w:hAnsi="Calibri" w:cs="Calibri"/>
        </w:rPr>
        <w:t xml:space="preserve"> </w:t>
      </w:r>
      <w:r>
        <w:rPr>
          <w:rFonts w:ascii="Calibri" w:eastAsia="Times New Roman" w:hAnsi="Calibri" w:cs="Calibri"/>
        </w:rPr>
        <w:t xml:space="preserve">x 1 minutes = 1 hour). </w:t>
      </w:r>
    </w:p>
    <w:p w14:paraId="1BE18218" w14:textId="77777777" w:rsidR="00BF2B50" w:rsidRPr="00DB0008" w:rsidRDefault="00BF2B50" w:rsidP="00BF2B50">
      <w:pPr>
        <w:autoSpaceDE w:val="0"/>
        <w:autoSpaceDN w:val="0"/>
        <w:spacing w:after="0" w:line="240" w:lineRule="auto"/>
        <w:ind w:right="342"/>
        <w:rPr>
          <w:rFonts w:ascii="Calibri" w:eastAsia="Times New Roman" w:hAnsi="Calibri" w:cs="Calibri"/>
        </w:rPr>
      </w:pPr>
    </w:p>
    <w:p w14:paraId="3548951B" w14:textId="0CC767E6" w:rsidR="00BF2B50" w:rsidRDefault="0090093C" w:rsidP="00BF2B50">
      <w:pPr>
        <w:tabs>
          <w:tab w:val="left" w:pos="6078"/>
        </w:tabs>
        <w:autoSpaceDE w:val="0"/>
        <w:autoSpaceDN w:val="0"/>
        <w:spacing w:after="0" w:line="360" w:lineRule="auto"/>
        <w:rPr>
          <w:rFonts w:ascii="Calibri" w:eastAsia="Times New Roman" w:hAnsi="Calibri" w:cs="Calibri"/>
        </w:rPr>
      </w:pPr>
      <w:r>
        <w:rPr>
          <w:rFonts w:ascii="Calibri" w:eastAsia="Times New Roman" w:hAnsi="Calibri" w:cs="Calibri"/>
        </w:rPr>
        <w:t>In addition to the one minute initial contact time, w</w:t>
      </w:r>
      <w:r w:rsidR="00BF2B50" w:rsidRPr="00B421F0">
        <w:rPr>
          <w:rFonts w:ascii="Calibri" w:eastAsia="Times New Roman" w:hAnsi="Calibri" w:cs="Calibri"/>
        </w:rPr>
        <w:t xml:space="preserve">e expect that an additional </w:t>
      </w:r>
      <w:r w:rsidR="005826C5">
        <w:rPr>
          <w:rFonts w:ascii="Calibri" w:eastAsia="Times New Roman" w:hAnsi="Calibri" w:cs="Calibri"/>
        </w:rPr>
        <w:t>15</w:t>
      </w:r>
      <w:r w:rsidR="00BF2B50" w:rsidRPr="00B421F0">
        <w:rPr>
          <w:rFonts w:ascii="Calibri" w:eastAsia="Times New Roman" w:hAnsi="Calibri" w:cs="Calibri"/>
        </w:rPr>
        <w:t xml:space="preserve"> minutes</w:t>
      </w:r>
      <w:r w:rsidR="00BF2B50" w:rsidRPr="00DB0008">
        <w:rPr>
          <w:rFonts w:ascii="Calibri" w:eastAsia="Times New Roman" w:hAnsi="Calibri" w:cs="Calibri"/>
        </w:rPr>
        <w:t xml:space="preserve"> will be required to complete and return the</w:t>
      </w:r>
      <w:r w:rsidR="00BF2B50">
        <w:rPr>
          <w:rFonts w:ascii="Calibri" w:eastAsia="Times New Roman" w:hAnsi="Calibri" w:cs="Calibri"/>
        </w:rPr>
        <w:t xml:space="preserve"> on-site</w:t>
      </w:r>
      <w:r w:rsidR="00BF2B50" w:rsidRPr="00DB0008">
        <w:rPr>
          <w:rFonts w:ascii="Calibri" w:eastAsia="Times New Roman" w:hAnsi="Calibri" w:cs="Calibri"/>
        </w:rPr>
        <w:t xml:space="preserve"> questionnaire (</w:t>
      </w:r>
      <w:r w:rsidR="00BF2B50">
        <w:rPr>
          <w:rFonts w:ascii="Calibri" w:eastAsia="Times New Roman" w:hAnsi="Calibri" w:cs="Calibri"/>
        </w:rPr>
        <w:t>300</w:t>
      </w:r>
      <w:r w:rsidR="00BF2B50" w:rsidDel="005F7258">
        <w:rPr>
          <w:rFonts w:ascii="Calibri" w:eastAsia="Times New Roman" w:hAnsi="Calibri" w:cs="Calibri"/>
        </w:rPr>
        <w:t xml:space="preserve"> </w:t>
      </w:r>
      <w:r w:rsidR="00C05F20">
        <w:rPr>
          <w:rFonts w:ascii="Calibri" w:eastAsia="Times New Roman" w:hAnsi="Calibri" w:cs="Calibri"/>
        </w:rPr>
        <w:t>responses x 1</w:t>
      </w:r>
      <w:r>
        <w:rPr>
          <w:rFonts w:ascii="Calibri" w:eastAsia="Times New Roman" w:hAnsi="Calibri" w:cs="Calibri"/>
        </w:rPr>
        <w:t>6</w:t>
      </w:r>
      <w:r w:rsidR="00BF2B50">
        <w:rPr>
          <w:rFonts w:ascii="Calibri" w:eastAsia="Times New Roman" w:hAnsi="Calibri" w:cs="Calibri"/>
        </w:rPr>
        <w:t xml:space="preserve"> minutes = </w:t>
      </w:r>
      <w:r>
        <w:rPr>
          <w:rFonts w:ascii="Calibri" w:eastAsia="Times New Roman" w:hAnsi="Calibri" w:cs="Calibri"/>
        </w:rPr>
        <w:t>80</w:t>
      </w:r>
      <w:r w:rsidR="00BF2B50" w:rsidDel="005F7258">
        <w:rPr>
          <w:rFonts w:ascii="Calibri" w:eastAsia="Times New Roman" w:hAnsi="Calibri" w:cs="Calibri"/>
        </w:rPr>
        <w:t xml:space="preserve"> </w:t>
      </w:r>
      <w:r w:rsidR="00BF2B50" w:rsidRPr="00DB0008">
        <w:rPr>
          <w:rFonts w:ascii="Calibri" w:eastAsia="Times New Roman" w:hAnsi="Calibri" w:cs="Calibri"/>
        </w:rPr>
        <w:t xml:space="preserve">hours). </w:t>
      </w:r>
      <w:r w:rsidR="00BF2B50">
        <w:rPr>
          <w:rFonts w:ascii="Calibri" w:eastAsia="Times New Roman" w:hAnsi="Calibri" w:cs="Calibri"/>
        </w:rPr>
        <w:t>The</w:t>
      </w:r>
      <w:r w:rsidR="00BF2B50" w:rsidRPr="00DB0008">
        <w:rPr>
          <w:rFonts w:ascii="Calibri" w:eastAsia="Times New Roman" w:hAnsi="Calibri" w:cs="Calibri"/>
        </w:rPr>
        <w:t xml:space="preserve"> burden for </w:t>
      </w:r>
      <w:r w:rsidR="00BF2B50">
        <w:rPr>
          <w:rFonts w:ascii="Calibri" w:eastAsia="Times New Roman" w:hAnsi="Calibri" w:cs="Calibri"/>
        </w:rPr>
        <w:t>the on-site</w:t>
      </w:r>
      <w:r w:rsidR="00BF2B50" w:rsidRPr="00DB0008">
        <w:rPr>
          <w:rFonts w:ascii="Calibri" w:eastAsia="Times New Roman" w:hAnsi="Calibri" w:cs="Calibri"/>
        </w:rPr>
        <w:t xml:space="preserve"> </w:t>
      </w:r>
      <w:r w:rsidR="00BF2B50">
        <w:rPr>
          <w:rFonts w:ascii="Calibri" w:eastAsia="Times New Roman" w:hAnsi="Calibri" w:cs="Calibri"/>
        </w:rPr>
        <w:t xml:space="preserve">survey combines the </w:t>
      </w:r>
      <w:r w:rsidR="00BF2B50" w:rsidRPr="00DB0008">
        <w:rPr>
          <w:rFonts w:ascii="Calibri" w:eastAsia="Times New Roman" w:hAnsi="Calibri" w:cs="Calibri"/>
        </w:rPr>
        <w:t>initial contact</w:t>
      </w:r>
      <w:r w:rsidR="00BF2B50">
        <w:rPr>
          <w:rFonts w:ascii="Calibri" w:eastAsia="Times New Roman" w:hAnsi="Calibri" w:cs="Calibri"/>
        </w:rPr>
        <w:t xml:space="preserve"> plus the non-response survey with the time to </w:t>
      </w:r>
      <w:r w:rsidR="00BA00C8">
        <w:rPr>
          <w:rFonts w:ascii="Calibri" w:eastAsia="Times New Roman" w:hAnsi="Calibri" w:cs="Calibri"/>
        </w:rPr>
        <w:t>complete the survey</w:t>
      </w:r>
      <w:r w:rsidR="00BF2B50">
        <w:rPr>
          <w:rFonts w:ascii="Calibri" w:eastAsia="Times New Roman" w:hAnsi="Calibri" w:cs="Calibri"/>
        </w:rPr>
        <w:t xml:space="preserve">, </w:t>
      </w:r>
      <w:r w:rsidR="00BA00C8">
        <w:rPr>
          <w:rFonts w:ascii="Calibri" w:eastAsia="Times New Roman" w:hAnsi="Calibri" w:cs="Calibri"/>
        </w:rPr>
        <w:t xml:space="preserve">which </w:t>
      </w:r>
      <w:r w:rsidR="00BF2B50">
        <w:rPr>
          <w:rFonts w:ascii="Calibri" w:eastAsia="Times New Roman" w:hAnsi="Calibri" w:cs="Calibri"/>
        </w:rPr>
        <w:t>is estimated</w:t>
      </w:r>
      <w:r w:rsidR="00BF2B50" w:rsidRPr="00DB0008">
        <w:rPr>
          <w:rFonts w:ascii="Calibri" w:eastAsia="Times New Roman" w:hAnsi="Calibri" w:cs="Calibri"/>
        </w:rPr>
        <w:t xml:space="preserve"> to be</w:t>
      </w:r>
      <w:r w:rsidR="00BF2B50">
        <w:rPr>
          <w:rFonts w:ascii="Calibri" w:eastAsia="Times New Roman" w:hAnsi="Calibri" w:cs="Calibri"/>
        </w:rPr>
        <w:t xml:space="preserve"> </w:t>
      </w:r>
      <w:r w:rsidR="005826C5">
        <w:rPr>
          <w:rFonts w:ascii="Calibri" w:eastAsia="Times New Roman" w:hAnsi="Calibri" w:cs="Calibri"/>
        </w:rPr>
        <w:t>81</w:t>
      </w:r>
      <w:r w:rsidR="00BF2B50">
        <w:rPr>
          <w:rFonts w:ascii="Calibri" w:eastAsia="Times New Roman" w:hAnsi="Calibri" w:cs="Calibri"/>
        </w:rPr>
        <w:t xml:space="preserve"> </w:t>
      </w:r>
      <w:r w:rsidR="00BF2B50" w:rsidRPr="00DB0008">
        <w:rPr>
          <w:rFonts w:ascii="Calibri" w:eastAsia="Times New Roman" w:hAnsi="Calibri" w:cs="Calibri"/>
        </w:rPr>
        <w:t>hours</w:t>
      </w:r>
      <w:r w:rsidR="005826C5">
        <w:rPr>
          <w:rFonts w:ascii="Calibri" w:eastAsia="Times New Roman" w:hAnsi="Calibri" w:cs="Calibri"/>
        </w:rPr>
        <w:t xml:space="preserve"> (Table 5)</w:t>
      </w:r>
      <w:r w:rsidR="00BF2B50" w:rsidRPr="00DB0008">
        <w:rPr>
          <w:rFonts w:ascii="Calibri" w:eastAsia="Times New Roman" w:hAnsi="Calibri" w:cs="Calibri"/>
        </w:rPr>
        <w:t>.</w:t>
      </w:r>
    </w:p>
    <w:p w14:paraId="583D99F3" w14:textId="77777777" w:rsidR="0090093C" w:rsidRDefault="0090093C" w:rsidP="0090093C">
      <w:pPr>
        <w:autoSpaceDE w:val="0"/>
        <w:autoSpaceDN w:val="0"/>
        <w:spacing w:after="0" w:line="360" w:lineRule="auto"/>
        <w:ind w:right="342"/>
        <w:rPr>
          <w:rFonts w:ascii="Calibri" w:eastAsia="Times New Roman" w:hAnsi="Calibri" w:cs="Calibri"/>
        </w:rPr>
      </w:pPr>
    </w:p>
    <w:p w14:paraId="0886511E" w14:textId="3C3BABE1" w:rsidR="0090093C" w:rsidRPr="00DB0008" w:rsidRDefault="0090093C" w:rsidP="0090093C">
      <w:pPr>
        <w:autoSpaceDE w:val="0"/>
        <w:autoSpaceDN w:val="0"/>
        <w:spacing w:after="0" w:line="360" w:lineRule="auto"/>
        <w:ind w:right="342"/>
        <w:rPr>
          <w:rFonts w:ascii="Calibri" w:eastAsia="Times New Roman" w:hAnsi="Calibri" w:cs="Calibri"/>
        </w:rPr>
      </w:pPr>
      <w:r>
        <w:rPr>
          <w:rFonts w:ascii="Calibri" w:eastAsia="Times New Roman" w:hAnsi="Calibri" w:cs="Calibri"/>
        </w:rPr>
        <w:t xml:space="preserve">The remaining 240 </w:t>
      </w:r>
      <w:r w:rsidRPr="00DB0008">
        <w:rPr>
          <w:rFonts w:ascii="Calibri" w:eastAsia="Times New Roman" w:hAnsi="Calibri" w:cs="Calibri"/>
        </w:rPr>
        <w:t xml:space="preserve">visitors </w:t>
      </w:r>
      <w:r>
        <w:rPr>
          <w:rFonts w:ascii="Calibri" w:eastAsia="Times New Roman" w:hAnsi="Calibri" w:cs="Calibri"/>
        </w:rPr>
        <w:t xml:space="preserve">completely </w:t>
      </w:r>
      <w:r w:rsidRPr="00DB0008">
        <w:rPr>
          <w:rFonts w:ascii="Calibri" w:eastAsia="Times New Roman" w:hAnsi="Calibri" w:cs="Calibri"/>
        </w:rPr>
        <w:t>refusing to accept any part of the invitation to participate</w:t>
      </w:r>
      <w:r>
        <w:rPr>
          <w:rFonts w:ascii="Calibri" w:eastAsia="Times New Roman" w:hAnsi="Calibri" w:cs="Calibri"/>
        </w:rPr>
        <w:t xml:space="preserve"> will not incur a respondent burden </w:t>
      </w:r>
      <w:r w:rsidRPr="00DB0008">
        <w:rPr>
          <w:rFonts w:ascii="Calibri" w:eastAsia="Times New Roman" w:hAnsi="Calibri" w:cs="Calibri"/>
        </w:rPr>
        <w:t xml:space="preserve">and for those individuals, </w:t>
      </w:r>
      <w:r>
        <w:rPr>
          <w:rFonts w:ascii="Calibri" w:eastAsia="Times New Roman" w:hAnsi="Calibri" w:cs="Calibri"/>
        </w:rPr>
        <w:t xml:space="preserve">however, </w:t>
      </w:r>
      <w:r w:rsidRPr="00DB0008">
        <w:rPr>
          <w:rFonts w:ascii="Calibri" w:eastAsia="Times New Roman" w:hAnsi="Calibri" w:cs="Calibri"/>
        </w:rPr>
        <w:t xml:space="preserve">we </w:t>
      </w:r>
      <w:r>
        <w:rPr>
          <w:rFonts w:ascii="Calibri" w:eastAsia="Times New Roman" w:hAnsi="Calibri" w:cs="Calibri"/>
        </w:rPr>
        <w:t xml:space="preserve">will attempt to </w:t>
      </w:r>
      <w:r w:rsidRPr="00DB0008">
        <w:rPr>
          <w:rFonts w:ascii="Calibri" w:eastAsia="Times New Roman" w:hAnsi="Calibri" w:cs="Calibri"/>
        </w:rPr>
        <w:t>record their reason for refusal.</w:t>
      </w:r>
    </w:p>
    <w:p w14:paraId="6F983AB4" w14:textId="77777777" w:rsidR="00E05F88" w:rsidRDefault="00E05F88" w:rsidP="00BF2B50">
      <w:pPr>
        <w:tabs>
          <w:tab w:val="left" w:pos="6078"/>
        </w:tabs>
        <w:autoSpaceDE w:val="0"/>
        <w:autoSpaceDN w:val="0"/>
        <w:spacing w:after="0" w:line="360" w:lineRule="auto"/>
        <w:rPr>
          <w:rFonts w:ascii="Calibri" w:eastAsia="Times New Roman" w:hAnsi="Calibri" w:cs="Calibri"/>
        </w:rPr>
      </w:pPr>
    </w:p>
    <w:p w14:paraId="0562AA14" w14:textId="5A41DAEA" w:rsidR="003159A0" w:rsidRPr="00E05F88" w:rsidRDefault="00E05F88" w:rsidP="00E05F88">
      <w:pPr>
        <w:spacing w:line="360" w:lineRule="auto"/>
        <w:rPr>
          <w:rFonts w:cs="Calibri"/>
          <w:b/>
        </w:rPr>
      </w:pPr>
      <w:r>
        <w:rPr>
          <w:rFonts w:cs="Calibri"/>
          <w:b/>
        </w:rPr>
        <w:t xml:space="preserve">Table 5. </w:t>
      </w:r>
      <w:r w:rsidR="0090093C">
        <w:rPr>
          <w:rFonts w:cs="Calibri"/>
          <w:b/>
        </w:rPr>
        <w:t xml:space="preserve">Estimate Annual Respondent </w:t>
      </w:r>
      <w:r>
        <w:rPr>
          <w:rFonts w:cs="Calibri"/>
          <w:b/>
        </w:rPr>
        <w:t xml:space="preserve">Burden </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BF2B50" w:rsidRPr="003159A0" w14:paraId="60DD2D1B" w14:textId="77777777" w:rsidTr="007758EE">
        <w:trPr>
          <w:trHeight w:val="375"/>
        </w:trPr>
        <w:tc>
          <w:tcPr>
            <w:tcW w:w="2315"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012AA282" w14:textId="77777777" w:rsidR="00BF2B50" w:rsidRPr="003159A0" w:rsidRDefault="00BF2B50" w:rsidP="007758EE">
            <w:pPr>
              <w:spacing w:after="0" w:line="195" w:lineRule="atLeast"/>
              <w:jc w:val="center"/>
              <w:rPr>
                <w:rFonts w:ascii="Arial" w:eastAsia="Times New Roman" w:hAnsi="Arial" w:cs="Arial"/>
                <w:b/>
                <w:bCs/>
                <w:color w:val="FFFFFF"/>
                <w:sz w:val="17"/>
                <w:szCs w:val="17"/>
              </w:rPr>
            </w:pPr>
          </w:p>
        </w:tc>
        <w:tc>
          <w:tcPr>
            <w:tcW w:w="879"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5BA8F345" w14:textId="77777777" w:rsidR="00BF2B50" w:rsidRPr="003159A0" w:rsidRDefault="00BF2B50" w:rsidP="007758EE">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974" w:type="pct"/>
            <w:tcBorders>
              <w:top w:val="single" w:sz="4" w:space="0" w:color="auto"/>
              <w:left w:val="nil"/>
              <w:bottom w:val="nil"/>
              <w:right w:val="nil"/>
            </w:tcBorders>
            <w:shd w:val="clear" w:color="auto" w:fill="C2D69B" w:themeFill="accent3" w:themeFillTint="99"/>
          </w:tcPr>
          <w:p w14:paraId="7B89980C" w14:textId="77777777" w:rsidR="00BF2B50" w:rsidRPr="003159A0" w:rsidRDefault="00BF2B50" w:rsidP="007758EE">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14:paraId="689B04EF" w14:textId="77777777" w:rsidR="00BF2B50" w:rsidRPr="003159A0" w:rsidRDefault="00BF2B50" w:rsidP="007758EE">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14:paraId="1E193957" w14:textId="77777777" w:rsidR="00BF2B50" w:rsidRPr="003159A0" w:rsidRDefault="00BF2B50" w:rsidP="007758EE">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2" w:type="pct"/>
            <w:tcBorders>
              <w:top w:val="single" w:sz="4" w:space="0" w:color="auto"/>
              <w:left w:val="nil"/>
              <w:bottom w:val="nil"/>
              <w:right w:val="nil"/>
            </w:tcBorders>
            <w:shd w:val="clear" w:color="auto" w:fill="C2D69B" w:themeFill="accent3" w:themeFillTint="99"/>
            <w:tcMar>
              <w:top w:w="60" w:type="dxa"/>
              <w:left w:w="60" w:type="dxa"/>
              <w:bottom w:w="60" w:type="dxa"/>
              <w:right w:w="60" w:type="dxa"/>
            </w:tcMar>
            <w:vAlign w:val="center"/>
            <w:hideMark/>
          </w:tcPr>
          <w:p w14:paraId="48B98364" w14:textId="77777777" w:rsidR="00BF2B50" w:rsidRPr="003159A0" w:rsidRDefault="00BF2B50" w:rsidP="007758EE">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14:paraId="0FF2636E" w14:textId="77777777" w:rsidR="00BF2B50" w:rsidRPr="003159A0" w:rsidRDefault="00BF2B50" w:rsidP="007758EE">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BF2B50" w:rsidRPr="003159A0" w14:paraId="2E000D5E" w14:textId="77777777" w:rsidTr="007758EE">
        <w:trPr>
          <w:trHeight w:val="375"/>
        </w:trPr>
        <w:tc>
          <w:tcPr>
            <w:tcW w:w="2315" w:type="pct"/>
            <w:tcBorders>
              <w:top w:val="nil"/>
              <w:left w:val="nil"/>
              <w:bottom w:val="nil"/>
              <w:right w:val="nil"/>
            </w:tcBorders>
            <w:shd w:val="clear" w:color="auto" w:fill="FFFFFF"/>
            <w:tcMar>
              <w:top w:w="60" w:type="dxa"/>
              <w:left w:w="60" w:type="dxa"/>
              <w:bottom w:w="60" w:type="dxa"/>
              <w:right w:w="60" w:type="dxa"/>
            </w:tcMar>
            <w:vAlign w:val="bottom"/>
          </w:tcPr>
          <w:p w14:paraId="20183CDA" w14:textId="77777777" w:rsidR="00BF2B50" w:rsidRPr="003159A0" w:rsidRDefault="00BF2B50" w:rsidP="007758EE">
            <w:pPr>
              <w:spacing w:after="0" w:line="225" w:lineRule="atLeast"/>
              <w:rPr>
                <w:rFonts w:eastAsia="Times New Roman" w:cs="Arial"/>
                <w:b/>
              </w:rPr>
            </w:pPr>
          </w:p>
        </w:tc>
        <w:tc>
          <w:tcPr>
            <w:tcW w:w="879" w:type="pct"/>
            <w:tcBorders>
              <w:top w:val="nil"/>
              <w:left w:val="nil"/>
              <w:bottom w:val="nil"/>
              <w:right w:val="nil"/>
            </w:tcBorders>
            <w:shd w:val="clear" w:color="auto" w:fill="FFFFFF"/>
            <w:tcMar>
              <w:top w:w="60" w:type="dxa"/>
              <w:left w:w="60" w:type="dxa"/>
              <w:bottom w:w="60" w:type="dxa"/>
              <w:right w:w="60" w:type="dxa"/>
            </w:tcMar>
          </w:tcPr>
          <w:p w14:paraId="5CE33B14" w14:textId="77777777" w:rsidR="00BF2B50" w:rsidRPr="003159A0" w:rsidRDefault="00BF2B50" w:rsidP="007758EE">
            <w:pPr>
              <w:spacing w:after="0" w:line="225" w:lineRule="atLeast"/>
              <w:jc w:val="center"/>
              <w:rPr>
                <w:rFonts w:eastAsia="Times New Roman" w:cs="Arial"/>
              </w:rPr>
            </w:pPr>
          </w:p>
        </w:tc>
        <w:tc>
          <w:tcPr>
            <w:tcW w:w="974" w:type="pct"/>
            <w:tcBorders>
              <w:top w:val="nil"/>
              <w:left w:val="nil"/>
              <w:bottom w:val="nil"/>
              <w:right w:val="nil"/>
            </w:tcBorders>
            <w:shd w:val="clear" w:color="auto" w:fill="FFFFFF"/>
          </w:tcPr>
          <w:p w14:paraId="145E5DD6" w14:textId="77777777" w:rsidR="00BF2B50" w:rsidRPr="003159A0" w:rsidRDefault="00BF2B50" w:rsidP="007758EE">
            <w:pPr>
              <w:spacing w:after="0" w:line="225" w:lineRule="atLeast"/>
              <w:jc w:val="center"/>
              <w:rPr>
                <w:rFonts w:eastAsia="Times New Roman" w:cs="Arial"/>
                <w:i/>
              </w:rPr>
            </w:pPr>
            <w:r w:rsidRPr="003159A0">
              <w:rPr>
                <w:rFonts w:eastAsia="Times New Roman" w:cs="Arial"/>
                <w:i/>
                <w:sz w:val="18"/>
              </w:rPr>
              <w:t>Contact time added to completion time</w:t>
            </w:r>
          </w:p>
        </w:tc>
        <w:tc>
          <w:tcPr>
            <w:tcW w:w="832" w:type="pct"/>
            <w:tcBorders>
              <w:top w:val="nil"/>
              <w:left w:val="nil"/>
              <w:bottom w:val="nil"/>
              <w:right w:val="nil"/>
            </w:tcBorders>
            <w:shd w:val="clear" w:color="auto" w:fill="FFFFFF"/>
            <w:tcMar>
              <w:top w:w="60" w:type="dxa"/>
              <w:left w:w="60" w:type="dxa"/>
              <w:bottom w:w="60" w:type="dxa"/>
              <w:right w:w="60" w:type="dxa"/>
            </w:tcMar>
          </w:tcPr>
          <w:p w14:paraId="03429FFB" w14:textId="77777777" w:rsidR="00BF2B50" w:rsidRPr="003159A0" w:rsidRDefault="00BF2B50" w:rsidP="007758EE">
            <w:pPr>
              <w:spacing w:after="0" w:line="225" w:lineRule="atLeast"/>
              <w:jc w:val="center"/>
              <w:rPr>
                <w:rFonts w:eastAsia="Times New Roman" w:cs="Arial"/>
              </w:rPr>
            </w:pPr>
          </w:p>
        </w:tc>
      </w:tr>
      <w:tr w:rsidR="00BF2B50" w:rsidRPr="003159A0" w14:paraId="7AB27E91" w14:textId="77777777" w:rsidTr="007758EE">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530D96EE" w14:textId="77777777" w:rsidR="00BF2B50" w:rsidRPr="003159A0" w:rsidRDefault="006E6423" w:rsidP="007758EE">
            <w:pPr>
              <w:spacing w:after="0" w:line="225" w:lineRule="atLeast"/>
              <w:ind w:left="300"/>
              <w:rPr>
                <w:rFonts w:eastAsia="Times New Roman" w:cs="Arial"/>
              </w:rPr>
            </w:pPr>
            <w:hyperlink r:id="rId9" w:history="1">
              <w:r w:rsidR="00BF2B50">
                <w:rPr>
                  <w:rFonts w:eastAsia="Times New Roman" w:cs="Arial"/>
                </w:rPr>
                <w:t>Completed</w:t>
              </w:r>
              <w:r w:rsidR="00BF2B50" w:rsidRPr="003159A0">
                <w:rPr>
                  <w:rFonts w:eastAsia="Times New Roman" w:cs="Arial"/>
                </w:rPr>
                <w:t xml:space="preserve">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4B6419C1" w14:textId="77777777" w:rsidR="00BF2B50" w:rsidRPr="003159A0" w:rsidRDefault="00BF2B50" w:rsidP="007758EE">
            <w:pPr>
              <w:spacing w:after="0" w:line="225" w:lineRule="atLeast"/>
              <w:jc w:val="center"/>
              <w:rPr>
                <w:rFonts w:eastAsia="Times New Roman" w:cs="Arial"/>
              </w:rPr>
            </w:pPr>
            <w:r>
              <w:rPr>
                <w:rFonts w:eastAsia="Times New Roman" w:cs="Arial"/>
              </w:rPr>
              <w:t>300</w:t>
            </w:r>
          </w:p>
        </w:tc>
        <w:tc>
          <w:tcPr>
            <w:tcW w:w="974" w:type="pct"/>
            <w:tcBorders>
              <w:top w:val="nil"/>
              <w:left w:val="nil"/>
              <w:bottom w:val="nil"/>
              <w:right w:val="nil"/>
            </w:tcBorders>
            <w:shd w:val="clear" w:color="auto" w:fill="FFFFFF"/>
          </w:tcPr>
          <w:p w14:paraId="5A3CCD2A" w14:textId="649E8289" w:rsidR="00BF2B50" w:rsidRPr="003159A0" w:rsidRDefault="007778D0" w:rsidP="007758EE">
            <w:pPr>
              <w:spacing w:after="0" w:line="225" w:lineRule="atLeast"/>
              <w:jc w:val="center"/>
              <w:rPr>
                <w:rFonts w:eastAsia="Times New Roman" w:cs="Arial"/>
              </w:rPr>
            </w:pPr>
            <w:r>
              <w:rPr>
                <w:rFonts w:eastAsia="Times New Roman" w:cs="Arial"/>
              </w:rPr>
              <w:t>16</w:t>
            </w:r>
          </w:p>
        </w:tc>
        <w:tc>
          <w:tcPr>
            <w:tcW w:w="832" w:type="pct"/>
            <w:tcBorders>
              <w:top w:val="nil"/>
              <w:left w:val="nil"/>
              <w:bottom w:val="nil"/>
              <w:right w:val="nil"/>
            </w:tcBorders>
            <w:shd w:val="clear" w:color="auto" w:fill="FFFFFF"/>
            <w:tcMar>
              <w:top w:w="60" w:type="dxa"/>
              <w:left w:w="60" w:type="dxa"/>
              <w:bottom w:w="60" w:type="dxa"/>
              <w:right w:w="60" w:type="dxa"/>
            </w:tcMar>
          </w:tcPr>
          <w:p w14:paraId="6997AC1B" w14:textId="6A5178E6" w:rsidR="00BF2B50" w:rsidRPr="003159A0" w:rsidRDefault="007778D0" w:rsidP="007758EE">
            <w:pPr>
              <w:spacing w:after="0" w:line="225" w:lineRule="atLeast"/>
              <w:jc w:val="center"/>
              <w:rPr>
                <w:rFonts w:eastAsia="Times New Roman" w:cs="Arial"/>
              </w:rPr>
            </w:pPr>
            <w:r>
              <w:rPr>
                <w:rFonts w:eastAsia="Times New Roman" w:cs="Arial"/>
              </w:rPr>
              <w:t>80</w:t>
            </w:r>
          </w:p>
        </w:tc>
      </w:tr>
      <w:tr w:rsidR="00BF2B50" w:rsidRPr="003159A0" w14:paraId="233B2593" w14:textId="77777777" w:rsidTr="007758EE">
        <w:trPr>
          <w:trHeight w:val="222"/>
        </w:trPr>
        <w:tc>
          <w:tcPr>
            <w:tcW w:w="2315" w:type="pct"/>
            <w:tcBorders>
              <w:top w:val="nil"/>
              <w:left w:val="nil"/>
              <w:bottom w:val="nil"/>
              <w:right w:val="nil"/>
            </w:tcBorders>
            <w:shd w:val="clear" w:color="auto" w:fill="FFFFFF"/>
            <w:tcMar>
              <w:top w:w="60" w:type="dxa"/>
              <w:left w:w="60" w:type="dxa"/>
              <w:bottom w:w="60" w:type="dxa"/>
              <w:right w:w="60" w:type="dxa"/>
            </w:tcMar>
            <w:hideMark/>
          </w:tcPr>
          <w:p w14:paraId="2CAE7D0F" w14:textId="77777777" w:rsidR="00BF2B50" w:rsidRPr="003159A0" w:rsidRDefault="006E6423" w:rsidP="007758EE">
            <w:pPr>
              <w:spacing w:after="0" w:line="225" w:lineRule="atLeast"/>
              <w:ind w:left="300"/>
              <w:rPr>
                <w:rFonts w:eastAsia="Times New Roman" w:cs="Arial"/>
              </w:rPr>
            </w:pPr>
            <w:hyperlink r:id="rId10" w:history="1">
              <w:r w:rsidR="00BF2B50" w:rsidRPr="003159A0">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3D007002" w14:textId="77777777" w:rsidR="00BF2B50" w:rsidRPr="003159A0" w:rsidRDefault="00BF2B50" w:rsidP="007758EE">
            <w:pPr>
              <w:spacing w:after="0" w:line="225" w:lineRule="atLeast"/>
              <w:jc w:val="center"/>
              <w:rPr>
                <w:rFonts w:eastAsia="Times New Roman" w:cs="Arial"/>
              </w:rPr>
            </w:pPr>
            <w:r>
              <w:rPr>
                <w:rFonts w:eastAsia="Times New Roman" w:cs="Arial"/>
              </w:rPr>
              <w:t>60</w:t>
            </w:r>
          </w:p>
        </w:tc>
        <w:tc>
          <w:tcPr>
            <w:tcW w:w="974" w:type="pct"/>
            <w:tcBorders>
              <w:top w:val="nil"/>
              <w:left w:val="nil"/>
              <w:bottom w:val="nil"/>
              <w:right w:val="nil"/>
            </w:tcBorders>
            <w:shd w:val="clear" w:color="auto" w:fill="FFFFFF"/>
          </w:tcPr>
          <w:p w14:paraId="54D5C21C" w14:textId="77777777" w:rsidR="00BF2B50" w:rsidRPr="003159A0" w:rsidRDefault="00BF2B50" w:rsidP="007758EE">
            <w:pPr>
              <w:spacing w:after="0" w:line="225" w:lineRule="atLeast"/>
              <w:jc w:val="center"/>
              <w:rPr>
                <w:rFonts w:eastAsia="Times New Roman" w:cs="Arial"/>
              </w:rPr>
            </w:pPr>
            <w:r>
              <w:rPr>
                <w:rFonts w:eastAsia="Times New Roman" w:cs="Arial"/>
              </w:rPr>
              <w:t>1</w:t>
            </w:r>
          </w:p>
        </w:tc>
        <w:tc>
          <w:tcPr>
            <w:tcW w:w="832" w:type="pct"/>
            <w:tcBorders>
              <w:top w:val="nil"/>
              <w:left w:val="nil"/>
              <w:bottom w:val="nil"/>
              <w:right w:val="nil"/>
            </w:tcBorders>
            <w:shd w:val="clear" w:color="auto" w:fill="FFFFFF"/>
            <w:tcMar>
              <w:top w:w="60" w:type="dxa"/>
              <w:left w:w="60" w:type="dxa"/>
              <w:bottom w:w="60" w:type="dxa"/>
              <w:right w:w="60" w:type="dxa"/>
            </w:tcMar>
          </w:tcPr>
          <w:p w14:paraId="27848DA8" w14:textId="77777777" w:rsidR="00BF2B50" w:rsidRPr="003159A0" w:rsidRDefault="00BF2B50" w:rsidP="007758EE">
            <w:pPr>
              <w:spacing w:after="0" w:line="225" w:lineRule="atLeast"/>
              <w:jc w:val="center"/>
              <w:rPr>
                <w:rFonts w:eastAsia="Times New Roman" w:cs="Arial"/>
              </w:rPr>
            </w:pPr>
            <w:r>
              <w:rPr>
                <w:rFonts w:eastAsia="Times New Roman" w:cs="Arial"/>
              </w:rPr>
              <w:t>1</w:t>
            </w:r>
          </w:p>
        </w:tc>
      </w:tr>
      <w:tr w:rsidR="00BF2B50" w:rsidRPr="003159A0" w14:paraId="427A1E4B" w14:textId="77777777" w:rsidTr="007758EE">
        <w:trPr>
          <w:trHeight w:val="222"/>
        </w:trPr>
        <w:tc>
          <w:tcPr>
            <w:tcW w:w="2315" w:type="pct"/>
            <w:tcBorders>
              <w:top w:val="nil"/>
              <w:left w:val="nil"/>
              <w:bottom w:val="single" w:sz="4" w:space="0" w:color="auto"/>
              <w:right w:val="nil"/>
            </w:tcBorders>
            <w:shd w:val="clear" w:color="auto" w:fill="FFFFFF"/>
            <w:tcMar>
              <w:top w:w="60" w:type="dxa"/>
              <w:left w:w="60" w:type="dxa"/>
              <w:bottom w:w="60" w:type="dxa"/>
              <w:right w:w="60" w:type="dxa"/>
            </w:tcMar>
          </w:tcPr>
          <w:p w14:paraId="2F1D2D14" w14:textId="77777777" w:rsidR="00BF2B50" w:rsidRPr="003159A0" w:rsidRDefault="00BF2B50" w:rsidP="007758EE">
            <w:pPr>
              <w:spacing w:after="0" w:line="225" w:lineRule="atLeast"/>
              <w:ind w:left="300"/>
              <w:jc w:val="right"/>
              <w:rPr>
                <w:rFonts w:eastAsia="Times New Roman" w:cs="Arial"/>
              </w:rPr>
            </w:pPr>
            <w:r w:rsidRPr="003159A0">
              <w:rPr>
                <w:rFonts w:eastAsia="Times New Roman" w:cs="Arial"/>
              </w:rPr>
              <w:t>Total burden requested:</w:t>
            </w:r>
          </w:p>
        </w:tc>
        <w:tc>
          <w:tcPr>
            <w:tcW w:w="879" w:type="pct"/>
            <w:tcBorders>
              <w:top w:val="nil"/>
              <w:left w:val="nil"/>
              <w:bottom w:val="single" w:sz="4" w:space="0" w:color="auto"/>
              <w:right w:val="nil"/>
            </w:tcBorders>
            <w:shd w:val="clear" w:color="auto" w:fill="FFFFFF"/>
            <w:tcMar>
              <w:top w:w="60" w:type="dxa"/>
              <w:left w:w="60" w:type="dxa"/>
              <w:bottom w:w="60" w:type="dxa"/>
              <w:right w:w="60" w:type="dxa"/>
            </w:tcMar>
          </w:tcPr>
          <w:p w14:paraId="0D572658" w14:textId="77777777" w:rsidR="00BF2B50" w:rsidRPr="003159A0" w:rsidRDefault="00BF2B50" w:rsidP="007758EE">
            <w:pPr>
              <w:spacing w:after="0" w:line="225" w:lineRule="atLeast"/>
              <w:jc w:val="center"/>
              <w:rPr>
                <w:rFonts w:eastAsia="Times New Roman" w:cs="Arial"/>
                <w:b/>
              </w:rPr>
            </w:pPr>
            <w:r>
              <w:rPr>
                <w:rFonts w:eastAsia="Times New Roman" w:cs="Arial"/>
                <w:b/>
              </w:rPr>
              <w:t>360</w:t>
            </w:r>
          </w:p>
        </w:tc>
        <w:tc>
          <w:tcPr>
            <w:tcW w:w="974" w:type="pct"/>
            <w:tcBorders>
              <w:top w:val="nil"/>
              <w:left w:val="nil"/>
              <w:bottom w:val="single" w:sz="4" w:space="0" w:color="auto"/>
              <w:right w:val="nil"/>
            </w:tcBorders>
            <w:shd w:val="clear" w:color="auto" w:fill="FFFFFF"/>
          </w:tcPr>
          <w:p w14:paraId="6366BBC8" w14:textId="77777777" w:rsidR="00BF2B50" w:rsidRPr="003159A0" w:rsidRDefault="00BF2B50" w:rsidP="007758EE">
            <w:pPr>
              <w:spacing w:after="0" w:line="225" w:lineRule="atLeast"/>
              <w:rPr>
                <w:rFonts w:eastAsia="Times New Roman" w:cs="Arial"/>
                <w:b/>
              </w:rPr>
            </w:pPr>
          </w:p>
        </w:tc>
        <w:tc>
          <w:tcPr>
            <w:tcW w:w="832" w:type="pct"/>
            <w:tcBorders>
              <w:top w:val="nil"/>
              <w:left w:val="nil"/>
              <w:bottom w:val="single" w:sz="4" w:space="0" w:color="auto"/>
              <w:right w:val="nil"/>
            </w:tcBorders>
            <w:shd w:val="clear" w:color="auto" w:fill="FFFFFF"/>
            <w:tcMar>
              <w:top w:w="60" w:type="dxa"/>
              <w:left w:w="60" w:type="dxa"/>
              <w:bottom w:w="60" w:type="dxa"/>
              <w:right w:w="60" w:type="dxa"/>
            </w:tcMar>
          </w:tcPr>
          <w:p w14:paraId="773EE23C" w14:textId="1296F7B1" w:rsidR="00BF2B50" w:rsidRPr="003159A0" w:rsidRDefault="007778D0" w:rsidP="007758EE">
            <w:pPr>
              <w:spacing w:after="0" w:line="225" w:lineRule="atLeast"/>
              <w:jc w:val="center"/>
              <w:rPr>
                <w:rFonts w:eastAsia="Times New Roman" w:cs="Arial"/>
                <w:b/>
              </w:rPr>
            </w:pPr>
            <w:r>
              <w:rPr>
                <w:rFonts w:eastAsia="Times New Roman" w:cs="Arial"/>
                <w:b/>
              </w:rPr>
              <w:t>81</w:t>
            </w:r>
          </w:p>
        </w:tc>
      </w:tr>
    </w:tbl>
    <w:p w14:paraId="7197BF18" w14:textId="77777777" w:rsidR="003159A0" w:rsidRDefault="003159A0"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58AE717"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7C91776F" w14:textId="44959537" w:rsidR="00DD4CE9" w:rsidRPr="00BF2B50" w:rsidRDefault="007462AA" w:rsidP="00BF2B50">
      <w:pPr>
        <w:autoSpaceDE w:val="0"/>
        <w:autoSpaceDN w:val="0"/>
        <w:spacing w:after="0" w:line="360" w:lineRule="auto"/>
        <w:rPr>
          <w:rFonts w:ascii="Calibri" w:eastAsia="Times New Roman" w:hAnsi="Calibri" w:cs="Calibri"/>
          <w:sz w:val="20"/>
          <w:szCs w:val="20"/>
        </w:rPr>
      </w:pPr>
      <w:r w:rsidRPr="007462AA">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5C0E4AB3" w14:textId="77777777" w:rsidR="00F27420" w:rsidRDefault="00F27420">
      <w:pPr>
        <w:rPr>
          <w:rFonts w:cs="Arial"/>
          <w:b/>
          <w:sz w:val="20"/>
          <w:szCs w:val="20"/>
        </w:rPr>
      </w:pPr>
      <w:r>
        <w:rPr>
          <w:rFonts w:cs="Arial"/>
          <w:b/>
          <w:sz w:val="20"/>
          <w:szCs w:val="20"/>
        </w:rPr>
        <w:br w:type="page"/>
      </w:r>
    </w:p>
    <w:p w14:paraId="739FD8BA" w14:textId="6FF318E0"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Cs w:val="20"/>
        </w:rPr>
      </w:pPr>
      <w:r w:rsidRPr="00F27420">
        <w:rPr>
          <w:rFonts w:cs="Arial"/>
          <w:b/>
          <w:szCs w:val="20"/>
        </w:rPr>
        <w:t>NOTICES</w:t>
      </w:r>
    </w:p>
    <w:p w14:paraId="564A5E11"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7E078DCF"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Cs w:val="20"/>
        </w:rPr>
      </w:pPr>
      <w:r w:rsidRPr="00F27420">
        <w:rPr>
          <w:rFonts w:cs="Arial"/>
          <w:b/>
          <w:szCs w:val="20"/>
        </w:rPr>
        <w:t>Privacy Act Statement</w:t>
      </w:r>
    </w:p>
    <w:p w14:paraId="02D84406" w14:textId="77777777" w:rsidR="005F0CAA" w:rsidRPr="00F27420"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Cs w:val="20"/>
        </w:rPr>
      </w:pPr>
    </w:p>
    <w:p w14:paraId="3DB65D8A" w14:textId="77777777" w:rsidR="005F0CAA" w:rsidRPr="00F27420" w:rsidRDefault="005F0CAA" w:rsidP="005F0CAA">
      <w:pPr>
        <w:pStyle w:val="Footer"/>
        <w:jc w:val="both"/>
        <w:rPr>
          <w:rFonts w:cs="Arial"/>
          <w:szCs w:val="20"/>
        </w:rPr>
      </w:pPr>
      <w:r w:rsidRPr="00F27420">
        <w:rPr>
          <w:rFonts w:cs="Arial"/>
          <w:b/>
          <w:szCs w:val="20"/>
        </w:rPr>
        <w:t>General:</w:t>
      </w:r>
      <w:r w:rsidRPr="00F27420">
        <w:rPr>
          <w:rFonts w:cs="Arial"/>
          <w:szCs w:val="20"/>
        </w:rPr>
        <w:t xml:space="preserve">  This information is provided pursuant to Public Law 93-579 (Privacy Act of 1974), December 21, 1984, for individuals completing this form.</w:t>
      </w:r>
    </w:p>
    <w:p w14:paraId="182F5C4B" w14:textId="77777777" w:rsidR="005F0CAA" w:rsidRPr="00F27420" w:rsidRDefault="005F0CAA" w:rsidP="005F0CAA">
      <w:pPr>
        <w:pStyle w:val="Footer"/>
        <w:jc w:val="both"/>
        <w:rPr>
          <w:rFonts w:cs="Arial"/>
          <w:szCs w:val="20"/>
        </w:rPr>
      </w:pPr>
    </w:p>
    <w:p w14:paraId="6BF4559A" w14:textId="77777777" w:rsidR="005F0CAA" w:rsidRPr="00F27420" w:rsidRDefault="005F0CAA" w:rsidP="005F0CAA">
      <w:pPr>
        <w:pStyle w:val="Footer"/>
        <w:jc w:val="both"/>
        <w:rPr>
          <w:rFonts w:cs="Arial"/>
          <w:szCs w:val="20"/>
        </w:rPr>
      </w:pPr>
      <w:r w:rsidRPr="00F27420">
        <w:rPr>
          <w:rFonts w:cs="Arial"/>
          <w:b/>
          <w:szCs w:val="20"/>
        </w:rPr>
        <w:t>Authority:</w:t>
      </w:r>
      <w:r w:rsidRPr="00F27420">
        <w:rPr>
          <w:rFonts w:cs="Arial"/>
          <w:szCs w:val="20"/>
        </w:rPr>
        <w:t xml:space="preserve">  </w:t>
      </w:r>
      <w:r w:rsidR="00DF757A" w:rsidRPr="00F27420">
        <w:rPr>
          <w:rFonts w:cs="Arial"/>
          <w:szCs w:val="20"/>
        </w:rPr>
        <w:t>National Park Service Research mandate (54 USC 100702)</w:t>
      </w:r>
    </w:p>
    <w:p w14:paraId="1784E32B" w14:textId="77777777" w:rsidR="005F0CAA" w:rsidRPr="00F27420" w:rsidRDefault="005F0CAA" w:rsidP="005F0CAA">
      <w:pPr>
        <w:pStyle w:val="Footer"/>
        <w:jc w:val="both"/>
        <w:rPr>
          <w:rFonts w:cs="Arial"/>
          <w:szCs w:val="20"/>
        </w:rPr>
      </w:pPr>
    </w:p>
    <w:p w14:paraId="600BA397" w14:textId="77777777" w:rsidR="005F0CAA" w:rsidRPr="00F27420" w:rsidRDefault="005F0CAA" w:rsidP="005F0CAA">
      <w:pPr>
        <w:pStyle w:val="Footer"/>
        <w:jc w:val="both"/>
        <w:rPr>
          <w:rFonts w:cs="Arial"/>
          <w:szCs w:val="20"/>
        </w:rPr>
      </w:pPr>
      <w:r w:rsidRPr="00F27420">
        <w:rPr>
          <w:rFonts w:cs="Arial"/>
          <w:b/>
          <w:szCs w:val="20"/>
        </w:rPr>
        <w:t>Purpose and Uses:</w:t>
      </w:r>
      <w:r w:rsidRPr="00F27420">
        <w:rPr>
          <w:rFonts w:cs="Arial"/>
          <w:szCs w:val="20"/>
        </w:rPr>
        <w:t xml:space="preserve"> </w:t>
      </w:r>
      <w:r w:rsidR="00DF757A" w:rsidRPr="00F27420">
        <w:rPr>
          <w:rFonts w:eastAsia="Times New Roman" w:cs="Times New Roman"/>
          <w:szCs w:val="20"/>
        </w:rPr>
        <w:t xml:space="preserve">This information will be used by The NPS Information Collections Coordinator to </w:t>
      </w:r>
      <w:r w:rsidR="00DF757A" w:rsidRPr="00F27420">
        <w:rPr>
          <w:rFonts w:cs="Helvetica"/>
          <w:szCs w:val="20"/>
        </w:rPr>
        <w:t>ensure appropriate documentation of information collections conducted in areas managed by or that are sponsored by the National Park Service</w:t>
      </w:r>
      <w:r w:rsidR="00DF757A" w:rsidRPr="00F27420">
        <w:rPr>
          <w:rFonts w:cs="Arial"/>
          <w:szCs w:val="20"/>
        </w:rPr>
        <w:t xml:space="preserve">. </w:t>
      </w:r>
      <w:r w:rsidRPr="00F27420">
        <w:rPr>
          <w:rFonts w:cs="Arial"/>
          <w:szCs w:val="20"/>
        </w:rPr>
        <w:t xml:space="preserve"> </w:t>
      </w:r>
    </w:p>
    <w:p w14:paraId="398FAFD2" w14:textId="77777777" w:rsidR="005F0CAA" w:rsidRPr="00F27420" w:rsidRDefault="005F0CAA" w:rsidP="005F0CAA">
      <w:pPr>
        <w:pStyle w:val="Footer"/>
        <w:jc w:val="both"/>
        <w:rPr>
          <w:rFonts w:cs="Arial"/>
          <w:szCs w:val="20"/>
        </w:rPr>
      </w:pPr>
    </w:p>
    <w:p w14:paraId="5858EE91" w14:textId="77777777" w:rsidR="00DD4CE9" w:rsidRPr="00F27420" w:rsidRDefault="005F0CAA" w:rsidP="005F0CAA">
      <w:pPr>
        <w:pStyle w:val="Footer"/>
        <w:jc w:val="both"/>
        <w:rPr>
          <w:rFonts w:cs="Arial"/>
          <w:szCs w:val="20"/>
        </w:rPr>
      </w:pPr>
      <w:r w:rsidRPr="00F27420">
        <w:rPr>
          <w:rFonts w:cs="Arial"/>
          <w:b/>
          <w:szCs w:val="20"/>
        </w:rPr>
        <w:t>Effects of Nondisclosure:</w:t>
      </w:r>
      <w:r w:rsidRPr="00F27420">
        <w:rPr>
          <w:rFonts w:cs="Arial"/>
          <w:szCs w:val="20"/>
        </w:rPr>
        <w:t xml:space="preserve">  </w:t>
      </w:r>
      <w:r w:rsidR="00DF757A" w:rsidRPr="00F27420">
        <w:rPr>
          <w:rFonts w:cs="Arial"/>
          <w:szCs w:val="20"/>
        </w:rPr>
        <w:t>Providing information is mandatory to submit Information Collection Requests to Programmatic Review Process.</w:t>
      </w:r>
    </w:p>
    <w:p w14:paraId="66C5245D"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3410EF02" w14:textId="77777777" w:rsidR="005F0CAA" w:rsidRPr="00F27420" w:rsidRDefault="005F0CAA"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08ADF6CC"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Cs w:val="20"/>
        </w:rPr>
      </w:pPr>
      <w:r w:rsidRPr="00F27420">
        <w:rPr>
          <w:rFonts w:cs="Arial"/>
          <w:b/>
          <w:szCs w:val="20"/>
        </w:rPr>
        <w:t>Paperwork Reduction Act Statement</w:t>
      </w:r>
    </w:p>
    <w:p w14:paraId="14E1A623"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2FAF3EC5"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r w:rsidRPr="00F27420">
        <w:rPr>
          <w:rFonts w:cs="Arial"/>
          <w:szCs w:val="20"/>
        </w:rPr>
        <w:t xml:space="preserve">We are collecting this information subject to the Paperwork Reduction Act (44 U.S.C. 3501) and </w:t>
      </w:r>
      <w:r w:rsidR="00D60F86" w:rsidRPr="00F27420">
        <w:rPr>
          <w:rFonts w:cs="Arial"/>
          <w:szCs w:val="20"/>
        </w:rPr>
        <w:t>is authorized by the National Park Service Research mandate (</w:t>
      </w:r>
      <w:r w:rsidR="00D60F86" w:rsidRPr="00F27420">
        <w:rPr>
          <w:rFonts w:cs="Arial"/>
          <w:color w:val="222222"/>
          <w:szCs w:val="20"/>
          <w:shd w:val="clear" w:color="auto" w:fill="FFFFFF"/>
        </w:rPr>
        <w:t>54 USC 100702)</w:t>
      </w:r>
      <w:r w:rsidR="00D60F86" w:rsidRPr="00F27420">
        <w:rPr>
          <w:rFonts w:cs="Arial"/>
          <w:szCs w:val="20"/>
        </w:rPr>
        <w:t>.</w:t>
      </w:r>
      <w:r w:rsidRPr="00F27420">
        <w:rPr>
          <w:rFonts w:cs="Arial"/>
          <w:szCs w:val="20"/>
        </w:rPr>
        <w:t xml:space="preserve"> </w:t>
      </w:r>
      <w:r w:rsidR="00212E14" w:rsidRPr="00F27420">
        <w:rPr>
          <w:rFonts w:eastAsia="Times New Roman" w:cs="Times New Roman"/>
          <w:szCs w:val="20"/>
        </w:rPr>
        <w:t xml:space="preserve">This information will be used by The NPS Information Collections Coordinator to </w:t>
      </w:r>
      <w:r w:rsidR="00D60F86" w:rsidRPr="00F27420">
        <w:rPr>
          <w:rFonts w:cs="Helvetica"/>
          <w:szCs w:val="20"/>
        </w:rPr>
        <w:t xml:space="preserve">ensure appropriate documentation of information collections conducted in areas managed by </w:t>
      </w:r>
      <w:r w:rsidR="00212E14" w:rsidRPr="00F27420">
        <w:rPr>
          <w:rFonts w:cs="Helvetica"/>
          <w:szCs w:val="20"/>
        </w:rPr>
        <w:t xml:space="preserve">or that are sponsored by </w:t>
      </w:r>
      <w:r w:rsidR="00D60F86" w:rsidRPr="00F27420">
        <w:rPr>
          <w:rFonts w:cs="Helvetica"/>
          <w:szCs w:val="20"/>
        </w:rPr>
        <w:t>the National Park Service</w:t>
      </w:r>
      <w:r w:rsidRPr="00F27420">
        <w:rPr>
          <w:rFonts w:cs="Arial"/>
          <w:szCs w:val="20"/>
        </w:rPr>
        <w:t xml:space="preserve">.  All parts of the form must be completed in order for your request to be considered.  We may not conduct or </w:t>
      </w:r>
      <w:r w:rsidR="00D60F86" w:rsidRPr="00F27420">
        <w:rPr>
          <w:rFonts w:cs="Arial"/>
          <w:szCs w:val="20"/>
        </w:rPr>
        <w:t>sponsor</w:t>
      </w:r>
      <w:r w:rsidRPr="00F27420">
        <w:rPr>
          <w:rFonts w:cs="Arial"/>
          <w:szCs w:val="20"/>
        </w:rPr>
        <w:t xml:space="preserve"> and you are not required to respond to</w:t>
      </w:r>
      <w:r w:rsidR="00F349BC" w:rsidRPr="00F27420">
        <w:rPr>
          <w:rFonts w:cs="Arial"/>
          <w:szCs w:val="20"/>
        </w:rPr>
        <w:t>,</w:t>
      </w:r>
      <w:r w:rsidRPr="00F27420">
        <w:rPr>
          <w:rFonts w:cs="Arial"/>
          <w:szCs w:val="20"/>
        </w:rPr>
        <w:t xml:space="preserve"> this or any other Federal agency-sponsored information collection unless it displays a currently valid OMB control number.  OMB has reviewed and approved </w:t>
      </w:r>
      <w:r w:rsidR="00D60F86" w:rsidRPr="00F27420">
        <w:rPr>
          <w:rFonts w:cs="Arial"/>
          <w:szCs w:val="20"/>
        </w:rPr>
        <w:t>The National Park Service Programmatic Review Process</w:t>
      </w:r>
      <w:r w:rsidRPr="00F27420">
        <w:rPr>
          <w:rFonts w:cs="Arial"/>
          <w:szCs w:val="20"/>
        </w:rPr>
        <w:t xml:space="preserve"> and assigned OMB Control Number </w:t>
      </w:r>
      <w:r w:rsidR="00D60F86" w:rsidRPr="00F27420">
        <w:rPr>
          <w:rFonts w:cs="Arial"/>
          <w:szCs w:val="20"/>
        </w:rPr>
        <w:t>1024-022</w:t>
      </w:r>
      <w:r w:rsidRPr="00F27420">
        <w:rPr>
          <w:rFonts w:cs="Arial"/>
          <w:szCs w:val="20"/>
        </w:rPr>
        <w:t xml:space="preserve">4.  </w:t>
      </w:r>
    </w:p>
    <w:p w14:paraId="7107CBED" w14:textId="77777777" w:rsidR="005F0CAA" w:rsidRPr="00F27420" w:rsidRDefault="005F0CAA"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5327446C"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2478D0DB"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Cs w:val="20"/>
        </w:rPr>
      </w:pPr>
      <w:r w:rsidRPr="00F27420">
        <w:rPr>
          <w:rFonts w:cs="Arial"/>
          <w:b/>
          <w:szCs w:val="20"/>
        </w:rPr>
        <w:t>Estimated Burden Statement</w:t>
      </w:r>
    </w:p>
    <w:p w14:paraId="49F1316F"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p>
    <w:p w14:paraId="45023AED" w14:textId="77777777" w:rsidR="00DD4CE9" w:rsidRPr="00F27420" w:rsidRDefault="00DD4CE9" w:rsidP="00DD4CE9">
      <w:pPr>
        <w:tabs>
          <w:tab w:val="left" w:pos="360"/>
          <w:tab w:val="left" w:pos="720"/>
          <w:tab w:val="left" w:pos="1440"/>
          <w:tab w:val="left" w:pos="2160"/>
          <w:tab w:val="left" w:pos="3600"/>
          <w:tab w:val="left" w:pos="5040"/>
          <w:tab w:val="left" w:pos="5760"/>
        </w:tabs>
        <w:spacing w:after="0" w:line="240" w:lineRule="auto"/>
        <w:rPr>
          <w:rFonts w:cs="Arial"/>
          <w:szCs w:val="20"/>
        </w:rPr>
      </w:pPr>
      <w:r w:rsidRPr="00F27420">
        <w:rPr>
          <w:rFonts w:cs="Arial"/>
          <w:szCs w:val="20"/>
        </w:rPr>
        <w:t xml:space="preserve">Public Reporting burden for this form is estimated to average </w:t>
      </w:r>
      <w:r w:rsidR="00970F2F" w:rsidRPr="00F27420">
        <w:rPr>
          <w:rFonts w:cs="Arial"/>
          <w:szCs w:val="20"/>
        </w:rPr>
        <w:t>60</w:t>
      </w:r>
      <w:r w:rsidRPr="00F27420">
        <w:rPr>
          <w:rFonts w:cs="Arial"/>
          <w:szCs w:val="20"/>
        </w:rPr>
        <w:t xml:space="preserve"> minutes per</w:t>
      </w:r>
      <w:r w:rsidR="00D60F86" w:rsidRPr="00F27420">
        <w:rPr>
          <w:rFonts w:cs="Arial"/>
          <w:szCs w:val="20"/>
        </w:rPr>
        <w:t xml:space="preserve"> collection</w:t>
      </w:r>
      <w:r w:rsidRPr="00F27420">
        <w:rPr>
          <w:rFonts w:cs="Arial"/>
          <w:szCs w:val="20"/>
        </w:rPr>
        <w:t xml:space="preserve">, including the time it takes for reviewing instructions, gathering </w:t>
      </w:r>
      <w:r w:rsidR="00D60F86" w:rsidRPr="00F27420">
        <w:rPr>
          <w:rFonts w:cs="Arial"/>
          <w:szCs w:val="20"/>
        </w:rPr>
        <w:t xml:space="preserve">information and </w:t>
      </w:r>
      <w:r w:rsidRPr="00F27420">
        <w:rPr>
          <w:rFonts w:cs="Arial"/>
          <w:szCs w:val="20"/>
        </w:rPr>
        <w:t xml:space="preserve">completing and reviewing the form.  </w:t>
      </w:r>
      <w:r w:rsidR="00D60F86" w:rsidRPr="00F27420">
        <w:rPr>
          <w:rFonts w:cs="Arial"/>
          <w:szCs w:val="20"/>
        </w:rPr>
        <w:t xml:space="preserve">This time does not include the editorial time required to finalize the submission. </w:t>
      </w:r>
      <w:r w:rsidRPr="00F27420">
        <w:rPr>
          <w:rFonts w:cs="Arial"/>
          <w:szCs w:val="20"/>
        </w:rPr>
        <w:t>Comments regarding this burden estimate or any aspect of this form should be sent to the Information Collection Clearance Coordinator, National Park Service, 1201 Oakridge Dr., Fort Collins, CO  80525.</w:t>
      </w:r>
    </w:p>
    <w:p w14:paraId="019B7A8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7B00B7" w:rsidSect="005749F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E2669" w14:textId="77777777" w:rsidR="001D4132" w:rsidRDefault="001D4132" w:rsidP="005749F3">
      <w:pPr>
        <w:spacing w:after="0" w:line="240" w:lineRule="auto"/>
      </w:pPr>
      <w:r>
        <w:separator/>
      </w:r>
    </w:p>
  </w:endnote>
  <w:endnote w:type="continuationSeparator" w:id="0">
    <w:p w14:paraId="570199AB" w14:textId="77777777" w:rsidR="001D4132" w:rsidRDefault="001D4132"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ACBA36" w14:textId="2DBDC6D1" w:rsidR="00905909" w:rsidRPr="00AA2AA1" w:rsidRDefault="00905909"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6E6423">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6E6423">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330BD8B" w14:textId="2C26CE19" w:rsidR="00905909" w:rsidRPr="00F60E00" w:rsidRDefault="00905909"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6E6423">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6E6423">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5FE457EF" w14:textId="77777777" w:rsidR="00905909" w:rsidRPr="00DA5C9A" w:rsidRDefault="00905909"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A58B7" w14:textId="77777777" w:rsidR="001D4132" w:rsidRDefault="001D4132" w:rsidP="005749F3">
      <w:pPr>
        <w:spacing w:after="0" w:line="240" w:lineRule="auto"/>
      </w:pPr>
      <w:r>
        <w:separator/>
      </w:r>
    </w:p>
  </w:footnote>
  <w:footnote w:type="continuationSeparator" w:id="0">
    <w:p w14:paraId="4ED30C4F" w14:textId="77777777" w:rsidR="001D4132" w:rsidRDefault="001D4132"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D1B5" w14:textId="77777777" w:rsidR="00905909" w:rsidRDefault="00905909"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420E5B3" w14:textId="77777777" w:rsidR="00905909" w:rsidRPr="009E5218" w:rsidRDefault="00905909"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18A870" w14:textId="77777777" w:rsidR="00905909" w:rsidRPr="00AA2AA1" w:rsidRDefault="00905909"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6BD" w14:textId="77777777" w:rsidR="00905909" w:rsidRDefault="00905909"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B05B6F" w14:textId="77777777" w:rsidR="00905909" w:rsidRPr="009E5218" w:rsidRDefault="00905909"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B6572A">
      <w:rPr>
        <w:rFonts w:ascii="Times New Roman" w:hAnsi="Times New Roman" w:cs="Times New Roman"/>
        <w:sz w:val="16"/>
        <w:szCs w:val="16"/>
      </w:rPr>
      <w:t>5/31/2019</w:t>
    </w:r>
  </w:p>
  <w:p w14:paraId="7DB0BC2A" w14:textId="77777777" w:rsidR="00905909" w:rsidRDefault="00905909"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822A1E7" wp14:editId="23A9F0D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498A0EE0" wp14:editId="506970E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02F876E" w14:textId="77777777" w:rsidR="00905909" w:rsidRDefault="00905909"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3A6B374A" w14:textId="77777777" w:rsidR="00905909" w:rsidRDefault="00905909"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E34F1CB"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102CCDCB"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21DF9E71"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p w14:paraId="1ACE29A6" w14:textId="77777777" w:rsidR="00905909" w:rsidRPr="00016546" w:rsidRDefault="00905909"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7C5AF0"/>
    <w:multiLevelType w:val="hybridMultilevel"/>
    <w:tmpl w:val="DF0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3E0F11"/>
    <w:multiLevelType w:val="hybridMultilevel"/>
    <w:tmpl w:val="866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E2186"/>
    <w:multiLevelType w:val="hybridMultilevel"/>
    <w:tmpl w:val="B9CE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3"/>
  </w:num>
  <w:num w:numId="4">
    <w:abstractNumId w:val="11"/>
  </w:num>
  <w:num w:numId="5">
    <w:abstractNumId w:val="1"/>
  </w:num>
  <w:num w:numId="6">
    <w:abstractNumId w:val="9"/>
  </w:num>
  <w:num w:numId="7">
    <w:abstractNumId w:val="0"/>
  </w:num>
  <w:num w:numId="8">
    <w:abstractNumId w:val="2"/>
  </w:num>
  <w:num w:numId="9">
    <w:abstractNumId w:val="10"/>
  </w:num>
  <w:num w:numId="10">
    <w:abstractNumId w:val="14"/>
  </w:num>
  <w:num w:numId="11">
    <w:abstractNumId w:val="8"/>
  </w:num>
  <w:num w:numId="12">
    <w:abstractNumId w:val="6"/>
  </w:num>
  <w:num w:numId="13">
    <w:abstractNumId w:val="5"/>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qwUA0AtxuiwAAAA="/>
  </w:docVars>
  <w:rsids>
    <w:rsidRoot w:val="005719CA"/>
    <w:rsid w:val="00016546"/>
    <w:rsid w:val="00020149"/>
    <w:rsid w:val="0003258B"/>
    <w:rsid w:val="0004649F"/>
    <w:rsid w:val="00047294"/>
    <w:rsid w:val="00065A91"/>
    <w:rsid w:val="000701CD"/>
    <w:rsid w:val="00071EAA"/>
    <w:rsid w:val="000A423B"/>
    <w:rsid w:val="000C1159"/>
    <w:rsid w:val="000C3A4F"/>
    <w:rsid w:val="000C3AEC"/>
    <w:rsid w:val="000C4705"/>
    <w:rsid w:val="000D13B3"/>
    <w:rsid w:val="00113B10"/>
    <w:rsid w:val="00130529"/>
    <w:rsid w:val="00151947"/>
    <w:rsid w:val="001571FE"/>
    <w:rsid w:val="001732DC"/>
    <w:rsid w:val="0019450C"/>
    <w:rsid w:val="001B595A"/>
    <w:rsid w:val="001D4132"/>
    <w:rsid w:val="001F0578"/>
    <w:rsid w:val="00203A56"/>
    <w:rsid w:val="00212E14"/>
    <w:rsid w:val="00217C05"/>
    <w:rsid w:val="00226C7C"/>
    <w:rsid w:val="002375FD"/>
    <w:rsid w:val="0024251C"/>
    <w:rsid w:val="002610CA"/>
    <w:rsid w:val="00286041"/>
    <w:rsid w:val="002A5058"/>
    <w:rsid w:val="002B4D48"/>
    <w:rsid w:val="002E6066"/>
    <w:rsid w:val="002F3966"/>
    <w:rsid w:val="002F689B"/>
    <w:rsid w:val="003159A0"/>
    <w:rsid w:val="0034130F"/>
    <w:rsid w:val="00342381"/>
    <w:rsid w:val="00377727"/>
    <w:rsid w:val="00382B19"/>
    <w:rsid w:val="00391556"/>
    <w:rsid w:val="00392FF8"/>
    <w:rsid w:val="003D58CD"/>
    <w:rsid w:val="003E2A7D"/>
    <w:rsid w:val="003F5DFD"/>
    <w:rsid w:val="00437DA2"/>
    <w:rsid w:val="00446581"/>
    <w:rsid w:val="0048549C"/>
    <w:rsid w:val="005150A2"/>
    <w:rsid w:val="0052661B"/>
    <w:rsid w:val="00535739"/>
    <w:rsid w:val="00555AB2"/>
    <w:rsid w:val="005719CA"/>
    <w:rsid w:val="005749F3"/>
    <w:rsid w:val="005826C5"/>
    <w:rsid w:val="005853F0"/>
    <w:rsid w:val="005950D0"/>
    <w:rsid w:val="0059583B"/>
    <w:rsid w:val="00596E03"/>
    <w:rsid w:val="005A28EC"/>
    <w:rsid w:val="005A79ED"/>
    <w:rsid w:val="005F0CAA"/>
    <w:rsid w:val="005F6E0B"/>
    <w:rsid w:val="00602FBC"/>
    <w:rsid w:val="00610884"/>
    <w:rsid w:val="00612744"/>
    <w:rsid w:val="00614B94"/>
    <w:rsid w:val="0065616C"/>
    <w:rsid w:val="0065743A"/>
    <w:rsid w:val="00663DA5"/>
    <w:rsid w:val="006A7B97"/>
    <w:rsid w:val="006C4321"/>
    <w:rsid w:val="006E6423"/>
    <w:rsid w:val="0072090D"/>
    <w:rsid w:val="00736985"/>
    <w:rsid w:val="007462AA"/>
    <w:rsid w:val="007659C5"/>
    <w:rsid w:val="00773E7E"/>
    <w:rsid w:val="00774EB5"/>
    <w:rsid w:val="007778D0"/>
    <w:rsid w:val="007A654F"/>
    <w:rsid w:val="007B00B7"/>
    <w:rsid w:val="007D4C26"/>
    <w:rsid w:val="007E15B6"/>
    <w:rsid w:val="007F03D6"/>
    <w:rsid w:val="00846139"/>
    <w:rsid w:val="00863D72"/>
    <w:rsid w:val="00872D28"/>
    <w:rsid w:val="008B14E0"/>
    <w:rsid w:val="008E23F6"/>
    <w:rsid w:val="0090093C"/>
    <w:rsid w:val="00905909"/>
    <w:rsid w:val="009223EB"/>
    <w:rsid w:val="00930E45"/>
    <w:rsid w:val="00947B88"/>
    <w:rsid w:val="0095705C"/>
    <w:rsid w:val="00970F2F"/>
    <w:rsid w:val="00971D91"/>
    <w:rsid w:val="00974F62"/>
    <w:rsid w:val="009853B1"/>
    <w:rsid w:val="009A5F89"/>
    <w:rsid w:val="009E5218"/>
    <w:rsid w:val="00A00DA5"/>
    <w:rsid w:val="00A1090B"/>
    <w:rsid w:val="00A46E01"/>
    <w:rsid w:val="00AA2AA1"/>
    <w:rsid w:val="00AA3D0D"/>
    <w:rsid w:val="00AA499F"/>
    <w:rsid w:val="00AC255D"/>
    <w:rsid w:val="00AD4A97"/>
    <w:rsid w:val="00AE79B6"/>
    <w:rsid w:val="00AF7270"/>
    <w:rsid w:val="00B26514"/>
    <w:rsid w:val="00B26CEF"/>
    <w:rsid w:val="00B3574B"/>
    <w:rsid w:val="00B421F0"/>
    <w:rsid w:val="00B4689F"/>
    <w:rsid w:val="00B51081"/>
    <w:rsid w:val="00B6572A"/>
    <w:rsid w:val="00B75AC5"/>
    <w:rsid w:val="00B80788"/>
    <w:rsid w:val="00B96EA2"/>
    <w:rsid w:val="00BA00C8"/>
    <w:rsid w:val="00BB4F22"/>
    <w:rsid w:val="00BC5311"/>
    <w:rsid w:val="00BE6941"/>
    <w:rsid w:val="00BF2B50"/>
    <w:rsid w:val="00BF4894"/>
    <w:rsid w:val="00C05F20"/>
    <w:rsid w:val="00C70CB6"/>
    <w:rsid w:val="00C86DD2"/>
    <w:rsid w:val="00C95F7D"/>
    <w:rsid w:val="00C97044"/>
    <w:rsid w:val="00CA56A1"/>
    <w:rsid w:val="00CB15F5"/>
    <w:rsid w:val="00CE7363"/>
    <w:rsid w:val="00D0735B"/>
    <w:rsid w:val="00D160AF"/>
    <w:rsid w:val="00D22C4B"/>
    <w:rsid w:val="00D60F86"/>
    <w:rsid w:val="00D92392"/>
    <w:rsid w:val="00DA5C9A"/>
    <w:rsid w:val="00DB0008"/>
    <w:rsid w:val="00DB03E8"/>
    <w:rsid w:val="00DB592C"/>
    <w:rsid w:val="00DC21E3"/>
    <w:rsid w:val="00DD4CE9"/>
    <w:rsid w:val="00DE1164"/>
    <w:rsid w:val="00DE3831"/>
    <w:rsid w:val="00DF757A"/>
    <w:rsid w:val="00E05F88"/>
    <w:rsid w:val="00E078B5"/>
    <w:rsid w:val="00E07FBD"/>
    <w:rsid w:val="00E71A73"/>
    <w:rsid w:val="00E73FAC"/>
    <w:rsid w:val="00E95952"/>
    <w:rsid w:val="00E95D1F"/>
    <w:rsid w:val="00EA6B08"/>
    <w:rsid w:val="00EB0585"/>
    <w:rsid w:val="00EB6E34"/>
    <w:rsid w:val="00EE7E74"/>
    <w:rsid w:val="00EF4166"/>
    <w:rsid w:val="00F27420"/>
    <w:rsid w:val="00F349BC"/>
    <w:rsid w:val="00F35B0E"/>
    <w:rsid w:val="00F36C4C"/>
    <w:rsid w:val="00F44747"/>
    <w:rsid w:val="00F5307C"/>
    <w:rsid w:val="00F531D3"/>
    <w:rsid w:val="00F77380"/>
    <w:rsid w:val="00FA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3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40398">
      <w:bodyDiv w:val="1"/>
      <w:marLeft w:val="0"/>
      <w:marRight w:val="0"/>
      <w:marTop w:val="0"/>
      <w:marBottom w:val="0"/>
      <w:divBdr>
        <w:top w:val="none" w:sz="0" w:space="0" w:color="auto"/>
        <w:left w:val="none" w:sz="0" w:space="0" w:color="auto"/>
        <w:bottom w:val="none" w:sz="0" w:space="0" w:color="auto"/>
        <w:right w:val="none" w:sz="0" w:space="0" w:color="auto"/>
      </w:divBdr>
    </w:div>
    <w:div w:id="293174631">
      <w:bodyDiv w:val="1"/>
      <w:marLeft w:val="0"/>
      <w:marRight w:val="0"/>
      <w:marTop w:val="0"/>
      <w:marBottom w:val="0"/>
      <w:divBdr>
        <w:top w:val="none" w:sz="0" w:space="0" w:color="auto"/>
        <w:left w:val="none" w:sz="0" w:space="0" w:color="auto"/>
        <w:bottom w:val="none" w:sz="0" w:space="0" w:color="auto"/>
        <w:right w:val="none" w:sz="0" w:space="0" w:color="auto"/>
      </w:divBdr>
    </w:div>
    <w:div w:id="589436694">
      <w:bodyDiv w:val="1"/>
      <w:marLeft w:val="0"/>
      <w:marRight w:val="0"/>
      <w:marTop w:val="0"/>
      <w:marBottom w:val="0"/>
      <w:divBdr>
        <w:top w:val="none" w:sz="0" w:space="0" w:color="auto"/>
        <w:left w:val="none" w:sz="0" w:space="0" w:color="auto"/>
        <w:bottom w:val="none" w:sz="0" w:space="0" w:color="auto"/>
        <w:right w:val="none" w:sz="0" w:space="0" w:color="auto"/>
      </w:divBdr>
    </w:div>
    <w:div w:id="922959661">
      <w:bodyDiv w:val="1"/>
      <w:marLeft w:val="0"/>
      <w:marRight w:val="0"/>
      <w:marTop w:val="0"/>
      <w:marBottom w:val="0"/>
      <w:divBdr>
        <w:top w:val="none" w:sz="0" w:space="0" w:color="auto"/>
        <w:left w:val="none" w:sz="0" w:space="0" w:color="auto"/>
        <w:bottom w:val="none" w:sz="0" w:space="0" w:color="auto"/>
        <w:right w:val="none" w:sz="0" w:space="0" w:color="auto"/>
      </w:divBdr>
    </w:div>
    <w:div w:id="10107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whit@alaska.ne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3&amp;record_owner_flag=A&amp;menu=currentICRPackag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2018-04-18T22:36:00Z</dcterms:created>
  <dcterms:modified xsi:type="dcterms:W3CDTF">2018-04-18T22:36:00Z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792188081</vt:i4>
  </property>
</Properties>
</file>