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191A3" w14:textId="77777777" w:rsidR="00BA4796" w:rsidRDefault="00BA4796">
      <w:pPr>
        <w:rPr>
          <w:rFonts w:cs="Times New Roman"/>
          <w:b/>
          <w:color w:val="000000" w:themeColor="text1"/>
        </w:rPr>
      </w:pPr>
      <w:bookmarkStart w:id="0" w:name="OLE_LINK1"/>
    </w:p>
    <w:p w14:paraId="356CE837" w14:textId="77777777" w:rsidR="00176035" w:rsidRPr="00F2227C" w:rsidRDefault="00E20AC9">
      <w:pPr>
        <w:rPr>
          <w:rFonts w:cs="Times New Roman"/>
          <w:color w:val="000000" w:themeColor="text1"/>
        </w:rPr>
      </w:pPr>
      <w:r w:rsidRPr="00F2227C">
        <w:rPr>
          <w:rFonts w:cs="Times New Roman"/>
          <w:noProof/>
          <w:color w:val="000000" w:themeColor="text1"/>
        </w:rPr>
        <w:drawing>
          <wp:inline distT="0" distB="0" distL="0" distR="0" wp14:anchorId="0DDB9260" wp14:editId="3B8B1C88">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2E156331" w14:textId="77777777" w:rsidR="0017692C" w:rsidRPr="00F2227C" w:rsidRDefault="0017692C" w:rsidP="006B1E69">
      <w:pPr>
        <w:rPr>
          <w:rFonts w:cs="Times New Roman"/>
          <w:b/>
          <w:color w:val="000000" w:themeColor="text1"/>
        </w:rPr>
      </w:pPr>
    </w:p>
    <w:p w14:paraId="058B2725" w14:textId="77777777" w:rsidR="00527AB7" w:rsidRPr="00F2227C" w:rsidRDefault="00527AB7" w:rsidP="006B1E69">
      <w:pPr>
        <w:rPr>
          <w:rFonts w:cs="Times New Roman"/>
          <w:b/>
          <w:color w:val="000000" w:themeColor="text1"/>
        </w:rPr>
      </w:pPr>
    </w:p>
    <w:p w14:paraId="46696FD6"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55F443D3" w14:textId="77777777" w:rsidR="006B1E69" w:rsidRPr="00F2227C" w:rsidRDefault="006B1E69" w:rsidP="006B1E69">
      <w:pPr>
        <w:rPr>
          <w:rFonts w:cs="Times New Roman"/>
          <w:color w:val="000000" w:themeColor="text1"/>
        </w:rPr>
      </w:pPr>
    </w:p>
    <w:p w14:paraId="16DAE2C0"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6639A535" w14:textId="77777777" w:rsidR="006B1E69" w:rsidRPr="00F2227C" w:rsidRDefault="006B1E69">
      <w:pPr>
        <w:rPr>
          <w:rFonts w:cs="Times New Roman"/>
          <w:color w:val="000000" w:themeColor="text1"/>
        </w:rPr>
      </w:pPr>
    </w:p>
    <w:p w14:paraId="4C83CAB4"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77043D2B" w14:textId="77777777" w:rsidR="00527AB7" w:rsidRPr="00F2227C" w:rsidRDefault="00527AB7">
      <w:pPr>
        <w:rPr>
          <w:rFonts w:cs="Times New Roman"/>
          <w:color w:val="000000" w:themeColor="text1"/>
        </w:rPr>
        <w:sectPr w:rsidR="00527AB7" w:rsidRPr="00F2227C" w:rsidSect="00A5004E">
          <w:footerReference w:type="default" r:id="rId9"/>
          <w:pgSz w:w="12240" w:h="15840"/>
          <w:pgMar w:top="720" w:right="1440" w:bottom="1440" w:left="1440" w:header="720" w:footer="720" w:gutter="0"/>
          <w:cols w:num="2" w:space="720"/>
          <w:docGrid w:linePitch="360"/>
        </w:sectPr>
      </w:pPr>
    </w:p>
    <w:p w14:paraId="78AB9C65"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6A9BBF9B" w14:textId="77777777" w:rsidR="00653BAB" w:rsidRDefault="00653BAB" w:rsidP="00DA5C23">
      <w:pPr>
        <w:widowControl w:val="0"/>
        <w:autoSpaceDE w:val="0"/>
        <w:autoSpaceDN w:val="0"/>
        <w:adjustRightInd w:val="0"/>
        <w:rPr>
          <w:rFonts w:cs="Times New Roman"/>
          <w:b/>
          <w:color w:val="000000" w:themeColor="text1"/>
        </w:rPr>
      </w:pPr>
    </w:p>
    <w:p w14:paraId="74129351"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07AA8DDB" w14:textId="77777777" w:rsidR="00DA5C23" w:rsidRPr="00F2227C" w:rsidRDefault="00DA5C23" w:rsidP="00DA5C23">
      <w:pPr>
        <w:widowControl w:val="0"/>
        <w:autoSpaceDE w:val="0"/>
        <w:autoSpaceDN w:val="0"/>
        <w:adjustRightInd w:val="0"/>
        <w:rPr>
          <w:rFonts w:cs="Times New Roman"/>
          <w:color w:val="000000" w:themeColor="text1"/>
        </w:rPr>
      </w:pPr>
    </w:p>
    <w:p w14:paraId="3510AEC0" w14:textId="77777777" w:rsidR="004138AC" w:rsidRPr="00F2227C" w:rsidRDefault="004138AC" w:rsidP="00DA5C23">
      <w:pPr>
        <w:widowControl w:val="0"/>
        <w:autoSpaceDE w:val="0"/>
        <w:autoSpaceDN w:val="0"/>
        <w:adjustRightInd w:val="0"/>
        <w:rPr>
          <w:rFonts w:cs="Times New Roman"/>
          <w:color w:val="000000" w:themeColor="text1"/>
        </w:rPr>
      </w:pPr>
    </w:p>
    <w:p w14:paraId="5C0CCB53" w14:textId="11EA39CF" w:rsidR="00E6629E" w:rsidRPr="00D532BF" w:rsidRDefault="00E6629E" w:rsidP="00E6629E">
      <w:pPr>
        <w:rPr>
          <w:rFonts w:cs="Times New Roman"/>
        </w:rPr>
      </w:pPr>
      <w:r w:rsidRPr="00017C7F">
        <w:rPr>
          <w:rFonts w:cs="Times New Roman"/>
        </w:rPr>
        <w:t>To:</w:t>
      </w:r>
      <w:r w:rsidRPr="00D532BF">
        <w:rPr>
          <w:rFonts w:cs="Times New Roman"/>
        </w:rPr>
        <w:tab/>
        <w:t xml:space="preserve"> </w:t>
      </w:r>
      <w:r w:rsidRPr="00D532BF">
        <w:rPr>
          <w:rFonts w:cs="Times New Roman"/>
        </w:rPr>
        <w:tab/>
      </w:r>
      <w:r w:rsidR="00D532BF" w:rsidRPr="00D532BF">
        <w:rPr>
          <w:rFonts w:cs="Times New Roman"/>
        </w:rPr>
        <w:t>Jennifer Park</w:t>
      </w:r>
    </w:p>
    <w:p w14:paraId="71E1053E" w14:textId="77777777" w:rsidR="00E6629E" w:rsidRPr="000F61AD" w:rsidRDefault="00E6629E" w:rsidP="00E6629E">
      <w:pPr>
        <w:rPr>
          <w:rFonts w:cs="Times New Roman"/>
        </w:rPr>
      </w:pPr>
      <w:r w:rsidRPr="000F61AD">
        <w:rPr>
          <w:rFonts w:cs="Times New Roman"/>
        </w:rPr>
        <w:tab/>
      </w:r>
      <w:r w:rsidRPr="000F61AD">
        <w:rPr>
          <w:rFonts w:cs="Times New Roman"/>
        </w:rPr>
        <w:tab/>
        <w:t>Office of Statistical and Science Policy</w:t>
      </w:r>
    </w:p>
    <w:p w14:paraId="60931069" w14:textId="77777777" w:rsidR="00E6629E" w:rsidRPr="000F61AD" w:rsidRDefault="00E6629E" w:rsidP="00E6629E">
      <w:pPr>
        <w:rPr>
          <w:rFonts w:cs="Times New Roman"/>
        </w:rPr>
      </w:pPr>
      <w:r w:rsidRPr="000F61AD">
        <w:rPr>
          <w:rFonts w:cs="Times New Roman"/>
        </w:rPr>
        <w:tab/>
      </w:r>
      <w:r w:rsidRPr="000F61AD">
        <w:rPr>
          <w:rFonts w:cs="Times New Roman"/>
        </w:rPr>
        <w:tab/>
        <w:t>Office of Management and Budget</w:t>
      </w:r>
    </w:p>
    <w:p w14:paraId="04E973C6" w14:textId="77777777" w:rsidR="00E6629E" w:rsidRPr="000F61AD" w:rsidRDefault="00E6629E" w:rsidP="00E6629E">
      <w:pPr>
        <w:rPr>
          <w:rFonts w:cs="Times New Roman"/>
        </w:rPr>
      </w:pPr>
    </w:p>
    <w:p w14:paraId="0B0B2E6D" w14:textId="05F754F9" w:rsidR="00E6629E" w:rsidRPr="000F61AD" w:rsidRDefault="00E6629E" w:rsidP="00E6629E">
      <w:pPr>
        <w:rPr>
          <w:rFonts w:cs="Times New Roman"/>
        </w:rPr>
      </w:pPr>
      <w:r w:rsidRPr="00017C7F">
        <w:rPr>
          <w:rFonts w:cs="Times New Roman"/>
        </w:rPr>
        <w:t>Through:</w:t>
      </w:r>
      <w:r w:rsidRPr="000F61AD">
        <w:rPr>
          <w:rFonts w:cs="Times New Roman"/>
        </w:rPr>
        <w:t xml:space="preserve"> </w:t>
      </w:r>
      <w:r w:rsidRPr="000F61AD">
        <w:rPr>
          <w:rFonts w:cs="Times New Roman"/>
        </w:rPr>
        <w:tab/>
      </w:r>
      <w:r w:rsidR="00754E94">
        <w:rPr>
          <w:rFonts w:cs="Times New Roman"/>
        </w:rPr>
        <w:t>Melody Braswell</w:t>
      </w:r>
    </w:p>
    <w:p w14:paraId="4700C79D" w14:textId="77777777" w:rsidR="00E6629E" w:rsidRPr="000F61AD" w:rsidRDefault="00E6629E" w:rsidP="00E6629E">
      <w:pPr>
        <w:rPr>
          <w:rFonts w:cs="Times New Roman"/>
        </w:rPr>
      </w:pPr>
      <w:r w:rsidRPr="000F61AD">
        <w:rPr>
          <w:rFonts w:cs="Times New Roman"/>
        </w:rPr>
        <w:tab/>
      </w:r>
      <w:r w:rsidRPr="000F61AD">
        <w:rPr>
          <w:rFonts w:cs="Times New Roman"/>
        </w:rPr>
        <w:tab/>
        <w:t>Clearance Officer</w:t>
      </w:r>
    </w:p>
    <w:p w14:paraId="03F6BED6" w14:textId="77777777" w:rsidR="00E6629E" w:rsidRPr="000F61AD" w:rsidRDefault="00E6629E" w:rsidP="00E6629E">
      <w:pPr>
        <w:rPr>
          <w:rFonts w:cs="Times New Roman"/>
        </w:rPr>
      </w:pPr>
      <w:r w:rsidRPr="000F61AD">
        <w:rPr>
          <w:rFonts w:cs="Times New Roman"/>
        </w:rPr>
        <w:tab/>
      </w:r>
      <w:r w:rsidRPr="000F61AD">
        <w:rPr>
          <w:rFonts w:cs="Times New Roman"/>
        </w:rPr>
        <w:tab/>
        <w:t>Justice Management Division</w:t>
      </w:r>
    </w:p>
    <w:p w14:paraId="2C03C154" w14:textId="77777777" w:rsidR="00E6629E" w:rsidRPr="000F61AD" w:rsidRDefault="00E6629E" w:rsidP="00E6629E">
      <w:pPr>
        <w:rPr>
          <w:rFonts w:cs="Times New Roman"/>
        </w:rPr>
      </w:pPr>
    </w:p>
    <w:p w14:paraId="271C8617" w14:textId="77777777" w:rsidR="003E585C" w:rsidRPr="00F2227C" w:rsidRDefault="00E6629E" w:rsidP="003E585C">
      <w:pPr>
        <w:rPr>
          <w:rFonts w:cs="Times New Roman"/>
          <w:color w:val="000000" w:themeColor="text1"/>
        </w:rPr>
      </w:pPr>
      <w:r w:rsidRPr="000F61AD">
        <w:rPr>
          <w:rFonts w:cs="Times New Roman"/>
        </w:rPr>
        <w:tab/>
      </w:r>
      <w:r w:rsidRPr="000F61AD">
        <w:rPr>
          <w:rFonts w:cs="Times New Roman"/>
        </w:rPr>
        <w:tab/>
      </w:r>
      <w:r w:rsidR="003E585C">
        <w:rPr>
          <w:rFonts w:cs="Times New Roman"/>
          <w:color w:val="000000" w:themeColor="text1"/>
        </w:rPr>
        <w:t xml:space="preserve">Jeri </w:t>
      </w:r>
      <w:r w:rsidR="00CC6639">
        <w:rPr>
          <w:rFonts w:cs="Times New Roman"/>
          <w:color w:val="000000" w:themeColor="text1"/>
        </w:rPr>
        <w:t xml:space="preserve">M. </w:t>
      </w:r>
      <w:r w:rsidR="003E585C">
        <w:rPr>
          <w:rFonts w:cs="Times New Roman"/>
          <w:color w:val="000000" w:themeColor="text1"/>
        </w:rPr>
        <w:t>Mulrow</w:t>
      </w:r>
    </w:p>
    <w:p w14:paraId="0C50DA47" w14:textId="77777777" w:rsidR="00E6629E" w:rsidRPr="000F61AD" w:rsidRDefault="003E585C" w:rsidP="003E585C">
      <w:pPr>
        <w:rPr>
          <w:rFonts w:cs="Times New Roman"/>
        </w:rPr>
      </w:pPr>
      <w:r>
        <w:rPr>
          <w:rFonts w:cs="Times New Roman"/>
          <w:color w:val="000000" w:themeColor="text1"/>
        </w:rPr>
        <w:tab/>
      </w:r>
      <w:r>
        <w:rPr>
          <w:rFonts w:cs="Times New Roman"/>
          <w:color w:val="000000" w:themeColor="text1"/>
        </w:rPr>
        <w:tab/>
        <w:t>Acting Director</w:t>
      </w:r>
    </w:p>
    <w:p w14:paraId="14D298EF" w14:textId="77777777" w:rsidR="00E6629E" w:rsidRPr="000F61AD" w:rsidRDefault="00E6629E" w:rsidP="00E6629E">
      <w:pPr>
        <w:rPr>
          <w:rFonts w:cs="Times New Roman"/>
          <w:b/>
        </w:rPr>
      </w:pPr>
      <w:r w:rsidRPr="000F61AD">
        <w:rPr>
          <w:rFonts w:cs="Times New Roman"/>
        </w:rPr>
        <w:tab/>
      </w:r>
      <w:r w:rsidRPr="000F61AD">
        <w:rPr>
          <w:rFonts w:cs="Times New Roman"/>
        </w:rPr>
        <w:tab/>
        <w:t xml:space="preserve">Bureau of Justice Statistics </w:t>
      </w:r>
    </w:p>
    <w:p w14:paraId="6E41B2B5" w14:textId="77777777" w:rsidR="00E6629E" w:rsidRPr="000A3061" w:rsidRDefault="00E6629E" w:rsidP="00E6629E">
      <w:pPr>
        <w:rPr>
          <w:rFonts w:cs="Times New Roman"/>
          <w:color w:val="000000" w:themeColor="text1"/>
        </w:rPr>
      </w:pPr>
    </w:p>
    <w:p w14:paraId="6971B832" w14:textId="61924BD2" w:rsidR="00E6629E" w:rsidRDefault="00E6629E" w:rsidP="00E6629E">
      <w:pPr>
        <w:rPr>
          <w:rFonts w:cs="Times New Roman"/>
          <w:color w:val="000000" w:themeColor="text1"/>
        </w:rPr>
      </w:pPr>
      <w:r w:rsidRPr="000A3061">
        <w:rPr>
          <w:rFonts w:cs="Times New Roman"/>
          <w:color w:val="000000" w:themeColor="text1"/>
        </w:rPr>
        <w:t>From:</w:t>
      </w:r>
      <w:r w:rsidRPr="000A3061">
        <w:rPr>
          <w:rFonts w:cs="Times New Roman"/>
          <w:color w:val="000000" w:themeColor="text1"/>
        </w:rPr>
        <w:tab/>
      </w:r>
      <w:r w:rsidRPr="000A3061">
        <w:rPr>
          <w:rFonts w:cs="Times New Roman"/>
          <w:color w:val="000000" w:themeColor="text1"/>
        </w:rPr>
        <w:tab/>
      </w:r>
      <w:r>
        <w:rPr>
          <w:rFonts w:cs="Times New Roman"/>
          <w:color w:val="000000" w:themeColor="text1"/>
        </w:rPr>
        <w:t xml:space="preserve">Jennifer Truman </w:t>
      </w:r>
      <w:r w:rsidR="00965DBF">
        <w:rPr>
          <w:rFonts w:cs="Times New Roman"/>
          <w:color w:val="000000" w:themeColor="text1"/>
        </w:rPr>
        <w:t xml:space="preserve">and </w:t>
      </w:r>
      <w:r>
        <w:rPr>
          <w:rFonts w:cs="Times New Roman"/>
          <w:color w:val="000000" w:themeColor="text1"/>
        </w:rPr>
        <w:t>Lynn Langton</w:t>
      </w:r>
    </w:p>
    <w:p w14:paraId="4AB44C7A" w14:textId="77777777" w:rsidR="0094429D" w:rsidRDefault="00E6629E" w:rsidP="00E6629E">
      <w:pPr>
        <w:ind w:left="720" w:firstLine="720"/>
        <w:rPr>
          <w:rFonts w:cs="Times New Roman"/>
          <w:color w:val="000000" w:themeColor="text1"/>
        </w:rPr>
      </w:pPr>
      <w:r>
        <w:rPr>
          <w:rFonts w:cs="Times New Roman"/>
          <w:color w:val="000000" w:themeColor="text1"/>
        </w:rPr>
        <w:t>Bureau of Justice Statistics</w:t>
      </w:r>
    </w:p>
    <w:p w14:paraId="01E6B6E5" w14:textId="77777777" w:rsidR="00E6629E" w:rsidRPr="00F2227C" w:rsidRDefault="00E6629E" w:rsidP="00E6629E">
      <w:pPr>
        <w:ind w:left="720" w:firstLine="720"/>
        <w:rPr>
          <w:rFonts w:cs="Times New Roman"/>
          <w:color w:val="000000" w:themeColor="text1"/>
        </w:rPr>
      </w:pPr>
    </w:p>
    <w:p w14:paraId="0B03291D" w14:textId="2A8D3D0C"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524822">
        <w:rPr>
          <w:rFonts w:cs="Times New Roman"/>
          <w:color w:val="000000" w:themeColor="text1"/>
        </w:rPr>
        <w:t xml:space="preserve">February </w:t>
      </w:r>
      <w:r w:rsidR="008042FF">
        <w:rPr>
          <w:rFonts w:cs="Times New Roman"/>
          <w:color w:val="000000" w:themeColor="text1"/>
        </w:rPr>
        <w:t>9</w:t>
      </w:r>
      <w:r w:rsidR="00524822">
        <w:rPr>
          <w:rFonts w:cs="Times New Roman"/>
          <w:color w:val="000000" w:themeColor="text1"/>
        </w:rPr>
        <w:t>, 2017</w:t>
      </w:r>
      <w:r w:rsidR="00E70982" w:rsidRPr="00F2227C">
        <w:rPr>
          <w:rFonts w:cs="Times New Roman"/>
          <w:color w:val="000000" w:themeColor="text1"/>
        </w:rPr>
        <w:t xml:space="preserve"> </w:t>
      </w:r>
    </w:p>
    <w:p w14:paraId="134D00AD" w14:textId="77777777" w:rsidR="0094429D" w:rsidRPr="00F2227C" w:rsidRDefault="0094429D" w:rsidP="0094429D">
      <w:pPr>
        <w:rPr>
          <w:rFonts w:cs="Times New Roman"/>
          <w:color w:val="000000" w:themeColor="text1"/>
        </w:rPr>
      </w:pPr>
    </w:p>
    <w:p w14:paraId="0C1FADBB" w14:textId="77777777" w:rsidR="0094429D" w:rsidRPr="00F2227C" w:rsidRDefault="0094429D" w:rsidP="00587807">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00587807" w:rsidRPr="00F2227C">
        <w:rPr>
          <w:rFonts w:cs="Times New Roman"/>
          <w:color w:val="000000" w:themeColor="text1"/>
        </w:rPr>
        <w:t xml:space="preserve">quest </w:t>
      </w:r>
      <w:r w:rsidRPr="00F2227C">
        <w:rPr>
          <w:rFonts w:cs="Times New Roman"/>
          <w:color w:val="000000" w:themeColor="text1"/>
        </w:rPr>
        <w:t xml:space="preserve">for </w:t>
      </w:r>
      <w:r w:rsidR="00587807" w:rsidRPr="00F2227C">
        <w:rPr>
          <w:rFonts w:cs="Times New Roman"/>
          <w:color w:val="000000" w:themeColor="text1"/>
        </w:rPr>
        <w:t>OMB Clearance for Cognitive Testing under the National Crime Victimization Survey (NCVS) Redesign Generic Clearance</w:t>
      </w:r>
      <w:r w:rsidR="00B4103E">
        <w:rPr>
          <w:rFonts w:cs="Times New Roman"/>
          <w:color w:val="000000" w:themeColor="text1"/>
        </w:rPr>
        <w:t xml:space="preserve">, OMB Number </w:t>
      </w:r>
      <w:r w:rsidR="00E6629E">
        <w:rPr>
          <w:rFonts w:cs="Times New Roman"/>
          <w:color w:val="000000" w:themeColor="text1"/>
        </w:rPr>
        <w:t>1121-0325</w:t>
      </w:r>
      <w:r w:rsidR="00B4103E">
        <w:rPr>
          <w:rFonts w:cs="Times New Roman"/>
          <w:color w:val="000000" w:themeColor="text1"/>
        </w:rPr>
        <w:t>.</w:t>
      </w:r>
    </w:p>
    <w:p w14:paraId="36588EB4" w14:textId="77777777" w:rsidR="00587807" w:rsidRPr="00F2227C" w:rsidRDefault="00587807" w:rsidP="00587807">
      <w:pPr>
        <w:rPr>
          <w:rFonts w:cs="Times New Roman"/>
          <w:color w:val="000000" w:themeColor="text1"/>
        </w:rPr>
      </w:pPr>
    </w:p>
    <w:p w14:paraId="7E674E37" w14:textId="03A0DF6C" w:rsidR="00746FA4" w:rsidRPr="002A71F1" w:rsidRDefault="00653BAB" w:rsidP="00551B99">
      <w:pPr>
        <w:autoSpaceDE w:val="0"/>
        <w:autoSpaceDN w:val="0"/>
        <w:adjustRightInd w:val="0"/>
        <w:rPr>
          <w:rFonts w:cs="Times New Roman"/>
          <w:color w:val="FF0000"/>
        </w:rPr>
      </w:pPr>
      <w:r>
        <w:rPr>
          <w:rFonts w:cs="Times New Roman"/>
          <w:color w:val="000000" w:themeColor="text1"/>
        </w:rPr>
        <w:t>The Bureau of Justice Statistics (BJS) requests</w:t>
      </w:r>
      <w:r w:rsidR="00551B99">
        <w:rPr>
          <w:rFonts w:cs="Times New Roman"/>
        </w:rPr>
        <w:t xml:space="preserve"> clearance for </w:t>
      </w:r>
      <w:r w:rsidR="00A10314">
        <w:rPr>
          <w:rFonts w:cs="Times New Roman"/>
        </w:rPr>
        <w:t xml:space="preserve">new </w:t>
      </w:r>
      <w:r w:rsidR="00551B99">
        <w:rPr>
          <w:rFonts w:cs="Times New Roman"/>
        </w:rPr>
        <w:t>cognitive interviewing tasks u</w:t>
      </w:r>
      <w:r w:rsidR="003C6503" w:rsidRPr="00F2227C">
        <w:rPr>
          <w:rFonts w:cs="Times New Roman"/>
          <w:color w:val="000000" w:themeColor="text1"/>
        </w:rPr>
        <w:t xml:space="preserve">nder </w:t>
      </w:r>
      <w:r w:rsidR="00551B99">
        <w:rPr>
          <w:rFonts w:cs="Times New Roman"/>
          <w:color w:val="000000" w:themeColor="text1"/>
        </w:rPr>
        <w:t xml:space="preserve">the </w:t>
      </w:r>
      <w:r w:rsidR="00982162">
        <w:rPr>
          <w:rFonts w:cs="Times New Roman"/>
          <w:color w:val="000000" w:themeColor="text1"/>
        </w:rPr>
        <w:t xml:space="preserve">OMB </w:t>
      </w:r>
      <w:r w:rsidR="003C6503" w:rsidRPr="00F2227C">
        <w:rPr>
          <w:rFonts w:cs="Times New Roman"/>
          <w:color w:val="000000" w:themeColor="text1"/>
        </w:rPr>
        <w:t xml:space="preserve">generic clearance </w:t>
      </w:r>
      <w:r w:rsidR="000A74D0" w:rsidRPr="00F2227C">
        <w:rPr>
          <w:rFonts w:cs="Times New Roman"/>
          <w:color w:val="000000" w:themeColor="text1"/>
        </w:rPr>
        <w:t xml:space="preserve">agreement </w:t>
      </w:r>
      <w:r w:rsidR="00982162">
        <w:rPr>
          <w:rFonts w:cs="Times New Roman"/>
          <w:color w:val="000000" w:themeColor="text1"/>
        </w:rPr>
        <w:t xml:space="preserve">(OMB Number </w:t>
      </w:r>
      <w:r w:rsidR="00E6629E">
        <w:rPr>
          <w:rFonts w:cs="Times New Roman"/>
          <w:color w:val="000000" w:themeColor="text1"/>
        </w:rPr>
        <w:t>1121-0325</w:t>
      </w:r>
      <w:r w:rsidR="00C93DE7" w:rsidRPr="00F2227C">
        <w:rPr>
          <w:rFonts w:cs="Times New Roman"/>
          <w:color w:val="000000" w:themeColor="text1"/>
        </w:rPr>
        <w:t xml:space="preserve">) </w:t>
      </w:r>
      <w:r w:rsidR="00551B99">
        <w:rPr>
          <w:rFonts w:cs="Times New Roman"/>
          <w:color w:val="000000" w:themeColor="text1"/>
        </w:rPr>
        <w:t xml:space="preserve">for 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National Crime Victimization Survey</w:t>
      </w:r>
      <w:r w:rsidR="00294E2A" w:rsidRPr="00194755">
        <w:t xml:space="preserve"> Redesign Research (NCVS-RR) program</w:t>
      </w:r>
      <w:r w:rsidR="009E6C4F" w:rsidRPr="00F2227C">
        <w:rPr>
          <w:rFonts w:cs="Times New Roman"/>
          <w:color w:val="000000" w:themeColor="text1"/>
        </w:rPr>
        <w:t>. BJS, in consultation with Westat under a cooperative agreement</w:t>
      </w:r>
      <w:r w:rsidR="00982162">
        <w:rPr>
          <w:rFonts w:cs="Times New Roman"/>
          <w:color w:val="000000" w:themeColor="text1"/>
        </w:rPr>
        <w:t xml:space="preserve"> (Award </w:t>
      </w:r>
      <w:r w:rsidR="00982162">
        <w:rPr>
          <w:color w:val="000000"/>
        </w:rPr>
        <w:t>201</w:t>
      </w:r>
      <w:r w:rsidR="00746FA4">
        <w:rPr>
          <w:color w:val="000000"/>
        </w:rPr>
        <w:t>3</w:t>
      </w:r>
      <w:r w:rsidR="00982162">
        <w:rPr>
          <w:color w:val="000000"/>
        </w:rPr>
        <w:t>-</w:t>
      </w:r>
      <w:r w:rsidR="00746FA4">
        <w:rPr>
          <w:color w:val="000000"/>
        </w:rPr>
        <w:t>MU</w:t>
      </w:r>
      <w:r w:rsidR="00982162">
        <w:rPr>
          <w:color w:val="000000"/>
        </w:rPr>
        <w:t>-CX-K0</w:t>
      </w:r>
      <w:r w:rsidR="00746FA4">
        <w:rPr>
          <w:color w:val="000000"/>
        </w:rPr>
        <w:t>54</w:t>
      </w:r>
      <w:r w:rsidR="00982162">
        <w:rPr>
          <w:color w:val="000000"/>
        </w:rPr>
        <w:t xml:space="preserve"> </w:t>
      </w:r>
      <w:r w:rsidR="00982162">
        <w:rPr>
          <w:i/>
          <w:iCs/>
          <w:color w:val="000000"/>
        </w:rPr>
        <w:t xml:space="preserve">National Crime Victimization Survey </w:t>
      </w:r>
      <w:r w:rsidR="00DE40C5">
        <w:rPr>
          <w:i/>
          <w:iCs/>
          <w:color w:val="000000"/>
        </w:rPr>
        <w:t xml:space="preserve">(NCVS) </w:t>
      </w:r>
      <w:r w:rsidR="00493309">
        <w:rPr>
          <w:i/>
          <w:iCs/>
          <w:color w:val="000000"/>
        </w:rPr>
        <w:t xml:space="preserve">Instrument </w:t>
      </w:r>
      <w:r w:rsidR="00746FA4">
        <w:rPr>
          <w:i/>
          <w:iCs/>
          <w:color w:val="000000"/>
        </w:rPr>
        <w:t>Redesign</w:t>
      </w:r>
      <w:r w:rsidR="00493309">
        <w:rPr>
          <w:i/>
          <w:iCs/>
          <w:color w:val="000000"/>
        </w:rPr>
        <w:t xml:space="preserve"> and Testing Project</w:t>
      </w:r>
      <w:r w:rsidR="00982162">
        <w:rPr>
          <w:i/>
          <w:iCs/>
          <w:color w:val="000000"/>
        </w:rPr>
        <w:t>)</w:t>
      </w:r>
      <w:r w:rsidR="009E6C4F" w:rsidRPr="00F2227C">
        <w:rPr>
          <w:rFonts w:cs="Times New Roman"/>
          <w:color w:val="000000" w:themeColor="text1"/>
        </w:rPr>
        <w:t xml:space="preserve">, </w:t>
      </w:r>
      <w:r w:rsidR="00746FA4">
        <w:rPr>
          <w:rFonts w:cs="Times New Roman"/>
          <w:color w:val="000000" w:themeColor="text1"/>
        </w:rPr>
        <w:t>is working to redesign the NCVS</w:t>
      </w:r>
      <w:r w:rsidR="009C532C">
        <w:rPr>
          <w:rFonts w:cs="Times New Roman"/>
          <w:color w:val="000000" w:themeColor="text1"/>
        </w:rPr>
        <w:t xml:space="preserve"> survey instrument and mode of administration</w:t>
      </w:r>
      <w:r w:rsidR="00E6629E">
        <w:rPr>
          <w:rFonts w:cs="Times New Roman"/>
          <w:color w:val="000000" w:themeColor="text1"/>
        </w:rPr>
        <w:t xml:space="preserve">. The NCVS was last redesigned more than two decades ago, in 1992. Much has changed in the interim, </w:t>
      </w:r>
      <w:r w:rsidR="00C414E3">
        <w:rPr>
          <w:rFonts w:cs="Times New Roman"/>
          <w:color w:val="000000" w:themeColor="text1"/>
        </w:rPr>
        <w:t xml:space="preserve">both </w:t>
      </w:r>
      <w:r w:rsidR="00E6629E">
        <w:rPr>
          <w:rFonts w:cs="Times New Roman"/>
          <w:color w:val="000000" w:themeColor="text1"/>
        </w:rPr>
        <w:t xml:space="preserve">in </w:t>
      </w:r>
      <w:r w:rsidR="00C414E3">
        <w:rPr>
          <w:rFonts w:cs="Times New Roman"/>
          <w:color w:val="000000" w:themeColor="text1"/>
        </w:rPr>
        <w:t xml:space="preserve">the level </w:t>
      </w:r>
      <w:r w:rsidR="00E6629E">
        <w:rPr>
          <w:rFonts w:cs="Times New Roman"/>
          <w:color w:val="000000" w:themeColor="text1"/>
        </w:rPr>
        <w:t xml:space="preserve">of </w:t>
      </w:r>
      <w:r w:rsidR="00C414E3">
        <w:rPr>
          <w:rFonts w:cs="Times New Roman"/>
          <w:color w:val="000000" w:themeColor="text1"/>
        </w:rPr>
        <w:t xml:space="preserve">public </w:t>
      </w:r>
      <w:r w:rsidR="00E6629E">
        <w:rPr>
          <w:rFonts w:cs="Times New Roman"/>
          <w:color w:val="000000" w:themeColor="text1"/>
        </w:rPr>
        <w:t xml:space="preserve">acceptance of surveys and in terms of the nature of crime. </w:t>
      </w:r>
      <w:r w:rsidR="00411173">
        <w:rPr>
          <w:rFonts w:cs="Times New Roman"/>
          <w:color w:val="000000" w:themeColor="text1"/>
        </w:rPr>
        <w:t xml:space="preserve">The primary purpose of the </w:t>
      </w:r>
      <w:r w:rsidR="00411173" w:rsidRPr="00DE40C5">
        <w:rPr>
          <w:rFonts w:cs="Times New Roman"/>
          <w:i/>
          <w:color w:val="000000" w:themeColor="text1"/>
        </w:rPr>
        <w:t>NCVS Instrument Redesign and Testing Project</w:t>
      </w:r>
      <w:r w:rsidR="00411173">
        <w:rPr>
          <w:rFonts w:cs="Times New Roman"/>
          <w:color w:val="000000" w:themeColor="text1"/>
        </w:rPr>
        <w:t xml:space="preserve"> is to </w:t>
      </w:r>
      <w:r w:rsidR="008A43A9" w:rsidRPr="008A43A9">
        <w:rPr>
          <w:rFonts w:cs="Times New Roman"/>
          <w:color w:val="000000" w:themeColor="text1"/>
        </w:rPr>
        <w:t xml:space="preserve">provide scientific and technical support for the redesign and testing of the </w:t>
      </w:r>
      <w:r w:rsidR="008A43A9">
        <w:rPr>
          <w:rFonts w:cs="Times New Roman"/>
          <w:color w:val="000000" w:themeColor="text1"/>
        </w:rPr>
        <w:t>NCVS</w:t>
      </w:r>
      <w:r w:rsidR="008A43A9" w:rsidRPr="008A43A9">
        <w:rPr>
          <w:rFonts w:cs="Times New Roman"/>
          <w:color w:val="000000" w:themeColor="text1"/>
        </w:rPr>
        <w:t xml:space="preserve"> roster control card, crime screener (NCVS-1), and crime incident (NCVS-2) instruments in support of BJS’</w:t>
      </w:r>
      <w:r w:rsidR="00CC6639">
        <w:rPr>
          <w:rFonts w:cs="Times New Roman"/>
          <w:color w:val="000000" w:themeColor="text1"/>
        </w:rPr>
        <w:t>s</w:t>
      </w:r>
      <w:r w:rsidR="008A43A9" w:rsidRPr="008A43A9">
        <w:rPr>
          <w:rFonts w:cs="Times New Roman"/>
          <w:color w:val="000000" w:themeColor="text1"/>
        </w:rPr>
        <w:t xml:space="preserve"> efforts related to increasing the efficiency, reliability, and utility of the NCVS</w:t>
      </w:r>
      <w:r w:rsidR="000E222C">
        <w:rPr>
          <w:rFonts w:cs="Times New Roman"/>
          <w:color w:val="000000" w:themeColor="text1"/>
        </w:rPr>
        <w:t xml:space="preserve">. </w:t>
      </w:r>
    </w:p>
    <w:p w14:paraId="5C308CC3" w14:textId="77777777" w:rsidR="000E222C" w:rsidRDefault="000E222C" w:rsidP="00653BAB">
      <w:pPr>
        <w:autoSpaceDE w:val="0"/>
        <w:autoSpaceDN w:val="0"/>
        <w:adjustRightInd w:val="0"/>
        <w:rPr>
          <w:rFonts w:cs="Times New Roman"/>
          <w:color w:val="000000" w:themeColor="text1"/>
        </w:rPr>
      </w:pPr>
    </w:p>
    <w:p w14:paraId="4D950D8C" w14:textId="7D717352" w:rsidR="003002E3" w:rsidRDefault="000E222C" w:rsidP="00653BAB">
      <w:pPr>
        <w:autoSpaceDE w:val="0"/>
        <w:autoSpaceDN w:val="0"/>
        <w:adjustRightInd w:val="0"/>
        <w:rPr>
          <w:iCs/>
          <w:color w:val="000000"/>
        </w:rPr>
      </w:pPr>
      <w:r>
        <w:rPr>
          <w:rFonts w:cs="Times New Roman"/>
          <w:color w:val="000000" w:themeColor="text1"/>
        </w:rPr>
        <w:t xml:space="preserve">For this clearance, </w:t>
      </w:r>
      <w:r w:rsidR="00493309">
        <w:rPr>
          <w:iCs/>
          <w:color w:val="000000"/>
        </w:rPr>
        <w:t xml:space="preserve">cognitive interviewing </w:t>
      </w:r>
      <w:r w:rsidR="009C5506">
        <w:rPr>
          <w:iCs/>
          <w:color w:val="000000"/>
        </w:rPr>
        <w:t xml:space="preserve">will be used </w:t>
      </w:r>
      <w:r w:rsidR="00493309">
        <w:rPr>
          <w:iCs/>
          <w:color w:val="000000"/>
        </w:rPr>
        <w:t xml:space="preserve">to </w:t>
      </w:r>
      <w:r w:rsidR="00754242">
        <w:rPr>
          <w:iCs/>
          <w:color w:val="000000"/>
        </w:rPr>
        <w:t xml:space="preserve">develop and </w:t>
      </w:r>
      <w:r w:rsidR="00493309">
        <w:rPr>
          <w:iCs/>
          <w:color w:val="000000"/>
        </w:rPr>
        <w:t xml:space="preserve">test </w:t>
      </w:r>
      <w:r w:rsidR="00285A6D">
        <w:rPr>
          <w:iCs/>
          <w:color w:val="000000"/>
        </w:rPr>
        <w:t xml:space="preserve">parts of </w:t>
      </w:r>
      <w:r w:rsidR="00543BBA">
        <w:rPr>
          <w:iCs/>
          <w:color w:val="000000"/>
        </w:rPr>
        <w:t xml:space="preserve">the </w:t>
      </w:r>
      <w:r>
        <w:rPr>
          <w:iCs/>
          <w:color w:val="000000"/>
        </w:rPr>
        <w:t xml:space="preserve">revised </w:t>
      </w:r>
      <w:r w:rsidR="00F94959">
        <w:rPr>
          <w:iCs/>
          <w:color w:val="000000"/>
        </w:rPr>
        <w:t>C</w:t>
      </w:r>
      <w:r>
        <w:rPr>
          <w:iCs/>
          <w:color w:val="000000"/>
        </w:rPr>
        <w:t xml:space="preserve">rime </w:t>
      </w:r>
      <w:r w:rsidR="00F94959">
        <w:rPr>
          <w:iCs/>
          <w:color w:val="000000"/>
        </w:rPr>
        <w:t>I</w:t>
      </w:r>
      <w:r w:rsidR="00A10314">
        <w:rPr>
          <w:iCs/>
          <w:color w:val="000000"/>
        </w:rPr>
        <w:t xml:space="preserve">ncident </w:t>
      </w:r>
      <w:r w:rsidR="00F94959">
        <w:rPr>
          <w:iCs/>
          <w:color w:val="000000"/>
        </w:rPr>
        <w:t xml:space="preserve">Report </w:t>
      </w:r>
      <w:r w:rsidR="00A10314">
        <w:rPr>
          <w:iCs/>
          <w:color w:val="000000"/>
        </w:rPr>
        <w:t>(</w:t>
      </w:r>
      <w:r w:rsidR="00F94959">
        <w:rPr>
          <w:iCs/>
          <w:color w:val="000000"/>
        </w:rPr>
        <w:t xml:space="preserve">CIR, based on the current </w:t>
      </w:r>
      <w:r w:rsidR="00A10314">
        <w:rPr>
          <w:iCs/>
          <w:color w:val="000000"/>
        </w:rPr>
        <w:t>NCVS-2)</w:t>
      </w:r>
      <w:r w:rsidR="00285A6D">
        <w:rPr>
          <w:iCs/>
          <w:color w:val="000000"/>
        </w:rPr>
        <w:t xml:space="preserve"> and proposed new questions about </w:t>
      </w:r>
      <w:r w:rsidR="00285A6D">
        <w:rPr>
          <w:iCs/>
          <w:color w:val="000000"/>
        </w:rPr>
        <w:lastRenderedPageBreak/>
        <w:t>community safety that would be asked of all or a sample of participants regardless of whether they reported a victimization</w:t>
      </w:r>
      <w:r w:rsidR="00543BBA">
        <w:rPr>
          <w:iCs/>
          <w:color w:val="000000"/>
        </w:rPr>
        <w:t>.</w:t>
      </w:r>
      <w:r w:rsidR="00285A6D">
        <w:rPr>
          <w:iCs/>
          <w:color w:val="000000"/>
        </w:rPr>
        <w:t xml:space="preserve"> </w:t>
      </w:r>
      <w:r w:rsidR="00B57D03">
        <w:rPr>
          <w:iCs/>
          <w:color w:val="000000"/>
        </w:rPr>
        <w:t xml:space="preserve">This clearance includes three rounds of testing with adults who have been victims of specific types of crime, and one round of testing with youth ages 12 to 17, to gather their reactions to </w:t>
      </w:r>
      <w:r w:rsidR="002D42F9">
        <w:rPr>
          <w:iCs/>
          <w:color w:val="000000"/>
        </w:rPr>
        <w:t xml:space="preserve">police ask-all items, </w:t>
      </w:r>
      <w:r w:rsidR="00B57D03">
        <w:rPr>
          <w:iCs/>
          <w:color w:val="000000"/>
        </w:rPr>
        <w:t xml:space="preserve">new screening </w:t>
      </w:r>
      <w:r w:rsidR="002D42F9">
        <w:rPr>
          <w:iCs/>
          <w:color w:val="000000"/>
        </w:rPr>
        <w:t xml:space="preserve">items, </w:t>
      </w:r>
      <w:r w:rsidR="00B57D03">
        <w:rPr>
          <w:iCs/>
          <w:color w:val="000000"/>
        </w:rPr>
        <w:t xml:space="preserve">and detailed </w:t>
      </w:r>
      <w:r w:rsidR="002D42F9">
        <w:rPr>
          <w:iCs/>
          <w:color w:val="000000"/>
        </w:rPr>
        <w:t xml:space="preserve">crime </w:t>
      </w:r>
      <w:r w:rsidR="00B57D03">
        <w:rPr>
          <w:iCs/>
          <w:color w:val="000000"/>
        </w:rPr>
        <w:t xml:space="preserve">incident items. </w:t>
      </w:r>
    </w:p>
    <w:p w14:paraId="6A35A599" w14:textId="77777777" w:rsidR="003002E3" w:rsidRDefault="003002E3" w:rsidP="00653BAB">
      <w:pPr>
        <w:autoSpaceDE w:val="0"/>
        <w:autoSpaceDN w:val="0"/>
        <w:adjustRightInd w:val="0"/>
        <w:rPr>
          <w:iCs/>
          <w:color w:val="000000"/>
        </w:rPr>
      </w:pPr>
    </w:p>
    <w:p w14:paraId="271ED472" w14:textId="18624130" w:rsidR="00B97B2A" w:rsidRDefault="009C5506" w:rsidP="00653BAB">
      <w:pPr>
        <w:autoSpaceDE w:val="0"/>
        <w:autoSpaceDN w:val="0"/>
        <w:adjustRightInd w:val="0"/>
        <w:rPr>
          <w:iCs/>
          <w:color w:val="000000"/>
        </w:rPr>
      </w:pPr>
      <w:r>
        <w:rPr>
          <w:iCs/>
          <w:color w:val="000000"/>
        </w:rPr>
        <w:t>I</w:t>
      </w:r>
      <w:r w:rsidR="00543BBA">
        <w:rPr>
          <w:iCs/>
          <w:color w:val="000000"/>
        </w:rPr>
        <w:t xml:space="preserve">n-person cognitive testing </w:t>
      </w:r>
      <w:r>
        <w:rPr>
          <w:iCs/>
          <w:color w:val="000000"/>
        </w:rPr>
        <w:t xml:space="preserve">will be conducted </w:t>
      </w:r>
      <w:r w:rsidR="00184865">
        <w:rPr>
          <w:iCs/>
          <w:color w:val="000000"/>
        </w:rPr>
        <w:t xml:space="preserve">iteratively </w:t>
      </w:r>
      <w:r w:rsidR="00543BBA">
        <w:rPr>
          <w:iCs/>
          <w:color w:val="000000"/>
        </w:rPr>
        <w:t xml:space="preserve">with up to </w:t>
      </w:r>
      <w:r w:rsidR="00687C63">
        <w:rPr>
          <w:iCs/>
          <w:color w:val="000000"/>
        </w:rPr>
        <w:t xml:space="preserve">120 </w:t>
      </w:r>
      <w:r w:rsidR="00543BBA">
        <w:rPr>
          <w:iCs/>
          <w:color w:val="000000"/>
        </w:rPr>
        <w:t>person</w:t>
      </w:r>
      <w:r w:rsidR="00A624C5">
        <w:rPr>
          <w:iCs/>
          <w:color w:val="000000"/>
        </w:rPr>
        <w:t>s</w:t>
      </w:r>
      <w:r w:rsidR="000B317A">
        <w:rPr>
          <w:iCs/>
          <w:color w:val="000000"/>
        </w:rPr>
        <w:t xml:space="preserve"> over multiple rounds of testing</w:t>
      </w:r>
      <w:r w:rsidR="00AE2D2A">
        <w:rPr>
          <w:iCs/>
          <w:color w:val="000000"/>
        </w:rPr>
        <w:t xml:space="preserve">, including </w:t>
      </w:r>
      <w:r w:rsidR="00B06AEF">
        <w:rPr>
          <w:iCs/>
          <w:color w:val="000000"/>
        </w:rPr>
        <w:t xml:space="preserve">90 adults and </w:t>
      </w:r>
      <w:r w:rsidR="00687C63">
        <w:rPr>
          <w:iCs/>
          <w:color w:val="000000"/>
        </w:rPr>
        <w:t xml:space="preserve">30 </w:t>
      </w:r>
      <w:r w:rsidR="00AE2D2A">
        <w:rPr>
          <w:iCs/>
          <w:color w:val="000000"/>
        </w:rPr>
        <w:t>youth</w:t>
      </w:r>
      <w:r w:rsidR="00762D15">
        <w:rPr>
          <w:iCs/>
          <w:color w:val="000000"/>
        </w:rPr>
        <w:t xml:space="preserve"> ages</w:t>
      </w:r>
      <w:r w:rsidR="00AE2D2A">
        <w:rPr>
          <w:iCs/>
          <w:color w:val="000000"/>
        </w:rPr>
        <w:t xml:space="preserve"> 12 to 17</w:t>
      </w:r>
      <w:r>
        <w:rPr>
          <w:iCs/>
          <w:color w:val="000000"/>
        </w:rPr>
        <w:t xml:space="preserve">. </w:t>
      </w:r>
      <w:r w:rsidR="00A10314">
        <w:rPr>
          <w:iCs/>
          <w:color w:val="000000"/>
        </w:rPr>
        <w:t>T</w:t>
      </w:r>
      <w:r w:rsidR="00543BBA">
        <w:rPr>
          <w:iCs/>
          <w:color w:val="000000"/>
        </w:rPr>
        <w:t xml:space="preserve">hese cognitive testing tasks will require up to </w:t>
      </w:r>
      <w:r w:rsidR="00992E99">
        <w:rPr>
          <w:iCs/>
          <w:color w:val="000000"/>
        </w:rPr>
        <w:t>180</w:t>
      </w:r>
      <w:r w:rsidR="00687C63">
        <w:rPr>
          <w:iCs/>
          <w:color w:val="000000"/>
        </w:rPr>
        <w:t xml:space="preserve"> </w:t>
      </w:r>
      <w:r w:rsidR="00543BBA">
        <w:rPr>
          <w:iCs/>
          <w:color w:val="000000"/>
        </w:rPr>
        <w:t>burden hours</w:t>
      </w:r>
      <w:r w:rsidR="00F94959">
        <w:rPr>
          <w:iCs/>
          <w:color w:val="000000"/>
        </w:rPr>
        <w:t>,</w:t>
      </w:r>
      <w:r w:rsidR="00543BBA">
        <w:rPr>
          <w:iCs/>
          <w:color w:val="000000"/>
        </w:rPr>
        <w:t xml:space="preserve"> and will help identify issues with </w:t>
      </w:r>
      <w:r w:rsidR="00F94959">
        <w:rPr>
          <w:iCs/>
          <w:color w:val="000000"/>
        </w:rPr>
        <w:t xml:space="preserve">question </w:t>
      </w:r>
      <w:r w:rsidR="00543BBA">
        <w:rPr>
          <w:iCs/>
          <w:color w:val="000000"/>
        </w:rPr>
        <w:t xml:space="preserve">wording or content. </w:t>
      </w:r>
    </w:p>
    <w:p w14:paraId="64C8E889" w14:textId="77777777" w:rsidR="00B97B2A" w:rsidRDefault="00B97B2A" w:rsidP="00653BAB">
      <w:pPr>
        <w:autoSpaceDE w:val="0"/>
        <w:autoSpaceDN w:val="0"/>
        <w:adjustRightInd w:val="0"/>
        <w:rPr>
          <w:iCs/>
          <w:color w:val="000000"/>
        </w:rPr>
      </w:pPr>
    </w:p>
    <w:p w14:paraId="0A8DC8C8" w14:textId="7AD08219" w:rsidR="00971BA2" w:rsidRPr="00537A15" w:rsidRDefault="00A10314" w:rsidP="00971BA2">
      <w:pPr>
        <w:autoSpaceDE w:val="0"/>
        <w:autoSpaceDN w:val="0"/>
        <w:adjustRightInd w:val="0"/>
        <w:rPr>
          <w:rFonts w:cs="Times New Roman"/>
          <w:color w:val="FF0000"/>
        </w:rPr>
      </w:pPr>
      <w:r>
        <w:rPr>
          <w:rFonts w:cs="Times New Roman"/>
          <w:color w:val="000000" w:themeColor="text1"/>
        </w:rPr>
        <w:t xml:space="preserve">A prior </w:t>
      </w:r>
      <w:r w:rsidR="00357039" w:rsidRPr="00357039">
        <w:rPr>
          <w:rFonts w:cs="Times New Roman"/>
          <w:color w:val="000000" w:themeColor="text1"/>
        </w:rPr>
        <w:t xml:space="preserve">cognitive testing </w:t>
      </w:r>
      <w:r>
        <w:rPr>
          <w:rFonts w:cs="Times New Roman"/>
          <w:color w:val="000000" w:themeColor="text1"/>
        </w:rPr>
        <w:t xml:space="preserve">clearance focused on </w:t>
      </w:r>
      <w:r w:rsidR="003002E3">
        <w:rPr>
          <w:rFonts w:cs="Times New Roman"/>
          <w:color w:val="000000" w:themeColor="text1"/>
        </w:rPr>
        <w:t xml:space="preserve">adult testing of </w:t>
      </w:r>
      <w:r>
        <w:rPr>
          <w:rFonts w:cs="Times New Roman"/>
          <w:color w:val="000000" w:themeColor="text1"/>
        </w:rPr>
        <w:t>the crime sc</w:t>
      </w:r>
      <w:r w:rsidR="002D42F9">
        <w:rPr>
          <w:rFonts w:cs="Times New Roman"/>
          <w:color w:val="000000" w:themeColor="text1"/>
        </w:rPr>
        <w:t>reener and police ask-all items</w:t>
      </w:r>
      <w:r>
        <w:rPr>
          <w:rFonts w:cs="Times New Roman"/>
          <w:color w:val="000000" w:themeColor="text1"/>
        </w:rPr>
        <w:t xml:space="preserve">. </w:t>
      </w:r>
      <w:r w:rsidR="00357039">
        <w:rPr>
          <w:rFonts w:cs="Times New Roman"/>
          <w:color w:val="000000" w:themeColor="text1"/>
        </w:rPr>
        <w:t>The</w:t>
      </w:r>
      <w:r>
        <w:rPr>
          <w:rFonts w:cs="Times New Roman"/>
          <w:color w:val="000000" w:themeColor="text1"/>
        </w:rPr>
        <w:t xml:space="preserve"> results from the currently requested </w:t>
      </w:r>
      <w:r w:rsidR="00971BA2">
        <w:rPr>
          <w:rFonts w:cs="Times New Roman"/>
          <w:color w:val="000000" w:themeColor="text1"/>
        </w:rPr>
        <w:t>interviews</w:t>
      </w:r>
      <w:r>
        <w:rPr>
          <w:rFonts w:cs="Times New Roman"/>
          <w:color w:val="000000" w:themeColor="text1"/>
        </w:rPr>
        <w:t>, along with the results of the screener testing,</w:t>
      </w:r>
      <w:r w:rsidR="00971BA2">
        <w:rPr>
          <w:rFonts w:cs="Times New Roman"/>
          <w:color w:val="000000" w:themeColor="text1"/>
        </w:rPr>
        <w:t xml:space="preserve"> will be used to prepare </w:t>
      </w:r>
      <w:r w:rsidR="00A16CC4">
        <w:rPr>
          <w:rFonts w:cs="Times New Roman"/>
          <w:color w:val="000000" w:themeColor="text1"/>
        </w:rPr>
        <w:t>a suite of instruments</w:t>
      </w:r>
      <w:r w:rsidR="00971BA2">
        <w:rPr>
          <w:rFonts w:cs="Times New Roman"/>
          <w:color w:val="000000" w:themeColor="text1"/>
        </w:rPr>
        <w:t xml:space="preserve"> for </w:t>
      </w:r>
      <w:r w:rsidR="007A72E5">
        <w:rPr>
          <w:rFonts w:cs="Times New Roman"/>
          <w:color w:val="000000" w:themeColor="text1"/>
        </w:rPr>
        <w:t>web-based administration</w:t>
      </w:r>
      <w:r w:rsidR="00A16CC4">
        <w:rPr>
          <w:rFonts w:cs="Times New Roman"/>
          <w:color w:val="000000" w:themeColor="text1"/>
        </w:rPr>
        <w:t xml:space="preserve"> by interviewers and/or respondents</w:t>
      </w:r>
      <w:r w:rsidR="007A72E5">
        <w:rPr>
          <w:rFonts w:cs="Times New Roman"/>
          <w:color w:val="000000" w:themeColor="text1"/>
        </w:rPr>
        <w:t>.</w:t>
      </w:r>
      <w:r w:rsidR="00971BA2">
        <w:rPr>
          <w:rFonts w:cs="Times New Roman"/>
          <w:color w:val="000000" w:themeColor="text1"/>
        </w:rPr>
        <w:t xml:space="preserve"> </w:t>
      </w:r>
      <w:r w:rsidR="000420DB">
        <w:rPr>
          <w:rFonts w:cs="Times New Roman"/>
          <w:color w:val="000000" w:themeColor="text1"/>
        </w:rPr>
        <w:t>The web instruments will undergo usability testing and a formal pretest</w:t>
      </w:r>
      <w:r w:rsidR="00F94959">
        <w:rPr>
          <w:rFonts w:cs="Times New Roman"/>
          <w:color w:val="000000" w:themeColor="text1"/>
        </w:rPr>
        <w:t>,</w:t>
      </w:r>
      <w:r w:rsidR="000420DB">
        <w:rPr>
          <w:rFonts w:cs="Times New Roman"/>
          <w:color w:val="000000" w:themeColor="text1"/>
        </w:rPr>
        <w:t xml:space="preserve"> </w:t>
      </w:r>
      <w:r w:rsidR="00F94959">
        <w:rPr>
          <w:rFonts w:cs="Times New Roman"/>
          <w:color w:val="000000" w:themeColor="text1"/>
        </w:rPr>
        <w:t>with</w:t>
      </w:r>
      <w:r w:rsidR="000420DB">
        <w:rPr>
          <w:rFonts w:cs="Times New Roman"/>
          <w:color w:val="000000" w:themeColor="text1"/>
        </w:rPr>
        <w:t xml:space="preserve"> clearance</w:t>
      </w:r>
      <w:r w:rsidR="00F94959">
        <w:rPr>
          <w:rFonts w:cs="Times New Roman"/>
          <w:color w:val="000000" w:themeColor="text1"/>
        </w:rPr>
        <w:t xml:space="preserve"> requested later under </w:t>
      </w:r>
      <w:r w:rsidR="00B775A0">
        <w:rPr>
          <w:rFonts w:cs="Times New Roman"/>
          <w:color w:val="000000" w:themeColor="text1"/>
        </w:rPr>
        <w:t xml:space="preserve">a separate </w:t>
      </w:r>
      <w:r w:rsidR="00F94959">
        <w:rPr>
          <w:rFonts w:cs="Times New Roman"/>
          <w:color w:val="000000" w:themeColor="text1"/>
        </w:rPr>
        <w:t>generic agreement</w:t>
      </w:r>
      <w:r w:rsidR="000420DB">
        <w:rPr>
          <w:rFonts w:cs="Times New Roman"/>
          <w:color w:val="000000" w:themeColor="text1"/>
        </w:rPr>
        <w:t xml:space="preserve">. </w:t>
      </w:r>
      <w:r w:rsidR="00971BA2">
        <w:rPr>
          <w:rFonts w:cs="Times New Roman"/>
          <w:color w:val="000000" w:themeColor="text1"/>
        </w:rPr>
        <w:t xml:space="preserve">Finally, </w:t>
      </w:r>
      <w:r w:rsidR="00E442E4">
        <w:rPr>
          <w:rFonts w:cs="Times New Roman"/>
          <w:color w:val="000000" w:themeColor="text1"/>
        </w:rPr>
        <w:t>BJS plans</w:t>
      </w:r>
      <w:r w:rsidR="00971BA2">
        <w:rPr>
          <w:rFonts w:cs="Times New Roman"/>
          <w:color w:val="000000" w:themeColor="text1"/>
        </w:rPr>
        <w:t xml:space="preserve"> </w:t>
      </w:r>
      <w:r w:rsidR="00CC6639">
        <w:rPr>
          <w:rFonts w:cs="Times New Roman"/>
          <w:color w:val="000000" w:themeColor="text1"/>
        </w:rPr>
        <w:t xml:space="preserve">to conduct </w:t>
      </w:r>
      <w:r w:rsidR="00971BA2">
        <w:rPr>
          <w:rFonts w:cs="Times New Roman"/>
          <w:color w:val="000000" w:themeColor="text1"/>
        </w:rPr>
        <w:t>a large, two-wave field test</w:t>
      </w:r>
      <w:r w:rsidR="000420DB">
        <w:rPr>
          <w:rFonts w:cs="Times New Roman"/>
          <w:color w:val="000000" w:themeColor="text1"/>
        </w:rPr>
        <w:t xml:space="preserve"> under a </w:t>
      </w:r>
      <w:r w:rsidR="007D608F">
        <w:rPr>
          <w:rFonts w:cs="Times New Roman"/>
          <w:color w:val="000000" w:themeColor="text1"/>
        </w:rPr>
        <w:t xml:space="preserve">separate </w:t>
      </w:r>
      <w:r w:rsidR="000420DB">
        <w:rPr>
          <w:rFonts w:cs="Times New Roman"/>
          <w:color w:val="000000" w:themeColor="text1"/>
        </w:rPr>
        <w:t>clearance</w:t>
      </w:r>
      <w:r w:rsidR="00F94959">
        <w:rPr>
          <w:rFonts w:cs="Times New Roman"/>
          <w:color w:val="000000" w:themeColor="text1"/>
        </w:rPr>
        <w:t xml:space="preserve"> request</w:t>
      </w:r>
      <w:r w:rsidR="00971BA2">
        <w:rPr>
          <w:rFonts w:cs="Times New Roman"/>
          <w:color w:val="000000" w:themeColor="text1"/>
        </w:rPr>
        <w:t xml:space="preserve">. </w:t>
      </w:r>
      <w:r w:rsidR="00971BA2">
        <w:rPr>
          <w:iCs/>
          <w:color w:val="000000"/>
        </w:rPr>
        <w:t xml:space="preserve">The field test will </w:t>
      </w:r>
      <w:r w:rsidR="00B775A0">
        <w:rPr>
          <w:iCs/>
          <w:color w:val="000000"/>
        </w:rPr>
        <w:t xml:space="preserve">involve </w:t>
      </w:r>
      <w:r w:rsidR="00971BA2">
        <w:rPr>
          <w:iCs/>
          <w:color w:val="000000"/>
        </w:rPr>
        <w:t>administer</w:t>
      </w:r>
      <w:r w:rsidR="00B775A0">
        <w:rPr>
          <w:iCs/>
          <w:color w:val="000000"/>
        </w:rPr>
        <w:t>ing</w:t>
      </w:r>
      <w:r w:rsidR="00971BA2">
        <w:rPr>
          <w:iCs/>
          <w:color w:val="000000"/>
        </w:rPr>
        <w:t xml:space="preserve"> the survey to </w:t>
      </w:r>
      <w:r w:rsidR="00971BA2" w:rsidRPr="00A624C5">
        <w:rPr>
          <w:iCs/>
          <w:color w:val="000000"/>
        </w:rPr>
        <w:t xml:space="preserve">a representative sample of persons age 12 or older, </w:t>
      </w:r>
      <w:r w:rsidR="00971BA2">
        <w:rPr>
          <w:iCs/>
          <w:color w:val="000000"/>
        </w:rPr>
        <w:t xml:space="preserve">testing aspects of the design </w:t>
      </w:r>
      <w:r w:rsidR="00971BA2" w:rsidRPr="00A624C5">
        <w:rPr>
          <w:iCs/>
          <w:color w:val="000000"/>
        </w:rPr>
        <w:t>such as mode, response rates,</w:t>
      </w:r>
      <w:r w:rsidR="00971BA2">
        <w:rPr>
          <w:iCs/>
          <w:color w:val="000000"/>
        </w:rPr>
        <w:t xml:space="preserve"> and administration times. OMB approval for usability testing and the pretest will be sought after completion of th</w:t>
      </w:r>
      <w:r>
        <w:rPr>
          <w:iCs/>
          <w:color w:val="000000"/>
        </w:rPr>
        <w:t>e cognitive testing in 2017</w:t>
      </w:r>
      <w:r w:rsidR="00971BA2">
        <w:rPr>
          <w:iCs/>
          <w:color w:val="000000"/>
        </w:rPr>
        <w:t xml:space="preserve">. We anticipate usability testing in </w:t>
      </w:r>
      <w:r w:rsidR="003002E3">
        <w:rPr>
          <w:iCs/>
          <w:color w:val="000000"/>
        </w:rPr>
        <w:t>late</w:t>
      </w:r>
      <w:r w:rsidR="00F94959">
        <w:rPr>
          <w:iCs/>
          <w:color w:val="000000"/>
        </w:rPr>
        <w:t xml:space="preserve"> </w:t>
      </w:r>
      <w:r w:rsidR="00971BA2">
        <w:rPr>
          <w:iCs/>
          <w:color w:val="000000"/>
        </w:rPr>
        <w:t xml:space="preserve">2017, the pretest in </w:t>
      </w:r>
      <w:r w:rsidR="003002E3">
        <w:rPr>
          <w:iCs/>
          <w:color w:val="000000"/>
        </w:rPr>
        <w:t xml:space="preserve">early </w:t>
      </w:r>
      <w:r w:rsidR="00971BA2">
        <w:rPr>
          <w:iCs/>
          <w:color w:val="000000"/>
        </w:rPr>
        <w:t>201</w:t>
      </w:r>
      <w:r w:rsidR="00F94959">
        <w:rPr>
          <w:iCs/>
          <w:color w:val="000000"/>
        </w:rPr>
        <w:t>8</w:t>
      </w:r>
      <w:r w:rsidR="00971BA2">
        <w:rPr>
          <w:iCs/>
          <w:color w:val="000000"/>
        </w:rPr>
        <w:t xml:space="preserve">, and requesting clearance for the field test in </w:t>
      </w:r>
      <w:r w:rsidR="003002E3">
        <w:rPr>
          <w:iCs/>
          <w:color w:val="000000"/>
        </w:rPr>
        <w:t>mid</w:t>
      </w:r>
      <w:r w:rsidR="004E37A9">
        <w:rPr>
          <w:iCs/>
          <w:color w:val="000000"/>
        </w:rPr>
        <w:t>-</w:t>
      </w:r>
      <w:r>
        <w:rPr>
          <w:iCs/>
          <w:color w:val="000000"/>
        </w:rPr>
        <w:t>2018</w:t>
      </w:r>
      <w:r w:rsidR="00971BA2">
        <w:rPr>
          <w:iCs/>
          <w:color w:val="000000"/>
        </w:rPr>
        <w:t>.</w:t>
      </w:r>
    </w:p>
    <w:p w14:paraId="7C5C618A" w14:textId="77777777" w:rsidR="00C414E3" w:rsidRDefault="00C414E3" w:rsidP="00653BAB">
      <w:pPr>
        <w:autoSpaceDE w:val="0"/>
        <w:autoSpaceDN w:val="0"/>
        <w:adjustRightInd w:val="0"/>
        <w:rPr>
          <w:rFonts w:cs="Times New Roman"/>
          <w:color w:val="000000" w:themeColor="text1"/>
        </w:rPr>
      </w:pPr>
    </w:p>
    <w:p w14:paraId="7F16F6DF" w14:textId="77777777" w:rsidR="00101EF4" w:rsidRDefault="00101EF4" w:rsidP="00653BAB">
      <w:pPr>
        <w:autoSpaceDE w:val="0"/>
        <w:autoSpaceDN w:val="0"/>
        <w:adjustRightInd w:val="0"/>
        <w:rPr>
          <w:rFonts w:cs="Times New Roman"/>
          <w:b/>
          <w:color w:val="000000" w:themeColor="text1"/>
        </w:rPr>
      </w:pPr>
      <w:r>
        <w:rPr>
          <w:rFonts w:cs="Times New Roman"/>
          <w:b/>
          <w:color w:val="000000" w:themeColor="text1"/>
        </w:rPr>
        <w:t>Description</w:t>
      </w:r>
      <w:r w:rsidR="000E222C">
        <w:rPr>
          <w:rFonts w:cs="Times New Roman"/>
          <w:b/>
          <w:color w:val="000000" w:themeColor="text1"/>
        </w:rPr>
        <w:t xml:space="preserve"> and Purpose of Overall Project</w:t>
      </w:r>
    </w:p>
    <w:p w14:paraId="2F09C013" w14:textId="77777777" w:rsidR="00653BAB" w:rsidRPr="00DF5530" w:rsidRDefault="00653BAB" w:rsidP="00653BAB">
      <w:pPr>
        <w:autoSpaceDE w:val="0"/>
        <w:autoSpaceDN w:val="0"/>
        <w:adjustRightInd w:val="0"/>
        <w:rPr>
          <w:rFonts w:cs="Times New Roman"/>
        </w:rPr>
      </w:pPr>
    </w:p>
    <w:p w14:paraId="241A6482" w14:textId="40CD2D45" w:rsidR="00454AE4" w:rsidRPr="00DF5530" w:rsidRDefault="00454AE4" w:rsidP="00653BAB">
      <w:pPr>
        <w:autoSpaceDE w:val="0"/>
        <w:autoSpaceDN w:val="0"/>
        <w:adjustRightInd w:val="0"/>
        <w:rPr>
          <w:rFonts w:cs="Times New Roman"/>
        </w:rPr>
      </w:pPr>
      <w:r w:rsidRPr="00DF5530">
        <w:rPr>
          <w:rFonts w:cs="Times New Roman"/>
        </w:rPr>
        <w:t xml:space="preserve">This request is for clearance to conduct cognitive interviews to develop </w:t>
      </w:r>
      <w:r w:rsidR="00DF5530" w:rsidRPr="00DF5530">
        <w:rPr>
          <w:rFonts w:cs="Times New Roman"/>
        </w:rPr>
        <w:t xml:space="preserve">and test </w:t>
      </w:r>
      <w:r w:rsidR="00A16CC4">
        <w:rPr>
          <w:rFonts w:cs="Times New Roman"/>
        </w:rPr>
        <w:t xml:space="preserve">sections of </w:t>
      </w:r>
      <w:r w:rsidRPr="00DF5530">
        <w:rPr>
          <w:rFonts w:cs="Times New Roman"/>
        </w:rPr>
        <w:t>the redesigned NCVS</w:t>
      </w:r>
      <w:r w:rsidR="00A10314">
        <w:rPr>
          <w:rFonts w:cs="Times New Roman"/>
        </w:rPr>
        <w:t xml:space="preserve"> </w:t>
      </w:r>
      <w:r w:rsidR="004E37A9">
        <w:rPr>
          <w:rFonts w:cs="Times New Roman"/>
        </w:rPr>
        <w:t>C</w:t>
      </w:r>
      <w:r w:rsidR="00A10314">
        <w:rPr>
          <w:rFonts w:cs="Times New Roman"/>
        </w:rPr>
        <w:t xml:space="preserve">rime </w:t>
      </w:r>
      <w:r w:rsidR="004E37A9">
        <w:rPr>
          <w:rFonts w:cs="Times New Roman"/>
        </w:rPr>
        <w:t>I</w:t>
      </w:r>
      <w:r w:rsidR="00A10314">
        <w:rPr>
          <w:rFonts w:cs="Times New Roman"/>
        </w:rPr>
        <w:t xml:space="preserve">ncident </w:t>
      </w:r>
      <w:r w:rsidR="004E37A9">
        <w:rPr>
          <w:rFonts w:cs="Times New Roman"/>
        </w:rPr>
        <w:t>Report (CIR)</w:t>
      </w:r>
      <w:r w:rsidR="00A16CC4">
        <w:rPr>
          <w:rFonts w:cs="Times New Roman"/>
        </w:rPr>
        <w:t xml:space="preserve"> in conjunction with a victimization screener</w:t>
      </w:r>
      <w:r w:rsidRPr="00DF5530">
        <w:rPr>
          <w:rFonts w:cs="Times New Roman"/>
        </w:rPr>
        <w:t>. The</w:t>
      </w:r>
      <w:r w:rsidR="00DF5530" w:rsidRPr="00DF5530">
        <w:rPr>
          <w:rFonts w:cs="Times New Roman"/>
        </w:rPr>
        <w:t xml:space="preserve"> cognitive interviews will inform the design and the final</w:t>
      </w:r>
      <w:r w:rsidRPr="00DF5530">
        <w:rPr>
          <w:rFonts w:cs="Times New Roman"/>
        </w:rPr>
        <w:t xml:space="preserve"> instruments to be tested in a larger field test. </w:t>
      </w:r>
      <w:r w:rsidR="00DF5530" w:rsidRPr="00DF5530">
        <w:rPr>
          <w:rFonts w:cs="Times New Roman"/>
        </w:rPr>
        <w:t>B</w:t>
      </w:r>
      <w:r w:rsidRPr="00DF5530">
        <w:rPr>
          <w:rFonts w:cs="Times New Roman"/>
        </w:rPr>
        <w:t xml:space="preserve">efore describing the proposed cognitive interviews, the goals and research questions for the larger </w:t>
      </w:r>
      <w:r w:rsidR="00DF5530" w:rsidRPr="00DE40C5">
        <w:rPr>
          <w:rFonts w:cs="Times New Roman"/>
          <w:i/>
          <w:color w:val="000000" w:themeColor="text1"/>
        </w:rPr>
        <w:t>NCVS Instrument Redesign and Testing Project</w:t>
      </w:r>
      <w:r w:rsidR="00537A15">
        <w:rPr>
          <w:rFonts w:cs="Times New Roman"/>
          <w:i/>
          <w:color w:val="000000" w:themeColor="text1"/>
        </w:rPr>
        <w:t xml:space="preserve"> </w:t>
      </w:r>
      <w:r w:rsidR="00537A15" w:rsidRPr="00537A15">
        <w:rPr>
          <w:rFonts w:cs="Times New Roman"/>
          <w:color w:val="000000" w:themeColor="text1"/>
        </w:rPr>
        <w:t>are described</w:t>
      </w:r>
      <w:r w:rsidRPr="00537A15">
        <w:rPr>
          <w:rFonts w:cs="Times New Roman"/>
        </w:rPr>
        <w:t>.</w:t>
      </w:r>
      <w:r w:rsidRPr="00DF5530">
        <w:rPr>
          <w:rFonts w:cs="Times New Roman"/>
        </w:rPr>
        <w:t xml:space="preserve"> </w:t>
      </w:r>
    </w:p>
    <w:p w14:paraId="238E8D45" w14:textId="77777777" w:rsidR="00454AE4" w:rsidRPr="00DF5530" w:rsidRDefault="00454AE4" w:rsidP="00653BAB">
      <w:pPr>
        <w:autoSpaceDE w:val="0"/>
        <w:autoSpaceDN w:val="0"/>
        <w:adjustRightInd w:val="0"/>
        <w:rPr>
          <w:rFonts w:cs="Times New Roman"/>
        </w:rPr>
      </w:pPr>
    </w:p>
    <w:p w14:paraId="2ECE52D4" w14:textId="77777777" w:rsidR="00E6629E" w:rsidRDefault="00E6629E" w:rsidP="002A71F1">
      <w:pPr>
        <w:rPr>
          <w:rFonts w:cs="Times New Roman"/>
          <w:color w:val="000000" w:themeColor="text1"/>
        </w:rPr>
      </w:pPr>
      <w:r w:rsidRPr="00253D4C">
        <w:rPr>
          <w:rFonts w:cs="Times New Roman"/>
          <w:color w:val="000000" w:themeColor="text1"/>
        </w:rPr>
        <w:t>The NCVS is based on research conducted by the Department of Justice and the Census Bureau in the 1970s (</w:t>
      </w:r>
      <w:r>
        <w:rPr>
          <w:rFonts w:cs="Times New Roman"/>
          <w:color w:val="000000" w:themeColor="text1"/>
        </w:rPr>
        <w:t xml:space="preserve">summarized in </w:t>
      </w:r>
      <w:r w:rsidRPr="00253D4C">
        <w:rPr>
          <w:rFonts w:cs="Times New Roman"/>
          <w:color w:val="000000" w:themeColor="text1"/>
        </w:rPr>
        <w:t xml:space="preserve">Lehnen </w:t>
      </w:r>
      <w:r>
        <w:rPr>
          <w:rFonts w:cs="Times New Roman"/>
          <w:color w:val="000000" w:themeColor="text1"/>
        </w:rPr>
        <w:t xml:space="preserve">and </w:t>
      </w:r>
      <w:r w:rsidRPr="00253D4C">
        <w:rPr>
          <w:rFonts w:cs="Times New Roman"/>
          <w:color w:val="000000" w:themeColor="text1"/>
        </w:rPr>
        <w:t xml:space="preserve">Skogan, 1981; </w:t>
      </w:r>
      <w:r>
        <w:rPr>
          <w:rFonts w:cs="Times New Roman"/>
          <w:color w:val="000000" w:themeColor="text1"/>
        </w:rPr>
        <w:t xml:space="preserve">Skogan, 1990; </w:t>
      </w:r>
      <w:r w:rsidRPr="00253D4C">
        <w:rPr>
          <w:rFonts w:cs="Times New Roman"/>
          <w:color w:val="000000" w:themeColor="text1"/>
        </w:rPr>
        <w:t xml:space="preserve">Skogan </w:t>
      </w:r>
      <w:r>
        <w:rPr>
          <w:rFonts w:cs="Times New Roman"/>
          <w:color w:val="000000" w:themeColor="text1"/>
        </w:rPr>
        <w:t xml:space="preserve">and </w:t>
      </w:r>
      <w:r w:rsidRPr="00253D4C">
        <w:rPr>
          <w:rFonts w:cs="Times New Roman"/>
          <w:color w:val="000000" w:themeColor="text1"/>
        </w:rPr>
        <w:t>Lehnen, 1985</w:t>
      </w:r>
      <w:r>
        <w:rPr>
          <w:rFonts w:cs="Times New Roman"/>
          <w:color w:val="000000" w:themeColor="text1"/>
        </w:rPr>
        <w:t xml:space="preserve">). </w:t>
      </w:r>
      <w:r w:rsidRPr="00253D4C">
        <w:rPr>
          <w:rFonts w:cs="Times New Roman"/>
          <w:color w:val="000000" w:themeColor="text1"/>
        </w:rPr>
        <w:t xml:space="preserve">There was a major redesign implemented in 1992, motivated in part by a National Academy of Sciences (NAS) review (Penick </w:t>
      </w:r>
      <w:r>
        <w:rPr>
          <w:rFonts w:cs="Times New Roman"/>
          <w:color w:val="000000" w:themeColor="text1"/>
        </w:rPr>
        <w:t xml:space="preserve">and </w:t>
      </w:r>
      <w:r w:rsidRPr="00253D4C">
        <w:rPr>
          <w:rFonts w:cs="Times New Roman"/>
          <w:color w:val="000000" w:themeColor="text1"/>
        </w:rPr>
        <w:t xml:space="preserve">Owens, 1976). A more recent review by the NAS (Groves </w:t>
      </w:r>
      <w:r>
        <w:rPr>
          <w:rFonts w:cs="Times New Roman"/>
          <w:color w:val="000000" w:themeColor="text1"/>
        </w:rPr>
        <w:t xml:space="preserve">and </w:t>
      </w:r>
      <w:r w:rsidRPr="00253D4C">
        <w:rPr>
          <w:rFonts w:cs="Times New Roman"/>
          <w:color w:val="000000" w:themeColor="text1"/>
        </w:rPr>
        <w:t xml:space="preserve">Cork, 2008) </w:t>
      </w:r>
      <w:r w:rsidR="000420DB">
        <w:rPr>
          <w:rFonts w:cs="Times New Roman"/>
          <w:color w:val="000000" w:themeColor="text1"/>
        </w:rPr>
        <w:t xml:space="preserve">provided similar </w:t>
      </w:r>
      <w:r>
        <w:rPr>
          <w:rFonts w:cs="Times New Roman"/>
          <w:color w:val="000000" w:themeColor="text1"/>
        </w:rPr>
        <w:t>motivat</w:t>
      </w:r>
      <w:r w:rsidR="000420DB">
        <w:rPr>
          <w:rFonts w:cs="Times New Roman"/>
          <w:color w:val="000000" w:themeColor="text1"/>
        </w:rPr>
        <w:t>ion for</w:t>
      </w:r>
      <w:r>
        <w:rPr>
          <w:rFonts w:cs="Times New Roman"/>
          <w:color w:val="000000" w:themeColor="text1"/>
        </w:rPr>
        <w:t xml:space="preserve"> the current BJS redesign effort.</w:t>
      </w:r>
    </w:p>
    <w:p w14:paraId="3C4C62C9" w14:textId="77777777" w:rsidR="00E6629E" w:rsidRDefault="00E6629E" w:rsidP="00375D72">
      <w:pPr>
        <w:ind w:firstLine="576"/>
        <w:rPr>
          <w:rFonts w:cs="Times New Roman"/>
          <w:color w:val="000000" w:themeColor="text1"/>
        </w:rPr>
      </w:pPr>
    </w:p>
    <w:p w14:paraId="597695B4" w14:textId="77777777" w:rsidR="00EE77E1" w:rsidRDefault="00E6629E" w:rsidP="002A71F1">
      <w:pPr>
        <w:autoSpaceDE w:val="0"/>
        <w:autoSpaceDN w:val="0"/>
        <w:adjustRightInd w:val="0"/>
        <w:rPr>
          <w:rFonts w:cs="Times New Roman"/>
          <w:color w:val="000000" w:themeColor="text1"/>
        </w:rPr>
      </w:pPr>
      <w:r w:rsidRPr="00253D4C">
        <w:rPr>
          <w:rFonts w:cs="Times New Roman"/>
          <w:color w:val="000000" w:themeColor="text1"/>
        </w:rPr>
        <w:t>Since 2008, BJS has initiated a number of research projects to assess and improve upon core NCVS methodology, including redesigning the sample plan, comparing alternative modes of interview</w:t>
      </w:r>
      <w:r w:rsidR="000420DB">
        <w:rPr>
          <w:rFonts w:cs="Times New Roman"/>
          <w:color w:val="000000" w:themeColor="text1"/>
        </w:rPr>
        <w:t>ing</w:t>
      </w:r>
      <w:r w:rsidRPr="00253D4C">
        <w:rPr>
          <w:rFonts w:cs="Times New Roman"/>
          <w:color w:val="000000" w:themeColor="text1"/>
        </w:rPr>
        <w:t xml:space="preserve">, </w:t>
      </w:r>
      <w:r w:rsidR="00C414E3">
        <w:rPr>
          <w:rFonts w:cs="Times New Roman"/>
          <w:color w:val="000000" w:themeColor="text1"/>
        </w:rPr>
        <w:t xml:space="preserve">testing methods for </w:t>
      </w:r>
      <w:r w:rsidRPr="00253D4C">
        <w:rPr>
          <w:rFonts w:cs="Times New Roman"/>
          <w:color w:val="000000" w:themeColor="text1"/>
        </w:rPr>
        <w:t xml:space="preserve">reducing non-response bias, </w:t>
      </w:r>
      <w:r w:rsidR="00C414E3">
        <w:rPr>
          <w:rFonts w:cs="Times New Roman"/>
          <w:color w:val="000000" w:themeColor="text1"/>
        </w:rPr>
        <w:t xml:space="preserve">experimenting with </w:t>
      </w:r>
      <w:r w:rsidRPr="00253D4C">
        <w:rPr>
          <w:rFonts w:cs="Times New Roman"/>
          <w:color w:val="000000" w:themeColor="text1"/>
        </w:rPr>
        <w:t xml:space="preserve">various reference period lengths, testing </w:t>
      </w:r>
      <w:r w:rsidR="00B27994">
        <w:rPr>
          <w:rFonts w:cs="Times New Roman"/>
          <w:color w:val="000000" w:themeColor="text1"/>
        </w:rPr>
        <w:t xml:space="preserve">the </w:t>
      </w:r>
      <w:r w:rsidRPr="00253D4C">
        <w:rPr>
          <w:rFonts w:cs="Times New Roman"/>
          <w:color w:val="000000" w:themeColor="text1"/>
        </w:rPr>
        <w:t xml:space="preserve">effectiveness of </w:t>
      </w:r>
      <w:r w:rsidR="00C414E3">
        <w:rPr>
          <w:rFonts w:cs="Times New Roman"/>
          <w:color w:val="000000" w:themeColor="text1"/>
        </w:rPr>
        <w:t xml:space="preserve">new </w:t>
      </w:r>
      <w:r w:rsidRPr="00253D4C">
        <w:rPr>
          <w:rFonts w:cs="Times New Roman"/>
          <w:color w:val="000000" w:themeColor="text1"/>
        </w:rPr>
        <w:t xml:space="preserve">victimization screening questions, and exploring the feasibility of producing sub-national estimates of victimization. </w:t>
      </w:r>
    </w:p>
    <w:p w14:paraId="355A0EAE" w14:textId="77777777" w:rsidR="00EE77E1" w:rsidRDefault="00EE77E1" w:rsidP="00375D72">
      <w:pPr>
        <w:autoSpaceDE w:val="0"/>
        <w:autoSpaceDN w:val="0"/>
        <w:adjustRightInd w:val="0"/>
        <w:ind w:firstLine="576"/>
        <w:rPr>
          <w:rFonts w:cs="Times New Roman"/>
          <w:color w:val="000000" w:themeColor="text1"/>
        </w:rPr>
      </w:pPr>
    </w:p>
    <w:p w14:paraId="5AF1FF74" w14:textId="34A22B8E" w:rsidR="00DF5530" w:rsidRDefault="00EE77E1" w:rsidP="002A71F1">
      <w:pPr>
        <w:autoSpaceDE w:val="0"/>
        <w:autoSpaceDN w:val="0"/>
        <w:adjustRightInd w:val="0"/>
        <w:rPr>
          <w:rFonts w:cs="Times New Roman"/>
          <w:color w:val="000000" w:themeColor="text1"/>
        </w:rPr>
      </w:pPr>
      <w:r>
        <w:rPr>
          <w:rFonts w:cs="Times New Roman"/>
          <w:color w:val="000000" w:themeColor="text1"/>
        </w:rPr>
        <w:t xml:space="preserve">The current effort is part of BJS’s work (with Westat </w:t>
      </w:r>
      <w:r w:rsidR="004C4BA0">
        <w:rPr>
          <w:rFonts w:cs="Times New Roman"/>
          <w:color w:val="000000" w:themeColor="text1"/>
        </w:rPr>
        <w:t xml:space="preserve">under a </w:t>
      </w:r>
      <w:r>
        <w:rPr>
          <w:rFonts w:cs="Times New Roman"/>
          <w:color w:val="000000" w:themeColor="text1"/>
        </w:rPr>
        <w:t>co</w:t>
      </w:r>
      <w:r w:rsidR="004C4BA0">
        <w:rPr>
          <w:rFonts w:cs="Times New Roman"/>
          <w:color w:val="000000" w:themeColor="text1"/>
        </w:rPr>
        <w:t>operative agreement</w:t>
      </w:r>
      <w:r>
        <w:rPr>
          <w:rFonts w:cs="Times New Roman"/>
          <w:color w:val="000000" w:themeColor="text1"/>
        </w:rPr>
        <w:t xml:space="preserve">) to come up with a new design </w:t>
      </w:r>
      <w:r w:rsidR="00A16CC4">
        <w:rPr>
          <w:rFonts w:cs="Times New Roman"/>
          <w:color w:val="000000" w:themeColor="text1"/>
        </w:rPr>
        <w:t xml:space="preserve">for </w:t>
      </w:r>
      <w:r>
        <w:rPr>
          <w:rFonts w:cs="Times New Roman"/>
          <w:color w:val="000000" w:themeColor="text1"/>
        </w:rPr>
        <w:t xml:space="preserve">the NCVS. </w:t>
      </w:r>
      <w:r w:rsidR="00DF5530" w:rsidRPr="00DF5530">
        <w:rPr>
          <w:rFonts w:cs="Times New Roman"/>
          <w:color w:val="000000" w:themeColor="text1"/>
        </w:rPr>
        <w:t xml:space="preserve">The overarching objective is to provide scientific and technical support for the redesign and testing of the NCVS roster control card, crime screener (NCVS-1), </w:t>
      </w:r>
      <w:r w:rsidR="00DF5530" w:rsidRPr="00DF5530">
        <w:rPr>
          <w:rFonts w:cs="Times New Roman"/>
          <w:color w:val="000000" w:themeColor="text1"/>
        </w:rPr>
        <w:lastRenderedPageBreak/>
        <w:t xml:space="preserve">and crime incident </w:t>
      </w:r>
      <w:r w:rsidR="00A16CC4">
        <w:rPr>
          <w:rFonts w:cs="Times New Roman"/>
          <w:color w:val="000000" w:themeColor="text1"/>
        </w:rPr>
        <w:t xml:space="preserve">report </w:t>
      </w:r>
      <w:r w:rsidR="00DF5530" w:rsidRPr="00DF5530">
        <w:rPr>
          <w:rFonts w:cs="Times New Roman"/>
          <w:color w:val="000000" w:themeColor="text1"/>
        </w:rPr>
        <w:t>(NCVS-2) in support of BJS’</w:t>
      </w:r>
      <w:r w:rsidR="00CC6639">
        <w:rPr>
          <w:rFonts w:cs="Times New Roman"/>
          <w:color w:val="000000" w:themeColor="text1"/>
        </w:rPr>
        <w:t>s</w:t>
      </w:r>
      <w:r w:rsidR="00DF5530" w:rsidRPr="00DF5530">
        <w:rPr>
          <w:rFonts w:cs="Times New Roman"/>
          <w:color w:val="000000" w:themeColor="text1"/>
        </w:rPr>
        <w:t xml:space="preserve"> efforts to increas</w:t>
      </w:r>
      <w:r w:rsidR="00A16CC4">
        <w:rPr>
          <w:rFonts w:cs="Times New Roman"/>
          <w:color w:val="000000" w:themeColor="text1"/>
        </w:rPr>
        <w:t>e</w:t>
      </w:r>
      <w:r w:rsidR="00DF5530" w:rsidRPr="00DF5530">
        <w:rPr>
          <w:rFonts w:cs="Times New Roman"/>
          <w:color w:val="000000" w:themeColor="text1"/>
        </w:rPr>
        <w:t xml:space="preserve"> the efficiency, reliability, and utility of the NCVS. Through th</w:t>
      </w:r>
      <w:r w:rsidR="00A16CC4">
        <w:rPr>
          <w:rFonts w:cs="Times New Roman"/>
          <w:color w:val="000000" w:themeColor="text1"/>
        </w:rPr>
        <w:t>is</w:t>
      </w:r>
      <w:r w:rsidR="00DF5530" w:rsidRPr="00DF5530">
        <w:rPr>
          <w:rFonts w:cs="Times New Roman"/>
          <w:color w:val="000000" w:themeColor="text1"/>
        </w:rPr>
        <w:t xml:space="preserve"> project, BJS aims to evaluate and modernize the organization and content of the NCVS; improve the efficiency of the instruments and the current core-supplement design; and develop a procedure for introducing routine improvements to the survey in order to capture emerging crime types and time-relevant topics.</w:t>
      </w:r>
      <w:r>
        <w:rPr>
          <w:rFonts w:cs="Times New Roman"/>
          <w:color w:val="000000" w:themeColor="text1"/>
        </w:rPr>
        <w:t xml:space="preserve"> </w:t>
      </w:r>
    </w:p>
    <w:p w14:paraId="10E1E19B" w14:textId="77777777" w:rsidR="004C2AB7" w:rsidRDefault="004C2AB7" w:rsidP="002A71F1">
      <w:pPr>
        <w:autoSpaceDE w:val="0"/>
        <w:autoSpaceDN w:val="0"/>
        <w:adjustRightInd w:val="0"/>
        <w:rPr>
          <w:rFonts w:cs="Times New Roman"/>
          <w:color w:val="000000" w:themeColor="text1"/>
        </w:rPr>
      </w:pPr>
    </w:p>
    <w:p w14:paraId="4498B054" w14:textId="7094BEAF" w:rsidR="004C2AB7" w:rsidRDefault="004C2AB7" w:rsidP="002A71F1">
      <w:pPr>
        <w:autoSpaceDE w:val="0"/>
        <w:autoSpaceDN w:val="0"/>
        <w:adjustRightInd w:val="0"/>
        <w:rPr>
          <w:rFonts w:cs="Times New Roman"/>
          <w:color w:val="000000" w:themeColor="text1"/>
        </w:rPr>
      </w:pPr>
      <w:r w:rsidRPr="004C2AB7">
        <w:rPr>
          <w:rFonts w:cs="Times New Roman"/>
          <w:color w:val="000000" w:themeColor="text1"/>
        </w:rPr>
        <w:t>One of the first steps in the project was a comprehensive assessment of the instrument</w:t>
      </w:r>
      <w:r w:rsidR="004E37A9">
        <w:rPr>
          <w:rFonts w:cs="Times New Roman"/>
          <w:color w:val="000000" w:themeColor="text1"/>
        </w:rPr>
        <w:t>s</w:t>
      </w:r>
      <w:r w:rsidRPr="004C2AB7">
        <w:rPr>
          <w:rFonts w:cs="Times New Roman"/>
          <w:color w:val="000000" w:themeColor="text1"/>
        </w:rPr>
        <w:t xml:space="preserve"> to determine which survey items are being </w:t>
      </w:r>
      <w:r w:rsidR="007329E1">
        <w:rPr>
          <w:rFonts w:cs="Times New Roman"/>
          <w:color w:val="000000" w:themeColor="text1"/>
        </w:rPr>
        <w:t>use</w:t>
      </w:r>
      <w:r w:rsidRPr="004C2AB7">
        <w:rPr>
          <w:rFonts w:cs="Times New Roman"/>
          <w:color w:val="000000" w:themeColor="text1"/>
        </w:rPr>
        <w:t>d and how</w:t>
      </w:r>
      <w:r w:rsidR="000420DB">
        <w:rPr>
          <w:rFonts w:cs="Times New Roman"/>
          <w:color w:val="000000" w:themeColor="text1"/>
        </w:rPr>
        <w:t>;</w:t>
      </w:r>
      <w:r w:rsidRPr="004C2AB7">
        <w:rPr>
          <w:rFonts w:cs="Times New Roman"/>
          <w:color w:val="000000" w:themeColor="text1"/>
        </w:rPr>
        <w:t xml:space="preserve"> which survey items are problematic in their language and placement</w:t>
      </w:r>
      <w:r w:rsidR="000420DB">
        <w:rPr>
          <w:rFonts w:cs="Times New Roman"/>
          <w:color w:val="000000" w:themeColor="text1"/>
        </w:rPr>
        <w:t>;</w:t>
      </w:r>
      <w:r w:rsidRPr="004C2AB7">
        <w:rPr>
          <w:rFonts w:cs="Times New Roman"/>
          <w:color w:val="000000" w:themeColor="text1"/>
        </w:rPr>
        <w:t xml:space="preserve"> and where there are gaps in the content of the instrument. The initial assessment provided a better understanding of the substantive and procedural issues with the instrument and helped to identify areas where the content could be improved to enhance current knowledge of victimization and its correlates.</w:t>
      </w:r>
    </w:p>
    <w:p w14:paraId="30B1691F" w14:textId="77777777" w:rsidR="004C2AB7" w:rsidRDefault="004C2AB7" w:rsidP="002A71F1">
      <w:pPr>
        <w:autoSpaceDE w:val="0"/>
        <w:autoSpaceDN w:val="0"/>
        <w:adjustRightInd w:val="0"/>
        <w:rPr>
          <w:rFonts w:cs="Times New Roman"/>
          <w:color w:val="000000" w:themeColor="text1"/>
        </w:rPr>
      </w:pPr>
    </w:p>
    <w:p w14:paraId="211AA59A" w14:textId="7F13DF0F" w:rsidR="004C2AB7" w:rsidRDefault="004C2AB7" w:rsidP="002A71F1">
      <w:pPr>
        <w:autoSpaceDE w:val="0"/>
        <w:autoSpaceDN w:val="0"/>
        <w:adjustRightInd w:val="0"/>
        <w:rPr>
          <w:rFonts w:cs="Times New Roman"/>
          <w:color w:val="000000" w:themeColor="text1"/>
        </w:rPr>
      </w:pPr>
      <w:r w:rsidRPr="004C2AB7">
        <w:rPr>
          <w:rFonts w:cs="Times New Roman"/>
          <w:color w:val="000000" w:themeColor="text1"/>
        </w:rPr>
        <w:t xml:space="preserve">Additional efforts are on </w:t>
      </w:r>
      <w:r w:rsidR="00342411">
        <w:rPr>
          <w:rFonts w:cs="Times New Roman"/>
          <w:color w:val="000000" w:themeColor="text1"/>
        </w:rPr>
        <w:t>modernizing the crime screener</w:t>
      </w:r>
      <w:r w:rsidR="00A16CC4">
        <w:rPr>
          <w:rFonts w:cs="Times New Roman"/>
          <w:color w:val="000000" w:themeColor="text1"/>
        </w:rPr>
        <w:t>:</w:t>
      </w:r>
      <w:r w:rsidR="00342411">
        <w:rPr>
          <w:rFonts w:cs="Times New Roman"/>
          <w:color w:val="000000" w:themeColor="text1"/>
        </w:rPr>
        <w:t xml:space="preserve"> </w:t>
      </w:r>
      <w:r w:rsidRPr="004C2AB7">
        <w:rPr>
          <w:rFonts w:cs="Times New Roman"/>
          <w:color w:val="000000" w:themeColor="text1"/>
        </w:rPr>
        <w:t>improving the measurement of highly sensitive crimes like rape and sexual assault and intimate partner violence</w:t>
      </w:r>
      <w:r w:rsidR="00342411">
        <w:rPr>
          <w:rFonts w:cs="Times New Roman"/>
          <w:color w:val="000000" w:themeColor="text1"/>
        </w:rPr>
        <w:t xml:space="preserve">; </w:t>
      </w:r>
      <w:r w:rsidR="00D00FE2">
        <w:rPr>
          <w:rFonts w:cs="Times New Roman"/>
          <w:color w:val="000000" w:themeColor="text1"/>
        </w:rPr>
        <w:t>increasing the relevance and utility of the crime incident report (CIR)</w:t>
      </w:r>
      <w:r w:rsidR="00A16CC4">
        <w:rPr>
          <w:rFonts w:cs="Times New Roman"/>
          <w:color w:val="000000" w:themeColor="text1"/>
        </w:rPr>
        <w:t>;</w:t>
      </w:r>
      <w:r w:rsidR="00D00FE2">
        <w:rPr>
          <w:rFonts w:cs="Times New Roman"/>
          <w:color w:val="000000" w:themeColor="text1"/>
        </w:rPr>
        <w:t xml:space="preserve"> </w:t>
      </w:r>
      <w:r w:rsidR="00342411">
        <w:rPr>
          <w:rFonts w:cs="Times New Roman"/>
          <w:color w:val="000000" w:themeColor="text1"/>
        </w:rPr>
        <w:t>and building in a series of questions on perceptions of police and community safety to be asked of all respondent</w:t>
      </w:r>
      <w:r w:rsidR="00A940BF">
        <w:rPr>
          <w:rFonts w:cs="Times New Roman"/>
          <w:color w:val="000000" w:themeColor="text1"/>
        </w:rPr>
        <w:t xml:space="preserve"> (‘ask all’</w:t>
      </w:r>
      <w:r w:rsidR="00E72D9D">
        <w:rPr>
          <w:rFonts w:cs="Times New Roman"/>
          <w:color w:val="000000" w:themeColor="text1"/>
        </w:rPr>
        <w:t>/</w:t>
      </w:r>
      <w:r w:rsidR="00A16CC4">
        <w:rPr>
          <w:rFonts w:cs="Times New Roman"/>
          <w:color w:val="000000" w:themeColor="text1"/>
        </w:rPr>
        <w:t xml:space="preserve">or </w:t>
      </w:r>
      <w:r w:rsidR="00E72D9D">
        <w:rPr>
          <w:rFonts w:cs="Times New Roman"/>
          <w:color w:val="000000" w:themeColor="text1"/>
        </w:rPr>
        <w:t>‘noncrime’</w:t>
      </w:r>
      <w:r w:rsidR="00A940BF">
        <w:rPr>
          <w:rFonts w:cs="Times New Roman"/>
          <w:color w:val="000000" w:themeColor="text1"/>
        </w:rPr>
        <w:t xml:space="preserve"> items)</w:t>
      </w:r>
      <w:r w:rsidRPr="004C2AB7">
        <w:rPr>
          <w:rFonts w:cs="Times New Roman"/>
          <w:color w:val="000000" w:themeColor="text1"/>
        </w:rPr>
        <w:t>. The anticipated changes to the types of crimes measured by the NCVS,</w:t>
      </w:r>
      <w:r w:rsidR="0084417E">
        <w:rPr>
          <w:rFonts w:cs="Times New Roman"/>
          <w:color w:val="000000" w:themeColor="text1"/>
        </w:rPr>
        <w:t xml:space="preserve"> and </w:t>
      </w:r>
      <w:r w:rsidR="0084417E" w:rsidRPr="004C2AB7">
        <w:rPr>
          <w:rFonts w:cs="Times New Roman"/>
          <w:color w:val="000000" w:themeColor="text1"/>
        </w:rPr>
        <w:t>improvement of</w:t>
      </w:r>
      <w:r w:rsidRPr="004C2AB7">
        <w:rPr>
          <w:rFonts w:cs="Times New Roman"/>
          <w:color w:val="000000" w:themeColor="text1"/>
        </w:rPr>
        <w:t xml:space="preserve"> </w:t>
      </w:r>
      <w:r w:rsidR="0084417E">
        <w:rPr>
          <w:rFonts w:cs="Times New Roman"/>
          <w:color w:val="000000" w:themeColor="text1"/>
        </w:rPr>
        <w:t xml:space="preserve">the measurement process, </w:t>
      </w:r>
      <w:r w:rsidRPr="004C2AB7">
        <w:rPr>
          <w:rFonts w:cs="Times New Roman"/>
          <w:color w:val="000000" w:themeColor="text1"/>
        </w:rPr>
        <w:t xml:space="preserve">may require changes to the survey methodology to ensure that the information collected is accurate and reliable. Through </w:t>
      </w:r>
      <w:r>
        <w:rPr>
          <w:rFonts w:cs="Times New Roman"/>
          <w:color w:val="000000" w:themeColor="text1"/>
        </w:rPr>
        <w:t xml:space="preserve">this </w:t>
      </w:r>
      <w:r w:rsidRPr="004C2AB7">
        <w:rPr>
          <w:rFonts w:cs="Times New Roman"/>
          <w:color w:val="000000" w:themeColor="text1"/>
        </w:rPr>
        <w:t xml:space="preserve">project, </w:t>
      </w:r>
      <w:r>
        <w:rPr>
          <w:rFonts w:cs="Times New Roman"/>
          <w:color w:val="000000" w:themeColor="text1"/>
        </w:rPr>
        <w:t>we will</w:t>
      </w:r>
      <w:r w:rsidRPr="004C2AB7">
        <w:rPr>
          <w:rFonts w:cs="Times New Roman"/>
          <w:color w:val="000000" w:themeColor="text1"/>
        </w:rPr>
        <w:t xml:space="preserve"> </w:t>
      </w:r>
      <w:r w:rsidR="00342411">
        <w:rPr>
          <w:rFonts w:cs="Times New Roman"/>
          <w:color w:val="000000" w:themeColor="text1"/>
        </w:rPr>
        <w:t xml:space="preserve">also </w:t>
      </w:r>
      <w:r w:rsidRPr="004C2AB7">
        <w:rPr>
          <w:rFonts w:cs="Times New Roman"/>
          <w:color w:val="000000" w:themeColor="text1"/>
        </w:rPr>
        <w:t>examin</w:t>
      </w:r>
      <w:r>
        <w:rPr>
          <w:rFonts w:cs="Times New Roman"/>
          <w:color w:val="000000" w:themeColor="text1"/>
        </w:rPr>
        <w:t>e</w:t>
      </w:r>
      <w:r w:rsidRPr="004C2AB7">
        <w:rPr>
          <w:rFonts w:cs="Times New Roman"/>
          <w:color w:val="000000" w:themeColor="text1"/>
        </w:rPr>
        <w:t xml:space="preserve"> the feasibility of using self-administered approaches to </w:t>
      </w:r>
      <w:r w:rsidR="00342411">
        <w:rPr>
          <w:rFonts w:cs="Times New Roman"/>
          <w:color w:val="000000" w:themeColor="text1"/>
        </w:rPr>
        <w:t xml:space="preserve">collect </w:t>
      </w:r>
      <w:r w:rsidR="0084417E">
        <w:rPr>
          <w:rFonts w:cs="Times New Roman"/>
          <w:color w:val="000000" w:themeColor="text1"/>
        </w:rPr>
        <w:t xml:space="preserve">data </w:t>
      </w:r>
      <w:r w:rsidR="00342411">
        <w:rPr>
          <w:rFonts w:cs="Times New Roman"/>
          <w:color w:val="000000" w:themeColor="text1"/>
        </w:rPr>
        <w:t xml:space="preserve">comparable </w:t>
      </w:r>
      <w:r w:rsidR="0084417E">
        <w:rPr>
          <w:rFonts w:cs="Times New Roman"/>
          <w:color w:val="000000" w:themeColor="text1"/>
        </w:rPr>
        <w:t xml:space="preserve">to those </w:t>
      </w:r>
      <w:r w:rsidR="00342411">
        <w:rPr>
          <w:rFonts w:cs="Times New Roman"/>
          <w:color w:val="000000" w:themeColor="text1"/>
        </w:rPr>
        <w:t>obtained through interview</w:t>
      </w:r>
      <w:r w:rsidR="0084417E">
        <w:rPr>
          <w:rFonts w:cs="Times New Roman"/>
          <w:color w:val="000000" w:themeColor="text1"/>
        </w:rPr>
        <w:t>er</w:t>
      </w:r>
      <w:r w:rsidR="00342411">
        <w:rPr>
          <w:rFonts w:cs="Times New Roman"/>
          <w:color w:val="000000" w:themeColor="text1"/>
        </w:rPr>
        <w:t xml:space="preserve"> administ</w:t>
      </w:r>
      <w:r w:rsidR="0084417E">
        <w:rPr>
          <w:rFonts w:cs="Times New Roman"/>
          <w:color w:val="000000" w:themeColor="text1"/>
        </w:rPr>
        <w:t>ration</w:t>
      </w:r>
      <w:r w:rsidRPr="004C2AB7">
        <w:rPr>
          <w:rFonts w:cs="Times New Roman"/>
          <w:color w:val="000000" w:themeColor="text1"/>
        </w:rPr>
        <w:t>.</w:t>
      </w:r>
    </w:p>
    <w:p w14:paraId="164FC889" w14:textId="77777777" w:rsidR="0025346C" w:rsidRDefault="0025346C" w:rsidP="002A71F1">
      <w:pPr>
        <w:autoSpaceDE w:val="0"/>
        <w:autoSpaceDN w:val="0"/>
        <w:adjustRightInd w:val="0"/>
        <w:rPr>
          <w:rFonts w:cs="Times New Roman"/>
          <w:color w:val="000000" w:themeColor="text1"/>
        </w:rPr>
      </w:pPr>
    </w:p>
    <w:p w14:paraId="0DCCDD1B" w14:textId="77777777" w:rsidR="0025346C" w:rsidRPr="0025346C" w:rsidRDefault="0025346C" w:rsidP="0025346C">
      <w:pPr>
        <w:autoSpaceDE w:val="0"/>
        <w:autoSpaceDN w:val="0"/>
        <w:adjustRightInd w:val="0"/>
        <w:rPr>
          <w:rFonts w:cs="Times New Roman"/>
          <w:color w:val="000000" w:themeColor="text1"/>
        </w:rPr>
      </w:pPr>
      <w:r>
        <w:rPr>
          <w:rFonts w:cs="Times New Roman"/>
          <w:color w:val="000000" w:themeColor="text1"/>
        </w:rPr>
        <w:t xml:space="preserve">Overall, the </w:t>
      </w:r>
      <w:r w:rsidRPr="00DE40C5">
        <w:rPr>
          <w:rFonts w:cs="Times New Roman"/>
          <w:i/>
          <w:color w:val="000000" w:themeColor="text1"/>
        </w:rPr>
        <w:t>NCVS Instrument Redesign and Testing Project</w:t>
      </w:r>
      <w:r w:rsidRPr="0025346C">
        <w:rPr>
          <w:rFonts w:cs="Times New Roman"/>
          <w:color w:val="000000" w:themeColor="text1"/>
        </w:rPr>
        <w:t xml:space="preserve"> </w:t>
      </w:r>
      <w:r>
        <w:rPr>
          <w:rFonts w:cs="Times New Roman"/>
          <w:color w:val="000000" w:themeColor="text1"/>
        </w:rPr>
        <w:t>w</w:t>
      </w:r>
      <w:r w:rsidRPr="0025346C">
        <w:rPr>
          <w:rFonts w:cs="Times New Roman"/>
          <w:color w:val="000000" w:themeColor="text1"/>
        </w:rPr>
        <w:t>ill be used to inform improvements in the —</w:t>
      </w:r>
    </w:p>
    <w:p w14:paraId="074B042B" w14:textId="77777777" w:rsidR="0025346C" w:rsidRPr="0025346C" w:rsidRDefault="0025346C" w:rsidP="0025346C">
      <w:pPr>
        <w:autoSpaceDE w:val="0"/>
        <w:autoSpaceDN w:val="0"/>
        <w:adjustRightInd w:val="0"/>
        <w:rPr>
          <w:rFonts w:cs="Times New Roman"/>
          <w:color w:val="000000" w:themeColor="text1"/>
        </w:rPr>
      </w:pPr>
    </w:p>
    <w:p w14:paraId="63EB914D"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NCVS screener and crime incident instruments; </w:t>
      </w:r>
    </w:p>
    <w:p w14:paraId="5F323334"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mode of data collection for the NCVS; </w:t>
      </w:r>
    </w:p>
    <w:p w14:paraId="23E331E0"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flexibility to measure emerging crime types; and </w:t>
      </w:r>
    </w:p>
    <w:p w14:paraId="5DFD2C00" w14:textId="77777777"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ability to capture indictors of safety and security and perceptions of police that go beyond experiences with victimization.</w:t>
      </w:r>
    </w:p>
    <w:p w14:paraId="548DDCBB" w14:textId="77777777" w:rsidR="00AA3A23" w:rsidRPr="00F2227C" w:rsidRDefault="00AA3A23" w:rsidP="006C736D">
      <w:pPr>
        <w:rPr>
          <w:rFonts w:cs="Times New Roman"/>
          <w:b/>
          <w:color w:val="000000" w:themeColor="text1"/>
        </w:rPr>
      </w:pPr>
    </w:p>
    <w:p w14:paraId="4FA43374" w14:textId="77777777" w:rsidR="00DB1091" w:rsidRDefault="004C4BA0" w:rsidP="00DB1091">
      <w:pPr>
        <w:rPr>
          <w:rFonts w:cs="Times New Roman"/>
          <w:b/>
          <w:color w:val="000000" w:themeColor="text1"/>
        </w:rPr>
      </w:pPr>
      <w:r>
        <w:rPr>
          <w:rFonts w:cs="Times New Roman"/>
          <w:b/>
          <w:color w:val="000000" w:themeColor="text1"/>
        </w:rPr>
        <w:t xml:space="preserve">Current Request for </w:t>
      </w:r>
      <w:r w:rsidR="00DB1091" w:rsidRPr="00F2227C">
        <w:rPr>
          <w:rFonts w:cs="Times New Roman"/>
          <w:b/>
          <w:color w:val="000000" w:themeColor="text1"/>
        </w:rPr>
        <w:t>Cognitive Testing</w:t>
      </w:r>
    </w:p>
    <w:p w14:paraId="6956CA2C" w14:textId="77777777" w:rsidR="00355C6D" w:rsidRDefault="00355C6D" w:rsidP="002A71F1">
      <w:pPr>
        <w:spacing w:line="240" w:lineRule="atLeast"/>
        <w:rPr>
          <w:rFonts w:cs="Times New Roman"/>
          <w:color w:val="000000" w:themeColor="text1"/>
        </w:rPr>
      </w:pPr>
    </w:p>
    <w:p w14:paraId="4196DC71" w14:textId="4DC23A1E" w:rsidR="003002E3" w:rsidRDefault="00355C6D" w:rsidP="00737F0E">
      <w:pPr>
        <w:spacing w:line="240" w:lineRule="atLeast"/>
        <w:rPr>
          <w:rFonts w:cs="Times New Roman"/>
          <w:color w:val="000000" w:themeColor="text1"/>
        </w:rPr>
      </w:pPr>
      <w:r>
        <w:rPr>
          <w:rFonts w:cs="Times New Roman"/>
          <w:color w:val="000000" w:themeColor="text1"/>
        </w:rPr>
        <w:t xml:space="preserve">In the current request, we are asking for clearance to conduct </w:t>
      </w:r>
      <w:r w:rsidR="00A10314">
        <w:rPr>
          <w:rFonts w:cs="Times New Roman"/>
          <w:color w:val="000000" w:themeColor="text1"/>
        </w:rPr>
        <w:t xml:space="preserve">three additional rounds of </w:t>
      </w:r>
      <w:r>
        <w:rPr>
          <w:rFonts w:cs="Times New Roman"/>
          <w:color w:val="000000" w:themeColor="text1"/>
        </w:rPr>
        <w:t xml:space="preserve">cognitive </w:t>
      </w:r>
      <w:r w:rsidR="00D27B3D">
        <w:rPr>
          <w:rFonts w:cs="Times New Roman"/>
          <w:color w:val="000000" w:themeColor="text1"/>
        </w:rPr>
        <w:t>interviewing</w:t>
      </w:r>
      <w:r w:rsidR="003002E3">
        <w:rPr>
          <w:rFonts w:cs="Times New Roman"/>
          <w:color w:val="000000" w:themeColor="text1"/>
        </w:rPr>
        <w:t xml:space="preserve"> with adults</w:t>
      </w:r>
      <w:r w:rsidR="0084417E">
        <w:rPr>
          <w:rFonts w:cs="Times New Roman"/>
          <w:color w:val="000000" w:themeColor="text1"/>
        </w:rPr>
        <w:t>,</w:t>
      </w:r>
      <w:r w:rsidR="00F160DA">
        <w:rPr>
          <w:rFonts w:cs="Times New Roman"/>
          <w:color w:val="000000" w:themeColor="text1"/>
        </w:rPr>
        <w:t xml:space="preserve"> and </w:t>
      </w:r>
      <w:r w:rsidR="0084417E">
        <w:rPr>
          <w:rFonts w:cs="Times New Roman"/>
          <w:color w:val="000000" w:themeColor="text1"/>
        </w:rPr>
        <w:t xml:space="preserve">a series of interviews with </w:t>
      </w:r>
      <w:r w:rsidR="00F160DA">
        <w:rPr>
          <w:rFonts w:cs="Times New Roman"/>
          <w:color w:val="000000" w:themeColor="text1"/>
        </w:rPr>
        <w:t>youth</w:t>
      </w:r>
      <w:r w:rsidR="00D27B3D">
        <w:rPr>
          <w:rFonts w:cs="Times New Roman"/>
          <w:color w:val="000000" w:themeColor="text1"/>
        </w:rPr>
        <w:t xml:space="preserve"> </w:t>
      </w:r>
      <w:r>
        <w:rPr>
          <w:rFonts w:cs="Times New Roman"/>
          <w:color w:val="000000" w:themeColor="text1"/>
        </w:rPr>
        <w:t>to support this overall redesign effort</w:t>
      </w:r>
      <w:r w:rsidR="0049623F">
        <w:rPr>
          <w:rFonts w:cs="Times New Roman"/>
          <w:color w:val="000000" w:themeColor="text1"/>
        </w:rPr>
        <w:t xml:space="preserve">. </w:t>
      </w:r>
    </w:p>
    <w:p w14:paraId="5393A873" w14:textId="77777777" w:rsidR="003002E3" w:rsidRDefault="003002E3" w:rsidP="00737F0E">
      <w:pPr>
        <w:spacing w:line="240" w:lineRule="atLeast"/>
        <w:rPr>
          <w:rFonts w:cs="Times New Roman"/>
          <w:color w:val="000000" w:themeColor="text1"/>
        </w:rPr>
      </w:pPr>
    </w:p>
    <w:p w14:paraId="367FD2C3" w14:textId="54212A57" w:rsidR="00513277" w:rsidRDefault="003002E3" w:rsidP="00737F0E">
      <w:pPr>
        <w:spacing w:line="240" w:lineRule="atLeast"/>
        <w:rPr>
          <w:rFonts w:cs="Times New Roman"/>
          <w:color w:val="000000" w:themeColor="text1"/>
        </w:rPr>
      </w:pPr>
      <w:r w:rsidRPr="00AC5152">
        <w:rPr>
          <w:rFonts w:cs="Times New Roman"/>
          <w:b/>
          <w:color w:val="000000" w:themeColor="text1"/>
          <w:u w:val="single"/>
        </w:rPr>
        <w:t>Adults:</w:t>
      </w:r>
      <w:r>
        <w:rPr>
          <w:rFonts w:cs="Times New Roman"/>
          <w:color w:val="000000" w:themeColor="text1"/>
          <w:u w:val="single"/>
        </w:rPr>
        <w:t xml:space="preserve"> </w:t>
      </w:r>
      <w:r w:rsidR="00740B08">
        <w:rPr>
          <w:rFonts w:cs="Times New Roman"/>
          <w:color w:val="000000" w:themeColor="text1"/>
        </w:rPr>
        <w:t>C</w:t>
      </w:r>
      <w:r w:rsidR="0049623F">
        <w:rPr>
          <w:rFonts w:cs="Times New Roman"/>
          <w:color w:val="000000" w:themeColor="text1"/>
        </w:rPr>
        <w:t xml:space="preserve">ognitive testing </w:t>
      </w:r>
      <w:r>
        <w:rPr>
          <w:rFonts w:cs="Times New Roman"/>
          <w:color w:val="000000" w:themeColor="text1"/>
        </w:rPr>
        <w:t xml:space="preserve">with adults </w:t>
      </w:r>
      <w:r w:rsidR="0049623F">
        <w:rPr>
          <w:rFonts w:cs="Times New Roman"/>
          <w:color w:val="000000" w:themeColor="text1"/>
        </w:rPr>
        <w:t xml:space="preserve">will </w:t>
      </w:r>
      <w:r w:rsidR="00A10314">
        <w:rPr>
          <w:rFonts w:cs="Times New Roman"/>
          <w:color w:val="000000" w:themeColor="text1"/>
        </w:rPr>
        <w:t xml:space="preserve">focus on </w:t>
      </w:r>
      <w:r w:rsidR="004E37A9">
        <w:rPr>
          <w:rFonts w:cs="Times New Roman"/>
          <w:color w:val="000000" w:themeColor="text1"/>
        </w:rPr>
        <w:t xml:space="preserve">several revised sections of the CIR, on the interview flow from the victimization screener to the CIR, </w:t>
      </w:r>
      <w:r w:rsidR="00AE2D2A">
        <w:rPr>
          <w:rFonts w:cs="Times New Roman"/>
          <w:color w:val="000000" w:themeColor="text1"/>
        </w:rPr>
        <w:t xml:space="preserve">and </w:t>
      </w:r>
      <w:r w:rsidR="004E37A9">
        <w:rPr>
          <w:rFonts w:cs="Times New Roman"/>
          <w:color w:val="000000" w:themeColor="text1"/>
        </w:rPr>
        <w:t xml:space="preserve">on </w:t>
      </w:r>
      <w:r w:rsidR="00AE2D2A">
        <w:rPr>
          <w:rFonts w:cs="Times New Roman"/>
          <w:color w:val="000000" w:themeColor="text1"/>
        </w:rPr>
        <w:t xml:space="preserve">community safety items to be asked of </w:t>
      </w:r>
      <w:r w:rsidR="004E37A9">
        <w:rPr>
          <w:rFonts w:cs="Times New Roman"/>
          <w:color w:val="000000" w:themeColor="text1"/>
        </w:rPr>
        <w:t>both those reporting and those not reporting victimizations</w:t>
      </w:r>
      <w:r w:rsidR="0049623F">
        <w:rPr>
          <w:rFonts w:cs="Times New Roman"/>
          <w:color w:val="000000" w:themeColor="text1"/>
        </w:rPr>
        <w:t xml:space="preserve">. </w:t>
      </w:r>
      <w:r w:rsidR="00A10314">
        <w:rPr>
          <w:rFonts w:cs="Times New Roman"/>
          <w:color w:val="000000" w:themeColor="text1"/>
        </w:rPr>
        <w:t xml:space="preserve">Round 1 will specifically focus on items asking about the location of the crime, the presence of others, the involvement of police, and the </w:t>
      </w:r>
      <w:r w:rsidR="007329E1">
        <w:rPr>
          <w:rFonts w:cs="Times New Roman"/>
          <w:color w:val="000000" w:themeColor="text1"/>
        </w:rPr>
        <w:t>use</w:t>
      </w:r>
      <w:r w:rsidR="00A10314">
        <w:rPr>
          <w:rFonts w:cs="Times New Roman"/>
          <w:color w:val="000000" w:themeColor="text1"/>
        </w:rPr>
        <w:t xml:space="preserve"> of victim services following the incident</w:t>
      </w:r>
      <w:r w:rsidR="0012112E">
        <w:rPr>
          <w:rFonts w:cs="Times New Roman"/>
          <w:color w:val="000000" w:themeColor="text1"/>
        </w:rPr>
        <w:t xml:space="preserve"> (Attachment A1)</w:t>
      </w:r>
      <w:r w:rsidR="00A10314">
        <w:rPr>
          <w:rFonts w:cs="Times New Roman"/>
          <w:color w:val="000000" w:themeColor="text1"/>
        </w:rPr>
        <w:t xml:space="preserve">. </w:t>
      </w:r>
      <w:r w:rsidR="00513277">
        <w:rPr>
          <w:rFonts w:cs="Times New Roman"/>
          <w:color w:val="000000" w:themeColor="text1"/>
        </w:rPr>
        <w:t>Round 1 will be interviewer-administered</w:t>
      </w:r>
      <w:r w:rsidR="006D2415">
        <w:rPr>
          <w:rFonts w:cs="Times New Roman"/>
          <w:color w:val="000000" w:themeColor="text1"/>
        </w:rPr>
        <w:t xml:space="preserve"> </w:t>
      </w:r>
      <w:r w:rsidR="0084417E">
        <w:rPr>
          <w:rFonts w:cs="Times New Roman"/>
          <w:color w:val="000000" w:themeColor="text1"/>
        </w:rPr>
        <w:t xml:space="preserve">with paper instruments </w:t>
      </w:r>
      <w:r w:rsidR="006D2415">
        <w:rPr>
          <w:rFonts w:cs="Times New Roman"/>
          <w:color w:val="000000" w:themeColor="text1"/>
        </w:rPr>
        <w:t xml:space="preserve">and will include 30 adults, which will allow </w:t>
      </w:r>
      <w:r w:rsidR="007329E1">
        <w:rPr>
          <w:rFonts w:cs="Times New Roman"/>
          <w:color w:val="000000" w:themeColor="text1"/>
        </w:rPr>
        <w:t>BJS</w:t>
      </w:r>
      <w:r w:rsidR="006D2415">
        <w:rPr>
          <w:rFonts w:cs="Times New Roman"/>
          <w:color w:val="000000" w:themeColor="text1"/>
        </w:rPr>
        <w:t xml:space="preserve"> to test the items with sufficient numbers of victims of different types of crimes, including vehicle theft, theft of other items, attacks, break-ins, and vandalism</w:t>
      </w:r>
      <w:r w:rsidR="00513277">
        <w:rPr>
          <w:rFonts w:cs="Times New Roman"/>
          <w:color w:val="000000" w:themeColor="text1"/>
        </w:rPr>
        <w:t xml:space="preserve">. </w:t>
      </w:r>
    </w:p>
    <w:p w14:paraId="235B40CA" w14:textId="77777777" w:rsidR="00513277" w:rsidRDefault="00513277" w:rsidP="00737F0E">
      <w:pPr>
        <w:spacing w:line="240" w:lineRule="atLeast"/>
        <w:rPr>
          <w:rFonts w:cs="Times New Roman"/>
          <w:color w:val="000000" w:themeColor="text1"/>
        </w:rPr>
      </w:pPr>
    </w:p>
    <w:p w14:paraId="25FF7879" w14:textId="61D0B36E" w:rsidR="00513277" w:rsidRDefault="00A10314" w:rsidP="00737F0E">
      <w:pPr>
        <w:spacing w:line="240" w:lineRule="atLeast"/>
        <w:rPr>
          <w:rFonts w:cs="Times New Roman"/>
          <w:color w:val="000000" w:themeColor="text1"/>
        </w:rPr>
      </w:pPr>
      <w:r>
        <w:rPr>
          <w:rFonts w:cs="Times New Roman"/>
          <w:color w:val="000000" w:themeColor="text1"/>
        </w:rPr>
        <w:t>Round 2 will specifically focus on items that assess what happened during the incident</w:t>
      </w:r>
      <w:r w:rsidR="00AE2D2A">
        <w:rPr>
          <w:rFonts w:cs="Times New Roman"/>
          <w:color w:val="000000" w:themeColor="text1"/>
        </w:rPr>
        <w:t>, the victim-offender relationship, self-defense items, and the community ask-all items</w:t>
      </w:r>
      <w:r w:rsidR="0012112E">
        <w:rPr>
          <w:rFonts w:cs="Times New Roman"/>
          <w:color w:val="000000" w:themeColor="text1"/>
        </w:rPr>
        <w:t xml:space="preserve"> (Attachment A2)</w:t>
      </w:r>
      <w:r>
        <w:rPr>
          <w:rFonts w:cs="Times New Roman"/>
          <w:color w:val="000000" w:themeColor="text1"/>
        </w:rPr>
        <w:t xml:space="preserve">. </w:t>
      </w:r>
      <w:r w:rsidR="00513277">
        <w:rPr>
          <w:rFonts w:cs="Times New Roman"/>
          <w:color w:val="000000" w:themeColor="text1"/>
        </w:rPr>
        <w:t xml:space="preserve">Round 2 will be programmed as a self-administered </w:t>
      </w:r>
      <w:r w:rsidR="0084417E">
        <w:rPr>
          <w:rFonts w:cs="Times New Roman"/>
          <w:color w:val="000000" w:themeColor="text1"/>
        </w:rPr>
        <w:t>Web-based</w:t>
      </w:r>
      <w:r w:rsidR="00513277">
        <w:rPr>
          <w:rFonts w:cs="Times New Roman"/>
          <w:color w:val="000000" w:themeColor="text1"/>
        </w:rPr>
        <w:t xml:space="preserve"> instrument</w:t>
      </w:r>
      <w:r w:rsidR="006D2415">
        <w:rPr>
          <w:rFonts w:cs="Times New Roman"/>
          <w:color w:val="000000" w:themeColor="text1"/>
        </w:rPr>
        <w:t>, and again will include 30 adults who have experienced the different types of crimes mentioned above</w:t>
      </w:r>
      <w:r w:rsidR="00513277">
        <w:rPr>
          <w:rFonts w:cs="Times New Roman"/>
          <w:color w:val="000000" w:themeColor="text1"/>
        </w:rPr>
        <w:t xml:space="preserve">. </w:t>
      </w:r>
    </w:p>
    <w:p w14:paraId="67626903" w14:textId="77777777" w:rsidR="00513277" w:rsidRDefault="00513277" w:rsidP="00737F0E">
      <w:pPr>
        <w:spacing w:line="240" w:lineRule="atLeast"/>
        <w:rPr>
          <w:rFonts w:cs="Times New Roman"/>
          <w:color w:val="000000" w:themeColor="text1"/>
        </w:rPr>
      </w:pPr>
    </w:p>
    <w:p w14:paraId="62B235F7" w14:textId="493249DC" w:rsidR="00737F0E" w:rsidRDefault="00A10314" w:rsidP="00737F0E">
      <w:pPr>
        <w:spacing w:line="240" w:lineRule="atLeast"/>
        <w:rPr>
          <w:rFonts w:cs="Times New Roman"/>
          <w:color w:val="000000" w:themeColor="text1"/>
        </w:rPr>
      </w:pPr>
      <w:r>
        <w:rPr>
          <w:rFonts w:cs="Times New Roman"/>
          <w:color w:val="000000" w:themeColor="text1"/>
        </w:rPr>
        <w:t xml:space="preserve">Round 3 will tie all </w:t>
      </w:r>
      <w:r w:rsidR="004E37A9">
        <w:rPr>
          <w:rFonts w:cs="Times New Roman"/>
          <w:color w:val="000000" w:themeColor="text1"/>
        </w:rPr>
        <w:t xml:space="preserve">CIR sections developed to date </w:t>
      </w:r>
      <w:r>
        <w:rPr>
          <w:rFonts w:cs="Times New Roman"/>
          <w:color w:val="000000" w:themeColor="text1"/>
        </w:rPr>
        <w:t>together for a comprehensive test</w:t>
      </w:r>
      <w:r w:rsidR="00513277">
        <w:rPr>
          <w:rFonts w:cs="Times New Roman"/>
          <w:color w:val="000000" w:themeColor="text1"/>
        </w:rPr>
        <w:t xml:space="preserve"> of the self-administered instrument</w:t>
      </w:r>
      <w:r w:rsidR="001640D3">
        <w:rPr>
          <w:rFonts w:cs="Times New Roman"/>
          <w:color w:val="000000" w:themeColor="text1"/>
        </w:rPr>
        <w:t>. Cognitive testing will be conducted i</w:t>
      </w:r>
      <w:r w:rsidR="006F4918">
        <w:rPr>
          <w:rFonts w:cs="Times New Roman"/>
          <w:color w:val="000000" w:themeColor="text1"/>
        </w:rPr>
        <w:t>n</w:t>
      </w:r>
      <w:r w:rsidR="004E37A9">
        <w:rPr>
          <w:rFonts w:cs="Times New Roman"/>
          <w:color w:val="000000" w:themeColor="text1"/>
        </w:rPr>
        <w:t xml:space="preserve"> </w:t>
      </w:r>
      <w:r w:rsidR="006F4918">
        <w:rPr>
          <w:rFonts w:cs="Times New Roman"/>
          <w:color w:val="000000" w:themeColor="text1"/>
        </w:rPr>
        <w:t xml:space="preserve">person </w:t>
      </w:r>
      <w:r w:rsidR="006D2415">
        <w:rPr>
          <w:rFonts w:cs="Times New Roman"/>
          <w:color w:val="000000" w:themeColor="text1"/>
        </w:rPr>
        <w:t xml:space="preserve">with 30 participants, </w:t>
      </w:r>
      <w:r w:rsidR="00AE2D2A">
        <w:rPr>
          <w:rFonts w:cs="Times New Roman"/>
          <w:color w:val="000000" w:themeColor="text1"/>
        </w:rPr>
        <w:t xml:space="preserve">using primarily concurrent probing techniques </w:t>
      </w:r>
      <w:r w:rsidR="006F4918">
        <w:rPr>
          <w:rFonts w:cs="Times New Roman"/>
          <w:color w:val="000000" w:themeColor="text1"/>
        </w:rPr>
        <w:t xml:space="preserve">to obtain a more nuanced understanding of how respondents are conceptualizing and answering each survey question. </w:t>
      </w:r>
      <w:r w:rsidR="00BD2514">
        <w:rPr>
          <w:rFonts w:cs="Times New Roman"/>
          <w:color w:val="000000" w:themeColor="text1"/>
        </w:rPr>
        <w:t xml:space="preserve">The cognitive interviews will address the structure and language of </w:t>
      </w:r>
      <w:r w:rsidR="004E37A9">
        <w:rPr>
          <w:rFonts w:cs="Times New Roman"/>
          <w:color w:val="000000" w:themeColor="text1"/>
        </w:rPr>
        <w:t xml:space="preserve">the </w:t>
      </w:r>
      <w:r w:rsidR="001640D3">
        <w:rPr>
          <w:rFonts w:cs="Times New Roman"/>
          <w:color w:val="000000" w:themeColor="text1"/>
        </w:rPr>
        <w:t xml:space="preserve">revised </w:t>
      </w:r>
      <w:r w:rsidR="004E37A9">
        <w:rPr>
          <w:rFonts w:cs="Times New Roman"/>
          <w:color w:val="000000" w:themeColor="text1"/>
        </w:rPr>
        <w:t xml:space="preserve">CIR </w:t>
      </w:r>
      <w:r w:rsidR="001640D3">
        <w:rPr>
          <w:rFonts w:cs="Times New Roman"/>
          <w:color w:val="000000" w:themeColor="text1"/>
        </w:rPr>
        <w:t>sections</w:t>
      </w:r>
      <w:r w:rsidR="00BD2514">
        <w:rPr>
          <w:rFonts w:cs="Times New Roman"/>
          <w:color w:val="000000" w:themeColor="text1"/>
        </w:rPr>
        <w:t xml:space="preserve">, </w:t>
      </w:r>
      <w:r w:rsidR="00737F0E">
        <w:rPr>
          <w:rFonts w:cs="Times New Roman"/>
          <w:color w:val="000000" w:themeColor="text1"/>
        </w:rPr>
        <w:t xml:space="preserve">and </w:t>
      </w:r>
      <w:r w:rsidR="00183A39">
        <w:rPr>
          <w:rFonts w:cs="Times New Roman"/>
          <w:color w:val="000000" w:themeColor="text1"/>
        </w:rPr>
        <w:t>specifically the following</w:t>
      </w:r>
      <w:r w:rsidR="004E37A9">
        <w:rPr>
          <w:rFonts w:cs="Times New Roman"/>
          <w:color w:val="000000" w:themeColor="text1"/>
        </w:rPr>
        <w:t>:</w:t>
      </w:r>
    </w:p>
    <w:p w14:paraId="69CD3E0A" w14:textId="77777777" w:rsidR="00737F0E" w:rsidRDefault="00737F0E" w:rsidP="00737F0E">
      <w:pPr>
        <w:spacing w:line="240" w:lineRule="atLeast"/>
        <w:rPr>
          <w:rFonts w:cs="Times New Roman"/>
          <w:color w:val="000000" w:themeColor="text1"/>
        </w:rPr>
      </w:pPr>
    </w:p>
    <w:p w14:paraId="01D1E266" w14:textId="77777777" w:rsidR="001640D3" w:rsidRDefault="001640D3" w:rsidP="00E118FA">
      <w:pPr>
        <w:pStyle w:val="ListParagraph"/>
        <w:numPr>
          <w:ilvl w:val="0"/>
          <w:numId w:val="10"/>
        </w:numPr>
        <w:spacing w:line="240" w:lineRule="atLeast"/>
        <w:rPr>
          <w:rFonts w:cs="Times New Roman"/>
          <w:color w:val="000000" w:themeColor="text1"/>
        </w:rPr>
      </w:pPr>
      <w:r>
        <w:rPr>
          <w:rFonts w:cs="Times New Roman"/>
          <w:color w:val="000000" w:themeColor="text1"/>
        </w:rPr>
        <w:t>Rounds 1 and 3</w:t>
      </w:r>
      <w:r w:rsidR="0012112E">
        <w:rPr>
          <w:rFonts w:cs="Times New Roman"/>
          <w:color w:val="000000" w:themeColor="text1"/>
        </w:rPr>
        <w:t xml:space="preserve"> (Attachment A1)</w:t>
      </w:r>
      <w:r>
        <w:rPr>
          <w:rFonts w:cs="Times New Roman"/>
          <w:color w:val="000000" w:themeColor="text1"/>
        </w:rPr>
        <w:t xml:space="preserve">: </w:t>
      </w:r>
    </w:p>
    <w:p w14:paraId="6BE71195" w14:textId="77777777" w:rsidR="00BD2514" w:rsidRDefault="001640D3" w:rsidP="001640D3">
      <w:pPr>
        <w:pStyle w:val="ListParagraph"/>
        <w:numPr>
          <w:ilvl w:val="1"/>
          <w:numId w:val="10"/>
        </w:numPr>
        <w:spacing w:line="240" w:lineRule="atLeast"/>
        <w:rPr>
          <w:rFonts w:cs="Times New Roman"/>
          <w:color w:val="000000" w:themeColor="text1"/>
        </w:rPr>
      </w:pPr>
      <w:r>
        <w:rPr>
          <w:rFonts w:cs="Times New Roman"/>
          <w:color w:val="000000" w:themeColor="text1"/>
        </w:rPr>
        <w:t>Reactions to the location items to improve the efficiency of asking where the incident occurred;</w:t>
      </w:r>
    </w:p>
    <w:p w14:paraId="1A9A799E" w14:textId="2715B0CE" w:rsidR="001640D3" w:rsidRDefault="001640D3" w:rsidP="001640D3">
      <w:pPr>
        <w:pStyle w:val="ListParagraph"/>
        <w:numPr>
          <w:ilvl w:val="1"/>
          <w:numId w:val="10"/>
        </w:numPr>
        <w:spacing w:line="240" w:lineRule="atLeast"/>
        <w:rPr>
          <w:rFonts w:cs="Times New Roman"/>
          <w:color w:val="000000" w:themeColor="text1"/>
        </w:rPr>
      </w:pPr>
      <w:r>
        <w:rPr>
          <w:rFonts w:cs="Times New Roman"/>
          <w:color w:val="000000" w:themeColor="text1"/>
        </w:rPr>
        <w:t xml:space="preserve">Reactions to the presence items to ensure </w:t>
      </w:r>
      <w:r w:rsidR="00974B29">
        <w:rPr>
          <w:rFonts w:cs="Times New Roman"/>
          <w:color w:val="000000" w:themeColor="text1"/>
        </w:rPr>
        <w:t>BJS is</w:t>
      </w:r>
      <w:r>
        <w:rPr>
          <w:rFonts w:cs="Times New Roman"/>
          <w:color w:val="000000" w:themeColor="text1"/>
        </w:rPr>
        <w:t xml:space="preserve"> collecting valid and reliable measurement of who </w:t>
      </w:r>
      <w:r w:rsidR="002E22CA">
        <w:rPr>
          <w:rFonts w:cs="Times New Roman"/>
          <w:color w:val="000000" w:themeColor="text1"/>
        </w:rPr>
        <w:t xml:space="preserve">was present during the incident and who </w:t>
      </w:r>
      <w:r>
        <w:rPr>
          <w:rFonts w:cs="Times New Roman"/>
          <w:color w:val="000000" w:themeColor="text1"/>
        </w:rPr>
        <w:t>witnessed the incident;</w:t>
      </w:r>
    </w:p>
    <w:p w14:paraId="33386FF3" w14:textId="77777777" w:rsidR="001640D3" w:rsidRDefault="001640D3" w:rsidP="001640D3">
      <w:pPr>
        <w:pStyle w:val="ListParagraph"/>
        <w:numPr>
          <w:ilvl w:val="1"/>
          <w:numId w:val="10"/>
        </w:numPr>
        <w:spacing w:line="240" w:lineRule="atLeast"/>
        <w:rPr>
          <w:rFonts w:cs="Times New Roman"/>
          <w:color w:val="000000" w:themeColor="text1"/>
        </w:rPr>
      </w:pPr>
      <w:r>
        <w:rPr>
          <w:rFonts w:cs="Times New Roman"/>
          <w:color w:val="000000" w:themeColor="text1"/>
        </w:rPr>
        <w:t>Reactions to the police involvement items to improve the ability of interviewers</w:t>
      </w:r>
      <w:r w:rsidR="00490F22">
        <w:rPr>
          <w:rFonts w:cs="Times New Roman"/>
          <w:color w:val="000000" w:themeColor="text1"/>
        </w:rPr>
        <w:t xml:space="preserve"> and respondents</w:t>
      </w:r>
      <w:r>
        <w:rPr>
          <w:rFonts w:cs="Times New Roman"/>
          <w:color w:val="000000" w:themeColor="text1"/>
        </w:rPr>
        <w:t xml:space="preserve"> to </w:t>
      </w:r>
      <w:r w:rsidR="00490F22">
        <w:rPr>
          <w:rFonts w:cs="Times New Roman"/>
          <w:color w:val="000000" w:themeColor="text1"/>
        </w:rPr>
        <w:t xml:space="preserve">identify </w:t>
      </w:r>
      <w:r>
        <w:rPr>
          <w:rFonts w:cs="Times New Roman"/>
          <w:color w:val="000000" w:themeColor="text1"/>
        </w:rPr>
        <w:t>reasons why police are/are not contacted;</w:t>
      </w:r>
      <w:r w:rsidR="002E22CA">
        <w:rPr>
          <w:rFonts w:cs="Times New Roman"/>
          <w:color w:val="000000" w:themeColor="text1"/>
        </w:rPr>
        <w:t xml:space="preserve"> and</w:t>
      </w:r>
    </w:p>
    <w:p w14:paraId="172B970B" w14:textId="77777777" w:rsidR="001640D3" w:rsidRDefault="001640D3" w:rsidP="001640D3">
      <w:pPr>
        <w:pStyle w:val="ListParagraph"/>
        <w:numPr>
          <w:ilvl w:val="1"/>
          <w:numId w:val="10"/>
        </w:numPr>
        <w:spacing w:line="240" w:lineRule="atLeast"/>
        <w:rPr>
          <w:rFonts w:cs="Times New Roman"/>
          <w:color w:val="000000" w:themeColor="text1"/>
        </w:rPr>
      </w:pPr>
      <w:r>
        <w:rPr>
          <w:rFonts w:cs="Times New Roman"/>
          <w:color w:val="000000" w:themeColor="text1"/>
        </w:rPr>
        <w:t>Reactions to the victim services items to improve the assessment of services received after the incident</w:t>
      </w:r>
      <w:r w:rsidR="002E22CA">
        <w:rPr>
          <w:rFonts w:cs="Times New Roman"/>
          <w:color w:val="000000" w:themeColor="text1"/>
        </w:rPr>
        <w:t>.</w:t>
      </w:r>
    </w:p>
    <w:p w14:paraId="7E4E4BB2" w14:textId="77777777" w:rsidR="001640D3" w:rsidRDefault="001640D3" w:rsidP="00E118FA">
      <w:pPr>
        <w:pStyle w:val="ListParagraph"/>
        <w:numPr>
          <w:ilvl w:val="0"/>
          <w:numId w:val="10"/>
        </w:numPr>
        <w:spacing w:line="240" w:lineRule="atLeast"/>
        <w:rPr>
          <w:rFonts w:cs="Times New Roman"/>
          <w:color w:val="000000" w:themeColor="text1"/>
        </w:rPr>
      </w:pPr>
      <w:r>
        <w:rPr>
          <w:rFonts w:cs="Times New Roman"/>
          <w:color w:val="000000" w:themeColor="text1"/>
        </w:rPr>
        <w:t>Rounds 2 and 3</w:t>
      </w:r>
      <w:r w:rsidR="0012112E">
        <w:rPr>
          <w:rFonts w:cs="Times New Roman"/>
          <w:color w:val="000000" w:themeColor="text1"/>
        </w:rPr>
        <w:t xml:space="preserve"> (Attachment A2)</w:t>
      </w:r>
      <w:r w:rsidR="002E22CA">
        <w:rPr>
          <w:rFonts w:cs="Times New Roman"/>
          <w:color w:val="000000" w:themeColor="text1"/>
        </w:rPr>
        <w:t>:</w:t>
      </w:r>
    </w:p>
    <w:p w14:paraId="1CBAEF8A" w14:textId="77777777" w:rsidR="001640D3" w:rsidRDefault="001640D3" w:rsidP="001640D3">
      <w:pPr>
        <w:pStyle w:val="ListParagraph"/>
        <w:numPr>
          <w:ilvl w:val="1"/>
          <w:numId w:val="10"/>
        </w:numPr>
        <w:spacing w:line="240" w:lineRule="atLeast"/>
        <w:rPr>
          <w:rFonts w:cs="Times New Roman"/>
          <w:color w:val="000000" w:themeColor="text1"/>
        </w:rPr>
      </w:pPr>
      <w:r>
        <w:rPr>
          <w:rFonts w:cs="Times New Roman"/>
          <w:color w:val="000000" w:themeColor="text1"/>
        </w:rPr>
        <w:t xml:space="preserve">Testing the “what happened” series of items in the </w:t>
      </w:r>
      <w:r w:rsidR="004E37A9">
        <w:rPr>
          <w:rFonts w:cs="Times New Roman"/>
          <w:color w:val="000000" w:themeColor="text1"/>
        </w:rPr>
        <w:t>CIR</w:t>
      </w:r>
      <w:r>
        <w:rPr>
          <w:rFonts w:cs="Times New Roman"/>
          <w:color w:val="000000" w:themeColor="text1"/>
        </w:rPr>
        <w:t>, which, in conjunction with the revised screening items, should provide a comprehensive picture of the type of crime that occurred</w:t>
      </w:r>
      <w:r w:rsidR="002E22CA">
        <w:rPr>
          <w:rFonts w:cs="Times New Roman"/>
          <w:color w:val="000000" w:themeColor="text1"/>
        </w:rPr>
        <w:t>;</w:t>
      </w:r>
    </w:p>
    <w:p w14:paraId="4A844EFC" w14:textId="77777777" w:rsidR="00AE2D2A" w:rsidRDefault="00AE2D2A" w:rsidP="001640D3">
      <w:pPr>
        <w:pStyle w:val="ListParagraph"/>
        <w:numPr>
          <w:ilvl w:val="1"/>
          <w:numId w:val="10"/>
        </w:numPr>
        <w:spacing w:line="240" w:lineRule="atLeast"/>
        <w:rPr>
          <w:rFonts w:cs="Times New Roman"/>
          <w:color w:val="000000" w:themeColor="text1"/>
        </w:rPr>
      </w:pPr>
      <w:r>
        <w:rPr>
          <w:rFonts w:cs="Times New Roman"/>
          <w:color w:val="000000" w:themeColor="text1"/>
        </w:rPr>
        <w:t xml:space="preserve">Reactions to the victim-offender relationship and self-defense items to ensure we are </w:t>
      </w:r>
      <w:r w:rsidR="00490F22">
        <w:rPr>
          <w:rFonts w:cs="Times New Roman"/>
          <w:color w:val="000000" w:themeColor="text1"/>
        </w:rPr>
        <w:t>accurately and completely capturing these concepts</w:t>
      </w:r>
      <w:r>
        <w:rPr>
          <w:rFonts w:cs="Times New Roman"/>
          <w:color w:val="000000" w:themeColor="text1"/>
        </w:rPr>
        <w:t>;</w:t>
      </w:r>
      <w:r w:rsidR="002E22CA">
        <w:rPr>
          <w:rFonts w:cs="Times New Roman"/>
          <w:color w:val="000000" w:themeColor="text1"/>
        </w:rPr>
        <w:t xml:space="preserve"> and</w:t>
      </w:r>
    </w:p>
    <w:p w14:paraId="50D6E8D2" w14:textId="77777777" w:rsidR="00AE2D2A" w:rsidRPr="00737F0E" w:rsidRDefault="00AE2D2A" w:rsidP="001640D3">
      <w:pPr>
        <w:pStyle w:val="ListParagraph"/>
        <w:numPr>
          <w:ilvl w:val="1"/>
          <w:numId w:val="10"/>
        </w:numPr>
        <w:spacing w:line="240" w:lineRule="atLeast"/>
        <w:rPr>
          <w:rFonts w:cs="Times New Roman"/>
          <w:color w:val="000000" w:themeColor="text1"/>
        </w:rPr>
      </w:pPr>
      <w:r>
        <w:rPr>
          <w:rFonts w:cs="Times New Roman"/>
          <w:color w:val="000000" w:themeColor="text1"/>
        </w:rPr>
        <w:t>Reactions to the community safety items to ensure they are applicable to all types of respondents and are easily understood with low burden.</w:t>
      </w:r>
    </w:p>
    <w:p w14:paraId="5FAEA0DF" w14:textId="77777777" w:rsidR="00BD2514" w:rsidRDefault="00BD2514" w:rsidP="002A71F1">
      <w:pPr>
        <w:spacing w:line="240" w:lineRule="atLeast"/>
        <w:rPr>
          <w:rFonts w:cs="Times New Roman"/>
          <w:color w:val="000000" w:themeColor="text1"/>
        </w:rPr>
      </w:pPr>
    </w:p>
    <w:p w14:paraId="6922B94D" w14:textId="43B8682D" w:rsidR="00697BFE" w:rsidRDefault="003002E3" w:rsidP="002A71F1">
      <w:pPr>
        <w:spacing w:line="240" w:lineRule="atLeast"/>
        <w:rPr>
          <w:rFonts w:cs="Times New Roman"/>
          <w:color w:val="000000" w:themeColor="text1"/>
        </w:rPr>
      </w:pPr>
      <w:r w:rsidRPr="00AC5152">
        <w:rPr>
          <w:rFonts w:cs="Times New Roman"/>
          <w:b/>
          <w:color w:val="000000" w:themeColor="text1"/>
          <w:u w:val="single"/>
        </w:rPr>
        <w:t>Youth:</w:t>
      </w:r>
      <w:r w:rsidRPr="003002E3">
        <w:rPr>
          <w:rFonts w:cs="Times New Roman"/>
          <w:color w:val="000000" w:themeColor="text1"/>
        </w:rPr>
        <w:t xml:space="preserve"> </w:t>
      </w:r>
      <w:r w:rsidR="002D42F9">
        <w:rPr>
          <w:rFonts w:cs="Times New Roman"/>
          <w:color w:val="000000" w:themeColor="text1"/>
        </w:rPr>
        <w:t>C</w:t>
      </w:r>
      <w:r>
        <w:rPr>
          <w:rFonts w:cs="Times New Roman"/>
          <w:color w:val="000000" w:themeColor="text1"/>
        </w:rPr>
        <w:t xml:space="preserve">ognitive testing with </w:t>
      </w:r>
      <w:r w:rsidR="002D42F9">
        <w:rPr>
          <w:rFonts w:cs="Times New Roman"/>
          <w:color w:val="000000" w:themeColor="text1"/>
        </w:rPr>
        <w:t xml:space="preserve">30 </w:t>
      </w:r>
      <w:r>
        <w:rPr>
          <w:rFonts w:cs="Times New Roman"/>
          <w:color w:val="000000" w:themeColor="text1"/>
        </w:rPr>
        <w:t xml:space="preserve">youth </w:t>
      </w:r>
      <w:r w:rsidR="0012112E">
        <w:rPr>
          <w:rFonts w:cs="Times New Roman"/>
          <w:color w:val="000000" w:themeColor="text1"/>
        </w:rPr>
        <w:t xml:space="preserve">ages </w:t>
      </w:r>
      <w:r>
        <w:rPr>
          <w:rFonts w:cs="Times New Roman"/>
          <w:color w:val="000000" w:themeColor="text1"/>
        </w:rPr>
        <w:t xml:space="preserve">12 to 17 will be </w:t>
      </w:r>
      <w:r w:rsidR="00F160DA">
        <w:rPr>
          <w:rFonts w:cs="Times New Roman"/>
          <w:color w:val="000000" w:themeColor="text1"/>
        </w:rPr>
        <w:t xml:space="preserve">conducted </w:t>
      </w:r>
      <w:r w:rsidR="006D2415">
        <w:rPr>
          <w:rFonts w:cs="Times New Roman"/>
          <w:color w:val="000000" w:themeColor="text1"/>
        </w:rPr>
        <w:t>with 15 youth ages 12 to 14 and 15 youth ages 15 to 17</w:t>
      </w:r>
      <w:r w:rsidR="00513277">
        <w:rPr>
          <w:rFonts w:cs="Times New Roman"/>
          <w:color w:val="000000" w:themeColor="text1"/>
        </w:rPr>
        <w:t xml:space="preserve">. </w:t>
      </w:r>
      <w:r w:rsidR="00697BFE">
        <w:rPr>
          <w:rFonts w:cs="Times New Roman"/>
          <w:color w:val="000000" w:themeColor="text1"/>
        </w:rPr>
        <w:t xml:space="preserve">We aim to recruit </w:t>
      </w:r>
      <w:r w:rsidR="002D42F9">
        <w:rPr>
          <w:rFonts w:cs="Times New Roman"/>
          <w:color w:val="000000" w:themeColor="text1"/>
        </w:rPr>
        <w:t xml:space="preserve">youth such that </w:t>
      </w:r>
      <w:r w:rsidR="00697BFE">
        <w:rPr>
          <w:rFonts w:cs="Times New Roman"/>
          <w:color w:val="000000" w:themeColor="text1"/>
        </w:rPr>
        <w:t xml:space="preserve">at least 20 out of the 30 youth have been the victim of a crime in the past 12 months. </w:t>
      </w:r>
    </w:p>
    <w:p w14:paraId="20851E21" w14:textId="3F3968C9" w:rsidR="00697BFE" w:rsidRDefault="00697BFE" w:rsidP="00762D15">
      <w:pPr>
        <w:pStyle w:val="ListParagraph"/>
        <w:numPr>
          <w:ilvl w:val="0"/>
          <w:numId w:val="11"/>
        </w:numPr>
        <w:spacing w:line="240" w:lineRule="atLeast"/>
        <w:rPr>
          <w:rFonts w:cs="Times New Roman"/>
          <w:color w:val="000000" w:themeColor="text1"/>
        </w:rPr>
      </w:pPr>
      <w:r w:rsidRPr="00762D15">
        <w:rPr>
          <w:rFonts w:cs="Times New Roman"/>
          <w:color w:val="000000" w:themeColor="text1"/>
        </w:rPr>
        <w:t xml:space="preserve">Youth who have not been the victim of a crime will receive the long cue screening items and police ask-all items and their associated cognitive probes. If time permits, they will also be provided with short </w:t>
      </w:r>
      <w:r w:rsidR="00992E99">
        <w:rPr>
          <w:rFonts w:cs="Times New Roman"/>
          <w:color w:val="000000" w:themeColor="text1"/>
        </w:rPr>
        <w:t xml:space="preserve">fictional </w:t>
      </w:r>
      <w:r w:rsidRPr="00762D15">
        <w:rPr>
          <w:rFonts w:cs="Times New Roman"/>
          <w:color w:val="000000" w:themeColor="text1"/>
        </w:rPr>
        <w:t>narratives and asked to answer specific screening items based on their understanding of the narratives</w:t>
      </w:r>
      <w:r w:rsidR="00DF48E0">
        <w:rPr>
          <w:rFonts w:cs="Times New Roman"/>
          <w:color w:val="000000" w:themeColor="text1"/>
        </w:rPr>
        <w:t xml:space="preserve"> (Attachments A3 and A3A)</w:t>
      </w:r>
      <w:r w:rsidRPr="00762D15">
        <w:rPr>
          <w:rFonts w:cs="Times New Roman"/>
          <w:color w:val="000000" w:themeColor="text1"/>
        </w:rPr>
        <w:t xml:space="preserve">.  </w:t>
      </w:r>
    </w:p>
    <w:p w14:paraId="67BD21F1" w14:textId="2A497057" w:rsidR="00697BFE" w:rsidRDefault="00697BFE" w:rsidP="00762D15">
      <w:pPr>
        <w:pStyle w:val="ListParagraph"/>
        <w:numPr>
          <w:ilvl w:val="0"/>
          <w:numId w:val="11"/>
        </w:numPr>
        <w:spacing w:line="240" w:lineRule="atLeast"/>
        <w:rPr>
          <w:rFonts w:cs="Times New Roman"/>
          <w:color w:val="000000" w:themeColor="text1"/>
        </w:rPr>
      </w:pPr>
      <w:r>
        <w:rPr>
          <w:rFonts w:cs="Times New Roman"/>
          <w:color w:val="000000" w:themeColor="text1"/>
        </w:rPr>
        <w:t xml:space="preserve">Youth who have been the victim of a crime will receive the short cue screening items and one set of the CIR items being tested among adults. If the youth answers no to all of the screening items, indicating they have actually not been the victim of a crime in the past 12 months, they will be </w:t>
      </w:r>
      <w:r w:rsidRPr="00800754">
        <w:rPr>
          <w:rFonts w:cs="Times New Roman"/>
          <w:color w:val="000000" w:themeColor="text1"/>
        </w:rPr>
        <w:t xml:space="preserve">provided with short </w:t>
      </w:r>
      <w:r w:rsidR="00992E99">
        <w:rPr>
          <w:rFonts w:cs="Times New Roman"/>
          <w:color w:val="000000" w:themeColor="text1"/>
        </w:rPr>
        <w:t xml:space="preserve">fictional </w:t>
      </w:r>
      <w:r w:rsidRPr="00800754">
        <w:rPr>
          <w:rFonts w:cs="Times New Roman"/>
          <w:color w:val="000000" w:themeColor="text1"/>
        </w:rPr>
        <w:t>narratives</w:t>
      </w:r>
      <w:r>
        <w:rPr>
          <w:rFonts w:cs="Times New Roman"/>
          <w:color w:val="000000" w:themeColor="text1"/>
        </w:rPr>
        <w:t>, rather than the CIR items,</w:t>
      </w:r>
      <w:r w:rsidRPr="00800754">
        <w:rPr>
          <w:rFonts w:cs="Times New Roman"/>
          <w:color w:val="000000" w:themeColor="text1"/>
        </w:rPr>
        <w:t xml:space="preserve"> and </w:t>
      </w:r>
      <w:r>
        <w:rPr>
          <w:rFonts w:cs="Times New Roman"/>
          <w:color w:val="000000" w:themeColor="text1"/>
        </w:rPr>
        <w:t xml:space="preserve">will be </w:t>
      </w:r>
      <w:r w:rsidRPr="00800754">
        <w:rPr>
          <w:rFonts w:cs="Times New Roman"/>
          <w:color w:val="000000" w:themeColor="text1"/>
        </w:rPr>
        <w:t>asked to answer specific screening items based on their understanding of the narratives</w:t>
      </w:r>
      <w:r w:rsidR="00DF48E0">
        <w:rPr>
          <w:rFonts w:cs="Times New Roman"/>
          <w:color w:val="000000" w:themeColor="text1"/>
        </w:rPr>
        <w:t xml:space="preserve"> (Attachments A1 and A2).</w:t>
      </w:r>
    </w:p>
    <w:p w14:paraId="7267A710" w14:textId="77777777" w:rsidR="00697BFE" w:rsidRDefault="00697BFE" w:rsidP="002A71F1">
      <w:pPr>
        <w:spacing w:line="240" w:lineRule="atLeast"/>
        <w:rPr>
          <w:rFonts w:cs="Times New Roman"/>
          <w:color w:val="000000" w:themeColor="text1"/>
        </w:rPr>
      </w:pPr>
    </w:p>
    <w:p w14:paraId="5B07387E" w14:textId="5E080701" w:rsidR="00F160DA" w:rsidRDefault="00F160DA" w:rsidP="00DD23E0">
      <w:pPr>
        <w:spacing w:line="240" w:lineRule="atLeast"/>
        <w:rPr>
          <w:rFonts w:cs="Times New Roman"/>
          <w:color w:val="000000" w:themeColor="text1"/>
        </w:rPr>
      </w:pPr>
      <w:r>
        <w:rPr>
          <w:rFonts w:cs="Times New Roman"/>
          <w:color w:val="000000" w:themeColor="text1"/>
        </w:rPr>
        <w:lastRenderedPageBreak/>
        <w:t xml:space="preserve">Cognitive testing will be conducted with a mix of youth, some of whom live in households in which the adult experienced a crime (and is being recruited for </w:t>
      </w:r>
      <w:r w:rsidR="00CB773E">
        <w:rPr>
          <w:rFonts w:cs="Times New Roman"/>
          <w:color w:val="000000" w:themeColor="text1"/>
        </w:rPr>
        <w:t>the</w:t>
      </w:r>
      <w:r>
        <w:rPr>
          <w:rFonts w:cs="Times New Roman"/>
          <w:color w:val="000000" w:themeColor="text1"/>
        </w:rPr>
        <w:t xml:space="preserve"> adult </w:t>
      </w:r>
      <w:r w:rsidR="00CB773E">
        <w:rPr>
          <w:rFonts w:cs="Times New Roman"/>
          <w:color w:val="000000" w:themeColor="text1"/>
        </w:rPr>
        <w:t>testing</w:t>
      </w:r>
      <w:r>
        <w:rPr>
          <w:rFonts w:cs="Times New Roman"/>
          <w:color w:val="000000" w:themeColor="text1"/>
        </w:rPr>
        <w:t xml:space="preserve">), and others whose parents were not necessarily crime victims. </w:t>
      </w:r>
      <w:r w:rsidR="006D2415">
        <w:rPr>
          <w:rFonts w:cs="Times New Roman"/>
          <w:color w:val="000000" w:themeColor="text1"/>
        </w:rPr>
        <w:t xml:space="preserve">To </w:t>
      </w:r>
      <w:r w:rsidR="002D42F9">
        <w:rPr>
          <w:rFonts w:cs="Times New Roman"/>
          <w:color w:val="000000" w:themeColor="text1"/>
        </w:rPr>
        <w:t>target recruitment activities toward</w:t>
      </w:r>
      <w:r w:rsidR="006D2415">
        <w:rPr>
          <w:rFonts w:cs="Times New Roman"/>
          <w:color w:val="000000" w:themeColor="text1"/>
        </w:rPr>
        <w:t xml:space="preserve"> youth victims of crime, we will identify </w:t>
      </w:r>
      <w:r w:rsidR="002D42F9">
        <w:rPr>
          <w:rFonts w:cs="Times New Roman"/>
          <w:color w:val="000000" w:themeColor="text1"/>
        </w:rPr>
        <w:t xml:space="preserve">youth </w:t>
      </w:r>
      <w:r w:rsidR="006D2415">
        <w:rPr>
          <w:rFonts w:cs="Times New Roman"/>
          <w:color w:val="000000" w:themeColor="text1"/>
        </w:rPr>
        <w:t>victim services organizations and other youth service organizations</w:t>
      </w:r>
      <w:r w:rsidR="002D42F9">
        <w:rPr>
          <w:rFonts w:cs="Times New Roman"/>
          <w:color w:val="000000" w:themeColor="text1"/>
        </w:rPr>
        <w:t xml:space="preserve"> that may be willing to support recruitment efforts</w:t>
      </w:r>
      <w:r w:rsidR="006D2415">
        <w:rPr>
          <w:rFonts w:cs="Times New Roman"/>
          <w:color w:val="000000" w:themeColor="text1"/>
        </w:rPr>
        <w:t xml:space="preserve">. </w:t>
      </w:r>
      <w:r>
        <w:rPr>
          <w:rFonts w:cs="Times New Roman"/>
          <w:color w:val="000000" w:themeColor="text1"/>
        </w:rPr>
        <w:t xml:space="preserve">Parental consent </w:t>
      </w:r>
      <w:r w:rsidR="00554650">
        <w:rPr>
          <w:rFonts w:cs="Times New Roman"/>
          <w:color w:val="000000" w:themeColor="text1"/>
        </w:rPr>
        <w:t xml:space="preserve">and child assent </w:t>
      </w:r>
      <w:r>
        <w:rPr>
          <w:rFonts w:cs="Times New Roman"/>
          <w:color w:val="000000" w:themeColor="text1"/>
        </w:rPr>
        <w:t xml:space="preserve">will be required for all interviews and all recruitment activities will </w:t>
      </w:r>
      <w:r w:rsidR="006D2415">
        <w:rPr>
          <w:rFonts w:cs="Times New Roman"/>
          <w:color w:val="000000" w:themeColor="text1"/>
        </w:rPr>
        <w:t>be conducted through</w:t>
      </w:r>
      <w:r>
        <w:rPr>
          <w:rFonts w:cs="Times New Roman"/>
          <w:color w:val="000000" w:themeColor="text1"/>
        </w:rPr>
        <w:t xml:space="preserve"> the parent or guardian</w:t>
      </w:r>
      <w:r w:rsidR="00F60CCF">
        <w:rPr>
          <w:rFonts w:cs="Times New Roman"/>
          <w:color w:val="000000" w:themeColor="text1"/>
        </w:rPr>
        <w:t xml:space="preserve"> to obtain permission to interview the youth</w:t>
      </w:r>
      <w:r>
        <w:rPr>
          <w:rFonts w:cs="Times New Roman"/>
          <w:color w:val="000000" w:themeColor="text1"/>
        </w:rPr>
        <w:t xml:space="preserve">. </w:t>
      </w:r>
      <w:r w:rsidR="00F60CCF">
        <w:rPr>
          <w:rFonts w:cs="Times New Roman"/>
          <w:color w:val="000000" w:themeColor="text1"/>
        </w:rPr>
        <w:t xml:space="preserve">If parents accompany the youth to the interviews, the youth interviews will be conducted in private without the parent present. </w:t>
      </w:r>
    </w:p>
    <w:p w14:paraId="3F0F21D9" w14:textId="77777777" w:rsidR="00F160DA" w:rsidRDefault="00F160DA">
      <w:pPr>
        <w:spacing w:line="240" w:lineRule="atLeast"/>
        <w:rPr>
          <w:rFonts w:cs="Times New Roman"/>
          <w:color w:val="000000" w:themeColor="text1"/>
        </w:rPr>
      </w:pPr>
    </w:p>
    <w:p w14:paraId="058B7360" w14:textId="77777777" w:rsidR="003002E3" w:rsidRDefault="003002E3" w:rsidP="002A71F1">
      <w:pPr>
        <w:spacing w:line="240" w:lineRule="atLeast"/>
        <w:rPr>
          <w:rFonts w:cs="Times New Roman"/>
          <w:color w:val="000000" w:themeColor="text1"/>
        </w:rPr>
      </w:pPr>
    </w:p>
    <w:p w14:paraId="51D5CC31" w14:textId="77777777" w:rsidR="00FA424C" w:rsidRPr="0049623F" w:rsidRDefault="00FA424C" w:rsidP="00FA424C">
      <w:pPr>
        <w:spacing w:line="240" w:lineRule="atLeast"/>
        <w:rPr>
          <w:rFonts w:cs="Times New Roman"/>
          <w:b/>
          <w:i/>
          <w:color w:val="000000" w:themeColor="text1"/>
        </w:rPr>
      </w:pPr>
      <w:r w:rsidRPr="0049623F">
        <w:rPr>
          <w:rFonts w:cs="Times New Roman"/>
          <w:b/>
          <w:i/>
          <w:color w:val="000000" w:themeColor="text1"/>
        </w:rPr>
        <w:t xml:space="preserve">Cognitive </w:t>
      </w:r>
      <w:r>
        <w:rPr>
          <w:rFonts w:cs="Times New Roman"/>
          <w:b/>
          <w:i/>
          <w:color w:val="000000" w:themeColor="text1"/>
        </w:rPr>
        <w:t>Probing</w:t>
      </w:r>
    </w:p>
    <w:p w14:paraId="120754FC" w14:textId="77777777" w:rsidR="00FA424C" w:rsidRDefault="00FA424C" w:rsidP="00011B20">
      <w:pPr>
        <w:rPr>
          <w:rFonts w:cs="Times New Roman"/>
        </w:rPr>
      </w:pPr>
    </w:p>
    <w:p w14:paraId="3E541194" w14:textId="59BE8E95" w:rsidR="00394352" w:rsidRDefault="00274896" w:rsidP="00011B20">
      <w:pPr>
        <w:rPr>
          <w:rFonts w:cs="Times New Roman"/>
        </w:rPr>
      </w:pPr>
      <w:r>
        <w:rPr>
          <w:rFonts w:cs="Times New Roman"/>
        </w:rPr>
        <w:t xml:space="preserve">Because the questionnaire design </w:t>
      </w:r>
      <w:r w:rsidR="00CB773E">
        <w:rPr>
          <w:rFonts w:cs="Times New Roman"/>
        </w:rPr>
        <w:t xml:space="preserve">is </w:t>
      </w:r>
      <w:r>
        <w:rPr>
          <w:rFonts w:cs="Times New Roman"/>
        </w:rPr>
        <w:t xml:space="preserve">in </w:t>
      </w:r>
      <w:r w:rsidR="00CB773E">
        <w:rPr>
          <w:rFonts w:cs="Times New Roman"/>
        </w:rPr>
        <w:t xml:space="preserve">a relatively </w:t>
      </w:r>
      <w:r>
        <w:rPr>
          <w:rFonts w:cs="Times New Roman"/>
        </w:rPr>
        <w:t>early stage</w:t>
      </w:r>
      <w:r w:rsidR="00552BEB">
        <w:rPr>
          <w:rFonts w:cs="Times New Roman"/>
        </w:rPr>
        <w:t>,</w:t>
      </w:r>
      <w:r>
        <w:rPr>
          <w:rFonts w:cs="Times New Roman"/>
        </w:rPr>
        <w:t xml:space="preserve"> a</w:t>
      </w:r>
      <w:r w:rsidR="00CF7675">
        <w:rPr>
          <w:rFonts w:cs="Times New Roman"/>
        </w:rPr>
        <w:t xml:space="preserve">ll of these assessments will be </w:t>
      </w:r>
      <w:r>
        <w:rPr>
          <w:rFonts w:cs="Times New Roman"/>
        </w:rPr>
        <w:t xml:space="preserve">informal and qualitative. </w:t>
      </w:r>
      <w:r w:rsidR="00784A78" w:rsidRPr="00375D72">
        <w:rPr>
          <w:rFonts w:cs="Times New Roman"/>
        </w:rPr>
        <w:t xml:space="preserve">Cognitive interviewing will be used to identify potential problems with </w:t>
      </w:r>
      <w:r w:rsidR="00784A78">
        <w:rPr>
          <w:rFonts w:cs="Times New Roman"/>
        </w:rPr>
        <w:t>e</w:t>
      </w:r>
      <w:r w:rsidR="00407C56">
        <w:rPr>
          <w:rFonts w:cs="Times New Roman"/>
        </w:rPr>
        <w:t xml:space="preserve">ach version of the questions. </w:t>
      </w:r>
      <w:r>
        <w:rPr>
          <w:rFonts w:cs="Times New Roman"/>
        </w:rPr>
        <w:t>Tr</w:t>
      </w:r>
      <w:r w:rsidR="00784A78" w:rsidRPr="00375D72">
        <w:rPr>
          <w:rFonts w:cs="Times New Roman"/>
        </w:rPr>
        <w:t>ained cognitive interviewer</w:t>
      </w:r>
      <w:r>
        <w:rPr>
          <w:rFonts w:cs="Times New Roman"/>
        </w:rPr>
        <w:t>s</w:t>
      </w:r>
      <w:r w:rsidR="00784A78" w:rsidRPr="00375D72">
        <w:rPr>
          <w:rFonts w:cs="Times New Roman"/>
        </w:rPr>
        <w:t xml:space="preserve"> will </w:t>
      </w:r>
      <w:r w:rsidR="003D0A53">
        <w:rPr>
          <w:rFonts w:cs="Times New Roman"/>
        </w:rPr>
        <w:t xml:space="preserve">administer </w:t>
      </w:r>
      <w:r w:rsidR="00AE2D2A">
        <w:rPr>
          <w:rFonts w:cs="Times New Roman"/>
        </w:rPr>
        <w:t xml:space="preserve">primarily </w:t>
      </w:r>
      <w:r w:rsidR="003D0A53">
        <w:rPr>
          <w:rFonts w:cs="Times New Roman"/>
        </w:rPr>
        <w:t xml:space="preserve">concurrent </w:t>
      </w:r>
      <w:r w:rsidR="00784A78" w:rsidRPr="00375D72">
        <w:rPr>
          <w:rFonts w:cs="Times New Roman"/>
        </w:rPr>
        <w:t>probe</w:t>
      </w:r>
      <w:r w:rsidR="003D0A53">
        <w:rPr>
          <w:rFonts w:cs="Times New Roman"/>
        </w:rPr>
        <w:t>s</w:t>
      </w:r>
      <w:r w:rsidR="00784A78" w:rsidRPr="00375D72">
        <w:rPr>
          <w:rFonts w:cs="Times New Roman"/>
        </w:rPr>
        <w:t xml:space="preserve"> </w:t>
      </w:r>
      <w:r w:rsidR="003D0A53">
        <w:rPr>
          <w:rFonts w:cs="Times New Roman"/>
        </w:rPr>
        <w:t xml:space="preserve">to gather </w:t>
      </w:r>
      <w:r w:rsidR="00784A78" w:rsidRPr="00375D72">
        <w:rPr>
          <w:rFonts w:cs="Times New Roman"/>
        </w:rPr>
        <w:t>additional information</w:t>
      </w:r>
      <w:r>
        <w:rPr>
          <w:rFonts w:cs="Times New Roman"/>
        </w:rPr>
        <w:t xml:space="preserve"> about </w:t>
      </w:r>
      <w:r w:rsidR="003D0A53">
        <w:rPr>
          <w:rFonts w:cs="Times New Roman"/>
        </w:rPr>
        <w:t xml:space="preserve">comprehension and </w:t>
      </w:r>
      <w:r>
        <w:rPr>
          <w:rFonts w:cs="Times New Roman"/>
        </w:rPr>
        <w:t>the response process</w:t>
      </w:r>
      <w:r w:rsidR="00784A78" w:rsidRPr="00375D72">
        <w:rPr>
          <w:rFonts w:cs="Times New Roman"/>
        </w:rPr>
        <w:t>.</w:t>
      </w:r>
      <w:r>
        <w:rPr>
          <w:rFonts w:cs="Times New Roman"/>
        </w:rPr>
        <w:t xml:space="preserve"> </w:t>
      </w:r>
      <w:r w:rsidR="002A4DB9">
        <w:rPr>
          <w:rFonts w:cs="Times New Roman"/>
        </w:rPr>
        <w:t>(</w:t>
      </w:r>
      <w:r w:rsidR="002862C8">
        <w:rPr>
          <w:rFonts w:cs="Times New Roman"/>
        </w:rPr>
        <w:t xml:space="preserve">See </w:t>
      </w:r>
      <w:r w:rsidR="002A4DB9">
        <w:rPr>
          <w:rFonts w:cs="Times New Roman"/>
        </w:rPr>
        <w:t>Attachment</w:t>
      </w:r>
      <w:r w:rsidR="00626849">
        <w:rPr>
          <w:rFonts w:cs="Times New Roman"/>
        </w:rPr>
        <w:t>s</w:t>
      </w:r>
      <w:r w:rsidR="002862C8">
        <w:rPr>
          <w:rFonts w:cs="Times New Roman"/>
        </w:rPr>
        <w:t xml:space="preserve"> A</w:t>
      </w:r>
      <w:r w:rsidR="00626849">
        <w:rPr>
          <w:rFonts w:cs="Times New Roman"/>
        </w:rPr>
        <w:t>1 through A</w:t>
      </w:r>
      <w:r w:rsidR="00544801">
        <w:rPr>
          <w:rFonts w:cs="Times New Roman"/>
        </w:rPr>
        <w:t>3</w:t>
      </w:r>
      <w:r w:rsidR="00626849">
        <w:rPr>
          <w:rFonts w:cs="Times New Roman"/>
        </w:rPr>
        <w:t>A</w:t>
      </w:r>
      <w:r w:rsidR="002862C8">
        <w:rPr>
          <w:rFonts w:cs="Times New Roman"/>
        </w:rPr>
        <w:t xml:space="preserve"> for the </w:t>
      </w:r>
      <w:r w:rsidR="003D0A53">
        <w:rPr>
          <w:rFonts w:cs="Times New Roman"/>
        </w:rPr>
        <w:t>instrument</w:t>
      </w:r>
      <w:r w:rsidR="003002E3">
        <w:rPr>
          <w:rFonts w:cs="Times New Roman"/>
        </w:rPr>
        <w:t>s</w:t>
      </w:r>
      <w:r w:rsidR="003D0A53">
        <w:rPr>
          <w:rFonts w:cs="Times New Roman"/>
        </w:rPr>
        <w:t xml:space="preserve"> and </w:t>
      </w:r>
      <w:r w:rsidR="002862C8">
        <w:rPr>
          <w:rFonts w:cs="Times New Roman"/>
        </w:rPr>
        <w:t>probes</w:t>
      </w:r>
      <w:r w:rsidR="002A4DB9">
        <w:rPr>
          <w:rFonts w:cs="Times New Roman"/>
        </w:rPr>
        <w:t>)</w:t>
      </w:r>
      <w:r w:rsidR="00407C56">
        <w:rPr>
          <w:rFonts w:cs="Times New Roman"/>
        </w:rPr>
        <w:t xml:space="preserve">. </w:t>
      </w:r>
      <w:r>
        <w:rPr>
          <w:rFonts w:cs="Times New Roman"/>
        </w:rPr>
        <w:t>Some p</w:t>
      </w:r>
      <w:r w:rsidR="00784A78" w:rsidRPr="00375D72">
        <w:rPr>
          <w:rFonts w:cs="Times New Roman"/>
        </w:rPr>
        <w:t xml:space="preserve">robes </w:t>
      </w:r>
      <w:r>
        <w:rPr>
          <w:rFonts w:cs="Times New Roman"/>
        </w:rPr>
        <w:t xml:space="preserve">will seek </w:t>
      </w:r>
      <w:r w:rsidR="00784A78" w:rsidRPr="00375D72">
        <w:rPr>
          <w:rFonts w:cs="Times New Roman"/>
        </w:rPr>
        <w:t xml:space="preserve">to determine </w:t>
      </w:r>
      <w:r>
        <w:rPr>
          <w:rFonts w:cs="Times New Roman"/>
        </w:rPr>
        <w:t xml:space="preserve">whether </w:t>
      </w:r>
      <w:r w:rsidR="00784A78" w:rsidRPr="00375D72">
        <w:rPr>
          <w:rFonts w:cs="Times New Roman"/>
        </w:rPr>
        <w:t>the participant understands specific terms and concepts</w:t>
      </w:r>
      <w:r>
        <w:rPr>
          <w:rFonts w:cs="Times New Roman"/>
        </w:rPr>
        <w:t>, such as “</w:t>
      </w:r>
      <w:r w:rsidR="003D0A53">
        <w:rPr>
          <w:rFonts w:cs="Times New Roman"/>
        </w:rPr>
        <w:t>near your home</w:t>
      </w:r>
      <w:r>
        <w:rPr>
          <w:rFonts w:cs="Times New Roman"/>
        </w:rPr>
        <w:t>”</w:t>
      </w:r>
      <w:r w:rsidR="00394352">
        <w:rPr>
          <w:rFonts w:cs="Times New Roman"/>
        </w:rPr>
        <w:t xml:space="preserve"> or “</w:t>
      </w:r>
      <w:r w:rsidR="003D0A53">
        <w:rPr>
          <w:rFonts w:cs="Times New Roman"/>
        </w:rPr>
        <w:t>notified the police</w:t>
      </w:r>
      <w:r w:rsidR="00394352">
        <w:rPr>
          <w:rFonts w:cs="Times New Roman"/>
        </w:rPr>
        <w:t xml:space="preserve">.” </w:t>
      </w:r>
      <w:r>
        <w:rPr>
          <w:rFonts w:cs="Times New Roman"/>
        </w:rPr>
        <w:t xml:space="preserve">Other probes will be used to determine </w:t>
      </w:r>
      <w:r w:rsidR="00784A78" w:rsidRPr="00375D72">
        <w:rPr>
          <w:rFonts w:cs="Times New Roman"/>
        </w:rPr>
        <w:t xml:space="preserve">whether the </w:t>
      </w:r>
      <w:r w:rsidR="00CB773E">
        <w:rPr>
          <w:rFonts w:cs="Times New Roman"/>
        </w:rPr>
        <w:t>CIR</w:t>
      </w:r>
      <w:r w:rsidR="00784A78" w:rsidRPr="00375D72">
        <w:rPr>
          <w:rFonts w:cs="Times New Roman"/>
        </w:rPr>
        <w:t xml:space="preserve"> items accurately capture what happened and whether </w:t>
      </w:r>
      <w:r w:rsidR="00394352">
        <w:rPr>
          <w:rFonts w:cs="Times New Roman"/>
        </w:rPr>
        <w:t xml:space="preserve">the participants understood the </w:t>
      </w:r>
      <w:r w:rsidR="00784A78" w:rsidRPr="00375D72">
        <w:rPr>
          <w:rFonts w:cs="Times New Roman"/>
        </w:rPr>
        <w:t xml:space="preserve">questions </w:t>
      </w:r>
      <w:r w:rsidR="00407C56">
        <w:rPr>
          <w:rFonts w:cs="Times New Roman"/>
        </w:rPr>
        <w:t xml:space="preserve">easily and as intended. </w:t>
      </w:r>
      <w:r w:rsidR="00CB773E">
        <w:rPr>
          <w:rFonts w:cs="Times New Roman"/>
        </w:rPr>
        <w:t>I</w:t>
      </w:r>
      <w:r w:rsidR="00577720">
        <w:rPr>
          <w:rFonts w:cs="Times New Roman"/>
        </w:rPr>
        <w:t xml:space="preserve">nterviewers will </w:t>
      </w:r>
      <w:r w:rsidR="00CB773E">
        <w:rPr>
          <w:rFonts w:cs="Times New Roman"/>
        </w:rPr>
        <w:t xml:space="preserve">also use </w:t>
      </w:r>
      <w:r w:rsidR="00577720">
        <w:rPr>
          <w:rFonts w:cs="Times New Roman"/>
        </w:rPr>
        <w:t>unscripted probes if the participant show</w:t>
      </w:r>
      <w:r w:rsidR="00CB773E">
        <w:rPr>
          <w:rFonts w:cs="Times New Roman"/>
        </w:rPr>
        <w:t>s</w:t>
      </w:r>
      <w:r w:rsidR="00577720">
        <w:rPr>
          <w:rFonts w:cs="Times New Roman"/>
        </w:rPr>
        <w:t xml:space="preserve"> signs of difficulty, confusion, or frustration (e.g., “You seem to be having trouble with this question.  Can you tell me what the problem might be?”). </w:t>
      </w:r>
    </w:p>
    <w:p w14:paraId="3A331FED" w14:textId="77777777" w:rsidR="004F69EC" w:rsidRDefault="004F69EC" w:rsidP="00011B20">
      <w:pPr>
        <w:rPr>
          <w:rFonts w:cs="Times New Roman"/>
        </w:rPr>
      </w:pPr>
    </w:p>
    <w:p w14:paraId="565C93AC" w14:textId="77777777" w:rsidR="00B0109A" w:rsidRDefault="00B0109A" w:rsidP="00B0109A">
      <w:pPr>
        <w:rPr>
          <w:rFonts w:cs="Times New Roman"/>
        </w:rPr>
      </w:pPr>
      <w:r w:rsidRPr="00375D72">
        <w:rPr>
          <w:rFonts w:cs="Times New Roman"/>
          <w:b/>
          <w:u w:val="single"/>
        </w:rPr>
        <w:t>Data Collection</w:t>
      </w:r>
      <w:r w:rsidRPr="00375D72">
        <w:rPr>
          <w:rFonts w:cs="Times New Roman"/>
        </w:rPr>
        <w:t xml:space="preserve"> </w:t>
      </w:r>
    </w:p>
    <w:p w14:paraId="389A1FC0" w14:textId="77777777" w:rsidR="006C736D" w:rsidRDefault="006C736D" w:rsidP="005458E5">
      <w:pPr>
        <w:rPr>
          <w:rFonts w:cs="Times New Roman"/>
        </w:rPr>
      </w:pPr>
    </w:p>
    <w:p w14:paraId="0BC0E2AB" w14:textId="034106EA" w:rsidR="00AE2D2A" w:rsidRDefault="00AA3FA7" w:rsidP="002862C8">
      <w:pPr>
        <w:rPr>
          <w:rFonts w:cs="Times New Roman"/>
        </w:rPr>
      </w:pPr>
      <w:r>
        <w:rPr>
          <w:rFonts w:cs="Times New Roman"/>
        </w:rPr>
        <w:t xml:space="preserve">The target population for </w:t>
      </w:r>
      <w:r w:rsidR="00AE2D2A">
        <w:rPr>
          <w:rFonts w:cs="Times New Roman"/>
        </w:rPr>
        <w:t xml:space="preserve">each round of </w:t>
      </w:r>
      <w:r w:rsidR="00BA738B">
        <w:rPr>
          <w:rFonts w:cs="Times New Roman"/>
        </w:rPr>
        <w:t>30</w:t>
      </w:r>
      <w:r w:rsidR="00554650">
        <w:rPr>
          <w:rFonts w:cs="Times New Roman"/>
        </w:rPr>
        <w:t xml:space="preserve"> </w:t>
      </w:r>
      <w:r w:rsidR="00AE2D2A">
        <w:rPr>
          <w:rFonts w:cs="Times New Roman"/>
        </w:rPr>
        <w:t>cognitive interviews</w:t>
      </w:r>
      <w:r>
        <w:rPr>
          <w:rFonts w:cs="Times New Roman"/>
        </w:rPr>
        <w:t xml:space="preserve"> </w:t>
      </w:r>
      <w:r w:rsidR="003002E3">
        <w:rPr>
          <w:rFonts w:cs="Times New Roman"/>
        </w:rPr>
        <w:t xml:space="preserve">with adults </w:t>
      </w:r>
      <w:r>
        <w:rPr>
          <w:rFonts w:cs="Times New Roman"/>
        </w:rPr>
        <w:t>is persons age 1</w:t>
      </w:r>
      <w:r w:rsidR="00E70982">
        <w:rPr>
          <w:rFonts w:cs="Times New Roman"/>
        </w:rPr>
        <w:t>8</w:t>
      </w:r>
      <w:r>
        <w:rPr>
          <w:rFonts w:cs="Times New Roman"/>
        </w:rPr>
        <w:t xml:space="preserve"> or older</w:t>
      </w:r>
      <w:r w:rsidR="003002E3">
        <w:rPr>
          <w:rFonts w:cs="Times New Roman"/>
        </w:rPr>
        <w:t xml:space="preserve"> who have experienced particular types of crimes</w:t>
      </w:r>
      <w:r w:rsidR="002D42F9">
        <w:rPr>
          <w:rFonts w:cs="Times New Roman"/>
        </w:rPr>
        <w:t>, including attempted or completed vehicle theft, theft of other items, attacks, break-ins, or vandalism</w:t>
      </w:r>
      <w:r w:rsidR="003002E3">
        <w:rPr>
          <w:rFonts w:cs="Times New Roman"/>
        </w:rPr>
        <w:t xml:space="preserve">. For the youth testing, the target population </w:t>
      </w:r>
      <w:r w:rsidR="00F160DA">
        <w:rPr>
          <w:rFonts w:cs="Times New Roman"/>
        </w:rPr>
        <w:t xml:space="preserve">is </w:t>
      </w:r>
      <w:r w:rsidR="00BA738B">
        <w:rPr>
          <w:rFonts w:cs="Times New Roman"/>
        </w:rPr>
        <w:t>30</w:t>
      </w:r>
      <w:r w:rsidR="00554650">
        <w:rPr>
          <w:rFonts w:cs="Times New Roman"/>
        </w:rPr>
        <w:t xml:space="preserve"> </w:t>
      </w:r>
      <w:r w:rsidR="003002E3">
        <w:rPr>
          <w:rFonts w:cs="Times New Roman"/>
        </w:rPr>
        <w:t xml:space="preserve">youth </w:t>
      </w:r>
      <w:r w:rsidR="00AE2D2A">
        <w:rPr>
          <w:rFonts w:cs="Times New Roman"/>
        </w:rPr>
        <w:t>ages 12 to 17</w:t>
      </w:r>
      <w:r w:rsidR="003002E3">
        <w:rPr>
          <w:rFonts w:cs="Times New Roman"/>
        </w:rPr>
        <w:t xml:space="preserve">, </w:t>
      </w:r>
      <w:r w:rsidR="00E84DEB">
        <w:rPr>
          <w:rFonts w:cs="Times New Roman"/>
        </w:rPr>
        <w:t xml:space="preserve">with a focus on interviewing </w:t>
      </w:r>
      <w:r w:rsidR="00BA738B">
        <w:rPr>
          <w:rFonts w:cs="Times New Roman"/>
        </w:rPr>
        <w:t>15</w:t>
      </w:r>
      <w:r w:rsidR="00554650">
        <w:rPr>
          <w:rFonts w:cs="Times New Roman"/>
        </w:rPr>
        <w:t xml:space="preserve"> </w:t>
      </w:r>
      <w:r w:rsidR="00E84DEB">
        <w:rPr>
          <w:rFonts w:cs="Times New Roman"/>
        </w:rPr>
        <w:t xml:space="preserve">younger youth (ages 12 to 14) and </w:t>
      </w:r>
      <w:r w:rsidR="00BA738B">
        <w:rPr>
          <w:rFonts w:cs="Times New Roman"/>
        </w:rPr>
        <w:t>15</w:t>
      </w:r>
      <w:r w:rsidR="00554650">
        <w:rPr>
          <w:rFonts w:cs="Times New Roman"/>
        </w:rPr>
        <w:t xml:space="preserve"> </w:t>
      </w:r>
      <w:r w:rsidR="00E84DEB">
        <w:rPr>
          <w:rFonts w:cs="Times New Roman"/>
        </w:rPr>
        <w:t>older youth (ages 15 to 17)</w:t>
      </w:r>
      <w:r w:rsidR="001738D9">
        <w:rPr>
          <w:rFonts w:cs="Times New Roman"/>
        </w:rPr>
        <w:t xml:space="preserve">. </w:t>
      </w:r>
      <w:r w:rsidR="00B06AEF">
        <w:rPr>
          <w:rFonts w:cs="Times New Roman"/>
        </w:rPr>
        <w:t xml:space="preserve">Ideally, we will recruit </w:t>
      </w:r>
      <w:r w:rsidR="00762D15">
        <w:rPr>
          <w:rFonts w:cs="Times New Roman"/>
        </w:rPr>
        <w:t xml:space="preserve">most of the </w:t>
      </w:r>
      <w:r w:rsidR="00E84DEB">
        <w:rPr>
          <w:rFonts w:cs="Times New Roman"/>
        </w:rPr>
        <w:t xml:space="preserve">youth from </w:t>
      </w:r>
      <w:r w:rsidR="00B06AEF">
        <w:rPr>
          <w:rFonts w:cs="Times New Roman"/>
        </w:rPr>
        <w:t xml:space="preserve">households that have experienced crime, </w:t>
      </w:r>
      <w:r w:rsidR="00CB773E">
        <w:rPr>
          <w:rFonts w:cs="Times New Roman"/>
        </w:rPr>
        <w:t>so</w:t>
      </w:r>
      <w:r w:rsidR="00B06AEF">
        <w:rPr>
          <w:rFonts w:cs="Times New Roman"/>
        </w:rPr>
        <w:t xml:space="preserve"> that even if the youth has not been the victim of a crime himself/herself, someone in their household will have been a victim. </w:t>
      </w:r>
      <w:r w:rsidR="00762D15">
        <w:rPr>
          <w:rFonts w:cs="Times New Roman"/>
        </w:rPr>
        <w:t xml:space="preserve">However, we will also work with youth victim services organizations to identify youth who may be recruited for an interview without a parents’ participation in an adult interview. </w:t>
      </w:r>
      <w:r w:rsidR="00AE2D2A">
        <w:rPr>
          <w:rFonts w:cs="Times New Roman"/>
        </w:rPr>
        <w:t xml:space="preserve">It will be necessary to recruit youth through their parents, </w:t>
      </w:r>
      <w:r w:rsidR="00762D15">
        <w:rPr>
          <w:rFonts w:cs="Times New Roman"/>
        </w:rPr>
        <w:t xml:space="preserve">directing all recruitment activities towards parents, </w:t>
      </w:r>
      <w:r w:rsidR="00AE2D2A">
        <w:rPr>
          <w:rFonts w:cs="Times New Roman"/>
        </w:rPr>
        <w:t xml:space="preserve">conducting the screening questionnaire with the </w:t>
      </w:r>
      <w:r w:rsidR="00762D15">
        <w:rPr>
          <w:rFonts w:cs="Times New Roman"/>
        </w:rPr>
        <w:t>parent</w:t>
      </w:r>
      <w:r w:rsidR="00AE2D2A">
        <w:rPr>
          <w:rFonts w:cs="Times New Roman"/>
        </w:rPr>
        <w:t xml:space="preserve"> to obtain permission to interview the youth, and collecting </w:t>
      </w:r>
      <w:r w:rsidR="005D271C">
        <w:rPr>
          <w:rFonts w:cs="Times New Roman"/>
        </w:rPr>
        <w:t>written</w:t>
      </w:r>
      <w:r w:rsidR="00AE2D2A">
        <w:rPr>
          <w:rFonts w:cs="Times New Roman"/>
        </w:rPr>
        <w:t xml:space="preserve"> informed consent from the parent and </w:t>
      </w:r>
      <w:r w:rsidR="006D2415">
        <w:rPr>
          <w:rFonts w:cs="Times New Roman"/>
        </w:rPr>
        <w:t xml:space="preserve">verbal </w:t>
      </w:r>
      <w:r w:rsidR="00AE2D2A">
        <w:rPr>
          <w:rFonts w:cs="Times New Roman"/>
        </w:rPr>
        <w:t xml:space="preserve">youth assent prior to launching the interview. </w:t>
      </w:r>
    </w:p>
    <w:p w14:paraId="01C46C67" w14:textId="77777777" w:rsidR="00AE2D2A" w:rsidRDefault="00AE2D2A" w:rsidP="002862C8">
      <w:pPr>
        <w:rPr>
          <w:rFonts w:cs="Times New Roman"/>
        </w:rPr>
      </w:pPr>
    </w:p>
    <w:p w14:paraId="677F5A52" w14:textId="0718B84B" w:rsidR="00B06AEF" w:rsidRDefault="001738D9" w:rsidP="002862C8">
      <w:pPr>
        <w:rPr>
          <w:rFonts w:cs="Times New Roman"/>
        </w:rPr>
      </w:pPr>
      <w:r>
        <w:rPr>
          <w:rFonts w:cs="Times New Roman"/>
        </w:rPr>
        <w:t>We have selected 6 markets in which to conduct the interviews, three of which will be in</w:t>
      </w:r>
      <w:r w:rsidR="00CB773E">
        <w:rPr>
          <w:rFonts w:cs="Times New Roman"/>
        </w:rPr>
        <w:t xml:space="preserve"> </w:t>
      </w:r>
      <w:r>
        <w:rPr>
          <w:rFonts w:cs="Times New Roman"/>
        </w:rPr>
        <w:t>person, and three of which will be conducted remotely. Three of the markets (</w:t>
      </w:r>
      <w:r w:rsidR="00AE2D2A">
        <w:rPr>
          <w:rFonts w:cs="Times New Roman"/>
        </w:rPr>
        <w:t>Rockville</w:t>
      </w:r>
      <w:r w:rsidR="0084417E">
        <w:rPr>
          <w:rFonts w:cs="Times New Roman"/>
        </w:rPr>
        <w:t xml:space="preserve"> and</w:t>
      </w:r>
      <w:r>
        <w:rPr>
          <w:rFonts w:cs="Times New Roman"/>
        </w:rPr>
        <w:t xml:space="preserve"> Baltimore</w:t>
      </w:r>
      <w:r w:rsidR="0084417E">
        <w:rPr>
          <w:rFonts w:cs="Times New Roman"/>
        </w:rPr>
        <w:t xml:space="preserve"> MD</w:t>
      </w:r>
      <w:r>
        <w:rPr>
          <w:rFonts w:cs="Times New Roman"/>
        </w:rPr>
        <w:t xml:space="preserve"> and Cleveland</w:t>
      </w:r>
      <w:r w:rsidR="0084417E">
        <w:rPr>
          <w:rFonts w:cs="Times New Roman"/>
        </w:rPr>
        <w:t xml:space="preserve"> OH</w:t>
      </w:r>
      <w:r>
        <w:rPr>
          <w:rFonts w:cs="Times New Roman"/>
        </w:rPr>
        <w:t xml:space="preserve">) have been selected primarily because Westat can take advantage of local interviewers. </w:t>
      </w:r>
      <w:r w:rsidR="00B06AEF">
        <w:rPr>
          <w:rFonts w:cs="Times New Roman"/>
        </w:rPr>
        <w:t>All youth interviews will be conducted in</w:t>
      </w:r>
      <w:r w:rsidR="00CB773E">
        <w:rPr>
          <w:rFonts w:cs="Times New Roman"/>
        </w:rPr>
        <w:t xml:space="preserve"> </w:t>
      </w:r>
      <w:r w:rsidR="00B06AEF">
        <w:rPr>
          <w:rFonts w:cs="Times New Roman"/>
        </w:rPr>
        <w:t xml:space="preserve">person in Rockville, Baltimore, or Cleveland. </w:t>
      </w:r>
    </w:p>
    <w:p w14:paraId="1BB8F0C2" w14:textId="77777777" w:rsidR="00B06AEF" w:rsidRDefault="00B06AEF" w:rsidP="002862C8">
      <w:pPr>
        <w:rPr>
          <w:rFonts w:cs="Times New Roman"/>
        </w:rPr>
      </w:pPr>
    </w:p>
    <w:p w14:paraId="20F8FB59" w14:textId="70B2E512" w:rsidR="002862C8" w:rsidRDefault="001738D9" w:rsidP="002862C8">
      <w:pPr>
        <w:rPr>
          <w:rFonts w:cs="Times New Roman"/>
          <w:b/>
          <w:sz w:val="22"/>
          <w:szCs w:val="22"/>
          <w:u w:val="single"/>
        </w:rPr>
      </w:pPr>
      <w:r>
        <w:rPr>
          <w:rFonts w:cs="Times New Roman"/>
        </w:rPr>
        <w:t xml:space="preserve">We also plan to recruit </w:t>
      </w:r>
      <w:r w:rsidR="007E5ECD">
        <w:rPr>
          <w:rFonts w:cs="Times New Roman"/>
        </w:rPr>
        <w:t xml:space="preserve">adult </w:t>
      </w:r>
      <w:r>
        <w:rPr>
          <w:rFonts w:cs="Times New Roman"/>
        </w:rPr>
        <w:t>crime victims</w:t>
      </w:r>
      <w:r w:rsidR="00AA3FA7">
        <w:rPr>
          <w:rFonts w:cs="Times New Roman"/>
        </w:rPr>
        <w:t xml:space="preserve"> living</w:t>
      </w:r>
      <w:r>
        <w:rPr>
          <w:rFonts w:cs="Times New Roman"/>
        </w:rPr>
        <w:t xml:space="preserve"> in Chicago</w:t>
      </w:r>
      <w:r w:rsidR="00AE2D2A">
        <w:rPr>
          <w:rFonts w:cs="Times New Roman"/>
        </w:rPr>
        <w:t xml:space="preserve"> IL, St. Louis MO,</w:t>
      </w:r>
      <w:r>
        <w:rPr>
          <w:rFonts w:cs="Times New Roman"/>
        </w:rPr>
        <w:t xml:space="preserve"> and Oakland</w:t>
      </w:r>
      <w:r w:rsidR="00AE2D2A">
        <w:rPr>
          <w:rFonts w:cs="Times New Roman"/>
        </w:rPr>
        <w:t xml:space="preserve"> CA</w:t>
      </w:r>
      <w:r w:rsidR="00CB773E">
        <w:rPr>
          <w:rFonts w:cs="Times New Roman"/>
        </w:rPr>
        <w:t>,</w:t>
      </w:r>
      <w:r>
        <w:rPr>
          <w:rFonts w:cs="Times New Roman"/>
        </w:rPr>
        <w:t xml:space="preserve"> </w:t>
      </w:r>
      <w:r w:rsidR="00AE2D2A">
        <w:rPr>
          <w:rFonts w:cs="Times New Roman"/>
        </w:rPr>
        <w:t xml:space="preserve">metropolitan areas with </w:t>
      </w:r>
      <w:r w:rsidR="00CB773E">
        <w:rPr>
          <w:rFonts w:cs="Times New Roman"/>
        </w:rPr>
        <w:t xml:space="preserve">relatively </w:t>
      </w:r>
      <w:r w:rsidR="00AE2D2A">
        <w:rPr>
          <w:rFonts w:cs="Times New Roman"/>
        </w:rPr>
        <w:t>high rates of crime according to the FBI Uniform Crime Reports. We</w:t>
      </w:r>
      <w:r>
        <w:rPr>
          <w:rFonts w:cs="Times New Roman"/>
        </w:rPr>
        <w:t xml:space="preserve"> will conduct those interviews remotely using a web-based meeting tool such as </w:t>
      </w:r>
      <w:r w:rsidR="007E5ECD">
        <w:rPr>
          <w:rFonts w:cs="Times New Roman"/>
        </w:rPr>
        <w:t xml:space="preserve">FocusVision, </w:t>
      </w:r>
      <w:r>
        <w:rPr>
          <w:rFonts w:cs="Times New Roman"/>
        </w:rPr>
        <w:t xml:space="preserve">Skype or Goto Meeting. </w:t>
      </w:r>
      <w:r w:rsidR="00C06BB1">
        <w:rPr>
          <w:rFonts w:cs="Times New Roman"/>
        </w:rPr>
        <w:t>Respondents in the</w:t>
      </w:r>
      <w:r w:rsidR="00AE2D2A">
        <w:rPr>
          <w:rFonts w:cs="Times New Roman"/>
        </w:rPr>
        <w:t xml:space="preserve"> remote</w:t>
      </w:r>
      <w:r w:rsidR="00C06BB1">
        <w:rPr>
          <w:rFonts w:cs="Times New Roman"/>
        </w:rPr>
        <w:t xml:space="preserve"> locations will be asked to </w:t>
      </w:r>
      <w:r w:rsidR="00AE2D2A">
        <w:rPr>
          <w:rFonts w:cs="Times New Roman"/>
        </w:rPr>
        <w:t>travel</w:t>
      </w:r>
      <w:r w:rsidR="00C06BB1">
        <w:rPr>
          <w:rFonts w:cs="Times New Roman"/>
        </w:rPr>
        <w:t xml:space="preserve"> to a</w:t>
      </w:r>
      <w:r w:rsidR="00E84DEB">
        <w:rPr>
          <w:rFonts w:cs="Times New Roman"/>
        </w:rPr>
        <w:t xml:space="preserve"> convenient</w:t>
      </w:r>
      <w:r w:rsidR="00C06BB1">
        <w:rPr>
          <w:rFonts w:cs="Times New Roman"/>
        </w:rPr>
        <w:t xml:space="preserve"> local focus group facility, and will participate in the interview remotely from that location</w:t>
      </w:r>
      <w:r w:rsidR="00AA3FA7">
        <w:rPr>
          <w:rFonts w:cs="Times New Roman"/>
        </w:rPr>
        <w:t>.</w:t>
      </w:r>
      <w:r w:rsidR="004F68D7">
        <w:rPr>
          <w:rFonts w:cs="Times New Roman"/>
        </w:rPr>
        <w:t xml:space="preserve"> </w:t>
      </w:r>
      <w:r w:rsidR="00B64EE5">
        <w:rPr>
          <w:rFonts w:cs="Times New Roman"/>
        </w:rPr>
        <w:t xml:space="preserve">Westat maintains a strong network of focus group facilities around the country that use </w:t>
      </w:r>
      <w:r w:rsidR="00B06AEF">
        <w:rPr>
          <w:rFonts w:cs="Times New Roman"/>
        </w:rPr>
        <w:t xml:space="preserve">these </w:t>
      </w:r>
      <w:r w:rsidR="00B64EE5">
        <w:rPr>
          <w:rFonts w:cs="Times New Roman"/>
        </w:rPr>
        <w:t>technolog</w:t>
      </w:r>
      <w:r w:rsidR="00B06AEF">
        <w:rPr>
          <w:rFonts w:cs="Times New Roman"/>
        </w:rPr>
        <w:t>ies.</w:t>
      </w:r>
      <w:r w:rsidR="00B64EE5">
        <w:rPr>
          <w:rFonts w:cs="Times New Roman"/>
        </w:rPr>
        <w:t xml:space="preserve"> </w:t>
      </w:r>
      <w:r w:rsidR="00C06BB1">
        <w:rPr>
          <w:rFonts w:cs="Times New Roman"/>
        </w:rPr>
        <w:t>This approach allows us to minimize travel costs for Westat researchers while allowing broader geographic coverage</w:t>
      </w:r>
      <w:r w:rsidR="00AE2D2A">
        <w:rPr>
          <w:rFonts w:cs="Times New Roman"/>
        </w:rPr>
        <w:t>,</w:t>
      </w:r>
      <w:r w:rsidR="00C06BB1">
        <w:rPr>
          <w:rFonts w:cs="Times New Roman"/>
        </w:rPr>
        <w:t xml:space="preserve"> access to more varied types of crimes</w:t>
      </w:r>
      <w:r w:rsidR="00AE2D2A">
        <w:rPr>
          <w:rFonts w:cs="Times New Roman"/>
        </w:rPr>
        <w:t>, and a private setting in which to conduct the interview</w:t>
      </w:r>
      <w:r w:rsidR="00C06BB1">
        <w:rPr>
          <w:rFonts w:cs="Times New Roman"/>
        </w:rPr>
        <w:t xml:space="preserve">. </w:t>
      </w:r>
    </w:p>
    <w:p w14:paraId="0ACF5A01" w14:textId="77777777" w:rsidR="002862C8" w:rsidRDefault="002862C8" w:rsidP="00B0109A">
      <w:pPr>
        <w:rPr>
          <w:rFonts w:cs="Times New Roman"/>
        </w:rPr>
      </w:pPr>
    </w:p>
    <w:p w14:paraId="2C46D978" w14:textId="77777777" w:rsidR="00C06BB1" w:rsidRDefault="00AA3FA7" w:rsidP="00B0109A">
      <w:pPr>
        <w:rPr>
          <w:rFonts w:cs="Times New Roman"/>
        </w:rPr>
      </w:pPr>
      <w:r w:rsidRPr="00AA3FA7">
        <w:rPr>
          <w:rFonts w:cs="Times New Roman"/>
        </w:rPr>
        <w:t>The questions will also use a twelve</w:t>
      </w:r>
      <w:r w:rsidR="00CB773E">
        <w:rPr>
          <w:rFonts w:cs="Times New Roman"/>
        </w:rPr>
        <w:t>-</w:t>
      </w:r>
      <w:r w:rsidRPr="00AA3FA7">
        <w:rPr>
          <w:rFonts w:cs="Times New Roman"/>
        </w:rPr>
        <w:t xml:space="preserve">month reference period to increase the number of respondents </w:t>
      </w:r>
      <w:r w:rsidR="00CB773E">
        <w:rPr>
          <w:rFonts w:cs="Times New Roman"/>
        </w:rPr>
        <w:t>with</w:t>
      </w:r>
      <w:r w:rsidRPr="00AA3FA7">
        <w:rPr>
          <w:rFonts w:cs="Times New Roman"/>
        </w:rPr>
        <w:t xml:space="preserve"> victimizations.</w:t>
      </w:r>
      <w:r>
        <w:rPr>
          <w:rFonts w:cs="Times New Roman"/>
        </w:rPr>
        <w:t xml:space="preserve"> The only other eligibility criteri</w:t>
      </w:r>
      <w:r w:rsidR="003B03C6">
        <w:rPr>
          <w:rFonts w:cs="Times New Roman"/>
        </w:rPr>
        <w:t>on</w:t>
      </w:r>
      <w:r>
        <w:rPr>
          <w:rFonts w:cs="Times New Roman"/>
        </w:rPr>
        <w:t xml:space="preserve"> is that the person speak English. All in-person interviews will take place at </w:t>
      </w:r>
      <w:r w:rsidR="00F50D6A">
        <w:rPr>
          <w:rFonts w:cs="Times New Roman"/>
        </w:rPr>
        <w:t xml:space="preserve">the </w:t>
      </w:r>
      <w:r>
        <w:rPr>
          <w:rFonts w:cs="Times New Roman"/>
        </w:rPr>
        <w:t>Westat office</w:t>
      </w:r>
      <w:r w:rsidR="00F50D6A">
        <w:rPr>
          <w:rFonts w:cs="Times New Roman"/>
        </w:rPr>
        <w:t>s</w:t>
      </w:r>
      <w:r w:rsidR="00C06BB1">
        <w:rPr>
          <w:rFonts w:cs="Times New Roman"/>
        </w:rPr>
        <w:t>,</w:t>
      </w:r>
      <w:r w:rsidR="00F50D6A">
        <w:rPr>
          <w:rFonts w:cs="Times New Roman"/>
        </w:rPr>
        <w:t xml:space="preserve"> </w:t>
      </w:r>
      <w:r w:rsidR="001738D9">
        <w:rPr>
          <w:rFonts w:cs="Times New Roman"/>
        </w:rPr>
        <w:t>at</w:t>
      </w:r>
      <w:r w:rsidR="00F50D6A">
        <w:rPr>
          <w:rFonts w:cs="Times New Roman"/>
        </w:rPr>
        <w:t xml:space="preserve"> professional interviewing facilit</w:t>
      </w:r>
      <w:r w:rsidR="001738D9">
        <w:rPr>
          <w:rFonts w:cs="Times New Roman"/>
        </w:rPr>
        <w:t>ies in Cleveland and Baltimore</w:t>
      </w:r>
      <w:r w:rsidR="00C06BB1">
        <w:rPr>
          <w:rFonts w:cs="Times New Roman"/>
        </w:rPr>
        <w:t>, or conducted remotely with the respondent sitting at a professional focus group facility and using the facility’s online streaming tool to communicate with the Westat interviewer</w:t>
      </w:r>
      <w:r>
        <w:rPr>
          <w:rFonts w:cs="Times New Roman"/>
        </w:rPr>
        <w:t xml:space="preserve">. </w:t>
      </w:r>
    </w:p>
    <w:p w14:paraId="3511A929" w14:textId="77777777" w:rsidR="00C06BB1" w:rsidRDefault="00C06BB1" w:rsidP="00B0109A">
      <w:pPr>
        <w:rPr>
          <w:rFonts w:cs="Times New Roman"/>
        </w:rPr>
      </w:pPr>
    </w:p>
    <w:p w14:paraId="01935833" w14:textId="60D1F635" w:rsidR="00AA3FA7" w:rsidRDefault="00C06BB1" w:rsidP="00B0109A">
      <w:pPr>
        <w:rPr>
          <w:rFonts w:cs="Times New Roman"/>
        </w:rPr>
      </w:pPr>
      <w:r>
        <w:rPr>
          <w:rFonts w:cs="Times New Roman"/>
        </w:rPr>
        <w:t xml:space="preserve">Across the multiple iterations of cognitive testing, in-person interviews will be conducted with up to </w:t>
      </w:r>
      <w:r w:rsidR="00AA2AAE">
        <w:rPr>
          <w:rFonts w:cs="Times New Roman"/>
        </w:rPr>
        <w:t xml:space="preserve">120 </w:t>
      </w:r>
      <w:r>
        <w:rPr>
          <w:rFonts w:cs="Times New Roman"/>
        </w:rPr>
        <w:t xml:space="preserve">respondents. </w:t>
      </w:r>
      <w:r w:rsidR="001F1110">
        <w:rPr>
          <w:rFonts w:cs="Times New Roman"/>
        </w:rPr>
        <w:t>One-on-one i</w:t>
      </w:r>
      <w:r w:rsidR="00AA3FA7">
        <w:rPr>
          <w:rFonts w:cs="Times New Roman"/>
        </w:rPr>
        <w:t xml:space="preserve">nterviews will last approximately </w:t>
      </w:r>
      <w:r w:rsidR="00992E99">
        <w:rPr>
          <w:rFonts w:cs="Times New Roman"/>
        </w:rPr>
        <w:t>90 minutes to allow time for the administration of the screener and detailed crime incident items, as well as cognitive probing</w:t>
      </w:r>
      <w:r w:rsidR="00643C52">
        <w:rPr>
          <w:rFonts w:cs="Times New Roman"/>
        </w:rPr>
        <w:t xml:space="preserve">. </w:t>
      </w:r>
      <w:r w:rsidR="00AA3FA7">
        <w:rPr>
          <w:rFonts w:cs="Times New Roman"/>
        </w:rPr>
        <w:t xml:space="preserve"> </w:t>
      </w:r>
      <w:r w:rsidR="00156D40">
        <w:rPr>
          <w:rFonts w:cs="Times New Roman"/>
        </w:rPr>
        <w:t>A</w:t>
      </w:r>
      <w:r w:rsidR="00B06AEF">
        <w:rPr>
          <w:rFonts w:cs="Times New Roman"/>
        </w:rPr>
        <w:t>dult p</w:t>
      </w:r>
      <w:r w:rsidR="00AA3FA7">
        <w:rPr>
          <w:rFonts w:cs="Times New Roman"/>
        </w:rPr>
        <w:t>articipants will receive $</w:t>
      </w:r>
      <w:r w:rsidR="00992E99">
        <w:rPr>
          <w:rFonts w:cs="Times New Roman"/>
        </w:rPr>
        <w:t>6</w:t>
      </w:r>
      <w:r w:rsidR="00AA3FA7">
        <w:rPr>
          <w:rFonts w:cs="Times New Roman"/>
        </w:rPr>
        <w:t xml:space="preserve">0 </w:t>
      </w:r>
      <w:r w:rsidR="00F60CCF">
        <w:rPr>
          <w:rFonts w:cs="Times New Roman"/>
        </w:rPr>
        <w:t xml:space="preserve">($40 per hour) </w:t>
      </w:r>
      <w:r w:rsidR="001F1110">
        <w:rPr>
          <w:rFonts w:cs="Times New Roman"/>
        </w:rPr>
        <w:t>as compensation for their time</w:t>
      </w:r>
      <w:r w:rsidR="00643C52">
        <w:rPr>
          <w:rFonts w:cs="Times New Roman"/>
        </w:rPr>
        <w:t xml:space="preserve"> and</w:t>
      </w:r>
      <w:r w:rsidR="00784CEB">
        <w:rPr>
          <w:rFonts w:cs="Times New Roman"/>
        </w:rPr>
        <w:t xml:space="preserve"> </w:t>
      </w:r>
      <w:r w:rsidR="001F1110">
        <w:rPr>
          <w:rFonts w:cs="Times New Roman"/>
        </w:rPr>
        <w:t xml:space="preserve">to </w:t>
      </w:r>
      <w:r w:rsidR="00784CEB">
        <w:rPr>
          <w:rFonts w:cs="Times New Roman"/>
        </w:rPr>
        <w:t xml:space="preserve">offset the cost of their participation, such as </w:t>
      </w:r>
      <w:r w:rsidR="00203136">
        <w:rPr>
          <w:rFonts w:cs="Times New Roman"/>
        </w:rPr>
        <w:t xml:space="preserve">transportation, </w:t>
      </w:r>
      <w:r w:rsidR="00784CEB">
        <w:rPr>
          <w:rFonts w:cs="Times New Roman"/>
        </w:rPr>
        <w:t>parking and childcare</w:t>
      </w:r>
      <w:r w:rsidR="00AA3FA7">
        <w:rPr>
          <w:rFonts w:cs="Times New Roman"/>
        </w:rPr>
        <w:t xml:space="preserve">. </w:t>
      </w:r>
      <w:r w:rsidR="00156D40">
        <w:rPr>
          <w:rFonts w:cs="Times New Roman"/>
        </w:rPr>
        <w:t>Youth will receive $</w:t>
      </w:r>
      <w:r w:rsidR="00992E99">
        <w:rPr>
          <w:rFonts w:cs="Times New Roman"/>
        </w:rPr>
        <w:t>40</w:t>
      </w:r>
      <w:r w:rsidR="00F60CCF">
        <w:rPr>
          <w:rFonts w:cs="Times New Roman"/>
        </w:rPr>
        <w:t xml:space="preserve"> (about $25 per hour)</w:t>
      </w:r>
      <w:r w:rsidR="002E7F3F">
        <w:rPr>
          <w:rFonts w:cs="Times New Roman"/>
        </w:rPr>
        <w:t>.</w:t>
      </w:r>
    </w:p>
    <w:p w14:paraId="0CAB48E3" w14:textId="77777777" w:rsidR="00AA3FA7" w:rsidRDefault="00AA3FA7" w:rsidP="00B0109A">
      <w:pPr>
        <w:rPr>
          <w:rFonts w:cs="Times New Roman"/>
        </w:rPr>
      </w:pPr>
      <w:bookmarkStart w:id="1" w:name="_GoBack"/>
      <w:bookmarkEnd w:id="1"/>
    </w:p>
    <w:p w14:paraId="2217F453" w14:textId="4C6AE5AB" w:rsidR="00AA3FA7" w:rsidRDefault="00B0109A" w:rsidP="00B0109A">
      <w:pPr>
        <w:rPr>
          <w:rFonts w:cs="Times New Roman"/>
        </w:rPr>
      </w:pPr>
      <w:r w:rsidRPr="00375D72">
        <w:rPr>
          <w:rFonts w:cs="Times New Roman"/>
        </w:rPr>
        <w:t>Recruiters will advertise the study to solicit participation, using internal recruiting database</w:t>
      </w:r>
      <w:r w:rsidR="00F50D6A">
        <w:rPr>
          <w:rFonts w:cs="Times New Roman"/>
        </w:rPr>
        <w:t>s</w:t>
      </w:r>
      <w:r w:rsidRPr="00375D72">
        <w:rPr>
          <w:rFonts w:cs="Times New Roman"/>
        </w:rPr>
        <w:t xml:space="preserve">, as well as newspaper ads, fliers, and Craigslist ads. </w:t>
      </w:r>
      <w:r w:rsidR="00AE2D2A">
        <w:rPr>
          <w:rFonts w:cs="Times New Roman"/>
        </w:rPr>
        <w:t>We will also pursue Westat and BJS contacts at victim services organizations to help advertise the study</w:t>
      </w:r>
      <w:r w:rsidR="00B06AEF">
        <w:rPr>
          <w:rFonts w:cs="Times New Roman"/>
        </w:rPr>
        <w:t xml:space="preserve"> (see Attachment </w:t>
      </w:r>
      <w:r w:rsidR="000862CB">
        <w:rPr>
          <w:rFonts w:cs="Times New Roman"/>
        </w:rPr>
        <w:t>B</w:t>
      </w:r>
      <w:r w:rsidR="00DF48E0">
        <w:rPr>
          <w:rFonts w:cs="Times New Roman"/>
        </w:rPr>
        <w:t>1</w:t>
      </w:r>
      <w:r w:rsidR="00B06AEF">
        <w:rPr>
          <w:rFonts w:cs="Times New Roman"/>
        </w:rPr>
        <w:t xml:space="preserve"> for the letter to be circulated to victim services organizations</w:t>
      </w:r>
      <w:r w:rsidR="00DF48E0">
        <w:rPr>
          <w:rFonts w:cs="Times New Roman"/>
        </w:rPr>
        <w:t xml:space="preserve"> and Attachment B2 for the recruitment language for </w:t>
      </w:r>
      <w:r w:rsidR="00396482">
        <w:rPr>
          <w:rFonts w:cs="Times New Roman"/>
        </w:rPr>
        <w:t xml:space="preserve">those organizations to share with </w:t>
      </w:r>
      <w:r w:rsidR="00DF48E0">
        <w:rPr>
          <w:rFonts w:cs="Times New Roman"/>
        </w:rPr>
        <w:t>known victims</w:t>
      </w:r>
      <w:r w:rsidR="00B06AEF">
        <w:rPr>
          <w:rFonts w:cs="Times New Roman"/>
        </w:rPr>
        <w:t>)</w:t>
      </w:r>
      <w:r w:rsidR="00AE2D2A">
        <w:rPr>
          <w:rFonts w:cs="Times New Roman"/>
        </w:rPr>
        <w:t xml:space="preserve">. </w:t>
      </w:r>
      <w:r w:rsidRPr="00375D72">
        <w:rPr>
          <w:rFonts w:cs="Times New Roman"/>
        </w:rPr>
        <w:t xml:space="preserve">Recruiters will adapt recruiting strategies as needed to ensure adequate participation. Interested participants who contact study recruiters will be asked a series of screening questions to determine their eligibility. </w:t>
      </w:r>
      <w:r w:rsidR="00AA2AAE">
        <w:rPr>
          <w:rFonts w:cs="Times New Roman"/>
        </w:rPr>
        <w:t>Recruited a</w:t>
      </w:r>
      <w:r w:rsidR="00762D15">
        <w:rPr>
          <w:rFonts w:cs="Times New Roman"/>
        </w:rPr>
        <w:t>dults</w:t>
      </w:r>
      <w:r w:rsidR="00762D15" w:rsidRPr="00AA3FA7">
        <w:rPr>
          <w:rFonts w:cs="Times New Roman"/>
        </w:rPr>
        <w:t xml:space="preserve"> will have been a victim of at least one crime in the past 12 months. </w:t>
      </w:r>
      <w:r w:rsidRPr="00375D72">
        <w:rPr>
          <w:rFonts w:cs="Times New Roman"/>
        </w:rPr>
        <w:t>(See Attachment</w:t>
      </w:r>
      <w:r w:rsidR="00626849">
        <w:rPr>
          <w:rFonts w:cs="Times New Roman"/>
        </w:rPr>
        <w:t>s</w:t>
      </w:r>
      <w:r w:rsidRPr="00375D72">
        <w:rPr>
          <w:rFonts w:cs="Times New Roman"/>
        </w:rPr>
        <w:t xml:space="preserve"> </w:t>
      </w:r>
      <w:r w:rsidR="000862CB">
        <w:rPr>
          <w:rFonts w:cs="Times New Roman"/>
        </w:rPr>
        <w:t>C</w:t>
      </w:r>
      <w:r w:rsidR="00626849">
        <w:rPr>
          <w:rFonts w:cs="Times New Roman"/>
        </w:rPr>
        <w:t>1 and C2</w:t>
      </w:r>
      <w:r w:rsidRPr="00375D72">
        <w:rPr>
          <w:rFonts w:cs="Times New Roman"/>
        </w:rPr>
        <w:t xml:space="preserve"> for the recruitment screening questionnaire and </w:t>
      </w:r>
      <w:r>
        <w:rPr>
          <w:rFonts w:cs="Times New Roman"/>
        </w:rPr>
        <w:t xml:space="preserve">the </w:t>
      </w:r>
      <w:r w:rsidRPr="00375D72">
        <w:rPr>
          <w:rFonts w:cs="Times New Roman"/>
        </w:rPr>
        <w:t xml:space="preserve">Craigslist ad.)  </w:t>
      </w:r>
      <w:r w:rsidR="00AE2D2A">
        <w:rPr>
          <w:rFonts w:cs="Times New Roman"/>
        </w:rPr>
        <w:t>Adults</w:t>
      </w:r>
      <w:r w:rsidRPr="00375D72">
        <w:rPr>
          <w:rFonts w:cs="Times New Roman"/>
        </w:rPr>
        <w:t xml:space="preserve"> selected to participate will be contacted by the recruiters and scheduled for their interview session. </w:t>
      </w:r>
      <w:r w:rsidR="00B06AEF">
        <w:rPr>
          <w:rFonts w:cs="Times New Roman"/>
        </w:rPr>
        <w:t xml:space="preserve">If the adult has a youth ages 12 to 17 in the household, they will also be asked if the youth would be interested in participating in a concurrent interview. </w:t>
      </w:r>
      <w:r w:rsidR="006D2415">
        <w:rPr>
          <w:rFonts w:cs="Times New Roman"/>
        </w:rPr>
        <w:t xml:space="preserve">Parents will be asked if the youth </w:t>
      </w:r>
      <w:r w:rsidR="00B06AEF">
        <w:rPr>
          <w:rFonts w:cs="Times New Roman"/>
        </w:rPr>
        <w:t>ha</w:t>
      </w:r>
      <w:r w:rsidR="006D2415">
        <w:rPr>
          <w:rFonts w:cs="Times New Roman"/>
        </w:rPr>
        <w:t>s</w:t>
      </w:r>
      <w:r w:rsidR="00B06AEF">
        <w:rPr>
          <w:rFonts w:cs="Times New Roman"/>
        </w:rPr>
        <w:t xml:space="preserve"> been a victim of a</w:t>
      </w:r>
      <w:r w:rsidR="00762D15">
        <w:rPr>
          <w:rFonts w:cs="Times New Roman"/>
        </w:rPr>
        <w:t>ny</w:t>
      </w:r>
      <w:r w:rsidR="00B06AEF">
        <w:rPr>
          <w:rFonts w:cs="Times New Roman"/>
        </w:rPr>
        <w:t xml:space="preserve"> crime in the past 12 months. </w:t>
      </w:r>
      <w:r w:rsidRPr="00375D72">
        <w:rPr>
          <w:rFonts w:cs="Times New Roman"/>
        </w:rPr>
        <w:t xml:space="preserve">Individuals will be selected to the extent possible to achieve diversity by age, gender, educational attainment, race, and ethnicity across the interviews. </w:t>
      </w:r>
    </w:p>
    <w:p w14:paraId="0C04DA8D" w14:textId="77777777" w:rsidR="00A50C25" w:rsidRPr="00375D72" w:rsidRDefault="00A50C25" w:rsidP="00A50C25">
      <w:pPr>
        <w:rPr>
          <w:rFonts w:cs="Times New Roman"/>
        </w:rPr>
      </w:pPr>
    </w:p>
    <w:p w14:paraId="31410C82" w14:textId="77777777" w:rsidR="00B0109A" w:rsidRPr="00375D72" w:rsidRDefault="00AA3FA7" w:rsidP="00B0109A">
      <w:pPr>
        <w:rPr>
          <w:rFonts w:cs="Times New Roman"/>
        </w:rPr>
      </w:pPr>
      <w:r>
        <w:rPr>
          <w:rFonts w:cs="Times New Roman"/>
        </w:rPr>
        <w:t>A</w:t>
      </w:r>
      <w:r w:rsidR="00B0109A" w:rsidRPr="00375D72">
        <w:rPr>
          <w:rFonts w:cs="Times New Roman"/>
        </w:rPr>
        <w:t xml:space="preserve">ll cognitive interviews will be audio-recorded with the participant’s consent. The audio recordings will only be accessible to project staff directly working on the project and no names or other personally identifying information (other than the participant’s voice itself) will be included </w:t>
      </w:r>
      <w:r w:rsidR="006711C6">
        <w:rPr>
          <w:rFonts w:cs="Times New Roman"/>
        </w:rPr>
        <w:t>interviewer summaries of the audio recordings</w:t>
      </w:r>
      <w:r w:rsidR="00B0109A" w:rsidRPr="00375D72">
        <w:rPr>
          <w:rFonts w:cs="Times New Roman"/>
        </w:rPr>
        <w:t xml:space="preserve">. </w:t>
      </w:r>
    </w:p>
    <w:p w14:paraId="278998AE" w14:textId="77777777" w:rsidR="003B03C6" w:rsidRDefault="003B03C6" w:rsidP="006A2C9C">
      <w:pPr>
        <w:spacing w:line="240" w:lineRule="atLeast"/>
        <w:rPr>
          <w:rFonts w:cs="Times New Roman"/>
          <w:color w:val="000000" w:themeColor="text1"/>
        </w:rPr>
      </w:pPr>
    </w:p>
    <w:p w14:paraId="64B304F1" w14:textId="77777777" w:rsidR="00591AF0" w:rsidRPr="00845E02" w:rsidRDefault="00591AF0" w:rsidP="00591AF0">
      <w:pPr>
        <w:spacing w:line="240" w:lineRule="atLeast"/>
        <w:rPr>
          <w:rFonts w:cs="Times New Roman"/>
          <w:b/>
          <w:color w:val="000000" w:themeColor="text1"/>
          <w:u w:val="single"/>
        </w:rPr>
      </w:pPr>
      <w:r w:rsidRPr="00845E02">
        <w:rPr>
          <w:rFonts w:cs="Times New Roman"/>
          <w:b/>
          <w:color w:val="000000" w:themeColor="text1"/>
          <w:u w:val="single"/>
        </w:rPr>
        <w:t xml:space="preserve">Language </w:t>
      </w:r>
    </w:p>
    <w:p w14:paraId="42D17CD0" w14:textId="77777777" w:rsidR="00591AF0" w:rsidRDefault="00591AF0" w:rsidP="00591AF0">
      <w:pPr>
        <w:spacing w:line="240" w:lineRule="atLeast"/>
        <w:rPr>
          <w:rFonts w:cs="Times New Roman"/>
          <w:color w:val="000000" w:themeColor="text1"/>
        </w:rPr>
      </w:pPr>
    </w:p>
    <w:p w14:paraId="79ADFEE4" w14:textId="77777777" w:rsidR="00591AF0" w:rsidRDefault="00591AF0" w:rsidP="00591AF0">
      <w:pPr>
        <w:spacing w:line="240" w:lineRule="atLeast"/>
        <w:rPr>
          <w:rFonts w:cs="Times New Roman"/>
          <w:color w:val="000000" w:themeColor="text1"/>
        </w:rPr>
      </w:pPr>
      <w:r>
        <w:rPr>
          <w:rFonts w:cs="Times New Roman"/>
          <w:color w:val="000000" w:themeColor="text1"/>
        </w:rPr>
        <w:t>The cognitive interviews will be conducted in English.</w:t>
      </w:r>
    </w:p>
    <w:p w14:paraId="23186E09" w14:textId="77777777" w:rsidR="00591AF0" w:rsidRPr="00375D72" w:rsidRDefault="00591AF0" w:rsidP="00591AF0">
      <w:pPr>
        <w:rPr>
          <w:rFonts w:cs="Times New Roman"/>
          <w:color w:val="000000" w:themeColor="text1"/>
        </w:rPr>
      </w:pPr>
    </w:p>
    <w:p w14:paraId="7B4216D3" w14:textId="77777777" w:rsidR="00591AF0" w:rsidRDefault="00591AF0" w:rsidP="00591AF0">
      <w:pPr>
        <w:rPr>
          <w:rFonts w:cs="Times New Roman"/>
          <w:color w:val="000000" w:themeColor="text1"/>
        </w:rPr>
      </w:pPr>
      <w:r w:rsidRPr="00375D72">
        <w:rPr>
          <w:rFonts w:cs="Times New Roman"/>
          <w:b/>
          <w:color w:val="000000" w:themeColor="text1"/>
          <w:u w:val="single"/>
        </w:rPr>
        <w:t>Burden Hours</w:t>
      </w:r>
      <w:r>
        <w:rPr>
          <w:rFonts w:cs="Times New Roman"/>
          <w:b/>
          <w:color w:val="000000" w:themeColor="text1"/>
          <w:u w:val="single"/>
        </w:rPr>
        <w:t xml:space="preserve"> for Cognitive Testing</w:t>
      </w:r>
    </w:p>
    <w:p w14:paraId="31728867" w14:textId="77777777" w:rsidR="00591AF0" w:rsidRDefault="00591AF0" w:rsidP="00591AF0">
      <w:pPr>
        <w:rPr>
          <w:rFonts w:cs="Times New Roman"/>
          <w:color w:val="000000" w:themeColor="text1"/>
        </w:rPr>
      </w:pPr>
    </w:p>
    <w:p w14:paraId="11E792B0" w14:textId="7DF26B6B" w:rsidR="00591AF0" w:rsidRDefault="00591AF0" w:rsidP="00591AF0">
      <w:pPr>
        <w:rPr>
          <w:rFonts w:cs="Times New Roman"/>
          <w:color w:val="000000" w:themeColor="text1"/>
        </w:rPr>
      </w:pPr>
      <w:r>
        <w:rPr>
          <w:rFonts w:cs="Times New Roman"/>
          <w:color w:val="000000" w:themeColor="text1"/>
        </w:rPr>
        <w:t xml:space="preserve">The burden for this task consists of participants being screened for and subsequently participating in in-person </w:t>
      </w:r>
      <w:r w:rsidR="00C06BB1">
        <w:rPr>
          <w:rFonts w:cs="Times New Roman"/>
          <w:color w:val="000000" w:themeColor="text1"/>
        </w:rPr>
        <w:t xml:space="preserve">or remote </w:t>
      </w:r>
      <w:r>
        <w:rPr>
          <w:rFonts w:cs="Times New Roman"/>
          <w:color w:val="000000" w:themeColor="text1"/>
        </w:rPr>
        <w:t xml:space="preserve">cognitive interviews. </w:t>
      </w:r>
      <w:r w:rsidR="00895E2B">
        <w:rPr>
          <w:rFonts w:cs="Times New Roman"/>
          <w:color w:val="000000" w:themeColor="text1"/>
        </w:rPr>
        <w:t>Each of the first two rounds of</w:t>
      </w:r>
      <w:r w:rsidR="000C6734">
        <w:rPr>
          <w:rFonts w:cs="Times New Roman"/>
          <w:color w:val="000000" w:themeColor="text1"/>
        </w:rPr>
        <w:t xml:space="preserve"> </w:t>
      </w:r>
      <w:r w:rsidR="00E84DEB">
        <w:rPr>
          <w:rFonts w:cs="Times New Roman"/>
          <w:color w:val="000000" w:themeColor="text1"/>
        </w:rPr>
        <w:t xml:space="preserve">adult </w:t>
      </w:r>
      <w:r w:rsidR="000C6734">
        <w:rPr>
          <w:rFonts w:cs="Times New Roman"/>
          <w:color w:val="000000" w:themeColor="text1"/>
        </w:rPr>
        <w:t>cognitive testing will</w:t>
      </w:r>
      <w:r w:rsidR="00895E2B">
        <w:rPr>
          <w:rFonts w:cs="Times New Roman"/>
          <w:color w:val="000000" w:themeColor="text1"/>
        </w:rPr>
        <w:t xml:space="preserve"> cover different </w:t>
      </w:r>
      <w:r w:rsidR="0065269D">
        <w:rPr>
          <w:rFonts w:cs="Times New Roman"/>
          <w:color w:val="000000" w:themeColor="text1"/>
        </w:rPr>
        <w:t xml:space="preserve">CIR </w:t>
      </w:r>
      <w:r w:rsidR="00895E2B">
        <w:rPr>
          <w:rFonts w:cs="Times New Roman"/>
          <w:color w:val="000000" w:themeColor="text1"/>
        </w:rPr>
        <w:t>sections, and the third round will navigate respondents through the entire CIR, incorporating revisions from prior testing</w:t>
      </w:r>
      <w:r w:rsidR="000C6734">
        <w:rPr>
          <w:rFonts w:cs="Times New Roman"/>
          <w:color w:val="000000" w:themeColor="text1"/>
        </w:rPr>
        <w:t xml:space="preserve">. </w:t>
      </w:r>
      <w:r w:rsidR="0065269D">
        <w:rPr>
          <w:rFonts w:cs="Times New Roman"/>
          <w:color w:val="000000" w:themeColor="text1"/>
        </w:rPr>
        <w:t>Similarly</w:t>
      </w:r>
      <w:r w:rsidR="00E84DEB">
        <w:rPr>
          <w:rFonts w:cs="Times New Roman"/>
          <w:color w:val="000000" w:themeColor="text1"/>
        </w:rPr>
        <w:t xml:space="preserve">, the youth cognitive interviews will focus on testing content that has been revised based on testing with adults, focusing on both screener and CIR items. </w:t>
      </w:r>
      <w:r>
        <w:rPr>
          <w:rFonts w:cs="Times New Roman"/>
          <w:color w:val="000000" w:themeColor="text1"/>
        </w:rPr>
        <w:t xml:space="preserve">The burden associated with these activities is presented in the following table. </w:t>
      </w:r>
    </w:p>
    <w:p w14:paraId="7BF33769" w14:textId="77777777" w:rsidR="006C61EB" w:rsidRDefault="006C61EB">
      <w:pPr>
        <w:rPr>
          <w:rFonts w:cs="Times New Roman"/>
          <w:b/>
          <w:color w:val="000000" w:themeColor="text1"/>
        </w:rPr>
      </w:pPr>
    </w:p>
    <w:p w14:paraId="3CA1B04E" w14:textId="77777777" w:rsidR="00591AF0" w:rsidRPr="008842CA" w:rsidRDefault="00591AF0" w:rsidP="00591AF0">
      <w:pPr>
        <w:rPr>
          <w:rFonts w:cs="Times New Roman"/>
          <w:b/>
          <w:color w:val="000000" w:themeColor="text1"/>
        </w:rPr>
      </w:pPr>
      <w:r w:rsidRPr="008842CA">
        <w:rPr>
          <w:rFonts w:cs="Times New Roman"/>
          <w:b/>
          <w:color w:val="000000" w:themeColor="text1"/>
        </w:rPr>
        <w:t>Table 1. Burden Associated with Planned NCVS-R Cognitive Testing Activities</w:t>
      </w:r>
    </w:p>
    <w:tbl>
      <w:tblPr>
        <w:tblStyle w:val="TableGrid"/>
        <w:tblW w:w="8360" w:type="dxa"/>
        <w:jc w:val="center"/>
        <w:tblLayout w:type="fixed"/>
        <w:tblLook w:val="04A0" w:firstRow="1" w:lastRow="0" w:firstColumn="1" w:lastColumn="0" w:noHBand="0" w:noVBand="1"/>
      </w:tblPr>
      <w:tblGrid>
        <w:gridCol w:w="1615"/>
        <w:gridCol w:w="990"/>
        <w:gridCol w:w="990"/>
        <w:gridCol w:w="990"/>
        <w:gridCol w:w="1350"/>
        <w:gridCol w:w="1530"/>
        <w:gridCol w:w="895"/>
      </w:tblGrid>
      <w:tr w:rsidR="008362A5" w:rsidRPr="000C6734" w14:paraId="139BF018" w14:textId="77777777" w:rsidTr="004F68D7">
        <w:trPr>
          <w:trHeight w:val="512"/>
          <w:jc w:val="center"/>
        </w:trPr>
        <w:tc>
          <w:tcPr>
            <w:tcW w:w="1615" w:type="dxa"/>
            <w:vMerge w:val="restart"/>
            <w:shd w:val="clear" w:color="auto" w:fill="auto"/>
          </w:tcPr>
          <w:p w14:paraId="21F56F3D" w14:textId="77777777" w:rsidR="008362A5" w:rsidRPr="008362A5" w:rsidRDefault="008362A5" w:rsidP="008362A5">
            <w:pPr>
              <w:spacing w:line="240" w:lineRule="atLeast"/>
              <w:jc w:val="center"/>
              <w:rPr>
                <w:rFonts w:cs="Times New Roman"/>
                <w:b/>
                <w:color w:val="000000" w:themeColor="text1"/>
                <w:sz w:val="20"/>
                <w:szCs w:val="20"/>
              </w:rPr>
            </w:pPr>
          </w:p>
          <w:p w14:paraId="5FB934E6" w14:textId="77777777" w:rsidR="008362A5" w:rsidRPr="008362A5" w:rsidRDefault="008362A5" w:rsidP="00A03141">
            <w:pPr>
              <w:spacing w:line="240" w:lineRule="atLeast"/>
              <w:rPr>
                <w:rFonts w:cs="Times New Roman"/>
                <w:b/>
                <w:sz w:val="20"/>
                <w:szCs w:val="20"/>
              </w:rPr>
            </w:pPr>
            <w:r w:rsidRPr="008362A5">
              <w:rPr>
                <w:rFonts w:cs="Times New Roman"/>
                <w:b/>
                <w:sz w:val="20"/>
                <w:szCs w:val="20"/>
              </w:rPr>
              <w:t>Data Collection Type</w:t>
            </w:r>
          </w:p>
        </w:tc>
        <w:tc>
          <w:tcPr>
            <w:tcW w:w="2970" w:type="dxa"/>
            <w:gridSpan w:val="3"/>
            <w:shd w:val="clear" w:color="auto" w:fill="auto"/>
          </w:tcPr>
          <w:p w14:paraId="5F2F4F2B" w14:textId="77777777" w:rsidR="008362A5" w:rsidRPr="000C6734" w:rsidRDefault="008362A5" w:rsidP="005A32C1">
            <w:pPr>
              <w:spacing w:line="240" w:lineRule="atLeast"/>
              <w:jc w:val="center"/>
              <w:rPr>
                <w:rFonts w:cs="Times New Roman"/>
                <w:b/>
                <w:color w:val="000000" w:themeColor="text1"/>
                <w:sz w:val="20"/>
                <w:szCs w:val="20"/>
              </w:rPr>
            </w:pPr>
            <w:r>
              <w:rPr>
                <w:rFonts w:cs="Times New Roman"/>
                <w:b/>
                <w:color w:val="000000" w:themeColor="text1"/>
                <w:sz w:val="20"/>
                <w:szCs w:val="20"/>
              </w:rPr>
              <w:t># of Respondents per Round</w:t>
            </w:r>
          </w:p>
        </w:tc>
        <w:tc>
          <w:tcPr>
            <w:tcW w:w="1350" w:type="dxa"/>
            <w:vMerge w:val="restart"/>
            <w:shd w:val="clear" w:color="auto" w:fill="auto"/>
          </w:tcPr>
          <w:p w14:paraId="34FD08E0" w14:textId="77777777" w:rsidR="008362A5" w:rsidRPr="008362A5"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 xml:space="preserve"> </w:t>
            </w:r>
            <w:r w:rsidRPr="000C6734">
              <w:rPr>
                <w:rFonts w:cs="Times New Roman"/>
                <w:b/>
                <w:color w:val="000000" w:themeColor="text1"/>
                <w:sz w:val="20"/>
                <w:szCs w:val="20"/>
              </w:rPr>
              <w:br/>
            </w:r>
            <w:r>
              <w:rPr>
                <w:rFonts w:cs="Times New Roman"/>
                <w:b/>
                <w:color w:val="000000" w:themeColor="text1"/>
                <w:sz w:val="20"/>
                <w:szCs w:val="20"/>
              </w:rPr>
              <w:t xml:space="preserve">Total </w:t>
            </w:r>
            <w:r w:rsidRPr="000C6734">
              <w:rPr>
                <w:rFonts w:cs="Times New Roman"/>
                <w:b/>
                <w:color w:val="000000" w:themeColor="text1"/>
                <w:sz w:val="20"/>
                <w:szCs w:val="20"/>
              </w:rPr>
              <w:t># of Respondents</w:t>
            </w:r>
          </w:p>
        </w:tc>
        <w:tc>
          <w:tcPr>
            <w:tcW w:w="1530" w:type="dxa"/>
            <w:vMerge w:val="restart"/>
            <w:shd w:val="clear" w:color="auto" w:fill="auto"/>
          </w:tcPr>
          <w:p w14:paraId="6A4A548F" w14:textId="77777777" w:rsidR="008362A5" w:rsidRPr="000C6734"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 xml:space="preserve">Average Administration Time (minutes) </w:t>
            </w:r>
          </w:p>
        </w:tc>
        <w:tc>
          <w:tcPr>
            <w:tcW w:w="895" w:type="dxa"/>
            <w:vMerge w:val="restart"/>
            <w:shd w:val="clear" w:color="auto" w:fill="auto"/>
          </w:tcPr>
          <w:p w14:paraId="409AF453" w14:textId="77777777"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Burden (hours)</w:t>
            </w:r>
          </w:p>
        </w:tc>
      </w:tr>
      <w:tr w:rsidR="008362A5" w:rsidRPr="000C6734" w14:paraId="00AD33B6" w14:textId="77777777" w:rsidTr="004F68D7">
        <w:trPr>
          <w:trHeight w:val="70"/>
          <w:jc w:val="center"/>
        </w:trPr>
        <w:tc>
          <w:tcPr>
            <w:tcW w:w="1615" w:type="dxa"/>
            <w:vMerge/>
          </w:tcPr>
          <w:p w14:paraId="60567753" w14:textId="77777777" w:rsidR="008362A5" w:rsidRPr="000C6734" w:rsidRDefault="008362A5" w:rsidP="008362A5">
            <w:pPr>
              <w:spacing w:line="240" w:lineRule="atLeast"/>
              <w:jc w:val="center"/>
              <w:rPr>
                <w:rFonts w:cs="Times New Roman"/>
                <w:color w:val="000000" w:themeColor="text1"/>
                <w:sz w:val="20"/>
                <w:szCs w:val="20"/>
              </w:rPr>
            </w:pPr>
          </w:p>
        </w:tc>
        <w:tc>
          <w:tcPr>
            <w:tcW w:w="990" w:type="dxa"/>
          </w:tcPr>
          <w:p w14:paraId="702C843D" w14:textId="77777777"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1</w:t>
            </w:r>
          </w:p>
        </w:tc>
        <w:tc>
          <w:tcPr>
            <w:tcW w:w="990" w:type="dxa"/>
          </w:tcPr>
          <w:p w14:paraId="76DA173C" w14:textId="77777777"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2</w:t>
            </w:r>
          </w:p>
        </w:tc>
        <w:tc>
          <w:tcPr>
            <w:tcW w:w="990" w:type="dxa"/>
          </w:tcPr>
          <w:p w14:paraId="27BA5B66" w14:textId="77777777"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3</w:t>
            </w:r>
          </w:p>
        </w:tc>
        <w:tc>
          <w:tcPr>
            <w:tcW w:w="1350" w:type="dxa"/>
            <w:vMerge/>
          </w:tcPr>
          <w:p w14:paraId="3351229C" w14:textId="77777777" w:rsidR="008362A5" w:rsidRPr="000C6734" w:rsidRDefault="008362A5" w:rsidP="008362A5">
            <w:pPr>
              <w:spacing w:line="240" w:lineRule="atLeast"/>
              <w:jc w:val="center"/>
              <w:rPr>
                <w:rFonts w:cs="Times New Roman"/>
                <w:b/>
                <w:color w:val="000000" w:themeColor="text1"/>
                <w:sz w:val="20"/>
                <w:szCs w:val="20"/>
              </w:rPr>
            </w:pPr>
          </w:p>
        </w:tc>
        <w:tc>
          <w:tcPr>
            <w:tcW w:w="1530" w:type="dxa"/>
            <w:vMerge/>
          </w:tcPr>
          <w:p w14:paraId="4AA98A3F" w14:textId="77777777" w:rsidR="008362A5" w:rsidRPr="000C6734" w:rsidRDefault="008362A5" w:rsidP="008362A5">
            <w:pPr>
              <w:spacing w:line="240" w:lineRule="atLeast"/>
              <w:jc w:val="center"/>
              <w:rPr>
                <w:rFonts w:cs="Times New Roman"/>
                <w:b/>
                <w:color w:val="000000" w:themeColor="text1"/>
                <w:sz w:val="20"/>
                <w:szCs w:val="20"/>
              </w:rPr>
            </w:pPr>
          </w:p>
        </w:tc>
        <w:tc>
          <w:tcPr>
            <w:tcW w:w="895" w:type="dxa"/>
            <w:vMerge/>
          </w:tcPr>
          <w:p w14:paraId="652968FA" w14:textId="77777777" w:rsidR="008362A5" w:rsidRPr="000C6734" w:rsidRDefault="008362A5" w:rsidP="008362A5">
            <w:pPr>
              <w:spacing w:line="240" w:lineRule="atLeast"/>
              <w:jc w:val="center"/>
              <w:rPr>
                <w:rFonts w:cs="Times New Roman"/>
                <w:b/>
                <w:color w:val="000000" w:themeColor="text1"/>
                <w:sz w:val="20"/>
                <w:szCs w:val="20"/>
              </w:rPr>
            </w:pPr>
          </w:p>
        </w:tc>
      </w:tr>
      <w:tr w:rsidR="008362A5" w:rsidRPr="000C6734" w14:paraId="2761BF50" w14:textId="77777777" w:rsidTr="004F68D7">
        <w:trPr>
          <w:trHeight w:val="681"/>
          <w:jc w:val="center"/>
        </w:trPr>
        <w:tc>
          <w:tcPr>
            <w:tcW w:w="1615" w:type="dxa"/>
          </w:tcPr>
          <w:p w14:paraId="0FA58E62" w14:textId="77777777" w:rsidR="008362A5" w:rsidRPr="000C6734" w:rsidRDefault="008362A5" w:rsidP="00B06AEF">
            <w:pPr>
              <w:tabs>
                <w:tab w:val="left" w:pos="1275"/>
              </w:tabs>
              <w:spacing w:line="240" w:lineRule="atLeast"/>
              <w:rPr>
                <w:rFonts w:cs="Times New Roman"/>
                <w:b/>
                <w:color w:val="000000" w:themeColor="text1"/>
                <w:sz w:val="20"/>
                <w:szCs w:val="20"/>
              </w:rPr>
            </w:pPr>
            <w:r w:rsidRPr="000C6734">
              <w:rPr>
                <w:rFonts w:cs="Times New Roman"/>
                <w:b/>
                <w:color w:val="000000" w:themeColor="text1"/>
                <w:sz w:val="20"/>
                <w:szCs w:val="20"/>
              </w:rPr>
              <w:t xml:space="preserve">In-person </w:t>
            </w:r>
            <w:r w:rsidR="00B06AEF">
              <w:rPr>
                <w:rFonts w:cs="Times New Roman"/>
                <w:b/>
                <w:color w:val="000000" w:themeColor="text1"/>
                <w:sz w:val="20"/>
                <w:szCs w:val="20"/>
              </w:rPr>
              <w:t>c</w:t>
            </w:r>
            <w:r w:rsidRPr="000C6734">
              <w:rPr>
                <w:rFonts w:cs="Times New Roman"/>
                <w:b/>
                <w:color w:val="000000" w:themeColor="text1"/>
                <w:sz w:val="20"/>
                <w:szCs w:val="20"/>
              </w:rPr>
              <w:t xml:space="preserve">ognitive </w:t>
            </w:r>
            <w:r w:rsidR="00B06AEF">
              <w:rPr>
                <w:rFonts w:cs="Times New Roman"/>
                <w:b/>
                <w:color w:val="000000" w:themeColor="text1"/>
                <w:sz w:val="20"/>
                <w:szCs w:val="20"/>
              </w:rPr>
              <w:t>i</w:t>
            </w:r>
            <w:r w:rsidRPr="000C6734">
              <w:rPr>
                <w:rFonts w:cs="Times New Roman"/>
                <w:b/>
                <w:color w:val="000000" w:themeColor="text1"/>
                <w:sz w:val="20"/>
                <w:szCs w:val="20"/>
              </w:rPr>
              <w:t>nterviewing</w:t>
            </w:r>
            <w:r w:rsidR="00B06AEF">
              <w:rPr>
                <w:rFonts w:cs="Times New Roman"/>
                <w:b/>
                <w:color w:val="000000" w:themeColor="text1"/>
                <w:sz w:val="20"/>
                <w:szCs w:val="20"/>
              </w:rPr>
              <w:t xml:space="preserve"> with adults</w:t>
            </w:r>
          </w:p>
        </w:tc>
        <w:tc>
          <w:tcPr>
            <w:tcW w:w="990" w:type="dxa"/>
          </w:tcPr>
          <w:p w14:paraId="5D540118" w14:textId="77777777"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990" w:type="dxa"/>
          </w:tcPr>
          <w:p w14:paraId="7ABAE399" w14:textId="77777777"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990" w:type="dxa"/>
          </w:tcPr>
          <w:p w14:paraId="6EBA6010" w14:textId="77777777"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1350" w:type="dxa"/>
          </w:tcPr>
          <w:p w14:paraId="7F042CD6" w14:textId="77777777" w:rsidR="008362A5" w:rsidRPr="000C6734" w:rsidRDefault="00A03141" w:rsidP="008362A5">
            <w:pPr>
              <w:spacing w:line="240" w:lineRule="atLeast"/>
              <w:jc w:val="center"/>
              <w:rPr>
                <w:rFonts w:cs="Times New Roman"/>
                <w:color w:val="000000" w:themeColor="text1"/>
                <w:sz w:val="20"/>
                <w:szCs w:val="20"/>
              </w:rPr>
            </w:pPr>
            <w:r>
              <w:rPr>
                <w:rFonts w:cs="Times New Roman"/>
                <w:color w:val="000000" w:themeColor="text1"/>
                <w:sz w:val="20"/>
                <w:szCs w:val="20"/>
              </w:rPr>
              <w:t>90</w:t>
            </w:r>
          </w:p>
        </w:tc>
        <w:tc>
          <w:tcPr>
            <w:tcW w:w="1530" w:type="dxa"/>
          </w:tcPr>
          <w:p w14:paraId="5E3904A7" w14:textId="6E230E4C" w:rsidR="008362A5" w:rsidRPr="000C6734" w:rsidRDefault="00992E99" w:rsidP="008362A5">
            <w:pPr>
              <w:spacing w:line="240" w:lineRule="atLeast"/>
              <w:jc w:val="center"/>
              <w:rPr>
                <w:rFonts w:cs="Times New Roman"/>
                <w:color w:val="000000" w:themeColor="text1"/>
                <w:sz w:val="20"/>
                <w:szCs w:val="20"/>
              </w:rPr>
            </w:pPr>
            <w:r>
              <w:rPr>
                <w:rFonts w:cs="Times New Roman"/>
                <w:color w:val="000000" w:themeColor="text1"/>
                <w:sz w:val="20"/>
                <w:szCs w:val="20"/>
              </w:rPr>
              <w:t>9</w:t>
            </w:r>
            <w:r w:rsidR="008362A5" w:rsidRPr="000C6734">
              <w:rPr>
                <w:rFonts w:cs="Times New Roman"/>
                <w:color w:val="000000" w:themeColor="text1"/>
                <w:sz w:val="20"/>
                <w:szCs w:val="20"/>
              </w:rPr>
              <w:t>0</w:t>
            </w:r>
          </w:p>
        </w:tc>
        <w:tc>
          <w:tcPr>
            <w:tcW w:w="895" w:type="dxa"/>
          </w:tcPr>
          <w:p w14:paraId="4C745EB2" w14:textId="595CD194" w:rsidR="008362A5" w:rsidRPr="000C6734" w:rsidRDefault="00992E99" w:rsidP="008362A5">
            <w:pPr>
              <w:spacing w:line="240" w:lineRule="atLeast"/>
              <w:jc w:val="center"/>
              <w:rPr>
                <w:rFonts w:cs="Times New Roman"/>
                <w:color w:val="000000" w:themeColor="text1"/>
                <w:sz w:val="20"/>
                <w:szCs w:val="20"/>
              </w:rPr>
            </w:pPr>
            <w:r>
              <w:rPr>
                <w:rFonts w:cs="Times New Roman"/>
                <w:color w:val="000000" w:themeColor="text1"/>
                <w:sz w:val="20"/>
                <w:szCs w:val="20"/>
              </w:rPr>
              <w:t>135</w:t>
            </w:r>
          </w:p>
        </w:tc>
      </w:tr>
      <w:tr w:rsidR="00B06AEF" w:rsidRPr="000C6734" w14:paraId="0539D2B4" w14:textId="77777777" w:rsidTr="004F68D7">
        <w:trPr>
          <w:trHeight w:val="681"/>
          <w:jc w:val="center"/>
        </w:trPr>
        <w:tc>
          <w:tcPr>
            <w:tcW w:w="1615" w:type="dxa"/>
          </w:tcPr>
          <w:p w14:paraId="6BF52212" w14:textId="77777777" w:rsidR="00B06AEF" w:rsidRPr="000C6734" w:rsidRDefault="00B06AEF" w:rsidP="00B06AEF">
            <w:pPr>
              <w:tabs>
                <w:tab w:val="left" w:pos="1275"/>
              </w:tabs>
              <w:spacing w:line="240" w:lineRule="atLeast"/>
              <w:rPr>
                <w:rFonts w:cs="Times New Roman"/>
                <w:b/>
                <w:color w:val="000000" w:themeColor="text1"/>
                <w:sz w:val="20"/>
                <w:szCs w:val="20"/>
              </w:rPr>
            </w:pPr>
            <w:r w:rsidRPr="000C6734">
              <w:rPr>
                <w:rFonts w:cs="Times New Roman"/>
                <w:b/>
                <w:color w:val="000000" w:themeColor="text1"/>
                <w:sz w:val="20"/>
                <w:szCs w:val="20"/>
              </w:rPr>
              <w:t xml:space="preserve">In-person </w:t>
            </w:r>
            <w:r>
              <w:rPr>
                <w:rFonts w:cs="Times New Roman"/>
                <w:b/>
                <w:color w:val="000000" w:themeColor="text1"/>
                <w:sz w:val="20"/>
                <w:szCs w:val="20"/>
              </w:rPr>
              <w:t>c</w:t>
            </w:r>
            <w:r w:rsidRPr="000C6734">
              <w:rPr>
                <w:rFonts w:cs="Times New Roman"/>
                <w:b/>
                <w:color w:val="000000" w:themeColor="text1"/>
                <w:sz w:val="20"/>
                <w:szCs w:val="20"/>
              </w:rPr>
              <w:t xml:space="preserve">ognitive </w:t>
            </w:r>
            <w:r>
              <w:rPr>
                <w:rFonts w:cs="Times New Roman"/>
                <w:b/>
                <w:color w:val="000000" w:themeColor="text1"/>
                <w:sz w:val="20"/>
                <w:szCs w:val="20"/>
              </w:rPr>
              <w:t>i</w:t>
            </w:r>
            <w:r w:rsidRPr="000C6734">
              <w:rPr>
                <w:rFonts w:cs="Times New Roman"/>
                <w:b/>
                <w:color w:val="000000" w:themeColor="text1"/>
                <w:sz w:val="20"/>
                <w:szCs w:val="20"/>
              </w:rPr>
              <w:t>nterviewing</w:t>
            </w:r>
            <w:r>
              <w:rPr>
                <w:rFonts w:cs="Times New Roman"/>
                <w:b/>
                <w:color w:val="000000" w:themeColor="text1"/>
                <w:sz w:val="20"/>
                <w:szCs w:val="20"/>
              </w:rPr>
              <w:t xml:space="preserve"> with youth</w:t>
            </w:r>
          </w:p>
        </w:tc>
        <w:tc>
          <w:tcPr>
            <w:tcW w:w="990" w:type="dxa"/>
          </w:tcPr>
          <w:p w14:paraId="36290DB7" w14:textId="14C2B2E8" w:rsidR="00B06AEF" w:rsidRDefault="00762D1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990" w:type="dxa"/>
          </w:tcPr>
          <w:p w14:paraId="60000503" w14:textId="2DEEF50C" w:rsidR="00B06AEF" w:rsidRDefault="00B06AEF" w:rsidP="008362A5">
            <w:pPr>
              <w:spacing w:line="240" w:lineRule="atLeast"/>
              <w:jc w:val="center"/>
              <w:rPr>
                <w:rFonts w:cs="Times New Roman"/>
                <w:color w:val="000000" w:themeColor="text1"/>
                <w:sz w:val="20"/>
                <w:szCs w:val="20"/>
              </w:rPr>
            </w:pPr>
          </w:p>
        </w:tc>
        <w:tc>
          <w:tcPr>
            <w:tcW w:w="990" w:type="dxa"/>
          </w:tcPr>
          <w:p w14:paraId="7BCD34A1" w14:textId="48CAEE24" w:rsidR="00B06AEF" w:rsidRDefault="00B06AEF" w:rsidP="008362A5">
            <w:pPr>
              <w:spacing w:line="240" w:lineRule="atLeast"/>
              <w:jc w:val="center"/>
              <w:rPr>
                <w:rFonts w:cs="Times New Roman"/>
                <w:color w:val="000000" w:themeColor="text1"/>
                <w:sz w:val="20"/>
                <w:szCs w:val="20"/>
              </w:rPr>
            </w:pPr>
          </w:p>
        </w:tc>
        <w:tc>
          <w:tcPr>
            <w:tcW w:w="1350" w:type="dxa"/>
          </w:tcPr>
          <w:p w14:paraId="0A68FDF3" w14:textId="27E172E4" w:rsidR="00B06AEF" w:rsidRDefault="00762D15" w:rsidP="00DD23E0">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1530" w:type="dxa"/>
          </w:tcPr>
          <w:p w14:paraId="78E317AF" w14:textId="472728E7" w:rsidR="00B06AEF" w:rsidRPr="000C6734" w:rsidRDefault="00992E99" w:rsidP="008362A5">
            <w:pPr>
              <w:spacing w:line="240" w:lineRule="atLeast"/>
              <w:jc w:val="center"/>
              <w:rPr>
                <w:rFonts w:cs="Times New Roman"/>
                <w:color w:val="000000" w:themeColor="text1"/>
                <w:sz w:val="20"/>
                <w:szCs w:val="20"/>
              </w:rPr>
            </w:pPr>
            <w:r>
              <w:rPr>
                <w:rFonts w:cs="Times New Roman"/>
                <w:color w:val="000000" w:themeColor="text1"/>
                <w:sz w:val="20"/>
                <w:szCs w:val="20"/>
              </w:rPr>
              <w:t>9</w:t>
            </w:r>
            <w:r w:rsidR="00B06AEF">
              <w:rPr>
                <w:rFonts w:cs="Times New Roman"/>
                <w:color w:val="000000" w:themeColor="text1"/>
                <w:sz w:val="20"/>
                <w:szCs w:val="20"/>
              </w:rPr>
              <w:t>0</w:t>
            </w:r>
          </w:p>
        </w:tc>
        <w:tc>
          <w:tcPr>
            <w:tcW w:w="895" w:type="dxa"/>
          </w:tcPr>
          <w:p w14:paraId="3B108E8F" w14:textId="2D90AA3A" w:rsidR="00B06AEF" w:rsidRDefault="00396482" w:rsidP="00DD23E0">
            <w:pPr>
              <w:spacing w:line="240" w:lineRule="atLeast"/>
              <w:jc w:val="center"/>
              <w:rPr>
                <w:rFonts w:cs="Times New Roman"/>
                <w:color w:val="000000" w:themeColor="text1"/>
                <w:sz w:val="20"/>
                <w:szCs w:val="20"/>
              </w:rPr>
            </w:pPr>
            <w:r>
              <w:rPr>
                <w:rFonts w:cs="Times New Roman"/>
                <w:color w:val="000000" w:themeColor="text1"/>
                <w:sz w:val="20"/>
                <w:szCs w:val="20"/>
              </w:rPr>
              <w:t>45</w:t>
            </w:r>
          </w:p>
        </w:tc>
      </w:tr>
    </w:tbl>
    <w:p w14:paraId="1654F333" w14:textId="77777777" w:rsidR="00A61FA9" w:rsidRPr="00C232B9" w:rsidRDefault="00A61FA9" w:rsidP="00591AF0">
      <w:pPr>
        <w:spacing w:line="240" w:lineRule="atLeast"/>
        <w:jc w:val="center"/>
        <w:rPr>
          <w:rFonts w:cs="Times New Roman"/>
          <w:color w:val="000000" w:themeColor="text1"/>
        </w:rPr>
      </w:pPr>
    </w:p>
    <w:p w14:paraId="54029AA8" w14:textId="77777777" w:rsidR="00784CEB" w:rsidRDefault="00784CEB" w:rsidP="002A71F1">
      <w:pPr>
        <w:rPr>
          <w:rFonts w:cs="Times New Roman"/>
          <w:b/>
          <w:color w:val="000000" w:themeColor="text1"/>
          <w:u w:val="single"/>
        </w:rPr>
      </w:pPr>
      <w:r>
        <w:rPr>
          <w:rFonts w:cs="Times New Roman"/>
          <w:b/>
          <w:color w:val="000000" w:themeColor="text1"/>
          <w:u w:val="single"/>
        </w:rPr>
        <w:t>Justification of Respondent Burden</w:t>
      </w:r>
    </w:p>
    <w:p w14:paraId="02F4028A" w14:textId="77777777" w:rsidR="00784CEB" w:rsidRDefault="00784CEB" w:rsidP="002A71F1">
      <w:pPr>
        <w:rPr>
          <w:rFonts w:cs="Times New Roman"/>
          <w:b/>
          <w:color w:val="000000" w:themeColor="text1"/>
          <w:u w:val="single"/>
        </w:rPr>
      </w:pPr>
    </w:p>
    <w:p w14:paraId="66122400" w14:textId="43EC6032" w:rsidR="00784CEB" w:rsidRDefault="00784CEB" w:rsidP="002A71F1">
      <w:pPr>
        <w:rPr>
          <w:rFonts w:cs="Times New Roman"/>
          <w:color w:val="000000" w:themeColor="text1"/>
        </w:rPr>
      </w:pPr>
      <w:r>
        <w:rPr>
          <w:rFonts w:cs="Times New Roman"/>
          <w:color w:val="000000" w:themeColor="text1"/>
        </w:rPr>
        <w:t>Every effort has been made to minimize respondent burden and government cost in the conduct of these proposed tests. The size of the sample need</w:t>
      </w:r>
      <w:r w:rsidR="00757416">
        <w:rPr>
          <w:rFonts w:cs="Times New Roman"/>
          <w:color w:val="000000" w:themeColor="text1"/>
        </w:rPr>
        <w:t>ed</w:t>
      </w:r>
      <w:r>
        <w:rPr>
          <w:rFonts w:cs="Times New Roman"/>
          <w:color w:val="000000" w:themeColor="text1"/>
        </w:rPr>
        <w:t xml:space="preserve"> to support analysis of the in-person cognitive interviewing was </w:t>
      </w:r>
      <w:r w:rsidR="00757416">
        <w:rPr>
          <w:rFonts w:cs="Times New Roman"/>
          <w:color w:val="000000" w:themeColor="text1"/>
        </w:rPr>
        <w:t>driven by the goals of the testing. The 90</w:t>
      </w:r>
      <w:r w:rsidR="001B5B11">
        <w:rPr>
          <w:rFonts w:cs="Times New Roman"/>
          <w:color w:val="000000" w:themeColor="text1"/>
        </w:rPr>
        <w:t xml:space="preserve"> adult</w:t>
      </w:r>
      <w:r w:rsidR="00757416">
        <w:rPr>
          <w:rFonts w:cs="Times New Roman"/>
          <w:color w:val="000000" w:themeColor="text1"/>
        </w:rPr>
        <w:t xml:space="preserve"> interviews</w:t>
      </w:r>
      <w:r w:rsidR="00DC51D9">
        <w:rPr>
          <w:rFonts w:cs="Times New Roman"/>
          <w:color w:val="000000" w:themeColor="text1"/>
        </w:rPr>
        <w:t xml:space="preserve"> are split across 3 </w:t>
      </w:r>
      <w:r w:rsidR="001B5B11">
        <w:rPr>
          <w:rFonts w:cs="Times New Roman"/>
          <w:color w:val="000000" w:themeColor="text1"/>
        </w:rPr>
        <w:t>rounds of testing</w:t>
      </w:r>
      <w:r w:rsidR="00876B1E">
        <w:rPr>
          <w:rFonts w:cs="Times New Roman"/>
          <w:color w:val="000000" w:themeColor="text1"/>
        </w:rPr>
        <w:t xml:space="preserve">. </w:t>
      </w:r>
      <w:r w:rsidR="00895E2B">
        <w:rPr>
          <w:rFonts w:cs="Times New Roman"/>
          <w:color w:val="000000" w:themeColor="text1"/>
        </w:rPr>
        <w:t xml:space="preserve">In each </w:t>
      </w:r>
      <w:r w:rsidR="001B5B11">
        <w:rPr>
          <w:rFonts w:cs="Times New Roman"/>
          <w:color w:val="000000" w:themeColor="text1"/>
        </w:rPr>
        <w:t>round</w:t>
      </w:r>
      <w:r w:rsidR="00895E2B">
        <w:rPr>
          <w:rFonts w:cs="Times New Roman"/>
          <w:color w:val="000000" w:themeColor="text1"/>
        </w:rPr>
        <w:t>, we will recruit roughly 5 to 6 victims each of different types of crimes</w:t>
      </w:r>
      <w:r w:rsidR="001B5B11">
        <w:rPr>
          <w:rFonts w:cs="Times New Roman"/>
          <w:color w:val="000000" w:themeColor="text1"/>
        </w:rPr>
        <w:t xml:space="preserve">, including </w:t>
      </w:r>
      <w:r w:rsidR="00762D15">
        <w:rPr>
          <w:rFonts w:cs="Times New Roman"/>
          <w:color w:val="000000" w:themeColor="text1"/>
        </w:rPr>
        <w:t xml:space="preserve">vehicle </w:t>
      </w:r>
      <w:r w:rsidR="001B5B11">
        <w:rPr>
          <w:rFonts w:cs="Times New Roman"/>
          <w:color w:val="000000" w:themeColor="text1"/>
        </w:rPr>
        <w:t xml:space="preserve">theft, </w:t>
      </w:r>
      <w:r w:rsidR="00762D15">
        <w:rPr>
          <w:rFonts w:cs="Times New Roman"/>
          <w:color w:val="000000" w:themeColor="text1"/>
        </w:rPr>
        <w:t xml:space="preserve">theft of other items, </w:t>
      </w:r>
      <w:r w:rsidR="001B5B11">
        <w:rPr>
          <w:rFonts w:cs="Times New Roman"/>
          <w:color w:val="000000" w:themeColor="text1"/>
        </w:rPr>
        <w:t xml:space="preserve">assault, </w:t>
      </w:r>
      <w:r w:rsidR="00762D15">
        <w:rPr>
          <w:rFonts w:cs="Times New Roman"/>
          <w:color w:val="000000" w:themeColor="text1"/>
        </w:rPr>
        <w:t xml:space="preserve">break-ins, </w:t>
      </w:r>
      <w:r w:rsidR="001B5B11">
        <w:rPr>
          <w:rFonts w:cs="Times New Roman"/>
          <w:color w:val="000000" w:themeColor="text1"/>
        </w:rPr>
        <w:t xml:space="preserve">and </w:t>
      </w:r>
      <w:r w:rsidR="00762D15">
        <w:rPr>
          <w:rFonts w:cs="Times New Roman"/>
          <w:color w:val="000000" w:themeColor="text1"/>
        </w:rPr>
        <w:t>vandalism</w:t>
      </w:r>
      <w:r w:rsidR="00895E2B">
        <w:rPr>
          <w:rFonts w:cs="Times New Roman"/>
          <w:color w:val="000000" w:themeColor="text1"/>
        </w:rPr>
        <w:t xml:space="preserve"> to ensure that all ite</w:t>
      </w:r>
      <w:r w:rsidR="00AE2D2A">
        <w:rPr>
          <w:rFonts w:cs="Times New Roman"/>
          <w:color w:val="000000" w:themeColor="text1"/>
        </w:rPr>
        <w:t>ms in the CIR are tested.</w:t>
      </w:r>
      <w:r w:rsidR="001B5B11">
        <w:rPr>
          <w:rFonts w:cs="Times New Roman"/>
          <w:color w:val="000000" w:themeColor="text1"/>
        </w:rPr>
        <w:t xml:space="preserve"> The </w:t>
      </w:r>
      <w:r w:rsidR="00762D15">
        <w:rPr>
          <w:rFonts w:cs="Times New Roman"/>
          <w:color w:val="000000" w:themeColor="text1"/>
        </w:rPr>
        <w:t xml:space="preserve">30 </w:t>
      </w:r>
      <w:r w:rsidR="001B5B11">
        <w:rPr>
          <w:rFonts w:cs="Times New Roman"/>
          <w:color w:val="000000" w:themeColor="text1"/>
        </w:rPr>
        <w:t xml:space="preserve">youth interviews </w:t>
      </w:r>
      <w:r w:rsidR="00762D15">
        <w:rPr>
          <w:rFonts w:cs="Times New Roman"/>
          <w:color w:val="000000" w:themeColor="text1"/>
        </w:rPr>
        <w:t>will be evenly divided among younger and older youth, and will aim to test the comprehension of items in the long cue and short cue screeners as well as CIR items being tested with adults</w:t>
      </w:r>
      <w:r w:rsidR="001B5B11">
        <w:rPr>
          <w:rFonts w:cs="Times New Roman"/>
          <w:color w:val="000000" w:themeColor="text1"/>
        </w:rPr>
        <w:t>.</w:t>
      </w:r>
    </w:p>
    <w:p w14:paraId="5E33481C" w14:textId="6A447F9E" w:rsidR="00992E99" w:rsidRDefault="00992E99" w:rsidP="002A71F1">
      <w:pPr>
        <w:rPr>
          <w:rFonts w:cs="Times New Roman"/>
          <w:color w:val="000000" w:themeColor="text1"/>
        </w:rPr>
      </w:pPr>
    </w:p>
    <w:p w14:paraId="60E0D2B2" w14:textId="47686F5D" w:rsidR="00992E99" w:rsidRDefault="00992E99" w:rsidP="002A71F1">
      <w:pPr>
        <w:rPr>
          <w:rFonts w:cs="Times New Roman"/>
          <w:color w:val="000000" w:themeColor="text1"/>
        </w:rPr>
      </w:pPr>
      <w:r>
        <w:rPr>
          <w:rFonts w:cs="Times New Roman"/>
          <w:color w:val="000000" w:themeColor="text1"/>
        </w:rPr>
        <w:t>While prior rounds of testing approved by OMB could be completed in one-hour interviews, there is an increased level of content being tested in the current proposed testing. As such, we are anticipating the interviews to take approximately 90 minutes to administer.</w:t>
      </w:r>
    </w:p>
    <w:p w14:paraId="60FBF2DC" w14:textId="77777777" w:rsidR="00A2692B" w:rsidRDefault="00A2692B" w:rsidP="002A71F1">
      <w:pPr>
        <w:rPr>
          <w:rFonts w:cs="Times New Roman"/>
          <w:color w:val="000000" w:themeColor="text1"/>
        </w:rPr>
      </w:pPr>
    </w:p>
    <w:p w14:paraId="3CA0D11E" w14:textId="77777777" w:rsidR="00A2692B" w:rsidRDefault="00A2692B" w:rsidP="002A71F1">
      <w:pPr>
        <w:rPr>
          <w:rFonts w:cs="Times New Roman"/>
          <w:color w:val="000000" w:themeColor="text1"/>
        </w:rPr>
      </w:pPr>
    </w:p>
    <w:p w14:paraId="50EE0E8B" w14:textId="77777777" w:rsidR="00F60CCF" w:rsidRDefault="00F60CCF" w:rsidP="002A71F1">
      <w:pPr>
        <w:rPr>
          <w:rFonts w:cs="Times New Roman"/>
          <w:color w:val="000000" w:themeColor="text1"/>
        </w:rPr>
      </w:pPr>
    </w:p>
    <w:p w14:paraId="57B0CFCC" w14:textId="77777777" w:rsidR="00F60CCF" w:rsidRPr="00784CEB" w:rsidRDefault="00F60CCF" w:rsidP="002A71F1">
      <w:pPr>
        <w:rPr>
          <w:rFonts w:cs="Times New Roman"/>
          <w:color w:val="000000" w:themeColor="text1"/>
        </w:rPr>
      </w:pPr>
    </w:p>
    <w:p w14:paraId="008334A8" w14:textId="77777777" w:rsidR="00A624C5" w:rsidRPr="0065216C" w:rsidRDefault="0065216C" w:rsidP="002A71F1">
      <w:pPr>
        <w:rPr>
          <w:rFonts w:cs="Times New Roman"/>
          <w:b/>
          <w:color w:val="000000" w:themeColor="text1"/>
          <w:u w:val="single"/>
        </w:rPr>
      </w:pPr>
      <w:r w:rsidRPr="0065216C">
        <w:rPr>
          <w:rFonts w:cs="Times New Roman"/>
          <w:b/>
          <w:color w:val="000000" w:themeColor="text1"/>
          <w:u w:val="single"/>
        </w:rPr>
        <w:t>Cost to the Federal Government</w:t>
      </w:r>
    </w:p>
    <w:p w14:paraId="4487D2D1" w14:textId="77777777" w:rsidR="0065216C" w:rsidRDefault="0065216C" w:rsidP="002A71F1">
      <w:pPr>
        <w:rPr>
          <w:rFonts w:cs="Times New Roman"/>
          <w:color w:val="000000" w:themeColor="text1"/>
        </w:rPr>
      </w:pPr>
    </w:p>
    <w:p w14:paraId="29AF8833" w14:textId="3E841DB7" w:rsidR="0065216C" w:rsidRPr="0065216C" w:rsidRDefault="0065216C" w:rsidP="002A71F1">
      <w:pPr>
        <w:rPr>
          <w:rFonts w:cs="Times New Roman"/>
          <w:color w:val="000000" w:themeColor="text1"/>
        </w:rPr>
      </w:pPr>
      <w:r>
        <w:rPr>
          <w:rFonts w:cs="Times New Roman"/>
          <w:color w:val="000000" w:themeColor="text1"/>
        </w:rPr>
        <w:t xml:space="preserve">The </w:t>
      </w:r>
      <w:r w:rsidR="00C6038D">
        <w:rPr>
          <w:rFonts w:cs="Times New Roman"/>
          <w:color w:val="000000" w:themeColor="text1"/>
        </w:rPr>
        <w:t xml:space="preserve">total </w:t>
      </w:r>
      <w:r>
        <w:rPr>
          <w:rFonts w:cs="Times New Roman"/>
          <w:color w:val="000000" w:themeColor="text1"/>
        </w:rPr>
        <w:t>cost of conducting the cognitive interviews</w:t>
      </w:r>
      <w:r w:rsidR="00C6038D">
        <w:rPr>
          <w:rFonts w:cs="Times New Roman"/>
          <w:color w:val="000000" w:themeColor="text1"/>
        </w:rPr>
        <w:t>, including incentives for in-person interviews,</w:t>
      </w:r>
      <w:r>
        <w:rPr>
          <w:rFonts w:cs="Times New Roman"/>
          <w:color w:val="000000" w:themeColor="text1"/>
        </w:rPr>
        <w:t xml:space="preserve"> will be </w:t>
      </w:r>
      <w:r w:rsidR="005D2D42">
        <w:rPr>
          <w:rFonts w:cs="Times New Roman"/>
          <w:color w:val="000000" w:themeColor="text1"/>
        </w:rPr>
        <w:t xml:space="preserve">approximately </w:t>
      </w:r>
      <w:r>
        <w:rPr>
          <w:rFonts w:cs="Times New Roman"/>
          <w:color w:val="000000" w:themeColor="text1"/>
        </w:rPr>
        <w:t>$</w:t>
      </w:r>
      <w:r w:rsidR="006711C6">
        <w:rPr>
          <w:rFonts w:cs="Times New Roman"/>
          <w:color w:val="000000" w:themeColor="text1"/>
        </w:rPr>
        <w:t>1</w:t>
      </w:r>
      <w:r w:rsidR="00762D15">
        <w:rPr>
          <w:rFonts w:cs="Times New Roman"/>
          <w:color w:val="000000" w:themeColor="text1"/>
        </w:rPr>
        <w:t>2</w:t>
      </w:r>
      <w:r w:rsidR="00992E99">
        <w:rPr>
          <w:rFonts w:cs="Times New Roman"/>
          <w:color w:val="000000" w:themeColor="text1"/>
        </w:rPr>
        <w:t>5</w:t>
      </w:r>
      <w:r w:rsidR="005D2D42">
        <w:rPr>
          <w:rFonts w:cs="Times New Roman"/>
          <w:color w:val="000000" w:themeColor="text1"/>
        </w:rPr>
        <w:t>,</w:t>
      </w:r>
      <w:r w:rsidR="00992E99">
        <w:rPr>
          <w:rFonts w:cs="Times New Roman"/>
          <w:color w:val="000000" w:themeColor="text1"/>
        </w:rPr>
        <w:t>0</w:t>
      </w:r>
      <w:r w:rsidR="005D2D42">
        <w:rPr>
          <w:rFonts w:cs="Times New Roman"/>
          <w:color w:val="000000" w:themeColor="text1"/>
        </w:rPr>
        <w:t>00</w:t>
      </w:r>
      <w:r>
        <w:rPr>
          <w:rFonts w:cs="Times New Roman"/>
          <w:color w:val="000000" w:themeColor="text1"/>
        </w:rPr>
        <w:t xml:space="preserve"> under the</w:t>
      </w:r>
      <w:r w:rsidRPr="0065216C">
        <w:rPr>
          <w:rFonts w:cs="Times New Roman"/>
          <w:color w:val="000000" w:themeColor="text1"/>
        </w:rPr>
        <w:t xml:space="preserve"> cooperative agreement </w:t>
      </w:r>
      <w:r>
        <w:rPr>
          <w:rFonts w:cs="Times New Roman"/>
          <w:color w:val="000000" w:themeColor="text1"/>
        </w:rPr>
        <w:t xml:space="preserve">with Westat </w:t>
      </w:r>
      <w:r w:rsidRPr="0065216C">
        <w:rPr>
          <w:rFonts w:cs="Times New Roman"/>
          <w:color w:val="000000" w:themeColor="text1"/>
        </w:rPr>
        <w:lastRenderedPageBreak/>
        <w:t>(Award 2013-MU-CX-K054</w:t>
      </w:r>
      <w:r>
        <w:rPr>
          <w:rFonts w:cs="Times New Roman"/>
          <w:color w:val="000000" w:themeColor="text1"/>
        </w:rPr>
        <w:t xml:space="preserve">) for the </w:t>
      </w:r>
      <w:r w:rsidRPr="0065216C">
        <w:rPr>
          <w:rFonts w:cs="Times New Roman"/>
          <w:i/>
          <w:color w:val="000000" w:themeColor="text1"/>
        </w:rPr>
        <w:t>National Crime Victimization Survey (NCVS) Instrument Redesign and Testing Project</w:t>
      </w:r>
      <w:r>
        <w:rPr>
          <w:rFonts w:cs="Times New Roman"/>
          <w:color w:val="000000" w:themeColor="text1"/>
        </w:rPr>
        <w:t>.</w:t>
      </w:r>
    </w:p>
    <w:p w14:paraId="4E08DD86" w14:textId="77777777" w:rsidR="0065216C" w:rsidRDefault="0065216C" w:rsidP="002A71F1">
      <w:pPr>
        <w:rPr>
          <w:rFonts w:cs="Times New Roman"/>
          <w:color w:val="000000" w:themeColor="text1"/>
        </w:rPr>
      </w:pPr>
    </w:p>
    <w:p w14:paraId="45274515" w14:textId="77777777" w:rsidR="00366A49" w:rsidRDefault="00366A49" w:rsidP="00366A49">
      <w:pPr>
        <w:rPr>
          <w:rFonts w:cs="Times New Roman"/>
        </w:rPr>
      </w:pPr>
      <w:r w:rsidRPr="00375D72">
        <w:rPr>
          <w:rFonts w:cs="Times New Roman"/>
          <w:b/>
          <w:u w:val="single"/>
        </w:rPr>
        <w:t>Data Analysis</w:t>
      </w:r>
      <w:r w:rsidRPr="00375D72">
        <w:rPr>
          <w:rFonts w:cs="Times New Roman"/>
        </w:rPr>
        <w:t xml:space="preserve">  </w:t>
      </w:r>
    </w:p>
    <w:p w14:paraId="0E920395" w14:textId="77777777" w:rsidR="00366A49" w:rsidRDefault="00366A49" w:rsidP="00366A49">
      <w:pPr>
        <w:rPr>
          <w:rFonts w:cs="Times New Roman"/>
        </w:rPr>
      </w:pPr>
    </w:p>
    <w:p w14:paraId="12A03383" w14:textId="77777777" w:rsidR="00366A49" w:rsidRDefault="00366A49" w:rsidP="00366A49">
      <w:pPr>
        <w:rPr>
          <w:rFonts w:cs="Times New Roman"/>
        </w:rPr>
      </w:pPr>
      <w:r w:rsidRPr="00375D72">
        <w:rPr>
          <w:rFonts w:cs="Times New Roman"/>
        </w:rPr>
        <w:t xml:space="preserve">Cognitive interviewers will </w:t>
      </w:r>
      <w:r>
        <w:rPr>
          <w:rFonts w:cs="Times New Roman"/>
        </w:rPr>
        <w:t xml:space="preserve">summarize </w:t>
      </w:r>
      <w:r w:rsidRPr="00375D72">
        <w:rPr>
          <w:rFonts w:cs="Times New Roman"/>
        </w:rPr>
        <w:t xml:space="preserve">the </w:t>
      </w:r>
      <w:r>
        <w:rPr>
          <w:rFonts w:cs="Times New Roman"/>
        </w:rPr>
        <w:t xml:space="preserve">findings from each </w:t>
      </w:r>
      <w:r w:rsidRPr="00375D72">
        <w:rPr>
          <w:rFonts w:cs="Times New Roman"/>
        </w:rPr>
        <w:t>cognitive interview. Interviewers will prepare summary findings on each completed i</w:t>
      </w:r>
      <w:r w:rsidR="00E7421A">
        <w:rPr>
          <w:rFonts w:cs="Times New Roman"/>
        </w:rPr>
        <w:t xml:space="preserve">nterview based on the completed </w:t>
      </w:r>
      <w:r w:rsidRPr="00375D72">
        <w:rPr>
          <w:rFonts w:cs="Times New Roman"/>
        </w:rPr>
        <w:t xml:space="preserve">questionnaire, notes taken during the interview, and associated audio recordings. </w:t>
      </w:r>
      <w:r>
        <w:rPr>
          <w:rFonts w:cs="Times New Roman"/>
        </w:rPr>
        <w:t>The s</w:t>
      </w:r>
      <w:r w:rsidRPr="00375D72">
        <w:rPr>
          <w:rFonts w:cs="Times New Roman"/>
        </w:rPr>
        <w:t>ummaries will be analyzed using qualitative</w:t>
      </w:r>
      <w:r w:rsidR="00784CEB">
        <w:rPr>
          <w:rFonts w:cs="Times New Roman"/>
        </w:rPr>
        <w:t xml:space="preserve"> data analysis</w:t>
      </w:r>
      <w:r w:rsidRPr="00375D72">
        <w:rPr>
          <w:rFonts w:cs="Times New Roman"/>
        </w:rPr>
        <w:t xml:space="preserve"> software to help identify common themes organized by overall questionnaire issues, individual questionnaire items and sections, and participants’ overall reactions to the questionnaire. </w:t>
      </w:r>
    </w:p>
    <w:p w14:paraId="26E4EDE6" w14:textId="77777777" w:rsidR="00366A49" w:rsidRDefault="00366A49" w:rsidP="00366A49">
      <w:pPr>
        <w:rPr>
          <w:rFonts w:cs="Times New Roman"/>
        </w:rPr>
      </w:pPr>
    </w:p>
    <w:p w14:paraId="37876B12" w14:textId="43435CB5" w:rsidR="00366A49" w:rsidRDefault="00897186" w:rsidP="00366A49">
      <w:pPr>
        <w:rPr>
          <w:rFonts w:cs="Times New Roman"/>
        </w:rPr>
      </w:pPr>
      <w:r>
        <w:rPr>
          <w:rFonts w:cs="Times New Roman"/>
        </w:rPr>
        <w:t xml:space="preserve">The cognitive interviewing analysis will assess and identify problems, </w:t>
      </w:r>
      <w:r w:rsidR="00366A49">
        <w:rPr>
          <w:rFonts w:cs="Times New Roman"/>
        </w:rPr>
        <w:t xml:space="preserve">such as comprehension issues, recall problems, difficulties understanding the task, </w:t>
      </w:r>
      <w:r w:rsidR="00AA2AAE">
        <w:rPr>
          <w:rFonts w:cs="Times New Roman"/>
        </w:rPr>
        <w:t xml:space="preserve">and </w:t>
      </w:r>
      <w:r w:rsidR="00366A49">
        <w:rPr>
          <w:rFonts w:cs="Times New Roman"/>
        </w:rPr>
        <w:t>telescoping</w:t>
      </w:r>
      <w:r>
        <w:rPr>
          <w:rFonts w:cs="Times New Roman"/>
        </w:rPr>
        <w:t xml:space="preserve">. </w:t>
      </w:r>
      <w:r w:rsidR="00BE4BEA">
        <w:rPr>
          <w:rFonts w:cs="Times New Roman"/>
        </w:rPr>
        <w:t>This analysis will be conducted separately for adults and children.</w:t>
      </w:r>
    </w:p>
    <w:p w14:paraId="61235533" w14:textId="77777777" w:rsidR="009131D9" w:rsidRDefault="009131D9" w:rsidP="00366A49">
      <w:pPr>
        <w:rPr>
          <w:rFonts w:cs="Times New Roman"/>
        </w:rPr>
      </w:pPr>
    </w:p>
    <w:p w14:paraId="23886031" w14:textId="7501A832" w:rsidR="0094429D" w:rsidRPr="00E90EFE" w:rsidRDefault="00366A49" w:rsidP="00366A49">
      <w:pPr>
        <w:rPr>
          <w:rFonts w:cs="Times New Roman"/>
          <w:color w:val="000000" w:themeColor="text1"/>
        </w:rPr>
      </w:pPr>
      <w:r>
        <w:rPr>
          <w:rFonts w:cs="Times New Roman"/>
        </w:rPr>
        <w:t xml:space="preserve">Upon completion of all cognitive testing, a draft cognitive interviewing report will be </w:t>
      </w:r>
      <w:r w:rsidR="00F60CCF">
        <w:rPr>
          <w:rFonts w:cs="Times New Roman"/>
        </w:rPr>
        <w:t>prepared</w:t>
      </w:r>
      <w:r>
        <w:rPr>
          <w:rFonts w:cs="Times New Roman"/>
        </w:rPr>
        <w:t xml:space="preserve"> that will include recommendations for final revisions to the survey for the </w:t>
      </w:r>
      <w:r w:rsidR="00043977">
        <w:rPr>
          <w:rFonts w:cs="Times New Roman"/>
        </w:rPr>
        <w:t xml:space="preserve">pretest and </w:t>
      </w:r>
      <w:r>
        <w:rPr>
          <w:rFonts w:cs="Times New Roman"/>
        </w:rPr>
        <w:t xml:space="preserve">field test. These recommendations will provide detailed information on the cognitive testing methodology, basic characteristics of the respondents, and any issues with question comprehension. The report will also document changes made to the initial draft NCVS survey instruments that are being recommended for use in the </w:t>
      </w:r>
      <w:r w:rsidR="00CC6639">
        <w:rPr>
          <w:rFonts w:cs="Times New Roman"/>
        </w:rPr>
        <w:t xml:space="preserve">usability testing, pretest, </w:t>
      </w:r>
      <w:r>
        <w:rPr>
          <w:rFonts w:cs="Times New Roman"/>
        </w:rPr>
        <w:t xml:space="preserve">and field test. </w:t>
      </w:r>
    </w:p>
    <w:p w14:paraId="41DF0966" w14:textId="77777777" w:rsidR="00E81992" w:rsidRDefault="00E81992" w:rsidP="002A71F1">
      <w:pPr>
        <w:rPr>
          <w:rFonts w:cs="Times New Roman"/>
        </w:rPr>
      </w:pPr>
    </w:p>
    <w:p w14:paraId="2478607A" w14:textId="77777777" w:rsidR="004C078D" w:rsidRPr="004C078D" w:rsidRDefault="004C078D" w:rsidP="004C078D">
      <w:pPr>
        <w:rPr>
          <w:rFonts w:cs="Times New Roman"/>
          <w:b/>
          <w:u w:val="single"/>
        </w:rPr>
      </w:pPr>
      <w:r w:rsidRPr="004C078D">
        <w:rPr>
          <w:rFonts w:cs="Times New Roman"/>
          <w:b/>
          <w:u w:val="single"/>
        </w:rPr>
        <w:t>Protection of Human Subjects</w:t>
      </w:r>
    </w:p>
    <w:p w14:paraId="3919FAAB" w14:textId="77777777" w:rsidR="004C078D" w:rsidRPr="004C078D" w:rsidRDefault="004C078D" w:rsidP="004C078D">
      <w:pPr>
        <w:rPr>
          <w:rFonts w:cs="Times New Roman"/>
        </w:rPr>
      </w:pPr>
    </w:p>
    <w:p w14:paraId="34B23D80" w14:textId="6C0E5076" w:rsidR="004C078D" w:rsidRPr="004C078D" w:rsidRDefault="004C078D" w:rsidP="004C078D">
      <w:pPr>
        <w:rPr>
          <w:rFonts w:cs="Times New Roman"/>
        </w:rPr>
      </w:pPr>
      <w:r w:rsidRPr="004C078D">
        <w:rPr>
          <w:rFonts w:cs="Times New Roman"/>
        </w:rPr>
        <w:t>There is some risk of emotional distress for the respondents given the sensitive nature of the topic, particularly since the questions are of a personal nature</w:t>
      </w:r>
      <w:r w:rsidR="00322AFE">
        <w:rPr>
          <w:rFonts w:cs="Times New Roman"/>
        </w:rPr>
        <w:t>.</w:t>
      </w:r>
      <w:r w:rsidRPr="004C078D">
        <w:rPr>
          <w:rFonts w:cs="Times New Roman"/>
        </w:rPr>
        <w:t xml:space="preserve"> </w:t>
      </w:r>
      <w:r w:rsidR="00322AFE">
        <w:rPr>
          <w:rFonts w:cs="Times New Roman"/>
        </w:rPr>
        <w:t>T</w:t>
      </w:r>
      <w:r w:rsidRPr="004C078D">
        <w:rPr>
          <w:rFonts w:cs="Times New Roman"/>
        </w:rPr>
        <w:t xml:space="preserve">he planned cognitive testing </w:t>
      </w:r>
      <w:r w:rsidR="009131D9">
        <w:rPr>
          <w:rFonts w:cs="Times New Roman"/>
        </w:rPr>
        <w:t>will be</w:t>
      </w:r>
      <w:r w:rsidRPr="004C078D">
        <w:rPr>
          <w:rFonts w:cs="Times New Roman"/>
        </w:rPr>
        <w:t xml:space="preserve"> reviewed by </w:t>
      </w:r>
      <w:r>
        <w:rPr>
          <w:rFonts w:cs="Times New Roman"/>
        </w:rPr>
        <w:t>Westat’</w:t>
      </w:r>
      <w:r w:rsidRPr="004C078D">
        <w:rPr>
          <w:rFonts w:cs="Times New Roman"/>
        </w:rPr>
        <w:t xml:space="preserve">s Institutional Review Board (IRB), which has Federal-wide assurance. </w:t>
      </w:r>
    </w:p>
    <w:p w14:paraId="34EE2700" w14:textId="77777777" w:rsidR="004C078D" w:rsidRDefault="004C078D" w:rsidP="002A71F1">
      <w:pPr>
        <w:rPr>
          <w:rFonts w:cs="Times New Roman"/>
        </w:rPr>
      </w:pPr>
    </w:p>
    <w:p w14:paraId="2F5AFA20" w14:textId="38673C06" w:rsidR="009E09C3" w:rsidRDefault="007530EB" w:rsidP="009E09C3">
      <w:pPr>
        <w:rPr>
          <w:rFonts w:cs="Times New Roman"/>
        </w:rPr>
      </w:pPr>
      <w:r>
        <w:rPr>
          <w:rFonts w:cs="Times New Roman"/>
        </w:rPr>
        <w:t xml:space="preserve">Interviewers will be trained to recognize when respondents are becoming emotionally upset.  They will also be trained on how to react when they are upset. </w:t>
      </w:r>
      <w:r w:rsidR="009E09C3">
        <w:rPr>
          <w:rFonts w:cs="Times New Roman"/>
        </w:rPr>
        <w:t xml:space="preserve">Any </w:t>
      </w:r>
      <w:r w:rsidR="00BE4BEA">
        <w:rPr>
          <w:rFonts w:cs="Times New Roman"/>
        </w:rPr>
        <w:t xml:space="preserve">respondent (adult or </w:t>
      </w:r>
      <w:r w:rsidR="00DD23E0">
        <w:rPr>
          <w:rFonts w:cs="Times New Roman"/>
        </w:rPr>
        <w:t>youth</w:t>
      </w:r>
      <w:r w:rsidR="009E09C3">
        <w:rPr>
          <w:rFonts w:cs="Times New Roman"/>
        </w:rPr>
        <w:t>) who seems to be in distress will be asked if they wish to stop the interview. The respondent will also be offered the opportunity to call a national hotline counselor (e.g., domestic violence or suicide prevention counselo</w:t>
      </w:r>
      <w:r w:rsidR="00BE4BEA">
        <w:rPr>
          <w:rFonts w:cs="Times New Roman"/>
        </w:rPr>
        <w:t>r</w:t>
      </w:r>
      <w:r w:rsidR="009E09C3">
        <w:rPr>
          <w:rFonts w:cs="Times New Roman"/>
        </w:rPr>
        <w:t xml:space="preserve">). All respondents will be provided with a list of hotline numbers before leaving the interview session, regardless of whether the interviewer identified any distress.  </w:t>
      </w:r>
    </w:p>
    <w:p w14:paraId="503A7045" w14:textId="77777777" w:rsidR="009E09C3" w:rsidRPr="00375D72" w:rsidRDefault="009E09C3" w:rsidP="002A71F1">
      <w:pPr>
        <w:rPr>
          <w:rFonts w:cs="Times New Roman"/>
        </w:rPr>
      </w:pPr>
    </w:p>
    <w:p w14:paraId="6CF1EE51" w14:textId="77777777" w:rsidR="002A71F1" w:rsidRDefault="00E81992" w:rsidP="002A71F1">
      <w:pPr>
        <w:rPr>
          <w:rFonts w:cs="Times New Roman"/>
        </w:rPr>
      </w:pPr>
      <w:r w:rsidRPr="00375D72">
        <w:rPr>
          <w:rFonts w:cs="Times New Roman"/>
          <w:b/>
          <w:u w:val="single"/>
        </w:rPr>
        <w:t>Informed Consent</w:t>
      </w:r>
    </w:p>
    <w:p w14:paraId="18507ECE" w14:textId="77777777" w:rsidR="00366A49" w:rsidRDefault="00366A49" w:rsidP="004C078D">
      <w:pPr>
        <w:rPr>
          <w:rFonts w:cs="Times New Roman"/>
        </w:rPr>
      </w:pPr>
    </w:p>
    <w:p w14:paraId="631D7588" w14:textId="77777777" w:rsidR="00E81992" w:rsidRPr="00375D72" w:rsidRDefault="00643C52" w:rsidP="002A71F1">
      <w:pPr>
        <w:rPr>
          <w:rFonts w:cs="Times New Roman"/>
        </w:rPr>
      </w:pPr>
      <w:r>
        <w:rPr>
          <w:rFonts w:cs="Times New Roman"/>
        </w:rPr>
        <w:t>Adult p</w:t>
      </w:r>
      <w:r w:rsidR="00E81992" w:rsidRPr="00375D72">
        <w:rPr>
          <w:rFonts w:cs="Times New Roman"/>
        </w:rPr>
        <w:t>articipants will review the informed consent document with the aid of the interviewer and will be asked to sign the form before participating. Should an individual refuse informed consent</w:t>
      </w:r>
      <w:r>
        <w:rPr>
          <w:rFonts w:cs="Times New Roman"/>
        </w:rPr>
        <w:t>,</w:t>
      </w:r>
      <w:r w:rsidR="00E81992" w:rsidRPr="00375D72">
        <w:rPr>
          <w:rFonts w:cs="Times New Roman"/>
        </w:rPr>
        <w:t xml:space="preserve"> s/he will be excused from participation and thanked for her/his time. At the time of consent</w:t>
      </w:r>
      <w:r>
        <w:rPr>
          <w:rFonts w:cs="Times New Roman"/>
        </w:rPr>
        <w:t>/assent</w:t>
      </w:r>
      <w:r w:rsidR="00E81992" w:rsidRPr="00375D72">
        <w:rPr>
          <w:rFonts w:cs="Times New Roman"/>
        </w:rPr>
        <w:t xml:space="preserve">, the interviewer will also ask permission to audio record the interview. (See Attachment </w:t>
      </w:r>
      <w:r w:rsidR="000862CB">
        <w:rPr>
          <w:rFonts w:cs="Times New Roman"/>
        </w:rPr>
        <w:t>D</w:t>
      </w:r>
      <w:r w:rsidR="00835E20" w:rsidRPr="00375D72">
        <w:rPr>
          <w:rFonts w:cs="Times New Roman"/>
        </w:rPr>
        <w:t xml:space="preserve"> </w:t>
      </w:r>
      <w:r w:rsidR="00E81992" w:rsidRPr="00375D72">
        <w:rPr>
          <w:rFonts w:cs="Times New Roman"/>
        </w:rPr>
        <w:t>for the informed consent</w:t>
      </w:r>
      <w:r>
        <w:rPr>
          <w:rFonts w:cs="Times New Roman"/>
        </w:rPr>
        <w:t xml:space="preserve"> </w:t>
      </w:r>
      <w:r w:rsidR="00E81992" w:rsidRPr="00375D72">
        <w:rPr>
          <w:rFonts w:cs="Times New Roman"/>
        </w:rPr>
        <w:t>document</w:t>
      </w:r>
      <w:r>
        <w:rPr>
          <w:rFonts w:cs="Times New Roman"/>
        </w:rPr>
        <w:t>s</w:t>
      </w:r>
      <w:r w:rsidR="00E81992" w:rsidRPr="00375D72">
        <w:rPr>
          <w:rFonts w:cs="Times New Roman"/>
        </w:rPr>
        <w:t>).</w:t>
      </w:r>
    </w:p>
    <w:p w14:paraId="7C32D44B" w14:textId="77777777" w:rsidR="004C078D" w:rsidRDefault="004C078D" w:rsidP="002A71F1">
      <w:pPr>
        <w:rPr>
          <w:rFonts w:cs="Times New Roman"/>
        </w:rPr>
      </w:pPr>
    </w:p>
    <w:p w14:paraId="4507450C" w14:textId="13005492" w:rsidR="009D15BB" w:rsidRDefault="009D15BB" w:rsidP="002A71F1">
      <w:pPr>
        <w:rPr>
          <w:rFonts w:cs="Times New Roman"/>
        </w:rPr>
      </w:pPr>
      <w:r>
        <w:rPr>
          <w:rFonts w:cs="Times New Roman"/>
        </w:rPr>
        <w:lastRenderedPageBreak/>
        <w:t xml:space="preserve">To interview </w:t>
      </w:r>
      <w:r w:rsidR="00DD23E0">
        <w:rPr>
          <w:rFonts w:cs="Times New Roman"/>
        </w:rPr>
        <w:t xml:space="preserve">youth </w:t>
      </w:r>
      <w:r>
        <w:rPr>
          <w:rFonts w:cs="Times New Roman"/>
        </w:rPr>
        <w:t xml:space="preserve">participants we must receive (1) parent/guardian consent and also (2) </w:t>
      </w:r>
      <w:r w:rsidR="006711C6">
        <w:rPr>
          <w:rFonts w:cs="Times New Roman"/>
        </w:rPr>
        <w:t>youth</w:t>
      </w:r>
      <w:r>
        <w:rPr>
          <w:rFonts w:cs="Times New Roman"/>
        </w:rPr>
        <w:t xml:space="preserve"> assent. </w:t>
      </w:r>
      <w:r w:rsidR="00762D15">
        <w:rPr>
          <w:rFonts w:cs="Times New Roman"/>
        </w:rPr>
        <w:t xml:space="preserve">Those </w:t>
      </w:r>
      <w:r w:rsidR="001B5B11">
        <w:rPr>
          <w:rFonts w:cs="Times New Roman"/>
        </w:rPr>
        <w:t xml:space="preserve">youth </w:t>
      </w:r>
      <w:r w:rsidR="00762D15">
        <w:rPr>
          <w:rFonts w:cs="Times New Roman"/>
        </w:rPr>
        <w:t>who are</w:t>
      </w:r>
      <w:r w:rsidR="001B5B11">
        <w:rPr>
          <w:rFonts w:cs="Times New Roman"/>
        </w:rPr>
        <w:t xml:space="preserve"> coming to </w:t>
      </w:r>
      <w:r w:rsidR="00762D15">
        <w:rPr>
          <w:rFonts w:cs="Times New Roman"/>
        </w:rPr>
        <w:t xml:space="preserve">a concurrent </w:t>
      </w:r>
      <w:r w:rsidR="001B5B11">
        <w:rPr>
          <w:rFonts w:cs="Times New Roman"/>
        </w:rPr>
        <w:t>interview with a parent</w:t>
      </w:r>
      <w:r w:rsidR="00762D15">
        <w:rPr>
          <w:rFonts w:cs="Times New Roman"/>
        </w:rPr>
        <w:t xml:space="preserve"> </w:t>
      </w:r>
      <w:r w:rsidR="001B5B11">
        <w:rPr>
          <w:rFonts w:cs="Times New Roman"/>
        </w:rPr>
        <w:t xml:space="preserve">will be interviewed in a separate, private room to ensure confidentiality. </w:t>
      </w:r>
      <w:r w:rsidR="000C2D40">
        <w:rPr>
          <w:rFonts w:cs="Times New Roman"/>
        </w:rPr>
        <w:t>Written p</w:t>
      </w:r>
      <w:r w:rsidR="001B5B11">
        <w:rPr>
          <w:rFonts w:cs="Times New Roman"/>
        </w:rPr>
        <w:t xml:space="preserve">arental/guardian consent </w:t>
      </w:r>
      <w:r w:rsidR="000C2D40">
        <w:rPr>
          <w:rFonts w:cs="Times New Roman"/>
        </w:rPr>
        <w:t xml:space="preserve">will </w:t>
      </w:r>
      <w:r w:rsidR="001B5B11">
        <w:rPr>
          <w:rFonts w:cs="Times New Roman"/>
        </w:rPr>
        <w:t xml:space="preserve">be obtained before the interview begins. </w:t>
      </w:r>
      <w:r>
        <w:rPr>
          <w:rFonts w:cs="Times New Roman"/>
        </w:rPr>
        <w:t>Since Westat is covered by BJS Title 42</w:t>
      </w:r>
      <w:r w:rsidR="00043977">
        <w:rPr>
          <w:rFonts w:cs="Times New Roman"/>
        </w:rPr>
        <w:t xml:space="preserve"> </w:t>
      </w:r>
      <w:r w:rsidR="00043977" w:rsidRPr="00043977">
        <w:rPr>
          <w:rFonts w:cs="Times New Roman"/>
        </w:rPr>
        <w:t xml:space="preserve">USC </w:t>
      </w:r>
      <w:r w:rsidR="00E67FB7">
        <w:rPr>
          <w:rFonts w:cs="Times New Roman"/>
        </w:rPr>
        <w:t>§</w:t>
      </w:r>
      <w:r w:rsidR="00043977" w:rsidRPr="00043977">
        <w:rPr>
          <w:rFonts w:cs="Times New Roman"/>
        </w:rPr>
        <w:t xml:space="preserve">3735 and </w:t>
      </w:r>
      <w:r w:rsidR="00E67FB7">
        <w:rPr>
          <w:rFonts w:cs="Times New Roman"/>
        </w:rPr>
        <w:t>§</w:t>
      </w:r>
      <w:r w:rsidR="00043977" w:rsidRPr="00043977">
        <w:rPr>
          <w:rFonts w:cs="Times New Roman"/>
        </w:rPr>
        <w:t>3789g</w:t>
      </w:r>
      <w:r>
        <w:rPr>
          <w:rFonts w:cs="Times New Roman"/>
        </w:rPr>
        <w:t>, we are unable to report any instances of abuse and must maintain strict confidentiality of the data. As such</w:t>
      </w:r>
      <w:r w:rsidR="001E63A7">
        <w:rPr>
          <w:rFonts w:cs="Times New Roman"/>
        </w:rPr>
        <w:t>,</w:t>
      </w:r>
      <w:r>
        <w:rPr>
          <w:rFonts w:cs="Times New Roman"/>
        </w:rPr>
        <w:t xml:space="preserve"> we plan to collect verbal assent </w:t>
      </w:r>
      <w:r w:rsidR="000C2D40">
        <w:rPr>
          <w:rFonts w:cs="Times New Roman"/>
        </w:rPr>
        <w:t xml:space="preserve">from youth </w:t>
      </w:r>
      <w:r>
        <w:rPr>
          <w:rFonts w:cs="Times New Roman"/>
        </w:rPr>
        <w:t>rather than written</w:t>
      </w:r>
      <w:r w:rsidR="00AE2D2A">
        <w:rPr>
          <w:rFonts w:cs="Times New Roman"/>
        </w:rPr>
        <w:t>; the interviewer will sign the assent form rather than the youth.</w:t>
      </w:r>
      <w:r>
        <w:rPr>
          <w:rFonts w:cs="Times New Roman"/>
        </w:rPr>
        <w:t xml:space="preserve"> We will not maintain the names of the children to ensure we are unable to link the interview data with a child’s identifying information.</w:t>
      </w:r>
      <w:r w:rsidR="00460720">
        <w:rPr>
          <w:rFonts w:cs="Times New Roman"/>
        </w:rPr>
        <w:t xml:space="preserve"> </w:t>
      </w:r>
      <w:r w:rsidR="00460720" w:rsidRPr="00375D72">
        <w:rPr>
          <w:rFonts w:cs="Times New Roman"/>
        </w:rPr>
        <w:t>Should a</w:t>
      </w:r>
      <w:r w:rsidR="00460720">
        <w:rPr>
          <w:rFonts w:cs="Times New Roman"/>
        </w:rPr>
        <w:t xml:space="preserve"> parent or a child </w:t>
      </w:r>
      <w:r w:rsidR="00460720" w:rsidRPr="00375D72">
        <w:rPr>
          <w:rFonts w:cs="Times New Roman"/>
        </w:rPr>
        <w:t>refuse informed consent</w:t>
      </w:r>
      <w:r w:rsidR="00460720">
        <w:rPr>
          <w:rFonts w:cs="Times New Roman"/>
        </w:rPr>
        <w:t>,</w:t>
      </w:r>
      <w:r w:rsidR="00460720" w:rsidRPr="00375D72">
        <w:rPr>
          <w:rFonts w:cs="Times New Roman"/>
        </w:rPr>
        <w:t xml:space="preserve"> </w:t>
      </w:r>
      <w:r w:rsidR="00460720">
        <w:rPr>
          <w:rFonts w:cs="Times New Roman"/>
        </w:rPr>
        <w:t xml:space="preserve">the child </w:t>
      </w:r>
      <w:r w:rsidR="00460720" w:rsidRPr="00375D72">
        <w:rPr>
          <w:rFonts w:cs="Times New Roman"/>
        </w:rPr>
        <w:t xml:space="preserve">will be excused from participation and thanked for her/his time. </w:t>
      </w:r>
      <w:r w:rsidR="000C2D40">
        <w:rPr>
          <w:rFonts w:cs="Times New Roman"/>
        </w:rPr>
        <w:t xml:space="preserve">In both the parental consent and youth </w:t>
      </w:r>
      <w:r w:rsidR="00460720">
        <w:rPr>
          <w:rFonts w:cs="Times New Roman"/>
        </w:rPr>
        <w:t>assent</w:t>
      </w:r>
      <w:r w:rsidR="000C2D40">
        <w:rPr>
          <w:rFonts w:cs="Times New Roman"/>
        </w:rPr>
        <w:t xml:space="preserve"> process</w:t>
      </w:r>
      <w:r w:rsidR="00460720" w:rsidRPr="00375D72">
        <w:rPr>
          <w:rFonts w:cs="Times New Roman"/>
        </w:rPr>
        <w:t xml:space="preserve">, the interviewer will ask </w:t>
      </w:r>
      <w:r w:rsidR="000C2D40">
        <w:rPr>
          <w:rFonts w:cs="Times New Roman"/>
        </w:rPr>
        <w:t xml:space="preserve">for </w:t>
      </w:r>
      <w:r w:rsidR="00460720" w:rsidRPr="00375D72">
        <w:rPr>
          <w:rFonts w:cs="Times New Roman"/>
        </w:rPr>
        <w:t>permission to audio record the interview.</w:t>
      </w:r>
    </w:p>
    <w:p w14:paraId="42F0A451" w14:textId="77777777" w:rsidR="001E63A7" w:rsidRDefault="001E63A7" w:rsidP="002A71F1">
      <w:pPr>
        <w:rPr>
          <w:rFonts w:cs="Times New Roman"/>
        </w:rPr>
      </w:pPr>
    </w:p>
    <w:p w14:paraId="3CD1CE78" w14:textId="77777777" w:rsidR="002A71F1" w:rsidRDefault="00E81992" w:rsidP="002A71F1">
      <w:pPr>
        <w:tabs>
          <w:tab w:val="left" w:pos="990"/>
        </w:tabs>
        <w:contextualSpacing/>
        <w:rPr>
          <w:rFonts w:cs="Times New Roman"/>
          <w:b/>
        </w:rPr>
      </w:pPr>
      <w:r w:rsidRPr="00375D72">
        <w:rPr>
          <w:rFonts w:cs="Times New Roman"/>
          <w:b/>
          <w:u w:val="single"/>
        </w:rPr>
        <w:t>Use of Information Technology to Reduce Burden</w:t>
      </w:r>
      <w:r w:rsidR="00E90EFE" w:rsidRPr="00375D72">
        <w:rPr>
          <w:rFonts w:cs="Times New Roman"/>
          <w:b/>
        </w:rPr>
        <w:t xml:space="preserve">  </w:t>
      </w:r>
    </w:p>
    <w:p w14:paraId="57EAB47F" w14:textId="77777777" w:rsidR="004C078D" w:rsidRDefault="004C078D" w:rsidP="002A71F1">
      <w:pPr>
        <w:tabs>
          <w:tab w:val="left" w:pos="990"/>
        </w:tabs>
        <w:contextualSpacing/>
        <w:rPr>
          <w:rFonts w:cs="Times New Roman"/>
        </w:rPr>
      </w:pPr>
    </w:p>
    <w:p w14:paraId="621B6359" w14:textId="77777777" w:rsidR="008C12E4" w:rsidRDefault="00E81992" w:rsidP="002A71F1">
      <w:pPr>
        <w:tabs>
          <w:tab w:val="left" w:pos="990"/>
        </w:tabs>
        <w:contextualSpacing/>
        <w:rPr>
          <w:rFonts w:cs="Times New Roman"/>
        </w:rPr>
      </w:pPr>
      <w:r w:rsidRPr="004C4BA0">
        <w:rPr>
          <w:rFonts w:cs="Times New Roman"/>
        </w:rPr>
        <w:t>The cognitive testing study will utilize technology to facilitate recruitment and the scheduling process while also reducing participant burden and controlling study costs.  Recruitment efforts will use email communications when possible, because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w:t>
      </w:r>
    </w:p>
    <w:p w14:paraId="4FBF26CC" w14:textId="77777777" w:rsidR="008C12E4" w:rsidRDefault="008C12E4" w:rsidP="002A71F1">
      <w:pPr>
        <w:tabs>
          <w:tab w:val="left" w:pos="990"/>
        </w:tabs>
        <w:contextualSpacing/>
        <w:rPr>
          <w:rFonts w:cs="Times New Roman"/>
        </w:rPr>
      </w:pPr>
    </w:p>
    <w:p w14:paraId="7340354D" w14:textId="77777777" w:rsidR="00E81992" w:rsidRDefault="008C12E4" w:rsidP="002A71F1">
      <w:pPr>
        <w:tabs>
          <w:tab w:val="left" w:pos="990"/>
        </w:tabs>
        <w:contextualSpacing/>
        <w:rPr>
          <w:rFonts w:cs="Times New Roman"/>
        </w:rPr>
      </w:pPr>
      <w:r>
        <w:rPr>
          <w:rFonts w:cs="Times New Roman"/>
        </w:rPr>
        <w:t xml:space="preserve">The study will also take advantage of technology to conduct some of the interviews remotely, allowing access to a broader geographic population without incurring the costs of travel. Respondents </w:t>
      </w:r>
      <w:r w:rsidR="00BE1088">
        <w:rPr>
          <w:rFonts w:cs="Times New Roman"/>
        </w:rPr>
        <w:t xml:space="preserve">in Chicago, St. Louis and Oakland, CA </w:t>
      </w:r>
      <w:r>
        <w:rPr>
          <w:rFonts w:cs="Times New Roman"/>
        </w:rPr>
        <w:t>will be asked to go to local focus group facilities</w:t>
      </w:r>
      <w:r w:rsidR="00BE1088">
        <w:rPr>
          <w:rFonts w:cs="Times New Roman"/>
        </w:rPr>
        <w:t xml:space="preserve"> and log onto an online streaming tool to interact with a live researcher who will conduct the interview remotely.</w:t>
      </w:r>
      <w:r>
        <w:rPr>
          <w:rFonts w:cs="Times New Roman"/>
        </w:rPr>
        <w:t xml:space="preserve"> </w:t>
      </w:r>
    </w:p>
    <w:p w14:paraId="0149B8F9" w14:textId="77777777" w:rsidR="002A71F1" w:rsidRPr="004C4BA0" w:rsidRDefault="002A71F1" w:rsidP="002A71F1">
      <w:pPr>
        <w:tabs>
          <w:tab w:val="left" w:pos="990"/>
        </w:tabs>
        <w:contextualSpacing/>
        <w:rPr>
          <w:rFonts w:cs="Times New Roman"/>
        </w:rPr>
      </w:pPr>
    </w:p>
    <w:p w14:paraId="0449CE73" w14:textId="77777777" w:rsidR="002A71F1" w:rsidRDefault="004C078D" w:rsidP="002A71F1">
      <w:pPr>
        <w:contextualSpacing/>
        <w:rPr>
          <w:rFonts w:cs="Times New Roman"/>
        </w:rPr>
      </w:pPr>
      <w:r>
        <w:rPr>
          <w:rFonts w:cs="Times New Roman"/>
          <w:b/>
          <w:u w:val="single"/>
        </w:rPr>
        <w:t>Data</w:t>
      </w:r>
      <w:r w:rsidR="00E81992" w:rsidRPr="00375D72">
        <w:rPr>
          <w:rFonts w:cs="Times New Roman"/>
          <w:b/>
          <w:u w:val="single"/>
        </w:rPr>
        <w:t xml:space="preserve"> Confidentiality </w:t>
      </w:r>
      <w:r>
        <w:rPr>
          <w:rFonts w:cs="Times New Roman"/>
          <w:b/>
          <w:u w:val="single"/>
        </w:rPr>
        <w:t>and Security</w:t>
      </w:r>
    </w:p>
    <w:p w14:paraId="1E81C8C7" w14:textId="77777777" w:rsidR="004C078D" w:rsidRDefault="004C078D" w:rsidP="002A71F1">
      <w:pPr>
        <w:contextualSpacing/>
        <w:rPr>
          <w:rFonts w:cs="Times New Roman"/>
        </w:rPr>
      </w:pPr>
    </w:p>
    <w:p w14:paraId="740045B3" w14:textId="104C1241" w:rsidR="004C078D" w:rsidRDefault="004C078D" w:rsidP="002A71F1">
      <w:pPr>
        <w:contextualSpacing/>
        <w:rPr>
          <w:rFonts w:cs="Times New Roman"/>
        </w:rPr>
      </w:pPr>
      <w:r w:rsidRPr="004C078D">
        <w:rPr>
          <w:rFonts w:cs="Times New Roman"/>
        </w:rPr>
        <w:t>BJS’</w:t>
      </w:r>
      <w:r w:rsidR="00CC6639">
        <w:rPr>
          <w:rFonts w:cs="Times New Roman"/>
        </w:rPr>
        <w:t>s</w:t>
      </w:r>
      <w:r w:rsidRPr="004C078D">
        <w:rPr>
          <w:rFonts w:cs="Times New Roman"/>
        </w:rPr>
        <w:t xml:space="preserve"> pledge of confidentiality is based on its </w:t>
      </w:r>
      <w:r w:rsidR="00E67FB7">
        <w:rPr>
          <w:rFonts w:cs="Times New Roman"/>
        </w:rPr>
        <w:t>governing statutes Title 42 USC</w:t>
      </w:r>
      <w:r w:rsidRPr="004C078D">
        <w:rPr>
          <w:rFonts w:cs="Times New Roman"/>
        </w:rPr>
        <w:t xml:space="preserve"> </w:t>
      </w:r>
      <w:r w:rsidR="00E67FB7">
        <w:rPr>
          <w:rFonts w:cs="Times New Roman"/>
        </w:rPr>
        <w:t>§</w:t>
      </w:r>
      <w:r w:rsidRPr="004C078D">
        <w:rPr>
          <w:rFonts w:cs="Times New Roman"/>
        </w:rPr>
        <w:t xml:space="preserve">3735 and </w:t>
      </w:r>
      <w:r w:rsidR="00E67FB7">
        <w:rPr>
          <w:rFonts w:cs="Times New Roman"/>
        </w:rPr>
        <w:t>§</w:t>
      </w:r>
      <w:r w:rsidRPr="004C078D">
        <w:rPr>
          <w:rFonts w:cs="Times New Roman"/>
        </w:rPr>
        <w:t xml:space="preserve">3789g, which establish the allowable use of data collected by BJS. 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Pr>
          <w:rFonts w:cs="Times New Roman"/>
        </w:rPr>
        <w:t>Westat</w:t>
      </w:r>
      <w:r w:rsidRPr="004C078D">
        <w:rPr>
          <w:rFonts w:cs="Times New Roman"/>
        </w:rPr>
        <w:t xml:space="preserve"> staff (the data collection agent) shall not use or reveal any research or statistical information identifiable to any specific private person for any purpose other than the research and statistical purposes for which it was obtained. Pursuant to 42 U.S.C. Sec. 3789g, BJS will not publish any data identifiable specific to a private person (including respondents and decedents). To protect the identity of the respondents, no identifying information will be kept on the final data file. </w:t>
      </w:r>
    </w:p>
    <w:p w14:paraId="497EE8EA" w14:textId="77777777" w:rsidR="004C078D" w:rsidRDefault="004C078D" w:rsidP="002A71F1">
      <w:pPr>
        <w:contextualSpacing/>
        <w:rPr>
          <w:rFonts w:cs="Times New Roman"/>
        </w:rPr>
      </w:pPr>
    </w:p>
    <w:p w14:paraId="24BA2510" w14:textId="77777777" w:rsidR="00E81992" w:rsidRPr="00375D72" w:rsidRDefault="00E81992" w:rsidP="002A71F1">
      <w:pPr>
        <w:contextualSpacing/>
        <w:rPr>
          <w:rFonts w:cs="Times New Roman"/>
          <w:sz w:val="22"/>
          <w:szCs w:val="22"/>
        </w:rPr>
      </w:pPr>
      <w:r w:rsidRPr="00E90EFE">
        <w:rPr>
          <w:rFonts w:cs="Times New Roman"/>
        </w:rPr>
        <w:t>Participation in this cognitive testing study is voluntary. Personally ide</w:t>
      </w:r>
      <w:r w:rsidRPr="004C4BA0">
        <w:rPr>
          <w:rFonts w:cs="Times New Roman"/>
        </w:rPr>
        <w:t xml:space="preserve">ntifiable information (PII), including names and contact information (phone number and/or email address), will be collected by recruiting facilities for the purpose of scheduling eligible participants for interviews.  These data will be securely stored in password protected files to which only project staff will have access, and will be destroyed after </w:t>
      </w:r>
      <w:r w:rsidRPr="00F65639">
        <w:rPr>
          <w:rFonts w:cs="Times New Roman"/>
        </w:rPr>
        <w:t xml:space="preserve">the study is finished.  Names provided by </w:t>
      </w:r>
      <w:r w:rsidR="00460720">
        <w:rPr>
          <w:rFonts w:cs="Times New Roman"/>
        </w:rPr>
        <w:t xml:space="preserve">adult </w:t>
      </w:r>
      <w:r w:rsidRPr="00F65639">
        <w:rPr>
          <w:rFonts w:cs="Times New Roman"/>
        </w:rPr>
        <w:lastRenderedPageBreak/>
        <w:t>participants on consent and incentive receipt forms will be stored in locked cabinets, separate from data. Participant PII will never be associated with data collected during the interview. PII for individuals not selected for interviews will be destroyed immediately. PII for selected participants will be destroyed per contract requirements.</w:t>
      </w:r>
    </w:p>
    <w:p w14:paraId="142C984E" w14:textId="77777777" w:rsidR="009A6711" w:rsidRPr="00375D72" w:rsidRDefault="009A6711" w:rsidP="004C078D">
      <w:pPr>
        <w:contextualSpacing/>
        <w:rPr>
          <w:rFonts w:cs="Times New Roman"/>
          <w:color w:val="000000" w:themeColor="text1"/>
          <w:sz w:val="22"/>
          <w:szCs w:val="22"/>
        </w:rPr>
      </w:pPr>
    </w:p>
    <w:sectPr w:rsidR="009A6711" w:rsidRPr="00375D72" w:rsidSect="006B1E69">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CE598" w14:textId="77777777" w:rsidR="00217F29" w:rsidRDefault="00217F29">
      <w:r>
        <w:separator/>
      </w:r>
    </w:p>
  </w:endnote>
  <w:endnote w:type="continuationSeparator" w:id="0">
    <w:p w14:paraId="643720F5" w14:textId="77777777" w:rsidR="00217F29" w:rsidRDefault="00217F29">
      <w:r>
        <w:continuationSeparator/>
      </w:r>
    </w:p>
  </w:endnote>
  <w:endnote w:type="continuationNotice" w:id="1">
    <w:p w14:paraId="1976A025" w14:textId="77777777" w:rsidR="00217F29" w:rsidRDefault="00217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6EFD2" w14:textId="2BC49B81" w:rsidR="007C7D60" w:rsidRDefault="007C7D60"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EA0A80">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384DD" w14:textId="77777777" w:rsidR="00217F29" w:rsidRDefault="00217F29">
      <w:r>
        <w:separator/>
      </w:r>
    </w:p>
  </w:footnote>
  <w:footnote w:type="continuationSeparator" w:id="0">
    <w:p w14:paraId="4C3E8A09" w14:textId="77777777" w:rsidR="00217F29" w:rsidRDefault="00217F29">
      <w:r>
        <w:continuationSeparator/>
      </w:r>
    </w:p>
  </w:footnote>
  <w:footnote w:type="continuationNotice" w:id="1">
    <w:p w14:paraId="0B93D028" w14:textId="77777777" w:rsidR="00217F29" w:rsidRDefault="00217F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FCCF9" w14:textId="77777777" w:rsidR="007C7D60" w:rsidRDefault="007C7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55D87"/>
    <w:multiLevelType w:val="hybridMultilevel"/>
    <w:tmpl w:val="9690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A6B44"/>
    <w:multiLevelType w:val="hybridMultilevel"/>
    <w:tmpl w:val="20D27F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BA104CC"/>
    <w:multiLevelType w:val="hybridMultilevel"/>
    <w:tmpl w:val="4C9A2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F1AFA"/>
    <w:multiLevelType w:val="hybridMultilevel"/>
    <w:tmpl w:val="5A726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4D9F0159"/>
    <w:multiLevelType w:val="hybridMultilevel"/>
    <w:tmpl w:val="B240D37E"/>
    <w:lvl w:ilvl="0" w:tplc="287EB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7B4"/>
    <w:multiLevelType w:val="hybridMultilevel"/>
    <w:tmpl w:val="228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26CFA"/>
    <w:multiLevelType w:val="hybridMultilevel"/>
    <w:tmpl w:val="19B4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05870"/>
    <w:multiLevelType w:val="hybridMultilevel"/>
    <w:tmpl w:val="FF12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E04A8"/>
    <w:multiLevelType w:val="hybridMultilevel"/>
    <w:tmpl w:val="83920F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3"/>
  </w:num>
  <w:num w:numId="6">
    <w:abstractNumId w:val="5"/>
  </w:num>
  <w:num w:numId="7">
    <w:abstractNumId w:val="4"/>
  </w:num>
  <w:num w:numId="8">
    <w:abstractNumId w:val="7"/>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0A30"/>
    <w:rsid w:val="00000CCD"/>
    <w:rsid w:val="00004F47"/>
    <w:rsid w:val="00011B20"/>
    <w:rsid w:val="00016104"/>
    <w:rsid w:val="00023220"/>
    <w:rsid w:val="0002473E"/>
    <w:rsid w:val="0002613E"/>
    <w:rsid w:val="00027997"/>
    <w:rsid w:val="00036B00"/>
    <w:rsid w:val="000420DB"/>
    <w:rsid w:val="00043977"/>
    <w:rsid w:val="00044C7D"/>
    <w:rsid w:val="00071EA0"/>
    <w:rsid w:val="00075D58"/>
    <w:rsid w:val="00080EEE"/>
    <w:rsid w:val="00083D53"/>
    <w:rsid w:val="000846A7"/>
    <w:rsid w:val="00085575"/>
    <w:rsid w:val="000862CB"/>
    <w:rsid w:val="000943B8"/>
    <w:rsid w:val="00097859"/>
    <w:rsid w:val="000A74D0"/>
    <w:rsid w:val="000B317A"/>
    <w:rsid w:val="000B3A35"/>
    <w:rsid w:val="000B6498"/>
    <w:rsid w:val="000C0351"/>
    <w:rsid w:val="000C2D40"/>
    <w:rsid w:val="000C3E48"/>
    <w:rsid w:val="000C6475"/>
    <w:rsid w:val="000C6734"/>
    <w:rsid w:val="000E222C"/>
    <w:rsid w:val="000F2DDA"/>
    <w:rsid w:val="000F4762"/>
    <w:rsid w:val="00101EF4"/>
    <w:rsid w:val="00102E04"/>
    <w:rsid w:val="00113F6A"/>
    <w:rsid w:val="001146DE"/>
    <w:rsid w:val="00120937"/>
    <w:rsid w:val="00120ADC"/>
    <w:rsid w:val="0012112E"/>
    <w:rsid w:val="00126A60"/>
    <w:rsid w:val="001311A7"/>
    <w:rsid w:val="00133CDA"/>
    <w:rsid w:val="00133EBA"/>
    <w:rsid w:val="00140102"/>
    <w:rsid w:val="001405CC"/>
    <w:rsid w:val="0014272B"/>
    <w:rsid w:val="001510D9"/>
    <w:rsid w:val="001560D7"/>
    <w:rsid w:val="00156D40"/>
    <w:rsid w:val="00160168"/>
    <w:rsid w:val="001640D3"/>
    <w:rsid w:val="00164255"/>
    <w:rsid w:val="00164AD0"/>
    <w:rsid w:val="00164C59"/>
    <w:rsid w:val="001738D9"/>
    <w:rsid w:val="00173ABE"/>
    <w:rsid w:val="00176035"/>
    <w:rsid w:val="0017692C"/>
    <w:rsid w:val="00183A39"/>
    <w:rsid w:val="00184865"/>
    <w:rsid w:val="0018704B"/>
    <w:rsid w:val="001A4E28"/>
    <w:rsid w:val="001B1372"/>
    <w:rsid w:val="001B1B07"/>
    <w:rsid w:val="001B1E49"/>
    <w:rsid w:val="001B5B11"/>
    <w:rsid w:val="001B5BC5"/>
    <w:rsid w:val="001E5243"/>
    <w:rsid w:val="001E63A7"/>
    <w:rsid w:val="001F1110"/>
    <w:rsid w:val="001F5C9B"/>
    <w:rsid w:val="00203136"/>
    <w:rsid w:val="00217F29"/>
    <w:rsid w:val="00221EFC"/>
    <w:rsid w:val="0023311F"/>
    <w:rsid w:val="00244D35"/>
    <w:rsid w:val="002473FC"/>
    <w:rsid w:val="0025346C"/>
    <w:rsid w:val="00254BE4"/>
    <w:rsid w:val="002704F2"/>
    <w:rsid w:val="00271625"/>
    <w:rsid w:val="00274896"/>
    <w:rsid w:val="00277834"/>
    <w:rsid w:val="00282D11"/>
    <w:rsid w:val="00285A6D"/>
    <w:rsid w:val="00285FDD"/>
    <w:rsid w:val="002862C8"/>
    <w:rsid w:val="00292EA4"/>
    <w:rsid w:val="00294E2A"/>
    <w:rsid w:val="002A2762"/>
    <w:rsid w:val="002A49C9"/>
    <w:rsid w:val="002A4DB9"/>
    <w:rsid w:val="002A5583"/>
    <w:rsid w:val="002A71F1"/>
    <w:rsid w:val="002B298F"/>
    <w:rsid w:val="002B4BB4"/>
    <w:rsid w:val="002B5611"/>
    <w:rsid w:val="002D42F9"/>
    <w:rsid w:val="002E0158"/>
    <w:rsid w:val="002E22CA"/>
    <w:rsid w:val="002E7F3F"/>
    <w:rsid w:val="002F0853"/>
    <w:rsid w:val="002F2271"/>
    <w:rsid w:val="002F5F02"/>
    <w:rsid w:val="002F674B"/>
    <w:rsid w:val="002F723B"/>
    <w:rsid w:val="003002E3"/>
    <w:rsid w:val="0030620B"/>
    <w:rsid w:val="00306B05"/>
    <w:rsid w:val="00315905"/>
    <w:rsid w:val="00317343"/>
    <w:rsid w:val="00322AFE"/>
    <w:rsid w:val="00325D13"/>
    <w:rsid w:val="003271BA"/>
    <w:rsid w:val="00342411"/>
    <w:rsid w:val="003557D8"/>
    <w:rsid w:val="00355C6D"/>
    <w:rsid w:val="00357039"/>
    <w:rsid w:val="00366A49"/>
    <w:rsid w:val="0037155E"/>
    <w:rsid w:val="00373C88"/>
    <w:rsid w:val="00375D72"/>
    <w:rsid w:val="00394352"/>
    <w:rsid w:val="003963CF"/>
    <w:rsid w:val="00396482"/>
    <w:rsid w:val="003B03C6"/>
    <w:rsid w:val="003B1849"/>
    <w:rsid w:val="003B78A1"/>
    <w:rsid w:val="003B7A86"/>
    <w:rsid w:val="003B7E6E"/>
    <w:rsid w:val="003C2B3B"/>
    <w:rsid w:val="003C3D98"/>
    <w:rsid w:val="003C6503"/>
    <w:rsid w:val="003D0A53"/>
    <w:rsid w:val="003D57A3"/>
    <w:rsid w:val="003E585C"/>
    <w:rsid w:val="00407B1D"/>
    <w:rsid w:val="00407C56"/>
    <w:rsid w:val="00411173"/>
    <w:rsid w:val="004138AC"/>
    <w:rsid w:val="0041445F"/>
    <w:rsid w:val="004203F0"/>
    <w:rsid w:val="004203F4"/>
    <w:rsid w:val="0043413E"/>
    <w:rsid w:val="00434511"/>
    <w:rsid w:val="00434526"/>
    <w:rsid w:val="00454A8D"/>
    <w:rsid w:val="00454AE4"/>
    <w:rsid w:val="00460720"/>
    <w:rsid w:val="00465B10"/>
    <w:rsid w:val="0047178C"/>
    <w:rsid w:val="004768CE"/>
    <w:rsid w:val="00480BB1"/>
    <w:rsid w:val="004877D2"/>
    <w:rsid w:val="00490F22"/>
    <w:rsid w:val="00491A01"/>
    <w:rsid w:val="00492A8B"/>
    <w:rsid w:val="00493309"/>
    <w:rsid w:val="0049623F"/>
    <w:rsid w:val="004A3BAE"/>
    <w:rsid w:val="004A4C9D"/>
    <w:rsid w:val="004A4EC6"/>
    <w:rsid w:val="004A5190"/>
    <w:rsid w:val="004A6479"/>
    <w:rsid w:val="004B4800"/>
    <w:rsid w:val="004C078D"/>
    <w:rsid w:val="004C2AB7"/>
    <w:rsid w:val="004C498B"/>
    <w:rsid w:val="004C4BA0"/>
    <w:rsid w:val="004C4C7D"/>
    <w:rsid w:val="004C5090"/>
    <w:rsid w:val="004D1CBB"/>
    <w:rsid w:val="004E37A9"/>
    <w:rsid w:val="004E3A9C"/>
    <w:rsid w:val="004E4BA7"/>
    <w:rsid w:val="004F3855"/>
    <w:rsid w:val="004F68D7"/>
    <w:rsid w:val="004F69EC"/>
    <w:rsid w:val="00504242"/>
    <w:rsid w:val="00505B6B"/>
    <w:rsid w:val="00513277"/>
    <w:rsid w:val="00513732"/>
    <w:rsid w:val="00523221"/>
    <w:rsid w:val="00523E15"/>
    <w:rsid w:val="00524822"/>
    <w:rsid w:val="00524961"/>
    <w:rsid w:val="00527AB7"/>
    <w:rsid w:val="0053338D"/>
    <w:rsid w:val="005342B9"/>
    <w:rsid w:val="005355DE"/>
    <w:rsid w:val="00537A15"/>
    <w:rsid w:val="00537D54"/>
    <w:rsid w:val="00543BBA"/>
    <w:rsid w:val="00544801"/>
    <w:rsid w:val="005458E5"/>
    <w:rsid w:val="00551B99"/>
    <w:rsid w:val="00552BEB"/>
    <w:rsid w:val="00554650"/>
    <w:rsid w:val="00555951"/>
    <w:rsid w:val="00556B96"/>
    <w:rsid w:val="005615F9"/>
    <w:rsid w:val="00562587"/>
    <w:rsid w:val="00577019"/>
    <w:rsid w:val="00577720"/>
    <w:rsid w:val="0058047A"/>
    <w:rsid w:val="00581DC4"/>
    <w:rsid w:val="00587807"/>
    <w:rsid w:val="005901FA"/>
    <w:rsid w:val="00591014"/>
    <w:rsid w:val="00591AF0"/>
    <w:rsid w:val="00592CCA"/>
    <w:rsid w:val="005A11D7"/>
    <w:rsid w:val="005A32C1"/>
    <w:rsid w:val="005A4ED3"/>
    <w:rsid w:val="005B043D"/>
    <w:rsid w:val="005C1F35"/>
    <w:rsid w:val="005C470B"/>
    <w:rsid w:val="005D098A"/>
    <w:rsid w:val="005D271C"/>
    <w:rsid w:val="005D2D42"/>
    <w:rsid w:val="005E7B75"/>
    <w:rsid w:val="0060062F"/>
    <w:rsid w:val="00602730"/>
    <w:rsid w:val="0060457B"/>
    <w:rsid w:val="00614A82"/>
    <w:rsid w:val="0061581A"/>
    <w:rsid w:val="006177E9"/>
    <w:rsid w:val="006247C1"/>
    <w:rsid w:val="0062520D"/>
    <w:rsid w:val="00625C26"/>
    <w:rsid w:val="00626849"/>
    <w:rsid w:val="00626CBF"/>
    <w:rsid w:val="00643C52"/>
    <w:rsid w:val="0065216C"/>
    <w:rsid w:val="0065269D"/>
    <w:rsid w:val="00653BAB"/>
    <w:rsid w:val="006711C6"/>
    <w:rsid w:val="006743F8"/>
    <w:rsid w:val="00681321"/>
    <w:rsid w:val="00683B39"/>
    <w:rsid w:val="00687C63"/>
    <w:rsid w:val="006917BA"/>
    <w:rsid w:val="006917E0"/>
    <w:rsid w:val="00697BFE"/>
    <w:rsid w:val="006A1229"/>
    <w:rsid w:val="006A2C9C"/>
    <w:rsid w:val="006A3AA3"/>
    <w:rsid w:val="006B1E69"/>
    <w:rsid w:val="006B260E"/>
    <w:rsid w:val="006B7EC1"/>
    <w:rsid w:val="006C42E7"/>
    <w:rsid w:val="006C61EB"/>
    <w:rsid w:val="006C736D"/>
    <w:rsid w:val="006D2415"/>
    <w:rsid w:val="006D38D7"/>
    <w:rsid w:val="006E7C50"/>
    <w:rsid w:val="006F4918"/>
    <w:rsid w:val="00703F64"/>
    <w:rsid w:val="007072C9"/>
    <w:rsid w:val="00732343"/>
    <w:rsid w:val="007329E1"/>
    <w:rsid w:val="00737F0E"/>
    <w:rsid w:val="00740B08"/>
    <w:rsid w:val="00742F49"/>
    <w:rsid w:val="00745667"/>
    <w:rsid w:val="007465AB"/>
    <w:rsid w:val="00746FA4"/>
    <w:rsid w:val="007530EB"/>
    <w:rsid w:val="00753296"/>
    <w:rsid w:val="00754242"/>
    <w:rsid w:val="00754E94"/>
    <w:rsid w:val="00755F85"/>
    <w:rsid w:val="00757416"/>
    <w:rsid w:val="00757777"/>
    <w:rsid w:val="00762D15"/>
    <w:rsid w:val="00771039"/>
    <w:rsid w:val="00773CC1"/>
    <w:rsid w:val="00777947"/>
    <w:rsid w:val="00784A78"/>
    <w:rsid w:val="00784CEB"/>
    <w:rsid w:val="007861E6"/>
    <w:rsid w:val="007923E7"/>
    <w:rsid w:val="00793E23"/>
    <w:rsid w:val="0079549F"/>
    <w:rsid w:val="007A707B"/>
    <w:rsid w:val="007A72E5"/>
    <w:rsid w:val="007B33CC"/>
    <w:rsid w:val="007C5230"/>
    <w:rsid w:val="007C7A6C"/>
    <w:rsid w:val="007C7D60"/>
    <w:rsid w:val="007D1854"/>
    <w:rsid w:val="007D608F"/>
    <w:rsid w:val="007E5C08"/>
    <w:rsid w:val="007E5ECD"/>
    <w:rsid w:val="007E6DE8"/>
    <w:rsid w:val="007F0DBF"/>
    <w:rsid w:val="008000EC"/>
    <w:rsid w:val="00800E64"/>
    <w:rsid w:val="00803D29"/>
    <w:rsid w:val="008042FF"/>
    <w:rsid w:val="0082174B"/>
    <w:rsid w:val="00835370"/>
    <w:rsid w:val="0083599E"/>
    <w:rsid w:val="00835E20"/>
    <w:rsid w:val="008362A5"/>
    <w:rsid w:val="0084417E"/>
    <w:rsid w:val="00845E02"/>
    <w:rsid w:val="00845E3F"/>
    <w:rsid w:val="00861AC7"/>
    <w:rsid w:val="00872F60"/>
    <w:rsid w:val="00876B1E"/>
    <w:rsid w:val="00877B95"/>
    <w:rsid w:val="0088028A"/>
    <w:rsid w:val="008842CA"/>
    <w:rsid w:val="008927D5"/>
    <w:rsid w:val="00895E2B"/>
    <w:rsid w:val="00897186"/>
    <w:rsid w:val="008A1267"/>
    <w:rsid w:val="008A43A9"/>
    <w:rsid w:val="008B1183"/>
    <w:rsid w:val="008B6299"/>
    <w:rsid w:val="008C12E4"/>
    <w:rsid w:val="008C5532"/>
    <w:rsid w:val="008D061A"/>
    <w:rsid w:val="008D0E23"/>
    <w:rsid w:val="008E0568"/>
    <w:rsid w:val="008E2A21"/>
    <w:rsid w:val="008E488A"/>
    <w:rsid w:val="008E5013"/>
    <w:rsid w:val="008E7DD1"/>
    <w:rsid w:val="008F10F8"/>
    <w:rsid w:val="008F4E44"/>
    <w:rsid w:val="008F7025"/>
    <w:rsid w:val="00904775"/>
    <w:rsid w:val="00906222"/>
    <w:rsid w:val="009067B7"/>
    <w:rsid w:val="00906FC5"/>
    <w:rsid w:val="00907E4C"/>
    <w:rsid w:val="009131D9"/>
    <w:rsid w:val="00915F70"/>
    <w:rsid w:val="00931E02"/>
    <w:rsid w:val="0093200B"/>
    <w:rsid w:val="00933F30"/>
    <w:rsid w:val="00941119"/>
    <w:rsid w:val="00943643"/>
    <w:rsid w:val="0094429D"/>
    <w:rsid w:val="00965DBF"/>
    <w:rsid w:val="00970076"/>
    <w:rsid w:val="00970236"/>
    <w:rsid w:val="00971BA2"/>
    <w:rsid w:val="00974B29"/>
    <w:rsid w:val="00980B85"/>
    <w:rsid w:val="00982162"/>
    <w:rsid w:val="009848EE"/>
    <w:rsid w:val="00987C33"/>
    <w:rsid w:val="00992E99"/>
    <w:rsid w:val="00996C44"/>
    <w:rsid w:val="009A1419"/>
    <w:rsid w:val="009A6711"/>
    <w:rsid w:val="009C1345"/>
    <w:rsid w:val="009C33CB"/>
    <w:rsid w:val="009C3C50"/>
    <w:rsid w:val="009C532C"/>
    <w:rsid w:val="009C5506"/>
    <w:rsid w:val="009C638D"/>
    <w:rsid w:val="009D15BB"/>
    <w:rsid w:val="009E09C3"/>
    <w:rsid w:val="009E6C4F"/>
    <w:rsid w:val="009E7C0E"/>
    <w:rsid w:val="009F0191"/>
    <w:rsid w:val="009F269C"/>
    <w:rsid w:val="009F5EDA"/>
    <w:rsid w:val="00A01486"/>
    <w:rsid w:val="00A03141"/>
    <w:rsid w:val="00A10314"/>
    <w:rsid w:val="00A113A7"/>
    <w:rsid w:val="00A16CC4"/>
    <w:rsid w:val="00A20E65"/>
    <w:rsid w:val="00A23784"/>
    <w:rsid w:val="00A2615D"/>
    <w:rsid w:val="00A2692B"/>
    <w:rsid w:val="00A40323"/>
    <w:rsid w:val="00A433C7"/>
    <w:rsid w:val="00A5004E"/>
    <w:rsid w:val="00A50C25"/>
    <w:rsid w:val="00A61FA9"/>
    <w:rsid w:val="00A624C5"/>
    <w:rsid w:val="00A6405B"/>
    <w:rsid w:val="00A771F2"/>
    <w:rsid w:val="00A77F49"/>
    <w:rsid w:val="00A85F10"/>
    <w:rsid w:val="00A940BF"/>
    <w:rsid w:val="00AA1E40"/>
    <w:rsid w:val="00AA2AAE"/>
    <w:rsid w:val="00AA2DF0"/>
    <w:rsid w:val="00AA3A23"/>
    <w:rsid w:val="00AA3FA7"/>
    <w:rsid w:val="00AC5152"/>
    <w:rsid w:val="00AD2804"/>
    <w:rsid w:val="00AE28E7"/>
    <w:rsid w:val="00AE2D2A"/>
    <w:rsid w:val="00AE61BC"/>
    <w:rsid w:val="00B002F5"/>
    <w:rsid w:val="00B0109A"/>
    <w:rsid w:val="00B035A6"/>
    <w:rsid w:val="00B06AEF"/>
    <w:rsid w:val="00B07CF1"/>
    <w:rsid w:val="00B114CE"/>
    <w:rsid w:val="00B20CB8"/>
    <w:rsid w:val="00B25EEC"/>
    <w:rsid w:val="00B27994"/>
    <w:rsid w:val="00B4103E"/>
    <w:rsid w:val="00B4135A"/>
    <w:rsid w:val="00B44ABE"/>
    <w:rsid w:val="00B479CA"/>
    <w:rsid w:val="00B57D03"/>
    <w:rsid w:val="00B62F71"/>
    <w:rsid w:val="00B64EE5"/>
    <w:rsid w:val="00B66732"/>
    <w:rsid w:val="00B7049C"/>
    <w:rsid w:val="00B74D79"/>
    <w:rsid w:val="00B775A0"/>
    <w:rsid w:val="00B95640"/>
    <w:rsid w:val="00B97B2A"/>
    <w:rsid w:val="00BA17D7"/>
    <w:rsid w:val="00BA4796"/>
    <w:rsid w:val="00BA738B"/>
    <w:rsid w:val="00BB17F1"/>
    <w:rsid w:val="00BB34AC"/>
    <w:rsid w:val="00BD2514"/>
    <w:rsid w:val="00BE1088"/>
    <w:rsid w:val="00BE2935"/>
    <w:rsid w:val="00BE4BEA"/>
    <w:rsid w:val="00BE56D9"/>
    <w:rsid w:val="00BF0A95"/>
    <w:rsid w:val="00BF19B8"/>
    <w:rsid w:val="00C06BB1"/>
    <w:rsid w:val="00C10926"/>
    <w:rsid w:val="00C2167B"/>
    <w:rsid w:val="00C232B9"/>
    <w:rsid w:val="00C24C72"/>
    <w:rsid w:val="00C2543D"/>
    <w:rsid w:val="00C32C7E"/>
    <w:rsid w:val="00C33060"/>
    <w:rsid w:val="00C414E3"/>
    <w:rsid w:val="00C4194F"/>
    <w:rsid w:val="00C45465"/>
    <w:rsid w:val="00C5179E"/>
    <w:rsid w:val="00C51B01"/>
    <w:rsid w:val="00C535BC"/>
    <w:rsid w:val="00C5490E"/>
    <w:rsid w:val="00C57E69"/>
    <w:rsid w:val="00C6038D"/>
    <w:rsid w:val="00C604B1"/>
    <w:rsid w:val="00C626F3"/>
    <w:rsid w:val="00C722B3"/>
    <w:rsid w:val="00C8063B"/>
    <w:rsid w:val="00C83B96"/>
    <w:rsid w:val="00C84544"/>
    <w:rsid w:val="00C866DB"/>
    <w:rsid w:val="00C91F4C"/>
    <w:rsid w:val="00C92EE5"/>
    <w:rsid w:val="00C93DE7"/>
    <w:rsid w:val="00C94381"/>
    <w:rsid w:val="00CA0082"/>
    <w:rsid w:val="00CA279F"/>
    <w:rsid w:val="00CB0688"/>
    <w:rsid w:val="00CB773E"/>
    <w:rsid w:val="00CC6639"/>
    <w:rsid w:val="00CD30C8"/>
    <w:rsid w:val="00CE07D3"/>
    <w:rsid w:val="00CE34E8"/>
    <w:rsid w:val="00CE4F8D"/>
    <w:rsid w:val="00CF0EB0"/>
    <w:rsid w:val="00CF2782"/>
    <w:rsid w:val="00CF5BB8"/>
    <w:rsid w:val="00CF6D57"/>
    <w:rsid w:val="00CF7675"/>
    <w:rsid w:val="00D00FE2"/>
    <w:rsid w:val="00D01CF3"/>
    <w:rsid w:val="00D07596"/>
    <w:rsid w:val="00D20A15"/>
    <w:rsid w:val="00D253A4"/>
    <w:rsid w:val="00D27B3D"/>
    <w:rsid w:val="00D3157C"/>
    <w:rsid w:val="00D33503"/>
    <w:rsid w:val="00D44D9C"/>
    <w:rsid w:val="00D45C16"/>
    <w:rsid w:val="00D47939"/>
    <w:rsid w:val="00D532BF"/>
    <w:rsid w:val="00D600AD"/>
    <w:rsid w:val="00D60C7F"/>
    <w:rsid w:val="00D761BA"/>
    <w:rsid w:val="00D867D6"/>
    <w:rsid w:val="00D86B24"/>
    <w:rsid w:val="00D90901"/>
    <w:rsid w:val="00D90CDF"/>
    <w:rsid w:val="00D9299C"/>
    <w:rsid w:val="00D97D11"/>
    <w:rsid w:val="00DA2FA1"/>
    <w:rsid w:val="00DA5C23"/>
    <w:rsid w:val="00DB0012"/>
    <w:rsid w:val="00DB1091"/>
    <w:rsid w:val="00DB11BC"/>
    <w:rsid w:val="00DC220B"/>
    <w:rsid w:val="00DC51D9"/>
    <w:rsid w:val="00DC7350"/>
    <w:rsid w:val="00DD23E0"/>
    <w:rsid w:val="00DD4D70"/>
    <w:rsid w:val="00DE03E8"/>
    <w:rsid w:val="00DE08B5"/>
    <w:rsid w:val="00DE40C5"/>
    <w:rsid w:val="00DE47CF"/>
    <w:rsid w:val="00DE6ED3"/>
    <w:rsid w:val="00DF48E0"/>
    <w:rsid w:val="00DF5530"/>
    <w:rsid w:val="00E118FA"/>
    <w:rsid w:val="00E14CC5"/>
    <w:rsid w:val="00E17F5F"/>
    <w:rsid w:val="00E20AC9"/>
    <w:rsid w:val="00E2630E"/>
    <w:rsid w:val="00E27ECF"/>
    <w:rsid w:val="00E35CF2"/>
    <w:rsid w:val="00E442E4"/>
    <w:rsid w:val="00E45984"/>
    <w:rsid w:val="00E52919"/>
    <w:rsid w:val="00E530A3"/>
    <w:rsid w:val="00E558A7"/>
    <w:rsid w:val="00E6629E"/>
    <w:rsid w:val="00E67FB7"/>
    <w:rsid w:val="00E70982"/>
    <w:rsid w:val="00E7133D"/>
    <w:rsid w:val="00E72D9D"/>
    <w:rsid w:val="00E72E2B"/>
    <w:rsid w:val="00E7421A"/>
    <w:rsid w:val="00E8190C"/>
    <w:rsid w:val="00E81992"/>
    <w:rsid w:val="00E84DEB"/>
    <w:rsid w:val="00E90EFE"/>
    <w:rsid w:val="00E965E9"/>
    <w:rsid w:val="00EA0A80"/>
    <w:rsid w:val="00EA7939"/>
    <w:rsid w:val="00EB0712"/>
    <w:rsid w:val="00EC1D0F"/>
    <w:rsid w:val="00EC2ACF"/>
    <w:rsid w:val="00ED7177"/>
    <w:rsid w:val="00EE6210"/>
    <w:rsid w:val="00EE6867"/>
    <w:rsid w:val="00EE77E1"/>
    <w:rsid w:val="00EF66F4"/>
    <w:rsid w:val="00EF79D1"/>
    <w:rsid w:val="00F03FE7"/>
    <w:rsid w:val="00F074E4"/>
    <w:rsid w:val="00F127F9"/>
    <w:rsid w:val="00F160DA"/>
    <w:rsid w:val="00F16553"/>
    <w:rsid w:val="00F2227C"/>
    <w:rsid w:val="00F252E5"/>
    <w:rsid w:val="00F2611A"/>
    <w:rsid w:val="00F50D6A"/>
    <w:rsid w:val="00F51F32"/>
    <w:rsid w:val="00F52E9F"/>
    <w:rsid w:val="00F57415"/>
    <w:rsid w:val="00F60CCF"/>
    <w:rsid w:val="00F62702"/>
    <w:rsid w:val="00F65639"/>
    <w:rsid w:val="00F755F9"/>
    <w:rsid w:val="00F7615A"/>
    <w:rsid w:val="00F76E27"/>
    <w:rsid w:val="00F84A23"/>
    <w:rsid w:val="00F93263"/>
    <w:rsid w:val="00F9335A"/>
    <w:rsid w:val="00F94959"/>
    <w:rsid w:val="00FA424C"/>
    <w:rsid w:val="00FB1F73"/>
    <w:rsid w:val="00FB7450"/>
    <w:rsid w:val="00FC27FA"/>
    <w:rsid w:val="00FC4A76"/>
    <w:rsid w:val="00FD1510"/>
    <w:rsid w:val="00FD46CD"/>
    <w:rsid w:val="00FD77D5"/>
    <w:rsid w:val="00FE2707"/>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2DC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basedOn w:val="Normal"/>
    <w:link w:val="FootnoteTextChar"/>
    <w:semiHidden/>
    <w:unhideWhenUsed/>
    <w:rsid w:val="00BB17F1"/>
    <w:rPr>
      <w:sz w:val="20"/>
      <w:szCs w:val="20"/>
    </w:rPr>
  </w:style>
  <w:style w:type="character" w:customStyle="1" w:styleId="FootnoteTextChar">
    <w:name w:val="Footnote Text Char"/>
    <w:basedOn w:val="DefaultParagraphFont"/>
    <w:link w:val="FootnoteText"/>
    <w:semiHidden/>
    <w:rsid w:val="00BB17F1"/>
    <w:rPr>
      <w:rFonts w:cs="Arial"/>
    </w:rPr>
  </w:style>
  <w:style w:type="character" w:styleId="FootnoteReference">
    <w:name w:val="footnote reference"/>
    <w:basedOn w:val="DefaultParagraphFont"/>
    <w:semiHidden/>
    <w:unhideWhenUsed/>
    <w:rsid w:val="00BB1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44725">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941457274">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04A3-344A-455F-9844-2B071181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4158</Words>
  <Characters>23041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2017-03-01T21:51:00Z</dcterms:created>
  <dcterms:modified xsi:type="dcterms:W3CDTF">2017-03-01T21:51:00Z</dcterms:modified>
</cp:coreProperties>
</file>